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94"/>
        <w:ind w:firstLine="300"/>
        <w:spacing w:line="360" w:lineRule="auto"/>
        <w:rPr>
          <w:sz w:val="60"/>
          <w:szCs w:val="60"/>
        </w:rPr>
      </w:pPr>
      <w:r>
        <w:rPr>
          <w:sz w:val="60"/>
          <w:szCs w:val="60"/>
        </w:rPr>
      </w:r>
      <w:r/>
    </w:p>
    <w:p>
      <w:pPr>
        <w:pStyle w:val="994"/>
        <w:jc w:val="center"/>
        <w:rPr>
          <w:rFonts w:hint="eastAsia"/>
          <w:b/>
          <w:bCs/>
          <w:color w:val="000000"/>
          <w:sz w:val="72"/>
          <w:szCs w:val="72"/>
        </w:rPr>
      </w:pPr>
      <w:r>
        <w:rPr>
          <w:rFonts w:hint="eastAsia"/>
          <w:b/>
          <w:bCs/>
          <w:color w:val="000000"/>
          <w:sz w:val="72"/>
          <w:szCs w:val="72"/>
        </w:rPr>
      </w:r>
      <w:r/>
    </w:p>
    <w:p>
      <w:pPr>
        <w:pStyle w:val="994"/>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lang w:eastAsia="zh-CN"/>
        </w:rPr>
        <w:t xml:space="preserve">2026年郑陆镇郑陆片、三河口片绿化管护项目</w:t>
      </w:r>
      <w:r>
        <w:rPr>
          <w:rFonts w:hint="eastAsia" w:ascii="宋体" w:hAnsi="宋体" w:eastAsia="宋体" w:cs="宋体"/>
          <w:b/>
          <w:bCs/>
          <w:color w:val="000000"/>
          <w:sz w:val="72"/>
          <w:szCs w:val="72"/>
          <w:highlight w:val="none"/>
        </w:rPr>
      </w:r>
      <w:r/>
    </w:p>
    <w:p>
      <w:pPr>
        <w:pStyle w:val="994"/>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994"/>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rPr>
          <w:rFonts w:hint="eastAsia" w:ascii="宋体" w:hAnsi="宋体" w:eastAsia="宋体" w:cs="宋体"/>
          <w:b/>
          <w:bCs/>
          <w:color w:val="000000"/>
          <w:sz w:val="72"/>
          <w:szCs w:val="72"/>
          <w:highlight w:val="none"/>
        </w:rPr>
      </w:r>
      <w:r/>
    </w:p>
    <w:p>
      <w:pPr>
        <w:pStyle w:val="994"/>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994"/>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994"/>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994"/>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994"/>
        <w:jc w:val="left"/>
        <w:spacing w:line="360" w:lineRule="auto"/>
        <w:tabs>
          <w:tab w:val="left" w:pos="5609" w:leader="none"/>
        </w:tabs>
        <w:rPr>
          <w:bCs/>
          <w:color w:val="000000"/>
          <w:sz w:val="32"/>
          <w:szCs w:val="32"/>
          <w:highlight w:val="none"/>
        </w:rPr>
      </w:pPr>
      <w:r>
        <w:rPr>
          <w:bCs/>
          <w:color w:val="000000"/>
          <w:sz w:val="32"/>
          <w:szCs w:val="32"/>
          <w:highlight w:val="none"/>
        </w:rPr>
      </w:r>
      <w:r/>
    </w:p>
    <w:p>
      <w:pPr>
        <w:pStyle w:val="1027"/>
        <w:rPr>
          <w:bCs/>
          <w:color w:val="000000"/>
          <w:sz w:val="32"/>
          <w:szCs w:val="32"/>
          <w:highlight w:val="none"/>
        </w:rPr>
      </w:pPr>
      <w:r>
        <w:rPr>
          <w:bCs/>
          <w:color w:val="000000"/>
          <w:sz w:val="32"/>
          <w:szCs w:val="32"/>
          <w:highlight w:val="none"/>
        </w:rPr>
      </w:r>
      <w:r/>
    </w:p>
    <w:p>
      <w:pPr>
        <w:pStyle w:val="994"/>
        <w:rPr>
          <w:color w:val="000000"/>
          <w:highlight w:val="none"/>
        </w:rPr>
      </w:pPr>
      <w:r>
        <w:rPr>
          <w:color w:val="000000"/>
          <w:highlight w:val="none"/>
        </w:rPr>
      </w:r>
      <w:r/>
    </w:p>
    <w:p>
      <w:pPr>
        <w:pStyle w:val="1025"/>
        <w:tabs>
          <w:tab w:val="left" w:pos="567" w:leader="none"/>
        </w:tabs>
        <w:rPr>
          <w:rFonts w:hint="eastAsia"/>
          <w:color w:val="000000"/>
          <w:highlight w:val="none"/>
        </w:rPr>
      </w:pPr>
      <w:r>
        <w:rPr>
          <w:rFonts w:hint="eastAsia"/>
          <w:color w:val="000000"/>
          <w:highlight w:val="none"/>
        </w:rPr>
      </w:r>
      <w:r/>
    </w:p>
    <w:p>
      <w:pPr>
        <w:pStyle w:val="994"/>
        <w:ind w:firstLine="1405"/>
        <w:jc w:val="both"/>
        <w:spacing w:line="480" w:lineRule="auto"/>
        <w:tabs>
          <w:tab w:val="left" w:pos="5609" w:leader="none"/>
        </w:tabs>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rPr>
        <w:t xml:space="preserve">项目名称：</w:t>
      </w:r>
      <w:r>
        <w:rPr>
          <w:rFonts w:hint="eastAsia" w:ascii="宋体" w:hAnsi="宋体" w:eastAsia="宋体" w:cs="宋体"/>
          <w:b/>
          <w:bCs w:val="0"/>
          <w:color w:val="000000"/>
          <w:sz w:val="28"/>
          <w:szCs w:val="28"/>
          <w:highlight w:val="none"/>
          <w:u w:val="single"/>
          <w:lang w:eastAsia="zh-CN"/>
        </w:rPr>
        <w:t xml:space="preserve">2026年郑陆镇郑陆片、三河口片绿化管护项目</w:t>
      </w:r>
      <w:r>
        <w:rPr>
          <w:rFonts w:hint="eastAsia" w:ascii="宋体" w:hAnsi="宋体" w:eastAsia="宋体" w:cs="宋体"/>
          <w:b/>
          <w:bCs w:val="0"/>
          <w:color w:val="000000"/>
          <w:sz w:val="28"/>
          <w:szCs w:val="28"/>
          <w:highlight w:val="none"/>
          <w:u w:val="single"/>
          <w:lang w:eastAsia="zh-CN"/>
        </w:rPr>
      </w:r>
      <w:r/>
    </w:p>
    <w:p>
      <w:pPr>
        <w:pStyle w:val="994"/>
        <w:ind w:firstLine="1405"/>
        <w:jc w:val="both"/>
        <w:spacing w:line="480" w:lineRule="auto"/>
        <w:tabs>
          <w:tab w:val="left" w:pos="5609" w:leader="none"/>
        </w:tabs>
        <w:rPr>
          <w:rFonts w:ascii="宋体" w:hAnsi="宋体" w:eastAsia="宋体" w:cs="宋体"/>
          <w:b/>
          <w:bCs w:val="0"/>
          <w:color w:val="000000"/>
          <w:sz w:val="28"/>
          <w:szCs w:val="28"/>
          <w:highlight w:val="none"/>
          <w:u w:val="single"/>
          <w:lang w:val="en-US" w:eastAsia="zh-CN"/>
        </w:rPr>
      </w:pPr>
      <w:r>
        <w:rPr>
          <w:rFonts w:hint="eastAsia" w:ascii="宋体" w:hAnsi="宋体" w:eastAsia="宋体" w:cs="宋体"/>
          <w:b/>
          <w:bCs w:val="0"/>
          <w:color w:val="000000"/>
          <w:sz w:val="28"/>
          <w:szCs w:val="28"/>
          <w:highlight w:val="none"/>
        </w:rPr>
        <w:t xml:space="preserve">项目编号：</w:t>
      </w:r>
      <w:r>
        <w:rPr>
          <w:rFonts w:hint="eastAsia" w:ascii="宋体" w:hAnsi="宋体" w:eastAsia="宋体" w:cs="宋体"/>
          <w:b/>
          <w:bCs w:val="0"/>
          <w:color w:val="000000"/>
          <w:sz w:val="28"/>
          <w:szCs w:val="28"/>
          <w:highlight w:val="none"/>
          <w:u w:val="single"/>
          <w:lang w:val="en-US" w:eastAsia="zh-CN"/>
        </w:rPr>
        <w:t xml:space="preserve">JSZC-320402012-CZYJ-C2026-0007</w:t>
      </w:r>
      <w:r>
        <w:rPr>
          <w:rFonts w:ascii="宋体" w:hAnsi="宋体" w:eastAsia="宋体" w:cs="宋体"/>
          <w:b/>
          <w:bCs w:val="0"/>
          <w:color w:val="000000"/>
          <w:sz w:val="28"/>
          <w:szCs w:val="28"/>
          <w:highlight w:val="none"/>
          <w:u w:val="single"/>
          <w:lang w:val="en-US" w:eastAsia="zh-CN"/>
        </w:rPr>
      </w:r>
      <w:r/>
    </w:p>
    <w:p>
      <w:pPr>
        <w:pStyle w:val="994"/>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 购 人：</w:t>
      </w:r>
      <w:r>
        <w:rPr>
          <w:rFonts w:hint="eastAsia" w:ascii="宋体" w:hAnsi="宋体" w:eastAsia="宋体" w:cs="宋体"/>
          <w:b/>
          <w:bCs w:val="0"/>
          <w:color w:val="000000"/>
          <w:sz w:val="28"/>
          <w:szCs w:val="28"/>
          <w:highlight w:val="none"/>
          <w:u w:val="single"/>
          <w:lang w:eastAsia="zh-CN"/>
        </w:rPr>
        <w:t xml:space="preserve">常州市天宁区郑陆镇人民政府</w:t>
      </w:r>
      <w:r>
        <w:rPr>
          <w:rFonts w:hint="eastAsia" w:ascii="宋体" w:hAnsi="宋体" w:eastAsia="宋体" w:cs="宋体"/>
          <w:b/>
          <w:bCs w:val="0"/>
          <w:color w:val="000000"/>
          <w:sz w:val="28"/>
          <w:szCs w:val="28"/>
          <w:highlight w:val="none"/>
          <w:lang w:eastAsia="zh-CN"/>
        </w:rPr>
      </w:r>
      <w:r/>
    </w:p>
    <w:p>
      <w:pPr>
        <w:pStyle w:val="994"/>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采购代理机构：</w:t>
      </w:r>
      <w:r>
        <w:rPr>
          <w:rFonts w:hint="eastAsia" w:ascii="宋体" w:hAnsi="宋体" w:eastAsia="宋体" w:cs="宋体"/>
          <w:b/>
          <w:bCs w:val="0"/>
          <w:color w:val="000000"/>
          <w:sz w:val="28"/>
          <w:szCs w:val="28"/>
          <w:highlight w:val="none"/>
          <w:u w:val="single"/>
          <w:lang w:eastAsia="zh-CN"/>
        </w:rPr>
        <w:t xml:space="preserve">常州市阳峻项目管理有限公司</w:t>
      </w:r>
      <w:r>
        <w:rPr>
          <w:rFonts w:hint="eastAsia" w:ascii="宋体" w:hAnsi="宋体" w:eastAsia="宋体" w:cs="宋体"/>
          <w:b/>
          <w:bCs w:val="0"/>
          <w:color w:val="000000"/>
          <w:sz w:val="28"/>
          <w:szCs w:val="28"/>
          <w:highlight w:val="none"/>
          <w:lang w:eastAsia="zh-CN"/>
        </w:rPr>
      </w:r>
      <w:r/>
    </w:p>
    <w:p>
      <w:pPr>
        <w:pStyle w:val="994"/>
        <w:jc w:val="both"/>
        <w:spacing w:line="360" w:lineRule="auto"/>
        <w:rPr>
          <w:rFonts w:hint="eastAsia"/>
          <w:b/>
          <w:color w:val="000000"/>
          <w:sz w:val="32"/>
          <w:szCs w:val="32"/>
          <w:highlight w:val="none"/>
        </w:rPr>
        <w:outlineLvl w:val="0"/>
      </w:pPr>
      <w:r/>
      <w:bookmarkStart w:id="0" w:name="_Toc104818924"/>
      <w:r>
        <w:rPr>
          <w:rFonts w:hint="eastAsia"/>
          <w:b/>
          <w:color w:val="000000"/>
          <w:sz w:val="32"/>
          <w:szCs w:val="32"/>
          <w:highlight w:val="none"/>
        </w:rPr>
      </w:r>
      <w:r/>
    </w:p>
    <w:p>
      <w:pPr>
        <w:pStyle w:val="994"/>
        <w:jc w:val="center"/>
        <w:spacing w:line="360" w:lineRule="auto"/>
        <w:rPr>
          <w:rFonts w:hint="eastAsia"/>
          <w:b/>
          <w:color w:val="000000"/>
          <w:sz w:val="32"/>
          <w:szCs w:val="32"/>
          <w:highlight w:val="none"/>
        </w:rPr>
        <w:outlineLvl w:val="0"/>
      </w:pPr>
      <w:r>
        <w:rPr>
          <w:rFonts w:hint="eastAsia"/>
          <w:b/>
          <w:color w:val="000000"/>
          <w:sz w:val="32"/>
          <w:szCs w:val="32"/>
          <w:highlight w:val="none"/>
        </w:rPr>
      </w:r>
      <w:r/>
    </w:p>
    <w:p>
      <w:pPr>
        <w:pStyle w:val="994"/>
        <w:jc w:val="center"/>
        <w:spacing w:line="360" w:lineRule="auto"/>
        <w:rPr>
          <w:b/>
          <w:color w:val="000000"/>
          <w:sz w:val="32"/>
          <w:szCs w:val="32"/>
          <w:highlight w:val="none"/>
        </w:rPr>
        <w:outlineLvl w:val="0"/>
      </w:pPr>
      <w:r>
        <w:rPr>
          <w:rFonts w:hint="eastAsia"/>
          <w:b/>
          <w:color w:val="000000"/>
          <w:sz w:val="32"/>
          <w:szCs w:val="32"/>
          <w:highlight w:val="none"/>
        </w:rPr>
        <w:t xml:space="preserve">目</w:t>
      </w:r>
      <w:r>
        <w:rPr>
          <w:b/>
          <w:color w:val="000000"/>
          <w:sz w:val="32"/>
          <w:szCs w:val="32"/>
          <w:highlight w:val="none"/>
        </w:rPr>
        <w:t xml:space="preserve">      </w:t>
      </w:r>
      <w:r>
        <w:rPr>
          <w:rFonts w:hint="eastAsia"/>
          <w:b/>
          <w:color w:val="000000"/>
          <w:sz w:val="32"/>
          <w:szCs w:val="32"/>
          <w:highlight w:val="none"/>
        </w:rPr>
        <w:t xml:space="preserve">录</w:t>
      </w:r>
      <w:bookmarkEnd w:id="0"/>
      <w:r>
        <w:rPr>
          <w:b/>
          <w:color w:val="000000"/>
          <w:sz w:val="32"/>
          <w:szCs w:val="32"/>
          <w:highlight w:val="none"/>
        </w:rPr>
      </w:r>
      <w:r/>
    </w:p>
    <w:p>
      <w:pPr>
        <w:pStyle w:val="994"/>
        <w:rPr>
          <w:color w:val="000000"/>
          <w:highlight w:val="none"/>
        </w:rPr>
      </w:pPr>
      <w:r>
        <w:rPr>
          <w:color w:val="000000"/>
          <w:highlight w:val="none"/>
        </w:rPr>
      </w:r>
      <w:r/>
    </w:p>
    <w:p>
      <w:pPr>
        <w:pStyle w:val="994"/>
        <w:rPr>
          <w:color w:val="000000"/>
          <w:highlight w:val="none"/>
        </w:rPr>
      </w:pPr>
      <w:r>
        <w:rPr>
          <w:color w:val="000000"/>
          <w:highlight w:val="none"/>
        </w:rPr>
      </w:r>
      <w:r/>
    </w:p>
    <w:p>
      <w:pPr>
        <w:pStyle w:val="994"/>
        <w:rPr>
          <w:color w:val="000000"/>
          <w:highlight w:val="none"/>
        </w:rPr>
      </w:pPr>
      <w:r>
        <w:rPr>
          <w:color w:val="000000"/>
          <w:highlight w:val="none"/>
        </w:rPr>
      </w:r>
      <w:r/>
    </w:p>
    <w:p>
      <w:pPr>
        <w:pStyle w:val="994"/>
        <w:rPr>
          <w:color w:val="000000"/>
          <w:highlight w:val="none"/>
        </w:rPr>
      </w:pPr>
      <w:r>
        <w:rPr>
          <w:color w:val="000000"/>
          <w:highlight w:val="none"/>
        </w:rPr>
      </w:r>
      <w:r/>
    </w:p>
    <w:p>
      <w:pPr>
        <w:pStyle w:val="104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46"/>
        <w:spacing w:line="480" w:lineRule="auto"/>
        <w:tabs>
          <w:tab w:val="left" w:pos="1050" w:leader="none"/>
          <w:tab w:val="right" w:pos="8937" w:leader="dot"/>
        </w:tabs>
        <w:rPr>
          <w:rFonts w:hint="eastAsia" w:ascii="Calibri" w:hAnsi="Calibri" w:eastAsia="宋体"/>
          <w:b w:val="0"/>
          <w:color w:val="000000"/>
          <w:sz w:val="28"/>
          <w:szCs w:val="28"/>
          <w:highlight w:val="none"/>
          <w:lang w:val="en-US" w:eastAsia="zh-CN"/>
        </w:rPr>
      </w:pPr>
      <w:r>
        <w:rPr>
          <w:rStyle w:val="1071"/>
          <w:color w:val="000000"/>
          <w:sz w:val="28"/>
          <w:szCs w:val="28"/>
          <w:highlight w:val="none"/>
        </w:rPr>
        <w:fldChar w:fldCharType="begin"/>
      </w:r>
      <w:r>
        <w:rPr>
          <w:rStyle w:val="1071"/>
          <w:color w:val="000000"/>
          <w:sz w:val="28"/>
          <w:szCs w:val="28"/>
          <w:highlight w:val="none"/>
        </w:rPr>
        <w:instrText xml:space="preserve"> </w:instrText>
      </w:r>
      <w:r>
        <w:rPr>
          <w:color w:val="000000"/>
          <w:sz w:val="28"/>
          <w:szCs w:val="28"/>
          <w:highlight w:val="none"/>
        </w:rPr>
        <w:instrText xml:space="preserve">HYPERLINK \l "_Toc104818925"</w:instrText>
      </w:r>
      <w:r>
        <w:rPr>
          <w:rStyle w:val="1071"/>
          <w:color w:val="000000"/>
          <w:sz w:val="28"/>
          <w:szCs w:val="28"/>
          <w:highlight w:val="none"/>
        </w:rPr>
        <w:instrText xml:space="preserve"> </w:instrText>
      </w:r>
      <w:r>
        <w:rPr>
          <w:rStyle w:val="1071"/>
          <w:color w:val="000000"/>
          <w:sz w:val="28"/>
          <w:szCs w:val="28"/>
          <w:highlight w:val="none"/>
        </w:rPr>
        <w:fldChar w:fldCharType="separate"/>
      </w:r>
      <w:r>
        <w:rPr>
          <w:rStyle w:val="1071"/>
          <w:rFonts w:hint="eastAsia"/>
          <w:color w:val="000000"/>
          <w:sz w:val="28"/>
          <w:szCs w:val="28"/>
          <w:highlight w:val="none"/>
        </w:rPr>
        <w:t xml:space="preserve">第一章</w:t>
      </w:r>
      <w:r>
        <w:rPr>
          <w:rStyle w:val="1071"/>
          <w:color w:val="000000"/>
          <w:sz w:val="28"/>
          <w:szCs w:val="28"/>
          <w:highlight w:val="none"/>
        </w:rPr>
        <w:t xml:space="preserve">   </w:t>
      </w:r>
      <w:r>
        <w:rPr>
          <w:rStyle w:val="1071"/>
          <w:rFonts w:hint="eastAsia"/>
          <w:color w:val="000000"/>
          <w:sz w:val="28"/>
          <w:szCs w:val="28"/>
          <w:highlight w:val="none"/>
        </w:rPr>
        <w:t xml:space="preserve">采购邀请</w:t>
      </w:r>
      <w:r>
        <w:rPr>
          <w:color w:val="000000"/>
          <w:sz w:val="28"/>
          <w:szCs w:val="28"/>
          <w:highlight w:val="none"/>
        </w:rPr>
        <w:tab/>
      </w:r>
      <w:r>
        <w:rPr>
          <w:rStyle w:val="1071"/>
          <w:color w:val="000000"/>
          <w:sz w:val="28"/>
          <w:szCs w:val="28"/>
          <w:highlight w:val="none"/>
        </w:rPr>
        <w:fldChar w:fldCharType="end"/>
      </w:r>
      <w:r>
        <w:rPr>
          <w:rStyle w:val="1071"/>
          <w:rFonts w:hint="eastAsia"/>
          <w:color w:val="000000"/>
          <w:sz w:val="28"/>
          <w:szCs w:val="28"/>
          <w:highlight w:val="none"/>
          <w:lang w:val="en-US" w:eastAsia="zh-CN"/>
        </w:rPr>
        <w:t xml:space="preserve">1</w:t>
      </w:r>
      <w:r>
        <w:rPr>
          <w:rFonts w:hint="eastAsia" w:ascii="Calibri" w:hAnsi="Calibri" w:eastAsia="宋体"/>
          <w:b w:val="0"/>
          <w:color w:val="000000"/>
          <w:sz w:val="28"/>
          <w:szCs w:val="28"/>
          <w:highlight w:val="none"/>
          <w:lang w:val="en-US" w:eastAsia="zh-CN"/>
        </w:rPr>
      </w:r>
      <w:r/>
    </w:p>
    <w:p>
      <w:pPr>
        <w:pStyle w:val="1046"/>
        <w:spacing w:line="480" w:lineRule="auto"/>
        <w:tabs>
          <w:tab w:val="left" w:pos="1050" w:leader="none"/>
          <w:tab w:val="right" w:pos="8937" w:leader="dot"/>
        </w:tabs>
        <w:rPr>
          <w:rFonts w:hint="eastAsia" w:ascii="Calibri" w:hAnsi="Calibri" w:eastAsia="宋体"/>
          <w:b w:val="0"/>
          <w:color w:val="000000"/>
          <w:sz w:val="28"/>
          <w:szCs w:val="28"/>
          <w:highlight w:val="none"/>
          <w:lang w:val="en-US" w:eastAsia="zh-CN"/>
        </w:rPr>
      </w:pPr>
      <w:r>
        <w:rPr>
          <w:rStyle w:val="1071"/>
          <w:color w:val="000000"/>
          <w:sz w:val="28"/>
          <w:szCs w:val="28"/>
          <w:highlight w:val="none"/>
        </w:rPr>
        <w:fldChar w:fldCharType="begin"/>
      </w:r>
      <w:r>
        <w:rPr>
          <w:rStyle w:val="1071"/>
          <w:color w:val="000000"/>
          <w:sz w:val="28"/>
          <w:szCs w:val="28"/>
          <w:highlight w:val="none"/>
        </w:rPr>
        <w:instrText xml:space="preserve"> </w:instrText>
      </w:r>
      <w:r>
        <w:rPr>
          <w:color w:val="000000"/>
          <w:sz w:val="28"/>
          <w:szCs w:val="28"/>
          <w:highlight w:val="none"/>
        </w:rPr>
        <w:instrText xml:space="preserve">HYPERLINK \l "_Toc104818926"</w:instrText>
      </w:r>
      <w:r>
        <w:rPr>
          <w:rStyle w:val="1071"/>
          <w:color w:val="000000"/>
          <w:sz w:val="28"/>
          <w:szCs w:val="28"/>
          <w:highlight w:val="none"/>
        </w:rPr>
        <w:instrText xml:space="preserve"> </w:instrText>
      </w:r>
      <w:r>
        <w:rPr>
          <w:rStyle w:val="1071"/>
          <w:color w:val="000000"/>
          <w:sz w:val="28"/>
          <w:szCs w:val="28"/>
          <w:highlight w:val="none"/>
        </w:rPr>
        <w:fldChar w:fldCharType="separate"/>
      </w:r>
      <w:r>
        <w:rPr>
          <w:rStyle w:val="1071"/>
          <w:rFonts w:hint="eastAsia"/>
          <w:color w:val="000000"/>
          <w:sz w:val="28"/>
          <w:szCs w:val="28"/>
          <w:highlight w:val="none"/>
        </w:rPr>
        <w:t xml:space="preserve">第二章</w:t>
      </w:r>
      <w:r>
        <w:rPr>
          <w:rStyle w:val="1071"/>
          <w:color w:val="000000"/>
          <w:sz w:val="28"/>
          <w:szCs w:val="28"/>
          <w:highlight w:val="none"/>
        </w:rPr>
        <w:t xml:space="preserve">   </w:t>
      </w:r>
      <w:r>
        <w:rPr>
          <w:rStyle w:val="1071"/>
          <w:rFonts w:hint="eastAsia"/>
          <w:color w:val="000000"/>
          <w:sz w:val="28"/>
          <w:szCs w:val="28"/>
          <w:highlight w:val="none"/>
        </w:rPr>
        <w:t xml:space="preserve">供应商须知</w:t>
      </w:r>
      <w:r>
        <w:rPr>
          <w:color w:val="000000"/>
          <w:sz w:val="28"/>
          <w:szCs w:val="28"/>
          <w:highlight w:val="none"/>
        </w:rPr>
        <w:tab/>
      </w:r>
      <w:r>
        <w:rPr>
          <w:rStyle w:val="1071"/>
          <w:color w:val="000000"/>
          <w:sz w:val="28"/>
          <w:szCs w:val="28"/>
          <w:highlight w:val="none"/>
        </w:rPr>
        <w:fldChar w:fldCharType="end"/>
      </w:r>
      <w:r>
        <w:rPr>
          <w:rStyle w:val="1071"/>
          <w:rFonts w:hint="eastAsia"/>
          <w:color w:val="000000"/>
          <w:sz w:val="28"/>
          <w:szCs w:val="28"/>
          <w:highlight w:val="none"/>
          <w:lang w:val="en-US" w:eastAsia="zh-CN"/>
        </w:rPr>
        <w:t xml:space="preserve">5</w:t>
      </w:r>
      <w:r>
        <w:rPr>
          <w:rFonts w:hint="eastAsia" w:ascii="Calibri" w:hAnsi="Calibri" w:eastAsia="宋体"/>
          <w:b w:val="0"/>
          <w:color w:val="000000"/>
          <w:sz w:val="28"/>
          <w:szCs w:val="28"/>
          <w:highlight w:val="none"/>
          <w:lang w:val="en-US" w:eastAsia="zh-CN"/>
        </w:rPr>
      </w:r>
      <w:r/>
    </w:p>
    <w:p>
      <w:pPr>
        <w:pStyle w:val="104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071"/>
          <w:color w:val="000000"/>
          <w:sz w:val="28"/>
          <w:szCs w:val="28"/>
          <w:highlight w:val="none"/>
        </w:rPr>
        <w:fldChar w:fldCharType="begin"/>
      </w:r>
      <w:r>
        <w:rPr>
          <w:rStyle w:val="1071"/>
          <w:color w:val="000000"/>
          <w:sz w:val="28"/>
          <w:szCs w:val="28"/>
          <w:highlight w:val="none"/>
        </w:rPr>
        <w:instrText xml:space="preserve"> </w:instrText>
      </w:r>
      <w:r>
        <w:rPr>
          <w:color w:val="000000"/>
          <w:sz w:val="28"/>
          <w:szCs w:val="28"/>
          <w:highlight w:val="none"/>
        </w:rPr>
        <w:instrText xml:space="preserve">HYPERLINK \l "_Toc104818927"</w:instrText>
      </w:r>
      <w:r>
        <w:rPr>
          <w:rStyle w:val="1071"/>
          <w:color w:val="000000"/>
          <w:sz w:val="28"/>
          <w:szCs w:val="28"/>
          <w:highlight w:val="none"/>
        </w:rPr>
        <w:instrText xml:space="preserve"> </w:instrText>
      </w:r>
      <w:r>
        <w:rPr>
          <w:rStyle w:val="1071"/>
          <w:color w:val="000000"/>
          <w:sz w:val="28"/>
          <w:szCs w:val="28"/>
          <w:highlight w:val="none"/>
        </w:rPr>
        <w:fldChar w:fldCharType="separate"/>
      </w:r>
      <w:r>
        <w:rPr>
          <w:rStyle w:val="1071"/>
          <w:rFonts w:hint="eastAsia"/>
          <w:color w:val="000000"/>
          <w:sz w:val="28"/>
          <w:szCs w:val="28"/>
          <w:highlight w:val="none"/>
        </w:rPr>
        <w:t xml:space="preserve">第三章</w:t>
      </w:r>
      <w:r>
        <w:rPr>
          <w:rStyle w:val="1071"/>
          <w:color w:val="000000"/>
          <w:sz w:val="28"/>
          <w:szCs w:val="28"/>
          <w:highlight w:val="none"/>
        </w:rPr>
        <w:t xml:space="preserve">   </w:t>
      </w:r>
      <w:r>
        <w:rPr>
          <w:rStyle w:val="1071"/>
          <w:rFonts w:hint="eastAsia"/>
          <w:color w:val="000000"/>
          <w:sz w:val="28"/>
          <w:szCs w:val="28"/>
          <w:highlight w:val="none"/>
        </w:rPr>
        <w:t xml:space="preserve">评审程序、评审方法和评审标准</w:t>
      </w:r>
      <w:r>
        <w:rPr>
          <w:color w:val="000000"/>
          <w:sz w:val="28"/>
          <w:szCs w:val="28"/>
          <w:highlight w:val="none"/>
        </w:rPr>
        <w:tab/>
      </w:r>
      <w:r>
        <w:rPr>
          <w:rStyle w:val="1071"/>
          <w:color w:val="000000"/>
          <w:sz w:val="28"/>
          <w:szCs w:val="28"/>
          <w:highlight w:val="none"/>
        </w:rPr>
        <w:fldChar w:fldCharType="end"/>
      </w:r>
      <w:r>
        <w:rPr>
          <w:rStyle w:val="1071"/>
          <w:rFonts w:hint="eastAsia"/>
          <w:color w:val="000000"/>
          <w:sz w:val="28"/>
          <w:szCs w:val="28"/>
          <w:highlight w:val="none"/>
          <w:lang w:val="en-US" w:eastAsia="zh-CN"/>
        </w:rPr>
        <w:t xml:space="preserve">17</w:t>
      </w:r>
      <w:r>
        <w:rPr>
          <w:rFonts w:ascii="Calibri" w:hAnsi="Calibri" w:eastAsia="宋体"/>
          <w:b w:val="0"/>
          <w:color w:val="000000"/>
          <w:sz w:val="28"/>
          <w:szCs w:val="28"/>
          <w:highlight w:val="none"/>
          <w:lang w:val="en-US" w:eastAsia="zh-CN"/>
        </w:rPr>
      </w:r>
      <w:r/>
    </w:p>
    <w:p>
      <w:pPr>
        <w:pStyle w:val="104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071"/>
          <w:color w:val="000000"/>
          <w:sz w:val="28"/>
          <w:szCs w:val="28"/>
          <w:highlight w:val="none"/>
        </w:rPr>
        <w:fldChar w:fldCharType="begin"/>
      </w:r>
      <w:r>
        <w:rPr>
          <w:rStyle w:val="1071"/>
          <w:color w:val="000000"/>
          <w:sz w:val="28"/>
          <w:szCs w:val="28"/>
          <w:highlight w:val="none"/>
        </w:rPr>
        <w:instrText xml:space="preserve"> </w:instrText>
      </w:r>
      <w:r>
        <w:rPr>
          <w:color w:val="000000"/>
          <w:sz w:val="28"/>
          <w:szCs w:val="28"/>
          <w:highlight w:val="none"/>
        </w:rPr>
        <w:instrText xml:space="preserve">HYPERLINK \l "_Toc104818928"</w:instrText>
      </w:r>
      <w:r>
        <w:rPr>
          <w:rStyle w:val="1071"/>
          <w:color w:val="000000"/>
          <w:sz w:val="28"/>
          <w:szCs w:val="28"/>
          <w:highlight w:val="none"/>
        </w:rPr>
        <w:instrText xml:space="preserve"> </w:instrText>
      </w:r>
      <w:r>
        <w:rPr>
          <w:rStyle w:val="1071"/>
          <w:color w:val="000000"/>
          <w:sz w:val="28"/>
          <w:szCs w:val="28"/>
          <w:highlight w:val="none"/>
        </w:rPr>
        <w:fldChar w:fldCharType="separate"/>
      </w:r>
      <w:r>
        <w:rPr>
          <w:rStyle w:val="1071"/>
          <w:rFonts w:hint="eastAsia"/>
          <w:color w:val="000000"/>
          <w:sz w:val="28"/>
          <w:szCs w:val="28"/>
          <w:highlight w:val="none"/>
        </w:rPr>
        <w:t xml:space="preserve">第四章</w:t>
      </w:r>
      <w:r>
        <w:rPr>
          <w:rStyle w:val="1071"/>
          <w:color w:val="000000"/>
          <w:sz w:val="28"/>
          <w:szCs w:val="28"/>
          <w:highlight w:val="none"/>
        </w:rPr>
        <w:t xml:space="preserve">   </w:t>
      </w:r>
      <w:r>
        <w:rPr>
          <w:rStyle w:val="1071"/>
          <w:rFonts w:hint="eastAsia"/>
          <w:color w:val="000000"/>
          <w:sz w:val="28"/>
          <w:szCs w:val="28"/>
          <w:highlight w:val="none"/>
        </w:rPr>
        <w:t xml:space="preserve">采购需求</w:t>
      </w:r>
      <w:r>
        <w:rPr>
          <w:color w:val="000000"/>
          <w:sz w:val="28"/>
          <w:szCs w:val="28"/>
          <w:highlight w:val="none"/>
        </w:rPr>
        <w:tab/>
      </w:r>
      <w:r>
        <w:rPr>
          <w:rStyle w:val="1071"/>
          <w:color w:val="000000"/>
          <w:sz w:val="28"/>
          <w:szCs w:val="28"/>
          <w:highlight w:val="none"/>
        </w:rPr>
        <w:fldChar w:fldCharType="end"/>
      </w:r>
      <w:r>
        <w:rPr>
          <w:rStyle w:val="1071"/>
          <w:rFonts w:hint="eastAsia"/>
          <w:color w:val="000000"/>
          <w:sz w:val="28"/>
          <w:szCs w:val="28"/>
          <w:highlight w:val="none"/>
          <w:lang w:val="en-US" w:eastAsia="zh-CN"/>
        </w:rPr>
        <w:t xml:space="preserve">27</w:t>
      </w:r>
      <w:r>
        <w:rPr>
          <w:rFonts w:ascii="Calibri" w:hAnsi="Calibri" w:eastAsia="宋体"/>
          <w:b w:val="0"/>
          <w:color w:val="000000"/>
          <w:sz w:val="28"/>
          <w:szCs w:val="28"/>
          <w:highlight w:val="none"/>
          <w:lang w:val="en-US" w:eastAsia="zh-CN"/>
        </w:rPr>
      </w:r>
      <w:r/>
    </w:p>
    <w:p>
      <w:pPr>
        <w:pStyle w:val="104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071"/>
          <w:color w:val="000000"/>
          <w:sz w:val="28"/>
          <w:szCs w:val="28"/>
          <w:highlight w:val="none"/>
        </w:rPr>
        <w:fldChar w:fldCharType="begin"/>
      </w:r>
      <w:r>
        <w:rPr>
          <w:rStyle w:val="1071"/>
          <w:color w:val="000000"/>
          <w:sz w:val="28"/>
          <w:szCs w:val="28"/>
          <w:highlight w:val="none"/>
        </w:rPr>
        <w:instrText xml:space="preserve"> </w:instrText>
      </w:r>
      <w:r>
        <w:rPr>
          <w:color w:val="000000"/>
          <w:sz w:val="28"/>
          <w:szCs w:val="28"/>
          <w:highlight w:val="none"/>
        </w:rPr>
        <w:instrText xml:space="preserve">HYPERLINK \l "_Toc104818929"</w:instrText>
      </w:r>
      <w:r>
        <w:rPr>
          <w:rStyle w:val="1071"/>
          <w:color w:val="000000"/>
          <w:sz w:val="28"/>
          <w:szCs w:val="28"/>
          <w:highlight w:val="none"/>
        </w:rPr>
        <w:instrText xml:space="preserve"> </w:instrText>
      </w:r>
      <w:r>
        <w:rPr>
          <w:rStyle w:val="1071"/>
          <w:color w:val="000000"/>
          <w:sz w:val="28"/>
          <w:szCs w:val="28"/>
          <w:highlight w:val="none"/>
        </w:rPr>
        <w:fldChar w:fldCharType="separate"/>
      </w:r>
      <w:r>
        <w:rPr>
          <w:rStyle w:val="1071"/>
          <w:rFonts w:hint="eastAsia"/>
          <w:color w:val="000000"/>
          <w:sz w:val="28"/>
          <w:szCs w:val="28"/>
          <w:highlight w:val="none"/>
        </w:rPr>
        <w:t xml:space="preserve">第五章</w:t>
      </w:r>
      <w:r>
        <w:rPr>
          <w:rStyle w:val="1071"/>
          <w:color w:val="000000"/>
          <w:sz w:val="28"/>
          <w:szCs w:val="28"/>
          <w:highlight w:val="none"/>
        </w:rPr>
        <w:t xml:space="preserve">   </w:t>
      </w:r>
      <w:r>
        <w:rPr>
          <w:rStyle w:val="1071"/>
          <w:rFonts w:hint="eastAsia"/>
          <w:color w:val="000000"/>
          <w:sz w:val="28"/>
          <w:szCs w:val="28"/>
          <w:highlight w:val="none"/>
        </w:rPr>
        <w:t xml:space="preserve">合同草案条款</w:t>
      </w:r>
      <w:r>
        <w:rPr>
          <w:color w:val="000000"/>
          <w:sz w:val="28"/>
          <w:szCs w:val="28"/>
          <w:highlight w:val="none"/>
        </w:rPr>
        <w:tab/>
      </w:r>
      <w:r>
        <w:rPr>
          <w:rStyle w:val="1071"/>
          <w:color w:val="000000"/>
          <w:sz w:val="28"/>
          <w:szCs w:val="28"/>
          <w:highlight w:val="none"/>
        </w:rPr>
        <w:fldChar w:fldCharType="end"/>
      </w:r>
      <w:r>
        <w:rPr>
          <w:rStyle w:val="1071"/>
          <w:rFonts w:hint="eastAsia"/>
          <w:color w:val="000000"/>
          <w:sz w:val="28"/>
          <w:szCs w:val="28"/>
          <w:highlight w:val="none"/>
          <w:lang w:val="en-US" w:eastAsia="zh-CN"/>
        </w:rPr>
        <w:t xml:space="preserve">39</w:t>
      </w:r>
      <w:r>
        <w:rPr>
          <w:rFonts w:ascii="Calibri" w:hAnsi="Calibri" w:eastAsia="宋体"/>
          <w:b w:val="0"/>
          <w:color w:val="000000"/>
          <w:sz w:val="28"/>
          <w:szCs w:val="28"/>
          <w:highlight w:val="none"/>
          <w:lang w:val="en-US" w:eastAsia="zh-CN"/>
        </w:rPr>
      </w:r>
      <w:r/>
    </w:p>
    <w:p>
      <w:pPr>
        <w:pStyle w:val="104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071"/>
          <w:color w:val="000000"/>
          <w:sz w:val="28"/>
          <w:szCs w:val="28"/>
          <w:highlight w:val="none"/>
        </w:rPr>
        <w:fldChar w:fldCharType="begin"/>
      </w:r>
      <w:r>
        <w:rPr>
          <w:rStyle w:val="1071"/>
          <w:color w:val="000000"/>
          <w:sz w:val="28"/>
          <w:szCs w:val="28"/>
          <w:highlight w:val="none"/>
        </w:rPr>
        <w:instrText xml:space="preserve"> </w:instrText>
      </w:r>
      <w:r>
        <w:rPr>
          <w:color w:val="000000"/>
          <w:sz w:val="28"/>
          <w:szCs w:val="28"/>
          <w:highlight w:val="none"/>
        </w:rPr>
        <w:instrText xml:space="preserve">HYPERLINK \l "_Toc104818930"</w:instrText>
      </w:r>
      <w:r>
        <w:rPr>
          <w:rStyle w:val="1071"/>
          <w:color w:val="000000"/>
          <w:sz w:val="28"/>
          <w:szCs w:val="28"/>
          <w:highlight w:val="none"/>
        </w:rPr>
        <w:instrText xml:space="preserve"> </w:instrText>
      </w:r>
      <w:r>
        <w:rPr>
          <w:rStyle w:val="1071"/>
          <w:color w:val="000000"/>
          <w:sz w:val="28"/>
          <w:szCs w:val="28"/>
          <w:highlight w:val="none"/>
        </w:rPr>
        <w:fldChar w:fldCharType="separate"/>
      </w:r>
      <w:r>
        <w:rPr>
          <w:rStyle w:val="1071"/>
          <w:rFonts w:hint="eastAsia"/>
          <w:color w:val="000000"/>
          <w:sz w:val="28"/>
          <w:szCs w:val="28"/>
          <w:highlight w:val="none"/>
        </w:rPr>
        <w:t xml:space="preserve">第六章</w:t>
      </w:r>
      <w:r>
        <w:rPr>
          <w:rStyle w:val="1071"/>
          <w:color w:val="000000"/>
          <w:sz w:val="28"/>
          <w:szCs w:val="28"/>
          <w:highlight w:val="none"/>
        </w:rPr>
        <w:t xml:space="preserve">   </w:t>
      </w:r>
      <w:r>
        <w:rPr>
          <w:rStyle w:val="1071"/>
          <w:rFonts w:hint="eastAsia"/>
          <w:color w:val="000000"/>
          <w:sz w:val="28"/>
          <w:szCs w:val="28"/>
          <w:highlight w:val="none"/>
        </w:rPr>
        <w:t xml:space="preserve">响应文件格式</w:t>
      </w:r>
      <w:r>
        <w:rPr>
          <w:color w:val="000000"/>
          <w:sz w:val="28"/>
          <w:szCs w:val="28"/>
          <w:highlight w:val="none"/>
        </w:rPr>
        <w:tab/>
      </w:r>
      <w:r>
        <w:rPr>
          <w:rStyle w:val="1071"/>
          <w:color w:val="000000"/>
          <w:sz w:val="28"/>
          <w:szCs w:val="28"/>
          <w:highlight w:val="none"/>
        </w:rPr>
        <w:fldChar w:fldCharType="end"/>
      </w:r>
      <w:r>
        <w:rPr>
          <w:rStyle w:val="1071"/>
          <w:rFonts w:hint="eastAsia"/>
          <w:color w:val="000000"/>
          <w:sz w:val="28"/>
          <w:szCs w:val="28"/>
          <w:highlight w:val="none"/>
          <w:lang w:val="en-US" w:eastAsia="zh-CN"/>
        </w:rPr>
        <w:t xml:space="preserve">52</w:t>
      </w:r>
      <w:r>
        <w:rPr>
          <w:rFonts w:ascii="Calibri" w:hAnsi="Calibri" w:eastAsia="宋体"/>
          <w:b w:val="0"/>
          <w:color w:val="000000"/>
          <w:sz w:val="28"/>
          <w:szCs w:val="28"/>
          <w:highlight w:val="none"/>
          <w:lang w:val="en-US" w:eastAsia="zh-CN"/>
        </w:rPr>
      </w:r>
      <w:r/>
    </w:p>
    <w:p>
      <w:pPr>
        <w:pStyle w:val="104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46"/>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994"/>
        <w:jc w:val="center"/>
        <w:spacing w:line="360" w:lineRule="auto"/>
        <w:rPr>
          <w:b/>
          <w:color w:val="000000"/>
          <w:sz w:val="36"/>
          <w:szCs w:val="36"/>
          <w:highlight w:val="none"/>
        </w:rPr>
        <w:outlineLvl w:val="0"/>
      </w:pPr>
      <w:r>
        <w:rPr>
          <w:b/>
          <w:color w:val="000000"/>
          <w:sz w:val="36"/>
          <w:szCs w:val="36"/>
          <w:highlight w:val="none"/>
        </w:rPr>
        <w:br w:type="page" w:clear="all"/>
      </w:r>
      <w:bookmarkStart w:id="1" w:name="_Toc104818925"/>
      <w:r>
        <w:rPr>
          <w:b/>
          <w:color w:val="000000"/>
          <w:sz w:val="32"/>
          <w:szCs w:val="32"/>
          <w:highlight w:val="none"/>
        </w:rPr>
        <w:t xml:space="preserve">第一章   采购邀请</w:t>
      </w:r>
      <w:bookmarkEnd w:id="1"/>
      <w:r/>
      <w:bookmarkStart w:id="2" w:name="_Toc28359079"/>
      <w:r/>
      <w:bookmarkStart w:id="3" w:name="_Toc35393790"/>
      <w:r/>
      <w:bookmarkStart w:id="4" w:name="_Toc35393621"/>
      <w:r/>
      <w:bookmarkStart w:id="5" w:name="_Toc28359002"/>
      <w:r/>
      <w:bookmarkStart w:id="6" w:name="_Hlk24379207"/>
      <w:r>
        <w:rPr>
          <w:b/>
          <w:color w:val="000000"/>
          <w:sz w:val="36"/>
          <w:szCs w:val="36"/>
          <w:highlight w:val="none"/>
        </w:rPr>
      </w:r>
      <w:r/>
    </w:p>
    <w:p>
      <w:pPr>
        <w:pStyle w:val="994"/>
        <w:ind w:firstLine="420"/>
        <w:spacing w:line="360" w:lineRule="auto"/>
        <w:rPr>
          <w:color w:val="000000"/>
          <w:sz w:val="21"/>
          <w:szCs w:val="21"/>
          <w:highlight w:val="none"/>
        </w:rPr>
      </w:pPr>
      <w:r>
        <w:rPr>
          <w:color w:val="000000"/>
          <w:sz w:val="21"/>
          <w:szCs w:val="21"/>
          <w:highlight w:val="none"/>
        </w:rPr>
      </w:r>
      <w:r/>
    </w:p>
    <w:p>
      <w:pPr>
        <w:pStyle w:val="996"/>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一、项目基本情况</w:t>
      </w:r>
      <w:bookmarkEnd w:id="2"/>
      <w:r/>
      <w:bookmarkEnd w:id="3"/>
      <w:r/>
      <w:bookmarkEnd w:id="4"/>
      <w:r/>
      <w:bookmarkEnd w:id="5"/>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u w:val="none"/>
          <w:lang w:eastAsia="zh-CN"/>
        </w:rPr>
        <w:t xml:space="preserve">JSZC-320402012-CZYJ-C2026-0007</w:t>
      </w:r>
      <w:r>
        <w:rPr>
          <w:rFonts w:hint="eastAsia" w:ascii="宋体" w:hAnsi="宋体" w:eastAsia="宋体" w:cs="宋体"/>
          <w:color w:val="000000"/>
          <w:sz w:val="21"/>
          <w:szCs w:val="21"/>
          <w:highlight w:val="none"/>
          <w:lang w:eastAsia="zh-CN"/>
        </w:rPr>
      </w:r>
      <w:r/>
    </w:p>
    <w:p>
      <w:pPr>
        <w:pStyle w:val="994"/>
        <w:ind w:firstLine="420"/>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none"/>
          <w:lang w:eastAsia="zh-CN"/>
        </w:rPr>
        <w:t xml:space="preserve">2026年郑陆镇郑陆片、三河口片绿化管护项目</w:t>
      </w:r>
      <w:r>
        <w:rPr>
          <w:rFonts w:hint="eastAsia" w:ascii="宋体" w:hAnsi="宋体" w:eastAsia="宋体" w:cs="宋体"/>
          <w:color w:val="000000"/>
          <w:sz w:val="21"/>
          <w:szCs w:val="21"/>
          <w:highlight w:val="none"/>
          <w:u w:val="none"/>
          <w:lang w:eastAsia="zh-CN"/>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994"/>
        <w:ind w:firstLine="420"/>
        <w:spacing w:line="360" w:lineRule="auto"/>
        <w:rPr>
          <w:rFonts w:ascii="宋体" w:hAnsi="宋体" w:eastAsia="宋体" w:cs="宋体"/>
          <w:color w:val="000000"/>
          <w:sz w:val="21"/>
          <w:szCs w:val="21"/>
          <w:highlight w:val="none"/>
          <w:lang w:val="en-US" w:eastAsia="zh-CN"/>
        </w:rPr>
      </w:pPr>
      <w:r/>
      <w:bookmarkEnd w:id="6"/>
      <w:r>
        <w:rPr>
          <w:rFonts w:hint="eastAsia" w:ascii="宋体" w:hAnsi="宋体" w:eastAsia="宋体" w:cs="宋体"/>
          <w:color w:val="000000"/>
          <w:sz w:val="21"/>
          <w:szCs w:val="21"/>
          <w:highlight w:val="none"/>
        </w:rPr>
        <w:t xml:space="preserve">4.项目预算金额</w:t>
      </w: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single"/>
          <w:lang w:eastAsia="zh-CN"/>
        </w:rPr>
        <w:t xml:space="preserve">111万元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eastAsia="zh-CN"/>
        </w:rPr>
        <w:t xml:space="preserve">01包：65万元；02包：46万元</w:t>
      </w:r>
      <w:r>
        <w:rPr>
          <w:rFonts w:hint="eastAsia" w:ascii="宋体" w:hAnsi="宋体" w:eastAsia="宋体" w:cs="宋体"/>
          <w:b/>
          <w:bCs/>
          <w:color w:val="000000"/>
          <w:sz w:val="21"/>
          <w:szCs w:val="21"/>
          <w:highlight w:val="none"/>
          <w:u w:val="none"/>
          <w:lang w:val="en-US" w:eastAsia="zh-CN"/>
        </w:rPr>
        <w:t xml:space="preserve">。</w:t>
      </w:r>
      <w:r>
        <w:rPr>
          <w:rFonts w:ascii="宋体" w:hAnsi="宋体" w:eastAsia="宋体" w:cs="宋体"/>
          <w:color w:val="000000"/>
          <w:sz w:val="21"/>
          <w:szCs w:val="21"/>
          <w:highlight w:val="none"/>
          <w:lang w:val="en-US" w:eastAsia="zh-CN"/>
        </w:rPr>
      </w:r>
      <w:r/>
    </w:p>
    <w:p>
      <w:pPr>
        <w:pStyle w:val="99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5.采购需求：本项目为</w:t>
      </w:r>
      <w:r>
        <w:rPr>
          <w:rFonts w:hint="eastAsia" w:ascii="宋体" w:hAnsi="宋体" w:eastAsia="宋体" w:cs="宋体"/>
          <w:color w:val="000000"/>
          <w:sz w:val="21"/>
          <w:szCs w:val="21"/>
          <w:highlight w:val="none"/>
          <w:lang w:eastAsia="zh-CN"/>
        </w:rPr>
        <w:t xml:space="preserve">2026年郑陆镇郑陆片、三河口片绿化管护项目</w:t>
      </w:r>
      <w:r>
        <w:rPr>
          <w:rFonts w:hint="eastAsia" w:ascii="宋体" w:hAnsi="宋体" w:eastAsia="宋体" w:cs="宋体"/>
          <w:color w:val="000000"/>
          <w:sz w:val="21"/>
          <w:szCs w:val="21"/>
          <w:highlight w:val="none"/>
        </w:rPr>
        <w:t xml:space="preserve">，详见采购需求。</w:t>
      </w:r>
      <w:r>
        <w:rPr>
          <w:rFonts w:hint="eastAsia" w:ascii="宋体" w:hAnsi="宋体" w:eastAsia="宋体" w:cs="宋体"/>
          <w:color w:val="000000"/>
          <w:sz w:val="21"/>
          <w:szCs w:val="21"/>
          <w:highlight w:val="none"/>
          <w:lang w:eastAsia="zh-CN"/>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994"/>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eastAsia="zh-CN"/>
              </w:rPr>
            </w:r>
            <w:r/>
          </w:p>
        </w:tc>
        <w:tc>
          <w:tcPr>
            <w:tcW w:w="843" w:type="dxa"/>
            <w:vAlign w:val="center"/>
            <w:textDirection w:val="lrTb"/>
            <w:noWrap w:val="false"/>
          </w:tcPr>
          <w:p>
            <w:pPr>
              <w:pStyle w:val="99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21" w:type="dxa"/>
            <w:vAlign w:val="center"/>
            <w:textDirection w:val="lrTb"/>
            <w:noWrap w:val="false"/>
          </w:tcPr>
          <w:p>
            <w:pPr>
              <w:pStyle w:val="99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99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rPr>
                <w:rFonts w:hint="eastAsia" w:ascii="宋体" w:hAnsi="宋体" w:eastAsia="宋体" w:cs="宋体"/>
                <w:bCs/>
                <w:color w:val="000000"/>
                <w:sz w:val="21"/>
                <w:szCs w:val="21"/>
                <w:highlight w:val="none"/>
              </w:rPr>
            </w:r>
            <w:r/>
          </w:p>
        </w:tc>
        <w:tc>
          <w:tcPr>
            <w:tcW w:w="540" w:type="dxa"/>
            <w:vAlign w:val="center"/>
            <w:textDirection w:val="lrTb"/>
            <w:noWrap w:val="false"/>
          </w:tcPr>
          <w:p>
            <w:pPr>
              <w:pStyle w:val="99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1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简要技术需求或服务要求</w:t>
            </w:r>
            <w:r>
              <w:rPr>
                <w:rFonts w:hint="eastAsia" w:ascii="宋体" w:hAnsi="宋体" w:eastAsia="宋体" w:cs="宋体"/>
                <w:color w:val="000000"/>
                <w:sz w:val="21"/>
                <w:szCs w:val="21"/>
                <w:highlight w:val="none"/>
              </w:rPr>
            </w:r>
            <w:r/>
          </w:p>
        </w:tc>
      </w:tr>
      <w:tr>
        <w:trPr>
          <w:trHeight w:val="971"/>
        </w:trPr>
        <w:tc>
          <w:tcPr>
            <w:tcW w:w="380" w:type="dxa"/>
            <w:vAlign w:val="center"/>
            <w:textDirection w:val="lrTb"/>
            <w:noWrap w:val="false"/>
          </w:tcPr>
          <w:p>
            <w:pPr>
              <w:pStyle w:val="994"/>
              <w:jc w:val="center"/>
              <w:rPr>
                <w:rFonts w:hint="eastAsia" w:ascii="宋体" w:hAnsi="宋体" w:eastAsia="宋体" w:cs="宋体"/>
                <w:bCs/>
                <w:color w:val="000000"/>
                <w:sz w:val="21"/>
                <w:szCs w:val="21"/>
                <w:highlight w:val="none"/>
              </w:rPr>
            </w:pPr>
            <w:r>
              <w:rPr>
                <w:rFonts w:hint="eastAsia" w:ascii="宋体" w:hAnsi="宋体" w:cs="宋体"/>
                <w:bCs/>
                <w:color w:val="000000"/>
                <w:szCs w:val="21"/>
                <w:highlight w:val="none"/>
              </w:rPr>
              <w:t xml:space="preserve">01</w:t>
            </w:r>
            <w:r>
              <w:rPr>
                <w:rFonts w:hint="eastAsia" w:ascii="宋体" w:hAnsi="宋体" w:eastAsia="宋体" w:cs="宋体"/>
                <w:bCs/>
                <w:color w:val="000000"/>
                <w:sz w:val="21"/>
                <w:szCs w:val="21"/>
                <w:highlight w:val="none"/>
              </w:rPr>
            </w:r>
            <w:r/>
          </w:p>
        </w:tc>
        <w:tc>
          <w:tcPr>
            <w:tcW w:w="843" w:type="dxa"/>
            <w:vAlign w:val="center"/>
            <w:textDirection w:val="lrTb"/>
            <w:noWrap w:val="false"/>
          </w:tcPr>
          <w:p>
            <w:pPr>
              <w:pStyle w:val="994"/>
              <w:jc w:val="center"/>
              <w:rPr>
                <w:rFonts w:hint="eastAsia" w:ascii="宋体" w:hAnsi="宋体" w:eastAsia="宋体" w:cs="宋体"/>
                <w:bCs/>
                <w:color w:val="000000"/>
                <w:sz w:val="21"/>
                <w:szCs w:val="21"/>
                <w:highlight w:val="none"/>
                <w:lang w:eastAsia="zh-CN"/>
              </w:rPr>
            </w:pPr>
            <w:r>
              <w:rPr>
                <w:rFonts w:hint="eastAsia" w:ascii="宋体" w:hAnsi="宋体" w:cs="宋体"/>
                <w:bCs/>
                <w:color w:val="000000"/>
                <w:szCs w:val="21"/>
                <w:highlight w:val="none"/>
              </w:rPr>
              <w:t xml:space="preserve">郑陆片绿化管护项目</w:t>
            </w:r>
            <w:r>
              <w:rPr>
                <w:rFonts w:hint="eastAsia" w:ascii="宋体" w:hAnsi="宋体" w:eastAsia="宋体" w:cs="宋体"/>
                <w:bCs/>
                <w:color w:val="000000"/>
                <w:sz w:val="21"/>
                <w:szCs w:val="21"/>
                <w:highlight w:val="none"/>
                <w:lang w:eastAsia="zh-CN"/>
              </w:rPr>
            </w:r>
            <w:r/>
          </w:p>
        </w:tc>
        <w:tc>
          <w:tcPr>
            <w:tcW w:w="921" w:type="dxa"/>
            <w:vAlign w:val="center"/>
            <w:textDirection w:val="lrTb"/>
            <w:noWrap w:val="false"/>
          </w:tcPr>
          <w:p>
            <w:pPr>
              <w:pStyle w:val="994"/>
              <w:jc w:val="center"/>
              <w:rPr>
                <w:rFonts w:ascii="宋体" w:hAnsi="宋体" w:eastAsia="宋体" w:cs="宋体"/>
                <w:bCs/>
                <w:color w:val="000000"/>
                <w:sz w:val="21"/>
                <w:szCs w:val="21"/>
                <w:highlight w:val="none"/>
                <w:lang w:val="en-US" w:eastAsia="zh-CN"/>
              </w:rPr>
            </w:pPr>
            <w:r>
              <w:rPr>
                <w:rFonts w:hint="eastAsia" w:ascii="宋体" w:hAnsi="宋体" w:cs="宋体"/>
                <w:b/>
                <w:bCs w:val="0"/>
                <w:color w:val="000000"/>
                <w:szCs w:val="21"/>
                <w:highlight w:val="none"/>
              </w:rPr>
              <w:t xml:space="preserve">65</w:t>
            </w:r>
            <w:r>
              <w:rPr>
                <w:rFonts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994"/>
              <w:jc w:val="center"/>
              <w:rPr>
                <w:rFonts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rPr>
              <w:t xml:space="preserve">1项</w:t>
            </w:r>
            <w:r>
              <w:rPr>
                <w:rFonts w:ascii="宋体" w:hAnsi="宋体" w:eastAsia="宋体" w:cs="宋体"/>
                <w:bCs/>
                <w:color w:val="000000"/>
                <w:sz w:val="21"/>
                <w:szCs w:val="21"/>
                <w:highlight w:val="none"/>
                <w:lang w:val="en-US" w:eastAsia="zh-CN"/>
              </w:rPr>
            </w:r>
            <w:r/>
          </w:p>
        </w:tc>
        <w:tc>
          <w:tcPr>
            <w:tcW w:w="2314" w:type="dxa"/>
            <w:vAlign w:val="center"/>
            <w:vMerge w:val="restart"/>
            <w:textDirection w:val="lrTb"/>
            <w:noWrap w:val="false"/>
          </w:tcPr>
          <w:p>
            <w:pPr>
              <w:pStyle w:val="994"/>
              <w:jc w:val="left"/>
              <w:rPr>
                <w:rFonts w:hint="eastAsia" w:ascii="宋体" w:hAnsi="宋体" w:eastAsia="宋体" w:cs="宋体"/>
                <w:color w:val="000000"/>
                <w:sz w:val="21"/>
                <w:szCs w:val="21"/>
                <w:highlight w:val="none"/>
                <w:lang w:eastAsia="zh-CN"/>
              </w:rPr>
            </w:pPr>
            <w:r>
              <w:rPr>
                <w:rFonts w:hint="eastAsia" w:ascii="宋体" w:hAnsi="宋体" w:cs="宋体"/>
                <w:color w:val="000000"/>
                <w:szCs w:val="21"/>
                <w:highlight w:val="none"/>
              </w:rPr>
              <w:t xml:space="preserve">包括但不限于采购文件要求的管护范围：涉及路段的所有乔木、灌木、色块、草坪等的绿化管护、</w:t>
            </w:r>
            <w:r>
              <w:rPr>
                <w:rFonts w:hint="eastAsia" w:ascii="宋体" w:hAnsi="宋体" w:cs="宋体"/>
                <w:color w:val="000000"/>
                <w:szCs w:val="21"/>
                <w:highlight w:val="none"/>
                <w:lang w:val="en-US" w:eastAsia="zh-CN"/>
              </w:rPr>
              <w:t xml:space="preserve">香樟托高、</w:t>
            </w:r>
            <w:r>
              <w:rPr>
                <w:rFonts w:hint="eastAsia" w:ascii="宋体" w:hAnsi="宋体" w:cs="宋体"/>
                <w:color w:val="000000"/>
                <w:szCs w:val="21"/>
                <w:highlight w:val="none"/>
              </w:rPr>
              <w:t xml:space="preserve">绿化残留物及废弃物的卫生保洁、杂草的清理（包含路两侧无绿化杂草清理）、绿地巡查保护、采购人指定的迁移、补种等零星服务。</w:t>
            </w:r>
            <w:r>
              <w:rPr>
                <w:rFonts w:hint="eastAsia" w:ascii="宋体" w:hAnsi="宋体" w:eastAsia="宋体" w:cs="宋体"/>
                <w:color w:val="000000"/>
                <w:sz w:val="21"/>
                <w:szCs w:val="21"/>
                <w:highlight w:val="none"/>
                <w:lang w:eastAsia="zh-CN"/>
              </w:rPr>
            </w:r>
            <w:r/>
          </w:p>
        </w:tc>
      </w:tr>
      <w:tr>
        <w:trPr>
          <w:trHeight w:val="1063"/>
        </w:trPr>
        <w:tc>
          <w:tcPr>
            <w:tcW w:w="380" w:type="dxa"/>
            <w:vAlign w:val="center"/>
            <w:textDirection w:val="lrTb"/>
            <w:noWrap w:val="false"/>
          </w:tcPr>
          <w:p>
            <w:pPr>
              <w:pStyle w:val="994"/>
              <w:jc w:val="center"/>
              <w:rPr>
                <w:rFonts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rPr>
              <w:t xml:space="preserve">02</w:t>
            </w:r>
            <w:r>
              <w:rPr>
                <w:rFonts w:ascii="宋体" w:hAnsi="宋体" w:eastAsia="宋体" w:cs="宋体"/>
                <w:bCs/>
                <w:color w:val="000000"/>
                <w:sz w:val="21"/>
                <w:szCs w:val="21"/>
                <w:highlight w:val="none"/>
                <w:lang w:val="en-US" w:eastAsia="zh-CN"/>
              </w:rPr>
            </w:r>
            <w:r/>
          </w:p>
        </w:tc>
        <w:tc>
          <w:tcPr>
            <w:tcW w:w="843" w:type="dxa"/>
            <w:vAlign w:val="center"/>
            <w:textDirection w:val="lrTb"/>
            <w:noWrap w:val="false"/>
          </w:tcPr>
          <w:p>
            <w:pPr>
              <w:pStyle w:val="994"/>
              <w:jc w:val="center"/>
              <w:rPr>
                <w:rFonts w:hint="eastAsia" w:ascii="宋体" w:hAnsi="宋体" w:eastAsia="宋体" w:cs="宋体"/>
                <w:bCs/>
                <w:color w:val="000000"/>
                <w:sz w:val="21"/>
                <w:szCs w:val="21"/>
                <w:highlight w:val="none"/>
                <w:lang w:eastAsia="zh-CN"/>
              </w:rPr>
            </w:pPr>
            <w:r>
              <w:rPr>
                <w:rFonts w:hint="eastAsia" w:ascii="宋体" w:hAnsi="宋体" w:cs="宋体"/>
                <w:bCs/>
                <w:color w:val="000000"/>
                <w:szCs w:val="21"/>
                <w:highlight w:val="none"/>
              </w:rPr>
              <w:t xml:space="preserve">三河口片绿化管护项目</w:t>
            </w:r>
            <w:r>
              <w:rPr>
                <w:rFonts w:hint="eastAsia" w:ascii="宋体" w:hAnsi="宋体" w:eastAsia="宋体" w:cs="宋体"/>
                <w:bCs/>
                <w:color w:val="000000"/>
                <w:sz w:val="21"/>
                <w:szCs w:val="21"/>
                <w:highlight w:val="none"/>
                <w:lang w:eastAsia="zh-CN"/>
              </w:rPr>
            </w:r>
            <w:r/>
          </w:p>
        </w:tc>
        <w:tc>
          <w:tcPr>
            <w:tcW w:w="921" w:type="dxa"/>
            <w:vAlign w:val="center"/>
            <w:textDirection w:val="lrTb"/>
            <w:noWrap w:val="false"/>
          </w:tcPr>
          <w:p>
            <w:pPr>
              <w:pStyle w:val="994"/>
              <w:jc w:val="center"/>
              <w:rPr>
                <w:rFonts w:ascii="宋体" w:hAnsi="宋体" w:eastAsia="宋体" w:cs="宋体"/>
                <w:bCs/>
                <w:color w:val="000000"/>
                <w:sz w:val="21"/>
                <w:szCs w:val="21"/>
                <w:highlight w:val="none"/>
                <w:lang w:val="en-US" w:eastAsia="zh-CN"/>
              </w:rPr>
            </w:pPr>
            <w:r>
              <w:rPr>
                <w:rFonts w:hint="eastAsia" w:ascii="宋体" w:hAnsi="宋体" w:cs="宋体"/>
                <w:b/>
                <w:bCs w:val="0"/>
                <w:color w:val="000000"/>
                <w:szCs w:val="21"/>
                <w:highlight w:val="none"/>
              </w:rPr>
              <w:t xml:space="preserve">46</w:t>
            </w:r>
            <w:r>
              <w:rPr>
                <w:rFonts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994"/>
              <w:jc w:val="center"/>
              <w:rPr>
                <w:rFonts w:hint="eastAsia"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rPr>
              <w:t xml:space="preserve">1项</w:t>
            </w:r>
            <w:r>
              <w:rPr>
                <w:rFonts w:hint="eastAsia" w:ascii="宋体" w:hAnsi="宋体" w:eastAsia="宋体" w:cs="宋体"/>
                <w:bCs/>
                <w:color w:val="000000"/>
                <w:sz w:val="21"/>
                <w:szCs w:val="21"/>
                <w:highlight w:val="none"/>
                <w:lang w:val="en-US" w:eastAsia="zh-CN"/>
              </w:rPr>
            </w:r>
            <w:r/>
          </w:p>
        </w:tc>
        <w:tc>
          <w:tcPr>
            <w:tcW w:w="2314" w:type="dxa"/>
            <w:vAlign w:val="center"/>
            <w:vMerge w:val="continue"/>
            <w:textDirection w:val="lrTb"/>
            <w:noWrap w:val="false"/>
          </w:tcPr>
          <w:p>
            <w:pPr>
              <w:pStyle w:val="994"/>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pStyle w:val="994"/>
        <w:numPr>
          <w:ilvl w:val="0"/>
          <w:numId w:val="0"/>
        </w:numPr>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本项目共分2个采购包，投标供应商可对本次采购的单个采购包或全部采购包进行投标，只能中一个采购包。投某一采购包时，必须响应该采购包的全部内容，并在投标响应文件中注明采购包号。评审顺序依次从01包至02包，在前一采购包作为中标（成交）第一候选人的投标供应商在后续采购包无中标（成交）资格。</w:t>
      </w:r>
      <w:r>
        <w:rPr>
          <w:rFonts w:hint="eastAsia" w:ascii="宋体" w:hAnsi="宋体" w:eastAsia="宋体" w:cs="宋体"/>
          <w:b/>
          <w:bCs/>
          <w:color w:val="000000"/>
          <w:sz w:val="21"/>
          <w:szCs w:val="21"/>
          <w:highlight w:val="none"/>
          <w:lang w:eastAsia="zh-CN"/>
        </w:rPr>
      </w:r>
      <w:r/>
    </w:p>
    <w:p>
      <w:pPr>
        <w:pStyle w:val="994"/>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b/>
          <w:bCs/>
          <w:color w:val="000000"/>
          <w:sz w:val="21"/>
          <w:szCs w:val="21"/>
          <w:highlight w:val="none"/>
          <w:u w:val="single"/>
          <w:lang w:eastAsia="zh-CN"/>
        </w:rPr>
        <w:t xml:space="preserve">2026年6月1日-2027年5月31日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7.本项目是否接受联合体：</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bookmarkStart w:id="7" w:name="_Toc28359003"/>
      <w:r/>
      <w:bookmarkStart w:id="8" w:name="_Toc35393791"/>
      <w:r/>
      <w:bookmarkStart w:id="9" w:name="_Toc35393622"/>
      <w:r/>
      <w:bookmarkStart w:id="10" w:name="_Toc28359080"/>
      <w:r>
        <w:rPr>
          <w:rFonts w:hint="eastAsia" w:ascii="宋体" w:hAnsi="宋体" w:eastAsia="宋体" w:cs="宋体"/>
          <w:color w:val="000000"/>
          <w:sz w:val="21"/>
          <w:szCs w:val="21"/>
          <w:highlight w:val="none"/>
        </w:rPr>
        <w:t xml:space="preserve">8.本项目是否接受进口产品响应：□是  ■否。</w:t>
      </w:r>
      <w:r>
        <w:rPr>
          <w:rFonts w:hint="eastAsia" w:ascii="宋体" w:hAnsi="宋体" w:eastAsia="宋体" w:cs="宋体"/>
          <w:color w:val="000000"/>
          <w:sz w:val="21"/>
          <w:szCs w:val="21"/>
          <w:highlight w:val="none"/>
        </w:rPr>
      </w:r>
      <w:r/>
    </w:p>
    <w:p>
      <w:pPr>
        <w:pStyle w:val="996"/>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7"/>
      <w:r/>
      <w:bookmarkEnd w:id="8"/>
      <w:r/>
      <w:bookmarkEnd w:id="9"/>
      <w:r/>
      <w:bookmarkEnd w:id="10"/>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bookmarkStart w:id="11" w:name="_Toc28359081"/>
      <w:r/>
      <w:bookmarkStart w:id="12" w:name="_Toc28359004"/>
      <w:r>
        <w:rPr>
          <w:rFonts w:hint="eastAsia" w:ascii="宋体" w:hAnsi="宋体" w:eastAsia="宋体" w:cs="宋体"/>
          <w:color w:val="000000"/>
          <w:sz w:val="21"/>
          <w:szCs w:val="21"/>
          <w:highlight w:val="none"/>
        </w:rPr>
        <w:t xml:space="preserve">1.满足《中华人民共和国政府采购法》第二十二条规定以及下列情形：</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中小企业政策</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本项目不专门面向中小企业预留采购份额。</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本项目专门面向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中小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其它落实政府采购政策的资格要求：</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i/>
          <w:iCs/>
          <w:color w:val="000000"/>
          <w:sz w:val="21"/>
          <w:szCs w:val="21"/>
          <w:highlight w:val="none"/>
          <w:u w:val="single"/>
        </w:rPr>
      </w:r>
      <w:r/>
    </w:p>
    <w:p>
      <w:pPr>
        <w:pStyle w:val="99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3.1本项目是否接受分支机构参与响应：□是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994"/>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本项目是否属于政府购买服务：</w:t>
      </w:r>
      <w:r>
        <w:rPr>
          <w:rFonts w:hint="eastAsia" w:ascii="宋体" w:hAnsi="宋体" w:eastAsia="宋体" w:cs="宋体"/>
          <w:color w:val="000000"/>
          <w:sz w:val="21"/>
          <w:szCs w:val="21"/>
          <w:highlight w:val="none"/>
        </w:rPr>
      </w:r>
      <w:r/>
    </w:p>
    <w:p>
      <w:pPr>
        <w:pStyle w:val="994"/>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994"/>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是，公益一类事业单位、使用事业编制且由财政拨款保障的群团组织，不得作为承接</w:t>
      </w:r>
      <w:r>
        <w:rPr>
          <w:rFonts w:hint="eastAsia" w:ascii="宋体" w:hAnsi="宋体" w:eastAsia="宋体" w:cs="宋体"/>
          <w:color w:val="000000"/>
          <w:sz w:val="21"/>
          <w:szCs w:val="21"/>
          <w:highlight w:val="none"/>
        </w:rPr>
      </w:r>
      <w:r/>
    </w:p>
    <w:p>
      <w:pPr>
        <w:pStyle w:val="994"/>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w:t>
      </w:r>
      <w:r>
        <w:rPr>
          <w:rFonts w:hint="eastAsia" w:ascii="宋体" w:hAnsi="宋体" w:eastAsia="宋体" w:cs="宋体"/>
          <w:color w:val="000000"/>
          <w:sz w:val="21"/>
          <w:szCs w:val="21"/>
          <w:highlight w:val="none"/>
        </w:rPr>
      </w:r>
      <w:r/>
    </w:p>
    <w:p>
      <w:pPr>
        <w:pStyle w:val="994"/>
        <w:ind w:firstLine="420"/>
        <w:spacing w:line="360" w:lineRule="auto"/>
        <w:tabs>
          <w:tab w:val="left" w:pos="900" w:leader="none"/>
          <w:tab w:val="left" w:pos="1134" w:leader="none"/>
          <w:tab w:val="left" w:pos="1589" w:leader="none"/>
          <w:tab w:val="left" w:pos="552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3.3其他特定资格要求：无</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996"/>
        <w:jc w:val="left"/>
        <w:spacing w:before="0" w:line="360" w:lineRule="auto"/>
        <w:widowControl/>
        <w:rPr>
          <w:rFonts w:hint="eastAsia" w:ascii="宋体" w:hAnsi="宋体" w:eastAsia="宋体" w:cs="宋体"/>
          <w:color w:val="000000"/>
          <w:sz w:val="21"/>
          <w:szCs w:val="21"/>
          <w:highlight w:val="none"/>
        </w:rPr>
      </w:pPr>
      <w:r/>
      <w:bookmarkEnd w:id="11"/>
      <w:r/>
      <w:bookmarkEnd w:id="12"/>
      <w:r/>
      <w:bookmarkStart w:id="13" w:name="_Toc35393792"/>
      <w:r/>
      <w:bookmarkStart w:id="14" w:name="_Toc35393623"/>
      <w:r>
        <w:rPr>
          <w:rFonts w:hint="eastAsia" w:ascii="宋体" w:hAnsi="宋体" w:eastAsia="宋体" w:cs="宋体"/>
          <w:color w:val="000000"/>
          <w:sz w:val="21"/>
          <w:szCs w:val="21"/>
          <w:highlight w:val="none"/>
        </w:rPr>
        <w:t xml:space="preserve">三、获取采购文件</w:t>
      </w:r>
      <w:bookmarkEnd w:id="13"/>
      <w:r/>
      <w:bookmarkEnd w:id="14"/>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bidi="ar"/>
        </w:rPr>
        <w:t xml:space="preserve">06</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color w:val="000000"/>
          <w:sz w:val="21"/>
          <w:szCs w:val="21"/>
          <w:highlight w:val="none"/>
          <w:lang w:bidi="ar"/>
        </w:rPr>
        <w:t xml:space="preserve">至</w:t>
      </w:r>
      <w:r>
        <w:rPr>
          <w:rFonts w:hint="eastAsia" w:ascii="宋体" w:hAnsi="宋体" w:eastAsia="宋体" w:cs="宋体"/>
          <w:b/>
          <w:bCs/>
          <w:color w:val="000000"/>
          <w:sz w:val="21"/>
          <w:szCs w:val="21"/>
          <w:highlight w:val="none"/>
          <w:u w:val="single"/>
          <w:lang w:val="en-US" w:eastAsia="zh-CN"/>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color w:val="000000"/>
          <w:sz w:val="21"/>
          <w:szCs w:val="21"/>
          <w:highlight w:val="none"/>
          <w:lang w:bidi="ar"/>
        </w:rPr>
        <w:t xml:space="preserve">，每天上午</w:t>
      </w:r>
      <w:r>
        <w:rPr>
          <w:rFonts w:hint="eastAsia" w:ascii="宋体" w:hAnsi="宋体" w:eastAsia="宋体" w:cs="宋体"/>
          <w:color w:val="000000"/>
          <w:sz w:val="21"/>
          <w:szCs w:val="21"/>
          <w:highlight w:val="none"/>
          <w:u w:val="single"/>
          <w:lang w:val="en-US" w:eastAsia="zh-CN"/>
        </w:rPr>
        <w:t xml:space="preserve">9:00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:00</w:t>
      </w:r>
      <w:r>
        <w:rPr>
          <w:rFonts w:hint="eastAsia" w:ascii="宋体" w:hAnsi="宋体" w:eastAsia="宋体" w:cs="宋体"/>
          <w:color w:val="000000"/>
          <w:sz w:val="21"/>
          <w:szCs w:val="21"/>
          <w:highlight w:val="none"/>
          <w:lang w:bidi="ar"/>
        </w:rPr>
        <w:t xml:space="preserve">，下午</w:t>
      </w:r>
      <w:r>
        <w:rPr>
          <w:rFonts w:hint="eastAsia" w:ascii="宋体" w:hAnsi="宋体" w:cs="宋体"/>
          <w:color w:val="000000"/>
          <w:szCs w:val="21"/>
          <w:highlight w:val="none"/>
          <w:u w:val="single"/>
        </w:rPr>
        <w:t xml:space="preserve">13:</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（北京时间，法定节假日除外）。</w:t>
      </w:r>
      <w:r>
        <w:rPr>
          <w:rFonts w:hint="eastAsia" w:ascii="宋体" w:hAnsi="宋体" w:eastAsia="宋体" w:cs="宋体"/>
          <w:color w:val="000000"/>
          <w:sz w:val="21"/>
          <w:szCs w:val="21"/>
          <w:highlight w:val="none"/>
          <w:lang w:bidi="ar"/>
        </w:rPr>
      </w:r>
      <w:r/>
    </w:p>
    <w:p>
      <w:pPr>
        <w:pStyle w:val="994"/>
        <w:ind w:firstLine="420"/>
        <w:jc w:val="left"/>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2.地点：</w:t>
      </w:r>
      <w:r>
        <w:rPr>
          <w:rFonts w:hint="eastAsia" w:ascii="宋体" w:hAnsi="宋体" w:eastAsia="宋体" w:cs="宋体"/>
          <w:color w:val="000000"/>
          <w:sz w:val="21"/>
          <w:szCs w:val="21"/>
          <w:highlight w:val="none"/>
          <w:lang w:eastAsia="zh-CN" w:bidi="ar"/>
        </w:rPr>
        <w:t xml:space="preserve">“苏采云”政府采购一体化平台</w:t>
      </w:r>
      <w:r>
        <w:rPr>
          <w:rFonts w:hint="eastAsia" w:ascii="宋体" w:hAnsi="宋体" w:eastAsia="宋体" w:cs="宋体"/>
          <w:color w:val="000000"/>
          <w:sz w:val="21"/>
          <w:szCs w:val="21"/>
          <w:highlight w:val="none"/>
          <w:lang w:eastAsia="zh-CN" w:bidi="ar"/>
        </w:rPr>
      </w:r>
      <w:r/>
    </w:p>
    <w:p>
      <w:pPr>
        <w:pStyle w:val="994"/>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方式：供应商持CA数字认证证书登录“苏采云”政府采购一体化平台（</w:t>
      </w:r>
      <w:r>
        <w:rPr>
          <w:rFonts w:hint="eastAsia" w:ascii="宋体" w:hAnsi="宋体" w:eastAsia="宋体" w:cs="宋体"/>
          <w:color w:val="000000"/>
          <w:sz w:val="21"/>
          <w:szCs w:val="21"/>
          <w:highlight w:val="none"/>
          <w:lang w:eastAsia="zh-CN" w:bidi="ar"/>
        </w:rPr>
        <w:t xml:space="preserve">http://jszfcg.jsczt.cn/）</w:t>
      </w:r>
      <w:r>
        <w:rPr>
          <w:rFonts w:hint="eastAsia" w:ascii="宋体" w:hAnsi="宋体" w:eastAsia="宋体" w:cs="宋体"/>
          <w:color w:val="000000"/>
          <w:sz w:val="21"/>
          <w:szCs w:val="21"/>
          <w:highlight w:val="none"/>
          <w:lang w:bidi="ar"/>
        </w:rPr>
        <w:t xml:space="preserve">获取电子版磋商文件。</w:t>
      </w:r>
      <w:r>
        <w:rPr>
          <w:rFonts w:hint="eastAsia" w:ascii="宋体" w:hAnsi="宋体" w:eastAsia="宋体" w:cs="宋体"/>
          <w:color w:val="000000"/>
          <w:sz w:val="21"/>
          <w:szCs w:val="21"/>
          <w:highlight w:val="none"/>
          <w:lang w:eastAsia="zh-CN" w:bidi="ar"/>
        </w:rPr>
      </w:r>
      <w:r/>
    </w:p>
    <w:p>
      <w:pPr>
        <w:pStyle w:val="994"/>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4.售价：0元。</w:t>
      </w:r>
      <w:r>
        <w:rPr>
          <w:rFonts w:hint="eastAsia" w:ascii="宋体" w:hAnsi="宋体" w:eastAsia="宋体" w:cs="宋体"/>
          <w:color w:val="000000"/>
          <w:sz w:val="21"/>
          <w:szCs w:val="21"/>
          <w:highlight w:val="none"/>
          <w:lang w:val="en-US" w:eastAsia="zh-CN"/>
        </w:rPr>
      </w:r>
      <w:r/>
    </w:p>
    <w:p>
      <w:pPr>
        <w:pStyle w:val="996"/>
        <w:jc w:val="left"/>
        <w:spacing w:before="0" w:line="360" w:lineRule="auto"/>
        <w:widowControl/>
        <w:rPr>
          <w:rFonts w:hint="eastAsia" w:ascii="宋体" w:hAnsi="宋体" w:eastAsia="宋体" w:cs="宋体"/>
          <w:color w:val="000000"/>
          <w:sz w:val="21"/>
          <w:szCs w:val="21"/>
          <w:highlight w:val="none"/>
        </w:rPr>
      </w:pPr>
      <w:r/>
      <w:bookmarkStart w:id="15" w:name="_Toc35393624"/>
      <w:r/>
      <w:bookmarkStart w:id="16" w:name="_Toc28359005"/>
      <w:r/>
      <w:bookmarkStart w:id="17" w:name="_Toc35393793"/>
      <w:r/>
      <w:bookmarkStart w:id="18" w:name="_Toc28359082"/>
      <w:r>
        <w:rPr>
          <w:rFonts w:hint="eastAsia" w:ascii="宋体" w:hAnsi="宋体" w:eastAsia="宋体" w:cs="宋体"/>
          <w:color w:val="000000"/>
          <w:sz w:val="21"/>
          <w:szCs w:val="21"/>
          <w:highlight w:val="none"/>
        </w:rPr>
        <w:t xml:space="preserve">四、</w:t>
      </w:r>
      <w:bookmarkEnd w:id="15"/>
      <w:r/>
      <w:bookmarkEnd w:id="16"/>
      <w:r/>
      <w:bookmarkEnd w:id="17"/>
      <w:r/>
      <w:bookmarkEnd w:id="18"/>
      <w:r>
        <w:rPr>
          <w:rFonts w:hint="eastAsia" w:ascii="宋体" w:hAnsi="宋体" w:eastAsia="宋体" w:cs="宋体"/>
          <w:color w:val="000000"/>
          <w:sz w:val="21"/>
          <w:szCs w:val="21"/>
          <w:highlight w:val="none"/>
        </w:rPr>
        <w:t xml:space="preserve">响应文件提交</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截止时间：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18</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30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994"/>
        <w:ind w:firstLine="420"/>
        <w:spacing w:line="360" w:lineRule="auto"/>
        <w:rPr>
          <w:rFonts w:hint="eastAsia" w:ascii="宋体" w:hAnsi="宋体" w:eastAsia="宋体" w:cs="宋体"/>
          <w:color w:val="000000"/>
          <w:sz w:val="21"/>
          <w:szCs w:val="21"/>
          <w:highlight w:val="none"/>
          <w:lang w:val="zh-TW" w:bidi="ar"/>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color w:val="000000"/>
          <w:sz w:val="21"/>
          <w:szCs w:val="21"/>
          <w:highlight w:val="none"/>
          <w:lang w:val="zh-TW" w:bidi="ar"/>
        </w:rPr>
      </w:r>
      <w:r/>
    </w:p>
    <w:p>
      <w:pPr>
        <w:pStyle w:val="996"/>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五、开启</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18</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30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994"/>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地点：本项目采用不见面交易方式，无需到现场提交，供应商登录“苏采云”政府采购交易系统网上开标大厅，通过系统在线解密电子响应文件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bCs/>
          <w:color w:val="000000"/>
          <w:sz w:val="21"/>
          <w:szCs w:val="21"/>
          <w:highlight w:val="none"/>
          <w:u w:val="single"/>
        </w:rPr>
      </w:r>
      <w:r/>
    </w:p>
    <w:p>
      <w:pPr>
        <w:pStyle w:val="996"/>
        <w:jc w:val="left"/>
        <w:spacing w:before="0" w:line="360" w:lineRule="auto"/>
        <w:rPr>
          <w:rFonts w:hint="eastAsia" w:ascii="宋体" w:hAnsi="宋体" w:eastAsia="宋体" w:cs="宋体"/>
          <w:color w:val="000000"/>
          <w:sz w:val="21"/>
          <w:szCs w:val="21"/>
          <w:highlight w:val="none"/>
        </w:rPr>
      </w:pPr>
      <w:r/>
      <w:bookmarkStart w:id="19" w:name="_Toc35393794"/>
      <w:r/>
      <w:bookmarkStart w:id="20" w:name="_Toc28359084"/>
      <w:r/>
      <w:bookmarkStart w:id="21" w:name="_Toc35393625"/>
      <w:r/>
      <w:bookmarkStart w:id="22" w:name="_Toc28359007"/>
      <w:r>
        <w:rPr>
          <w:rFonts w:hint="eastAsia" w:ascii="宋体" w:hAnsi="宋体" w:eastAsia="宋体" w:cs="宋体"/>
          <w:color w:val="000000"/>
          <w:sz w:val="21"/>
          <w:szCs w:val="21"/>
          <w:highlight w:val="none"/>
        </w:rPr>
        <w:t xml:space="preserve">六、公告期限</w:t>
      </w:r>
      <w:bookmarkEnd w:id="19"/>
      <w:r/>
      <w:bookmarkEnd w:id="20"/>
      <w:r/>
      <w:bookmarkEnd w:id="21"/>
      <w:r/>
      <w:bookmarkEnd w:id="22"/>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996"/>
        <w:jc w:val="left"/>
        <w:spacing w:before="0" w:line="360" w:lineRule="auto"/>
        <w:rPr>
          <w:rFonts w:hint="eastAsia" w:ascii="宋体" w:hAnsi="宋体" w:eastAsia="宋体" w:cs="宋体"/>
          <w:color w:val="000000"/>
          <w:sz w:val="21"/>
          <w:szCs w:val="21"/>
          <w:highlight w:val="none"/>
        </w:rPr>
      </w:pPr>
      <w:r/>
      <w:bookmarkStart w:id="23" w:name="_Toc35393795"/>
      <w:r/>
      <w:bookmarkStart w:id="24" w:name="_Toc35393626"/>
      <w:r>
        <w:rPr>
          <w:rFonts w:hint="eastAsia" w:ascii="宋体" w:hAnsi="宋体" w:eastAsia="宋体" w:cs="宋体"/>
          <w:color w:val="000000"/>
          <w:sz w:val="21"/>
          <w:szCs w:val="21"/>
          <w:highlight w:val="none"/>
        </w:rPr>
        <w:t xml:space="preserve">七、其他补充事宜</w:t>
      </w:r>
      <w:bookmarkEnd w:id="23"/>
      <w:r/>
      <w:bookmarkEnd w:id="24"/>
      <w:r>
        <w:rPr>
          <w:rFonts w:hint="eastAsia" w:ascii="宋体" w:hAnsi="宋体" w:eastAsia="宋体" w:cs="宋体"/>
          <w:color w:val="000000"/>
          <w:sz w:val="21"/>
          <w:szCs w:val="21"/>
          <w:highlight w:val="none"/>
        </w:rPr>
      </w:r>
      <w:r/>
    </w:p>
    <w:p>
      <w:pPr>
        <w:pStyle w:val="994"/>
        <w:ind w:firstLine="422"/>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1.本项目需要落实的政府采购政策：</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994"/>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.磋商保证金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t xml:space="preserve">本项目不收取磋商保证金。</w:t>
      </w:r>
      <w:r>
        <w:rPr>
          <w:rFonts w:hint="eastAsia" w:ascii="宋体" w:hAnsi="宋体" w:eastAsia="宋体" w:cs="宋体"/>
          <w:color w:val="000000"/>
          <w:szCs w:val="21"/>
          <w:highlight w:val="none"/>
        </w:rPr>
      </w:r>
      <w:r/>
    </w:p>
    <w:p>
      <w:pPr>
        <w:pStyle w:val="994"/>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highlight w:val="none"/>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99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994"/>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994"/>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994"/>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99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99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994"/>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3.3控件、客户端下载</w:t>
      </w:r>
      <w:r>
        <w:rPr>
          <w:rFonts w:hint="eastAsia" w:ascii="宋体" w:hAnsi="宋体" w:cs="宋体"/>
          <w:color w:val="000000"/>
          <w:szCs w:val="21"/>
          <w:highlight w:val="none"/>
          <w:lang w:bidi="ar"/>
        </w:rPr>
      </w:r>
      <w:r/>
    </w:p>
    <w:p>
      <w:pPr>
        <w:pStyle w:val="994"/>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99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获取电子磋商文件</w:t>
      </w:r>
      <w:r>
        <w:rPr>
          <w:rFonts w:hint="eastAsia" w:ascii="宋体" w:hAnsi="宋体" w:cs="宋体"/>
          <w:color w:val="000000"/>
          <w:szCs w:val="21"/>
          <w:highlight w:val="none"/>
          <w:lang w:bidi="ar"/>
        </w:rPr>
      </w:r>
      <w:r/>
    </w:p>
    <w:p>
      <w:pPr>
        <w:pStyle w:val="99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。未在规定期限内通过“苏采云”政府采购一体化平台获取</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99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3.5编制电子响应文件</w:t>
      </w:r>
      <w:r>
        <w:rPr>
          <w:rFonts w:hint="eastAsia" w:ascii="宋体" w:hAnsi="宋体" w:cs="宋体"/>
          <w:color w:val="000000"/>
          <w:szCs w:val="21"/>
          <w:highlight w:val="none"/>
          <w:lang w:bidi="ar"/>
        </w:rPr>
      </w:r>
      <w:r/>
    </w:p>
    <w:p>
      <w:pPr>
        <w:pStyle w:val="99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highlight w:val="none"/>
          <w:lang w:bidi="ar"/>
        </w:rPr>
      </w:r>
      <w:r/>
    </w:p>
    <w:p>
      <w:pPr>
        <w:pStyle w:val="994"/>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提交电子响应文件</w:t>
      </w:r>
      <w:r>
        <w:rPr>
          <w:rFonts w:hint="eastAsia" w:ascii="宋体" w:hAnsi="宋体" w:cs="宋体"/>
          <w:color w:val="000000"/>
          <w:szCs w:val="21"/>
          <w:highlight w:val="none"/>
          <w:lang w:val="zh-TW" w:bidi="ar"/>
        </w:rPr>
      </w:r>
      <w:r/>
    </w:p>
    <w:p>
      <w:pPr>
        <w:pStyle w:val="994"/>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供应商应于响应截止时间前在“苏采云”政府采购一体化平台提交电子响应文件，上传电子响应文件过程中请保持与互联网的连接畅通。</w:t>
      </w:r>
      <w:r>
        <w:rPr>
          <w:rFonts w:hint="eastAsia" w:ascii="宋体" w:hAnsi="宋体" w:cs="宋体"/>
          <w:color w:val="000000"/>
          <w:szCs w:val="21"/>
          <w:highlight w:val="none"/>
          <w:lang w:val="zh-TW" w:bidi="ar"/>
        </w:rPr>
      </w:r>
      <w:r/>
    </w:p>
    <w:p>
      <w:pPr>
        <w:pStyle w:val="994"/>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994"/>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供应商使用CA认证证书登录“苏采云”政府采购一体化平台进行电子化不见面开标。</w:t>
      </w:r>
      <w:r>
        <w:rPr>
          <w:rFonts w:hint="eastAsia" w:ascii="宋体" w:hAnsi="宋体" w:cs="宋体"/>
          <w:color w:val="000000"/>
          <w:szCs w:val="21"/>
          <w:highlight w:val="none"/>
          <w:lang w:val="zh-TW" w:bidi="ar"/>
        </w:rPr>
      </w:r>
      <w:r/>
    </w:p>
    <w:p>
      <w:pPr>
        <w:pStyle w:val="994"/>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994"/>
        <w:ind w:firstLine="420"/>
        <w:spacing w:line="360" w:lineRule="auto"/>
        <w:rPr>
          <w:rFonts w:hint="eastAsia" w:ascii="宋体" w:hAnsi="宋体" w:eastAsia="宋体" w:cs="宋体"/>
          <w:color w:val="000000"/>
          <w:sz w:val="21"/>
          <w:szCs w:val="21"/>
          <w:highlight w:val="none"/>
          <w:lang w:val="zh-TW" w:eastAsia="zh-TW" w:bidi="ar"/>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1"/>
          <w:szCs w:val="21"/>
          <w:highlight w:val="none"/>
          <w:lang w:val="zh-TW" w:eastAsia="zh-TW" w:bidi="ar"/>
        </w:rPr>
      </w:r>
      <w:r/>
    </w:p>
    <w:p>
      <w:pPr>
        <w:pStyle w:val="994"/>
        <w:ind w:firstLine="422"/>
        <w:spacing w:line="360" w:lineRule="auto"/>
        <w:rPr>
          <w:rFonts w:hint="eastAsia" w:ascii="宋体" w:hAnsi="宋体" w:cs="宋体"/>
          <w:color w:val="000000"/>
          <w:szCs w:val="21"/>
          <w:highlight w:val="none"/>
        </w:rPr>
      </w:pPr>
      <w:r/>
      <w:bookmarkStart w:id="25" w:name="_Toc35393627"/>
      <w:r/>
      <w:bookmarkStart w:id="26" w:name="_Toc35393796"/>
      <w:r/>
      <w:bookmarkStart w:id="27" w:name="_Toc28359085"/>
      <w:r/>
      <w:bookmarkStart w:id="28" w:name="_Toc28359008"/>
      <w:r>
        <w:rPr>
          <w:rFonts w:hint="eastAsia" w:ascii="宋体" w:hAnsi="宋体" w:cs="宋体"/>
          <w:b/>
          <w:bCs/>
          <w:color w:val="000000"/>
          <w:szCs w:val="21"/>
          <w:highlight w:val="none"/>
          <w:lang w:bidi="ar"/>
        </w:rPr>
        <w:t xml:space="preserve">4</w:t>
      </w:r>
      <w:r>
        <w:rPr>
          <w:rFonts w:hint="eastAsia" w:ascii="宋体" w:hAnsi="宋体" w:cs="宋体"/>
          <w:b/>
          <w:bCs/>
          <w:color w:val="000000"/>
          <w:szCs w:val="21"/>
          <w:highlight w:val="none"/>
          <w:lang w:val="zh-TW" w:bidi="ar"/>
        </w:rPr>
        <w:t xml:space="preserve">.现场踏勘</w:t>
      </w:r>
      <w:r>
        <w:rPr>
          <w:rFonts w:hint="eastAsia" w:ascii="宋体" w:hAnsi="宋体" w:cs="宋体"/>
          <w:b/>
          <w:bCs/>
          <w:color w:val="000000"/>
          <w:szCs w:val="21"/>
          <w:highlight w:val="none"/>
          <w:lang w:val="zh-TW" w:eastAsia="zh-CN" w:bidi="ar"/>
        </w:rPr>
        <w:t xml:space="preserve">：</w:t>
      </w:r>
      <w:r>
        <w:rPr>
          <w:rFonts w:hint="eastAsia" w:ascii="宋体" w:hAnsi="宋体" w:cs="宋体"/>
          <w:color w:val="000000"/>
          <w:szCs w:val="21"/>
          <w:highlight w:val="none"/>
        </w:rPr>
        <w:t xml:space="preserve">供应商自行踏勘现场。</w:t>
      </w:r>
      <w:r>
        <w:rPr>
          <w:rFonts w:hint="eastAsia" w:ascii="宋体" w:hAnsi="宋体" w:cs="宋体"/>
          <w:color w:val="000000"/>
          <w:szCs w:val="21"/>
          <w:highlight w:val="none"/>
        </w:rPr>
      </w:r>
      <w:r/>
    </w:p>
    <w:p>
      <w:pPr>
        <w:pStyle w:val="994"/>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5.政府采购相关政策</w:t>
      </w:r>
      <w:r>
        <w:rPr>
          <w:rFonts w:hint="eastAsia" w:ascii="宋体" w:hAnsi="宋体" w:eastAsia="宋体" w:cs="宋体"/>
          <w:b/>
          <w:bCs/>
          <w:color w:val="000000"/>
          <w:szCs w:val="21"/>
          <w:highlight w:val="none"/>
          <w:lang w:val="en-US" w:eastAsia="zh-CN"/>
        </w:rPr>
      </w:r>
      <w:r/>
    </w:p>
    <w:p>
      <w:pPr>
        <w:pStyle w:val="994"/>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（1）关于常州市中小企业政府采购信用融资：</w:t>
      </w:r>
      <w:r>
        <w:rPr>
          <w:rFonts w:hint="eastAsia" w:ascii="宋体" w:hAnsi="宋体" w:eastAsia="宋体" w:cs="宋体"/>
          <w:b w:val="0"/>
          <w:bCs w:val="0"/>
          <w:color w:val="000000"/>
          <w:szCs w:val="21"/>
          <w:highlight w:val="none"/>
          <w:lang w:val="en-US" w:eastAsia="zh-CN"/>
        </w:rPr>
      </w:r>
      <w:r/>
    </w:p>
    <w:p>
      <w:pPr>
        <w:pStyle w:val="994"/>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TW" w:bidi="ar"/>
        </w:rPr>
        <w:outlineLvl w:val="9"/>
      </w:pPr>
      <w:r>
        <w:rPr>
          <w:rFonts w:hint="eastAsia" w:ascii="宋体" w:hAnsi="宋体" w:eastAsia="宋体" w:cs="宋体"/>
          <w:color w:val="000000"/>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1"/>
          <w:szCs w:val="21"/>
          <w:highlight w:val="none"/>
          <w:lang w:val="zh-TW" w:bidi="ar"/>
        </w:rPr>
      </w:r>
      <w:r/>
    </w:p>
    <w:p>
      <w:pPr>
        <w:pStyle w:val="994"/>
        <w:numPr>
          <w:ilvl w:val="0"/>
          <w:numId w:val="0"/>
        </w:num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关于深入开展常州市政府采购线上合同信用融资：</w:t>
      </w:r>
      <w:r>
        <w:rPr>
          <w:rFonts w:hint="eastAsia" w:ascii="宋体" w:hAnsi="宋体" w:eastAsia="宋体" w:cs="宋体"/>
          <w:color w:val="000000"/>
          <w:sz w:val="21"/>
          <w:szCs w:val="21"/>
          <w:highlight w:val="none"/>
          <w:lang w:eastAsia="zh-CN"/>
        </w:rPr>
      </w:r>
      <w:r/>
    </w:p>
    <w:p>
      <w:pPr>
        <w:pStyle w:val="994"/>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TW" w:bidi="ar"/>
        </w:rPr>
        <w:t xml:space="preserve">根据江苏省财政厅、人民银行南京分行《关于深入推进政府采购线上合同信用融资工作的通知》（苏财购〔2</w:t>
      </w:r>
      <w:r>
        <w:rPr>
          <w:rFonts w:hint="eastAsia" w:ascii="宋体" w:hAnsi="宋体" w:eastAsia="宋体" w:cs="宋体"/>
          <w:color w:val="000000"/>
          <w:sz w:val="21"/>
          <w:szCs w:val="21"/>
          <w:highlight w:val="none"/>
          <w:lang w:val="zh-TW" w:bidi="ar"/>
        </w:rPr>
        <w:t xml:space="preserve">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宋体" w:hAnsi="宋体" w:eastAsia="宋体" w:cs="宋体"/>
          <w:color w:val="000000"/>
          <w:sz w:val="21"/>
          <w:szCs w:val="21"/>
          <w:highlight w:val="none"/>
          <w:lang w:eastAsia="zh-CN"/>
        </w:rPr>
      </w:r>
      <w:r/>
    </w:p>
    <w:p>
      <w:pPr>
        <w:pStyle w:val="994"/>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（3）现行国家、地方政府关于实施政府采购的一切法律、法规及部门规章、政策性文件等。</w:t>
      </w:r>
      <w:r>
        <w:rPr>
          <w:rFonts w:hint="eastAsia" w:ascii="宋体" w:hAnsi="宋体" w:eastAsia="宋体" w:cs="宋体"/>
          <w:color w:val="000000"/>
          <w:sz w:val="21"/>
          <w:szCs w:val="21"/>
          <w:highlight w:val="none"/>
          <w:lang w:val="en-US" w:eastAsia="zh-CN" w:bidi="ar-SA"/>
        </w:rPr>
      </w:r>
      <w:r/>
    </w:p>
    <w:p>
      <w:pPr>
        <w:pStyle w:val="996"/>
        <w:jc w:val="left"/>
        <w:spacing w:before="0"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八、对本项目提出询问，请按以下方式联系。</w:t>
      </w:r>
      <w:bookmarkEnd w:id="25"/>
      <w:r/>
      <w:bookmarkEnd w:id="26"/>
      <w:r/>
      <w:bookmarkEnd w:id="27"/>
      <w:r/>
      <w:bookmarkEnd w:id="28"/>
      <w:r>
        <w:rPr>
          <w:rFonts w:hint="eastAsia" w:ascii="宋体" w:hAnsi="宋体" w:eastAsia="宋体" w:cs="宋体"/>
          <w:b/>
          <w:color w:val="000000"/>
          <w:sz w:val="21"/>
          <w:szCs w:val="21"/>
          <w:highlight w:val="none"/>
          <w:lang w:val="en-US" w:eastAsia="zh-CN"/>
        </w:rPr>
      </w:r>
      <w:r/>
    </w:p>
    <w:p>
      <w:pPr>
        <w:pStyle w:val="996"/>
        <w:ind w:firstLine="422"/>
        <w:jc w:val="left"/>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1.采购人信息</w:t>
      </w:r>
      <w:r>
        <w:rPr>
          <w:rFonts w:hint="eastAsia" w:ascii="宋体" w:hAnsi="宋体" w:eastAsia="宋体" w:cs="宋体"/>
          <w:b/>
          <w:bCs/>
          <w:color w:val="000000"/>
          <w:sz w:val="21"/>
          <w:szCs w:val="21"/>
          <w:highlight w:val="none"/>
        </w:rPr>
      </w:r>
      <w:r/>
    </w:p>
    <w:p>
      <w:pPr>
        <w:pStyle w:val="994"/>
        <w:ind w:firstLine="630"/>
        <w:jc w:val="left"/>
        <w:spacing w:line="360" w:lineRule="auto"/>
        <w:rPr>
          <w:rFonts w:hint="eastAsia" w:ascii="宋体" w:hAnsi="宋体" w:eastAsia="宋体" w:cs="宋体"/>
          <w:color w:val="000000"/>
          <w:sz w:val="21"/>
          <w:szCs w:val="21"/>
          <w:highlight w:val="none"/>
          <w:u w:val="single"/>
          <w:lang w:eastAsia="zh-CN"/>
        </w:rPr>
      </w:pPr>
      <w:r/>
      <w:bookmarkStart w:id="29" w:name="_Toc28359009"/>
      <w:r/>
      <w:bookmarkStart w:id="30" w:name="_Toc28359086"/>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u w:val="single"/>
          <w:lang w:eastAsia="zh-CN"/>
        </w:rPr>
        <w:t xml:space="preserve">常州市天宁区郑陆镇人民政府</w:t>
      </w:r>
      <w:r>
        <w:rPr>
          <w:rFonts w:hint="eastAsia" w:ascii="宋体" w:hAnsi="宋体" w:eastAsia="宋体" w:cs="宋体"/>
          <w:color w:val="000000"/>
          <w:sz w:val="21"/>
          <w:szCs w:val="21"/>
          <w:highlight w:val="none"/>
          <w:u w:val="single"/>
          <w:lang w:eastAsia="zh-CN"/>
        </w:rPr>
      </w:r>
      <w:r/>
    </w:p>
    <w:p>
      <w:pPr>
        <w:pStyle w:val="994"/>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u w:val="single"/>
          <w:lang w:eastAsia="zh-CN"/>
        </w:rPr>
        <w:t xml:space="preserve">常州市天宁区郑陆镇镇南路19号</w:t>
      </w:r>
      <w:r>
        <w:rPr>
          <w:rFonts w:hint="eastAsia" w:ascii="宋体" w:hAnsi="宋体" w:eastAsia="宋体" w:cs="宋体"/>
          <w:color w:val="000000"/>
          <w:sz w:val="21"/>
          <w:szCs w:val="21"/>
          <w:highlight w:val="none"/>
          <w:u w:val="single"/>
          <w:lang w:eastAsia="zh-CN"/>
        </w:rPr>
      </w:r>
      <w:r/>
    </w:p>
    <w:p>
      <w:pPr>
        <w:pStyle w:val="994"/>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u w:val="single"/>
          <w:lang w:eastAsia="zh-CN"/>
        </w:rPr>
        <w:t xml:space="preserve">顾科，0519-8896 9303</w:t>
      </w:r>
      <w:r>
        <w:rPr>
          <w:rFonts w:hint="eastAsia" w:ascii="宋体" w:hAnsi="宋体" w:eastAsia="宋体" w:cs="宋体"/>
          <w:color w:val="000000"/>
          <w:sz w:val="21"/>
          <w:szCs w:val="21"/>
          <w:highlight w:val="none"/>
          <w:u w:val="single"/>
          <w:lang w:eastAsia="zh-CN"/>
        </w:rPr>
      </w:r>
      <w:r/>
    </w:p>
    <w:p>
      <w:pPr>
        <w:pStyle w:val="994"/>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bookmarkEnd w:id="29"/>
      <w:r/>
      <w:bookmarkEnd w:id="30"/>
      <w:r>
        <w:rPr>
          <w:rFonts w:hint="eastAsia" w:ascii="宋体" w:hAnsi="宋体" w:eastAsia="宋体" w:cs="宋体"/>
          <w:b/>
          <w:color w:val="000000"/>
          <w:sz w:val="21"/>
          <w:szCs w:val="21"/>
          <w:highlight w:val="none"/>
        </w:rPr>
      </w:r>
      <w:r/>
    </w:p>
    <w:p>
      <w:pPr>
        <w:pStyle w:val="994"/>
        <w:ind w:firstLine="630"/>
        <w:jc w:val="left"/>
        <w:spacing w:line="360" w:lineRule="auto"/>
        <w:rPr>
          <w:rFonts w:hint="eastAsia" w:ascii="宋体" w:hAnsi="宋体" w:eastAsia="宋体" w:cs="宋体"/>
          <w:color w:val="000000"/>
          <w:sz w:val="21"/>
          <w:szCs w:val="21"/>
          <w:highlight w:val="none"/>
          <w:lang w:eastAsia="zh-CN"/>
        </w:rPr>
      </w:pPr>
      <w:r/>
      <w:bookmarkStart w:id="31" w:name="_Toc28359087"/>
      <w:r/>
      <w:bookmarkStart w:id="32" w:name="_Toc28359010"/>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常州市阳峻项目管理有限公司</w:t>
      </w:r>
      <w:r>
        <w:rPr>
          <w:rFonts w:hint="eastAsia" w:ascii="宋体" w:hAnsi="宋体" w:eastAsia="宋体" w:cs="宋体"/>
          <w:color w:val="000000"/>
          <w:sz w:val="21"/>
          <w:szCs w:val="21"/>
          <w:highlight w:val="none"/>
          <w:lang w:eastAsia="zh-CN"/>
        </w:rPr>
      </w:r>
      <w:r/>
    </w:p>
    <w:p>
      <w:pPr>
        <w:pStyle w:val="994"/>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color w:val="000000"/>
          <w:sz w:val="21"/>
          <w:szCs w:val="21"/>
          <w:highlight w:val="none"/>
          <w:u w:val="single"/>
          <w:lang w:eastAsia="zh-CN"/>
        </w:rPr>
      </w:r>
      <w:r/>
    </w:p>
    <w:p>
      <w:pPr>
        <w:pStyle w:val="994"/>
        <w:ind w:firstLine="63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994"/>
        <w:ind w:firstLine="422"/>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3.项目联系方式</w:t>
      </w:r>
      <w:bookmarkEnd w:id="31"/>
      <w:r/>
      <w:bookmarkEnd w:id="32"/>
      <w:r>
        <w:rPr>
          <w:rFonts w:hint="eastAsia" w:ascii="宋体" w:hAnsi="宋体" w:eastAsia="宋体" w:cs="宋体"/>
          <w:b/>
          <w:color w:val="000000"/>
          <w:sz w:val="21"/>
          <w:szCs w:val="21"/>
          <w:highlight w:val="none"/>
          <w:u w:val="single"/>
        </w:rPr>
      </w:r>
      <w:r/>
    </w:p>
    <w:p>
      <w:pPr>
        <w:pStyle w:val="1033"/>
        <w:ind w:firstLine="630"/>
        <w:spacing w:line="360" w:lineRule="auto"/>
        <w:rPr>
          <w:rFonts w:hint="eastAsia" w:ascii="宋体" w:hAnsi="宋体" w:eastAsia="宋体" w:cs="宋体"/>
          <w:color w:val="000000"/>
          <w:sz w:val="21"/>
          <w:szCs w:val="21"/>
          <w:highlight w:val="none"/>
          <w:u w:val="single"/>
          <w:lang w:bidi="ar"/>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u w:val="single"/>
        </w:rPr>
        <w:t xml:space="preserve">叶工</w:t>
      </w:r>
      <w:r>
        <w:rPr>
          <w:rFonts w:hint="eastAsia" w:ascii="宋体" w:hAnsi="宋体" w:eastAsia="宋体" w:cs="宋体"/>
          <w:color w:val="000000"/>
          <w:sz w:val="21"/>
          <w:szCs w:val="21"/>
          <w:highlight w:val="none"/>
          <w:u w:val="single"/>
          <w:lang w:bidi="ar"/>
        </w:rPr>
      </w:r>
      <w:r/>
    </w:p>
    <w:p>
      <w:pPr>
        <w:pStyle w:val="1033"/>
        <w:ind w:firstLine="63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994"/>
        <w:ind w:firstLine="420"/>
        <w:jc w:val="both"/>
        <w:spacing w:line="520" w:lineRule="atLeas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994"/>
        <w:rPr>
          <w:rStyle w:val="1067"/>
          <w:rFonts w:hint="eastAsia" w:ascii="宋体" w:hAnsi="宋体" w:eastAsia="宋体" w:cs="宋体"/>
          <w:color w:val="000000"/>
          <w:sz w:val="21"/>
          <w:szCs w:val="21"/>
          <w:highlight w:val="none"/>
          <w:shd w:val="clear" w:color="auto" w:fill="ffffff"/>
        </w:rPr>
      </w:pPr>
      <w:r>
        <w:rPr>
          <w:rStyle w:val="1067"/>
          <w:rFonts w:hint="eastAsia" w:ascii="宋体" w:hAnsi="宋体" w:eastAsia="宋体" w:cs="宋体"/>
          <w:color w:val="000000"/>
          <w:sz w:val="21"/>
          <w:szCs w:val="21"/>
          <w:highlight w:val="none"/>
          <w:shd w:val="clear" w:color="auto" w:fill="ffffff"/>
        </w:rPr>
      </w:r>
      <w:r/>
    </w:p>
    <w:p>
      <w:pPr>
        <w:pStyle w:val="994"/>
        <w:jc w:val="center"/>
        <w:spacing w:line="360" w:lineRule="auto"/>
        <w:rPr>
          <w:b/>
          <w:color w:val="000000"/>
          <w:sz w:val="32"/>
          <w:szCs w:val="32"/>
          <w:highlight w:val="none"/>
        </w:rPr>
        <w:outlineLvl w:val="0"/>
      </w:pPr>
      <w:r/>
      <w:bookmarkStart w:id="33" w:name="_Toc150774783"/>
      <w:r/>
      <w:bookmarkStart w:id="34" w:name="_Toc226965856"/>
      <w:r/>
      <w:bookmarkStart w:id="35" w:name="_Toc104818926"/>
      <w:r/>
      <w:bookmarkStart w:id="36" w:name="_Toc305158928"/>
      <w:r/>
      <w:bookmarkStart w:id="37" w:name="_Toc195842950"/>
      <w:r/>
      <w:bookmarkStart w:id="38" w:name="_Toc353873938"/>
      <w:r/>
      <w:bookmarkStart w:id="39" w:name="_Toc305158854"/>
      <w:r/>
      <w:bookmarkStart w:id="40" w:name="_Toc264969275"/>
      <w:r/>
      <w:bookmarkStart w:id="41" w:name="_Toc127151777"/>
      <w:r/>
      <w:bookmarkStart w:id="42" w:name="_Toc512937850"/>
      <w:r/>
      <w:bookmarkStart w:id="43" w:name="_Toc265228423"/>
      <w:r/>
      <w:bookmarkStart w:id="44" w:name="_Toc127161488"/>
      <w:r/>
      <w:bookmarkStart w:id="45" w:name="_Toc353825548"/>
      <w:r>
        <w:rPr>
          <w:b/>
          <w:color w:val="000000"/>
          <w:sz w:val="32"/>
          <w:szCs w:val="32"/>
          <w:highlight w:val="none"/>
        </w:rPr>
      </w:r>
      <w:r/>
    </w:p>
    <w:p>
      <w:pPr>
        <w:pStyle w:val="994"/>
        <w:jc w:val="center"/>
        <w:spacing w:line="360" w:lineRule="auto"/>
        <w:rPr>
          <w:b/>
          <w:color w:val="000000"/>
          <w:sz w:val="32"/>
          <w:szCs w:val="32"/>
          <w:highlight w:val="none"/>
        </w:rPr>
        <w:outlineLvl w:val="0"/>
      </w:pPr>
      <w:r>
        <w:rPr>
          <w:b/>
          <w:color w:val="000000"/>
          <w:sz w:val="32"/>
          <w:szCs w:val="32"/>
          <w:highlight w:val="none"/>
        </w:rPr>
      </w:r>
      <w:r/>
    </w:p>
    <w:p>
      <w:pPr>
        <w:pStyle w:val="994"/>
        <w:jc w:val="center"/>
        <w:spacing w:line="360" w:lineRule="auto"/>
        <w:rPr>
          <w:b/>
          <w:color w:val="000000"/>
          <w:sz w:val="32"/>
          <w:szCs w:val="32"/>
          <w:highlight w:val="none"/>
        </w:rPr>
        <w:outlineLvl w:val="0"/>
      </w:pPr>
      <w:r>
        <w:rPr>
          <w:b/>
          <w:color w:val="000000"/>
          <w:sz w:val="32"/>
          <w:szCs w:val="32"/>
          <w:highlight w:val="none"/>
        </w:rPr>
      </w:r>
      <w:r/>
    </w:p>
    <w:p>
      <w:pPr>
        <w:pStyle w:val="1025"/>
        <w:tabs>
          <w:tab w:val="left" w:pos="567" w:leader="none"/>
        </w:tabs>
        <w:rPr>
          <w:b/>
          <w:color w:val="000000"/>
          <w:sz w:val="32"/>
          <w:szCs w:val="32"/>
          <w:highlight w:val="none"/>
        </w:rPr>
      </w:pPr>
      <w:r>
        <w:rPr>
          <w:b/>
          <w:color w:val="000000"/>
          <w:sz w:val="32"/>
          <w:szCs w:val="32"/>
          <w:highlight w:val="none"/>
        </w:rPr>
      </w:r>
      <w:r/>
    </w:p>
    <w:p>
      <w:pPr>
        <w:pStyle w:val="1025"/>
        <w:tabs>
          <w:tab w:val="left" w:pos="567" w:leader="none"/>
        </w:tabs>
        <w:rPr>
          <w:b/>
          <w:color w:val="000000"/>
          <w:sz w:val="32"/>
          <w:szCs w:val="32"/>
          <w:highlight w:val="none"/>
        </w:rPr>
      </w:pPr>
      <w:r>
        <w:rPr>
          <w:b/>
          <w:color w:val="000000"/>
          <w:sz w:val="32"/>
          <w:szCs w:val="32"/>
          <w:highlight w:val="none"/>
        </w:rPr>
      </w:r>
      <w:r/>
    </w:p>
    <w:p>
      <w:pPr>
        <w:pStyle w:val="1025"/>
        <w:tabs>
          <w:tab w:val="left" w:pos="567" w:leader="none"/>
        </w:tabs>
        <w:rPr>
          <w:b/>
          <w:color w:val="000000"/>
          <w:sz w:val="32"/>
          <w:szCs w:val="32"/>
          <w:highlight w:val="none"/>
        </w:rPr>
      </w:pPr>
      <w:r>
        <w:rPr>
          <w:b/>
          <w:color w:val="000000"/>
          <w:sz w:val="32"/>
          <w:szCs w:val="32"/>
          <w:highlight w:val="none"/>
        </w:rPr>
      </w:r>
      <w:r/>
    </w:p>
    <w:p>
      <w:pPr>
        <w:pStyle w:val="994"/>
        <w:jc w:val="center"/>
        <w:spacing w:line="360" w:lineRule="auto"/>
        <w:rPr>
          <w:b/>
          <w:color w:val="000000"/>
          <w:sz w:val="32"/>
          <w:szCs w:val="32"/>
          <w:highlight w:val="none"/>
        </w:rPr>
        <w:outlineLvl w:val="0"/>
      </w:pPr>
      <w:r>
        <w:rPr>
          <w:b/>
          <w:color w:val="000000"/>
          <w:sz w:val="32"/>
          <w:szCs w:val="32"/>
          <w:highlight w:val="none"/>
        </w:rPr>
      </w:r>
      <w:r/>
    </w:p>
    <w:p>
      <w:pPr>
        <w:pStyle w:val="994"/>
        <w:jc w:val="center"/>
        <w:spacing w:line="360" w:lineRule="auto"/>
        <w:rPr>
          <w:b/>
          <w:color w:val="000000"/>
          <w:sz w:val="32"/>
          <w:szCs w:val="32"/>
          <w:highlight w:val="none"/>
        </w:rPr>
        <w:outlineLvl w:val="0"/>
      </w:pPr>
      <w:r>
        <w:rPr>
          <w:b/>
          <w:color w:val="000000"/>
          <w:sz w:val="32"/>
          <w:szCs w:val="32"/>
          <w:highlight w:val="none"/>
        </w:rPr>
      </w:r>
      <w:r/>
    </w:p>
    <w:p>
      <w:pPr>
        <w:pStyle w:val="994"/>
        <w:jc w:val="center"/>
        <w:spacing w:line="360" w:lineRule="auto"/>
        <w:rPr>
          <w:b/>
          <w:color w:val="000000"/>
          <w:sz w:val="32"/>
          <w:szCs w:val="32"/>
          <w:highlight w:val="none"/>
        </w:rPr>
        <w:outlineLvl w:val="0"/>
      </w:pPr>
      <w:r>
        <w:rPr>
          <w:b/>
          <w:color w:val="000000"/>
          <w:sz w:val="32"/>
          <w:szCs w:val="32"/>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996"/>
        <w:spacing w:before="0" w:line="360" w:lineRule="auto"/>
        <w:tabs>
          <w:tab w:val="center" w:pos="4592" w:leader="none"/>
          <w:tab w:val="left" w:pos="7860" w:leader="none"/>
        </w:tabs>
        <w:rPr>
          <w:b w:val="0"/>
          <w:color w:val="000000"/>
          <w:sz w:val="28"/>
          <w:szCs w:val="28"/>
          <w:highlight w:val="none"/>
        </w:rPr>
      </w:pPr>
      <w:r/>
      <w:bookmarkStart w:id="46" w:name="_Toc150774619"/>
      <w:r/>
      <w:bookmarkStart w:id="47" w:name="_Toc151193617"/>
      <w:r/>
      <w:bookmarkStart w:id="48" w:name="_Toc226965709"/>
      <w:r/>
      <w:bookmarkStart w:id="49" w:name="_Toc226965792"/>
      <w:r/>
      <w:bookmarkStart w:id="50" w:name="_Toc151193907"/>
      <w:r/>
      <w:bookmarkStart w:id="51" w:name="_Toc164608633"/>
      <w:r/>
      <w:bookmarkStart w:id="52" w:name="_Toc164229214"/>
      <w:r/>
      <w:bookmarkStart w:id="53" w:name="_Toc150480757"/>
      <w:r/>
      <w:bookmarkStart w:id="54" w:name="_Toc164229360"/>
      <w:r/>
      <w:bookmarkStart w:id="55" w:name="_Toc151193689"/>
      <w:r/>
      <w:bookmarkStart w:id="56" w:name="_Toc150509270"/>
      <w:r/>
      <w:bookmarkStart w:id="57" w:name="_Toc149720812"/>
      <w:r/>
      <w:bookmarkStart w:id="58" w:name="_Toc150774724"/>
      <w:r/>
      <w:bookmarkStart w:id="59" w:name="_Toc164351613"/>
      <w:r/>
      <w:bookmarkStart w:id="60" w:name="_Toc520356144"/>
      <w:r/>
      <w:bookmarkStart w:id="61" w:name="_Toc151193833"/>
      <w:r/>
      <w:bookmarkStart w:id="62" w:name="_Toc127151720"/>
      <w:r/>
      <w:bookmarkStart w:id="63" w:name="_Toc195842884"/>
      <w:r/>
      <w:bookmarkStart w:id="64" w:name="_Toc142311021"/>
      <w:r/>
      <w:bookmarkStart w:id="65" w:name="_Toc127161433"/>
      <w:r/>
      <w:bookmarkStart w:id="66" w:name="_Toc226309763"/>
      <w:r/>
      <w:bookmarkStart w:id="67" w:name="_Toc151190146"/>
      <w:r/>
      <w:bookmarkStart w:id="68" w:name="_Toc151193761"/>
      <w:r/>
      <w:bookmarkStart w:id="69" w:name="_Toc164608788"/>
      <w:r/>
      <w:bookmarkStart w:id="70" w:name="_Toc127151519"/>
      <w:r/>
      <w:bookmarkStart w:id="71" w:name="_Toc226337215"/>
      <w:r>
        <w:rPr>
          <w:rFonts w:ascii="Times New Roman" w:hAnsi="Times New Roman" w:eastAsia="宋体"/>
          <w:color w:val="000000"/>
          <w:sz w:val="28"/>
          <w:highlight w:val="none"/>
        </w:rPr>
        <w:t xml:space="preserve">供应商须知资料表</w:t>
      </w:r>
      <w:r>
        <w:rPr>
          <w:b w:val="0"/>
          <w:color w:val="000000"/>
          <w:sz w:val="28"/>
          <w:szCs w:val="28"/>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本表是对供应商须知的具体补充和修改，如有矛盾，均以本资料表为准。标记“</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”的选项意为适用于本项目，标记“□”的选项意为不适用于本项目。</w:t>
      </w:r>
      <w:r>
        <w:rPr>
          <w:rFonts w:hint="eastAsia" w:ascii="宋体" w:hAnsi="宋体" w:eastAsia="宋体" w:cs="宋体"/>
          <w:color w:val="000000"/>
          <w:sz w:val="21"/>
          <w:szCs w:val="21"/>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条款号</w:t>
            </w:r>
            <w:r>
              <w:rPr>
                <w:rFonts w:hint="eastAsia" w:ascii="宋体" w:hAnsi="宋体" w:eastAsia="宋体" w:cs="宋体"/>
                <w:b/>
                <w:bCs/>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条目</w:t>
            </w:r>
            <w:r>
              <w:rPr>
                <w:rFonts w:hint="eastAsia" w:ascii="宋体" w:hAnsi="宋体" w:eastAsia="宋体" w:cs="宋体"/>
                <w:b/>
                <w:bCs/>
                <w:color w:val="000000"/>
                <w:sz w:val="21"/>
                <w:szCs w:val="21"/>
                <w:highlight w:val="none"/>
              </w:rPr>
            </w:r>
            <w:r/>
          </w:p>
        </w:tc>
        <w:tc>
          <w:tcPr>
            <w:tcW w:w="7253"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r>
      <w:tr>
        <w:trPr>
          <w:trHeight w:val="20"/>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货物</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u w:val="single"/>
              </w:rPr>
            </w:r>
            <w:r/>
          </w:p>
        </w:tc>
      </w:tr>
      <w:tr>
        <w:trPr>
          <w:trHeight w:val="20"/>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科研仪器设备</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是否属于科研仪器设备采购项目：</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tc>
      </w:tr>
      <w:tr>
        <w:trPr>
          <w:trHeight w:val="20"/>
        </w:trPr>
        <w:tc>
          <w:tcPr>
            <w:tcW w:w="988" w:type="dxa"/>
            <w:vAlign w:val="center"/>
            <w:vMerge w:val="restart"/>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现场考察</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不组织</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□组织，考察时间：___</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月</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日</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点</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bCs/>
                <w:color w:val="000000"/>
                <w:sz w:val="21"/>
                <w:szCs w:val="21"/>
                <w:highlight w:val="none"/>
              </w:rPr>
            </w:r>
            <w:r/>
          </w:p>
          <w:p>
            <w:pPr>
              <w:pStyle w:val="103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考察地点：___________。</w:t>
            </w:r>
            <w:r>
              <w:rPr>
                <w:rFonts w:hint="eastAsia" w:ascii="宋体" w:hAnsi="宋体" w:eastAsia="宋体" w:cs="宋体"/>
                <w:color w:val="000000"/>
                <w:sz w:val="21"/>
                <w:szCs w:val="21"/>
                <w:highlight w:val="none"/>
              </w:rPr>
            </w:r>
            <w:r/>
          </w:p>
        </w:tc>
      </w:tr>
      <w:tr>
        <w:trPr>
          <w:trHeight w:val="20"/>
        </w:trPr>
        <w:tc>
          <w:tcPr>
            <w:tcW w:w="988" w:type="dxa"/>
            <w:vAlign w:val="center"/>
            <w:vMerge w:val="continue"/>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磋商前答疑会</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不召开</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□召开，召开时间：___</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月</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日</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点</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召开地点：___________。</w:t>
            </w:r>
            <w:r>
              <w:rPr>
                <w:rFonts w:hint="eastAsia" w:ascii="宋体" w:hAnsi="宋体" w:eastAsia="宋体" w:cs="宋体"/>
                <w:color w:val="000000"/>
                <w:sz w:val="21"/>
                <w:szCs w:val="21"/>
                <w:highlight w:val="none"/>
              </w:rPr>
            </w:r>
            <w:r/>
          </w:p>
        </w:tc>
      </w:tr>
      <w:tr>
        <w:trPr>
          <w:trHeight w:val="739"/>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标的所属行业</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本项目采购标的对应的中小企业划分标准所属行业：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其他未列明行业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c>
      </w:tr>
      <w:tr>
        <w:trPr>
          <w:trHeight w:val="890"/>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报价的特殊规定：</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有，具体情形：</w:t>
            </w:r>
            <w:r>
              <w:rPr>
                <w:rFonts w:hint="eastAsia" w:ascii="宋体" w:hAnsi="宋体" w:eastAsia="宋体" w:cs="宋体"/>
                <w:b/>
                <w:bCs/>
                <w:color w:val="000000"/>
                <w:sz w:val="21"/>
                <w:szCs w:val="21"/>
                <w:highlight w:val="none"/>
                <w:u w:val="single"/>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000000"/>
                <w:sz w:val="21"/>
                <w:szCs w:val="21"/>
                <w:highlight w:val="none"/>
              </w:rPr>
            </w:r>
            <w:r/>
          </w:p>
        </w:tc>
      </w:tr>
      <w:tr>
        <w:trPr>
          <w:trHeight w:val="514"/>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免收</w:t>
            </w:r>
            <w:r>
              <w:rPr>
                <w:rFonts w:hint="eastAsia" w:ascii="宋体" w:hAnsi="宋体" w:eastAsia="宋体" w:cs="宋体"/>
                <w:color w:val="000000"/>
                <w:sz w:val="21"/>
                <w:szCs w:val="21"/>
                <w:highlight w:val="none"/>
              </w:rPr>
            </w:r>
            <w:r/>
          </w:p>
        </w:tc>
      </w:tr>
      <w:tr>
        <w:trPr>
          <w:trHeight w:val="622"/>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自提交响应文件的截止之日起算</w:t>
            </w:r>
            <w:r>
              <w:rPr>
                <w:rFonts w:hint="eastAsia" w:ascii="宋体" w:hAnsi="宋体" w:eastAsia="宋体" w:cs="宋体"/>
                <w:color w:val="000000"/>
                <w:sz w:val="21"/>
                <w:szCs w:val="21"/>
                <w:highlight w:val="none"/>
                <w:u w:val="single"/>
                <w:lang w:val="en-US" w:eastAsia="zh-CN"/>
              </w:rPr>
              <w:t xml:space="preserve">60</w:t>
            </w:r>
            <w:r>
              <w:rPr>
                <w:rFonts w:hint="eastAsia" w:ascii="宋体" w:hAnsi="宋体" w:eastAsia="宋体" w:cs="宋体"/>
                <w:color w:val="000000"/>
                <w:sz w:val="21"/>
                <w:szCs w:val="21"/>
                <w:highlight w:val="none"/>
              </w:rPr>
              <w:t xml:space="preserve">日历天。</w:t>
            </w:r>
            <w:r>
              <w:rPr>
                <w:rFonts w:hint="eastAsia" w:ascii="宋体" w:hAnsi="宋体" w:eastAsia="宋体" w:cs="宋体"/>
                <w:color w:val="000000"/>
                <w:sz w:val="21"/>
                <w:szCs w:val="21"/>
                <w:highlight w:val="none"/>
              </w:rPr>
            </w:r>
            <w:r/>
          </w:p>
        </w:tc>
      </w:tr>
      <w:tr>
        <w:trPr>
          <w:trHeight w:val="1756"/>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本项目是否允许分包： </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□允许，具体要求：_______。</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（1）可以分包履行的具体内容：_______；</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（2）允许分包的金额或者比例：_______；</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（3）其他要求：_______。</w:t>
            </w:r>
            <w:r>
              <w:rPr>
                <w:rFonts w:hint="eastAsia" w:ascii="宋体" w:hAnsi="宋体" w:eastAsia="宋体" w:cs="宋体"/>
                <w:color w:val="000000"/>
                <w:sz w:val="21"/>
                <w:szCs w:val="21"/>
                <w:highlight w:val="none"/>
                <w:u w:val="single"/>
              </w:rPr>
            </w:r>
            <w:r/>
          </w:p>
        </w:tc>
      </w:tr>
      <w:tr>
        <w:trPr>
          <w:trHeight w:val="1199"/>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05</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12</w:t>
            </w:r>
            <w:r>
              <w:rPr>
                <w:rFonts w:hint="eastAsia" w:ascii="宋体" w:hAnsi="宋体" w:cs="宋体"/>
                <w:b/>
                <w:bCs/>
                <w:color w:val="000000"/>
                <w:szCs w:val="21"/>
                <w:highlight w:val="none"/>
              </w:rPr>
              <w:t xml:space="preserve">日中午12点前以邮件形式发送至邮箱czyjxmgl@163.com。（格式详见磋商文件中“关于磋商文件的询问内容”）发送至邮箱进行咨询，如口头可解释的问题亦可电话咨询采购人。未提出疑问将被视为完全认同磋商文件</w:t>
            </w:r>
            <w:r>
              <w:rPr>
                <w:rFonts w:hint="eastAsia" w:ascii="宋体" w:hAnsi="宋体" w:cs="宋体"/>
                <w:b/>
                <w:bCs/>
                <w:color w:val="000000"/>
                <w:szCs w:val="21"/>
                <w:highlight w:val="none"/>
                <w:lang w:val="en-US" w:eastAsia="zh-CN"/>
              </w:rPr>
              <w:t xml:space="preserve">所有内容</w:t>
            </w:r>
            <w:r>
              <w:rPr>
                <w:rFonts w:hint="eastAsia" w:ascii="宋体" w:hAnsi="宋体" w:cs="宋体"/>
                <w:b/>
                <w:bCs/>
                <w:color w:val="000000"/>
                <w:szCs w:val="21"/>
                <w:highlight w:val="none"/>
              </w:rPr>
              <w:t xml:space="preserve">，逾期将不接受其对于磋商文件的相关异议。如有变更，更正公告将会在江苏省政府采购网、常州市政府采购网公布。</w:t>
            </w:r>
            <w:r>
              <w:rPr>
                <w:rFonts w:hint="eastAsia" w:ascii="宋体" w:hAnsi="宋体" w:eastAsia="宋体" w:cs="宋体"/>
                <w:color w:val="000000"/>
                <w:sz w:val="21"/>
                <w:szCs w:val="21"/>
                <w:highlight w:val="none"/>
              </w:rPr>
            </w:r>
            <w:r/>
          </w:p>
        </w:tc>
      </w:tr>
      <w:tr>
        <w:trPr>
          <w:trHeight w:val="1223"/>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接收询问和质疑的联系方式</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联系部门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u w:val="single"/>
                <w:lang w:eastAsia="zh-CN"/>
              </w:rPr>
              <w:t xml:space="preserve">常州市阳峻项目管理有限公司</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0519-8366 1615</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0"/>
        </w:trPr>
        <w:tc>
          <w:tcPr>
            <w:tcW w:w="988" w:type="dxa"/>
            <w:vAlign w:val="center"/>
            <w:textDirection w:val="lrTb"/>
            <w:noWrap w:val="false"/>
          </w:tcPr>
          <w:p>
            <w:pPr>
              <w:pStyle w:val="103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代理费</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收费对象：</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成交供应商</w:t>
            </w:r>
            <w:r>
              <w:rPr>
                <w:rFonts w:hint="eastAsia" w:ascii="宋体" w:hAnsi="宋体" w:eastAsia="宋体" w:cs="宋体"/>
                <w:color w:val="000000"/>
                <w:sz w:val="21"/>
                <w:szCs w:val="21"/>
                <w:highlight w:val="none"/>
              </w:rPr>
            </w:r>
            <w:r/>
          </w:p>
          <w:p>
            <w:pPr>
              <w:pStyle w:val="994"/>
              <w:jc w:val="left"/>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以成交金额</w:t>
            </w:r>
            <w:r>
              <w:rPr>
                <w:rFonts w:hint="eastAsia" w:ascii="宋体" w:hAnsi="宋体" w:eastAsia="宋体" w:cs="宋体"/>
                <w:b/>
                <w:bCs/>
                <w:color w:val="000000"/>
                <w:sz w:val="21"/>
                <w:szCs w:val="21"/>
                <w:highlight w:val="none"/>
                <w:u w:val="single"/>
              </w:rPr>
              <w:t xml:space="preserve">为基数</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收费比例按差额定率累进法计算</w:t>
            </w:r>
            <w:r>
              <w:rPr>
                <w:rFonts w:hint="eastAsia" w:ascii="宋体" w:hAnsi="宋体" w:eastAsia="宋体" w:cs="宋体"/>
                <w:b/>
                <w:bCs/>
                <w:color w:val="000000"/>
                <w:sz w:val="21"/>
                <w:szCs w:val="21"/>
                <w:highlight w:val="none"/>
                <w:u w:val="single"/>
                <w:lang w:val="en-US" w:eastAsia="zh-CN"/>
              </w:rPr>
              <w:t xml:space="preserve">后收取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成交金额在100万元(含)以下的为</w:t>
            </w:r>
            <w:r>
              <w:rPr>
                <w:rFonts w:hint="eastAsia" w:ascii="宋体" w:hAnsi="宋体" w:eastAsia="宋体" w:cs="宋体"/>
                <w:b/>
                <w:bCs/>
                <w:color w:val="000000"/>
                <w:sz w:val="21"/>
                <w:szCs w:val="21"/>
                <w:highlight w:val="none"/>
                <w:u w:val="single"/>
                <w:lang w:val="en-US" w:eastAsia="zh-CN"/>
              </w:rPr>
              <w:t xml:space="preserve">1.5</w:t>
            </w:r>
            <w:r>
              <w:rPr>
                <w:rFonts w:hint="eastAsia" w:ascii="宋体" w:hAnsi="宋体" w:eastAsia="宋体" w:cs="宋体"/>
                <w:b/>
                <w:bCs/>
                <w:color w:val="000000"/>
                <w:sz w:val="21"/>
                <w:szCs w:val="21"/>
                <w:highlight w:val="none"/>
                <w:u w:val="single"/>
              </w:rPr>
              <w:t xml:space="preserve">%，成交金额在100万元（不含）至500万元（含）的为 </w:t>
            </w:r>
            <w:r>
              <w:rPr>
                <w:rFonts w:hint="eastAsia" w:ascii="宋体" w:hAnsi="宋体" w:eastAsia="宋体" w:cs="宋体"/>
                <w:b/>
                <w:bCs/>
                <w:color w:val="000000"/>
                <w:sz w:val="21"/>
                <w:szCs w:val="21"/>
                <w:highlight w:val="none"/>
                <w:u w:val="single"/>
                <w:lang w:val="en-US" w:eastAsia="zh-CN"/>
              </w:rPr>
              <w:t xml:space="preserve">0.8</w:t>
            </w:r>
            <w:r>
              <w:rPr>
                <w:rFonts w:hint="eastAsia" w:ascii="宋体" w:hAnsi="宋体" w:eastAsia="宋体" w:cs="宋体"/>
                <w:b/>
                <w:bCs/>
                <w:color w:val="000000"/>
                <w:sz w:val="21"/>
                <w:szCs w:val="21"/>
                <w:highlight w:val="none"/>
                <w:u w:val="single"/>
              </w:rPr>
              <w:t xml:space="preserve">%，成交服务收费按上述计算方法不足人民币3000元的，按人民币3000元收取；</w:t>
            </w:r>
            <w:r>
              <w:rPr>
                <w:rFonts w:hint="eastAsia" w:ascii="宋体" w:hAnsi="宋体" w:eastAsia="宋体" w:cs="宋体"/>
                <w:b/>
                <w:bCs/>
                <w:color w:val="000000"/>
                <w:sz w:val="21"/>
                <w:szCs w:val="21"/>
                <w:highlight w:val="none"/>
                <w:u w:val="single"/>
              </w:rPr>
            </w:r>
            <w:r/>
          </w:p>
          <w:p>
            <w:pPr>
              <w:pStyle w:val="994"/>
              <w:jc w:val="lef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缴纳时间：</w:t>
            </w:r>
            <w:r>
              <w:rPr>
                <w:rFonts w:hint="eastAsia" w:ascii="宋体" w:hAnsi="宋体" w:eastAsia="宋体" w:cs="宋体"/>
                <w:b/>
                <w:bCs/>
                <w:color w:val="000000"/>
                <w:sz w:val="21"/>
                <w:szCs w:val="21"/>
                <w:highlight w:val="none"/>
                <w:u w:val="single"/>
                <w:lang w:val="en-US" w:eastAsia="zh-CN"/>
              </w:rPr>
              <w:t xml:space="preserve">成交供应商</w:t>
            </w:r>
            <w:r>
              <w:rPr>
                <w:rFonts w:hint="eastAsia" w:ascii="宋体" w:hAnsi="宋体" w:eastAsia="宋体" w:cs="宋体"/>
                <w:b/>
                <w:bCs/>
                <w:color w:val="000000"/>
                <w:sz w:val="21"/>
                <w:szCs w:val="21"/>
                <w:highlight w:val="none"/>
                <w:u w:val="single"/>
              </w:rPr>
              <w:t xml:space="preserve">应在中标</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成交</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结果公示结束后五个工作日内支付至代理机构</w:t>
            </w:r>
            <w:r>
              <w:rPr>
                <w:rFonts w:hint="eastAsia" w:ascii="宋体" w:hAnsi="宋体" w:eastAsia="宋体" w:cs="宋体"/>
                <w:b/>
                <w:bCs/>
                <w:color w:val="000000"/>
                <w:sz w:val="21"/>
                <w:szCs w:val="21"/>
                <w:highlight w:val="none"/>
              </w:rPr>
              <w:t xml:space="preserve">。</w:t>
            </w:r>
            <w:r>
              <w:rPr>
                <w:rFonts w:hint="eastAsia" w:ascii="宋体" w:hAnsi="宋体" w:cs="宋体"/>
                <w:color w:val="000000"/>
                <w:szCs w:val="21"/>
                <w:highlight w:val="none"/>
              </w:rPr>
            </w:r>
            <w:r/>
          </w:p>
          <w:p>
            <w:pPr>
              <w:pStyle w:val="994"/>
              <w:jc w:val="left"/>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收款单位：常州市阳峻项目管理有限公司</w:t>
            </w:r>
            <w:r>
              <w:rPr>
                <w:rFonts w:hint="eastAsia" w:ascii="宋体" w:hAnsi="宋体" w:eastAsia="宋体" w:cs="宋体"/>
                <w:b/>
                <w:bCs/>
                <w:color w:val="000000"/>
                <w:sz w:val="21"/>
                <w:szCs w:val="21"/>
                <w:highlight w:val="none"/>
                <w:u w:val="single"/>
                <w:lang w:val="en-US" w:eastAsia="zh-CN"/>
              </w:rPr>
            </w:r>
            <w:r/>
          </w:p>
          <w:p>
            <w:pPr>
              <w:pStyle w:val="994"/>
              <w:jc w:val="left"/>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开户银行：中国农业银行股份有限公司常州天宁支行</w:t>
            </w:r>
            <w:r>
              <w:rPr>
                <w:rFonts w:hint="eastAsia" w:ascii="宋体" w:hAnsi="宋体" w:eastAsia="宋体" w:cs="宋体"/>
                <w:b/>
                <w:bCs/>
                <w:color w:val="000000"/>
                <w:sz w:val="21"/>
                <w:szCs w:val="21"/>
                <w:highlight w:val="none"/>
                <w:u w:val="single"/>
                <w:lang w:val="en-US" w:eastAsia="zh-CN"/>
              </w:rPr>
            </w:r>
            <w:r/>
          </w:p>
          <w:p>
            <w:pPr>
              <w:pStyle w:val="994"/>
              <w:jc w:val="left"/>
              <w:rPr>
                <w:rFonts w:hint="eastAsia"/>
                <w:color w:val="000000"/>
                <w:highlight w:val="none"/>
              </w:rPr>
            </w:pPr>
            <w:r>
              <w:rPr>
                <w:rFonts w:hint="eastAsia" w:ascii="宋体" w:hAnsi="宋体" w:eastAsia="宋体" w:cs="宋体"/>
                <w:b/>
                <w:bCs/>
                <w:color w:val="000000"/>
                <w:sz w:val="21"/>
                <w:szCs w:val="21"/>
                <w:highlight w:val="none"/>
                <w:u w:val="single"/>
                <w:lang w:val="en-US" w:eastAsia="zh-CN"/>
              </w:rPr>
              <w:t xml:space="preserve">银行账号：1061 3001 0402 31265 </w:t>
            </w:r>
            <w:r>
              <w:rPr>
                <w:rFonts w:hint="eastAsia"/>
                <w:color w:val="000000"/>
                <w:highlight w:val="none"/>
              </w:rPr>
            </w:r>
            <w:r/>
          </w:p>
        </w:tc>
      </w:tr>
      <w:tr>
        <w:trPr>
          <w:trHeight w:val="772"/>
        </w:trPr>
        <w:tc>
          <w:tcPr>
            <w:tcW w:w="988" w:type="dxa"/>
            <w:vAlign w:val="center"/>
            <w:textDirection w:val="lrTb"/>
            <w:noWrap w:val="false"/>
          </w:tcPr>
          <w:p>
            <w:pPr>
              <w:pStyle w:val="1033"/>
              <w:jc w:val="center"/>
              <w:rPr>
                <w:rFonts w:hint="eastAsia" w:ascii="宋体" w:hAnsi="宋体" w:cs="宋体"/>
                <w:color w:val="000000"/>
                <w:sz w:val="21"/>
                <w:szCs w:val="21"/>
                <w:highlight w:val="none"/>
                <w:lang w:val="en-US" w:eastAsia="zh-CN" w:bidi="ar-SA"/>
              </w:rPr>
            </w:pPr>
            <w:r>
              <w:rPr>
                <w:rFonts w:hAnsi="宋体" w:cs="宋体"/>
                <w:color w:val="000000"/>
                <w:szCs w:val="21"/>
                <w:highlight w:val="none"/>
              </w:rPr>
              <w:t xml:space="preserve">26</w:t>
            </w:r>
            <w:r>
              <w:rPr>
                <w:rFonts w:hint="eastAsia" w:ascii="宋体" w:hAnsi="宋体" w:cs="宋体"/>
                <w:color w:val="000000"/>
                <w:sz w:val="21"/>
                <w:szCs w:val="21"/>
                <w:highlight w:val="none"/>
                <w:lang w:val="en-US" w:eastAsia="zh-CN" w:bidi="ar-SA"/>
              </w:rPr>
            </w:r>
            <w:r/>
          </w:p>
        </w:tc>
        <w:tc>
          <w:tcPr>
            <w:tcW w:w="1701" w:type="dxa"/>
            <w:vAlign w:val="center"/>
            <w:textDirection w:val="lrTb"/>
            <w:noWrap w:val="false"/>
          </w:tcPr>
          <w:p>
            <w:pPr>
              <w:pStyle w:val="994"/>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纸质响应文件</w:t>
            </w:r>
            <w:r>
              <w:rPr>
                <w:rFonts w:hint="eastAsia" w:ascii="宋体" w:hAnsi="宋体" w:cs="宋体"/>
                <w:color w:val="000000"/>
                <w:sz w:val="21"/>
                <w:szCs w:val="21"/>
                <w:highlight w:val="none"/>
                <w:lang w:val="en-US" w:eastAsia="zh-CN" w:bidi="ar-SA"/>
              </w:rPr>
            </w:r>
            <w:r/>
          </w:p>
        </w:tc>
        <w:tc>
          <w:tcPr>
            <w:tcW w:w="7253" w:type="dxa"/>
            <w:vAlign w:val="center"/>
            <w:textDirection w:val="lrTb"/>
            <w:noWrap w:val="false"/>
          </w:tcPr>
          <w:p>
            <w:pPr>
              <w:pStyle w:val="994"/>
              <w:jc w:val="lef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成交供应商在签订合同前向代理机构提供正本1套、副本2套纸质响应文件，</w:t>
            </w:r>
            <w:r>
              <w:rPr>
                <w:rFonts w:hint="eastAsia" w:ascii="宋体" w:hAnsi="宋体" w:cs="宋体"/>
                <w:b/>
                <w:bCs/>
                <w:color w:val="000000"/>
                <w:szCs w:val="21"/>
                <w:highlight w:val="none"/>
              </w:rPr>
            </w:r>
            <w:r/>
          </w:p>
          <w:p>
            <w:pPr>
              <w:pStyle w:val="994"/>
              <w:jc w:val="left"/>
              <w:rPr>
                <w:rFonts w:hint="eastAsia" w:ascii="宋体" w:hAnsi="宋体" w:cs="宋体"/>
                <w:b/>
                <w:bCs/>
                <w:color w:val="000000"/>
                <w:sz w:val="21"/>
                <w:szCs w:val="21"/>
                <w:highlight w:val="none"/>
                <w:u w:val="single"/>
                <w:lang w:val="en-US" w:eastAsia="zh-CN" w:bidi="ar-SA"/>
              </w:rPr>
            </w:pPr>
            <w:r>
              <w:rPr>
                <w:rFonts w:hint="eastAsia" w:ascii="宋体" w:hAnsi="宋体" w:cs="宋体"/>
                <w:b/>
                <w:bCs/>
                <w:color w:val="000000"/>
                <w:szCs w:val="21"/>
                <w:highlight w:val="none"/>
              </w:rPr>
              <w:t xml:space="preserve">在每一份纸质响应文件上要明确注明“正本” 或“副本”字样。</w:t>
            </w:r>
            <w:r>
              <w:rPr>
                <w:rFonts w:hint="eastAsia" w:ascii="宋体" w:hAnsi="宋体" w:cs="宋体"/>
                <w:b/>
                <w:bCs/>
                <w:color w:val="000000"/>
                <w:sz w:val="21"/>
                <w:szCs w:val="21"/>
                <w:highlight w:val="none"/>
                <w:u w:val="single"/>
                <w:lang w:val="en-US" w:eastAsia="zh-CN" w:bidi="ar-SA"/>
              </w:rPr>
            </w:r>
            <w:r/>
          </w:p>
        </w:tc>
      </w:tr>
      <w:tr>
        <w:trPr>
          <w:trHeight w:val="1742"/>
        </w:trPr>
        <w:tc>
          <w:tcPr>
            <w:tcW w:w="988" w:type="dxa"/>
            <w:vAlign w:val="center"/>
            <w:textDirection w:val="lrTb"/>
            <w:noWrap w:val="false"/>
          </w:tcPr>
          <w:p>
            <w:pPr>
              <w:pStyle w:val="1033"/>
              <w:jc w:val="center"/>
              <w:rPr>
                <w:rFonts w:hAnsi="宋体" w:cs="宋体"/>
                <w:color w:val="000000"/>
                <w:szCs w:val="21"/>
                <w:highlight w:val="none"/>
              </w:rPr>
            </w:pPr>
            <w:r>
              <w:rPr>
                <w:rFonts w:hint="eastAsia" w:hAnsi="宋体" w:cs="宋体"/>
                <w:b/>
                <w:bCs/>
                <w:color w:val="000000"/>
                <w:szCs w:val="21"/>
                <w:highlight w:val="none"/>
                <w:lang w:val="en-US" w:eastAsia="zh-CN"/>
              </w:rPr>
              <w:t xml:space="preserve">27</w:t>
            </w:r>
            <w:r>
              <w:rPr>
                <w:rFonts w:hAnsi="宋体" w:cs="宋体"/>
                <w:color w:val="000000"/>
                <w:szCs w:val="21"/>
                <w:highlight w:val="none"/>
              </w:rPr>
            </w:r>
            <w:r/>
          </w:p>
        </w:tc>
        <w:tc>
          <w:tcPr>
            <w:tcW w:w="1701"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eastAsia="宋体" w:cs="宋体"/>
                <w:b/>
                <w:bCs/>
                <w:color w:val="000000"/>
                <w:sz w:val="21"/>
                <w:szCs w:val="21"/>
                <w:highlight w:val="none"/>
              </w:rPr>
              <w:t xml:space="preserve">重要提醒</w:t>
            </w:r>
            <w:r>
              <w:rPr>
                <w:rFonts w:hint="eastAsia" w:ascii="宋体" w:hAnsi="宋体" w:cs="宋体"/>
                <w:color w:val="000000"/>
                <w:szCs w:val="21"/>
                <w:highlight w:val="none"/>
              </w:rPr>
            </w:r>
            <w:r/>
          </w:p>
        </w:tc>
        <w:tc>
          <w:tcPr>
            <w:tcW w:w="7253" w:type="dxa"/>
            <w:vAlign w:val="center"/>
            <w:textDirection w:val="lrTb"/>
            <w:noWrap w:val="false"/>
          </w:tcPr>
          <w:p>
            <w:pPr>
              <w:pStyle w:val="994"/>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根据省厅规范要求，当前苏彩云系统中，竞争性磋商/谈判项目，评审委员会开启多轮报价时，仅能进行一次报价即为“最终报价”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供应商需保障当时人员在线，关注苏彩云系统，及时提交最终报价。</w:t>
            </w:r>
            <w:r>
              <w:rPr>
                <w:rFonts w:hint="eastAsia" w:ascii="宋体" w:hAnsi="宋体" w:eastAsia="宋体" w:cs="宋体"/>
                <w:b/>
                <w:bCs/>
                <w:color w:val="000000"/>
                <w:sz w:val="21"/>
                <w:szCs w:val="21"/>
                <w:highlight w:val="none"/>
              </w:rPr>
            </w:r>
            <w:r/>
          </w:p>
          <w:p>
            <w:pPr>
              <w:pStyle w:val="994"/>
              <w:jc w:val="left"/>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若评审委员会开启“最终报价”后，相应供应商未及时在苏彩云系统中响应报价的，报价时间截止后，该供应商视为放弃参与评审，将被废标处理。若最终实际报价供应商不满3家，按政府采购法规要求，该项目作废标处理。</w:t>
            </w:r>
            <w:r>
              <w:rPr>
                <w:rFonts w:hint="eastAsia" w:ascii="宋体" w:hAnsi="宋体" w:cs="宋体"/>
                <w:b/>
                <w:bCs/>
                <w:color w:val="000000"/>
                <w:szCs w:val="21"/>
                <w:highlight w:val="none"/>
              </w:rPr>
            </w:r>
            <w:r/>
          </w:p>
        </w:tc>
      </w:tr>
    </w:tbl>
    <w:p>
      <w:pPr>
        <w:pStyle w:val="994"/>
        <w:jc w:val="both"/>
        <w:spacing w:line="360" w:lineRule="auto"/>
        <w:tabs>
          <w:tab w:val="left" w:pos="5580" w:leader="none"/>
        </w:tabs>
        <w:rPr>
          <w:color w:val="000000"/>
          <w:sz w:val="24"/>
          <w:highlight w:val="none"/>
        </w:rPr>
        <w:sectPr>
          <w:footerReference w:type="default" r:id="rId12"/>
          <w:footerReference w:type="first" r:id="rId13"/>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996"/>
        <w:spacing w:before="0" w:line="360" w:lineRule="auto"/>
        <w:tabs>
          <w:tab w:val="center" w:pos="4592" w:leader="none"/>
          <w:tab w:val="left" w:pos="7860" w:leader="none"/>
        </w:tabs>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t xml:space="preserve">供应商须知</w:t>
      </w:r>
      <w:r>
        <w:rPr>
          <w:rFonts w:ascii="Times New Roman" w:hAnsi="Times New Roman" w:eastAsia="宋体" w:cs="Times New Roman"/>
          <w:b/>
          <w:color w:val="000000"/>
          <w:sz w:val="28"/>
          <w:highlight w:val="none"/>
        </w:rPr>
      </w:r>
      <w:r/>
    </w:p>
    <w:p>
      <w:pPr>
        <w:pStyle w:val="99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127151518"/>
      <w:r/>
      <w:bookmarkStart w:id="73" w:name="_Toc520356143"/>
      <w:r>
        <w:rPr>
          <w:rFonts w:ascii="Times New Roman" w:hAnsi="Times New Roman" w:eastAsia="宋体"/>
          <w:color w:val="000000"/>
          <w:sz w:val="28"/>
          <w:highlight w:val="none"/>
        </w:rPr>
        <w:tab/>
      </w:r>
      <w:bookmarkStart w:id="74" w:name="_Toc150774618"/>
      <w:r/>
      <w:bookmarkStart w:id="75" w:name="_Toc150509269"/>
      <w:r/>
      <w:bookmarkStart w:id="76" w:name="_Toc150774723"/>
      <w:r/>
      <w:bookmarkStart w:id="77" w:name="_Toc305158786"/>
      <w:r/>
      <w:bookmarkStart w:id="78" w:name="_Toc226965708"/>
      <w:r/>
      <w:bookmarkStart w:id="79" w:name="_Toc226309762"/>
      <w:r/>
      <w:bookmarkStart w:id="80" w:name="_Toc226965791"/>
      <w:r/>
      <w:bookmarkStart w:id="81" w:name="_Toc151193832"/>
      <w:r/>
      <w:bookmarkStart w:id="82" w:name="_Toc226337214"/>
      <w:r/>
      <w:bookmarkStart w:id="83" w:name="_Toc195842883"/>
      <w:r/>
      <w:bookmarkStart w:id="84" w:name="_Toc150480756"/>
      <w:r/>
      <w:bookmarkStart w:id="85" w:name="_Toc151193688"/>
      <w:r/>
      <w:bookmarkStart w:id="86" w:name="_Toc151193906"/>
      <w:r/>
      <w:bookmarkStart w:id="87" w:name="_Toc151193760"/>
      <w:r/>
      <w:bookmarkStart w:id="88" w:name="_Toc265228356"/>
      <w:r/>
      <w:bookmarkStart w:id="89" w:name="_Toc151190145"/>
      <w:r/>
      <w:bookmarkStart w:id="90" w:name="_Toc305158860"/>
      <w:r/>
      <w:bookmarkStart w:id="91" w:name="_Toc264969208"/>
      <w:r/>
      <w:bookmarkStart w:id="92" w:name="_Toc151193616"/>
      <w:r/>
      <w:bookmarkStart w:id="93" w:name="_Toc142311020"/>
      <w:r>
        <w:rPr>
          <w:rFonts w:ascii="Times New Roman" w:hAnsi="Times New Roman" w:eastAsia="宋体" w:cs="Times New Roman"/>
          <w:b/>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94"/>
        <w:numPr>
          <w:ilvl w:val="0"/>
          <w:numId w:val="0"/>
        </w:numPr>
        <w:ind w:firstLine="210"/>
        <w:jc w:val="left"/>
        <w:spacing w:line="360" w:lineRule="auto"/>
        <w:tabs>
          <w:tab w:val="left" w:pos="360" w:leader="none"/>
        </w:tabs>
        <w:rPr>
          <w:rFonts w:hint="eastAsia" w:ascii="宋体" w:hAnsi="宋体" w:eastAsia="宋体" w:cs="宋体"/>
          <w:color w:val="000000"/>
          <w:sz w:val="21"/>
          <w:szCs w:val="21"/>
          <w:highlight w:val="none"/>
        </w:rPr>
        <w:outlineLvl w:val="1"/>
      </w:pPr>
      <w:r/>
      <w:bookmarkStart w:id="94" w:name="_Toc264969209"/>
      <w:r/>
      <w:bookmarkStart w:id="95" w:name="_Toc305158861"/>
      <w:r/>
      <w:bookmarkStart w:id="96" w:name="_Toc265228357"/>
      <w:r/>
      <w:bookmarkStart w:id="97" w:name="_Toc305158787"/>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采购人、采购代理机构、供应商</w:t>
      </w:r>
      <w:bookmarkEnd w:id="94"/>
      <w:r/>
      <w:bookmarkEnd w:id="95"/>
      <w:r/>
      <w:bookmarkEnd w:id="96"/>
      <w:r/>
      <w:bookmarkEnd w:id="97"/>
      <w:r>
        <w:rPr>
          <w:rFonts w:hint="eastAsia" w:ascii="宋体" w:hAnsi="宋体" w:eastAsia="宋体" w:cs="宋体"/>
          <w:color w:val="000000"/>
          <w:sz w:val="21"/>
          <w:szCs w:val="21"/>
          <w:highlight w:val="none"/>
        </w:rPr>
        <w:t xml:space="preserve">、联合体</w:t>
      </w:r>
      <w:r>
        <w:rPr>
          <w:rFonts w:hint="eastAsia" w:ascii="宋体" w:hAnsi="宋体" w:eastAsia="宋体" w:cs="宋体"/>
          <w:color w:val="000000"/>
          <w:sz w:val="21"/>
          <w:szCs w:val="21"/>
          <w:highlight w:val="none"/>
        </w:rPr>
      </w:r>
      <w:r/>
    </w:p>
    <w:p>
      <w:pPr>
        <w:pStyle w:val="994"/>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1"/>
          <w:szCs w:val="21"/>
          <w:highlight w:val="none"/>
        </w:rPr>
      </w:r>
      <w:r/>
    </w:p>
    <w:p>
      <w:pPr>
        <w:pStyle w:val="994"/>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供应商（也称“申请人”）：指向采购人提供货物、工程或者服务的法人、其他组织或者自然人。</w:t>
      </w:r>
      <w:r>
        <w:rPr>
          <w:rFonts w:hint="eastAsia" w:ascii="宋体" w:hAnsi="宋体" w:eastAsia="宋体" w:cs="宋体"/>
          <w:color w:val="000000"/>
          <w:sz w:val="21"/>
          <w:szCs w:val="21"/>
          <w:highlight w:val="none"/>
        </w:rPr>
      </w:r>
      <w:r/>
    </w:p>
    <w:p>
      <w:pPr>
        <w:pStyle w:val="994"/>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98" w:name="_Toc149720813"/>
      <w:r/>
      <w:bookmarkStart w:id="99" w:name="_Toc151190147"/>
      <w:r/>
      <w:bookmarkStart w:id="100" w:name="_Toc127161434"/>
      <w:r/>
      <w:bookmarkStart w:id="101" w:name="_Toc150509271"/>
      <w:r/>
      <w:bookmarkStart w:id="102" w:name="_Toc151193690"/>
      <w:r/>
      <w:bookmarkStart w:id="103" w:name="_Toc151193762"/>
      <w:r/>
      <w:bookmarkStart w:id="104" w:name="_Toc164351614"/>
      <w:r/>
      <w:bookmarkStart w:id="105" w:name="_Toc127151520"/>
      <w:r/>
      <w:bookmarkStart w:id="106" w:name="_Toc226337216"/>
      <w:r/>
      <w:bookmarkStart w:id="107" w:name="_Toc150774725"/>
      <w:r/>
      <w:bookmarkStart w:id="108" w:name="_Toc305158788"/>
      <w:r/>
      <w:bookmarkStart w:id="109" w:name="_Toc127151721"/>
      <w:r/>
      <w:bookmarkStart w:id="110" w:name="_Toc151193908"/>
      <w:r/>
      <w:bookmarkStart w:id="111" w:name="_Toc150774620"/>
      <w:r/>
      <w:bookmarkStart w:id="112" w:name="_Toc164229361"/>
      <w:r/>
      <w:bookmarkStart w:id="113" w:name="_Toc151193834"/>
      <w:r/>
      <w:bookmarkStart w:id="114" w:name="_Toc164229215"/>
      <w:r/>
      <w:bookmarkStart w:id="115" w:name="_Toc164608789"/>
      <w:r/>
      <w:bookmarkStart w:id="116" w:name="_Toc265228358"/>
      <w:r/>
      <w:bookmarkStart w:id="117" w:name="_Toc150480758"/>
      <w:r/>
      <w:bookmarkStart w:id="118" w:name="_Toc226309764"/>
      <w:r/>
      <w:bookmarkStart w:id="119" w:name="_Toc164608634"/>
      <w:r/>
      <w:bookmarkStart w:id="120" w:name="_Toc226965710"/>
      <w:r/>
      <w:bookmarkStart w:id="121" w:name="_Toc142311022"/>
      <w:r/>
      <w:bookmarkStart w:id="122" w:name="_Toc264969210"/>
      <w:r/>
      <w:bookmarkStart w:id="123" w:name="_Toc305158862"/>
      <w:r/>
      <w:bookmarkStart w:id="124" w:name="_Toc151193618"/>
      <w:r/>
      <w:bookmarkStart w:id="125" w:name="_Toc226965793"/>
      <w:r/>
      <w:bookmarkStart w:id="126" w:name="_Toc195842885"/>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color w:val="000000"/>
          <w:sz w:val="21"/>
          <w:szCs w:val="21"/>
          <w:highlight w:val="none"/>
        </w:rPr>
        <w:t xml:space="preserve">、项目属性、科研仪器设备采购</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资金来源为财政性资金和/或本项目采购中无法与财政性资金分割的非财政性资金。</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项目属性见《供应商须知资料表》。</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是否属于科研仪器设备采购见《供应商须知资料表》。</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现场考察、磋商前答疑会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若《供应商须知资料表》中规定了组织现场考察、召开磋商前答疑会，则供应商应按要求在规定的时间和地点参加。</w:t>
      </w:r>
      <w:bookmarkStart w:id="127" w:name="_Toc151193692"/>
      <w:r/>
      <w:bookmarkStart w:id="128" w:name="_Toc151193620"/>
      <w:r/>
      <w:bookmarkStart w:id="129" w:name="_Toc150774727"/>
      <w:r/>
      <w:bookmarkStart w:id="130" w:name="_Toc265228360"/>
      <w:r/>
      <w:bookmarkStart w:id="131" w:name="_Toc305158790"/>
      <w:r/>
      <w:bookmarkStart w:id="132" w:name="_Toc150774622"/>
      <w:r/>
      <w:bookmarkStart w:id="133" w:name="_Toc520356146"/>
      <w:r/>
      <w:bookmarkStart w:id="134" w:name="_Toc151190149"/>
      <w:r/>
      <w:bookmarkStart w:id="135" w:name="_Toc127151522"/>
      <w:r/>
      <w:bookmarkStart w:id="136" w:name="_Toc151193764"/>
      <w:r/>
      <w:bookmarkStart w:id="137" w:name="_Toc305158864"/>
      <w:r/>
      <w:bookmarkStart w:id="138" w:name="_Toc142311024"/>
      <w:r/>
      <w:bookmarkStart w:id="139" w:name="_Toc226965795"/>
      <w:r/>
      <w:bookmarkStart w:id="140" w:name="_Toc226337218"/>
      <w:r/>
      <w:bookmarkStart w:id="141" w:name="_Toc264969212"/>
      <w:r/>
      <w:bookmarkStart w:id="142" w:name="_Toc150509273"/>
      <w:r/>
      <w:bookmarkStart w:id="143" w:name="_Toc151193910"/>
      <w:r/>
      <w:bookmarkStart w:id="144" w:name="_Toc195842887"/>
      <w:r/>
      <w:bookmarkStart w:id="145" w:name="_Toc150480760"/>
      <w:r/>
      <w:bookmarkStart w:id="146" w:name="_Toc151193836"/>
      <w:r/>
      <w:bookmarkStart w:id="147" w:name="_Toc226965712"/>
      <w:r/>
      <w:bookmarkStart w:id="148" w:name="_Toc226309766"/>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政府采购政策（包括但不限于下列具体政策要求）</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进口产品</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4.1.1</w:t>
      </w:r>
      <w:r>
        <w:rPr>
          <w:rFonts w:hint="eastAsia" w:ascii="宋体" w:hAnsi="宋体" w:eastAsia="宋体" w:cs="宋体"/>
          <w:color w:val="000000"/>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中小企业、监狱企业及残疾人福利性单位</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w:t>
      </w:r>
      <w:r>
        <w:rPr>
          <w:rFonts w:hint="eastAsia" w:ascii="宋体" w:hAnsi="宋体" w:eastAsia="宋体" w:cs="宋体"/>
          <w:color w:val="000000"/>
          <w:sz w:val="21"/>
          <w:szCs w:val="21"/>
          <w:highlight w:val="none"/>
        </w:rPr>
        <w:t xml:space="preserve">中小企业定义：</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4.2.1.1</w:t>
      </w:r>
      <w:r>
        <w:rPr>
          <w:rFonts w:hint="eastAsia" w:ascii="宋体" w:hAnsi="宋体" w:eastAsia="宋体" w:cs="宋体"/>
          <w:color w:val="000000"/>
          <w:sz w:val="21"/>
          <w:szCs w:val="21"/>
          <w:highlight w:val="none"/>
        </w:rPr>
        <w:t xml:space="preserve">中小企业是</w:t>
      </w:r>
      <w:r>
        <w:rPr>
          <w:rFonts w:hint="eastAsia" w:ascii="宋体" w:hAnsi="宋体" w:eastAsia="宋体" w:cs="宋体"/>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4.2.1.2</w:t>
      </w:r>
      <w:r>
        <w:rPr>
          <w:rFonts w:hint="eastAsia" w:ascii="宋体" w:hAnsi="宋体" w:eastAsia="宋体" w:cs="宋体"/>
          <w:color w:val="000000"/>
          <w:sz w:val="21"/>
          <w:szCs w:val="21"/>
          <w:highlight w:val="none"/>
        </w:rPr>
        <w:t xml:space="preserve">供应商提供的货物、工程或者服务符合下列情形的，享受中小企业扶持政策：</w:t>
      </w:r>
      <w:r>
        <w:rPr>
          <w:rFonts w:hint="eastAsia" w:ascii="宋体" w:hAnsi="宋体" w:eastAsia="宋体" w:cs="宋体"/>
          <w:color w:val="000000"/>
          <w:sz w:val="21"/>
          <w:szCs w:val="21"/>
          <w:highlight w:val="none"/>
        </w:rPr>
      </w:r>
      <w:r/>
    </w:p>
    <w:p>
      <w:pPr>
        <w:pStyle w:val="994"/>
        <w:ind w:firstLine="420"/>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rPr>
      </w:r>
      <w:r/>
    </w:p>
    <w:p>
      <w:pPr>
        <w:pStyle w:val="994"/>
        <w:ind w:firstLine="420"/>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在工程采购项目中，工程由中小企业承建，即工程施工单位为中小企业；</w:t>
      </w:r>
      <w:r>
        <w:rPr>
          <w:rFonts w:hint="eastAsia" w:ascii="宋体" w:hAnsi="宋体" w:eastAsia="宋体" w:cs="宋体"/>
          <w:color w:val="000000"/>
          <w:sz w:val="21"/>
          <w:szCs w:val="21"/>
          <w:highlight w:val="none"/>
        </w:rPr>
      </w:r>
      <w:r/>
    </w:p>
    <w:p>
      <w:pPr>
        <w:pStyle w:val="994"/>
        <w:ind w:firstLine="420"/>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4.2.1.3</w:t>
      </w:r>
      <w:r>
        <w:rPr>
          <w:rFonts w:hint="eastAsia" w:ascii="宋体" w:hAnsi="宋体" w:eastAsia="宋体" w:cs="宋体"/>
          <w:color w:val="000000"/>
          <w:sz w:val="21"/>
          <w:szCs w:val="21"/>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4.2.1.4</w:t>
      </w:r>
      <w:r>
        <w:rPr>
          <w:rFonts w:hint="eastAsia" w:ascii="宋体" w:hAnsi="宋体" w:eastAsia="宋体" w:cs="宋体"/>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4.2.2</w:t>
      </w:r>
      <w:r>
        <w:rPr>
          <w:rFonts w:hint="eastAsia" w:ascii="宋体" w:hAnsi="宋体" w:eastAsia="宋体" w:cs="宋体"/>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w:t>
      </w: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4.2.3.1</w:t>
      </w:r>
      <w:r>
        <w:rPr>
          <w:rFonts w:hint="eastAsia" w:ascii="宋体" w:hAnsi="宋体" w:eastAsia="宋体" w:cs="宋体"/>
          <w:color w:val="000000"/>
          <w:sz w:val="21"/>
          <w:szCs w:val="21"/>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4.2.3.2</w:t>
      </w:r>
      <w:r>
        <w:rPr>
          <w:rFonts w:hint="eastAsia" w:ascii="宋体" w:hAnsi="宋体" w:eastAsia="宋体" w:cs="宋体"/>
          <w:color w:val="000000"/>
          <w:sz w:val="21"/>
          <w:szCs w:val="21"/>
          <w:highlight w:val="none"/>
        </w:rPr>
        <w:t xml:space="preserve">依法与安置的每位残疾人签订了一年以上（含一年）的劳动合同或服务协议；</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4.2.3.3</w:t>
      </w:r>
      <w:r>
        <w:rPr>
          <w:rFonts w:hint="eastAsia" w:ascii="宋体" w:hAnsi="宋体" w:eastAsia="宋体" w:cs="宋体"/>
          <w:color w:val="000000"/>
          <w:sz w:val="21"/>
          <w:szCs w:val="21"/>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4.2.3.4</w:t>
      </w:r>
      <w:r>
        <w:rPr>
          <w:rFonts w:hint="eastAsia" w:ascii="宋体" w:hAnsi="宋体" w:eastAsia="宋体" w:cs="宋体"/>
          <w:color w:val="000000"/>
          <w:sz w:val="21"/>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4.2.3.5</w:t>
      </w:r>
      <w:r>
        <w:rPr>
          <w:rFonts w:hint="eastAsia" w:ascii="宋体" w:hAnsi="宋体" w:eastAsia="宋体" w:cs="宋体"/>
          <w:color w:val="000000"/>
          <w:sz w:val="21"/>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4.2.3.6</w:t>
      </w:r>
      <w:r>
        <w:rPr>
          <w:rFonts w:hint="eastAsia" w:ascii="宋体" w:hAnsi="宋体" w:eastAsia="宋体" w:cs="宋体"/>
          <w:color w:val="000000"/>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4.2.4</w:t>
      </w:r>
      <w:r>
        <w:rPr>
          <w:rFonts w:hint="eastAsia" w:ascii="宋体" w:hAnsi="宋体" w:eastAsia="宋体" w:cs="宋体"/>
          <w:color w:val="000000"/>
          <w:sz w:val="21"/>
          <w:szCs w:val="21"/>
          <w:highlight w:val="none"/>
        </w:rPr>
        <w:t xml:space="preserve">本项目是否专门面向中小企业预留采购份额见第一章《采购邀请》。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4.2.5</w:t>
      </w:r>
      <w:r>
        <w:rPr>
          <w:rFonts w:hint="eastAsia" w:ascii="宋体" w:hAnsi="宋体" w:eastAsia="宋体" w:cs="宋体"/>
          <w:color w:val="000000"/>
          <w:sz w:val="21"/>
          <w:szCs w:val="21"/>
          <w:highlight w:val="none"/>
        </w:rPr>
        <w:t xml:space="preserve">采购标的对应的中小企业划分标准所属行业见《供应商须知资料表》。</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4.2.6</w:t>
      </w:r>
      <w:r>
        <w:rPr>
          <w:rFonts w:hint="eastAsia" w:ascii="宋体" w:hAnsi="宋体" w:eastAsia="宋体" w:cs="宋体"/>
          <w:color w:val="000000"/>
          <w:sz w:val="21"/>
          <w:szCs w:val="21"/>
          <w:highlight w:val="none"/>
        </w:rPr>
        <w:t xml:space="preserve">小微企业价格评审优惠的政策调整：见第三章《评审方法和评审标准》。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政府采购节能产品、环境标志产品</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4.3.1</w:t>
      </w:r>
      <w:r>
        <w:rPr>
          <w:rFonts w:hint="eastAsia" w:ascii="宋体" w:hAnsi="宋体" w:eastAsia="宋体" w:cs="宋体"/>
          <w:color w:val="000000"/>
          <w:sz w:val="21"/>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4.3.2</w:t>
      </w:r>
      <w:r>
        <w:rPr>
          <w:rFonts w:hint="eastAsia" w:ascii="宋体" w:hAnsi="宋体" w:eastAsia="宋体" w:cs="宋体"/>
          <w:color w:val="000000"/>
          <w:sz w:val="21"/>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4.3.3</w:t>
      </w:r>
      <w:r>
        <w:rPr>
          <w:rFonts w:hint="eastAsia" w:ascii="宋体" w:hAnsi="宋体" w:eastAsia="宋体" w:cs="宋体"/>
          <w:color w:val="000000"/>
          <w:sz w:val="21"/>
          <w:szCs w:val="21"/>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1"/>
          <w:szCs w:val="21"/>
          <w:highlight w:val="none"/>
        </w:rPr>
        <w:t xml:space="preserve">否则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4.3.4</w:t>
      </w:r>
      <w:r>
        <w:rPr>
          <w:rFonts w:hint="eastAsia" w:ascii="宋体" w:hAnsi="宋体" w:eastAsia="宋体" w:cs="宋体"/>
          <w:color w:val="000000"/>
          <w:sz w:val="21"/>
          <w:szCs w:val="21"/>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4.3.5</w:t>
      </w:r>
      <w:r>
        <w:rPr>
          <w:rFonts w:hint="eastAsia" w:ascii="宋体" w:hAnsi="宋体" w:eastAsia="宋体" w:cs="宋体"/>
          <w:color w:val="000000"/>
          <w:sz w:val="21"/>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t xml:space="preserve">支持乡村产业振兴管理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4.4.1</w:t>
      </w:r>
      <w:r>
        <w:rPr>
          <w:rFonts w:hint="eastAsia" w:ascii="宋体" w:hAnsi="宋体" w:eastAsia="宋体" w:cs="宋体"/>
          <w:color w:val="000000"/>
          <w:sz w:val="21"/>
          <w:szCs w:val="21"/>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正版软件</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4.5.1</w:t>
      </w:r>
      <w:r>
        <w:rPr>
          <w:rFonts w:hint="eastAsia" w:ascii="宋体" w:hAnsi="宋体" w:eastAsia="宋体" w:cs="宋体"/>
          <w:color w:val="000000"/>
          <w:sz w:val="21"/>
          <w:szCs w:val="21"/>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1"/>
          <w:szCs w:val="21"/>
          <w:highlight w:val="none"/>
        </w:rPr>
        <w:t xml:space="preserve">否则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4.5.2</w:t>
      </w:r>
      <w:r>
        <w:rPr>
          <w:rFonts w:hint="eastAsia" w:ascii="宋体" w:hAnsi="宋体" w:eastAsia="宋体" w:cs="宋体"/>
          <w:color w:val="000000"/>
          <w:sz w:val="21"/>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w:t>
      </w:r>
      <w:r>
        <w:rPr>
          <w:rFonts w:hint="eastAsia" w:ascii="宋体" w:hAnsi="宋体" w:eastAsia="宋体" w:cs="宋体"/>
          <w:color w:val="000000"/>
          <w:sz w:val="21"/>
          <w:szCs w:val="21"/>
          <w:highlight w:val="none"/>
          <w:lang w:eastAsia="zh-CN"/>
        </w:rPr>
        <w:t xml:space="preserve">357.777</w:t>
      </w:r>
      <w:r>
        <w:rPr>
          <w:rFonts w:hint="eastAsia" w:ascii="宋体" w:hAnsi="宋体" w:eastAsia="宋体" w:cs="宋体"/>
          <w:color w:val="000000"/>
          <w:sz w:val="21"/>
          <w:szCs w:val="21"/>
          <w:highlight w:val="none"/>
        </w:rPr>
        <w:t xml:space="preserve">6 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政府采购创新产品政策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4.6.1</w:t>
      </w:r>
      <w:r>
        <w:rPr>
          <w:rFonts w:hint="eastAsia" w:ascii="宋体" w:hAnsi="宋体" w:eastAsia="宋体" w:cs="宋体"/>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 绿色采购政策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4.7.1绿色数据中心政策 </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依据《绿色数据中心政府采购需求标准（试行）》（财办库〔2023〕7 号）文件精神，采购</w:t>
      </w:r>
      <w:r>
        <w:rPr>
          <w:rFonts w:hint="eastAsia" w:ascii="宋体" w:hAnsi="宋体" w:eastAsia="宋体" w:cs="宋体"/>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4.7.2推广应用绿色建材</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4.7.3优先使用低挥发性有机化合物产品</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1"/>
          <w:szCs w:val="21"/>
          <w:highlight w:val="none"/>
          <w:lang w:val="en-US" w:eastAsia="zh-CN"/>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5.响应费用</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1080" w:leader="none"/>
          <w:tab w:val="left" w:pos="2014" w:leader="none"/>
        </w:tabs>
        <w:rPr>
          <w:color w:val="000000"/>
          <w:sz w:val="28"/>
          <w:highlight w:val="none"/>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color w:val="000000"/>
          <w:sz w:val="28"/>
          <w:highlight w:val="none"/>
        </w:rPr>
      </w:r>
      <w:r/>
    </w:p>
    <w:p>
      <w:pPr>
        <w:pStyle w:val="99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150" w:name="_Toc142311025"/>
      <w:r/>
      <w:bookmarkStart w:id="151" w:name="_Toc151193693"/>
      <w:r/>
      <w:bookmarkStart w:id="152" w:name="_Toc520356147"/>
      <w:r/>
      <w:bookmarkStart w:id="153" w:name="_Toc150774728"/>
      <w:r/>
      <w:bookmarkStart w:id="154" w:name="_Toc164351617"/>
      <w:r/>
      <w:bookmarkStart w:id="155" w:name="_Toc226965796"/>
      <w:r/>
      <w:bookmarkStart w:id="156" w:name="_Toc226965713"/>
      <w:r/>
      <w:bookmarkStart w:id="157" w:name="_Toc151190150"/>
      <w:r/>
      <w:bookmarkStart w:id="158" w:name="_Toc164229364"/>
      <w:r/>
      <w:bookmarkStart w:id="159" w:name="_Toc226337219"/>
      <w:r/>
      <w:bookmarkStart w:id="160" w:name="_Toc305158865"/>
      <w:r/>
      <w:bookmarkStart w:id="161" w:name="_Toc151193837"/>
      <w:r/>
      <w:bookmarkStart w:id="162" w:name="_Toc150480761"/>
      <w:r/>
      <w:bookmarkStart w:id="163" w:name="_Toc150774623"/>
      <w:r/>
      <w:bookmarkStart w:id="164" w:name="_Toc164229218"/>
      <w:r/>
      <w:bookmarkStart w:id="165" w:name="_Toc164608792"/>
      <w:r/>
      <w:bookmarkStart w:id="166" w:name="_Toc150509274"/>
      <w:r/>
      <w:bookmarkStart w:id="167" w:name="_Toc149720816"/>
      <w:r/>
      <w:bookmarkStart w:id="168" w:name="_Toc226309767"/>
      <w:r/>
      <w:bookmarkStart w:id="169" w:name="_Toc127151724"/>
      <w:r/>
      <w:bookmarkStart w:id="170" w:name="_Toc195842888"/>
      <w:r/>
      <w:bookmarkStart w:id="171" w:name="_Toc127161437"/>
      <w:r/>
      <w:bookmarkStart w:id="172" w:name="_Toc127151523"/>
      <w:r/>
      <w:bookmarkStart w:id="173" w:name="_Toc164608637"/>
      <w:r/>
      <w:bookmarkStart w:id="174" w:name="_Toc151193765"/>
      <w:r/>
      <w:bookmarkStart w:id="175" w:name="_Toc151193621"/>
      <w:r/>
      <w:bookmarkStart w:id="176" w:name="_Toc151193911"/>
      <w:r/>
      <w:bookmarkStart w:id="177" w:name="_Toc265228361"/>
      <w:r/>
      <w:bookmarkStart w:id="178" w:name="_Toc305158791"/>
      <w:r/>
      <w:bookmarkStart w:id="179" w:name="_Toc264969213"/>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1"/>
          <w:szCs w:val="21"/>
          <w:highlight w:val="none"/>
        </w:rPr>
        <w:t xml:space="preserve">成</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rPr>
        <w:t xml:space="preserve">竞争性磋商文件包括以下部分：</w:t>
      </w:r>
      <w:r>
        <w:rPr>
          <w:rFonts w:hint="eastAsia" w:ascii="宋体" w:hAnsi="宋体" w:eastAsia="宋体" w:cs="宋体"/>
          <w:color w:val="000000"/>
          <w:sz w:val="21"/>
          <w:szCs w:val="21"/>
          <w:highlight w:val="none"/>
        </w:rPr>
      </w:r>
      <w:r/>
    </w:p>
    <w:p>
      <w:pPr>
        <w:pStyle w:val="994"/>
        <w:numPr>
          <w:ilvl w:val="0"/>
          <w:numId w:val="0"/>
        </w:numPr>
        <w:ind w:firstLine="420"/>
        <w:jc w:val="left"/>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第一章  </w:t>
      </w:r>
      <w:r>
        <w:rPr>
          <w:rFonts w:hint="eastAsia" w:ascii="宋体" w:hAnsi="宋体" w:eastAsia="宋体" w:cs="宋体"/>
          <w:color w:val="000000"/>
          <w:sz w:val="21"/>
          <w:szCs w:val="21"/>
          <w:highlight w:val="none"/>
        </w:rPr>
        <w:t xml:space="preserve">采购邀请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第二章  </w:t>
      </w:r>
      <w:r>
        <w:rPr>
          <w:rFonts w:hint="eastAsia" w:ascii="宋体" w:hAnsi="宋体" w:eastAsia="宋体" w:cs="宋体"/>
          <w:color w:val="000000"/>
          <w:sz w:val="21"/>
          <w:szCs w:val="21"/>
          <w:highlight w:val="none"/>
        </w:rPr>
        <w:t xml:space="preserve">供应商须知</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第三章  </w:t>
      </w:r>
      <w:r>
        <w:rPr>
          <w:rFonts w:hint="eastAsia" w:ascii="宋体" w:hAnsi="宋体" w:eastAsia="宋体" w:cs="宋体"/>
          <w:color w:val="000000"/>
          <w:sz w:val="21"/>
          <w:szCs w:val="21"/>
          <w:highlight w:val="none"/>
        </w:rPr>
        <w:t xml:space="preserve">评审程序、评审方法和评审标准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第四章  </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第五章  </w:t>
      </w:r>
      <w:r>
        <w:rPr>
          <w:rFonts w:hint="eastAsia" w:ascii="宋体" w:hAnsi="宋体" w:eastAsia="宋体" w:cs="宋体"/>
          <w:color w:val="000000"/>
          <w:sz w:val="21"/>
          <w:szCs w:val="21"/>
          <w:highlight w:val="none"/>
        </w:rPr>
        <w:t xml:space="preserve">合同草案条款</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第六章  </w:t>
      </w:r>
      <w:r>
        <w:rPr>
          <w:rFonts w:hint="eastAsia" w:ascii="宋体" w:hAnsi="宋体" w:eastAsia="宋体" w:cs="宋体"/>
          <w:color w:val="000000"/>
          <w:sz w:val="21"/>
          <w:szCs w:val="21"/>
          <w:highlight w:val="none"/>
        </w:rPr>
        <w:t xml:space="preserve">响应文件格式</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对竞争性磋商文件的澄清或修改</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61" w:leader="none"/>
          <w:tab w:val="left" w:pos="2014" w:leader="none"/>
        </w:tabs>
        <w:rPr>
          <w:color w:val="000000"/>
          <w:sz w:val="28"/>
          <w:highlight w:val="none"/>
        </w:rPr>
      </w:pP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1193768"/>
      <w:r/>
      <w:bookmarkStart w:id="181" w:name="_Toc226337222"/>
      <w:r/>
      <w:bookmarkStart w:id="182" w:name="_Toc151193914"/>
      <w:r/>
      <w:bookmarkStart w:id="183" w:name="_Toc151193624"/>
      <w:r/>
      <w:bookmarkStart w:id="184" w:name="_Toc150774731"/>
      <w:r/>
      <w:bookmarkStart w:id="185" w:name="_Toc151190153"/>
      <w:r/>
      <w:bookmarkStart w:id="186" w:name="_Toc151193696"/>
      <w:r/>
      <w:bookmarkStart w:id="187" w:name="_Toc150480764"/>
      <w:r/>
      <w:bookmarkStart w:id="188" w:name="_Toc150509277"/>
      <w:r/>
      <w:bookmarkStart w:id="189" w:name="_Toc151193840"/>
      <w:r/>
      <w:bookmarkStart w:id="190" w:name="_Toc264969216"/>
      <w:r/>
      <w:bookmarkStart w:id="191" w:name="_Toc226309770"/>
      <w:r/>
      <w:bookmarkStart w:id="192" w:name="_Toc516367020"/>
      <w:r/>
      <w:bookmarkStart w:id="193" w:name="_Toc195842891"/>
      <w:r/>
      <w:bookmarkStart w:id="194" w:name="_Toc520356150"/>
      <w:r/>
      <w:bookmarkStart w:id="195" w:name="_Toc150774626"/>
      <w:r/>
      <w:bookmarkStart w:id="196" w:name="_Toc127151526"/>
      <w:r/>
      <w:bookmarkStart w:id="197" w:name="_Toc305158868"/>
      <w:r/>
      <w:bookmarkStart w:id="198" w:name="_Toc142311028"/>
      <w:r/>
      <w:bookmarkStart w:id="199" w:name="_Toc305158794"/>
      <w:r/>
      <w:bookmarkStart w:id="200" w:name="_Toc226965716"/>
      <w:r/>
      <w:bookmarkStart w:id="201" w:name="_Toc265228364"/>
      <w:r/>
      <w:bookmarkStart w:id="202" w:name="_Toc226965799"/>
      <w:r>
        <w:rPr>
          <w:color w:val="000000"/>
          <w:sz w:val="28"/>
          <w:highlight w:val="none"/>
        </w:rPr>
      </w:r>
      <w:r/>
    </w:p>
    <w:p>
      <w:pPr>
        <w:pStyle w:val="996"/>
        <w:spacing w:before="0" w:line="360" w:lineRule="auto"/>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t xml:space="preserve">三   响应文件</w:t>
      </w:r>
      <w:bookmarkEnd w:id="192"/>
      <w:r>
        <w:rPr>
          <w:rFonts w:ascii="Times New Roman" w:hAnsi="Times New Roman" w:eastAsia="宋体" w:cs="Times New Roman"/>
          <w:b/>
          <w:color w:val="000000"/>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b/>
          <w:color w:val="000000"/>
          <w:sz w:val="28"/>
          <w:highlight w:val="none"/>
        </w:rPr>
      </w:r>
      <w:r/>
    </w:p>
    <w:p>
      <w:pPr>
        <w:pStyle w:val="994"/>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outlineLvl w:val="1"/>
      </w:pPr>
      <w:r/>
      <w:bookmarkStart w:id="203" w:name="_Toc305158795"/>
      <w:r/>
      <w:bookmarkStart w:id="204" w:name="_Toc226337223"/>
      <w:r/>
      <w:bookmarkStart w:id="205" w:name="_Toc150480765"/>
      <w:r/>
      <w:bookmarkStart w:id="206" w:name="_Toc151193915"/>
      <w:r/>
      <w:bookmarkStart w:id="207" w:name="_Toc265228365"/>
      <w:r/>
      <w:bookmarkStart w:id="208" w:name="_Toc520356151"/>
      <w:r/>
      <w:bookmarkStart w:id="209" w:name="_Toc226965717"/>
      <w:r/>
      <w:bookmarkStart w:id="210" w:name="_Toc150774732"/>
      <w:r/>
      <w:bookmarkStart w:id="211" w:name="_Toc127151728"/>
      <w:r/>
      <w:bookmarkStart w:id="212" w:name="_Toc150774627"/>
      <w:r/>
      <w:bookmarkStart w:id="213" w:name="_Toc516367021"/>
      <w:r/>
      <w:bookmarkStart w:id="214" w:name="_Toc164608796"/>
      <w:r/>
      <w:bookmarkStart w:id="215" w:name="_Toc127161441"/>
      <w:r/>
      <w:bookmarkStart w:id="216" w:name="_Toc195842892"/>
      <w:r/>
      <w:bookmarkStart w:id="217" w:name="_Toc142311029"/>
      <w:r/>
      <w:bookmarkStart w:id="218" w:name="_Toc164351621"/>
      <w:r/>
      <w:bookmarkStart w:id="219" w:name="_Toc150509278"/>
      <w:r/>
      <w:bookmarkStart w:id="220" w:name="_Toc164229222"/>
      <w:r/>
      <w:bookmarkStart w:id="221" w:name="_Toc127151527"/>
      <w:r/>
      <w:bookmarkStart w:id="222" w:name="_Toc149720820"/>
      <w:r/>
      <w:bookmarkStart w:id="223" w:name="_Toc164229368"/>
      <w:r/>
      <w:bookmarkStart w:id="224" w:name="_Toc151193625"/>
      <w:r/>
      <w:bookmarkStart w:id="225" w:name="_Toc226965800"/>
      <w:r/>
      <w:bookmarkStart w:id="226" w:name="_Toc151193697"/>
      <w:r/>
      <w:bookmarkStart w:id="227" w:name="_Toc151193769"/>
      <w:r/>
      <w:bookmarkStart w:id="228" w:name="_Toc264969217"/>
      <w:r/>
      <w:bookmarkStart w:id="229" w:name="_Toc151190154"/>
      <w:r/>
      <w:bookmarkStart w:id="230" w:name="_Toc151193841"/>
      <w:r/>
      <w:bookmarkStart w:id="231" w:name="_Toc226309771"/>
      <w:r/>
      <w:bookmarkStart w:id="232" w:name="_Toc164608641"/>
      <w:r/>
      <w:bookmarkStart w:id="233" w:name="_Toc305158869"/>
      <w:r>
        <w:rPr>
          <w:rFonts w:hint="eastAsia" w:ascii="宋体" w:hAnsi="宋体" w:eastAsia="宋体" w:cs="宋体"/>
          <w:color w:val="000000"/>
          <w:sz w:val="21"/>
          <w:szCs w:val="21"/>
          <w:highlight w:val="none"/>
          <w:lang w:val="en-US" w:eastAsia="zh-CN"/>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color w:val="000000"/>
          <w:sz w:val="21"/>
          <w:szCs w:val="21"/>
          <w:highlight w:val="none"/>
          <w:lang w:val="en-US" w:eastAsia="zh-CN"/>
        </w:rPr>
        <w:t xml:space="preserve">及磋商语言</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234" w:name="_Toc164608797"/>
      <w:r/>
      <w:bookmarkStart w:id="235" w:name="_Toc265228366"/>
      <w:r/>
      <w:bookmarkStart w:id="236" w:name="_Toc164229369"/>
      <w:r/>
      <w:bookmarkStart w:id="237" w:name="_Toc127151528"/>
      <w:r/>
      <w:bookmarkStart w:id="238" w:name="_Toc149720821"/>
      <w:r/>
      <w:bookmarkStart w:id="239" w:name="_Toc151193916"/>
      <w:r/>
      <w:bookmarkStart w:id="240" w:name="_Toc151193698"/>
      <w:r/>
      <w:bookmarkStart w:id="241" w:name="_Toc127161442"/>
      <w:r/>
      <w:bookmarkStart w:id="242" w:name="_Toc151193626"/>
      <w:r/>
      <w:bookmarkStart w:id="243" w:name="_Toc151193842"/>
      <w:r/>
      <w:bookmarkStart w:id="244" w:name="_Toc142311030"/>
      <w:r/>
      <w:bookmarkStart w:id="245" w:name="_Toc520356152"/>
      <w:r/>
      <w:bookmarkStart w:id="246" w:name="_Toc305158796"/>
      <w:r/>
      <w:bookmarkStart w:id="247" w:name="_Toc516367022"/>
      <w:r/>
      <w:bookmarkStart w:id="248" w:name="_Ref467306195"/>
      <w:r/>
      <w:bookmarkStart w:id="249" w:name="_Toc164229223"/>
      <w:r/>
      <w:bookmarkStart w:id="250" w:name="_Ref467306676"/>
      <w:r/>
      <w:bookmarkStart w:id="251" w:name="_Toc226965718"/>
      <w:r/>
      <w:bookmarkStart w:id="252" w:name="_Toc150480766"/>
      <w:r/>
      <w:bookmarkStart w:id="253" w:name="_Toc164608642"/>
      <w:r/>
      <w:bookmarkStart w:id="254" w:name="_Toc264969218"/>
      <w:r/>
      <w:bookmarkStart w:id="255" w:name="_Toc127151729"/>
      <w:r/>
      <w:bookmarkStart w:id="256" w:name="_Toc150509279"/>
      <w:r/>
      <w:bookmarkStart w:id="257" w:name="_Toc150774733"/>
      <w:r/>
      <w:bookmarkStart w:id="258" w:name="_Toc150774628"/>
      <w:r/>
      <w:bookmarkStart w:id="259" w:name="_Toc226309772"/>
      <w:r/>
      <w:bookmarkStart w:id="260" w:name="_Toc164351622"/>
      <w:r/>
      <w:bookmarkStart w:id="261" w:name="_Toc195842893"/>
      <w:r/>
      <w:bookmarkStart w:id="262" w:name="_Toc151193770"/>
      <w:r/>
      <w:bookmarkStart w:id="263" w:name="_Toc226965801"/>
      <w:r/>
      <w:bookmarkStart w:id="264" w:name="_Toc226337224"/>
      <w:r/>
      <w:bookmarkStart w:id="265" w:name="_Toc305158870"/>
      <w:r/>
      <w:bookmarkStart w:id="266" w:name="_Toc151190155"/>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响应文件</w:t>
      </w:r>
      <w:bookmarkEnd w:id="247"/>
      <w:r/>
      <w:bookmarkEnd w:id="248"/>
      <w:r/>
      <w:bookmarkEnd w:id="250"/>
      <w:r>
        <w:rPr>
          <w:rFonts w:hint="eastAsia" w:ascii="宋体" w:hAnsi="宋体" w:eastAsia="宋体" w:cs="宋体"/>
          <w:color w:val="000000"/>
          <w:sz w:val="21"/>
          <w:szCs w:val="21"/>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bookmarkStart w:id="267" w:name="_Ref467052588"/>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供应商应当按照竞争性磋商文件的要求编制响应文件，</w:t>
      </w:r>
      <w:r>
        <w:rPr>
          <w:rFonts w:hint="eastAsia" w:ascii="宋体" w:hAnsi="宋体" w:eastAsia="宋体" w:cs="宋体"/>
          <w:color w:val="000000"/>
          <w:sz w:val="21"/>
          <w:szCs w:val="21"/>
          <w:highlight w:val="none"/>
        </w:rPr>
        <w:t xml:space="preserve">并对其提交的响应文件的真实性、合法性承担法律责任</w:t>
      </w:r>
      <w:r>
        <w:rPr>
          <w:rFonts w:hint="eastAsia" w:ascii="宋体" w:hAnsi="宋体" w:eastAsia="宋体" w:cs="宋体"/>
          <w:color w:val="000000"/>
          <w:sz w:val="21"/>
          <w:szCs w:val="21"/>
          <w:highlight w:val="none"/>
        </w:rPr>
        <w:t xml:space="preserve">。响应文件的部分格式要求，见第六章《响应文件格式》。</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rPr>
        <w:t xml:space="preserve">对于竞争性磋商文件中标记了“实质性格式”文件的，</w:t>
      </w:r>
      <w:r>
        <w:rPr>
          <w:rFonts w:hint="eastAsia" w:ascii="宋体" w:hAnsi="宋体" w:eastAsia="宋体" w:cs="宋体"/>
          <w:color w:val="000000"/>
          <w:sz w:val="21"/>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1"/>
          <w:szCs w:val="21"/>
          <w:highlight w:val="none"/>
        </w:rPr>
        <w:t xml:space="preserve">否则响应无效</w:t>
      </w:r>
      <w:r>
        <w:rPr>
          <w:rFonts w:hint="eastAsia" w:ascii="宋体" w:hAnsi="宋体" w:eastAsia="宋体" w:cs="宋体"/>
          <w:color w:val="000000"/>
          <w:sz w:val="21"/>
          <w:szCs w:val="21"/>
          <w:highlight w:val="none"/>
        </w:rPr>
        <w:t xml:space="preserve">。未标记“实质性格式”的文件和竞争性磋商文件未提供格式的内容，可由供应商自行编写。</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9.3</w:t>
      </w:r>
      <w:r>
        <w:rPr>
          <w:rFonts w:hint="eastAsia" w:ascii="宋体" w:hAnsi="宋体" w:eastAsia="宋体" w:cs="宋体"/>
          <w:color w:val="000000"/>
          <w:sz w:val="21"/>
          <w:szCs w:val="21"/>
          <w:highlight w:val="none"/>
        </w:rPr>
        <w:t xml:space="preserve">第三章《评审方法和评审标准》中涉及的证明文件。</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9.4</w:t>
      </w:r>
      <w:r>
        <w:rPr>
          <w:rFonts w:hint="eastAsia" w:ascii="宋体" w:hAnsi="宋体" w:eastAsia="宋体" w:cs="宋体"/>
          <w:color w:val="000000"/>
          <w:sz w:val="21"/>
          <w:szCs w:val="21"/>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供应商认为应附的其他材料。</w:t>
      </w:r>
      <w:bookmarkEnd w:id="267"/>
      <w:r/>
      <w:bookmarkStart w:id="268" w:name="_Toc150774630"/>
      <w:r/>
      <w:bookmarkStart w:id="269" w:name="_Toc150774735"/>
      <w:r/>
      <w:bookmarkStart w:id="270" w:name="_Toc127161444"/>
      <w:r/>
      <w:bookmarkStart w:id="271" w:name="_Toc151193844"/>
      <w:r/>
      <w:bookmarkStart w:id="272" w:name="_Toc151193700"/>
      <w:r/>
      <w:bookmarkStart w:id="273" w:name="_Toc150480768"/>
      <w:r/>
      <w:bookmarkStart w:id="274" w:name="_Toc151193628"/>
      <w:r/>
      <w:bookmarkStart w:id="275" w:name="_Toc164608644"/>
      <w:r/>
      <w:bookmarkStart w:id="276" w:name="_Toc149720823"/>
      <w:r/>
      <w:bookmarkStart w:id="277" w:name="_Toc127151530"/>
      <w:r/>
      <w:bookmarkStart w:id="278" w:name="_Toc164351624"/>
      <w:r/>
      <w:bookmarkStart w:id="279" w:name="_Toc151190157"/>
      <w:r/>
      <w:bookmarkStart w:id="280" w:name="_Toc520356155"/>
      <w:r/>
      <w:bookmarkStart w:id="281" w:name="_Toc151193772"/>
      <w:r/>
      <w:bookmarkStart w:id="282" w:name="_Toc150509281"/>
      <w:r/>
      <w:bookmarkStart w:id="283" w:name="_Toc142311032"/>
      <w:r/>
      <w:bookmarkStart w:id="284" w:name="_Toc151193918"/>
      <w:r/>
      <w:bookmarkStart w:id="285" w:name="_Toc195842895"/>
      <w:r/>
      <w:bookmarkStart w:id="286" w:name="_Toc164608799"/>
      <w:r/>
      <w:bookmarkStart w:id="287" w:name="_Toc164229225"/>
      <w:r/>
      <w:bookmarkStart w:id="288" w:name="_Toc164229371"/>
      <w:r/>
      <w:bookmarkStart w:id="289" w:name="_Toc127151731"/>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rPr>
        <w:t xml:space="preserve">所有响应均以人民币报价。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10.2</w:t>
      </w:r>
      <w:r>
        <w:rPr>
          <w:rFonts w:hint="eastAsia" w:ascii="宋体" w:hAnsi="宋体" w:eastAsia="宋体" w:cs="宋体"/>
          <w:color w:val="000000"/>
          <w:sz w:val="21"/>
          <w:szCs w:val="21"/>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10.2.1</w:t>
      </w:r>
      <w:r>
        <w:rPr>
          <w:rFonts w:hint="eastAsia" w:ascii="宋体" w:hAnsi="宋体" w:eastAsia="宋体" w:cs="宋体"/>
          <w:color w:val="000000"/>
          <w:sz w:val="21"/>
          <w:szCs w:val="21"/>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w:t>
      </w:r>
      <w:r>
        <w:rPr>
          <w:rFonts w:hint="eastAsia" w:ascii="宋体" w:hAnsi="宋体" w:eastAsia="宋体" w:cs="宋体"/>
          <w:b/>
          <w:bCs/>
          <w:color w:val="000000"/>
          <w:sz w:val="21"/>
          <w:szCs w:val="21"/>
          <w:highlight w:val="none"/>
        </w:rPr>
        <w:t xml:space="preserve">务费用。 </w:t>
      </w:r>
      <w:r>
        <w:rPr>
          <w:rFonts w:hint="eastAsia" w:ascii="宋体" w:hAnsi="宋体" w:eastAsia="宋体" w:cs="宋体"/>
          <w:b/>
          <w:bCs/>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10.2.2</w:t>
      </w:r>
      <w:r>
        <w:rPr>
          <w:rFonts w:hint="eastAsia" w:ascii="宋体" w:hAnsi="宋体" w:eastAsia="宋体" w:cs="宋体"/>
          <w:b w:val="0"/>
          <w:bCs w:val="0"/>
          <w:color w:val="000000"/>
          <w:sz w:val="21"/>
          <w:szCs w:val="21"/>
          <w:highlight w:val="none"/>
        </w:rPr>
        <w:t xml:space="preserve">按照竞争性磋商文件要求完成本项目</w:t>
      </w:r>
      <w:r>
        <w:rPr>
          <w:rFonts w:hint="eastAsia" w:ascii="宋体" w:hAnsi="宋体" w:eastAsia="宋体" w:cs="宋体"/>
          <w:color w:val="000000"/>
          <w:sz w:val="21"/>
          <w:szCs w:val="21"/>
          <w:highlight w:val="none"/>
        </w:rPr>
        <w:t xml:space="preserve">的全部相关工程或服务费用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numPr>
          <w:ilvl w:val="0"/>
          <w:numId w:val="0"/>
        </w:numPr>
        <w:ind w:firstLine="422"/>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10.2.3参加磋商的供应商应自行承担所有与参加磋商有关的费用（包含代理费用）。无论最终成交结果如何，采购代理机构在任何情况下均无义务和责任承担这些费用。</w:t>
      </w:r>
      <w:r>
        <w:rPr>
          <w:rFonts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10.3</w:t>
      </w:r>
      <w:r>
        <w:rPr>
          <w:rFonts w:hint="eastAsia" w:ascii="宋体" w:hAnsi="宋体" w:eastAsia="宋体" w:cs="宋体"/>
          <w:color w:val="000000"/>
          <w:sz w:val="21"/>
          <w:szCs w:val="21"/>
          <w:highlight w:val="none"/>
        </w:rPr>
        <w:t xml:space="preserve">采购人不得向供应商索要或者接受其给予的赠品、回扣或者与采购无关的其他商品、服务。</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供应商不能提供任何有选择性或可调整的最终报价（</w:t>
      </w:r>
      <w:r>
        <w:rPr>
          <w:rFonts w:hint="eastAsia" w:ascii="宋体" w:hAnsi="宋体" w:eastAsia="宋体" w:cs="宋体"/>
          <w:color w:val="000000"/>
          <w:sz w:val="21"/>
          <w:szCs w:val="21"/>
          <w:highlight w:val="none"/>
        </w:rPr>
        <w:t xml:space="preserve">竞争性磋商文件</w:t>
      </w:r>
      <w:r>
        <w:rPr>
          <w:rFonts w:hint="eastAsia" w:ascii="宋体" w:hAnsi="宋体" w:eastAsia="宋体" w:cs="宋体"/>
          <w:color w:val="000000"/>
          <w:sz w:val="21"/>
          <w:szCs w:val="21"/>
          <w:highlight w:val="none"/>
        </w:rPr>
        <w:t xml:space="preserve">另有规定的除外），否则其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bidi="ar-SA"/>
        </w:rPr>
        <w:t xml:space="preserve">10.5本项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b/>
          <w:bCs/>
          <w:color w:val="000000"/>
          <w:sz w:val="21"/>
          <w:szCs w:val="21"/>
          <w:highlight w:val="none"/>
          <w:u w:val="single"/>
          <w:lang w:val="en-US" w:eastAsia="zh-CN"/>
        </w:rPr>
        <w:t xml:space="preserve">供应商的投标报价不得高于项目最高限价，否则作为无效投标处理。</w:t>
      </w:r>
      <w:r>
        <w:rPr>
          <w:rFonts w:ascii="宋体" w:hAnsi="宋体" w:eastAsia="宋体" w:cs="宋体"/>
          <w:b/>
          <w:bCs/>
          <w:color w:val="000000"/>
          <w:sz w:val="21"/>
          <w:szCs w:val="21"/>
          <w:highlight w:val="none"/>
          <w:u w:val="single"/>
          <w:lang w:val="en-US" w:eastAsia="zh-CN"/>
        </w:rPr>
      </w:r>
      <w:r/>
    </w:p>
    <w:p>
      <w:pPr>
        <w:pStyle w:val="994"/>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11.磋商保证金及履约保证金</w:t>
      </w:r>
      <w:r>
        <w:rPr>
          <w:rFonts w:hint="eastAsia" w:ascii="宋体" w:hAnsi="宋体" w:eastAsia="宋体" w:cs="宋体"/>
          <w:color w:val="000000"/>
          <w:sz w:val="21"/>
          <w:szCs w:val="21"/>
          <w:highlight w:val="none"/>
          <w:lang w:val="en-US" w:eastAsia="zh-CN"/>
        </w:rPr>
      </w:r>
      <w:r/>
    </w:p>
    <w:p>
      <w:pPr>
        <w:pStyle w:val="994"/>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根据江苏省和常州市的相关文件规定，免收保证金。</w:t>
      </w:r>
      <w:r>
        <w:rPr>
          <w:rFonts w:hint="eastAsia" w:ascii="宋体" w:hAnsi="宋体" w:eastAsia="宋体" w:cs="宋体"/>
          <w:color w:val="000000"/>
          <w:sz w:val="21"/>
          <w:szCs w:val="21"/>
          <w:highlight w:val="none"/>
        </w:rPr>
      </w:r>
      <w:r/>
    </w:p>
    <w:p>
      <w:pPr>
        <w:pStyle w:val="994"/>
        <w:ind w:firstLine="527"/>
        <w:spacing w:line="360" w:lineRule="auto"/>
        <w:tabs>
          <w:tab w:val="left" w:pos="360" w:leader="none"/>
        </w:tabs>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11.2 成交供应商须在合同签订之日起5日内向采购人提供金额为</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的履约保证金或保函。 </w:t>
      </w:r>
      <w:r>
        <w:rPr>
          <w:rFonts w:hint="eastAsia" w:ascii="宋体" w:hAnsi="宋体" w:eastAsia="宋体" w:cs="宋体"/>
          <w:b/>
          <w:bCs/>
          <w:color w:val="000000"/>
          <w:sz w:val="21"/>
          <w:szCs w:val="21"/>
          <w:highlight w:val="none"/>
        </w:rPr>
      </w:r>
      <w:r/>
    </w:p>
    <w:p>
      <w:pPr>
        <w:pStyle w:val="994"/>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11.3 履约保证金将项目结束后</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日内无息退返成交供应商。</w:t>
      </w:r>
      <w:r>
        <w:rPr>
          <w:rFonts w:hint="eastAsia" w:ascii="宋体" w:hAnsi="宋体" w:eastAsia="宋体" w:cs="宋体"/>
          <w:color w:val="000000"/>
          <w:sz w:val="21"/>
          <w:szCs w:val="21"/>
          <w:highlight w:val="none"/>
        </w:rPr>
      </w:r>
      <w:r/>
    </w:p>
    <w:p>
      <w:pPr>
        <w:pStyle w:val="994"/>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12.1</w:t>
      </w:r>
      <w:r>
        <w:rPr>
          <w:rFonts w:hint="eastAsia" w:ascii="宋体" w:hAnsi="宋体" w:eastAsia="宋体" w:cs="宋体"/>
          <w:color w:val="000000"/>
          <w:sz w:val="21"/>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eastAsia="zh-CN"/>
        </w:rPr>
        <w:outlineLvl w:val="1"/>
      </w:pPr>
      <w:r/>
      <w:bookmarkStart w:id="290" w:name="_Toc127161447"/>
      <w:r/>
      <w:bookmarkStart w:id="291" w:name="_Toc150509284"/>
      <w:r/>
      <w:bookmarkStart w:id="292" w:name="_Toc305158801"/>
      <w:r/>
      <w:bookmarkStart w:id="293" w:name="_Toc164229228"/>
      <w:r/>
      <w:bookmarkStart w:id="294" w:name="_Toc265228371"/>
      <w:r/>
      <w:bookmarkStart w:id="295" w:name="_Toc195842898"/>
      <w:r/>
      <w:bookmarkStart w:id="296" w:name="_Toc164351627"/>
      <w:r/>
      <w:bookmarkStart w:id="297" w:name="_Toc149720826"/>
      <w:r/>
      <w:bookmarkStart w:id="298" w:name="_Toc151193847"/>
      <w:r/>
      <w:bookmarkStart w:id="299" w:name="_Toc151193631"/>
      <w:r/>
      <w:bookmarkStart w:id="300" w:name="_Toc151190160"/>
      <w:r/>
      <w:bookmarkStart w:id="301" w:name="_Toc226965723"/>
      <w:r/>
      <w:bookmarkStart w:id="302" w:name="_Toc226309777"/>
      <w:r/>
      <w:bookmarkStart w:id="303" w:name="_Toc305158875"/>
      <w:r/>
      <w:bookmarkStart w:id="304" w:name="_Toc164608647"/>
      <w:r/>
      <w:bookmarkStart w:id="305" w:name="_Toc142311035"/>
      <w:r/>
      <w:bookmarkStart w:id="306" w:name="_Toc150774738"/>
      <w:r/>
      <w:bookmarkStart w:id="307" w:name="_Toc151193775"/>
      <w:r/>
      <w:bookmarkStart w:id="308" w:name="_Toc226965806"/>
      <w:r/>
      <w:bookmarkStart w:id="309" w:name="_Toc226337229"/>
      <w:r/>
      <w:bookmarkStart w:id="310" w:name="_Toc150480771"/>
      <w:r/>
      <w:bookmarkStart w:id="311" w:name="_Toc164229374"/>
      <w:r/>
      <w:bookmarkStart w:id="312" w:name="_Toc264969223"/>
      <w:r/>
      <w:bookmarkStart w:id="313" w:name="_Toc127151533"/>
      <w:r/>
      <w:bookmarkStart w:id="314" w:name="_Toc520356158"/>
      <w:r/>
      <w:bookmarkStart w:id="315" w:name="_Toc151193921"/>
      <w:r/>
      <w:bookmarkStart w:id="316" w:name="_Toc150774633"/>
      <w:r/>
      <w:bookmarkStart w:id="317" w:name="_Toc127151734"/>
      <w:r/>
      <w:bookmarkStart w:id="318" w:name="_Toc164608802"/>
      <w:r/>
      <w:bookmarkStart w:id="319" w:name="_Toc151193703"/>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响应文件的</w:t>
      </w:r>
      <w:r>
        <w:rPr>
          <w:rFonts w:hint="eastAsia" w:ascii="宋体" w:hAnsi="宋体" w:eastAsia="宋体" w:cs="宋体"/>
          <w:color w:val="000000"/>
          <w:sz w:val="21"/>
          <w:szCs w:val="21"/>
          <w:highlight w:val="none"/>
          <w:lang w:val="en-US" w:eastAsia="zh-CN"/>
        </w:rPr>
        <w:t xml:space="preserve">制作、</w:t>
      </w:r>
      <w:r>
        <w:rPr>
          <w:rFonts w:hint="eastAsia" w:ascii="宋体" w:hAnsi="宋体" w:eastAsia="宋体" w:cs="宋体"/>
          <w:color w:val="000000"/>
          <w:sz w:val="21"/>
          <w:szCs w:val="21"/>
          <w:highlight w:val="none"/>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lang w:val="en-US" w:eastAsia="zh-CN"/>
        </w:rPr>
      </w:pPr>
      <w:r/>
      <w:bookmarkStart w:id="320" w:name="_Toc150509285"/>
      <w:r/>
      <w:bookmarkStart w:id="321" w:name="_Toc305158802"/>
      <w:r/>
      <w:bookmarkStart w:id="322" w:name="_Toc265228372"/>
      <w:r/>
      <w:bookmarkStart w:id="323" w:name="_Toc151193632"/>
      <w:r/>
      <w:bookmarkStart w:id="324" w:name="_Toc226309778"/>
      <w:r/>
      <w:bookmarkStart w:id="325" w:name="_Toc226965724"/>
      <w:r/>
      <w:bookmarkStart w:id="326" w:name="_Toc195842899"/>
      <w:r/>
      <w:bookmarkStart w:id="327" w:name="_Toc151193922"/>
      <w:r/>
      <w:bookmarkStart w:id="328" w:name="_Toc150774739"/>
      <w:r/>
      <w:bookmarkStart w:id="329" w:name="_Toc150480772"/>
      <w:r/>
      <w:bookmarkStart w:id="330" w:name="_Toc305158876"/>
      <w:r/>
      <w:bookmarkStart w:id="331" w:name="_Toc127151534"/>
      <w:r/>
      <w:bookmarkStart w:id="332" w:name="_Toc150774634"/>
      <w:r/>
      <w:bookmarkStart w:id="333" w:name="_Toc151193848"/>
      <w:r/>
      <w:bookmarkStart w:id="334" w:name="_Toc226965807"/>
      <w:r/>
      <w:bookmarkStart w:id="335" w:name="_Toc226337230"/>
      <w:r/>
      <w:bookmarkStart w:id="336" w:name="_Toc151193704"/>
      <w:r/>
      <w:bookmarkStart w:id="337" w:name="_Toc264969224"/>
      <w:r/>
      <w:bookmarkStart w:id="338" w:name="_Toc520356159"/>
      <w:r/>
      <w:bookmarkStart w:id="339" w:name="_Toc151190161"/>
      <w:r/>
      <w:bookmarkStart w:id="340" w:name="_Toc151193776"/>
      <w:r/>
      <w:bookmarkStart w:id="341" w:name="_Toc142311036"/>
      <w:r>
        <w:rPr>
          <w:rFonts w:hint="eastAsia" w:ascii="宋体" w:hAnsi="宋体" w:eastAsia="宋体" w:cs="宋体"/>
          <w:color w:val="000000"/>
          <w:sz w:val="21"/>
          <w:szCs w:val="21"/>
          <w:highlight w:val="none"/>
          <w:lang w:val="en-US" w:eastAsia="zh-CN"/>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13.2竞争性磋商文件要求盖章的内容，一般通过投标文件编制工具加盖电子签章。</w:t>
      </w:r>
      <w:r>
        <w:rPr>
          <w:rFonts w:hint="eastAsia" w:ascii="宋体" w:hAnsi="宋体" w:eastAsia="宋体" w:cs="宋体"/>
          <w:color w:val="000000"/>
          <w:sz w:val="21"/>
          <w:szCs w:val="21"/>
          <w:highlight w:val="none"/>
          <w:lang w:val="en-US" w:eastAsia="zh-CN"/>
        </w:rPr>
      </w:r>
      <w:r/>
    </w:p>
    <w:p>
      <w:pPr>
        <w:pStyle w:val="996"/>
        <w:jc w:val="center"/>
        <w:spacing w:before="0" w:line="360" w:lineRule="auto"/>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
          <w:color w:val="000000"/>
          <w:sz w:val="28"/>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342" w:name="_Toc305158803"/>
      <w:r/>
      <w:bookmarkStart w:id="343" w:name="_Toc264969225"/>
      <w:r/>
      <w:bookmarkStart w:id="344" w:name="_Toc520356160"/>
      <w:r/>
      <w:bookmarkStart w:id="345" w:name="_Toc150480773"/>
      <w:r/>
      <w:bookmarkStart w:id="346" w:name="_Toc151193633"/>
      <w:r/>
      <w:bookmarkStart w:id="347" w:name="_Toc164229230"/>
      <w:r/>
      <w:bookmarkStart w:id="348" w:name="_Toc151190162"/>
      <w:r/>
      <w:bookmarkStart w:id="349" w:name="_Toc150774740"/>
      <w:r/>
      <w:bookmarkStart w:id="350" w:name="_Toc195842900"/>
      <w:r/>
      <w:bookmarkStart w:id="351" w:name="_Toc265228373"/>
      <w:r/>
      <w:bookmarkStart w:id="352" w:name="_Toc127151736"/>
      <w:r/>
      <w:bookmarkStart w:id="353" w:name="_Toc142311037"/>
      <w:r/>
      <w:bookmarkStart w:id="354" w:name="_Toc150774635"/>
      <w:r/>
      <w:bookmarkStart w:id="355" w:name="_Toc127151535"/>
      <w:r/>
      <w:bookmarkStart w:id="356" w:name="_Toc164608649"/>
      <w:r/>
      <w:bookmarkStart w:id="357" w:name="_Toc226337231"/>
      <w:r/>
      <w:bookmarkStart w:id="358" w:name="_Toc226309779"/>
      <w:r/>
      <w:bookmarkStart w:id="359" w:name="_Toc226965725"/>
      <w:r/>
      <w:bookmarkStart w:id="360" w:name="_Toc151193777"/>
      <w:r/>
      <w:bookmarkStart w:id="361" w:name="_Toc164351629"/>
      <w:r/>
      <w:bookmarkStart w:id="362" w:name="_Toc305158877"/>
      <w:r/>
      <w:bookmarkStart w:id="363" w:name="_Toc151193705"/>
      <w:r/>
      <w:bookmarkStart w:id="364" w:name="_Toc127161449"/>
      <w:r/>
      <w:bookmarkStart w:id="365" w:name="_Toc149720828"/>
      <w:r/>
      <w:bookmarkStart w:id="366" w:name="_Toc226965808"/>
      <w:r/>
      <w:bookmarkStart w:id="367" w:name="_Toc164229376"/>
      <w:r/>
      <w:bookmarkStart w:id="368" w:name="_Toc151193849"/>
      <w:r/>
      <w:bookmarkStart w:id="369" w:name="_Toc164608804"/>
      <w:r/>
      <w:bookmarkStart w:id="370" w:name="_Toc150509286"/>
      <w:r/>
      <w:bookmarkStart w:id="371" w:name="_Toc151193923"/>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color w:val="000000"/>
          <w:sz w:val="21"/>
          <w:szCs w:val="21"/>
          <w:highlight w:val="none"/>
        </w:rPr>
        <w:t xml:space="preserve">提交</w:t>
      </w:r>
      <w:bookmarkStart w:id="372" w:name="_Toc164351630"/>
      <w:r/>
      <w:bookmarkStart w:id="373" w:name="_Toc127161450"/>
      <w:r/>
      <w:bookmarkStart w:id="374" w:name="_Toc142311038"/>
      <w:r/>
      <w:bookmarkStart w:id="375" w:name="_Toc265228374"/>
      <w:r/>
      <w:bookmarkStart w:id="376" w:name="_Toc127151536"/>
      <w:r/>
      <w:bookmarkStart w:id="377" w:name="_Toc164229231"/>
      <w:r/>
      <w:bookmarkStart w:id="378" w:name="_Toc151193924"/>
      <w:r/>
      <w:bookmarkStart w:id="379" w:name="_Toc151193850"/>
      <w:r/>
      <w:bookmarkStart w:id="380" w:name="_Toc305158878"/>
      <w:r/>
      <w:bookmarkStart w:id="381" w:name="_Toc150774741"/>
      <w:r/>
      <w:bookmarkStart w:id="382" w:name="_Toc226337232"/>
      <w:r/>
      <w:bookmarkStart w:id="383" w:name="_Toc151193634"/>
      <w:r/>
      <w:bookmarkStart w:id="384" w:name="_Toc226965809"/>
      <w:r/>
      <w:bookmarkStart w:id="385" w:name="_Toc164229377"/>
      <w:r/>
      <w:bookmarkStart w:id="386" w:name="_Toc149720829"/>
      <w:r/>
      <w:bookmarkStart w:id="387" w:name="_Toc127151737"/>
      <w:r/>
      <w:bookmarkStart w:id="388" w:name="_Toc164608805"/>
      <w:r/>
      <w:bookmarkStart w:id="389" w:name="_Toc150509287"/>
      <w:r/>
      <w:bookmarkStart w:id="390" w:name="_Toc195842901"/>
      <w:r/>
      <w:bookmarkStart w:id="391" w:name="_Toc150774636"/>
      <w:r/>
      <w:bookmarkStart w:id="392" w:name="_Toc151193706"/>
      <w:r/>
      <w:bookmarkStart w:id="393" w:name="_Toc264969226"/>
      <w:r/>
      <w:bookmarkStart w:id="394" w:name="_Toc520356161"/>
      <w:r/>
      <w:bookmarkStart w:id="395" w:name="_Toc151190163"/>
      <w:r/>
      <w:bookmarkStart w:id="396" w:name="_Toc151193778"/>
      <w:r/>
      <w:bookmarkStart w:id="397" w:name="_Toc226965726"/>
      <w:r/>
      <w:bookmarkStart w:id="398" w:name="_Toc150480774"/>
      <w:r/>
      <w:bookmarkStart w:id="399" w:name="_Toc164608650"/>
      <w:r/>
      <w:bookmarkStart w:id="400" w:name="_Toc226309780"/>
      <w:r/>
      <w:bookmarkStart w:id="401" w:name="_Toc305158804"/>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14.2采购人及采购代理机构拒绝接受通过电子交易平台以外任何形式提交的响应文件，磋商保证金除外。</w:t>
      </w:r>
      <w:r>
        <w:rPr>
          <w:rFonts w:hint="eastAsia" w:ascii="宋体" w:hAnsi="宋体" w:eastAsia="宋体" w:cs="宋体"/>
          <w:color w:val="000000"/>
          <w:sz w:val="21"/>
          <w:szCs w:val="21"/>
          <w:highlight w:val="none"/>
          <w:lang w:val="en-US" w:eastAsia="zh-CN"/>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15.1供应商应在竞争性磋商文件要求提交响应文件截止时间前，将电子响应文件提交至“苏采云”政府采购一体化平台。</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402" w:name="_Toc226309781"/>
      <w:r/>
      <w:bookmarkStart w:id="403" w:name="_Toc151193779"/>
      <w:r/>
      <w:bookmarkStart w:id="404" w:name="_Toc151193851"/>
      <w:r/>
      <w:bookmarkStart w:id="405" w:name="_Toc226337233"/>
      <w:r/>
      <w:bookmarkStart w:id="406" w:name="_Toc226965727"/>
      <w:r/>
      <w:bookmarkStart w:id="407" w:name="_Toc151193635"/>
      <w:r/>
      <w:bookmarkStart w:id="408" w:name="_Toc265228375"/>
      <w:r/>
      <w:bookmarkStart w:id="409" w:name="_Toc305158805"/>
      <w:r/>
      <w:bookmarkStart w:id="410" w:name="_Toc305158879"/>
      <w:r/>
      <w:bookmarkStart w:id="411" w:name="_Toc164351631"/>
      <w:r/>
      <w:bookmarkStart w:id="412" w:name="_Toc150774742"/>
      <w:r/>
      <w:bookmarkStart w:id="413" w:name="_Toc151190164"/>
      <w:r/>
      <w:bookmarkStart w:id="414" w:name="_Toc151193707"/>
      <w:r/>
      <w:bookmarkStart w:id="415" w:name="_Toc264969227"/>
      <w:r/>
      <w:bookmarkStart w:id="416" w:name="_Toc164608651"/>
      <w:r/>
      <w:bookmarkStart w:id="417" w:name="_Toc127151738"/>
      <w:r/>
      <w:bookmarkStart w:id="418" w:name="_Toc150774637"/>
      <w:r/>
      <w:bookmarkStart w:id="419" w:name="_Toc195842902"/>
      <w:r/>
      <w:bookmarkStart w:id="420" w:name="_Toc164229378"/>
      <w:r/>
      <w:bookmarkStart w:id="421" w:name="_Toc226965810"/>
      <w:r/>
      <w:bookmarkStart w:id="422" w:name="_Toc150480775"/>
      <w:r/>
      <w:bookmarkStart w:id="423" w:name="_Toc142311039"/>
      <w:r/>
      <w:bookmarkStart w:id="424" w:name="_Toc520356162"/>
      <w:r/>
      <w:bookmarkStart w:id="425" w:name="_Toc151193925"/>
      <w:r/>
      <w:bookmarkStart w:id="426" w:name="_Toc149720830"/>
      <w:r/>
      <w:bookmarkStart w:id="427" w:name="_Toc127151537"/>
      <w:r/>
      <w:bookmarkStart w:id="428" w:name="_Toc164229232"/>
      <w:r/>
      <w:bookmarkStart w:id="429" w:name="_Toc150509288"/>
      <w:r/>
      <w:bookmarkStart w:id="430" w:name="_Toc164608806"/>
      <w:r/>
      <w:bookmarkStart w:id="431" w:name="_Toc127161451"/>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color w:val="000000"/>
          <w:sz w:val="21"/>
          <w:szCs w:val="21"/>
          <w:highlight w:val="none"/>
          <w:lang w:val="en-US" w:eastAsia="zh-CN"/>
        </w:rPr>
      </w:r>
      <w:r/>
    </w:p>
    <w:p>
      <w:pPr>
        <w:pStyle w:val="996"/>
        <w:jc w:val="center"/>
        <w:spacing w:before="0" w:line="360" w:lineRule="auto"/>
        <w:rPr>
          <w:rFonts w:ascii="Times New Roman" w:hAnsi="Times New Roman" w:eastAsia="宋体"/>
          <w:color w:val="000000"/>
          <w:sz w:val="28"/>
          <w:highlight w:val="none"/>
        </w:rPr>
      </w:pPr>
      <w:r/>
      <w:bookmarkStart w:id="432" w:name="_Toc150774743"/>
      <w:r/>
      <w:bookmarkStart w:id="433" w:name="_Toc150509289"/>
      <w:r/>
      <w:bookmarkStart w:id="434" w:name="_Toc265228376"/>
      <w:r/>
      <w:bookmarkStart w:id="435" w:name="_Toc226337234"/>
      <w:r/>
      <w:bookmarkStart w:id="436" w:name="_Toc226965811"/>
      <w:r/>
      <w:bookmarkStart w:id="437" w:name="_Toc127151538"/>
      <w:r/>
      <w:bookmarkStart w:id="438" w:name="_Toc195842903"/>
      <w:r/>
      <w:bookmarkStart w:id="439" w:name="_Toc151193852"/>
      <w:r/>
      <w:bookmarkStart w:id="440" w:name="_Toc226309782"/>
      <w:r/>
      <w:bookmarkStart w:id="441" w:name="_Toc520356163"/>
      <w:r/>
      <w:bookmarkStart w:id="442" w:name="_Toc305158806"/>
      <w:r/>
      <w:bookmarkStart w:id="443" w:name="_Toc150480776"/>
      <w:r/>
      <w:bookmarkStart w:id="444" w:name="_Toc151193636"/>
      <w:r/>
      <w:bookmarkStart w:id="445" w:name="_Toc151193780"/>
      <w:r/>
      <w:bookmarkStart w:id="446" w:name="_Toc151193926"/>
      <w:r/>
      <w:bookmarkStart w:id="447" w:name="_Toc150774638"/>
      <w:r/>
      <w:bookmarkStart w:id="448" w:name="_Toc151190165"/>
      <w:r/>
      <w:bookmarkStart w:id="449" w:name="_Toc226965728"/>
      <w:r/>
      <w:bookmarkStart w:id="450" w:name="_Toc142311040"/>
      <w:r/>
      <w:bookmarkStart w:id="451" w:name="_Toc305158880"/>
      <w:r/>
      <w:bookmarkStart w:id="452" w:name="_Toc151193708"/>
      <w:r/>
      <w:bookmarkStart w:id="453" w:name="_Toc264969228"/>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17.响应文件的解密与开启</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bookmarkStart w:id="454" w:name="_Toc520356165"/>
      <w:r>
        <w:rPr>
          <w:rFonts w:hint="eastAsia" w:ascii="宋体" w:hAnsi="宋体" w:eastAsia="宋体" w:cs="宋体"/>
          <w:color w:val="000000"/>
          <w:sz w:val="21"/>
          <w:szCs w:val="21"/>
          <w:highlight w:val="none"/>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17.2本项目采用不见面交易模式，使用</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在线进行解密。供应商应在规定的时间内对响应文件进行解密，因非系统原因导致的解密失败，视为响应无效。</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17.3供应商不足3家的，不予解密。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17.4本项目不公开报价。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17.6</w:t>
      </w:r>
      <w:r>
        <w:rPr>
          <w:rFonts w:hint="eastAsia" w:ascii="宋体" w:hAnsi="宋体" w:eastAsia="宋体" w:cs="宋体"/>
          <w:b/>
          <w:bCs/>
          <w:color w:val="000000"/>
          <w:sz w:val="21"/>
          <w:szCs w:val="21"/>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b/>
          <w:bCs/>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17.7如果在采购活动过程中出现以下情形，导致“</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1)平台系统发生故障而无法登录访问的；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2)平台系统应用或数据库出现错误，不能进行正常操作的；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3)平台系统发现严重安全漏洞，有潜在泄密危险的；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4)病毒发作导致平台系统不能进行正常操作的；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5)其他无法保证本次采购活动的公平、公正和安全的情况。</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End w:id="454"/>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磋商小组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18.1</w:t>
      </w:r>
      <w:r>
        <w:rPr>
          <w:rFonts w:hint="eastAsia" w:ascii="宋体" w:hAnsi="宋体" w:eastAsia="宋体" w:cs="宋体"/>
          <w:color w:val="000000"/>
          <w:sz w:val="21"/>
          <w:szCs w:val="21"/>
          <w:highlight w:val="none"/>
        </w:rPr>
        <w:t xml:space="preserve">磋商小组根据政府采购有关规定和本次采购项目的特点进行组建，并负责具体评审事务，独立履行职责。</w:t>
      </w:r>
      <w:bookmarkStart w:id="455" w:name="_Toc520356166"/>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18.2</w:t>
      </w:r>
      <w:r>
        <w:rPr>
          <w:rFonts w:hint="eastAsia" w:ascii="宋体" w:hAnsi="宋体" w:eastAsia="宋体" w:cs="宋体"/>
          <w:color w:val="000000"/>
          <w:sz w:val="21"/>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评审方法和评审标准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color w:val="000000"/>
          <w:sz w:val="24"/>
          <w:highlight w:val="none"/>
        </w:rPr>
      </w:pPr>
      <w:r>
        <w:rPr>
          <w:rFonts w:hint="eastAsia" w:ascii="宋体" w:hAnsi="宋体" w:eastAsia="宋体" w:cs="宋体"/>
          <w:color w:val="000000"/>
          <w:sz w:val="21"/>
          <w:szCs w:val="21"/>
          <w:highlight w:val="none"/>
          <w:lang w:val="en-US" w:eastAsia="zh-CN"/>
        </w:rPr>
        <w:t xml:space="preserve">19.1</w:t>
      </w:r>
      <w:r>
        <w:rPr>
          <w:rFonts w:hint="eastAsia" w:ascii="宋体" w:hAnsi="宋体" w:eastAsia="宋体" w:cs="宋体"/>
          <w:color w:val="000000"/>
          <w:sz w:val="21"/>
          <w:szCs w:val="21"/>
          <w:highlight w:val="none"/>
        </w:rPr>
        <w:t xml:space="preserve">见第三章《评审方法和评审标准》。</w:t>
      </w:r>
      <w:r>
        <w:rPr>
          <w:color w:val="000000"/>
          <w:sz w:val="24"/>
          <w:highlight w:val="none"/>
        </w:rPr>
      </w:r>
      <w:r/>
    </w:p>
    <w:p>
      <w:pPr>
        <w:pStyle w:val="996"/>
        <w:spacing w:before="0" w:line="360" w:lineRule="auto"/>
        <w:rPr>
          <w:rFonts w:ascii="Times New Roman" w:hAnsi="Times New Roman" w:eastAsia="宋体" w:cs="Times New Roman"/>
          <w:b/>
          <w:color w:val="000000"/>
          <w:sz w:val="28"/>
          <w:highlight w:val="none"/>
        </w:rPr>
      </w:pPr>
      <w:r/>
      <w:bookmarkStart w:id="457" w:name="_Toc305158887"/>
      <w:r/>
      <w:bookmarkStart w:id="458" w:name="_Toc150774750"/>
      <w:r/>
      <w:bookmarkStart w:id="459" w:name="_Toc150480783"/>
      <w:r/>
      <w:bookmarkStart w:id="460" w:name="_Toc151193715"/>
      <w:r/>
      <w:bookmarkStart w:id="461" w:name="_Toc150774645"/>
      <w:r/>
      <w:bookmarkStart w:id="462" w:name="_Toc150509296"/>
      <w:r/>
      <w:bookmarkStart w:id="463" w:name="_Toc265228383"/>
      <w:r/>
      <w:bookmarkStart w:id="464" w:name="_Toc151190172"/>
      <w:r/>
      <w:bookmarkStart w:id="465" w:name="_Toc127151545"/>
      <w:r/>
      <w:bookmarkStart w:id="466" w:name="_Toc264969235"/>
      <w:r/>
      <w:bookmarkStart w:id="467" w:name="_Toc142311047"/>
      <w:r/>
      <w:bookmarkStart w:id="468" w:name="_Toc151193787"/>
      <w:r/>
      <w:bookmarkStart w:id="469" w:name="_Toc151193859"/>
      <w:r/>
      <w:bookmarkStart w:id="470" w:name="_Toc305158813"/>
      <w:r/>
      <w:bookmarkStart w:id="471" w:name="_Toc226309789"/>
      <w:r/>
      <w:bookmarkStart w:id="472" w:name="_Toc151193643"/>
      <w:r/>
      <w:bookmarkStart w:id="473" w:name="_Toc151193933"/>
      <w:r/>
      <w:bookmarkStart w:id="474" w:name="_Toc226965735"/>
      <w:r/>
      <w:bookmarkStart w:id="475" w:name="_Toc226337241"/>
      <w:r/>
      <w:bookmarkStart w:id="476" w:name="_Toc195842910"/>
      <w:r/>
      <w:bookmarkStart w:id="477" w:name="_Toc226965818"/>
      <w:r>
        <w:rPr>
          <w:rFonts w:ascii="Times New Roman" w:hAnsi="Times New Roman" w:eastAsia="宋体" w:cs="Times New Roman"/>
          <w:b/>
          <w:color w:val="000000"/>
          <w:sz w:val="28"/>
          <w:highlight w:val="none"/>
        </w:rPr>
        <w:t xml:space="preserve">六   </w:t>
      </w:r>
      <w:bookmarkEnd w:id="456"/>
      <w:r>
        <w:rPr>
          <w:rFonts w:ascii="Times New Roman" w:hAnsi="Times New Roman" w:eastAsia="宋体" w:cs="Times New Roman"/>
          <w:b/>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b/>
          <w:color w:val="000000"/>
          <w:sz w:val="28"/>
          <w:highlight w:val="none"/>
        </w:rPr>
        <w:t xml:space="preserve">成交</w:t>
      </w:r>
      <w:r>
        <w:rPr>
          <w:rFonts w:ascii="Times New Roman" w:hAnsi="Times New Roman" w:eastAsia="宋体" w:cs="Times New Roman"/>
          <w:b/>
          <w:color w:val="000000"/>
          <w:sz w:val="28"/>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478" w:name="_Toc164351641"/>
      <w:r/>
      <w:bookmarkStart w:id="479" w:name="_Toc265228385"/>
      <w:r/>
      <w:bookmarkStart w:id="480" w:name="_Toc264969237"/>
      <w:r/>
      <w:bookmarkStart w:id="481" w:name="_Toc151193645"/>
      <w:r/>
      <w:bookmarkStart w:id="482" w:name="_Toc226965737"/>
      <w:r/>
      <w:bookmarkStart w:id="483" w:name="_Toc305158889"/>
      <w:r/>
      <w:bookmarkStart w:id="484" w:name="_Toc226337243"/>
      <w:r/>
      <w:bookmarkStart w:id="485" w:name="_Toc151190174"/>
      <w:r/>
      <w:bookmarkStart w:id="486" w:name="_Toc149720840"/>
      <w:r/>
      <w:bookmarkStart w:id="487" w:name="_Toc127151547"/>
      <w:r/>
      <w:bookmarkStart w:id="488" w:name="_Toc226965820"/>
      <w:r/>
      <w:bookmarkStart w:id="489" w:name="_Toc150480785"/>
      <w:r/>
      <w:bookmarkStart w:id="490" w:name="_Toc226309791"/>
      <w:r/>
      <w:bookmarkStart w:id="491" w:name="_Toc127151748"/>
      <w:r/>
      <w:bookmarkStart w:id="492" w:name="_Toc151193717"/>
      <w:r/>
      <w:bookmarkStart w:id="493" w:name="_Toc127161461"/>
      <w:r/>
      <w:bookmarkStart w:id="494" w:name="_Toc164229242"/>
      <w:r/>
      <w:bookmarkStart w:id="495" w:name="_Toc151193789"/>
      <w:r/>
      <w:bookmarkStart w:id="496" w:name="_Toc164608661"/>
      <w:r/>
      <w:bookmarkStart w:id="497" w:name="_Toc150774647"/>
      <w:r/>
      <w:bookmarkStart w:id="498" w:name="_Toc305158815"/>
      <w:r/>
      <w:bookmarkStart w:id="499" w:name="_Toc195842912"/>
      <w:r/>
      <w:bookmarkStart w:id="500" w:name="_Toc164229388"/>
      <w:r/>
      <w:bookmarkStart w:id="501" w:name="_Toc164608816"/>
      <w:r/>
      <w:bookmarkStart w:id="502" w:name="_Toc151193861"/>
      <w:r/>
      <w:bookmarkStart w:id="503" w:name="_Toc150774752"/>
      <w:r/>
      <w:bookmarkStart w:id="504" w:name="_Toc142311049"/>
      <w:r/>
      <w:bookmarkStart w:id="505" w:name="_Toc151193935"/>
      <w:r/>
      <w:bookmarkStart w:id="506" w:name="_Toc150509298"/>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20.1</w:t>
      </w:r>
      <w:r>
        <w:rPr>
          <w:rFonts w:hint="eastAsia" w:ascii="宋体" w:hAnsi="宋体" w:eastAsia="宋体" w:cs="宋体"/>
          <w:color w:val="000000"/>
          <w:sz w:val="21"/>
          <w:szCs w:val="21"/>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507" w:name="_Toc305158891"/>
      <w:r/>
      <w:bookmarkStart w:id="508" w:name="_Toc305158817"/>
      <w:r/>
      <w:bookmarkStart w:id="509" w:name="_Toc142311051"/>
      <w:r/>
      <w:bookmarkStart w:id="510" w:name="_Toc151193647"/>
      <w:r/>
      <w:bookmarkStart w:id="511" w:name="_Toc150480787"/>
      <w:r/>
      <w:bookmarkStart w:id="512" w:name="_Toc150774754"/>
      <w:r/>
      <w:bookmarkStart w:id="513" w:name="_Toc264969239"/>
      <w:r/>
      <w:bookmarkStart w:id="514" w:name="_Toc151193719"/>
      <w:r/>
      <w:bookmarkStart w:id="515" w:name="_Ref467307090"/>
      <w:r/>
      <w:bookmarkStart w:id="516" w:name="_Ref467306425"/>
      <w:r/>
      <w:bookmarkStart w:id="517" w:name="_Toc520356176"/>
      <w:r/>
      <w:bookmarkStart w:id="518" w:name="_Toc164229244"/>
      <w:r/>
      <w:bookmarkStart w:id="519" w:name="_Toc127151549"/>
      <w:r/>
      <w:bookmarkStart w:id="520" w:name="_Toc226337245"/>
      <w:r/>
      <w:bookmarkStart w:id="521" w:name="_Toc151190176"/>
      <w:r/>
      <w:bookmarkStart w:id="522" w:name="_Toc195842914"/>
      <w:r/>
      <w:bookmarkStart w:id="523" w:name="_Toc127151750"/>
      <w:r/>
      <w:bookmarkStart w:id="524" w:name="_Toc226965822"/>
      <w:r/>
      <w:bookmarkStart w:id="525" w:name="_Toc151193791"/>
      <w:r/>
      <w:bookmarkStart w:id="526" w:name="_Toc164351643"/>
      <w:r/>
      <w:bookmarkStart w:id="527" w:name="_Toc164608818"/>
      <w:r/>
      <w:bookmarkStart w:id="528" w:name="_Toc164229390"/>
      <w:r/>
      <w:bookmarkStart w:id="529" w:name="_Toc226965739"/>
      <w:r/>
      <w:bookmarkStart w:id="530" w:name="_Toc151193937"/>
      <w:r/>
      <w:bookmarkStart w:id="531" w:name="_Toc151193863"/>
      <w:r/>
      <w:bookmarkStart w:id="532" w:name="_Toc265228387"/>
      <w:r/>
      <w:bookmarkStart w:id="533" w:name="_Toc150774649"/>
      <w:r/>
      <w:bookmarkStart w:id="534" w:name="_Toc150509300"/>
      <w:r/>
      <w:bookmarkStart w:id="535" w:name="_Toc149720842"/>
      <w:r/>
      <w:bookmarkStart w:id="536" w:name="_Toc226309793"/>
      <w:r/>
      <w:bookmarkStart w:id="537" w:name="_Toc127161463"/>
      <w:r/>
      <w:bookmarkStart w:id="538" w:name="_Toc164608663"/>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成交公告与成交通知书</w:t>
      </w:r>
      <w:bookmarkEnd w:id="507"/>
      <w:r/>
      <w:bookmarkEnd w:id="508"/>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21.1采购人从评审报告提出的成交候选供应商中，按照排序由高到低的原则确定成交供应商。采购人确定成交供应商后</w:t>
      </w:r>
      <w:r>
        <w:rPr>
          <w:rFonts w:hint="eastAsia" w:ascii="宋体" w:hAnsi="宋体" w:cs="宋体"/>
          <w:color w:val="000000"/>
          <w:szCs w:val="21"/>
          <w:highlight w:val="none"/>
        </w:rPr>
        <w:t xml:space="preserve">2个工作日内，代理机构将在</w:t>
      </w:r>
      <w:r>
        <w:rPr>
          <w:rFonts w:hint="eastAsia" w:ascii="宋体" w:hAnsi="宋体" w:cs="宋体"/>
          <w:b/>
          <w:bCs/>
          <w:color w:val="000000"/>
          <w:szCs w:val="21"/>
          <w:highlight w:val="none"/>
        </w:rPr>
        <w:t xml:space="preserve">“江苏省政府采购网”</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“常州市政府采购网”</w:t>
      </w:r>
      <w:r>
        <w:rPr>
          <w:rFonts w:hint="eastAsia" w:ascii="宋体" w:hAnsi="宋体" w:cs="宋体"/>
          <w:color w:val="000000"/>
          <w:szCs w:val="21"/>
          <w:highlight w:val="none"/>
        </w:rPr>
        <w:t xml:space="preserve">公告成交结果，同时向成交供应商发出成交通知书，成交公告期限为1个工作日。</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终止</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64229391"/>
      <w:r/>
      <w:bookmarkStart w:id="540" w:name="_Toc265228388"/>
      <w:r/>
      <w:bookmarkStart w:id="541" w:name="_Toc305158892"/>
      <w:r/>
      <w:bookmarkStart w:id="542" w:name="_Toc226965823"/>
      <w:r/>
      <w:bookmarkStart w:id="543" w:name="_Toc142311052"/>
      <w:r/>
      <w:bookmarkStart w:id="544" w:name="_Ref467307204"/>
      <w:r/>
      <w:bookmarkStart w:id="545" w:name="_Toc127151751"/>
      <w:r/>
      <w:bookmarkStart w:id="546" w:name="_Toc127161464"/>
      <w:r/>
      <w:bookmarkStart w:id="547" w:name="_Toc150480788"/>
      <w:r/>
      <w:bookmarkStart w:id="548" w:name="_Toc195842915"/>
      <w:r/>
      <w:bookmarkStart w:id="549" w:name="_Toc151193864"/>
      <w:r/>
      <w:bookmarkStart w:id="550" w:name="_Toc151193938"/>
      <w:r/>
      <w:bookmarkStart w:id="551" w:name="_Toc150774650"/>
      <w:r/>
      <w:bookmarkStart w:id="552" w:name="_Toc151193792"/>
      <w:r/>
      <w:bookmarkStart w:id="553" w:name="_Toc164229245"/>
      <w:r/>
      <w:bookmarkStart w:id="554" w:name="_Toc305158818"/>
      <w:r/>
      <w:bookmarkStart w:id="555" w:name="_Toc226309794"/>
      <w:r/>
      <w:bookmarkStart w:id="556" w:name="_Ref467306978"/>
      <w:r/>
      <w:bookmarkStart w:id="557" w:name="_Ref467306377"/>
      <w:r/>
      <w:bookmarkStart w:id="558" w:name="_Toc151193648"/>
      <w:r/>
      <w:bookmarkStart w:id="559" w:name="_Toc226965740"/>
      <w:r/>
      <w:bookmarkStart w:id="560" w:name="_Toc226337246"/>
      <w:r/>
      <w:bookmarkStart w:id="561" w:name="_Ref467307062"/>
      <w:r/>
      <w:bookmarkStart w:id="562" w:name="_Toc151190177"/>
      <w:r/>
      <w:bookmarkStart w:id="563" w:name="_Toc150774755"/>
      <w:r/>
      <w:bookmarkStart w:id="564" w:name="_Toc150509301"/>
      <w:r/>
      <w:bookmarkStart w:id="565" w:name="_Toc151193720"/>
      <w:r/>
      <w:bookmarkStart w:id="566" w:name="_Toc149720843"/>
      <w:r/>
      <w:bookmarkStart w:id="567" w:name="_Toc520356175"/>
      <w:r/>
      <w:bookmarkStart w:id="568" w:name="_Toc264969240"/>
      <w:r/>
      <w:bookmarkStart w:id="569" w:name="_Toc127151550"/>
      <w:r/>
      <w:bookmarkStart w:id="570" w:name="_Toc164608819"/>
      <w:r/>
      <w:bookmarkStart w:id="571" w:name="_Toc164608664"/>
      <w:r/>
      <w:bookmarkStart w:id="572" w:name="_Toc164351644"/>
      <w:r>
        <w:rPr>
          <w:rFonts w:hint="eastAsia" w:ascii="宋体" w:hAnsi="宋体" w:eastAsia="宋体" w:cs="宋体"/>
          <w:color w:val="000000"/>
          <w:sz w:val="21"/>
          <w:szCs w:val="21"/>
          <w:highlight w:val="none"/>
          <w:lang w:val="en-US" w:eastAsia="zh-CN"/>
        </w:rPr>
        <w:t xml:space="preserve">22.1在采购中，出现下列情形之一的，采购人或采购代理机构将终止竞争性磋商采购活动，发布项目终止公告并说明原因，重新开展采购活动：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22.1.1因情况变化，不再符合规定的竞争性磋商采购方式适用情形的；</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22.1.2出现影响采购公正的违法、违规行为的；</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1"/>
          <w:szCs w:val="21"/>
          <w:highlight w:val="none"/>
          <w:lang w:val="en-US" w:eastAsia="zh-CN"/>
        </w:rPr>
      </w:r>
      <w:r/>
    </w:p>
    <w:p>
      <w:pPr>
        <w:pStyle w:val="994"/>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22.1.4平台系统出现序号17.7的所述情形，情况严重且影响采购活动公平、公正性的。</w:t>
      </w:r>
      <w:r>
        <w:rPr>
          <w:rFonts w:hint="eastAsia" w:ascii="宋体" w:hAnsi="宋体" w:eastAsia="宋体" w:cs="宋体"/>
          <w:color w:val="000000"/>
          <w:sz w:val="21"/>
          <w:szCs w:val="21"/>
          <w:highlight w:val="none"/>
          <w:lang w:val="en-US" w:eastAsia="zh-CN"/>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同时在“苏采云”政府采购一体化平台中签订线上合同</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23.3</w:t>
      </w:r>
      <w:r>
        <w:rPr>
          <w:rFonts w:hint="eastAsia" w:ascii="宋体" w:hAnsi="宋体" w:eastAsia="宋体" w:cs="宋体"/>
          <w:color w:val="000000"/>
          <w:sz w:val="21"/>
          <w:szCs w:val="21"/>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23.4</w:t>
      </w:r>
      <w:r>
        <w:rPr>
          <w:rFonts w:hint="eastAsia" w:ascii="宋体" w:hAnsi="宋体" w:eastAsia="宋体" w:cs="宋体"/>
          <w:color w:val="000000"/>
          <w:sz w:val="21"/>
          <w:szCs w:val="21"/>
          <w:highlight w:val="none"/>
        </w:rPr>
        <w:t xml:space="preserve">政府采购合同不能转包。</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23.5</w:t>
      </w:r>
      <w:r>
        <w:rPr>
          <w:rFonts w:hint="eastAsia" w:ascii="宋体" w:hAnsi="宋体" w:eastAsia="宋体" w:cs="宋体"/>
          <w:color w:val="000000"/>
          <w:sz w:val="21"/>
          <w:szCs w:val="21"/>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sz w:val="21"/>
          <w:szCs w:val="21"/>
          <w:highlight w:val="none"/>
        </w:rPr>
        <w:t xml:space="preserve">否则响应无效</w:t>
      </w:r>
      <w:r>
        <w:rPr>
          <w:rFonts w:hint="eastAsia" w:ascii="宋体" w:hAnsi="宋体" w:eastAsia="宋体" w:cs="宋体"/>
          <w:color w:val="000000"/>
          <w:sz w:val="21"/>
          <w:szCs w:val="21"/>
          <w:highlight w:val="none"/>
        </w:rPr>
        <w:t xml:space="preserve">。成交供应商就采购项目和分包项目向采购人负责，分包供应商就分包项目承担责任。</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End w:id="515"/>
      <w:r/>
      <w:bookmarkEnd w:id="516"/>
      <w:r/>
      <w:bookmarkEnd w:id="517"/>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询问与质疑</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24.1</w:t>
      </w:r>
      <w:r>
        <w:rPr>
          <w:rFonts w:hint="eastAsia" w:ascii="宋体" w:hAnsi="宋体" w:eastAsia="宋体" w:cs="宋体"/>
          <w:color w:val="000000"/>
          <w:sz w:val="21"/>
          <w:szCs w:val="21"/>
          <w:highlight w:val="none"/>
        </w:rPr>
        <w:t xml:space="preserve">询问</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24.1.1</w:t>
      </w:r>
      <w:r>
        <w:rPr>
          <w:rFonts w:hint="eastAsia" w:ascii="宋体" w:hAnsi="宋体" w:eastAsia="宋体" w:cs="宋体"/>
          <w:color w:val="000000"/>
          <w:sz w:val="21"/>
          <w:szCs w:val="21"/>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24.1.2</w:t>
      </w:r>
      <w:r>
        <w:rPr>
          <w:rFonts w:hint="eastAsia" w:ascii="宋体" w:hAnsi="宋体" w:eastAsia="宋体" w:cs="宋体"/>
          <w:color w:val="000000"/>
          <w:sz w:val="21"/>
          <w:szCs w:val="21"/>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w:t>
      </w: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lang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94"/>
        <w:ind w:firstLine="422"/>
        <w:spacing w:line="360" w:lineRule="auto"/>
        <w:rPr>
          <w:rFonts w:hint="eastAsia" w:ascii="宋体" w:hAnsi="宋体" w:eastAsia="宋体" w:cs="宋体"/>
          <w:color w:val="000000"/>
          <w:sz w:val="21"/>
          <w:szCs w:val="21"/>
          <w:highlight w:val="none"/>
        </w:rPr>
      </w:pPr>
      <w:r>
        <w:rPr>
          <w:rFonts w:hint="eastAsia" w:ascii="宋体" w:hAnsi="宋体" w:cs="宋体"/>
          <w:b/>
          <w:color w:val="000000"/>
          <w:szCs w:val="21"/>
          <w:highlight w:val="none"/>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1"/>
          <w:szCs w:val="21"/>
          <w:highlight w:val="none"/>
        </w:rPr>
      </w:r>
      <w:r/>
    </w:p>
    <w:p>
      <w:pPr>
        <w:pStyle w:val="994"/>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24.2.3</w:t>
      </w:r>
      <w:r>
        <w:rPr>
          <w:rFonts w:hint="eastAsia" w:ascii="宋体" w:hAnsi="宋体" w:eastAsia="宋体" w:cs="宋体"/>
          <w:color w:val="000000"/>
          <w:sz w:val="21"/>
          <w:szCs w:val="21"/>
          <w:highlight w:val="none"/>
        </w:rPr>
        <w:t xml:space="preserve">质疑函须使用财政部制定的范本文件。（下载网址：</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"http://gks.mof.gov.cn/ztztz/zhengfucaigouguanli/201802/t20180201_2804589.htm" </w:instrText>
      </w:r>
      <w:r>
        <w:rPr>
          <w:rFonts w:hint="eastAsia" w:ascii="宋体" w:hAnsi="宋体" w:eastAsia="宋体" w:cs="宋体"/>
          <w:color w:val="000000"/>
          <w:sz w:val="21"/>
          <w:szCs w:val="21"/>
          <w:highlight w:val="none"/>
        </w:rPr>
        <w:fldChar w:fldCharType="separate"/>
      </w:r>
      <w:r>
        <w:rPr>
          <w:rStyle w:val="1071"/>
          <w:rFonts w:hint="eastAsia" w:ascii="宋体" w:hAnsi="宋体" w:eastAsia="宋体" w:cs="宋体"/>
          <w:color w:val="000000"/>
          <w:sz w:val="21"/>
          <w:szCs w:val="21"/>
          <w:highlight w:val="none"/>
        </w:rPr>
        <w:t xml:space="preserve">http://gk</w:t>
      </w:r>
      <w:bookmarkStart w:id="573" w:name="_Hlt100654014"/>
      <w:r>
        <w:rPr>
          <w:rStyle w:val="1071"/>
          <w:rFonts w:hint="eastAsia" w:ascii="宋体" w:hAnsi="宋体" w:eastAsia="宋体" w:cs="宋体"/>
          <w:color w:val="000000"/>
          <w:sz w:val="21"/>
          <w:szCs w:val="21"/>
          <w:highlight w:val="none"/>
        </w:rPr>
        <w:t xml:space="preserve">s</w:t>
      </w:r>
      <w:bookmarkEnd w:id="573"/>
      <w:r>
        <w:rPr>
          <w:rStyle w:val="1071"/>
          <w:rFonts w:hint="eastAsia" w:ascii="宋体" w:hAnsi="宋体" w:eastAsia="宋体" w:cs="宋体"/>
          <w:color w:val="000000"/>
          <w:sz w:val="21"/>
          <w:szCs w:val="21"/>
          <w:highlight w:val="none"/>
        </w:rPr>
        <w:t xml:space="preserve">.m</w:t>
      </w:r>
      <w:bookmarkStart w:id="574" w:name="_Hlt100653993"/>
      <w:r/>
      <w:bookmarkStart w:id="575" w:name="_Hlt100653994"/>
      <w:r>
        <w:rPr>
          <w:rStyle w:val="1071"/>
          <w:rFonts w:hint="eastAsia" w:ascii="宋体" w:hAnsi="宋体" w:eastAsia="宋体" w:cs="宋体"/>
          <w:color w:val="000000"/>
          <w:sz w:val="21"/>
          <w:szCs w:val="21"/>
          <w:highlight w:val="none"/>
        </w:rPr>
        <w:t xml:space="preserve">o</w:t>
      </w:r>
      <w:bookmarkEnd w:id="574"/>
      <w:r/>
      <w:bookmarkEnd w:id="575"/>
      <w:r/>
      <w:bookmarkStart w:id="576" w:name="_Hlt101169156"/>
      <w:r>
        <w:rPr>
          <w:rStyle w:val="1071"/>
          <w:rFonts w:hint="eastAsia" w:ascii="宋体" w:hAnsi="宋体" w:eastAsia="宋体" w:cs="宋体"/>
          <w:color w:val="000000"/>
          <w:sz w:val="21"/>
          <w:szCs w:val="21"/>
          <w:highlight w:val="none"/>
        </w:rPr>
        <w:t xml:space="preserve">f</w:t>
      </w:r>
      <w:bookmarkEnd w:id="576"/>
      <w:r>
        <w:rPr>
          <w:rStyle w:val="1071"/>
          <w:rFonts w:hint="eastAsia" w:ascii="宋体" w:hAnsi="宋体" w:eastAsia="宋体" w:cs="宋体"/>
          <w:color w:val="000000"/>
          <w:sz w:val="21"/>
          <w:szCs w:val="21"/>
          <w:highlight w:val="none"/>
        </w:rPr>
        <w:t xml:space="preserve">.gov.cn/ztztz/zhengfucaigouguanli/201802/t20180201_2804589.htm</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24.2.4</w:t>
      </w:r>
      <w:r>
        <w:rPr>
          <w:rFonts w:hint="eastAsia" w:ascii="宋体" w:hAnsi="宋体" w:eastAsia="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24.2.5</w:t>
      </w:r>
      <w:r>
        <w:rPr>
          <w:rFonts w:hint="eastAsia" w:ascii="宋体" w:hAnsi="宋体" w:eastAsia="宋体" w:cs="宋体"/>
          <w:color w:val="000000"/>
          <w:sz w:val="21"/>
          <w:szCs w:val="21"/>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24.3</w:t>
      </w:r>
      <w:r>
        <w:rPr>
          <w:rFonts w:hint="eastAsia" w:ascii="宋体" w:hAnsi="宋体" w:eastAsia="宋体" w:cs="宋体"/>
          <w:color w:val="000000"/>
          <w:sz w:val="21"/>
          <w:szCs w:val="21"/>
          <w:highlight w:val="none"/>
        </w:rPr>
        <w:t xml:space="preserve">接收询问和质疑的联系部门、联系电话和通讯地址见《供应商须知资料表》。</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代理费</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25.1</w:t>
      </w:r>
      <w:r>
        <w:rPr>
          <w:rFonts w:hint="eastAsia" w:ascii="宋体" w:hAnsi="宋体" w:eastAsia="宋体" w:cs="宋体"/>
          <w:color w:val="000000"/>
          <w:sz w:val="21"/>
          <w:szCs w:val="21"/>
          <w:highlight w:val="none"/>
        </w:rPr>
        <w:t xml:space="preserve">收费对象、收费标准及缴纳时间见《供应商须知资料表》。由成交供应商支付的，成交供应商须一次性向采购代理机构缴纳代理费，报价应包含</w:t>
      </w:r>
      <w:r>
        <w:rPr>
          <w:rFonts w:hint="eastAsia" w:ascii="宋体" w:hAnsi="宋体" w:eastAsia="宋体" w:cs="宋体"/>
          <w:color w:val="000000"/>
          <w:sz w:val="21"/>
          <w:szCs w:val="21"/>
          <w:highlight w:val="none"/>
        </w:rPr>
        <w:t xml:space="preserve">代理费用。</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b/>
          <w:bCs/>
          <w:color w:val="000000"/>
          <w:sz w:val="21"/>
          <w:szCs w:val="21"/>
          <w:highlight w:val="none"/>
          <w:lang w:val="en-US" w:eastAsia="zh-CN"/>
        </w:rPr>
      </w:pPr>
      <w:r/>
      <w:bookmarkStart w:id="577" w:name="_Toc265228392"/>
      <w:r/>
      <w:bookmarkStart w:id="578" w:name="_Toc142311056"/>
      <w:r/>
      <w:bookmarkStart w:id="579" w:name="_Toc226965827"/>
      <w:r/>
      <w:bookmarkStart w:id="580" w:name="_Toc305158896"/>
      <w:r/>
      <w:bookmarkStart w:id="581" w:name="_Toc150774759"/>
      <w:r/>
      <w:bookmarkStart w:id="582" w:name="_Toc264969244"/>
      <w:r/>
      <w:bookmarkStart w:id="583" w:name="_Toc127151554"/>
      <w:r/>
      <w:bookmarkStart w:id="584" w:name="_Toc353825544"/>
      <w:r/>
      <w:bookmarkStart w:id="585" w:name="_Toc353873934"/>
      <w:r/>
      <w:bookmarkStart w:id="586" w:name="_Toc226337250"/>
      <w:r/>
      <w:bookmarkStart w:id="587" w:name="_Toc353873664"/>
      <w:r/>
      <w:bookmarkStart w:id="588" w:name="_Toc305158822"/>
      <w:r/>
      <w:bookmarkStart w:id="589" w:name="_Toc150480792"/>
      <w:r>
        <w:rPr>
          <w:rFonts w:hint="eastAsia" w:ascii="宋体" w:hAnsi="宋体" w:eastAsia="宋体" w:cs="宋体"/>
          <w:color w:val="000000"/>
          <w:sz w:val="21"/>
          <w:szCs w:val="21"/>
          <w:highlight w:val="none"/>
          <w:lang w:val="en-US" w:eastAsia="zh-CN"/>
        </w:rPr>
        <w:t xml:space="preserve">25.2</w:t>
      </w:r>
      <w:r>
        <w:rPr>
          <w:rFonts w:hint="eastAsia" w:ascii="宋体" w:hAnsi="宋体" w:eastAsia="宋体" w:cs="宋体"/>
          <w:b/>
          <w:bCs/>
          <w:color w:val="000000"/>
          <w:sz w:val="21"/>
          <w:szCs w:val="21"/>
          <w:highlight w:val="none"/>
          <w:lang w:val="en-US" w:eastAsia="zh-CN"/>
        </w:rPr>
        <w:t xml:space="preserve">成交供应商须按成交金额为基数，根据江苏省物价局苏价服〔2003〕4号、国家发展改革委员会发改办价格〔2003〕857号、发改价格〔2011〕534号文件精神，按差额定率累进法计算后支付成交服务费，成交服务收费按上述计算方法不足人民币3000元的，按人民币3000元收取。以上费用应在中标（成交）结果公示结束后五个工作日内支付至代理机构。</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代理服务收费标准</w:t>
      </w:r>
      <w:r>
        <w:rPr>
          <w:rFonts w:hint="eastAsia" w:ascii="宋体" w:hAnsi="宋体" w:eastAsia="宋体" w:cs="宋体"/>
          <w:color w:val="000000"/>
          <w:sz w:val="21"/>
          <w:szCs w:val="21"/>
          <w:highlight w:val="none"/>
        </w:rPr>
      </w:r>
      <w:r/>
    </w:p>
    <w:tbl>
      <w:tblPr>
        <w:tblW w:w="7659" w:type="dxa"/>
        <w:tblInd w:w="578" w:type="dxa"/>
        <w:tblLayout w:type="fixed"/>
        <w:tblCellMar>
          <w:left w:w="15" w:type="dxa"/>
          <w:top w:w="15" w:type="dxa"/>
          <w:right w:w="15" w:type="dxa"/>
          <w:bottom w:w="0" w:type="dxa"/>
        </w:tblCellMar>
        <w:tblLook w:val="04A0" w:firstRow="1" w:lastRow="0" w:firstColumn="1" w:lastColumn="0" w:noHBand="0" w:noVBand="1"/>
      </w:tblPr>
      <w:tblGrid>
        <w:gridCol w:w="4469"/>
        <w:gridCol w:w="3190"/>
      </w:tblGrid>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994"/>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val="en-US" w:eastAsia="zh-CN"/>
              </w:rPr>
              <w:t xml:space="preserve">成交</w:t>
            </w:r>
            <w:r>
              <w:rPr>
                <w:rFonts w:hint="eastAsia" w:ascii="宋体" w:hAnsi="宋体" w:cs="宋体"/>
                <w:b/>
                <w:color w:val="000000"/>
                <w:szCs w:val="21"/>
                <w:highlight w:val="none"/>
              </w:rPr>
              <w:t xml:space="preserve">金额（万元）</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994"/>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eastAsia="zh-CN"/>
              </w:rPr>
              <w:t xml:space="preserve">成交服务费</w:t>
            </w:r>
            <w:r>
              <w:rPr>
                <w:rFonts w:hint="eastAsia" w:ascii="宋体" w:hAnsi="宋体" w:cs="宋体"/>
                <w:b/>
                <w:color w:val="000000"/>
                <w:szCs w:val="21"/>
                <w:highlight w:val="none"/>
              </w:rPr>
              <w:t xml:space="preserve">费率</w:t>
            </w:r>
            <w:r>
              <w:rPr>
                <w:rFonts w:hint="eastAsia" w:ascii="宋体" w:hAnsi="宋体" w:cs="宋体"/>
                <w:b/>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994"/>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100（含）以下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994"/>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994"/>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100（不含）-500（含）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994"/>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994"/>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994"/>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r>
            <w:r/>
          </w:p>
        </w:tc>
      </w:tr>
    </w:tbl>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26.纸质响应文件 </w:t>
      </w:r>
      <w:r>
        <w:rPr>
          <w:rFonts w:hint="eastAsia" w:ascii="宋体" w:hAnsi="宋体" w:eastAsia="宋体" w:cs="宋体"/>
          <w:color w:val="000000"/>
          <w:sz w:val="21"/>
          <w:szCs w:val="21"/>
          <w:highlight w:val="none"/>
          <w:lang w:val="en-US" w:eastAsia="zh-CN"/>
        </w:rPr>
      </w:r>
      <w:r/>
    </w:p>
    <w:p>
      <w:pPr>
        <w:pStyle w:val="994"/>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26.1成交供应商在签订合同前向代理机构提供正本1套、副本2套纸质响应文件，在每一份纸质响应文件上要明确注明“正本” 或“副本”字样。</w:t>
      </w:r>
      <w:r>
        <w:rPr>
          <w:rFonts w:hint="eastAsia" w:ascii="宋体" w:hAnsi="宋体" w:cs="宋体"/>
          <w:color w:val="000000"/>
          <w:szCs w:val="21"/>
          <w:highlight w:val="none"/>
        </w:rPr>
      </w:r>
      <w:r/>
    </w:p>
    <w:p>
      <w:pPr>
        <w:pStyle w:val="994"/>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26.2纸质响应文件需与“苏采云”政府采购一体化平台的响应文件一致，成交供应商应按照要求签字、盖章，副本可通过正本复印。</w:t>
      </w:r>
      <w:r>
        <w:rPr>
          <w:rFonts w:hint="eastAsia" w:ascii="宋体" w:hAnsi="宋体" w:cs="宋体"/>
          <w:color w:val="000000"/>
          <w:szCs w:val="21"/>
          <w:highlight w:val="none"/>
        </w:rPr>
      </w:r>
      <w:r/>
    </w:p>
    <w:p>
      <w:pPr>
        <w:pStyle w:val="994"/>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26.3磋商文件所表述（指定）的公章是指法定名称章，不包括合同专用章、业务专用章等印章；盖章是指加盖鲜章。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994"/>
        <w:numPr>
          <w:ilvl w:val="0"/>
          <w:numId w:val="0"/>
        </w:numPr>
        <w:spacing w:line="360" w:lineRule="auto"/>
        <w:tabs>
          <w:tab w:val="left" w:pos="1080" w:leader="none"/>
          <w:tab w:val="left" w:pos="2014" w:leader="none"/>
        </w:tabs>
        <w:rPr>
          <w:rFonts w:hint="eastAsia" w:ascii="宋体" w:hAnsi="宋体" w:eastAsia="宋体" w:cs="宋体"/>
          <w:color w:val="000000"/>
          <w:sz w:val="21"/>
          <w:szCs w:val="21"/>
          <w:highlight w:val="none"/>
        </w:rPr>
        <w:sectPr>
          <w:footerReference w:type="even" r:id="rId14"/>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color w:val="000000"/>
          <w:sz w:val="21"/>
          <w:szCs w:val="21"/>
          <w:highlight w:val="none"/>
        </w:rPr>
      </w:r>
      <w:r/>
    </w:p>
    <w:p>
      <w:pPr>
        <w:pStyle w:val="994"/>
        <w:jc w:val="center"/>
        <w:spacing w:line="360" w:lineRule="auto"/>
        <w:rPr>
          <w:rFonts w:ascii="Times New Roman" w:hAnsi="Times New Roman" w:eastAsia="宋体" w:cs="Times New Roman"/>
          <w:b/>
          <w:color w:val="000000"/>
          <w:sz w:val="32"/>
          <w:szCs w:val="32"/>
          <w:highlight w:val="none"/>
        </w:rPr>
        <w:outlineLvl w:val="0"/>
      </w:pPr>
      <w:r/>
      <w:bookmarkStart w:id="590" w:name="_Toc104818927"/>
      <w:r>
        <w:rPr>
          <w:rFonts w:ascii="Times New Roman" w:hAnsi="Times New Roman" w:eastAsia="宋体" w:cs="Times New Roman"/>
          <w:b/>
          <w:color w:val="000000"/>
          <w:sz w:val="32"/>
          <w:szCs w:val="32"/>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ascii="Times New Roman" w:hAnsi="Times New Roman" w:eastAsia="宋体" w:cs="Times New Roman"/>
          <w:b/>
          <w:color w:val="000000"/>
          <w:sz w:val="32"/>
          <w:szCs w:val="32"/>
          <w:highlight w:val="none"/>
        </w:rPr>
        <w:t xml:space="preserve">评审</w:t>
      </w:r>
      <w:r>
        <w:rPr>
          <w:rFonts w:hint="eastAsia" w:ascii="Times New Roman" w:hAnsi="Times New Roman" w:eastAsia="宋体" w:cs="Times New Roman"/>
          <w:b/>
          <w:color w:val="000000"/>
          <w:sz w:val="32"/>
          <w:szCs w:val="32"/>
          <w:highlight w:val="none"/>
        </w:rPr>
        <w:t xml:space="preserve">程序、评审</w:t>
      </w:r>
      <w:r>
        <w:rPr>
          <w:rFonts w:ascii="Times New Roman" w:hAnsi="Times New Roman" w:eastAsia="宋体" w:cs="Times New Roman"/>
          <w:b/>
          <w:color w:val="000000"/>
          <w:sz w:val="32"/>
          <w:szCs w:val="32"/>
          <w:highlight w:val="none"/>
        </w:rPr>
        <w:t xml:space="preserve">方法和评审标准</w:t>
      </w:r>
      <w:bookmarkEnd w:id="590"/>
      <w:r/>
      <w:bookmarkStart w:id="591" w:name="_Toc487900382"/>
      <w:r>
        <w:rPr>
          <w:rFonts w:ascii="Times New Roman" w:hAnsi="Times New Roman" w:eastAsia="宋体" w:cs="Times New Roman"/>
          <w:b/>
          <w:color w:val="000000"/>
          <w:sz w:val="32"/>
          <w:szCs w:val="32"/>
          <w:highlight w:val="none"/>
        </w:rPr>
      </w:r>
      <w:r/>
    </w:p>
    <w:p>
      <w:pPr>
        <w:pStyle w:val="996"/>
        <w:spacing w:before="0" w:line="360" w:lineRule="auto"/>
        <w:rPr>
          <w:b w:val="0"/>
          <w:color w:val="000000"/>
          <w:sz w:val="28"/>
          <w:szCs w:val="28"/>
          <w:highlight w:val="none"/>
        </w:rPr>
      </w:pPr>
      <w:r>
        <w:rPr>
          <w:rFonts w:ascii="Times New Roman" w:hAnsi="Times New Roman" w:eastAsia="宋体" w:cs="Times New Roman"/>
          <w:b/>
          <w:color w:val="000000"/>
          <w:sz w:val="28"/>
          <w:szCs w:val="28"/>
          <w:highlight w:val="none"/>
        </w:rPr>
        <w:t xml:space="preserve">一、</w:t>
      </w:r>
      <w:r>
        <w:rPr>
          <w:rFonts w:hint="eastAsia" w:ascii="Times New Roman" w:hAnsi="Times New Roman" w:eastAsia="宋体" w:cs="Times New Roman"/>
          <w:b/>
          <w:color w:val="000000"/>
          <w:sz w:val="28"/>
          <w:szCs w:val="28"/>
          <w:highlight w:val="none"/>
        </w:rPr>
        <w:t xml:space="preserve">评审</w:t>
      </w:r>
      <w:r>
        <w:rPr>
          <w:rFonts w:ascii="Times New Roman" w:hAnsi="Times New Roman" w:eastAsia="宋体" w:cs="Times New Roman"/>
          <w:b/>
          <w:color w:val="000000"/>
          <w:sz w:val="28"/>
          <w:szCs w:val="28"/>
          <w:highlight w:val="none"/>
        </w:rPr>
        <w:t xml:space="preserve">程序</w:t>
      </w:r>
      <w:r>
        <w:rPr>
          <w:b w:val="0"/>
          <w:color w:val="000000"/>
          <w:sz w:val="28"/>
          <w:szCs w:val="28"/>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26965814"/>
      <w:r/>
      <w:bookmarkStart w:id="593" w:name="_Toc151193855"/>
      <w:r/>
      <w:bookmarkStart w:id="594" w:name="_Toc151193639"/>
      <w:r/>
      <w:bookmarkStart w:id="595" w:name="_Toc226965731"/>
      <w:r/>
      <w:bookmarkStart w:id="596" w:name="_Toc265228379"/>
      <w:r/>
      <w:bookmarkStart w:id="597" w:name="_Toc226309785"/>
      <w:r/>
      <w:bookmarkStart w:id="598" w:name="_Toc151190168"/>
      <w:r/>
      <w:bookmarkStart w:id="599" w:name="_Toc305158883"/>
      <w:r/>
      <w:bookmarkStart w:id="600" w:name="_Toc142311043"/>
      <w:r/>
      <w:bookmarkStart w:id="601" w:name="_Toc149720834"/>
      <w:r/>
      <w:bookmarkStart w:id="602" w:name="_Toc150509292"/>
      <w:r/>
      <w:bookmarkStart w:id="603" w:name="_Toc226337237"/>
      <w:r/>
      <w:bookmarkStart w:id="604" w:name="_Toc164608810"/>
      <w:r/>
      <w:bookmarkStart w:id="605" w:name="_Toc151193929"/>
      <w:r/>
      <w:bookmarkStart w:id="606" w:name="_Toc164608655"/>
      <w:r/>
      <w:bookmarkStart w:id="607" w:name="_Toc151193711"/>
      <w:r/>
      <w:bookmarkStart w:id="608" w:name="_Toc127151541"/>
      <w:r/>
      <w:bookmarkStart w:id="609" w:name="_Toc150774641"/>
      <w:r/>
      <w:bookmarkStart w:id="610" w:name="_Toc195842906"/>
      <w:r/>
      <w:bookmarkStart w:id="611" w:name="_Toc164229236"/>
      <w:r/>
      <w:bookmarkStart w:id="612" w:name="_Toc164229382"/>
      <w:r/>
      <w:bookmarkStart w:id="613" w:name="_Toc164351635"/>
      <w:r/>
      <w:bookmarkStart w:id="614" w:name="_Toc264969231"/>
      <w:r/>
      <w:bookmarkStart w:id="615" w:name="_Toc127151742"/>
      <w:r/>
      <w:bookmarkStart w:id="616" w:name="_Toc127161455"/>
      <w:r/>
      <w:bookmarkStart w:id="617" w:name="_Toc150774746"/>
      <w:r/>
      <w:bookmarkStart w:id="618" w:name="_Toc150480779"/>
      <w:r/>
      <w:bookmarkStart w:id="619" w:name="_Toc305158809"/>
      <w:r/>
      <w:bookmarkStart w:id="620" w:name="_Toc151193783"/>
      <w:r/>
      <w:bookmarkStart w:id="621" w:name="_Toc265228393"/>
      <w:r/>
      <w:bookmarkStart w:id="622" w:name="_Toc353873941"/>
      <w:r/>
      <w:bookmarkStart w:id="623" w:name="_Toc353825551"/>
      <w:r/>
      <w:bookmarkStart w:id="624" w:name="_Toc150774760"/>
      <w:r/>
      <w:bookmarkStart w:id="625" w:name="_Toc127151555"/>
      <w:r/>
      <w:bookmarkStart w:id="626" w:name="_Toc305158823"/>
      <w:r/>
      <w:bookmarkStart w:id="627" w:name="_Toc353825545"/>
      <w:r/>
      <w:bookmarkStart w:id="628" w:name="_Toc195842920"/>
      <w:r/>
      <w:bookmarkStart w:id="629" w:name="_Toc226965828"/>
      <w:r/>
      <w:bookmarkStart w:id="630" w:name="_Toc353873935"/>
      <w:r/>
      <w:bookmarkStart w:id="631" w:name="_Toc353873665"/>
      <w:r/>
      <w:bookmarkStart w:id="632" w:name="_Toc305158897"/>
      <w:r/>
      <w:bookmarkStart w:id="633" w:name="_Toc226337251"/>
      <w:r/>
      <w:bookmarkStart w:id="634" w:name="_Toc150480793"/>
      <w:r/>
      <w:bookmarkStart w:id="635" w:name="_Toc142311057"/>
      <w:r/>
      <w:bookmarkStart w:id="636" w:name="_Toc264969245"/>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color w:val="000000"/>
          <w:sz w:val="21"/>
          <w:szCs w:val="21"/>
          <w:highlight w:val="none"/>
        </w:rPr>
        <w:t xml:space="preserve">资格性检查和符合性审查</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1"/>
          <w:szCs w:val="21"/>
          <w:highlight w:val="none"/>
        </w:rPr>
        <w:t xml:space="preserve">无效响应</w:t>
      </w:r>
      <w:r>
        <w:rPr>
          <w:rFonts w:hint="eastAsia" w:ascii="宋体" w:hAnsi="宋体" w:eastAsia="宋体" w:cs="宋体"/>
          <w:color w:val="000000"/>
          <w:sz w:val="21"/>
          <w:szCs w:val="21"/>
          <w:highlight w:val="none"/>
        </w:rPr>
        <w:t xml:space="preserve">处理，磋商小组应当告知提交响应文件的供应商。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《资格性检查要求》中对格式有要求的，除竞争性磋商文件另有规定外，均为“实质性格式”文件。</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《资格性检查要求》见下表：</w:t>
      </w:r>
      <w:r>
        <w:rPr>
          <w:rFonts w:hint="eastAsia" w:ascii="宋体" w:hAnsi="宋体" w:eastAsia="宋体" w:cs="宋体"/>
          <w:color w:val="000000"/>
          <w:sz w:val="21"/>
          <w:szCs w:val="21"/>
          <w:highlight w:val="none"/>
        </w:rPr>
      </w:r>
      <w:r/>
    </w:p>
    <w:p>
      <w:pPr>
        <w:pStyle w:val="994"/>
        <w:ind w:left="1077" w:firstLine="2319"/>
        <w:spacing w:line="360" w:lineRule="auto"/>
        <w:tabs>
          <w:tab w:val="left" w:pos="900" w:leader="none"/>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资格性检查要求</w:t>
      </w:r>
      <w:r>
        <w:rPr>
          <w:rFonts w:hint="eastAsia" w:ascii="宋体" w:hAnsi="宋体" w:eastAsia="宋体" w:cs="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942"/>
        <w:gridCol w:w="4836"/>
        <w:gridCol w:w="1809"/>
      </w:tblGrid>
      <w:tr>
        <w:trPr>
          <w:cantSplit/>
          <w:trHeight w:val="20"/>
          <w:tblHeader/>
        </w:trPr>
        <w:tc>
          <w:tcPr>
            <w:tcW w:w="377" w:type="dxa"/>
            <w:vAlign w:val="center"/>
            <w:textDirection w:val="lrTb"/>
            <w:noWrap w:val="false"/>
          </w:tcPr>
          <w:p>
            <w:pPr>
              <w:pStyle w:val="994"/>
              <w:jc w:val="center"/>
              <w:tabs>
                <w:tab w:val="left" w:pos="1080" w:leader="none"/>
              </w:tabs>
              <w:rPr>
                <w:rFonts w:hint="eastAsia" w:ascii="宋体" w:hAnsi="宋体" w:eastAsia="宋体" w:cs="宋体"/>
                <w:b/>
                <w:color w:val="000000"/>
                <w:sz w:val="21"/>
                <w:szCs w:val="21"/>
                <w:highlight w:val="none"/>
              </w:rPr>
            </w:pPr>
            <w:r/>
            <w:bookmarkStart w:id="637" w:name="_Hlt487972895"/>
            <w:r/>
            <w:bookmarkEnd w:id="637"/>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045" w:type="dxa"/>
            <w:vAlign w:val="center"/>
            <w:textDirection w:val="lrTb"/>
            <w:noWrap w:val="false"/>
          </w:tcPr>
          <w:p>
            <w:pPr>
              <w:pStyle w:val="994"/>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审查因素</w:t>
            </w:r>
            <w:r>
              <w:rPr>
                <w:rFonts w:hint="eastAsia" w:ascii="宋体" w:hAnsi="宋体" w:eastAsia="宋体" w:cs="宋体"/>
                <w:b/>
                <w:color w:val="000000"/>
                <w:sz w:val="21"/>
                <w:szCs w:val="21"/>
                <w:highlight w:val="none"/>
              </w:rPr>
            </w:r>
            <w:r/>
          </w:p>
        </w:tc>
        <w:tc>
          <w:tcPr>
            <w:tcW w:w="2603" w:type="dxa"/>
            <w:vAlign w:val="center"/>
            <w:textDirection w:val="lrTb"/>
            <w:noWrap w:val="false"/>
          </w:tcPr>
          <w:p>
            <w:pPr>
              <w:pStyle w:val="994"/>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c>
          <w:tcPr>
            <w:tcW w:w="973" w:type="dxa"/>
            <w:vAlign w:val="center"/>
            <w:textDirection w:val="lrTb"/>
            <w:noWrap w:val="false"/>
          </w:tcPr>
          <w:p>
            <w:pPr>
              <w:pStyle w:val="994"/>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格式要求</w:t>
            </w:r>
            <w:r>
              <w:rPr>
                <w:rFonts w:hint="eastAsia" w:ascii="宋体" w:hAnsi="宋体" w:eastAsia="宋体" w:cs="宋体"/>
                <w:b/>
                <w:color w:val="000000"/>
                <w:sz w:val="21"/>
                <w:szCs w:val="21"/>
                <w:highlight w:val="none"/>
              </w:rPr>
            </w:r>
            <w:r/>
          </w:p>
        </w:tc>
      </w:tr>
      <w:tr>
        <w:trPr>
          <w:cantSplit/>
          <w:trHeight w:val="1493"/>
        </w:trPr>
        <w:tc>
          <w:tcPr>
            <w:tcW w:w="377"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45"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具体规定见第一章《采购邀请》</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68"/>
        </w:trPr>
        <w:tc>
          <w:tcPr>
            <w:tcW w:w="377" w:type="dxa"/>
            <w:vAlign w:val="center"/>
            <w:textDirection w:val="lrTb"/>
            <w:noWrap w:val="false"/>
          </w:tcPr>
          <w:p>
            <w:pPr>
              <w:pStyle w:val="994"/>
              <w:jc w:val="center"/>
              <w:tabs>
                <w:tab w:val="left" w:pos="108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045"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供应商营业执照</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有效的法人或者其他组织的营业执照等证明文件</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提供证明文件的电子件或电子证照</w:t>
            </w:r>
            <w:r>
              <w:rPr>
                <w:rFonts w:hint="eastAsia" w:ascii="宋体" w:hAnsi="宋体" w:eastAsia="宋体" w:cs="宋体"/>
                <w:color w:val="000000"/>
                <w:sz w:val="21"/>
                <w:szCs w:val="21"/>
                <w:highlight w:val="none"/>
              </w:rPr>
            </w:r>
            <w:r/>
          </w:p>
        </w:tc>
      </w:tr>
      <w:tr>
        <w:trPr>
          <w:cantSplit/>
          <w:trHeight w:val="468"/>
        </w:trPr>
        <w:tc>
          <w:tcPr>
            <w:tcW w:w="377"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045"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供应商资格声明函</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提供了符合采购文件要求的《供应商资格声明函》。</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格式见《响应文件格式》</w:t>
            </w:r>
            <w:r>
              <w:rPr>
                <w:rFonts w:hint="eastAsia" w:ascii="宋体" w:hAnsi="宋体" w:eastAsia="宋体" w:cs="宋体"/>
                <w:color w:val="000000"/>
                <w:sz w:val="21"/>
                <w:szCs w:val="21"/>
                <w:highlight w:val="none"/>
              </w:rPr>
            </w:r>
            <w:r/>
          </w:p>
        </w:tc>
      </w:tr>
      <w:tr>
        <w:trPr>
          <w:cantSplit/>
          <w:trHeight w:val="20"/>
        </w:trPr>
        <w:tc>
          <w:tcPr>
            <w:tcW w:w="377"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045"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供应商信用记录</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994"/>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查询渠道：信用中国网站和中国政府采购网（www.creditchina.gov.cn、www.ccgp.gov.cn）；</w:t>
            </w:r>
            <w:r>
              <w:rPr>
                <w:rFonts w:hint="eastAsia" w:ascii="宋体" w:hAnsi="宋体" w:eastAsia="宋体" w:cs="宋体"/>
                <w:color w:val="000000"/>
                <w:sz w:val="21"/>
                <w:szCs w:val="21"/>
                <w:highlight w:val="none"/>
              </w:rPr>
            </w:r>
            <w:r/>
          </w:p>
          <w:p>
            <w:pPr>
              <w:pStyle w:val="994"/>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截止时点：提交响应文件截止时间以后、资格审查阶段采购人或采购代理机构的实际查询时间；</w:t>
            </w:r>
            <w:r>
              <w:rPr>
                <w:rFonts w:hint="eastAsia" w:ascii="宋体" w:hAnsi="宋体" w:eastAsia="宋体" w:cs="宋体"/>
                <w:color w:val="000000"/>
                <w:sz w:val="21"/>
                <w:szCs w:val="21"/>
                <w:highlight w:val="none"/>
              </w:rPr>
            </w:r>
            <w:r/>
          </w:p>
          <w:p>
            <w:pPr>
              <w:pStyle w:val="994"/>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信用信息查询记录和证据留存具体方式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查询结果网页打印页作为查询记录和证据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与其他采购文件一并保存；</w:t>
            </w:r>
            <w:r>
              <w:rPr>
                <w:rFonts w:hint="eastAsia" w:ascii="宋体" w:hAnsi="宋体" w:eastAsia="宋体" w:cs="宋体"/>
                <w:color w:val="000000"/>
                <w:sz w:val="21"/>
                <w:szCs w:val="21"/>
                <w:highlight w:val="none"/>
              </w:rPr>
            </w:r>
            <w:r/>
          </w:p>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。联合体形式响应的，联合体成员存在不良信用记录，视同联合体存在不良信用记录。</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无须供应商提供，由采购人查询。</w:t>
            </w:r>
            <w:r>
              <w:rPr>
                <w:rFonts w:hint="eastAsia" w:ascii="宋体" w:hAnsi="宋体" w:eastAsia="宋体" w:cs="宋体"/>
                <w:color w:val="000000"/>
                <w:sz w:val="21"/>
                <w:szCs w:val="21"/>
                <w:highlight w:val="none"/>
              </w:rPr>
            </w:r>
            <w:r/>
          </w:p>
        </w:tc>
      </w:tr>
      <w:tr>
        <w:trPr>
          <w:cantSplit/>
          <w:trHeight w:val="20"/>
        </w:trPr>
        <w:tc>
          <w:tcPr>
            <w:tcW w:w="377"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45"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具体要求见第一章《采购邀请》</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994"/>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06"/>
        </w:trPr>
        <w:tc>
          <w:tcPr>
            <w:tcW w:w="377"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bidi="ar-SA"/>
              </w:rPr>
            </w:r>
            <w:r/>
          </w:p>
        </w:tc>
        <w:tc>
          <w:tcPr>
            <w:tcW w:w="1045"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中小企业声明函</w:t>
            </w:r>
            <w:r>
              <w:rPr>
                <w:rFonts w:hint="eastAsia" w:ascii="宋体" w:hAnsi="宋体" w:eastAsia="宋体" w:cs="宋体"/>
                <w:color w:val="000000"/>
                <w:sz w:val="21"/>
                <w:szCs w:val="21"/>
                <w:highlight w:val="none"/>
                <w:lang w:val="en-US" w:eastAsia="zh-CN" w:bidi="ar-SA"/>
              </w:rPr>
            </w:r>
            <w:r/>
          </w:p>
        </w:tc>
        <w:tc>
          <w:tcPr>
            <w:tcW w:w="2603" w:type="dxa"/>
            <w:vAlign w:val="center"/>
            <w:textDirection w:val="lrTb"/>
            <w:noWrap w:val="false"/>
          </w:tcPr>
          <w:p>
            <w:pPr>
              <w:pStyle w:val="994"/>
              <w:jc w:val="left"/>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如本项目（包）是专门面向中小企业采购的，必须提供，否则无须提供。</w:t>
            </w:r>
            <w:r>
              <w:rPr>
                <w:rFonts w:hint="eastAsia" w:ascii="宋体" w:hAnsi="宋体" w:eastAsia="宋体" w:cs="宋体"/>
                <w:b/>
                <w:bCs/>
                <w:color w:val="000000"/>
                <w:sz w:val="21"/>
                <w:szCs w:val="21"/>
                <w:highlight w:val="none"/>
              </w:rPr>
            </w:r>
            <w:r/>
          </w:p>
          <w:p>
            <w:pPr>
              <w:pStyle w:val="994"/>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color w:val="000000"/>
                <w:sz w:val="21"/>
                <w:szCs w:val="21"/>
                <w:highlight w:val="none"/>
              </w:rPr>
            </w:r>
            <w:r/>
          </w:p>
          <w:p>
            <w:pPr>
              <w:pStyle w:val="994"/>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1"/>
                <w:szCs w:val="21"/>
                <w:highlight w:val="none"/>
              </w:rPr>
            </w:r>
            <w:r/>
          </w:p>
          <w:p>
            <w:pPr>
              <w:pStyle w:val="994"/>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注1：监狱企业须提供由省级以上监狱管理局、戒毒管理局（含新疆生产建设兵团）出具的属于监狱企业的证明文件。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994"/>
              <w:jc w:val="left"/>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注2：残疾人福利性单位须按磋商文件要求提供《残疾人福利性单位声明函》。</w:t>
            </w:r>
            <w:r>
              <w:rPr>
                <w:rFonts w:hint="eastAsia" w:ascii="宋体" w:hAnsi="宋体" w:eastAsia="宋体" w:cs="宋体"/>
                <w:color w:val="000000"/>
                <w:sz w:val="21"/>
                <w:szCs w:val="21"/>
                <w:highlight w:val="none"/>
                <w:lang w:val="en-US" w:eastAsia="zh-CN" w:bidi="ar-SA"/>
              </w:rPr>
            </w:r>
            <w:r/>
          </w:p>
        </w:tc>
        <w:tc>
          <w:tcPr>
            <w:tcW w:w="973" w:type="dxa"/>
            <w:vAlign w:val="center"/>
            <w:textDirection w:val="lrTb"/>
            <w:noWrap w:val="false"/>
          </w:tcPr>
          <w:p>
            <w:pPr>
              <w:pStyle w:val="994"/>
              <w:tabs>
                <w:tab w:val="left" w:pos="1080" w:leader="none"/>
              </w:tabs>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格式见《响应文件格式》</w:t>
            </w:r>
            <w:r>
              <w:rPr>
                <w:rFonts w:ascii="宋体" w:hAnsi="宋体" w:eastAsia="宋体" w:cs="宋体"/>
                <w:color w:val="000000"/>
                <w:sz w:val="21"/>
                <w:szCs w:val="21"/>
                <w:highlight w:val="none"/>
                <w:lang w:val="en-US" w:eastAsia="zh-CN" w:bidi="ar-SA"/>
              </w:rPr>
            </w:r>
            <w:r/>
          </w:p>
        </w:tc>
      </w:tr>
      <w:tr>
        <w:trPr>
          <w:cantSplit/>
          <w:trHeight w:val="606"/>
        </w:trPr>
        <w:tc>
          <w:tcPr>
            <w:tcW w:w="377" w:type="dxa"/>
            <w:vAlign w:val="center"/>
            <w:textDirection w:val="lrTb"/>
            <w:noWrap w:val="false"/>
          </w:tcPr>
          <w:p>
            <w:pPr>
              <w:pStyle w:val="994"/>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045" w:type="dxa"/>
            <w:vAlign w:val="center"/>
            <w:textDirection w:val="lrTb"/>
            <w:noWrap w:val="false"/>
          </w:tcPr>
          <w:p>
            <w:pPr>
              <w:pStyle w:val="994"/>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其它落实政府采购政策的资格要求</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994"/>
              <w:jc w:val="left"/>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如有，见第一章《采购邀请》</w:t>
            </w:r>
            <w:r>
              <w:rPr>
                <w:rFonts w:hint="eastAsia" w:ascii="宋体" w:hAnsi="宋体" w:eastAsia="宋体" w:cs="宋体"/>
                <w:color w:val="000000"/>
                <w:sz w:val="21"/>
                <w:szCs w:val="21"/>
                <w:highlight w:val="none"/>
                <w:lang w:eastAsia="zh-CN"/>
              </w:rPr>
            </w:r>
            <w:r/>
          </w:p>
        </w:tc>
        <w:tc>
          <w:tcPr>
            <w:tcW w:w="973" w:type="dxa"/>
            <w:vAlign w:val="center"/>
            <w:textDirection w:val="lrTb"/>
            <w:noWrap w:val="false"/>
          </w:tcPr>
          <w:p>
            <w:pPr>
              <w:pStyle w:val="994"/>
              <w:jc w:val="left"/>
              <w:tabs>
                <w:tab w:val="left" w:pos="1080" w:leader="none"/>
              </w:tabs>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提供证明文件的电子件或电子证照</w:t>
            </w:r>
            <w:r>
              <w:rPr>
                <w:rFonts w:ascii="宋体" w:hAnsi="宋体" w:eastAsia="宋体" w:cs="宋体"/>
                <w:color w:val="000000"/>
                <w:sz w:val="21"/>
                <w:szCs w:val="21"/>
                <w:highlight w:val="none"/>
                <w:lang w:val="en-US" w:eastAsia="zh-CN"/>
              </w:rPr>
            </w:r>
            <w:r/>
          </w:p>
        </w:tc>
      </w:tr>
      <w:tr>
        <w:trPr>
          <w:cantSplit/>
          <w:trHeight w:val="690"/>
        </w:trPr>
        <w:tc>
          <w:tcPr>
            <w:tcW w:w="377" w:type="dxa"/>
            <w:vAlign w:val="center"/>
            <w:textDirection w:val="lrTb"/>
            <w:noWrap w:val="false"/>
          </w:tcPr>
          <w:p>
            <w:pPr>
              <w:pStyle w:val="994"/>
              <w:jc w:val="center"/>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r>
            <w:r/>
          </w:p>
        </w:tc>
        <w:tc>
          <w:tcPr>
            <w:tcW w:w="1045" w:type="dxa"/>
            <w:vAlign w:val="center"/>
            <w:textDirection w:val="lrTb"/>
            <w:noWrap w:val="false"/>
          </w:tcPr>
          <w:p>
            <w:pPr>
              <w:pStyle w:val="994"/>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本项目的特定资格要求</w:t>
            </w:r>
            <w:r>
              <w:rPr>
                <w:rFonts w:hint="eastAsia" w:ascii="宋体" w:hAnsi="宋体" w:eastAsia="宋体" w:cs="宋体"/>
                <w:b w:val="0"/>
                <w:bCs w:val="0"/>
                <w:color w:val="000000"/>
                <w:sz w:val="21"/>
                <w:szCs w:val="21"/>
                <w:highlight w:val="none"/>
              </w:rPr>
            </w:r>
            <w:r/>
          </w:p>
        </w:tc>
        <w:tc>
          <w:tcPr>
            <w:tcW w:w="2603" w:type="dxa"/>
            <w:vAlign w:val="center"/>
            <w:textDirection w:val="lrTb"/>
            <w:noWrap w:val="false"/>
          </w:tcPr>
          <w:p>
            <w:pPr>
              <w:pStyle w:val="994"/>
              <w:tabs>
                <w:tab w:val="left" w:pos="1080"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见第一章《采购邀请》</w:t>
            </w:r>
            <w:r>
              <w:rPr>
                <w:rFonts w:hint="eastAsia" w:ascii="宋体" w:hAnsi="宋体" w:eastAsia="宋体" w:cs="宋体"/>
                <w:b/>
                <w:bCs/>
                <w:color w:val="000000"/>
                <w:sz w:val="21"/>
                <w:szCs w:val="21"/>
                <w:highlight w:val="none"/>
                <w:lang w:eastAsia="zh-CN"/>
              </w:rPr>
            </w:r>
            <w:r/>
          </w:p>
        </w:tc>
        <w:tc>
          <w:tcPr>
            <w:tcW w:w="973" w:type="dxa"/>
            <w:vAlign w:val="center"/>
            <w:textDirection w:val="lrTb"/>
            <w:noWrap w:val="false"/>
          </w:tcPr>
          <w:p>
            <w:pPr>
              <w:pStyle w:val="994"/>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572"/>
        </w:trPr>
        <w:tc>
          <w:tcPr>
            <w:tcW w:w="377" w:type="dxa"/>
            <w:vAlign w:val="center"/>
            <w:textDirection w:val="lrTb"/>
            <w:noWrap w:val="false"/>
          </w:tcPr>
          <w:p>
            <w:pPr>
              <w:pStyle w:val="994"/>
              <w:jc w:val="center"/>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1045" w:type="dxa"/>
            <w:vAlign w:val="center"/>
            <w:textDirection w:val="lrTb"/>
            <w:noWrap w:val="false"/>
          </w:tcPr>
          <w:p>
            <w:pPr>
              <w:pStyle w:val="994"/>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其他特定资格要求</w:t>
            </w:r>
            <w:r>
              <w:rPr>
                <w:rFonts w:hint="eastAsia" w:ascii="宋体" w:hAnsi="宋体" w:eastAsia="宋体" w:cs="宋体"/>
                <w:b w:val="0"/>
                <w:bCs w:val="0"/>
                <w:color w:val="000000"/>
                <w:sz w:val="21"/>
                <w:szCs w:val="21"/>
                <w:highlight w:val="none"/>
                <w:lang w:val="en-US" w:eastAsia="zh-CN" w:bidi="ar-SA"/>
              </w:rPr>
            </w:r>
            <w:r/>
          </w:p>
        </w:tc>
        <w:tc>
          <w:tcPr>
            <w:tcW w:w="2603" w:type="dxa"/>
            <w:vAlign w:val="center"/>
            <w:textDirection w:val="lrTb"/>
            <w:noWrap w:val="false"/>
          </w:tcPr>
          <w:p>
            <w:pPr>
              <w:pStyle w:val="994"/>
              <w:jc w:val="center"/>
              <w:spacing w:line="240" w:lineRule="auto"/>
              <w:tabs>
                <w:tab w:val="left" w:pos="900" w:leader="none"/>
                <w:tab w:val="left" w:pos="1134" w:leader="none"/>
                <w:tab w:val="left" w:pos="1589" w:leader="none"/>
                <w:tab w:val="left" w:pos="5521" w:leader="none"/>
              </w:tabs>
              <w:rPr>
                <w:rFonts w:ascii="宋体" w:hAnsi="宋体" w:eastAsia="宋体" w:cs="宋体"/>
                <w:b w:val="0"/>
                <w:bCs w:val="0"/>
                <w:color w:val="000000"/>
                <w:sz w:val="21"/>
                <w:szCs w:val="21"/>
                <w:highlight w:val="none"/>
                <w:lang w:val="en-US" w:eastAsia="zh-CN" w:bidi="ar-SA"/>
              </w:rPr>
            </w:pPr>
            <w:r>
              <w:rPr>
                <w:rFonts w:hint="eastAsia" w:ascii="宋体" w:hAnsi="宋体" w:cs="宋体"/>
                <w:color w:val="000000"/>
                <w:szCs w:val="21"/>
                <w:highlight w:val="none"/>
              </w:rPr>
              <w:t xml:space="preserve">无</w:t>
            </w:r>
            <w:r>
              <w:rPr>
                <w:rFonts w:ascii="宋体" w:hAnsi="宋体" w:eastAsia="宋体" w:cs="宋体"/>
                <w:b w:val="0"/>
                <w:bCs w:val="0"/>
                <w:color w:val="000000"/>
                <w:sz w:val="21"/>
                <w:szCs w:val="21"/>
                <w:highlight w:val="none"/>
                <w:lang w:val="en-US" w:eastAsia="zh-CN" w:bidi="ar-SA"/>
              </w:rPr>
            </w:r>
            <w:r/>
          </w:p>
        </w:tc>
        <w:tc>
          <w:tcPr>
            <w:tcW w:w="973" w:type="dxa"/>
            <w:vAlign w:val="center"/>
            <w:textDirection w:val="lrTb"/>
            <w:noWrap w:val="false"/>
          </w:tcPr>
          <w:p>
            <w:pPr>
              <w:pStyle w:val="994"/>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bl>
    <w:p>
      <w:pPr>
        <w:pStyle w:val="994"/>
        <w:jc w:val="left"/>
        <w:widowControl/>
        <w:rPr>
          <w:color w:val="000000"/>
          <w:sz w:val="24"/>
          <w:highlight w:val="none"/>
        </w:rPr>
      </w:pPr>
      <w:r>
        <w:rPr>
          <w:color w:val="000000"/>
          <w:sz w:val="24"/>
          <w:highlight w:val="none"/>
        </w:rPr>
        <w:br w:type="page" w:clear="all"/>
      </w:r>
      <w:r>
        <w:rPr>
          <w:color w:val="000000"/>
          <w:sz w:val="24"/>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《符合性审查要求》见下表：</w:t>
      </w:r>
      <w:r>
        <w:rPr>
          <w:rFonts w:hint="eastAsia" w:ascii="宋体" w:hAnsi="宋体" w:eastAsia="宋体" w:cs="宋体"/>
          <w:color w:val="000000"/>
          <w:sz w:val="21"/>
          <w:szCs w:val="21"/>
          <w:highlight w:val="none"/>
        </w:rPr>
      </w:r>
      <w:r/>
    </w:p>
    <w:p>
      <w:pPr>
        <w:pStyle w:val="994"/>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符合性审查要求</w:t>
      </w:r>
      <w:r>
        <w:rPr>
          <w:rFonts w:hint="eastAsia" w:ascii="宋体" w:hAnsi="宋体" w:eastAsia="宋体" w:cs="宋体"/>
          <w:b/>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812"/>
        <w:gridCol w:w="6733"/>
      </w:tblGrid>
      <w:tr>
        <w:trPr>
          <w:trHeight w:val="300"/>
        </w:trPr>
        <w:tc>
          <w:tcPr>
            <w:tcW w:w="400" w:type="dxa"/>
            <w:vAlign w:val="center"/>
            <w:textDirection w:val="lrTb"/>
            <w:noWrap w:val="false"/>
          </w:tcPr>
          <w:p>
            <w:pPr>
              <w:pStyle w:val="994"/>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975" w:type="dxa"/>
            <w:vAlign w:val="center"/>
            <w:textDirection w:val="lrTb"/>
            <w:noWrap w:val="false"/>
          </w:tcPr>
          <w:p>
            <w:pPr>
              <w:pStyle w:val="994"/>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审查因素</w:t>
            </w:r>
            <w:r>
              <w:rPr>
                <w:rFonts w:hint="eastAsia" w:ascii="宋体" w:hAnsi="宋体" w:eastAsia="宋体" w:cs="宋体"/>
                <w:b/>
                <w:color w:val="000000"/>
                <w:sz w:val="21"/>
                <w:szCs w:val="21"/>
                <w:highlight w:val="none"/>
              </w:rPr>
            </w:r>
            <w:r/>
          </w:p>
        </w:tc>
        <w:tc>
          <w:tcPr>
            <w:tcW w:w="3624" w:type="dxa"/>
            <w:vAlign w:val="center"/>
            <w:textDirection w:val="lrTb"/>
            <w:noWrap w:val="false"/>
          </w:tcPr>
          <w:p>
            <w:pPr>
              <w:pStyle w:val="994"/>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按磋商文件要求提供</w:t>
            </w:r>
            <w:r>
              <w:rPr>
                <w:rFonts w:hint="eastAsia" w:ascii="宋体" w:hAnsi="宋体" w:eastAsia="宋体" w:cs="宋体"/>
                <w:b/>
                <w:bCs/>
                <w:color w:val="000000"/>
                <w:sz w:val="21"/>
                <w:szCs w:val="21"/>
                <w:highlight w:val="none"/>
              </w:rPr>
              <w:t xml:space="preserve">响应函</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法定代表人资格证明书</w:t>
            </w:r>
            <w:r>
              <w:rPr>
                <w:rFonts w:hint="eastAsia" w:ascii="宋体" w:hAnsi="宋体" w:eastAsia="宋体" w:cs="宋体"/>
                <w:color w:val="000000"/>
                <w:sz w:val="21"/>
                <w:szCs w:val="21"/>
                <w:highlight w:val="none"/>
              </w:rPr>
              <w:t xml:space="preserve">和</w:t>
            </w:r>
            <w:r>
              <w:rPr>
                <w:rFonts w:hint="eastAsia" w:ascii="宋体" w:hAnsi="宋体" w:eastAsia="宋体" w:cs="宋体"/>
                <w:b/>
                <w:bCs/>
                <w:color w:val="000000"/>
                <w:sz w:val="21"/>
                <w:szCs w:val="21"/>
                <w:highlight w:val="none"/>
              </w:rPr>
              <w:t xml:space="preserve">政府采购供应商信用承诺书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响应完整性</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未将一个采购包中的内容拆开响应；</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cs="宋体"/>
                <w:b/>
                <w:bCs/>
                <w:color w:val="000000"/>
                <w:szCs w:val="21"/>
                <w:highlight w:val="none"/>
              </w:rPr>
              <w:t xml:space="preserve">响应报价未超过磋商文件中规定的采购包预算金额</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采购包最高限价；</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报价唯一性</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w:t>
            </w:r>
            <w:r>
              <w:rPr>
                <w:rFonts w:hint="eastAsia" w:ascii="宋体" w:hAnsi="宋体" w:eastAsia="宋体" w:cs="宋体"/>
                <w:color w:val="000000"/>
                <w:sz w:val="21"/>
                <w:szCs w:val="21"/>
                <w:highlight w:val="none"/>
              </w:rPr>
              <w:t xml:space="preserve">出现可选择性或可调整的报价（磋商文件另有规定的除外）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报价合理性</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详见下文4.7条，</w:t>
            </w:r>
            <w:r>
              <w:rPr>
                <w:rFonts w:hint="eastAsia" w:ascii="宋体" w:hAnsi="宋体" w:eastAsia="宋体" w:cs="宋体"/>
                <w:b/>
                <w:bCs/>
                <w:color w:val="000000"/>
                <w:sz w:val="21"/>
                <w:szCs w:val="21"/>
                <w:highlight w:val="none"/>
                <w:lang w:val="en-US" w:eastAsia="zh-CN"/>
              </w:rPr>
              <w:t xml:space="preserve">异常低价响应审查程序</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响应文件中承诺的响应有效期满足磋商文件中载明的响应有效期的；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签署、加盖公章</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按照磋商文件要求签署、加盖公章的；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标记为“实质性格式”的文件均按磋商文件要求提供；</w:t>
            </w:r>
            <w:r>
              <w:rPr>
                <w:rFonts w:hint="eastAsia" w:ascii="宋体" w:hAnsi="宋体" w:eastAsia="宋体" w:cs="宋体"/>
                <w:color w:val="000000"/>
                <w:sz w:val="21"/>
                <w:szCs w:val="21"/>
                <w:highlight w:val="none"/>
              </w:rPr>
            </w:r>
            <w:r/>
          </w:p>
        </w:tc>
      </w:tr>
      <w:tr>
        <w:trPr>
          <w:trHeight w:val="685"/>
        </w:trPr>
        <w:tc>
          <w:tcPr>
            <w:tcW w:w="744" w:type="dxa"/>
            <w:vAlign w:val="center"/>
            <w:textDirection w:val="lrTb"/>
            <w:noWrap w:val="false"/>
          </w:tcPr>
          <w:p>
            <w:pPr>
              <w:pStyle w:val="994"/>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812"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★号条款响应</w:t>
            </w:r>
            <w:r>
              <w:rPr>
                <w:rFonts w:hint="eastAsia" w:ascii="宋体" w:hAnsi="宋体" w:eastAsia="宋体" w:cs="宋体"/>
                <w:color w:val="000000"/>
                <w:sz w:val="21"/>
                <w:szCs w:val="21"/>
                <w:highlight w:val="none"/>
              </w:rPr>
            </w:r>
            <w:r/>
          </w:p>
        </w:tc>
        <w:tc>
          <w:tcPr>
            <w:tcW w:w="6732"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响应文件</w:t>
            </w:r>
            <w:r>
              <w:rPr>
                <w:rFonts w:hint="eastAsia" w:ascii="宋体" w:hAnsi="宋体" w:cs="宋体"/>
                <w:color w:val="000000"/>
                <w:szCs w:val="21"/>
                <w:highlight w:val="none"/>
              </w:rPr>
              <w:t xml:space="preserve">满足</w:t>
            </w:r>
            <w:r>
              <w:rPr>
                <w:rFonts w:hint="eastAsia" w:ascii="宋体" w:hAnsi="宋体" w:cs="宋体"/>
                <w:color w:val="000000"/>
                <w:szCs w:val="21"/>
                <w:highlight w:val="none"/>
              </w:rPr>
              <w:t xml:space="preserve">磋商文件</w:t>
            </w: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提供）</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公平竞争</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串通响应</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响应文件未含有采购人不能接受的附加条件的；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994"/>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975"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供应商、响应文件不存在不符合法律、法规和磋商文件规定的其他无效情形。</w:t>
            </w:r>
            <w:r>
              <w:rPr>
                <w:rFonts w:hint="eastAsia" w:ascii="宋体" w:hAnsi="宋体" w:eastAsia="宋体" w:cs="宋体"/>
                <w:color w:val="000000"/>
                <w:sz w:val="21"/>
                <w:szCs w:val="21"/>
                <w:highlight w:val="none"/>
              </w:rPr>
            </w:r>
            <w:r/>
          </w:p>
        </w:tc>
      </w:tr>
    </w:tbl>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磋商、响应文件有关事项的澄清、说明或者更正和最终报价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1"/>
          <w:szCs w:val="21"/>
          <w:highlight w:val="none"/>
        </w:rPr>
      </w:r>
      <w:r/>
    </w:p>
    <w:p>
      <w:pPr>
        <w:pStyle w:val="994"/>
        <w:numPr>
          <w:ilvl w:val="0"/>
          <w:numId w:val="0"/>
        </w:numPr>
        <w:ind w:firstLine="422"/>
        <w:spacing w:line="360" w:lineRule="auto"/>
        <w:tabs>
          <w:tab w:val="left" w:pos="1080" w:leader="none"/>
          <w:tab w:val="left" w:pos="1872"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2.3对磋商文件作出的实质性变动是磋商文件的有效组成部分，磋商小组应当及时通过“苏采云”政府采购一体化平台系统以书面形式同时通知所有参加磋商的供应商。</w:t>
      </w:r>
      <w:r>
        <w:rPr>
          <w:rFonts w:hint="eastAsia" w:ascii="宋体" w:hAnsi="宋体" w:eastAsia="宋体" w:cs="宋体"/>
          <w:b/>
          <w:bCs/>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响应文件的澄清、说明或者更正：</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评审过程中，磋商小组会将通过</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color w:val="000000"/>
          <w:sz w:val="21"/>
          <w:szCs w:val="21"/>
          <w:highlight w:val="none"/>
        </w:rPr>
      </w:r>
      <w:r/>
    </w:p>
    <w:p>
      <w:pPr>
        <w:pStyle w:val="994"/>
        <w:numPr>
          <w:ilvl w:val="0"/>
          <w:numId w:val="0"/>
        </w:numPr>
        <w:ind w:firstLine="422"/>
        <w:spacing w:line="360" w:lineRule="auto"/>
        <w:tabs>
          <w:tab w:val="left" w:pos="1080" w:leader="none"/>
          <w:tab w:val="left" w:pos="187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2.6磋商结束后，磋商小组将要求所有实质性响应的供应商在规定时间内通过“苏采云”政府采购一体化平台系统提交最终报价。</w:t>
      </w:r>
      <w:r>
        <w:rPr>
          <w:rFonts w:hint="eastAsia" w:ascii="宋体" w:hAnsi="宋体" w:eastAsia="宋体" w:cs="宋体"/>
          <w:b/>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000000"/>
          <w:sz w:val="21"/>
          <w:szCs w:val="21"/>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最终报价是供应商响应文件的有效组成部分。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已提交响应文件的供应商，在提交最终报价之前，可以根据磋商情况退出磋商。</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最终报价的算术修正及政策调整</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最终报价出现前后不一致的，按照下列规定修正：</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3.2.1</w:t>
      </w:r>
      <w:r>
        <w:rPr>
          <w:rFonts w:hint="eastAsia" w:ascii="宋体" w:hAnsi="宋体" w:eastAsia="宋体" w:cs="宋体"/>
          <w:color w:val="000000"/>
          <w:sz w:val="21"/>
          <w:szCs w:val="21"/>
          <w:highlight w:val="none"/>
        </w:rPr>
        <w:t xml:space="preserve">竞争性磋商文件对于报价修正是否另有规定：</w:t>
      </w:r>
      <w:r>
        <w:rPr>
          <w:rFonts w:hint="eastAsia" w:ascii="宋体" w:hAnsi="宋体" w:eastAsia="宋体" w:cs="宋体"/>
          <w:color w:val="000000"/>
          <w:sz w:val="21"/>
          <w:szCs w:val="21"/>
          <w:highlight w:val="none"/>
        </w:rPr>
      </w:r>
      <w:r/>
    </w:p>
    <w:p>
      <w:pPr>
        <w:pStyle w:val="994"/>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u w:val="single"/>
          <w:lang w:val="en-US" w:eastAsia="zh-CN"/>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有，具体规定为：</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r>
      <w:r/>
    </w:p>
    <w:p>
      <w:pPr>
        <w:pStyle w:val="994"/>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■无，按下述3.2.2-3.2.5项规定修正。</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3.2.2</w:t>
      </w: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3.2.3</w:t>
      </w:r>
      <w:r>
        <w:rPr>
          <w:rFonts w:hint="eastAsia" w:ascii="宋体" w:hAnsi="宋体" w:eastAsia="宋体" w:cs="宋体"/>
          <w:color w:val="000000"/>
          <w:sz w:val="21"/>
          <w:szCs w:val="21"/>
          <w:highlight w:val="none"/>
        </w:rPr>
        <w:t xml:space="preserve">单价金额小数点或者百分比有明显错位的，以最终报价一览表的总价为准，并修改单价；</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3.2.4</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3.2.5</w:t>
      </w:r>
      <w:r>
        <w:rPr>
          <w:rFonts w:hint="eastAsia" w:ascii="宋体" w:hAnsi="宋体" w:eastAsia="宋体" w:cs="宋体"/>
          <w:color w:val="000000"/>
          <w:sz w:val="21"/>
          <w:szCs w:val="21"/>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1"/>
          <w:szCs w:val="21"/>
          <w:highlight w:val="none"/>
        </w:rPr>
        <w:t xml:space="preserve">其响应无效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color w:val="000000"/>
          <w:sz w:val="21"/>
          <w:szCs w:val="21"/>
          <w:highlight w:val="none"/>
        </w:rPr>
      </w:r>
      <w:r/>
    </w:p>
    <w:p>
      <w:pPr>
        <w:pStyle w:val="994"/>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3.3.1</w:t>
      </w:r>
      <w:r>
        <w:rPr>
          <w:rFonts w:hint="eastAsia" w:ascii="宋体" w:hAnsi="宋体" w:eastAsia="宋体" w:cs="宋体"/>
          <w:color w:val="000000"/>
          <w:sz w:val="21"/>
          <w:szCs w:val="21"/>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报价给予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的扣除，用扣除后的价格参加评审。</w:t>
      </w:r>
      <w:r>
        <w:rPr>
          <w:rFonts w:hint="eastAsia" w:ascii="宋体" w:hAnsi="宋体" w:eastAsia="宋体" w:cs="宋体"/>
          <w:color w:val="000000"/>
          <w:sz w:val="21"/>
          <w:szCs w:val="21"/>
          <w:highlight w:val="none"/>
          <w:lang w:eastAsia="zh-CN"/>
        </w:rPr>
      </w:r>
      <w:r/>
    </w:p>
    <w:p>
      <w:pPr>
        <w:pStyle w:val="994"/>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3.3.2</w:t>
      </w:r>
      <w:r>
        <w:rPr>
          <w:rFonts w:hint="eastAsia" w:ascii="宋体" w:hAnsi="宋体" w:eastAsia="宋体" w:cs="宋体"/>
          <w:color w:val="000000"/>
          <w:sz w:val="21"/>
          <w:szCs w:val="21"/>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组成联合体或者允许大中型企业向一家或者多家</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分包的采购项目，对于联合协议或者分包意向协议约定</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的合同份额占到合同总金额30%以上的联合体或者大中型企业的报价给予3%的扣除，用扣除后的价格参加评审。</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3.3.3</w:t>
      </w:r>
      <w:r>
        <w:rPr>
          <w:rFonts w:hint="eastAsia" w:ascii="宋体" w:hAnsi="宋体" w:eastAsia="宋体" w:cs="宋体"/>
          <w:color w:val="000000"/>
          <w:sz w:val="21"/>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3.3.4</w:t>
      </w:r>
      <w:r>
        <w:rPr>
          <w:rFonts w:hint="eastAsia" w:ascii="宋体" w:hAnsi="宋体" w:eastAsia="宋体" w:cs="宋体"/>
          <w:color w:val="000000"/>
          <w:sz w:val="21"/>
          <w:szCs w:val="21"/>
          <w:highlight w:val="none"/>
        </w:rPr>
        <w:t xml:space="preserve">价格扣除比例对小型企业和微型企业同等对待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不作区分。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3.3.5</w:t>
      </w:r>
      <w:r>
        <w:rPr>
          <w:rFonts w:hint="eastAsia" w:ascii="宋体" w:hAnsi="宋体" w:eastAsia="宋体" w:cs="宋体"/>
          <w:color w:val="000000"/>
          <w:sz w:val="21"/>
          <w:szCs w:val="21"/>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3.3.6</w:t>
      </w:r>
      <w:r>
        <w:rPr>
          <w:rFonts w:hint="eastAsia" w:ascii="宋体" w:hAnsi="宋体" w:eastAsia="宋体" w:cs="宋体"/>
          <w:color w:val="000000"/>
          <w:sz w:val="21"/>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3.3.7</w:t>
      </w:r>
      <w:r>
        <w:rPr>
          <w:rFonts w:hint="eastAsia" w:ascii="宋体" w:hAnsi="宋体" w:eastAsia="宋体" w:cs="宋体"/>
          <w:color w:val="000000"/>
          <w:sz w:val="21"/>
          <w:szCs w:val="21"/>
          <w:highlight w:val="none"/>
        </w:rPr>
        <w:t xml:space="preserve">残疾人福利性单位按竞争性磋商文件要求提供了《残疾人福利性单位声明函》（见附件）的，视同小微企业。</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3.3.8</w:t>
      </w:r>
      <w:r>
        <w:rPr>
          <w:rFonts w:hint="eastAsia" w:ascii="宋体" w:hAnsi="宋体" w:eastAsia="宋体" w:cs="宋体"/>
          <w:color w:val="000000"/>
          <w:sz w:val="21"/>
          <w:szCs w:val="21"/>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3.3.9</w:t>
      </w:r>
      <w:r>
        <w:rPr>
          <w:rFonts w:hint="eastAsia" w:ascii="宋体" w:hAnsi="宋体" w:eastAsia="宋体" w:cs="宋体"/>
          <w:color w:val="000000"/>
          <w:sz w:val="21"/>
          <w:szCs w:val="21"/>
          <w:highlight w:val="none"/>
        </w:rPr>
        <w:t xml:space="preserve">其他为落实政府采购政策实施的优先采购：</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磋商环节及提交最终报价后如出现以下情况的，供应商的</w:t>
      </w:r>
      <w:r>
        <w:rPr>
          <w:rFonts w:hint="eastAsia" w:ascii="宋体" w:hAnsi="宋体" w:eastAsia="宋体" w:cs="宋体"/>
          <w:b/>
          <w:color w:val="000000"/>
          <w:sz w:val="21"/>
          <w:szCs w:val="21"/>
          <w:highlight w:val="none"/>
        </w:rPr>
        <w:t xml:space="preserve">响应文件无效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供应商对实质性变动不予确认的；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未按照磋商小组规定的时间、逾期提交最终报价的；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4.4如供应商的最终报价超过竞争性磋商文件中规定的采购包预算金额或者采购包最高限价的；</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响应文件中出现可选择性或可调整的报价的（竞争性磋商文件另有规定的除外）；</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最终报价出现前后不一致，供应商对修正后的报价不予确认的；</w:t>
      </w:r>
      <w:r>
        <w:rPr>
          <w:rFonts w:hint="eastAsia" w:ascii="宋体" w:hAnsi="宋体" w:eastAsia="宋体" w:cs="宋体"/>
          <w:color w:val="000000"/>
          <w:sz w:val="21"/>
          <w:szCs w:val="21"/>
          <w:highlight w:val="none"/>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bookmarkEnd w:id="622"/>
      <w:r/>
      <w:bookmarkEnd w:id="623"/>
      <w:r>
        <w:rPr>
          <w:rFonts w:hint="eastAsia" w:ascii="宋体" w:hAnsi="宋体" w:eastAsia="宋体" w:cs="宋体"/>
          <w:b/>
          <w:bCs/>
          <w:color w:val="000000"/>
          <w:sz w:val="21"/>
          <w:szCs w:val="21"/>
          <w:highlight w:val="none"/>
          <w:lang w:val="en-US" w:eastAsia="zh-CN"/>
        </w:rPr>
        <w:t xml:space="preserve">4.7异常低价审查</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（一）采购人应当在采购文件中明确，政府采购评审中出现下列情形之一的，评审委员会应当启动异常低价投标（响应）审查程序：</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4.7.2</w:t>
      </w:r>
      <w:r>
        <w:rPr>
          <w:rFonts w:hint="eastAsia" w:ascii="宋体" w:hAnsi="宋体" w:eastAsia="宋体" w:cs="宋体"/>
          <w:b/>
          <w:bCs/>
          <w:color w:val="000000"/>
          <w:sz w:val="21"/>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4.7.3</w:t>
      </w:r>
      <w:r>
        <w:rPr>
          <w:rFonts w:hint="eastAsia" w:ascii="宋体" w:hAnsi="宋体" w:eastAsia="宋体" w:cs="宋体"/>
          <w:b/>
          <w:bCs/>
          <w:color w:val="000000"/>
          <w:sz w:val="21"/>
          <w:szCs w:val="21"/>
          <w:highlight w:val="none"/>
          <w:lang w:val="en-US" w:eastAsia="zh-CN"/>
        </w:rPr>
        <w:t xml:space="preserve">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4.7.1项至4.7.4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4.7.3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99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1"/>
          <w:szCs w:val="21"/>
          <w:highlight w:val="none"/>
          <w:lang w:val="en-US" w:eastAsia="zh-CN"/>
        </w:rPr>
      </w:r>
      <w:r/>
    </w:p>
    <w:p>
      <w:pPr>
        <w:pStyle w:val="994"/>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4.8</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评审方法和评审标准</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本项目采用的评审方法为：</w:t>
      </w:r>
      <w:r>
        <w:rPr>
          <w:rFonts w:hint="eastAsia" w:ascii="宋体" w:hAnsi="宋体" w:eastAsia="宋体" w:cs="宋体"/>
          <w:b/>
          <w:bCs/>
          <w:color w:val="000000"/>
          <w:sz w:val="21"/>
          <w:szCs w:val="21"/>
          <w:highlight w:val="none"/>
        </w:rPr>
        <w:t xml:space="preserve">综合评分法</w:t>
      </w:r>
      <w:r>
        <w:rPr>
          <w:rFonts w:hint="eastAsia" w:ascii="宋体" w:hAnsi="宋体" w:eastAsia="宋体" w:cs="宋体"/>
          <w:color w:val="000000"/>
          <w:sz w:val="21"/>
          <w:szCs w:val="21"/>
          <w:highlight w:val="none"/>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rPr>
        <w:t xml:space="preserve">竞争性磋商文件中没有规定的评审标准不得作为评审依据。</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5.3</w:t>
      </w:r>
      <w:r>
        <w:rPr>
          <w:rFonts w:hint="eastAsia" w:ascii="宋体" w:hAnsi="宋体" w:eastAsia="宋体" w:cs="宋体"/>
          <w:color w:val="000000"/>
          <w:sz w:val="21"/>
          <w:szCs w:val="21"/>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关于无线局域网认证产品政府采购清单中的产品，优先采购的具体规定（如涉及）</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确定</w:t>
      </w:r>
      <w:bookmarkStart w:id="638" w:name="_Toc151193644"/>
      <w:r/>
      <w:bookmarkStart w:id="639" w:name="_Toc150509297"/>
      <w:r/>
      <w:bookmarkStart w:id="640" w:name="_Toc151193716"/>
      <w:r/>
      <w:bookmarkStart w:id="641" w:name="_Toc150480784"/>
      <w:r/>
      <w:bookmarkStart w:id="642" w:name="_Toc305158814"/>
      <w:r/>
      <w:bookmarkStart w:id="643" w:name="_Toc264969236"/>
      <w:r/>
      <w:bookmarkStart w:id="644" w:name="_Toc151193860"/>
      <w:r/>
      <w:bookmarkStart w:id="645" w:name="_Toc305158888"/>
      <w:r/>
      <w:bookmarkStart w:id="646" w:name="_Toc265228384"/>
      <w:r/>
      <w:bookmarkStart w:id="647" w:name="_Toc150774751"/>
      <w:r/>
      <w:bookmarkStart w:id="648" w:name="_Toc151193788"/>
      <w:r/>
      <w:bookmarkStart w:id="649" w:name="_Toc226965736"/>
      <w:r/>
      <w:bookmarkStart w:id="650" w:name="_Toc142311048"/>
      <w:r/>
      <w:bookmarkStart w:id="651" w:name="_Toc127151546"/>
      <w:r/>
      <w:bookmarkStart w:id="652" w:name="_Toc150774646"/>
      <w:r/>
      <w:bookmarkStart w:id="653" w:name="_Toc151193934"/>
      <w:r/>
      <w:bookmarkStart w:id="654" w:name="_Ref467307010"/>
      <w:r/>
      <w:bookmarkStart w:id="655" w:name="_Toc164229241"/>
      <w:r/>
      <w:bookmarkStart w:id="656" w:name="_Toc226337242"/>
      <w:r/>
      <w:bookmarkStart w:id="657" w:name="_Toc226309790"/>
      <w:r/>
      <w:bookmarkStart w:id="658" w:name="_Toc127151747"/>
      <w:r/>
      <w:bookmarkStart w:id="659" w:name="_Toc151190173"/>
      <w:r/>
      <w:bookmarkStart w:id="660" w:name="_Toc520356170"/>
      <w:r/>
      <w:bookmarkStart w:id="661" w:name="_Toc195842911"/>
      <w:r/>
      <w:bookmarkStart w:id="662" w:name="_Toc149720839"/>
      <w:r/>
      <w:bookmarkStart w:id="663" w:name="_Toc127161460"/>
      <w:r/>
      <w:bookmarkStart w:id="664" w:name="_Toc164608815"/>
      <w:r/>
      <w:bookmarkStart w:id="665" w:name="_Toc164351640"/>
      <w:r/>
      <w:bookmarkStart w:id="666" w:name="_Toc164608660"/>
      <w:r/>
      <w:bookmarkStart w:id="667" w:name="_Toc226965819"/>
      <w:r/>
      <w:bookmarkStart w:id="668" w:name="_Toc164229387"/>
      <w:r>
        <w:rPr>
          <w:rFonts w:hint="eastAsia" w:ascii="宋体" w:hAnsi="宋体" w:eastAsia="宋体" w:cs="宋体"/>
          <w:color w:val="000000"/>
          <w:sz w:val="21"/>
          <w:szCs w:val="21"/>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rPr>
        <w:t xml:space="preserve">磋商小组根据上述供应商排序，依次推荐排序前</w:t>
      </w:r>
      <w:r>
        <w:rPr>
          <w:rFonts w:hint="eastAsia" w:ascii="宋体" w:hAnsi="宋体" w:eastAsia="宋体" w:cs="宋体"/>
          <w:color w:val="000000"/>
          <w:sz w:val="21"/>
          <w:szCs w:val="21"/>
          <w:highlight w:val="none"/>
        </w:rPr>
        <w:t xml:space="preserve">3名</w:t>
      </w:r>
      <w:r>
        <w:rPr>
          <w:rFonts w:hint="eastAsia" w:ascii="宋体" w:hAnsi="宋体" w:eastAsia="宋体" w:cs="宋体"/>
          <w:color w:val="000000"/>
          <w:sz w:val="21"/>
          <w:szCs w:val="21"/>
          <w:highlight w:val="none"/>
        </w:rPr>
        <w:t xml:space="preserve">的供应商为</w:t>
      </w:r>
      <w:r>
        <w:rPr>
          <w:rFonts w:hint="eastAsia" w:ascii="宋体" w:hAnsi="宋体" w:eastAsia="宋体" w:cs="宋体"/>
          <w:color w:val="000000"/>
          <w:sz w:val="21"/>
          <w:szCs w:val="21"/>
          <w:highlight w:val="none"/>
        </w:rPr>
        <w:t xml:space="preserve">成交候选供应商</w:t>
      </w:r>
      <w:r>
        <w:rPr>
          <w:rFonts w:hint="eastAsia" w:ascii="宋体" w:hAnsi="宋体" w:eastAsia="宋体" w:cs="宋体"/>
          <w:color w:val="000000"/>
          <w:sz w:val="21"/>
          <w:szCs w:val="21"/>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1"/>
          <w:szCs w:val="21"/>
          <w:highlight w:val="none"/>
        </w:rPr>
      </w:r>
      <w:r/>
    </w:p>
    <w:p>
      <w:pPr>
        <w:pStyle w:val="994"/>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1"/>
          <w:szCs w:val="21"/>
          <w:highlight w:val="none"/>
        </w:rPr>
      </w:r>
      <w:r/>
    </w:p>
    <w:p>
      <w:pPr>
        <w:pStyle w:val="994"/>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报告违法行为</w:t>
      </w:r>
      <w:r>
        <w:rPr>
          <w:rFonts w:hint="eastAsia" w:ascii="宋体" w:hAnsi="宋体" w:eastAsia="宋体" w:cs="宋体"/>
          <w:color w:val="000000"/>
          <w:sz w:val="21"/>
          <w:szCs w:val="21"/>
          <w:highlight w:val="none"/>
        </w:rPr>
      </w:r>
      <w:r/>
    </w:p>
    <w:p>
      <w:pPr>
        <w:pStyle w:val="994"/>
        <w:numPr>
          <w:ilvl w:val="0"/>
          <w:numId w:val="0"/>
        </w:numPr>
        <w:ind w:firstLine="420"/>
        <w:jc w:val="left"/>
        <w:spacing w:line="360" w:lineRule="auto"/>
        <w:widowControl/>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1"/>
          <w:szCs w:val="21"/>
          <w:highlight w:val="none"/>
        </w:rPr>
      </w:r>
      <w:r/>
    </w:p>
    <w:p>
      <w:pPr>
        <w:pStyle w:val="9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996"/>
        <w:jc w:val="center"/>
        <w:spacing w:before="0" w:line="360" w:lineRule="auto"/>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br w:type="page" w:clear="all"/>
      </w:r>
      <w:r>
        <w:rPr>
          <w:rFonts w:ascii="Times New Roman" w:hAnsi="Times New Roman" w:eastAsia="宋体"/>
          <w:color w:val="000000"/>
          <w:sz w:val="28"/>
          <w:szCs w:val="28"/>
          <w:highlight w:val="none"/>
        </w:rPr>
        <w:t xml:space="preserve">二、评</w:t>
      </w:r>
      <w:r>
        <w:rPr>
          <w:rFonts w:hint="eastAsia" w:ascii="Times New Roman" w:hAnsi="Times New Roman" w:eastAsia="宋体"/>
          <w:color w:val="000000"/>
          <w:sz w:val="28"/>
          <w:szCs w:val="28"/>
          <w:highlight w:val="none"/>
        </w:rPr>
        <w:t xml:space="preserve">审</w:t>
      </w:r>
      <w:r>
        <w:rPr>
          <w:rFonts w:ascii="Times New Roman" w:hAnsi="Times New Roman" w:eastAsia="宋体"/>
          <w:color w:val="000000"/>
          <w:sz w:val="28"/>
          <w:szCs w:val="28"/>
          <w:highlight w:val="none"/>
        </w:rPr>
        <w:t xml:space="preserve">标准</w:t>
      </w:r>
      <w:r>
        <w:rPr>
          <w:rFonts w:ascii="Times New Roman" w:hAnsi="Times New Roman" w:eastAsia="宋体"/>
          <w:color w:val="000000"/>
          <w:sz w:val="28"/>
          <w:szCs w:val="28"/>
          <w:highlight w:val="none"/>
        </w:rPr>
      </w:r>
      <w:r/>
    </w:p>
    <w:p>
      <w:pPr>
        <w:pStyle w:val="994"/>
        <w:ind w:firstLine="422"/>
        <w:keepLines w:val="0"/>
        <w:keepNext w:val="0"/>
        <w:pageBreakBefore w:val="0"/>
        <w:spacing w:line="360" w:lineRule="exact"/>
        <w:widowControl w:val="off"/>
        <w:rPr>
          <w:color w:val="000000"/>
          <w:highlight w:val="none"/>
        </w:rPr>
      </w:pPr>
      <w:r>
        <w:rPr>
          <w:rFonts w:hint="eastAsia" w:ascii="宋体" w:hAnsi="宋体" w:eastAsia="宋体" w:cs="宋体"/>
          <w:b/>
          <w:bCs/>
          <w:color w:val="000000"/>
          <w:sz w:val="21"/>
          <w:szCs w:val="21"/>
          <w:highlight w:val="none"/>
          <w:lang w:eastAsia="zh-CN"/>
        </w:rPr>
        <w:t xml:space="preserve">本项目共分2个采购包，投标供应商可对本次采购的单个采购包或全部采购包进行投标，只能中一个采购包。投某一采购包时，必须响应该采购包的全部内容，并在投标响应文件中注明采购包号。评审顺序依次从01包至02包，在前一采购包作为中标（成交）第一候选人的投标供应商在后续采购包无中标（成交）资格。</w:t>
      </w:r>
      <w:r>
        <w:rPr>
          <w:color w:val="000000"/>
          <w:highlight w:val="none"/>
        </w:rPr>
      </w:r>
      <w:r/>
    </w:p>
    <w:tbl>
      <w:tblPr>
        <w:tblpPr w:horzAnchor="page" w:tblpX="1698" w:vertAnchor="text" w:tblpY="185"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97"/>
        <w:gridCol w:w="684"/>
        <w:gridCol w:w="4380"/>
        <w:gridCol w:w="2456"/>
      </w:tblGrid>
      <w:tr>
        <w:trPr>
          <w:trHeight w:val="454"/>
        </w:trPr>
        <w:tc>
          <w:tcPr>
            <w:tcW w:w="711" w:type="dxa"/>
            <w:vAlign w:val="center"/>
            <w:textDirection w:val="lrTb"/>
            <w:noWrap w:val="false"/>
          </w:tcPr>
          <w:p>
            <w:pPr>
              <w:pStyle w:val="994"/>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397" w:type="dxa"/>
            <w:vAlign w:val="center"/>
            <w:textDirection w:val="lrTb"/>
            <w:noWrap w:val="false"/>
          </w:tcPr>
          <w:p>
            <w:pPr>
              <w:pStyle w:val="994"/>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4" w:type="dxa"/>
            <w:vAlign w:val="center"/>
            <w:textDirection w:val="lrTb"/>
            <w:noWrap w:val="false"/>
          </w:tcPr>
          <w:p>
            <w:pPr>
              <w:pStyle w:val="994"/>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380" w:type="dxa"/>
            <w:vAlign w:val="center"/>
            <w:textDirection w:val="lrTb"/>
            <w:noWrap w:val="false"/>
          </w:tcPr>
          <w:p>
            <w:pPr>
              <w:pStyle w:val="994"/>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56" w:type="dxa"/>
            <w:vAlign w:val="center"/>
            <w:textDirection w:val="lrTb"/>
            <w:noWrap w:val="false"/>
          </w:tcPr>
          <w:p>
            <w:pPr>
              <w:pStyle w:val="1240"/>
              <w:spacing w:before="0" w:after="0" w:line="240" w:lineRule="auto"/>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11" w:type="dxa"/>
            <w:vAlign w:val="center"/>
            <w:textDirection w:val="lrTb"/>
            <w:noWrap w:val="false"/>
          </w:tcPr>
          <w:p>
            <w:pPr>
              <w:pStyle w:val="994"/>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gridSpan w:val="4"/>
            <w:tcW w:w="8917" w:type="dxa"/>
            <w:vAlign w:val="center"/>
            <w:textDirection w:val="lrTb"/>
            <w:noWrap w:val="false"/>
          </w:tcPr>
          <w:p>
            <w:pPr>
              <w:pStyle w:val="994"/>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631"/>
        </w:trPr>
        <w:tc>
          <w:tcPr>
            <w:tcW w:w="711" w:type="dxa"/>
            <w:vAlign w:val="center"/>
            <w:textDirection w:val="lrTb"/>
            <w:noWrap w:val="false"/>
          </w:tcPr>
          <w:p>
            <w:pPr>
              <w:pStyle w:val="994"/>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highlight w:val="none"/>
              </w:rPr>
              <w:framePr w:vAnchor="text" w:hAnchor="page" w:x="1698" w:y="185"/>
            </w:pPr>
            <w:r>
              <w:rPr>
                <w:rFonts w:hint="eastAsia" w:ascii="宋体" w:hAnsi="宋体" w:eastAsia="宋体" w:cs="宋体"/>
                <w:color w:val="000000"/>
                <w:highlight w:val="none"/>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highlight w:val="none"/>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rPr>
              <w:t xml:space="preserve">价格分得分＝（评标基准价/最终报价）×分值。</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994"/>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p>
            <w:pPr>
              <w:pStyle w:val="994"/>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注：此处最终报价指经过报价修正后的最终报价。</w:t>
            </w:r>
            <w:r>
              <w:rPr>
                <w:rFonts w:hint="eastAsia" w:ascii="宋体" w:hAnsi="宋体" w:eastAsia="宋体" w:cs="宋体"/>
                <w:b/>
                <w:bCs/>
                <w:color w:val="000000"/>
                <w:sz w:val="21"/>
                <w:szCs w:val="21"/>
                <w:highlight w:val="none"/>
              </w:rPr>
            </w:r>
            <w:r/>
          </w:p>
          <w:p>
            <w:pPr>
              <w:pStyle w:val="994"/>
              <w:jc w:val="left"/>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r>
            <w:r/>
          </w:p>
        </w:tc>
      </w:tr>
      <w:tr>
        <w:trPr>
          <w:trHeight w:val="217"/>
        </w:trPr>
        <w:tc>
          <w:tcPr>
            <w:tcW w:w="711" w:type="dxa"/>
            <w:vAlign w:val="center"/>
            <w:textDirection w:val="lrTb"/>
            <w:noWrap w:val="false"/>
          </w:tcPr>
          <w:p>
            <w:pPr>
              <w:pStyle w:val="994"/>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4"/>
            <w:tcW w:w="8917" w:type="dxa"/>
            <w:vAlign w:val="center"/>
            <w:textDirection w:val="lrTb"/>
            <w:noWrap w:val="false"/>
          </w:tcPr>
          <w:p>
            <w:pPr>
              <w:pStyle w:val="994"/>
              <w:ind w:left="-3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b/>
                <w:bCs/>
                <w:color w:val="000000"/>
                <w:sz w:val="21"/>
                <w:szCs w:val="21"/>
                <w:highlight w:val="none"/>
                <w:lang w:val="en-US" w:eastAsia="zh-CN"/>
              </w:rPr>
              <w:t xml:space="preserve">客观分（30分）</w:t>
            </w:r>
            <w:r>
              <w:rPr>
                <w:rFonts w:hint="eastAsia" w:ascii="宋体" w:hAnsi="宋体" w:eastAsia="宋体" w:cs="宋体"/>
                <w:color w:val="000000"/>
                <w:sz w:val="21"/>
                <w:szCs w:val="21"/>
                <w:highlight w:val="none"/>
                <w:lang w:eastAsia="zh-CN"/>
              </w:rPr>
            </w:r>
            <w:r/>
          </w:p>
        </w:tc>
      </w:tr>
      <w:tr>
        <w:trPr>
          <w:trHeight w:val="1519"/>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类似业绩</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供应商自</w:t>
            </w:r>
            <w:r>
              <w:rPr>
                <w:rFonts w:hint="eastAsia" w:ascii="宋体" w:hAnsi="宋体" w:eastAsia="宋体" w:cs="宋体"/>
                <w:b/>
                <w:bCs/>
                <w:color w:val="000000"/>
                <w:sz w:val="21"/>
                <w:szCs w:val="21"/>
                <w:highlight w:val="none"/>
              </w:rPr>
              <w:t xml:space="preserve">2023年01月</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时间以合同签订时间为准</w:t>
            </w:r>
            <w:r>
              <w:rPr>
                <w:rFonts w:hint="eastAsia" w:ascii="宋体" w:hAnsi="宋体" w:eastAsia="宋体" w:cs="宋体"/>
                <w:color w:val="000000"/>
                <w:sz w:val="21"/>
                <w:szCs w:val="21"/>
                <w:highlight w:val="none"/>
              </w:rPr>
              <w:t xml:space="preserve">）至今承接类似的项目业绩，有一份合同得5分，最高得10分。</w:t>
            </w:r>
            <w:r>
              <w:rPr>
                <w:rFonts w:hint="eastAsia" w:ascii="宋体" w:hAnsi="宋体" w:eastAsia="宋体" w:cs="宋体"/>
                <w:color w:val="000000"/>
                <w:sz w:val="21"/>
                <w:szCs w:val="21"/>
                <w:highlight w:val="none"/>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b/>
                <w:color w:val="000000"/>
                <w:sz w:val="21"/>
                <w:szCs w:val="21"/>
                <w:highlight w:val="none"/>
              </w:rPr>
              <w:t xml:space="preserve">注：同一供应商在不同年份对同一业主提供的同一项目业绩不重复计分，仅按一份计算。</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994"/>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cs="宋体"/>
                <w:b/>
                <w:bCs/>
                <w:color w:val="000000"/>
                <w:szCs w:val="21"/>
                <w:highlight w:val="none"/>
              </w:rPr>
              <w:t xml:space="preserve">（合同需体现双方盖章、签订时间、关键页等内容。）</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扫描件，未提供的或</w:t>
            </w:r>
            <w:r>
              <w:rPr>
                <w:rFonts w:hint="eastAsia" w:ascii="宋体" w:hAnsi="宋体" w:eastAsia="宋体" w:cs="宋体"/>
                <w:b/>
                <w:bCs/>
                <w:color w:val="000000"/>
                <w:sz w:val="21"/>
                <w:szCs w:val="21"/>
                <w:highlight w:val="none"/>
                <w:lang w:val="en-US" w:eastAsia="zh-CN"/>
              </w:rPr>
              <w:t xml:space="preserve">材料</w:t>
            </w:r>
            <w:r>
              <w:rPr>
                <w:rFonts w:hint="eastAsia" w:ascii="宋体" w:hAnsi="宋体" w:eastAsia="宋体" w:cs="宋体"/>
                <w:b/>
                <w:bCs/>
                <w:color w:val="000000"/>
                <w:sz w:val="21"/>
                <w:szCs w:val="21"/>
                <w:highlight w:val="none"/>
              </w:rPr>
              <w:t xml:space="preserve">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体系认证</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（1）供应商具有有效的质量管理体系认证证书的得3分；</w:t>
            </w:r>
            <w:r>
              <w:rPr>
                <w:rFonts w:hint="eastAsia" w:ascii="宋体" w:hAnsi="宋体" w:eastAsia="宋体" w:cs="宋体"/>
                <w:color w:val="000000"/>
                <w:highlight w:val="none"/>
                <w:lang w:val="en-US" w:eastAsia="zh-CN"/>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（2）供应商具有有效的环境管理体系认证证书的得3分；</w:t>
            </w:r>
            <w:r>
              <w:rPr>
                <w:rFonts w:hint="eastAsia" w:ascii="宋体" w:hAnsi="宋体" w:eastAsia="宋体" w:cs="宋体"/>
                <w:color w:val="000000"/>
                <w:highlight w:val="none"/>
                <w:lang w:val="en-US" w:eastAsia="zh-CN"/>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（3）供应商具有有效的职业健康安全管理体系认证证书的得3分。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994"/>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磋商响应文件中提供有效期内的相关证书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及全国认证认可信息公共服务平台查询状态为“有效”的截图，未提供的或材料不全的或无效的不得分。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车辆及设备保障</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（1）供应商为本项目配备</w:t>
            </w:r>
            <w:r>
              <w:rPr>
                <w:rFonts w:hint="eastAsia" w:ascii="宋体" w:hAnsi="宋体" w:eastAsia="宋体" w:cs="宋体"/>
                <w:color w:val="000000"/>
                <w:highlight w:val="none"/>
                <w:lang w:val="en-US" w:eastAsia="zh-CN"/>
              </w:rPr>
              <w:t xml:space="preserve">自有或租赁</w:t>
            </w:r>
            <w:r>
              <w:rPr>
                <w:rFonts w:hint="eastAsia" w:ascii="宋体" w:hAnsi="宋体" w:eastAsia="宋体" w:cs="宋体"/>
                <w:color w:val="000000"/>
                <w:highlight w:val="none"/>
                <w:lang w:val="en-US" w:eastAsia="zh-CN"/>
              </w:rPr>
              <w:t xml:space="preserve">的洒水车 (车辆核定载质量≥6吨) ：有1辆得3分，本项最高得3分；</w:t>
            </w:r>
            <w:r>
              <w:rPr>
                <w:rFonts w:hint="eastAsia" w:ascii="宋体" w:hAnsi="宋体" w:eastAsia="宋体" w:cs="宋体"/>
                <w:color w:val="000000"/>
                <w:highlight w:val="none"/>
                <w:lang w:val="en-US" w:eastAsia="zh-CN"/>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（2）供应商为本项目配备</w:t>
            </w:r>
            <w:r>
              <w:rPr>
                <w:rFonts w:hint="eastAsia" w:ascii="宋体" w:hAnsi="宋体" w:eastAsia="宋体" w:cs="宋体"/>
                <w:color w:val="000000"/>
                <w:highlight w:val="none"/>
                <w:lang w:val="en-US" w:eastAsia="zh-CN"/>
              </w:rPr>
              <w:t xml:space="preserve">自有或租赁</w:t>
            </w:r>
            <w:r>
              <w:rPr>
                <w:rFonts w:hint="eastAsia" w:ascii="宋体" w:hAnsi="宋体" w:eastAsia="宋体" w:cs="宋体"/>
                <w:color w:val="000000"/>
                <w:highlight w:val="none"/>
                <w:lang w:val="en-US" w:eastAsia="zh-CN"/>
              </w:rPr>
              <w:t xml:space="preserve">的清运车辆(车辆核定载质量≥0.65吨)：</w:t>
            </w:r>
            <w:r>
              <w:rPr>
                <w:rFonts w:hint="eastAsia" w:ascii="宋体" w:hAnsi="宋体" w:eastAsia="宋体" w:cs="宋体"/>
                <w:color w:val="000000"/>
                <w:highlight w:val="none"/>
                <w:lang w:val="en-US" w:eastAsia="zh-CN"/>
              </w:rPr>
              <w:t xml:space="preserve">有1辆得2分，本项最高得2分；</w:t>
            </w:r>
            <w:r>
              <w:rPr>
                <w:rFonts w:hint="eastAsia" w:ascii="宋体" w:hAnsi="宋体" w:eastAsia="宋体" w:cs="宋体"/>
                <w:color w:val="000000"/>
                <w:highlight w:val="none"/>
                <w:lang w:val="en-US" w:eastAsia="zh-CN"/>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（3）供应商为本项目配备自有或租赁的绿篱修剪机、草坪修剪机，有一台得1分，最高得2分。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994"/>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磋商响应文件中（1）（2）若为自有，提供车辆行驶证及登记证</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；若为租赁，提供车辆行驶证、登记证及租赁合同</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（3）若为自有，提供设备购置发票</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；若为租赁，提供设备租赁合同</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服务承诺</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（1）供应商承诺愿意遵守磋商文件要求及合同主要条款规定的全部内容，并愿意按照文件规定接受考核，得2分；</w:t>
            </w:r>
            <w:r>
              <w:rPr>
                <w:rFonts w:hint="eastAsia" w:ascii="宋体" w:hAnsi="宋体" w:eastAsia="宋体" w:cs="宋体"/>
                <w:color w:val="000000"/>
                <w:highlight w:val="none"/>
                <w:lang w:val="en-US" w:eastAsia="zh-CN"/>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（2）供应商承诺“不拖欠人员工资、福利、补贴”等关于保障人员薪资、应有福利，得1分；</w:t>
            </w:r>
            <w:r>
              <w:rPr>
                <w:rFonts w:hint="eastAsia" w:ascii="宋体" w:hAnsi="宋体" w:eastAsia="宋体" w:cs="宋体"/>
                <w:color w:val="000000"/>
                <w:highlight w:val="none"/>
                <w:lang w:val="en-US" w:eastAsia="zh-CN"/>
              </w:rPr>
            </w:r>
            <w:r/>
          </w:p>
          <w:p>
            <w:pPr>
              <w:pStyle w:val="994"/>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（3）供应商承诺如遇特殊情况，重大活动、检查评比、恶劣天气等原因，供应商在采购人需要时，承诺1小时内到达现场，并采取相应措施的得1分。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994"/>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磋商响应文件中提供承诺函</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 w:val="21"/>
                <w:szCs w:val="21"/>
                <w:highlight w:val="none"/>
              </w:rPr>
            </w:r>
            <w:r/>
          </w:p>
        </w:tc>
      </w:tr>
      <w:tr>
        <w:trPr>
          <w:trHeight w:val="298"/>
        </w:trPr>
        <w:tc>
          <w:tcPr>
            <w:tcW w:w="711" w:type="dxa"/>
            <w:vAlign w:val="center"/>
            <w:textDirection w:val="lrTb"/>
            <w:noWrap w:val="false"/>
          </w:tcPr>
          <w:p>
            <w:pPr>
              <w:pStyle w:val="994"/>
              <w:ind w:firstLine="2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gridSpan w:val="4"/>
            <w:tcW w:w="8917" w:type="dxa"/>
            <w:vAlign w:val="center"/>
            <w:textDirection w:val="lrTb"/>
            <w:noWrap w:val="false"/>
          </w:tcPr>
          <w:p>
            <w:pPr>
              <w:pStyle w:val="994"/>
              <w:ind w:left="-3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lang w:val="en-US" w:eastAsia="zh-CN"/>
              </w:rPr>
              <w:t xml:space="preserve">主观分（50分）</w:t>
            </w:r>
            <w:r>
              <w:rPr>
                <w:rFonts w:hint="eastAsia" w:ascii="宋体" w:hAnsi="宋体" w:eastAsia="宋体" w:cs="宋体"/>
                <w:b/>
                <w:bCs/>
                <w:color w:val="000000"/>
                <w:sz w:val="21"/>
                <w:szCs w:val="21"/>
                <w:highlight w:val="none"/>
              </w:rPr>
            </w:r>
            <w:r/>
          </w:p>
        </w:tc>
      </w:tr>
      <w:tr>
        <w:trPr/>
        <w:tc>
          <w:tcPr>
            <w:tcW w:w="711"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绿化养护</w:t>
            </w:r>
            <w:r>
              <w:rPr>
                <w:rFonts w:hint="eastAsia" w:ascii="宋体" w:hAnsi="宋体" w:eastAsia="宋体" w:cs="宋体"/>
                <w:color w:val="000000"/>
                <w:szCs w:val="21"/>
                <w:highlight w:val="none"/>
              </w:rPr>
            </w:r>
            <w:r/>
          </w:p>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Cs w:val="21"/>
                <w:highlight w:val="none"/>
              </w:rPr>
              <w:t xml:space="preserve">措施</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磋商小组根据投标供应商提供的绿化养护措施（包括：树木、草坪、花卉、绿篱及地被等养护措施和养护台账制度的建立等）进行综合评审。</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（1）绿化养护措施内容具体，针对性强，能完全满足项目实施要求的，得10分；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（2）绿化养护措施内容较具体，针对性较强，能基本满足项目实施要求的，得7分；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（3）绿化养护措施内容较简单，针对性不强，对项目实施要求响应一般的，得4分；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（4）绿化养护措施内容简单、不够完善，没有针对性的，得1分；</w:t>
            </w:r>
            <w:r>
              <w:rPr>
                <w:rFonts w:hint="eastAsia" w:ascii="宋体" w:hAnsi="宋体" w:eastAsia="宋体" w:cs="宋体"/>
                <w:color w:val="000000"/>
                <w:szCs w:val="21"/>
                <w:highlight w:val="none"/>
              </w:rPr>
            </w:r>
            <w:r/>
          </w:p>
          <w:p>
            <w:pPr>
              <w:pStyle w:val="994"/>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szCs w:val="21"/>
                <w:highlight w:val="none"/>
              </w:rPr>
              <w:t xml:space="preserve">（5）不符合磋商文件要求或未提供的，不得分。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994"/>
              <w:spacing w:line="300" w:lineRule="exact"/>
              <w:rPr>
                <w:rFonts w:ascii="宋体" w:hAnsi="宋体" w:cs="宋体"/>
                <w:color w:val="000000"/>
                <w:szCs w:val="21"/>
                <w:highlight w:val="none"/>
                <w:lang w:val="en-US" w:eastAsia="zh-CN"/>
              </w:rPr>
              <w:framePr w:vAnchor="text" w:hAnchor="page" w:x="1698" w:y="185"/>
            </w:pPr>
            <w:r>
              <w:rPr>
                <w:rFonts w:ascii="宋体" w:hAnsi="宋体" w:cs="宋体"/>
                <w:color w:val="000000"/>
                <w:szCs w:val="21"/>
                <w:highlight w:val="none"/>
                <w:lang w:val="en-US" w:eastAsia="zh-CN"/>
              </w:rPr>
            </w:r>
            <w:r/>
          </w:p>
          <w:p>
            <w:pPr>
              <w:pStyle w:val="994"/>
              <w:ind w:left="-38"/>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eastAsia="zh-CN"/>
              </w:rPr>
            </w:r>
            <w:r/>
          </w:p>
        </w:tc>
      </w:tr>
      <w:tr>
        <w:trPr>
          <w:trHeight w:val="1004"/>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Cs w:val="21"/>
                <w:highlight w:val="none"/>
              </w:rPr>
              <w:t xml:space="preserve">项目管理机构和人力资源配置</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磋商小组根据投标供应商提供项目管理机构、人员进行综合评审。</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（1）项目管理机构健全合理，人员配置合理，人力资源充足，投入量完全合理，切合实际的得9分；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（2）项目管理机构较健全，人员配置较合理，人力资源投入量较合理的得6分；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（3）项目管理机构基本健全，人员配置基本合理，人力资源投入量基本符合实际的得4分；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（4）项目管理机构较差，人员配置基本合理，人力资源投入量基本符合实际的得1分；</w:t>
            </w:r>
            <w:r>
              <w:rPr>
                <w:rFonts w:hint="eastAsia" w:ascii="宋体" w:hAnsi="宋体" w:eastAsia="宋体" w:cs="宋体"/>
                <w:color w:val="000000"/>
                <w:szCs w:val="21"/>
                <w:highlight w:val="none"/>
              </w:rPr>
            </w:r>
            <w:r/>
          </w:p>
          <w:p>
            <w:pPr>
              <w:pStyle w:val="994"/>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szCs w:val="21"/>
                <w:highlight w:val="none"/>
              </w:rPr>
              <w:t xml:space="preserve">（5）不符合磋商文件要求或未提供的，不得分。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994"/>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34"/>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Cs w:val="21"/>
                <w:highlight w:val="none"/>
              </w:rPr>
              <w:t xml:space="preserve">安全、文明管养措施</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磋商小组根据投标供应商提供的</w:t>
            </w:r>
            <w:r>
              <w:rPr>
                <w:rFonts w:hint="eastAsia" w:ascii="宋体" w:hAnsi="宋体" w:eastAsia="宋体" w:cs="宋体"/>
                <w:color w:val="000000"/>
                <w:szCs w:val="21"/>
                <w:highlight w:val="none"/>
                <w:shd w:val="clear" w:color="auto" w:fill="auto"/>
              </w:rPr>
              <w:t xml:space="preserve">安全、文明管养措施</w:t>
            </w:r>
            <w:r>
              <w:rPr>
                <w:rFonts w:hint="eastAsia" w:ascii="宋体" w:hAnsi="宋体" w:eastAsia="宋体" w:cs="宋体"/>
                <w:color w:val="000000"/>
                <w:szCs w:val="21"/>
                <w:highlight w:val="none"/>
              </w:rPr>
              <w:t xml:space="preserve">（包括：安全、文明管养措施和统一着装计划等）进行综合评审。</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shd w:val="clear" w:color="auto" w:fill="auto"/>
              </w:rPr>
              <w:t xml:space="preserve">安全、文明管养措施</w:t>
            </w:r>
            <w:r>
              <w:rPr>
                <w:rFonts w:hint="eastAsia" w:ascii="宋体" w:hAnsi="宋体" w:eastAsia="宋体" w:cs="宋体"/>
                <w:color w:val="000000"/>
                <w:szCs w:val="21"/>
                <w:highlight w:val="none"/>
              </w:rPr>
              <w:t xml:space="preserve">内容具体，针对性强，能完全满足项目实施要求的，得9分；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shd w:val="clear" w:color="auto" w:fill="auto"/>
              </w:rPr>
              <w:t xml:space="preserve">安全、文明管养措施</w:t>
            </w:r>
            <w:r>
              <w:rPr>
                <w:rFonts w:hint="eastAsia" w:ascii="宋体" w:hAnsi="宋体" w:eastAsia="宋体" w:cs="宋体"/>
                <w:color w:val="000000"/>
                <w:szCs w:val="21"/>
                <w:highlight w:val="none"/>
              </w:rPr>
              <w:t xml:space="preserve">内容较具体，针对性较强，能基本满足项目实施要求的，得6分；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shd w:val="clear" w:color="auto" w:fill="auto"/>
              </w:rPr>
              <w:t xml:space="preserve">安全、文明管养措施</w:t>
            </w:r>
            <w:r>
              <w:rPr>
                <w:rFonts w:hint="eastAsia" w:ascii="宋体" w:hAnsi="宋体" w:eastAsia="宋体" w:cs="宋体"/>
                <w:color w:val="000000"/>
                <w:szCs w:val="21"/>
                <w:highlight w:val="none"/>
              </w:rPr>
              <w:t xml:space="preserve">内容较简单，针对性不强，对项目实施要求响应一般的，得4分；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shd w:val="clear" w:color="auto" w:fill="auto"/>
              </w:rPr>
              <w:t xml:space="preserve">安全、文明管养措施</w:t>
            </w:r>
            <w:r>
              <w:rPr>
                <w:rFonts w:hint="eastAsia" w:ascii="宋体" w:hAnsi="宋体" w:eastAsia="宋体" w:cs="宋体"/>
                <w:color w:val="000000"/>
                <w:szCs w:val="21"/>
                <w:highlight w:val="none"/>
              </w:rPr>
              <w:t xml:space="preserve">内容简单、不够完善，没有针对性的，得1分；</w:t>
            </w:r>
            <w:r>
              <w:rPr>
                <w:rFonts w:hint="eastAsia" w:ascii="宋体" w:hAnsi="宋体" w:eastAsia="宋体" w:cs="宋体"/>
                <w:color w:val="000000"/>
                <w:szCs w:val="21"/>
                <w:highlight w:val="none"/>
              </w:rPr>
            </w:r>
            <w:r/>
          </w:p>
          <w:p>
            <w:pPr>
              <w:pStyle w:val="994"/>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szCs w:val="21"/>
                <w:highlight w:val="none"/>
              </w:rPr>
              <w:t xml:space="preserve">（5）不符合磋商文件要求或未提供的，不得分。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994"/>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10"/>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Cs w:val="21"/>
                <w:highlight w:val="none"/>
              </w:rPr>
              <w:t xml:space="preserve">设施维修措施</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磋商小组根据投标供应商提供的设施维修措施（包括：设施的保护、维修措施等）进行综合评审。</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lang w:val="zh-CN"/>
              </w:rPr>
              <w:framePr w:vAnchor="text" w:hAnchor="page" w:x="1698" w:y="185"/>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设施维修措施</w:t>
            </w:r>
            <w:r>
              <w:rPr>
                <w:rFonts w:hint="eastAsia" w:ascii="宋体" w:hAnsi="宋体" w:eastAsia="宋体" w:cs="宋体"/>
                <w:color w:val="000000"/>
                <w:szCs w:val="21"/>
                <w:highlight w:val="none"/>
                <w:lang w:val="zh-CN"/>
              </w:rPr>
              <w:t xml:space="preserve">内容具体，针对性强，能完全满足项目实施要求的，得</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94"/>
              <w:rPr>
                <w:rFonts w:hint="eastAsia" w:ascii="宋体" w:hAnsi="宋体" w:eastAsia="宋体" w:cs="宋体"/>
                <w:color w:val="000000"/>
                <w:szCs w:val="21"/>
                <w:highlight w:val="none"/>
                <w:lang w:val="zh-CN"/>
              </w:rPr>
              <w:framePr w:vAnchor="text" w:hAnchor="page" w:x="1698" w:y="185"/>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设施维修措施</w:t>
            </w:r>
            <w:r>
              <w:rPr>
                <w:rFonts w:hint="eastAsia" w:ascii="宋体" w:hAnsi="宋体" w:eastAsia="宋体" w:cs="宋体"/>
                <w:color w:val="000000"/>
                <w:szCs w:val="21"/>
                <w:highlight w:val="none"/>
                <w:lang w:val="zh-CN"/>
              </w:rPr>
              <w:t xml:space="preserve">内容较具体，针对性较强，能基本满足项目实施要求的，得</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94"/>
              <w:rPr>
                <w:rFonts w:hint="eastAsia" w:ascii="宋体" w:hAnsi="宋体" w:eastAsia="宋体" w:cs="宋体"/>
                <w:color w:val="000000"/>
                <w:szCs w:val="21"/>
                <w:highlight w:val="none"/>
                <w:lang w:val="zh-CN"/>
              </w:rPr>
              <w:framePr w:vAnchor="text" w:hAnchor="page" w:x="1698" w:y="185"/>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设施维修措施</w:t>
            </w:r>
            <w:r>
              <w:rPr>
                <w:rFonts w:hint="eastAsia" w:ascii="宋体" w:hAnsi="宋体" w:eastAsia="宋体" w:cs="宋体"/>
                <w:color w:val="000000"/>
                <w:szCs w:val="21"/>
                <w:highlight w:val="none"/>
                <w:lang w:val="zh-CN"/>
              </w:rPr>
              <w:t xml:space="preserve">内容较简单，针对性不强，对项目实施要求响应一般的，得</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94"/>
              <w:rPr>
                <w:rFonts w:hint="eastAsia" w:ascii="宋体" w:hAnsi="宋体" w:eastAsia="宋体" w:cs="宋体"/>
                <w:color w:val="000000"/>
                <w:szCs w:val="21"/>
                <w:highlight w:val="none"/>
                <w:lang w:val="zh-CN"/>
              </w:rPr>
              <w:framePr w:vAnchor="text" w:hAnchor="page" w:x="1698" w:y="185"/>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rPr>
              <w:t xml:space="preserve">设施维修措施</w:t>
            </w:r>
            <w:r>
              <w:rPr>
                <w:rFonts w:hint="eastAsia" w:ascii="宋体" w:hAnsi="宋体" w:eastAsia="宋体" w:cs="宋体"/>
                <w:color w:val="000000"/>
                <w:szCs w:val="21"/>
                <w:highlight w:val="none"/>
                <w:lang w:val="zh-CN"/>
              </w:rPr>
              <w:t xml:space="preserve">内容简单、不够完善，没有针对性的，得1分；</w:t>
            </w:r>
            <w:r>
              <w:rPr>
                <w:rFonts w:hint="eastAsia" w:ascii="宋体" w:hAnsi="宋体" w:eastAsia="宋体" w:cs="宋体"/>
                <w:color w:val="000000"/>
                <w:szCs w:val="21"/>
                <w:highlight w:val="none"/>
                <w:lang w:val="zh-CN"/>
              </w:rPr>
            </w:r>
            <w:r/>
          </w:p>
          <w:p>
            <w:pPr>
              <w:pStyle w:val="994"/>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szCs w:val="21"/>
                <w:highlight w:val="none"/>
                <w:lang w:val="zh-CN"/>
              </w:rPr>
              <w:t xml:space="preserve">（5）不符合</w:t>
            </w:r>
            <w:r>
              <w:rPr>
                <w:rFonts w:hint="eastAsia" w:ascii="宋体" w:hAnsi="宋体" w:eastAsia="宋体" w:cs="宋体"/>
                <w:color w:val="000000"/>
                <w:szCs w:val="21"/>
                <w:highlight w:val="none"/>
              </w:rPr>
              <w:t xml:space="preserve">磋商</w:t>
            </w:r>
            <w:r>
              <w:rPr>
                <w:rFonts w:hint="eastAsia" w:ascii="宋体" w:hAnsi="宋体" w:eastAsia="宋体" w:cs="宋体"/>
                <w:color w:val="000000"/>
                <w:szCs w:val="21"/>
                <w:highlight w:val="none"/>
                <w:lang w:val="zh-CN"/>
              </w:rPr>
              <w:t xml:space="preserve">文件要求或未提供的，不得分。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994"/>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1004"/>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Cs w:val="21"/>
                <w:highlight w:val="none"/>
              </w:rPr>
              <w:t xml:space="preserve">巡查方案</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磋商小组根据投标供应商提供的巡查方案（包括：巡视时间安排措施及巡视资料上报准确及时措施，绿地发生破坏或侵占第一时间上报制度等）进行综合评审。</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（1）方案内容完整，针对性强，能完全满足项目实施要求的，得7分；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（2）方案内容较具体，针对性较强，能基本满足项目实施要求的，得5分；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（3）方案内容较简单，针对性不强，对项目实施要求响应一般的，得2分；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（4）方案内容简单、不够完善，没有针对性的，得1分；</w:t>
            </w:r>
            <w:r>
              <w:rPr>
                <w:rFonts w:hint="eastAsia" w:ascii="宋体" w:hAnsi="宋体" w:eastAsia="宋体" w:cs="宋体"/>
                <w:color w:val="000000"/>
                <w:szCs w:val="21"/>
                <w:highlight w:val="none"/>
              </w:rPr>
            </w:r>
            <w:r/>
          </w:p>
          <w:p>
            <w:pPr>
              <w:pStyle w:val="994"/>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szCs w:val="21"/>
                <w:highlight w:val="none"/>
              </w:rPr>
              <w:t xml:space="preserve">（5）不符合磋商文件要求或未提供的，不得分。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994"/>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1175"/>
        </w:trPr>
        <w:tc>
          <w:tcPr>
            <w:tcW w:w="711" w:type="dxa"/>
            <w:vAlign w:val="center"/>
            <w:textDirection w:val="lrTb"/>
            <w:noWrap w:val="false"/>
          </w:tcPr>
          <w:p>
            <w:pPr>
              <w:pStyle w:val="994"/>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Cs w:val="21"/>
                <w:highlight w:val="none"/>
              </w:rPr>
              <w:t xml:space="preserve">应急预案</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磋商小组根据投标供应商提供的应急预案（包括：针对灾害性天气和突发事件(如交通事故)等情况，做出相应的应急预案等）进行综合评审。</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（1）预案内容完整，针对性强，能完全满足项目实施要求的，得7分；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（2）预案内容较具体，针对性较强，能基本满足项目实施要求的，得5分；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（3）预案内容较简单，针对性不强，对项目实施要求响应一般的，得2分；</w:t>
            </w:r>
            <w:r>
              <w:rPr>
                <w:rFonts w:hint="eastAsia" w:ascii="宋体" w:hAnsi="宋体" w:eastAsia="宋体" w:cs="宋体"/>
                <w:color w:val="000000"/>
                <w:szCs w:val="21"/>
                <w:highlight w:val="none"/>
              </w:rPr>
            </w:r>
            <w:r/>
          </w:p>
          <w:p>
            <w:pPr>
              <w:pStyle w:val="994"/>
              <w:rPr>
                <w:rFonts w:hint="eastAsia" w:ascii="宋体" w:hAnsi="宋体" w:eastAsia="宋体" w:cs="宋体"/>
                <w:color w:val="000000"/>
                <w:szCs w:val="21"/>
                <w:highlight w:val="none"/>
              </w:rPr>
              <w:framePr w:vAnchor="text" w:hAnchor="page" w:x="1698" w:y="185"/>
            </w:pPr>
            <w:r>
              <w:rPr>
                <w:rFonts w:hint="eastAsia" w:ascii="宋体" w:hAnsi="宋体" w:eastAsia="宋体" w:cs="宋体"/>
                <w:color w:val="000000"/>
                <w:szCs w:val="21"/>
                <w:highlight w:val="none"/>
              </w:rPr>
              <w:t xml:space="preserve">（4）预案内容简单、不够完善，没有针对性的，得1分；</w:t>
            </w:r>
            <w:r>
              <w:rPr>
                <w:rFonts w:hint="eastAsia" w:ascii="宋体" w:hAnsi="宋体" w:eastAsia="宋体" w:cs="宋体"/>
                <w:color w:val="000000"/>
                <w:szCs w:val="21"/>
                <w:highlight w:val="none"/>
              </w:rPr>
            </w:r>
            <w:r/>
          </w:p>
          <w:p>
            <w:pPr>
              <w:pStyle w:val="994"/>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szCs w:val="21"/>
                <w:highlight w:val="none"/>
              </w:rPr>
              <w:t xml:space="preserve">（5）不符合磋商文件要求或未提供的，不得分。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994"/>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507"/>
        </w:trPr>
        <w:tc>
          <w:tcPr>
            <w:gridSpan w:val="2"/>
            <w:tcW w:w="2108" w:type="dxa"/>
            <w:vAlign w:val="center"/>
            <w:textDirection w:val="lrTb"/>
            <w:noWrap w:val="false"/>
          </w:tcPr>
          <w:p>
            <w:pPr>
              <w:pStyle w:val="994"/>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84" w:type="dxa"/>
            <w:vAlign w:val="center"/>
            <w:textDirection w:val="lrTb"/>
            <w:noWrap w:val="false"/>
          </w:tcPr>
          <w:p>
            <w:pPr>
              <w:pStyle w:val="994"/>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836" w:type="dxa"/>
            <w:vAlign w:val="center"/>
            <w:textDirection w:val="lrTb"/>
            <w:noWrap w:val="false"/>
          </w:tcPr>
          <w:p>
            <w:pPr>
              <w:pStyle w:val="994"/>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bl>
    <w:p>
      <w:pPr>
        <w:pStyle w:val="994"/>
        <w:jc w:val="both"/>
        <w:spacing w:line="360" w:lineRule="auto"/>
        <w:rPr>
          <w:b/>
          <w:color w:val="000000"/>
          <w:sz w:val="32"/>
          <w:szCs w:val="32"/>
          <w:highlight w:val="none"/>
        </w:rPr>
        <w:outlineLvl w:val="0"/>
      </w:pPr>
      <w:r/>
      <w:bookmarkStart w:id="669" w:name="_Toc104818928"/>
      <w:r>
        <w:rPr>
          <w:b/>
          <w:color w:val="000000"/>
          <w:sz w:val="32"/>
          <w:szCs w:val="32"/>
          <w:highlight w:val="none"/>
        </w:rPr>
      </w:r>
      <w:r/>
    </w:p>
    <w:p>
      <w:pPr>
        <w:pStyle w:val="994"/>
        <w:jc w:val="center"/>
        <w:spacing w:line="360" w:lineRule="auto"/>
        <w:rPr>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第四章   采购需求</w:t>
      </w:r>
      <w:bookmarkEnd w:id="669"/>
      <w:r>
        <w:rPr>
          <w:color w:val="000000"/>
          <w:sz w:val="24"/>
          <w:highlight w:val="none"/>
        </w:rPr>
      </w:r>
      <w:r/>
    </w:p>
    <w:p>
      <w:pPr>
        <w:pStyle w:val="1091"/>
        <w:numPr>
          <w:ilvl w:val="0"/>
          <w:numId w:val="0"/>
        </w:numPr>
        <w:contextualSpacing/>
        <w:ind w:left="500" w:hanging="500"/>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bidi="ar-SA"/>
        </w:rPr>
      </w:pPr>
      <w:r/>
      <w:bookmarkStart w:id="670" w:name="_Toc2242"/>
      <w:r/>
      <w:bookmarkStart w:id="671" w:name="_Toc3599"/>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lang w:val="en-US" w:eastAsia="zh-CN" w:bidi="ar-SA"/>
        </w:rPr>
      </w:r>
      <w:r/>
    </w:p>
    <w:p>
      <w:pPr>
        <w:pStyle w:val="1091"/>
        <w:numPr>
          <w:ilvl w:val="0"/>
          <w:numId w:val="0"/>
        </w:numPr>
        <w:contextualSpacing/>
        <w:ind w:left="497" w:hanging="77"/>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1.项目名称：</w:t>
      </w:r>
      <w:r>
        <w:rPr>
          <w:rFonts w:hint="eastAsia" w:ascii="宋体" w:hAnsi="宋体" w:eastAsia="宋体" w:cs="宋体"/>
          <w:b/>
          <w:bCs/>
          <w:color w:val="000000"/>
          <w:sz w:val="21"/>
          <w:szCs w:val="21"/>
          <w:highlight w:val="none"/>
          <w:u w:val="single"/>
          <w:lang w:val="en-US" w:eastAsia="zh-CN" w:bidi="ar-SA"/>
        </w:rPr>
        <w:t xml:space="preserve">2026年郑陆镇郑陆片、三河口片绿化管护项目</w:t>
      </w:r>
      <w:r>
        <w:rPr>
          <w:rFonts w:hint="eastAsia" w:ascii="宋体" w:hAnsi="宋体" w:eastAsia="宋体" w:cs="宋体"/>
          <w:color w:val="000000"/>
          <w:sz w:val="21"/>
          <w:szCs w:val="21"/>
          <w:highlight w:val="none"/>
          <w:lang w:val="en-US" w:eastAsia="zh-CN" w:bidi="ar-SA"/>
        </w:rPr>
      </w:r>
      <w:r/>
    </w:p>
    <w:p>
      <w:pPr>
        <w:pStyle w:val="1091"/>
        <w:numPr>
          <w:ilvl w:val="0"/>
          <w:numId w:val="0"/>
        </w:numPr>
        <w:contextualSpacing/>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2.采购需求：</w:t>
      </w:r>
      <w:r>
        <w:rPr>
          <w:rFonts w:hint="eastAsia" w:ascii="宋体" w:hAnsi="宋体" w:eastAsia="宋体" w:cs="宋体"/>
          <w:b/>
          <w:bCs/>
          <w:color w:val="000000"/>
          <w:sz w:val="21"/>
          <w:szCs w:val="21"/>
          <w:highlight w:val="none"/>
          <w:u w:val="single"/>
          <w:lang w:val="en-US" w:eastAsia="zh-CN" w:bidi="ar-SA"/>
        </w:rPr>
        <w:t xml:space="preserve">郑陆镇郑陆片约18.6万平方米、三河口片约15.2万平方米绿化进行日常管护。</w:t>
      </w:r>
      <w:r>
        <w:rPr>
          <w:rFonts w:hint="eastAsia" w:ascii="宋体" w:hAnsi="宋体" w:eastAsia="宋体" w:cs="宋体"/>
          <w:color w:val="000000"/>
          <w:sz w:val="21"/>
          <w:szCs w:val="21"/>
          <w:highlight w:val="none"/>
          <w:lang w:val="en-US" w:eastAsia="zh-CN" w:bidi="ar-SA"/>
        </w:rPr>
      </w:r>
      <w:r/>
    </w:p>
    <w:p>
      <w:pPr>
        <w:pStyle w:val="1091"/>
        <w:numPr>
          <w:ilvl w:val="0"/>
          <w:numId w:val="0"/>
        </w:numPr>
        <w:contextualSpacing/>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3.项目预算金额：</w:t>
      </w:r>
      <w:r>
        <w:rPr>
          <w:rFonts w:hint="eastAsia" w:ascii="宋体" w:hAnsi="宋体" w:eastAsia="宋体" w:cs="宋体"/>
          <w:b/>
          <w:bCs/>
          <w:color w:val="000000"/>
          <w:sz w:val="21"/>
          <w:szCs w:val="21"/>
          <w:highlight w:val="none"/>
          <w:u w:val="single"/>
          <w:lang w:val="en-US" w:eastAsia="zh-CN" w:bidi="ar-SA"/>
        </w:rPr>
        <w:t xml:space="preserve">111万元</w:t>
      </w:r>
      <w:r>
        <w:rPr>
          <w:rFonts w:hint="eastAsia" w:ascii="宋体" w:hAnsi="宋体" w:eastAsia="宋体" w:cs="宋体"/>
          <w:color w:val="000000"/>
          <w:sz w:val="21"/>
          <w:szCs w:val="21"/>
          <w:highlight w:val="none"/>
          <w:lang w:val="en-US" w:eastAsia="zh-CN" w:bidi="ar-SA"/>
        </w:rPr>
        <w:t xml:space="preserve">、项目最高限价：</w:t>
      </w:r>
      <w:r>
        <w:rPr>
          <w:rFonts w:hint="eastAsia" w:ascii="宋体" w:hAnsi="宋体" w:eastAsia="宋体" w:cs="宋体"/>
          <w:b/>
          <w:bCs/>
          <w:color w:val="000000"/>
          <w:sz w:val="21"/>
          <w:szCs w:val="21"/>
          <w:highlight w:val="none"/>
          <w:u w:val="single"/>
          <w:lang w:eastAsia="zh-CN"/>
        </w:rPr>
        <w:t xml:space="preserve">01包：65万元；02包：46万元</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091"/>
        <w:numPr>
          <w:ilvl w:val="0"/>
          <w:numId w:val="0"/>
        </w:numPr>
        <w:contextualSpacing/>
        <w:ind w:left="500" w:hanging="500"/>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二、商务要求</w:t>
      </w:r>
      <w:r>
        <w:rPr>
          <w:rFonts w:hint="eastAsia" w:ascii="宋体" w:hAnsi="宋体" w:eastAsia="宋体" w:cs="宋体"/>
          <w:b/>
          <w:color w:val="000000"/>
          <w:sz w:val="21"/>
          <w:szCs w:val="21"/>
          <w:highlight w:val="none"/>
          <w:lang w:val="en-US" w:eastAsia="zh-CN" w:bidi="ar-SA"/>
        </w:rPr>
      </w:r>
      <w:r/>
    </w:p>
    <w:p>
      <w:pPr>
        <w:pStyle w:val="1091"/>
        <w:numPr>
          <w:ilvl w:val="0"/>
          <w:numId w:val="0"/>
        </w:numPr>
        <w:contextualSpacing/>
        <w:ind w:left="497" w:hanging="77"/>
        <w:keepLines w:val="0"/>
        <w:keepNext w:val="0"/>
        <w:pageBreakBefore w:val="0"/>
        <w:spacing w:line="360" w:lineRule="exact"/>
        <w:widowControl w:val="off"/>
        <w:rPr>
          <w:rFonts w:hint="eastAsia" w:ascii="宋体" w:hAnsi="宋体" w:eastAsia="宋体"/>
          <w:color w:val="000000"/>
          <w:szCs w:val="22"/>
          <w:highlight w:val="none"/>
          <w:lang w:eastAsia="zh-CN"/>
        </w:rPr>
      </w:pPr>
      <w:r>
        <w:rPr>
          <w:rFonts w:hint="eastAsia" w:ascii="宋体" w:hAnsi="宋体"/>
          <w:color w:val="000000"/>
          <w:szCs w:val="22"/>
          <w:highlight w:val="none"/>
        </w:rPr>
        <w:t xml:space="preserve">1</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合同履行期限：</w:t>
      </w:r>
      <w:r>
        <w:rPr>
          <w:rFonts w:hint="eastAsia" w:ascii="宋体" w:hAnsi="宋体" w:eastAsia="宋体" w:cs="宋体"/>
          <w:b/>
          <w:bCs/>
          <w:color w:val="000000"/>
          <w:sz w:val="21"/>
          <w:szCs w:val="21"/>
          <w:highlight w:val="none"/>
          <w:u w:val="single"/>
          <w:lang w:val="en-US" w:eastAsia="zh-CN" w:bidi="ar-SA"/>
        </w:rPr>
        <w:t xml:space="preserve">2026年6月1日-2027年5月31日</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olor w:val="000000"/>
          <w:szCs w:val="22"/>
          <w:highlight w:val="none"/>
          <w:lang w:eastAsia="zh-CN"/>
        </w:rPr>
      </w:r>
      <w:r/>
    </w:p>
    <w:p>
      <w:pPr>
        <w:pStyle w:val="1091"/>
        <w:numPr>
          <w:ilvl w:val="0"/>
          <w:numId w:val="0"/>
        </w:numPr>
        <w:contextualSpacing/>
        <w:ind w:left="497" w:hanging="77"/>
        <w:keepLines w:val="0"/>
        <w:keepNext w:val="0"/>
        <w:pageBreakBefore w:val="0"/>
        <w:spacing w:line="360" w:lineRule="exact"/>
        <w:widowControl w:val="off"/>
        <w:rPr>
          <w:rFonts w:hint="eastAsia" w:ascii="宋体" w:hAnsi="宋体"/>
          <w:color w:val="000000"/>
          <w:szCs w:val="22"/>
          <w:highlight w:val="none"/>
        </w:rPr>
      </w:pPr>
      <w:r>
        <w:rPr>
          <w:rFonts w:hint="eastAsia" w:ascii="宋体" w:hAnsi="宋体" w:eastAsia="宋体" w:cs="Times New Roman"/>
          <w:color w:val="000000"/>
          <w:szCs w:val="22"/>
          <w:highlight w:val="none"/>
          <w:lang w:val="en-US" w:eastAsia="zh-CN"/>
        </w:rPr>
        <w:t xml:space="preserve">2.合同结算原则：</w:t>
      </w:r>
      <w:r>
        <w:rPr>
          <w:rFonts w:hint="eastAsia" w:ascii="宋体" w:hAnsi="宋体" w:eastAsia="宋体" w:cs="Times New Roman"/>
          <w:b/>
          <w:bCs/>
          <w:color w:val="000000"/>
          <w:szCs w:val="22"/>
          <w:highlight w:val="none"/>
          <w:u w:val="single"/>
          <w:lang w:val="en-US" w:eastAsia="zh-CN"/>
        </w:rPr>
        <w:t xml:space="preserve">固定总价</w:t>
      </w:r>
      <w:r>
        <w:rPr>
          <w:rFonts w:hint="eastAsia" w:ascii="宋体" w:hAnsi="宋体" w:eastAsia="宋体" w:cs="Times New Roman"/>
          <w:color w:val="000000"/>
          <w:szCs w:val="22"/>
          <w:highlight w:val="none"/>
          <w:lang w:val="en-US" w:eastAsia="zh-CN"/>
        </w:rPr>
        <w:t xml:space="preserve">。</w:t>
      </w:r>
      <w:r>
        <w:rPr>
          <w:rFonts w:hint="eastAsia" w:ascii="宋体" w:hAnsi="宋体"/>
          <w:color w:val="000000"/>
          <w:szCs w:val="22"/>
          <w:highlight w:val="none"/>
        </w:rPr>
      </w:r>
      <w:r/>
    </w:p>
    <w:p>
      <w:pPr>
        <w:pStyle w:val="994"/>
        <w:ind w:firstLine="420"/>
        <w:keepLines w:val="0"/>
        <w:keepNext w:val="0"/>
        <w:pageBreakBefore w:val="0"/>
        <w:spacing w:line="360" w:lineRule="exact"/>
        <w:widowControl w:val="off"/>
        <w:rPr>
          <w:rFonts w:hint="eastAsia" w:ascii="宋体" w:hAnsi="宋体"/>
          <w:color w:val="000000"/>
          <w:szCs w:val="22"/>
          <w:highlight w:val="none"/>
          <w:u w:val="single"/>
          <w:lang w:eastAsia="zh-CN"/>
        </w:rPr>
      </w:pPr>
      <w:r>
        <w:rPr>
          <w:rFonts w:hint="eastAsia" w:ascii="宋体" w:hAnsi="宋体"/>
          <w:color w:val="000000"/>
          <w:szCs w:val="22"/>
          <w:highlight w:val="none"/>
          <w:lang w:val="en-US" w:eastAsia="zh-CN"/>
        </w:rPr>
        <w:t xml:space="preserve">3</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付款条件：</w:t>
      </w:r>
      <w:r>
        <w:rPr>
          <w:rFonts w:hint="eastAsia" w:ascii="宋体" w:hAnsi="宋体" w:cs="宋体"/>
          <w:b/>
          <w:bCs/>
          <w:color w:val="000000"/>
          <w:szCs w:val="21"/>
          <w:highlight w:val="none"/>
          <w:u w:val="single"/>
        </w:rPr>
        <w:t xml:space="preserve">合同签订后支付</w:t>
      </w:r>
      <w:r>
        <w:rPr>
          <w:rFonts w:hint="eastAsia" w:ascii="宋体" w:hAnsi="宋体" w:cs="宋体"/>
          <w:b/>
          <w:bCs/>
          <w:color w:val="000000"/>
          <w:szCs w:val="21"/>
          <w:highlight w:val="none"/>
          <w:u w:val="single"/>
          <w:lang w:val="en-US" w:eastAsia="zh-CN"/>
        </w:rPr>
        <w:t xml:space="preserve">合同金额</w:t>
      </w:r>
      <w:r>
        <w:rPr>
          <w:rFonts w:hint="eastAsia" w:ascii="宋体" w:hAnsi="宋体" w:cs="宋体"/>
          <w:b/>
          <w:bCs/>
          <w:color w:val="000000"/>
          <w:szCs w:val="21"/>
          <w:highlight w:val="none"/>
          <w:u w:val="single"/>
        </w:rPr>
        <w:t xml:space="preserve">的10%为预付款（预付款在第一次季度管护经费中进行扣除），</w:t>
      </w:r>
      <w:r>
        <w:rPr>
          <w:rFonts w:hint="eastAsia" w:ascii="宋体" w:hAnsi="宋体"/>
          <w:b/>
          <w:bCs/>
          <w:color w:val="000000"/>
          <w:szCs w:val="22"/>
          <w:highlight w:val="none"/>
          <w:u w:val="single"/>
        </w:rPr>
        <w:t xml:space="preserve">管护经费以季度为周期进行支付，年度支付四次。甲方按照已签有效合同金额提取10%作为服务考核金额，按月考核合同期满结算。合同金额的90%部分甲方按季度向乙方进行付款：甲方每季度根据乙方提供的正规税务发票按时向乙方支付合同总价款的22.5%，年度考核结算与第四次季度结算金额一起进行结算</w:t>
      </w:r>
      <w:r>
        <w:rPr>
          <w:rFonts w:hint="eastAsia" w:ascii="宋体" w:hAnsi="宋体"/>
          <w:color w:val="000000"/>
          <w:szCs w:val="22"/>
          <w:highlight w:val="none"/>
          <w:u w:val="single"/>
          <w:lang w:eastAsia="zh-CN"/>
        </w:rPr>
        <w:t xml:space="preserve">。</w:t>
      </w:r>
      <w:r>
        <w:rPr>
          <w:rFonts w:hint="eastAsia" w:ascii="宋体" w:hAnsi="宋体"/>
          <w:color w:val="000000"/>
          <w:szCs w:val="22"/>
          <w:highlight w:val="none"/>
          <w:u w:val="single"/>
        </w:rPr>
        <w:t xml:space="preserve">（</w:t>
      </w:r>
      <w:r>
        <w:rPr>
          <w:rFonts w:hint="eastAsia" w:ascii="宋体" w:hAnsi="宋体" w:cs="宋体"/>
          <w:b/>
          <w:bCs/>
          <w:color w:val="000000"/>
          <w:szCs w:val="21"/>
          <w:highlight w:val="none"/>
          <w:u w:val="single"/>
        </w:rPr>
        <w:t xml:space="preserve">在签订合同时，乙方明确表示无需预付款或者主动要求降低预付款比例的，甲方可不适用关于预付款的规定。</w:t>
      </w:r>
      <w:r>
        <w:rPr>
          <w:rFonts w:hint="eastAsia" w:ascii="宋体" w:hAnsi="宋体"/>
          <w:color w:val="000000"/>
          <w:szCs w:val="22"/>
          <w:highlight w:val="none"/>
          <w:u w:val="single"/>
        </w:rPr>
        <w:t xml:space="preserve">）</w:t>
      </w:r>
      <w:r>
        <w:rPr>
          <w:rFonts w:hint="eastAsia" w:ascii="宋体" w:hAnsi="宋体"/>
          <w:color w:val="000000"/>
          <w:szCs w:val="22"/>
          <w:highlight w:val="none"/>
          <w:u w:val="single"/>
          <w:lang w:eastAsia="zh-CN"/>
        </w:rPr>
      </w:r>
      <w:r/>
    </w:p>
    <w:p>
      <w:pPr>
        <w:pStyle w:val="994"/>
        <w:keepLines w:val="0"/>
        <w:keepNext w:val="0"/>
        <w:pageBreakBefore w:val="0"/>
        <w:spacing w:line="36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三、服务内容</w:t>
      </w:r>
      <w:r>
        <w:rPr>
          <w:rFonts w:hint="eastAsia" w:ascii="宋体" w:hAnsi="宋体"/>
          <w:b/>
          <w:bCs/>
          <w:color w:val="000000"/>
          <w:szCs w:val="22"/>
          <w:highlight w:val="none"/>
        </w:rPr>
      </w:r>
      <w:r/>
    </w:p>
    <w:p>
      <w:pPr>
        <w:pStyle w:val="994"/>
        <w:ind w:firstLine="422"/>
        <w:keepLines w:val="0"/>
        <w:keepNext w:val="0"/>
        <w:pageBreakBefore w:val="0"/>
        <w:spacing w:line="36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（一）养护范围</w:t>
      </w:r>
      <w:r>
        <w:rPr>
          <w:rFonts w:ascii="宋体" w:hAnsi="宋体" w:cs="宋体"/>
          <w:b/>
          <w:bCs/>
          <w:color w:val="000000"/>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01包：郑陆片绿化管护项目清单</w:t>
      </w:r>
      <w:r>
        <w:rPr>
          <w:rFonts w:hint="eastAsia" w:ascii="宋体" w:hAnsi="宋体" w:eastAsia="宋体" w:cs="宋体"/>
          <w:b/>
          <w:bCs/>
          <w:color w:val="000000"/>
          <w:szCs w:val="21"/>
          <w:highlight w:val="none"/>
        </w:rPr>
      </w:r>
      <w:r/>
    </w:p>
    <w:tbl>
      <w:tblPr>
        <w:tblpPr w:horzAnchor="text" w:tblpXSpec="left"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7"/>
        <w:gridCol w:w="2079"/>
        <w:gridCol w:w="2366"/>
      </w:tblGrid>
      <w:tr>
        <w:trPr/>
        <w:tc>
          <w:tcPr>
            <w:tcW w:w="4077"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2079"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面积（平方米）</w:t>
            </w:r>
            <w:r>
              <w:rPr>
                <w:rFonts w:hint="eastAsia" w:ascii="宋体" w:hAnsi="宋体" w:eastAsia="宋体" w:cs="宋体"/>
                <w:b/>
                <w:bCs/>
                <w:color w:val="000000"/>
                <w:sz w:val="21"/>
                <w:szCs w:val="21"/>
                <w:highlight w:val="none"/>
              </w:rPr>
            </w:r>
            <w:r/>
          </w:p>
        </w:tc>
        <w:tc>
          <w:tcPr>
            <w:tcW w:w="2366"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常焦线西侧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（郑陆垃圾中转站—高铁）</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常焦线东侧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（郑陆垃圾中转站—高铁）</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常焦线西侧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（高铁—工业大道）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2520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常焦线东侧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（高铁—工业大道）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1920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常焦线（工业大道－迎宾路）西</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常焦线（工业大道－迎宾路）东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1438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常焦线（迎宾路－寺墩路）南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450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常焦线（迎宾路－寺墩）北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225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常焦线（寺墩路-232）南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2495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常焦线（寺墩路-232）北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2090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工业大道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（武城—郑陆大石头处）</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30000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舜杰路（常焦线—民康路）北侧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620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舜杰路（迎宾南路—草塘浜）北侧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舜杰路（迎宾南路—草塘浜）南侧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文体中心外围香樟</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舜杰路（草塘浜—安民路）北侧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840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舜杰路（草塘浜—安民路）南侧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舜杰路（安民路—无名路）北侧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1120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舜杰路（安民路—无名路）南侧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2600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舜杰路（季子公园—无名路）河道两侧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芦苇及岸坡杂草杂树</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季子路（常焦线—寺墩路）北侧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季子路（安民路—寺墩路）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季子路（草塘浜—寺墩路）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572</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南侧围挡外</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环镇路（常焦线—郑陆西桥）</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728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环镇路东侧，西侧变电所门口</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永洁保洁门口</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郑中路（包括学校操场南门）</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825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法院门口草塘浜东西侧</w:t>
            </w:r>
            <w:r>
              <w:rPr>
                <w:rFonts w:hint="eastAsia" w:ascii="宋体" w:hAnsi="宋体" w:eastAsia="宋体" w:cs="宋体"/>
                <w:color w:val="000000"/>
                <w:sz w:val="21"/>
                <w:szCs w:val="21"/>
                <w:highlight w:val="none"/>
              </w:rPr>
            </w:r>
            <w:r/>
          </w:p>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（常焦线-郑中路，含金域东郡东）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法院门口草塘浜东西侧（金域东郡东）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邮电路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连家沟路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438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迎宾北路（常焦线-郑陆桥）</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迎宾南路（焦溪大道-舜杰路）东侧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310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季子幼儿园北、西侧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民康路（焦溪大道-舜杰路）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566</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民康路（焦溪大道-舜杰路）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1960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绿化带2米往西7米</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民康路（舜杰路-季子路）西</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民康路（常焦线-焦溪大道）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郑陆实验学校周边（东西南北，包括北面河两侧）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9560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寺墩路（金域东郡东）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翟家路（包括两边小区零星、执安办）</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郑陆镇消费品市场停车场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综合行政执法局停车场周边</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240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环镇路边公园</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1225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季子公园（含文体中心）</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36000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含芦苇及岸坡杂草杂树</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怡巷花园旁翁家浜河边地块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安民路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3150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草塘浜西侧包括申达花苑开放小区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毛家头小区东边广场（包括学校东侧路东）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1637</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盛悦雅园（东、南、西）</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11592</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法治公园、迎宾中路停车场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2800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金正花园外围</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寺墩路（常焦线－焦溪大道）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3258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公元礼著外围</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7216</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焦溪大道常焦线南节点</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2050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郑陆卫生院北门停车场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机器河两侧（含两侧乔木）</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32060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含河道内水生植物</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镇区其他零星区域</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含医院对面绿篱</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大宁佳苑二期周边</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7700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185560</w:t>
            </w:r>
            <w:r>
              <w:rPr>
                <w:rFonts w:hint="eastAsia" w:ascii="宋体" w:hAnsi="宋体" w:eastAsia="宋体" w:cs="宋体"/>
                <w:b/>
                <w:bCs/>
                <w:color w:val="000000"/>
                <w:sz w:val="21"/>
                <w:szCs w:val="21"/>
                <w:highlight w:val="none"/>
              </w:rPr>
            </w:r>
            <w:r/>
          </w:p>
        </w:tc>
        <w:tc>
          <w:tcPr>
            <w:tcW w:w="2366"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r>
            <w:r/>
          </w:p>
        </w:tc>
      </w:tr>
    </w:tbl>
    <w:p>
      <w:pPr>
        <w:pStyle w:val="99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t xml:space="preserve">02包：三河口片绿化管护项目清单</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3"/>
        <w:gridCol w:w="1902"/>
        <w:gridCol w:w="2727"/>
      </w:tblGrid>
      <w:tr>
        <w:trPr>
          <w:trHeight w:val="306"/>
        </w:trPr>
        <w:tc>
          <w:tcPr>
            <w:tcW w:w="3893"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902"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面积（平方米）</w:t>
            </w:r>
            <w:r>
              <w:rPr>
                <w:rFonts w:hint="eastAsia" w:ascii="宋体" w:hAnsi="宋体" w:eastAsia="宋体" w:cs="宋体"/>
                <w:b/>
                <w:bCs/>
                <w:color w:val="000000"/>
                <w:sz w:val="21"/>
                <w:szCs w:val="21"/>
                <w:highlight w:val="none"/>
              </w:rPr>
            </w:r>
            <w:r/>
          </w:p>
        </w:tc>
        <w:tc>
          <w:tcPr>
            <w:tcW w:w="2727"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常焦线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（东古—朝阳路）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常焦线（232-东古）</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20582</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含绿地内河道</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春申君公园（包括文体公园）</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三河路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20993</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剑河周围及集镇区零星</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东塘路（河横路—河丰路）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24728</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人民路（常焦线-北塘河）</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河横路（北塘河—观岸桥）</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河横路（舜平路-舜山路）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河丰路（常焦线—河横路）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河口高中门口（河横路-北塘河）</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5950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窖墩浜两侧</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3160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包括河道内水生植物</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中降路两侧</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中降工业园区</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丰收河两侧（三河路-河丰路）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151383</w:t>
            </w:r>
            <w:r>
              <w:rPr>
                <w:rFonts w:hint="eastAsia" w:ascii="宋体" w:hAnsi="宋体" w:eastAsia="宋体" w:cs="宋体"/>
                <w:b/>
                <w:bCs/>
                <w:color w:val="000000"/>
                <w:sz w:val="21"/>
                <w:szCs w:val="21"/>
                <w:highlight w:val="none"/>
              </w:rPr>
            </w:r>
            <w:r/>
          </w:p>
        </w:tc>
        <w:tc>
          <w:tcPr>
            <w:tcW w:w="272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4"/>
        <w:ind w:firstLine="422"/>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注：上述面积为采购人根据目前现有情况暂估，具体以采购人实际需求为准。</w:t>
      </w:r>
      <w:r>
        <w:rPr>
          <w:rFonts w:hint="eastAsia" w:ascii="宋体" w:hAnsi="宋体" w:cs="宋体"/>
          <w:b/>
          <w:bCs/>
          <w:color w:val="000000"/>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（二）养护要求</w:t>
      </w:r>
      <w:r>
        <w:rPr>
          <w:rFonts w:hint="eastAsia" w:ascii="宋体" w:hAnsi="宋体" w:eastAsia="宋体" w:cs="宋体"/>
          <w:b/>
          <w:bCs/>
          <w:color w:val="000000"/>
          <w:szCs w:val="21"/>
          <w:highlight w:val="none"/>
        </w:rPr>
      </w:r>
      <w:r/>
    </w:p>
    <w:p>
      <w:pPr>
        <w:pStyle w:val="994"/>
        <w:ind w:firstLine="420"/>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按照《常州市城市绿地养护管理质量标准》、《常州市城市绿地养护技术要求》、常政发〔2022〕113号《市政府关于进一步完善常州市城市长效综合管理考核工作的实施意见》、常城管委办〔2022〕11号《常州市城市管理委员会办公室关于印发《常州市城市长效综合管理专项考核标准及扣分细则》》的通知》等相关绿化管理条例及采购人指令开展养护工作。</w:t>
      </w:r>
      <w:r>
        <w:rPr>
          <w:rFonts w:hint="eastAsia" w:ascii="宋体" w:hAnsi="宋体" w:eastAsia="宋体" w:cs="宋体"/>
          <w:color w:val="000000"/>
          <w:szCs w:val="21"/>
          <w:highlight w:val="none"/>
        </w:rPr>
      </w:r>
      <w:r/>
    </w:p>
    <w:p>
      <w:pPr>
        <w:pStyle w:val="994"/>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共性管护要求：对涉及路段的所有乔木、灌木、色块、草坪等修剪、中耕除草、浇水、施肥、除虫、植保、扶正与支撑</w:t>
      </w:r>
      <w:r>
        <w:rPr>
          <w:rFonts w:hint="eastAsia" w:ascii="宋体" w:hAnsi="宋体" w:cs="宋体"/>
          <w:color w:val="000000"/>
          <w:szCs w:val="21"/>
          <w:highlight w:val="none"/>
        </w:rPr>
        <w:t xml:space="preserve">、防寒与保暖、死树杂物和绿化残留物的清理、空秃补种以及绿化现场的巡查，对香樟养护段全线托高一次，并进行每季度至少一次以上落叶的清理，形成绿化管护巡查等文档资料。</w:t>
      </w:r>
      <w:r>
        <w:rPr>
          <w:rFonts w:hint="eastAsia" w:ascii="宋体" w:hAnsi="宋体" w:cs="宋体"/>
          <w:color w:val="000000"/>
          <w:szCs w:val="21"/>
          <w:highlight w:val="none"/>
        </w:rPr>
      </w:r>
      <w:r/>
    </w:p>
    <w:p>
      <w:pPr>
        <w:pStyle w:val="1025"/>
        <w:ind w:firstLine="465"/>
        <w:keepLines w:val="0"/>
        <w:keepNext w:val="0"/>
        <w:pageBreakBefore w:val="0"/>
        <w:spacing w:before="0" w:line="360" w:lineRule="exact"/>
        <w:widowControl w:val="off"/>
        <w:tabs>
          <w:tab w:val="left" w:pos="567" w:leader="none"/>
        </w:tabs>
        <w:rPr>
          <w:rFonts w:hint="eastAsia"/>
          <w:b/>
          <w:color w:val="000000"/>
          <w:sz w:val="21"/>
          <w:szCs w:val="21"/>
          <w:highlight w:val="none"/>
        </w:rPr>
      </w:pPr>
      <w:r>
        <w:rPr>
          <w:rFonts w:hint="eastAsia"/>
          <w:b/>
          <w:color w:val="000000"/>
          <w:sz w:val="21"/>
          <w:szCs w:val="21"/>
          <w:highlight w:val="none"/>
        </w:rPr>
        <w:t xml:space="preserve">3.重点管护要求：</w:t>
      </w:r>
      <w:r>
        <w:rPr>
          <w:rFonts w:hint="eastAsia"/>
          <w:b/>
          <w:color w:val="000000"/>
          <w:sz w:val="21"/>
          <w:szCs w:val="21"/>
          <w:highlight w:val="none"/>
          <w:lang w:eastAsia="zh-CN"/>
        </w:rPr>
        <w:t xml:space="preserve">（</w:t>
      </w:r>
      <w:r>
        <w:rPr>
          <w:rFonts w:hint="eastAsia"/>
          <w:b/>
          <w:color w:val="000000"/>
          <w:sz w:val="21"/>
          <w:szCs w:val="21"/>
          <w:highlight w:val="none"/>
          <w:lang w:val="en-US" w:eastAsia="zh-CN"/>
        </w:rPr>
        <w:t xml:space="preserve">1</w:t>
      </w:r>
      <w:r>
        <w:rPr>
          <w:rFonts w:hint="eastAsia"/>
          <w:b/>
          <w:color w:val="000000"/>
          <w:sz w:val="21"/>
          <w:szCs w:val="21"/>
          <w:highlight w:val="none"/>
          <w:lang w:eastAsia="zh-CN"/>
        </w:rPr>
        <w:t xml:space="preserve">）</w:t>
      </w:r>
      <w:r>
        <w:rPr>
          <w:rFonts w:hint="eastAsia"/>
          <w:b/>
          <w:color w:val="000000"/>
          <w:sz w:val="21"/>
          <w:szCs w:val="21"/>
          <w:highlight w:val="none"/>
        </w:rPr>
        <w:t xml:space="preserve">郑陆片：常焦线郑陆段香樟的全线修剪、托高</w:t>
      </w:r>
      <w:r>
        <w:rPr>
          <w:rFonts w:hint="eastAsia"/>
          <w:b/>
          <w:color w:val="000000"/>
          <w:sz w:val="21"/>
          <w:szCs w:val="21"/>
          <w:highlight w:val="none"/>
          <w:lang w:eastAsia="zh-CN"/>
        </w:rPr>
        <w:t xml:space="preserve">（</w:t>
      </w:r>
      <w:r>
        <w:rPr>
          <w:rFonts w:hint="eastAsia"/>
          <w:b/>
          <w:color w:val="000000"/>
          <w:sz w:val="21"/>
          <w:szCs w:val="21"/>
          <w:highlight w:val="none"/>
        </w:rPr>
        <w:t xml:space="preserve">保持</w:t>
      </w:r>
      <w:r>
        <w:rPr>
          <w:rFonts w:hint="eastAsia"/>
          <w:b/>
          <w:color w:val="000000"/>
          <w:sz w:val="21"/>
          <w:szCs w:val="21"/>
          <w:highlight w:val="none"/>
          <w:lang w:val="en-US" w:eastAsia="zh-CN"/>
        </w:rPr>
        <w:t xml:space="preserve">树下</w:t>
      </w:r>
      <w:r>
        <w:rPr>
          <w:rFonts w:hint="eastAsia"/>
          <w:b/>
          <w:color w:val="000000"/>
          <w:sz w:val="21"/>
          <w:szCs w:val="21"/>
          <w:highlight w:val="none"/>
        </w:rPr>
        <w:t xml:space="preserve">通透</w:t>
      </w:r>
      <w:r>
        <w:rPr>
          <w:rFonts w:hint="eastAsia"/>
          <w:b/>
          <w:color w:val="000000"/>
          <w:sz w:val="21"/>
          <w:szCs w:val="21"/>
          <w:highlight w:val="none"/>
          <w:lang w:eastAsia="zh-CN"/>
        </w:rPr>
        <w:t xml:space="preserve">）</w:t>
      </w:r>
      <w:r>
        <w:rPr>
          <w:rFonts w:hint="eastAsia"/>
          <w:b/>
          <w:color w:val="000000"/>
          <w:sz w:val="21"/>
          <w:szCs w:val="21"/>
          <w:highlight w:val="none"/>
        </w:rPr>
        <w:t xml:space="preserve">，特别是路灯两侧无遮挡</w:t>
      </w:r>
      <w:r>
        <w:rPr>
          <w:rFonts w:hint="eastAsia"/>
          <w:b/>
          <w:color w:val="000000"/>
          <w:sz w:val="21"/>
          <w:szCs w:val="21"/>
          <w:highlight w:val="none"/>
          <w:lang w:eastAsia="zh-CN"/>
        </w:rPr>
        <w:t xml:space="preserve">，</w:t>
      </w:r>
      <w:r>
        <w:rPr>
          <w:rFonts w:hint="eastAsia"/>
          <w:b/>
          <w:color w:val="000000"/>
          <w:sz w:val="21"/>
          <w:szCs w:val="21"/>
          <w:highlight w:val="none"/>
        </w:rPr>
        <w:t xml:space="preserve">12月份前清理机器河、季子公园河道、舜杰路南侧河道两边的芦苇、杂树。</w:t>
      </w:r>
      <w:r>
        <w:rPr>
          <w:rFonts w:hint="eastAsia"/>
          <w:b/>
          <w:color w:val="000000"/>
          <w:sz w:val="21"/>
          <w:szCs w:val="21"/>
          <w:highlight w:val="none"/>
          <w:lang w:eastAsia="zh-CN"/>
        </w:rPr>
        <w:t xml:space="preserve">（</w:t>
      </w:r>
      <w:r>
        <w:rPr>
          <w:rFonts w:hint="eastAsia"/>
          <w:b/>
          <w:color w:val="000000"/>
          <w:sz w:val="21"/>
          <w:szCs w:val="21"/>
          <w:highlight w:val="none"/>
          <w:lang w:val="en-US" w:eastAsia="zh-CN"/>
        </w:rPr>
        <w:t xml:space="preserve">2</w:t>
      </w:r>
      <w:r>
        <w:rPr>
          <w:rFonts w:hint="eastAsia"/>
          <w:b/>
          <w:color w:val="000000"/>
          <w:sz w:val="21"/>
          <w:szCs w:val="21"/>
          <w:highlight w:val="none"/>
          <w:lang w:eastAsia="zh-CN"/>
        </w:rPr>
        <w:t xml:space="preserve">）</w:t>
      </w:r>
      <w:r>
        <w:rPr>
          <w:rFonts w:hint="eastAsia"/>
          <w:b/>
          <w:color w:val="000000"/>
          <w:sz w:val="21"/>
          <w:szCs w:val="21"/>
          <w:highlight w:val="none"/>
        </w:rPr>
        <w:t xml:space="preserve">三河口片：常焦线三河口段</w:t>
      </w:r>
      <w:r>
        <w:rPr>
          <w:rFonts w:hint="eastAsia"/>
          <w:b/>
          <w:color w:val="000000"/>
          <w:sz w:val="21"/>
          <w:szCs w:val="21"/>
          <w:highlight w:val="none"/>
          <w:lang w:eastAsia="zh-CN"/>
        </w:rPr>
        <w:t xml:space="preserve">、</w:t>
      </w:r>
      <w:r>
        <w:rPr>
          <w:rFonts w:hint="eastAsia"/>
          <w:b/>
          <w:color w:val="000000"/>
          <w:sz w:val="21"/>
          <w:szCs w:val="21"/>
          <w:highlight w:val="none"/>
        </w:rPr>
        <w:t xml:space="preserve">东塘路、河丰路、河横路香樟的全线修剪、托高</w:t>
      </w:r>
      <w:r>
        <w:rPr>
          <w:rFonts w:hint="eastAsia"/>
          <w:b/>
          <w:color w:val="000000"/>
          <w:sz w:val="21"/>
          <w:szCs w:val="21"/>
          <w:highlight w:val="none"/>
          <w:lang w:eastAsia="zh-CN"/>
        </w:rPr>
        <w:t xml:space="preserve">（</w:t>
      </w:r>
      <w:r>
        <w:rPr>
          <w:rFonts w:hint="eastAsia"/>
          <w:b/>
          <w:color w:val="000000"/>
          <w:sz w:val="21"/>
          <w:szCs w:val="21"/>
          <w:highlight w:val="none"/>
        </w:rPr>
        <w:t xml:space="preserve">保持</w:t>
      </w:r>
      <w:r>
        <w:rPr>
          <w:rFonts w:hint="eastAsia"/>
          <w:b/>
          <w:color w:val="000000"/>
          <w:sz w:val="21"/>
          <w:szCs w:val="21"/>
          <w:highlight w:val="none"/>
          <w:lang w:val="en-US" w:eastAsia="zh-CN"/>
        </w:rPr>
        <w:t xml:space="preserve">树下</w:t>
      </w:r>
      <w:r>
        <w:rPr>
          <w:rFonts w:hint="eastAsia"/>
          <w:b/>
          <w:color w:val="000000"/>
          <w:sz w:val="21"/>
          <w:szCs w:val="21"/>
          <w:highlight w:val="none"/>
        </w:rPr>
        <w:t xml:space="preserve">通透</w:t>
      </w:r>
      <w:r>
        <w:rPr>
          <w:rFonts w:hint="eastAsia"/>
          <w:b/>
          <w:color w:val="000000"/>
          <w:sz w:val="21"/>
          <w:szCs w:val="21"/>
          <w:highlight w:val="none"/>
          <w:lang w:eastAsia="zh-CN"/>
        </w:rPr>
        <w:t xml:space="preserve">）</w:t>
      </w:r>
      <w:r>
        <w:rPr>
          <w:rFonts w:hint="eastAsia"/>
          <w:b/>
          <w:color w:val="000000"/>
          <w:sz w:val="21"/>
          <w:szCs w:val="21"/>
          <w:highlight w:val="none"/>
        </w:rPr>
        <w:t xml:space="preserve">，特别是路灯两侧无遮挡</w:t>
      </w:r>
      <w:r>
        <w:rPr>
          <w:rFonts w:hint="eastAsia"/>
          <w:b/>
          <w:color w:val="000000"/>
          <w:sz w:val="21"/>
          <w:szCs w:val="21"/>
          <w:highlight w:val="none"/>
          <w:lang w:eastAsia="zh-CN"/>
        </w:rPr>
        <w:t xml:space="preserve">，</w:t>
      </w:r>
      <w:r>
        <w:rPr>
          <w:rFonts w:hint="eastAsia"/>
          <w:b/>
          <w:color w:val="000000"/>
          <w:sz w:val="21"/>
          <w:szCs w:val="21"/>
          <w:highlight w:val="none"/>
        </w:rPr>
        <w:t xml:space="preserve">树下灌木及时修剪，道路两侧空地无杂草。（3）所有管护道路两侧无绿化</w:t>
      </w:r>
      <w:r>
        <w:rPr>
          <w:rFonts w:hint="eastAsia"/>
          <w:b/>
          <w:color w:val="000000"/>
          <w:sz w:val="21"/>
          <w:szCs w:val="21"/>
          <w:highlight w:val="none"/>
          <w:lang w:val="en-US" w:eastAsia="zh-CN"/>
        </w:rPr>
        <w:t xml:space="preserve">的</w:t>
      </w:r>
      <w:r>
        <w:rPr>
          <w:rFonts w:hint="eastAsia"/>
          <w:b/>
          <w:color w:val="000000"/>
          <w:sz w:val="21"/>
          <w:szCs w:val="21"/>
          <w:highlight w:val="none"/>
        </w:rPr>
        <w:t xml:space="preserve">空地需清理杂草。</w:t>
      </w:r>
      <w:r>
        <w:rPr>
          <w:rFonts w:hint="eastAsia"/>
          <w:b/>
          <w:color w:val="000000"/>
          <w:sz w:val="21"/>
          <w:szCs w:val="21"/>
          <w:highlight w:val="none"/>
        </w:rPr>
      </w:r>
      <w:r/>
    </w:p>
    <w:p>
      <w:pPr>
        <w:pStyle w:val="994"/>
        <w:ind w:firstLine="422"/>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（三）养护区域人员配备要求</w:t>
      </w:r>
      <w:r>
        <w:rPr>
          <w:rFonts w:hint="eastAsia" w:ascii="宋体" w:hAnsi="宋体" w:cs="宋体"/>
          <w:b/>
          <w:bCs/>
          <w:color w:val="000000"/>
          <w:szCs w:val="21"/>
          <w:highlight w:val="none"/>
        </w:rPr>
      </w:r>
      <w:r/>
    </w:p>
    <w:tbl>
      <w:tblPr>
        <w:tblW w:w="8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2813"/>
        <w:gridCol w:w="2321"/>
        <w:gridCol w:w="2199"/>
      </w:tblGrid>
      <w:tr>
        <w:trPr>
          <w:trHeight w:val="519"/>
        </w:trPr>
        <w:tc>
          <w:tcPr>
            <w:tcW w:w="1364" w:type="dxa"/>
            <w:vAlign w:val="center"/>
            <w:textDirection w:val="lrTb"/>
            <w:noWrap w:val="false"/>
          </w:tcPr>
          <w:p>
            <w:pPr>
              <w:pStyle w:val="994"/>
              <w:jc w:val="center"/>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包号</w:t>
            </w:r>
            <w:r>
              <w:rPr>
                <w:rFonts w:ascii="宋体" w:hAnsi="宋体" w:cs="宋体"/>
                <w:b/>
                <w:bCs/>
                <w:color w:val="000000"/>
                <w:szCs w:val="21"/>
                <w:highlight w:val="none"/>
              </w:rPr>
            </w:r>
            <w:r/>
          </w:p>
        </w:tc>
        <w:tc>
          <w:tcPr>
            <w:tcW w:w="2813" w:type="dxa"/>
            <w:vAlign w:val="center"/>
            <w:textDirection w:val="lrTb"/>
            <w:noWrap w:val="false"/>
          </w:tcPr>
          <w:p>
            <w:pPr>
              <w:pStyle w:val="994"/>
              <w:jc w:val="center"/>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片区</w:t>
            </w:r>
            <w:r>
              <w:rPr>
                <w:rFonts w:ascii="宋体" w:hAnsi="宋体" w:cs="宋体"/>
                <w:b/>
                <w:bCs/>
                <w:color w:val="000000"/>
                <w:szCs w:val="21"/>
                <w:highlight w:val="none"/>
              </w:rPr>
            </w:r>
            <w:r/>
          </w:p>
        </w:tc>
        <w:tc>
          <w:tcPr>
            <w:tcW w:w="2321" w:type="dxa"/>
            <w:vAlign w:val="center"/>
            <w:textDirection w:val="lrTb"/>
            <w:noWrap w:val="false"/>
          </w:tcPr>
          <w:p>
            <w:pPr>
              <w:pStyle w:val="994"/>
              <w:jc w:val="center"/>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人员</w:t>
            </w:r>
            <w:r>
              <w:rPr>
                <w:rFonts w:ascii="宋体" w:hAnsi="宋体" w:cs="宋体"/>
                <w:b/>
                <w:bCs/>
                <w:color w:val="000000"/>
                <w:szCs w:val="21"/>
                <w:highlight w:val="none"/>
              </w:rPr>
            </w:r>
            <w:r/>
          </w:p>
        </w:tc>
        <w:tc>
          <w:tcPr>
            <w:tcW w:w="2199" w:type="dxa"/>
            <w:vAlign w:val="center"/>
            <w:textDirection w:val="lrTb"/>
            <w:noWrap w:val="false"/>
          </w:tcPr>
          <w:p>
            <w:pPr>
              <w:pStyle w:val="994"/>
              <w:jc w:val="center"/>
              <w:spacing w:line="360" w:lineRule="exact"/>
              <w:rPr>
                <w:rFonts w:ascii="宋体" w:hAnsi="宋体" w:cs="宋体"/>
                <w:b/>
                <w:bCs/>
                <w:color w:val="000000"/>
                <w:szCs w:val="21"/>
                <w:highlight w:val="none"/>
              </w:rPr>
            </w:pPr>
            <w:r>
              <w:rPr>
                <w:rFonts w:hint="eastAsia" w:ascii="宋体" w:hAnsi="宋体"/>
                <w:b/>
                <w:bCs/>
                <w:color w:val="000000"/>
                <w:szCs w:val="21"/>
                <w:highlight w:val="none"/>
              </w:rPr>
              <w:t xml:space="preserve">人数</w:t>
            </w:r>
            <w:r>
              <w:rPr>
                <w:rFonts w:ascii="宋体" w:hAnsi="宋体" w:cs="宋体"/>
                <w:b/>
                <w:bCs/>
                <w:color w:val="000000"/>
                <w:szCs w:val="21"/>
                <w:highlight w:val="none"/>
              </w:rPr>
            </w:r>
            <w:r/>
          </w:p>
        </w:tc>
      </w:tr>
      <w:tr>
        <w:trPr>
          <w:trHeight w:val="398"/>
        </w:trPr>
        <w:tc>
          <w:tcPr>
            <w:tcW w:w="1364" w:type="dxa"/>
            <w:vAlign w:val="center"/>
            <w:vMerge w:val="restart"/>
            <w:textDirection w:val="lrTb"/>
            <w:noWrap w:val="false"/>
          </w:tcPr>
          <w:p>
            <w:pPr>
              <w:pStyle w:val="99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01</w:t>
            </w:r>
            <w:r>
              <w:rPr>
                <w:rFonts w:ascii="宋体" w:hAnsi="宋体" w:cs="宋体"/>
                <w:b/>
                <w:bCs/>
                <w:color w:val="000000"/>
                <w:szCs w:val="21"/>
                <w:highlight w:val="none"/>
              </w:rPr>
            </w:r>
            <w:r/>
          </w:p>
        </w:tc>
        <w:tc>
          <w:tcPr>
            <w:tcW w:w="2813" w:type="dxa"/>
            <w:vAlign w:val="center"/>
            <w:vMerge w:val="restart"/>
            <w:textDirection w:val="lrTb"/>
            <w:noWrap w:val="false"/>
          </w:tcPr>
          <w:p>
            <w:pPr>
              <w:pStyle w:val="994"/>
              <w:jc w:val="center"/>
              <w:rPr>
                <w:rFonts w:ascii="宋体" w:hAnsi="宋体" w:cs="宋体"/>
                <w:color w:val="000000"/>
                <w:szCs w:val="21"/>
                <w:highlight w:val="none"/>
              </w:rPr>
            </w:pPr>
            <w:r>
              <w:rPr>
                <w:rFonts w:hint="eastAsia" w:ascii="宋体" w:hAnsi="宋体" w:cs="宋体"/>
                <w:b/>
                <w:bCs/>
                <w:color w:val="000000"/>
                <w:szCs w:val="21"/>
                <w:highlight w:val="none"/>
              </w:rPr>
              <w:t xml:space="preserve">郑陆片绿化管护项目</w:t>
            </w:r>
            <w:r>
              <w:rPr>
                <w:rFonts w:ascii="宋体" w:hAnsi="宋体" w:cs="宋体"/>
                <w:color w:val="000000"/>
                <w:szCs w:val="21"/>
                <w:highlight w:val="none"/>
              </w:rPr>
            </w:r>
            <w:r/>
          </w:p>
        </w:tc>
        <w:tc>
          <w:tcPr>
            <w:tcW w:w="2321" w:type="dxa"/>
            <w:vAlign w:val="center"/>
            <w:textDirection w:val="lrTb"/>
            <w:noWrap w:val="false"/>
          </w:tcPr>
          <w:p>
            <w:pPr>
              <w:pStyle w:val="994"/>
              <w:jc w:val="center"/>
              <w:rPr>
                <w:rFonts w:ascii="宋体" w:hAnsi="宋体" w:cs="宋体"/>
                <w:color w:val="000000"/>
                <w:szCs w:val="21"/>
                <w:highlight w:val="none"/>
              </w:rPr>
            </w:pPr>
            <w:r>
              <w:rPr>
                <w:rFonts w:hint="eastAsia" w:ascii="宋体" w:hAnsi="宋体"/>
                <w:color w:val="000000"/>
                <w:szCs w:val="21"/>
                <w:highlight w:val="none"/>
              </w:rPr>
              <w:t xml:space="preserve">项目经理</w:t>
            </w:r>
            <w:r>
              <w:rPr>
                <w:rFonts w:ascii="宋体" w:hAnsi="宋体" w:cs="宋体"/>
                <w:color w:val="000000"/>
                <w:szCs w:val="21"/>
                <w:highlight w:val="none"/>
              </w:rPr>
            </w:r>
            <w:r/>
          </w:p>
        </w:tc>
        <w:tc>
          <w:tcPr>
            <w:tcW w:w="2199" w:type="dxa"/>
            <w:vAlign w:val="center"/>
            <w:textDirection w:val="lrTb"/>
            <w:noWrap w:val="false"/>
          </w:tcPr>
          <w:p>
            <w:pPr>
              <w:pStyle w:val="99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8"/>
        </w:trPr>
        <w:tc>
          <w:tcPr>
            <w:tcW w:w="1364" w:type="dxa"/>
            <w:vAlign w:val="center"/>
            <w:vMerge w:val="continue"/>
            <w:textDirection w:val="lrTb"/>
            <w:noWrap w:val="false"/>
          </w:tcPr>
          <w:p>
            <w:pPr>
              <w:pStyle w:val="99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2813" w:type="dxa"/>
            <w:vAlign w:val="center"/>
            <w:vMerge w:val="continue"/>
            <w:textDirection w:val="lrTb"/>
            <w:noWrap w:val="false"/>
          </w:tcPr>
          <w:p>
            <w:pPr>
              <w:pStyle w:val="994"/>
              <w:jc w:val="center"/>
              <w:rPr>
                <w:rFonts w:ascii="宋体" w:hAnsi="宋体" w:cs="宋体"/>
                <w:color w:val="000000"/>
                <w:szCs w:val="21"/>
                <w:highlight w:val="none"/>
              </w:rPr>
            </w:pPr>
            <w:r>
              <w:rPr>
                <w:rFonts w:ascii="宋体" w:hAnsi="宋体" w:cs="宋体"/>
                <w:color w:val="000000"/>
                <w:szCs w:val="21"/>
                <w:highlight w:val="none"/>
              </w:rPr>
            </w:r>
            <w:r/>
          </w:p>
        </w:tc>
        <w:tc>
          <w:tcPr>
            <w:tcW w:w="2321" w:type="dxa"/>
            <w:vAlign w:val="center"/>
            <w:textDirection w:val="lrTb"/>
            <w:noWrap w:val="false"/>
          </w:tcPr>
          <w:p>
            <w:pPr>
              <w:pStyle w:val="994"/>
              <w:jc w:val="center"/>
              <w:rPr>
                <w:rFonts w:ascii="宋体" w:hAnsi="宋体" w:cs="宋体"/>
                <w:color w:val="000000"/>
                <w:szCs w:val="21"/>
                <w:highlight w:val="none"/>
              </w:rPr>
            </w:pPr>
            <w:r>
              <w:rPr>
                <w:rFonts w:hint="eastAsia" w:ascii="宋体" w:hAnsi="宋体"/>
                <w:color w:val="000000"/>
                <w:szCs w:val="21"/>
                <w:highlight w:val="none"/>
              </w:rPr>
              <w:t xml:space="preserve">养护人员</w:t>
            </w:r>
            <w:r>
              <w:rPr>
                <w:rFonts w:ascii="宋体" w:hAnsi="宋体" w:cs="宋体"/>
                <w:color w:val="000000"/>
                <w:szCs w:val="21"/>
                <w:highlight w:val="none"/>
              </w:rPr>
            </w:r>
            <w:r/>
          </w:p>
        </w:tc>
        <w:tc>
          <w:tcPr>
            <w:tcW w:w="2199" w:type="dxa"/>
            <w:vAlign w:val="center"/>
            <w:textDirection w:val="lrTb"/>
            <w:noWrap w:val="false"/>
          </w:tcPr>
          <w:p>
            <w:pPr>
              <w:pStyle w:val="99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r>
      <w:tr>
        <w:trPr>
          <w:trHeight w:val="398"/>
        </w:trPr>
        <w:tc>
          <w:tcPr>
            <w:tcW w:w="1364" w:type="dxa"/>
            <w:vAlign w:val="center"/>
            <w:vMerge w:val="restart"/>
            <w:textDirection w:val="lrTb"/>
            <w:noWrap w:val="false"/>
          </w:tcPr>
          <w:p>
            <w:pPr>
              <w:pStyle w:val="994"/>
              <w:jc w:val="center"/>
              <w:rPr>
                <w:rFonts w:ascii="宋体" w:hAnsi="宋体"/>
                <w:b/>
                <w:bCs/>
                <w:color w:val="000000"/>
                <w:szCs w:val="21"/>
                <w:highlight w:val="none"/>
              </w:rPr>
            </w:pPr>
            <w:r>
              <w:rPr>
                <w:rFonts w:hint="eastAsia" w:ascii="宋体" w:hAnsi="宋体"/>
                <w:b/>
                <w:bCs/>
                <w:color w:val="000000"/>
                <w:szCs w:val="21"/>
                <w:highlight w:val="none"/>
              </w:rPr>
              <w:t xml:space="preserve">02</w:t>
            </w:r>
            <w:r>
              <w:rPr>
                <w:rFonts w:ascii="宋体" w:hAnsi="宋体"/>
                <w:b/>
                <w:bCs/>
                <w:color w:val="000000"/>
                <w:szCs w:val="21"/>
                <w:highlight w:val="none"/>
              </w:rPr>
            </w:r>
            <w:r/>
          </w:p>
        </w:tc>
        <w:tc>
          <w:tcPr>
            <w:tcW w:w="2813" w:type="dxa"/>
            <w:vAlign w:val="center"/>
            <w:vMerge w:val="restart"/>
            <w:textDirection w:val="lrTb"/>
            <w:noWrap w:val="false"/>
          </w:tcPr>
          <w:p>
            <w:pPr>
              <w:pStyle w:val="994"/>
              <w:jc w:val="center"/>
              <w:rPr>
                <w:rFonts w:hint="eastAsia" w:ascii="宋体" w:hAnsi="宋体"/>
                <w:color w:val="000000"/>
                <w:szCs w:val="21"/>
                <w:highlight w:val="none"/>
              </w:rPr>
            </w:pPr>
            <w:r>
              <w:rPr>
                <w:rFonts w:hint="eastAsia" w:ascii="宋体" w:hAnsi="宋体" w:cs="宋体"/>
                <w:b/>
                <w:bCs/>
                <w:color w:val="000000"/>
                <w:szCs w:val="21"/>
                <w:highlight w:val="none"/>
              </w:rPr>
              <w:t xml:space="preserve">三河口片绿化管护项目</w:t>
            </w:r>
            <w:r>
              <w:rPr>
                <w:rFonts w:hint="eastAsia" w:ascii="宋体" w:hAnsi="宋体"/>
                <w:color w:val="000000"/>
                <w:szCs w:val="21"/>
                <w:highlight w:val="none"/>
              </w:rPr>
            </w:r>
            <w:r/>
          </w:p>
        </w:tc>
        <w:tc>
          <w:tcPr>
            <w:tcW w:w="2321" w:type="dxa"/>
            <w:vAlign w:val="center"/>
            <w:textDirection w:val="lrTb"/>
            <w:noWrap w:val="false"/>
          </w:tcPr>
          <w:p>
            <w:pPr>
              <w:pStyle w:val="994"/>
              <w:jc w:val="center"/>
              <w:rPr>
                <w:rFonts w:ascii="宋体" w:hAnsi="宋体" w:cs="宋体"/>
                <w:color w:val="000000"/>
                <w:szCs w:val="21"/>
                <w:highlight w:val="none"/>
              </w:rPr>
            </w:pPr>
            <w:r>
              <w:rPr>
                <w:rFonts w:hint="eastAsia" w:ascii="宋体" w:hAnsi="宋体"/>
                <w:color w:val="000000"/>
                <w:szCs w:val="21"/>
                <w:highlight w:val="none"/>
              </w:rPr>
              <w:t xml:space="preserve">项目经理</w:t>
            </w:r>
            <w:r>
              <w:rPr>
                <w:rFonts w:ascii="宋体" w:hAnsi="宋体" w:cs="宋体"/>
                <w:color w:val="000000"/>
                <w:szCs w:val="21"/>
                <w:highlight w:val="none"/>
              </w:rPr>
            </w:r>
            <w:r/>
          </w:p>
        </w:tc>
        <w:tc>
          <w:tcPr>
            <w:tcW w:w="2199" w:type="dxa"/>
            <w:vAlign w:val="center"/>
            <w:textDirection w:val="lrTb"/>
            <w:noWrap w:val="false"/>
          </w:tcPr>
          <w:p>
            <w:pPr>
              <w:pStyle w:val="99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4"/>
        </w:trPr>
        <w:tc>
          <w:tcPr>
            <w:tcW w:w="1364" w:type="dxa"/>
            <w:vAlign w:val="center"/>
            <w:vMerge w:val="continue"/>
            <w:textDirection w:val="lrTb"/>
            <w:noWrap w:val="false"/>
          </w:tcPr>
          <w:p>
            <w:pPr>
              <w:pStyle w:val="994"/>
              <w:jc w:val="center"/>
              <w:rPr>
                <w:rFonts w:hint="eastAsia" w:ascii="宋体" w:hAnsi="宋体"/>
                <w:color w:val="000000"/>
                <w:szCs w:val="21"/>
                <w:highlight w:val="none"/>
              </w:rPr>
            </w:pPr>
            <w:r>
              <w:rPr>
                <w:rFonts w:hint="eastAsia" w:ascii="宋体" w:hAnsi="宋体"/>
                <w:color w:val="000000"/>
                <w:szCs w:val="21"/>
                <w:highlight w:val="none"/>
              </w:rPr>
            </w:r>
            <w:r/>
          </w:p>
        </w:tc>
        <w:tc>
          <w:tcPr>
            <w:tcW w:w="2813" w:type="dxa"/>
            <w:vAlign w:val="center"/>
            <w:vMerge w:val="continue"/>
            <w:textDirection w:val="lrTb"/>
            <w:noWrap w:val="false"/>
          </w:tcPr>
          <w:p>
            <w:pPr>
              <w:pStyle w:val="994"/>
              <w:jc w:val="center"/>
              <w:rPr>
                <w:rFonts w:hint="eastAsia" w:ascii="宋体" w:hAnsi="宋体"/>
                <w:color w:val="000000"/>
                <w:szCs w:val="21"/>
                <w:highlight w:val="none"/>
              </w:rPr>
            </w:pPr>
            <w:r>
              <w:rPr>
                <w:rFonts w:hint="eastAsia" w:ascii="宋体" w:hAnsi="宋体"/>
                <w:color w:val="000000"/>
                <w:szCs w:val="21"/>
                <w:highlight w:val="none"/>
              </w:rPr>
            </w:r>
            <w:r/>
          </w:p>
        </w:tc>
        <w:tc>
          <w:tcPr>
            <w:tcW w:w="2321" w:type="dxa"/>
            <w:vAlign w:val="center"/>
            <w:textDirection w:val="lrTb"/>
            <w:noWrap w:val="false"/>
          </w:tcPr>
          <w:p>
            <w:pPr>
              <w:pStyle w:val="994"/>
              <w:jc w:val="center"/>
              <w:rPr>
                <w:rFonts w:ascii="宋体" w:hAnsi="宋体" w:cs="宋体"/>
                <w:color w:val="000000"/>
                <w:szCs w:val="21"/>
                <w:highlight w:val="none"/>
              </w:rPr>
            </w:pPr>
            <w:r>
              <w:rPr>
                <w:rFonts w:hint="eastAsia" w:ascii="宋体" w:hAnsi="宋体"/>
                <w:color w:val="000000"/>
                <w:szCs w:val="21"/>
                <w:highlight w:val="none"/>
              </w:rPr>
              <w:t xml:space="preserve">养护人员</w:t>
            </w:r>
            <w:r>
              <w:rPr>
                <w:rFonts w:ascii="宋体" w:hAnsi="宋体" w:cs="宋体"/>
                <w:color w:val="000000"/>
                <w:szCs w:val="21"/>
                <w:highlight w:val="none"/>
              </w:rPr>
            </w:r>
            <w:r/>
          </w:p>
        </w:tc>
        <w:tc>
          <w:tcPr>
            <w:tcW w:w="2199" w:type="dxa"/>
            <w:vAlign w:val="center"/>
            <w:textDirection w:val="lrTb"/>
            <w:noWrap w:val="false"/>
          </w:tcPr>
          <w:p>
            <w:pPr>
              <w:pStyle w:val="99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r>
    </w:tbl>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为确保安全、文明施工原则，养护作业应注意自身和第三方的施工操作人员和行人的安全，注意不损害周边市政设施和建筑物，不影响市容环境。做好各项围护、防护措施，配合城建部门的管理。养护工作中确保零安全事故，如有由成交供应商自行承担。</w:t>
      </w:r>
      <w:r>
        <w:rPr>
          <w:rFonts w:hint="eastAsia" w:ascii="宋体" w:hAnsi="宋体" w:cs="宋体"/>
          <w:color w:val="000000"/>
          <w:szCs w:val="21"/>
          <w:highlight w:val="none"/>
        </w:rPr>
      </w:r>
      <w:r/>
    </w:p>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2.成交供应商须承诺配备专职巡查人员，</w:t>
      </w:r>
      <w:r>
        <w:rPr>
          <w:rFonts w:hint="eastAsia" w:ascii="宋体" w:hAnsi="宋体" w:cs="宋体"/>
          <w:b/>
          <w:color w:val="000000"/>
          <w:szCs w:val="21"/>
          <w:highlight w:val="none"/>
        </w:rPr>
        <w:t xml:space="preserve">每周全面巡查养护不少于三次，且绿化巡更点每日一次打点。巡查人员每日对当天工作情况进行记录，每周做一次小结，月底对分工范围内的绿地的养护情况进行全面总结，并实时将巡查情况上报采购人。</w:t>
      </w:r>
      <w:r>
        <w:rPr>
          <w:rFonts w:hint="eastAsia" w:ascii="宋体" w:hAnsi="宋体" w:cs="宋体"/>
          <w:color w:val="000000"/>
          <w:szCs w:val="21"/>
          <w:highlight w:val="none"/>
        </w:rPr>
        <w:t xml:space="preserve">专职巡视员日常巡查内容包含但并不限于考核标准及采购人另行规定的巡查内容并形成相应的巡查台账：</w:t>
      </w:r>
      <w:r>
        <w:rPr>
          <w:rFonts w:hint="eastAsia" w:ascii="宋体" w:hAnsi="宋体" w:cs="宋体"/>
          <w:color w:val="000000"/>
          <w:szCs w:val="21"/>
          <w:highlight w:val="none"/>
        </w:rPr>
      </w:r>
      <w:r/>
    </w:p>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（1）养护区域有无私开、私挖、私自修剪、占用绿地乱堆放等违绿现象；</w:t>
      </w:r>
      <w:r>
        <w:rPr>
          <w:rFonts w:hint="eastAsia" w:ascii="宋体" w:hAnsi="宋体" w:cs="宋体"/>
          <w:color w:val="000000"/>
          <w:szCs w:val="21"/>
          <w:highlight w:val="none"/>
        </w:rPr>
      </w:r>
      <w:r/>
    </w:p>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（2）养护区域内有无苗木偷盗、绿化带毁绿种菜现象；</w:t>
      </w:r>
      <w:r>
        <w:rPr>
          <w:rFonts w:hint="eastAsia" w:ascii="宋体" w:hAnsi="宋体" w:cs="宋体"/>
          <w:color w:val="000000"/>
          <w:szCs w:val="21"/>
          <w:highlight w:val="none"/>
        </w:rPr>
      </w:r>
      <w:r/>
    </w:p>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（3）养护区域内有无苗木死亡、空秃及病虫害现象；</w:t>
      </w:r>
      <w:r>
        <w:rPr>
          <w:rFonts w:hint="eastAsia" w:ascii="宋体" w:hAnsi="宋体" w:cs="宋体"/>
          <w:color w:val="000000"/>
          <w:szCs w:val="21"/>
          <w:highlight w:val="none"/>
        </w:rPr>
      </w:r>
      <w:r/>
    </w:p>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（4）养护区域内设施的损坏现象；</w:t>
      </w:r>
      <w:r>
        <w:rPr>
          <w:rFonts w:hint="eastAsia" w:ascii="宋体" w:hAnsi="宋体" w:cs="宋体"/>
          <w:color w:val="000000"/>
          <w:szCs w:val="21"/>
          <w:highlight w:val="none"/>
        </w:rPr>
      </w:r>
      <w:r/>
    </w:p>
    <w:p>
      <w:pPr>
        <w:pStyle w:val="994"/>
        <w:ind w:right="210" w:firstLine="420"/>
        <w:jc w:val="left"/>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（5）其他各类采购人另行规定的巡查内容。</w:t>
      </w:r>
      <w:r>
        <w:rPr>
          <w:rFonts w:hint="eastAsia" w:ascii="宋体" w:hAnsi="宋体" w:cs="宋体"/>
          <w:color w:val="000000"/>
          <w:szCs w:val="21"/>
          <w:highlight w:val="none"/>
        </w:rPr>
      </w:r>
      <w:r/>
    </w:p>
    <w:p>
      <w:pPr>
        <w:pStyle w:val="994"/>
        <w:ind w:right="210" w:firstLine="422"/>
        <w:jc w:val="left"/>
        <w:keepLines w:val="0"/>
        <w:keepNext w:val="0"/>
        <w:pageBreakBefore w:val="0"/>
        <w:spacing w:line="360" w:lineRule="exact"/>
        <w:widowControl w:val="off"/>
        <w:rPr>
          <w:rFonts w:ascii="宋体" w:hAnsi="宋体" w:cs="宋体"/>
          <w:color w:val="000000"/>
          <w:szCs w:val="21"/>
          <w:highlight w:val="none"/>
        </w:rPr>
      </w:pPr>
      <w:r>
        <w:rPr>
          <w:rFonts w:hint="eastAsia" w:ascii="宋体" w:hAnsi="宋体" w:cs="宋体"/>
          <w:b/>
          <w:color w:val="000000"/>
          <w:szCs w:val="21"/>
          <w:highlight w:val="none"/>
        </w:rPr>
        <w:t xml:space="preserve">上述巡查内容，发生的绿化补种、恢复等费用由成交供应商自行承担</w:t>
      </w:r>
      <w:r>
        <w:rPr>
          <w:rFonts w:hint="eastAsia" w:ascii="宋体" w:hAnsi="宋体" w:cs="宋体"/>
          <w:color w:val="000000"/>
          <w:szCs w:val="21"/>
          <w:highlight w:val="none"/>
        </w:rPr>
        <w:t xml:space="preserve">（除行政审批开挖占用及采购人另行约定的），如未按要求进行巡查处理的，按相关考核条款进行考核扣款。</w:t>
      </w:r>
      <w:r>
        <w:rPr>
          <w:rFonts w:ascii="宋体" w:hAnsi="宋体" w:cs="宋体"/>
          <w:color w:val="000000"/>
          <w:szCs w:val="21"/>
          <w:highlight w:val="none"/>
        </w:rPr>
      </w:r>
      <w:r/>
    </w:p>
    <w:p>
      <w:pPr>
        <w:pStyle w:val="1091"/>
        <w:contextualSpacing/>
        <w:ind w:left="498" w:hanging="78"/>
        <w:keepLines w:val="0"/>
        <w:keepNext w:val="0"/>
        <w:pageBreakBefore w:val="0"/>
        <w:spacing w:line="3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注：具体考核办法以采购人要求为准。</w:t>
      </w:r>
      <w:r>
        <w:rPr>
          <w:rFonts w:hint="eastAsia" w:ascii="宋体" w:hAnsi="宋体" w:cs="宋体"/>
          <w:b/>
          <w:color w:val="000000"/>
          <w:szCs w:val="21"/>
          <w:highlight w:val="none"/>
        </w:rPr>
      </w:r>
      <w:r/>
    </w:p>
    <w:p>
      <w:pPr>
        <w:pStyle w:val="1091"/>
        <w:contextualSpacing/>
        <w:ind w:left="500" w:hanging="500"/>
        <w:keepLines w:val="0"/>
        <w:keepNext w:val="0"/>
        <w:pageBreakBefore w:val="0"/>
        <w:spacing w:line="3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四、管护交接时间与管护期限</w:t>
      </w:r>
      <w:r>
        <w:rPr>
          <w:rFonts w:hint="eastAsia" w:ascii="宋体" w:hAnsi="宋体" w:cs="宋体"/>
          <w:b/>
          <w:color w:val="000000"/>
          <w:szCs w:val="21"/>
          <w:highlight w:val="none"/>
        </w:rPr>
      </w:r>
      <w:r/>
    </w:p>
    <w:p>
      <w:pPr>
        <w:pStyle w:val="994"/>
        <w:ind w:firstLine="480"/>
        <w:keepLines w:val="0"/>
        <w:keepNext w:val="0"/>
        <w:pageBreakBefore w:val="0"/>
        <w:spacing w:line="360" w:lineRule="exact"/>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（一）管护交接时间：</w:t>
      </w:r>
      <w:r>
        <w:rPr>
          <w:rFonts w:hint="eastAsia" w:ascii="宋体" w:hAnsi="宋体" w:cs="宋体"/>
          <w:b/>
          <w:bCs w:val="0"/>
          <w:color w:val="000000"/>
          <w:szCs w:val="21"/>
          <w:highlight w:val="none"/>
          <w:u w:val="single"/>
        </w:rPr>
        <w:t xml:space="preserve">合同签订生效之日起即接收管护</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94"/>
        <w:ind w:firstLine="480"/>
        <w:keepLines w:val="0"/>
        <w:keepNext w:val="0"/>
        <w:pageBreakBefore w:val="0"/>
        <w:spacing w:line="360" w:lineRule="exact"/>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（二）管护期限：</w:t>
      </w:r>
      <w:r>
        <w:rPr>
          <w:rFonts w:hint="eastAsia" w:ascii="宋体" w:hAnsi="宋体" w:cs="宋体"/>
          <w:b/>
          <w:bCs w:val="0"/>
          <w:color w:val="000000"/>
          <w:szCs w:val="21"/>
          <w:highlight w:val="none"/>
          <w:u w:val="single"/>
        </w:rPr>
        <w:t xml:space="preserve">202</w:t>
      </w:r>
      <w:r>
        <w:rPr>
          <w:rFonts w:hint="eastAsia" w:ascii="宋体" w:hAnsi="宋体" w:cs="宋体"/>
          <w:b/>
          <w:bCs w:val="0"/>
          <w:color w:val="000000"/>
          <w:szCs w:val="21"/>
          <w:highlight w:val="none"/>
          <w:u w:val="single"/>
          <w:lang w:val="en-US" w:eastAsia="zh-CN"/>
        </w:rPr>
        <w:t xml:space="preserve">6</w:t>
      </w:r>
      <w:r>
        <w:rPr>
          <w:rFonts w:hint="eastAsia" w:ascii="宋体" w:hAnsi="宋体" w:cs="宋体"/>
          <w:b/>
          <w:bCs w:val="0"/>
          <w:color w:val="000000"/>
          <w:szCs w:val="21"/>
          <w:highlight w:val="none"/>
          <w:u w:val="single"/>
        </w:rPr>
        <w:t xml:space="preserve">年6月1日-202</w:t>
      </w:r>
      <w:r>
        <w:rPr>
          <w:rFonts w:hint="eastAsia" w:ascii="宋体" w:hAnsi="宋体" w:cs="宋体"/>
          <w:b/>
          <w:bCs w:val="0"/>
          <w:color w:val="000000"/>
          <w:szCs w:val="21"/>
          <w:highlight w:val="none"/>
          <w:u w:val="single"/>
          <w:lang w:val="en-US" w:eastAsia="zh-CN"/>
        </w:rPr>
        <w:t xml:space="preserve">7</w:t>
      </w:r>
      <w:r>
        <w:rPr>
          <w:rFonts w:hint="eastAsia" w:ascii="宋体" w:hAnsi="宋体" w:cs="宋体"/>
          <w:b/>
          <w:bCs w:val="0"/>
          <w:color w:val="000000"/>
          <w:szCs w:val="21"/>
          <w:highlight w:val="none"/>
          <w:u w:val="single"/>
        </w:rPr>
        <w:t xml:space="preserve">年5月31日</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1091"/>
        <w:contextualSpacing/>
        <w:ind w:left="500" w:hanging="500"/>
        <w:keepLines w:val="0"/>
        <w:keepNext w:val="0"/>
        <w:pageBreakBefore w:val="0"/>
        <w:spacing w:line="3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五、若成交供应商在承包养护期间，违反下列规定将被解除承包合同</w:t>
      </w:r>
      <w:r>
        <w:rPr>
          <w:rFonts w:hint="eastAsia" w:ascii="宋体" w:hAnsi="宋体" w:cs="宋体"/>
          <w:b/>
          <w:color w:val="000000"/>
          <w:szCs w:val="21"/>
          <w:highlight w:val="none"/>
        </w:rPr>
      </w:r>
      <w:r/>
    </w:p>
    <w:p>
      <w:pPr>
        <w:pStyle w:val="994"/>
        <w:ind w:firstLine="48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（一）严禁将承包的绿地养护管理转包他人；</w:t>
      </w:r>
      <w:r>
        <w:rPr>
          <w:rFonts w:hint="eastAsia" w:ascii="宋体" w:hAnsi="宋体" w:cs="宋体"/>
          <w:color w:val="000000"/>
          <w:szCs w:val="21"/>
          <w:highlight w:val="none"/>
        </w:rPr>
      </w:r>
      <w:r/>
    </w:p>
    <w:p>
      <w:pPr>
        <w:pStyle w:val="994"/>
        <w:ind w:firstLine="48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常政发〔2022〕113号《市政府关于进一步完善常州市城市长效综合管理考核工作的实施意见》、常城管委办〔2022〕11号《常州市城市管理委员会办公室关于印发《常州市城市长效综合管理专项考核标准及扣分细则》》的通知》等有关规定；</w:t>
      </w:r>
      <w:r>
        <w:rPr>
          <w:rFonts w:hint="eastAsia" w:ascii="宋体" w:hAnsi="宋体" w:cs="宋体"/>
          <w:color w:val="000000"/>
          <w:szCs w:val="21"/>
          <w:highlight w:val="none"/>
        </w:rPr>
      </w:r>
      <w:r/>
    </w:p>
    <w:p>
      <w:pPr>
        <w:pStyle w:val="994"/>
        <w:ind w:firstLine="48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（三）法律规定的其它情形；</w:t>
      </w:r>
      <w:r>
        <w:rPr>
          <w:rFonts w:hint="eastAsia" w:ascii="宋体" w:hAnsi="宋体" w:cs="宋体"/>
          <w:color w:val="000000"/>
          <w:szCs w:val="21"/>
          <w:highlight w:val="none"/>
        </w:rPr>
      </w:r>
      <w:r/>
    </w:p>
    <w:p>
      <w:pPr>
        <w:pStyle w:val="994"/>
        <w:ind w:firstLine="48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（四）主要管理人员（养护负责人或专职巡查资料员）不到岗、不履责三次以上的；</w:t>
      </w:r>
      <w:r>
        <w:rPr>
          <w:rFonts w:hint="eastAsia" w:ascii="宋体" w:hAnsi="宋体" w:cs="宋体"/>
          <w:color w:val="000000"/>
          <w:szCs w:val="21"/>
          <w:highlight w:val="none"/>
        </w:rPr>
      </w:r>
      <w:r/>
    </w:p>
    <w:p>
      <w:pPr>
        <w:pStyle w:val="994"/>
        <w:ind w:firstLine="48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（五）养护工人数量少于额定人数30%及以上的三次；</w:t>
      </w:r>
      <w:r>
        <w:rPr>
          <w:rFonts w:hint="eastAsia" w:ascii="宋体" w:hAnsi="宋体" w:cs="宋体"/>
          <w:color w:val="000000"/>
          <w:szCs w:val="21"/>
          <w:highlight w:val="none"/>
        </w:rPr>
      </w:r>
      <w:r/>
    </w:p>
    <w:p>
      <w:pPr>
        <w:pStyle w:val="994"/>
        <w:ind w:firstLine="48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成交供应商被解除承包合同后，采购人可以按中标（成交）候选人的排列顺序，选择下一成交候选人按原成交价承接本项目的绿化养护管理。</w:t>
      </w:r>
      <w:r>
        <w:rPr>
          <w:rFonts w:hint="eastAsia" w:ascii="宋体" w:hAnsi="宋体" w:cs="宋体"/>
          <w:color w:val="000000"/>
          <w:szCs w:val="21"/>
          <w:highlight w:val="none"/>
        </w:rPr>
      </w:r>
      <w:r/>
    </w:p>
    <w:p>
      <w:pPr>
        <w:pStyle w:val="1091"/>
        <w:contextualSpacing/>
        <w:ind w:left="500" w:hanging="500"/>
        <w:keepLines w:val="0"/>
        <w:keepNext w:val="0"/>
        <w:pageBreakBefore w:val="0"/>
        <w:spacing w:line="36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六、报价方式</w:t>
      </w:r>
      <w:r>
        <w:rPr>
          <w:rFonts w:hint="eastAsia" w:ascii="宋体" w:hAnsi="宋体" w:cs="宋体"/>
          <w:b/>
          <w:color w:val="000000"/>
          <w:szCs w:val="21"/>
          <w:highlight w:val="none"/>
        </w:rPr>
      </w:r>
      <w:r/>
    </w:p>
    <w:p>
      <w:pPr>
        <w:pStyle w:val="994"/>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（一）本项目报价为</w:t>
      </w:r>
      <w:r>
        <w:rPr>
          <w:rFonts w:hint="eastAsia" w:ascii="宋体" w:hAnsi="宋体" w:cs="宋体"/>
          <w:b/>
          <w:bCs/>
          <w:color w:val="000000"/>
          <w:szCs w:val="21"/>
          <w:highlight w:val="none"/>
          <w:u w:val="single"/>
        </w:rPr>
        <w:t xml:space="preserve">固定总价</w:t>
      </w:r>
      <w:r>
        <w:rPr>
          <w:rFonts w:hint="eastAsia" w:ascii="宋体" w:hAnsi="宋体" w:cs="宋体"/>
          <w:b/>
          <w:bCs/>
          <w:color w:val="000000"/>
          <w:szCs w:val="21"/>
          <w:highlight w:val="none"/>
        </w:rPr>
        <w:t xml:space="preserve">。磋商报价应包括竞争性磋商文件所确定的采购范围相应服务的提供、车辆费、运费、电费、维修费、工具费、垃圾处理费、交通事故、违章处罚、人员（包括工资和补贴）、办公场所及设施、肥料、农药、草花（水源自行解决）</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保险、劳保、管理、各种税费、利润、税金、政策性文件规定及合同包含的所有风险、责任等各项应有费用，以及为完成该项服务项目所涉及到的一切相关费用，采购人不再支付其他任何费用。如国家出台最低基本工资和最低社会保险缴纳基数标准等规定，成交供应商应保障服务人员的基本法定待遇，但采购人并不为此支付增加的有关费用。</w:t>
      </w:r>
      <w:r>
        <w:rPr>
          <w:rFonts w:hint="eastAsia"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rPr>
        <w:t xml:space="preserve">（二）报价货币为人民币，评审时以人民币为准。</w:t>
      </w:r>
      <w:r>
        <w:rPr>
          <w:rFonts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rPr>
        <w:t xml:space="preserve">（三）报价应考虑整个承包期限内绿地内全部乔灌花草等园林植物的养护、以及充分考虑恢复因人为因素造成对苗木、设施等损坏所发生的费用。</w:t>
      </w:r>
      <w:r>
        <w:rPr>
          <w:rFonts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rPr>
        <w:t xml:space="preserve">1.含巡查车辆、洒水车、垃圾清运车等运行成本、车辆保养、维修等一切费用。</w:t>
      </w:r>
      <w:r>
        <w:rPr>
          <w:rFonts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rPr>
        <w:t xml:space="preserve">2.含绿化修剪、绿化补种（含黑麦草复播）、绿废处理、园林设施维护、农药、肥料购买等以及其他附属于绿化养护工作设备购买、维护等一切费用。</w:t>
      </w:r>
      <w:r>
        <w:rPr>
          <w:rFonts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rPr>
        <w:t xml:space="preserve">3.其中绿化补种含绿化踩踏、缺株、死株更换、绿地种菜恢复、无手续行政开挖恢复等除甲方指令性以外所有的绿化补种费用。</w:t>
      </w:r>
      <w:r>
        <w:rPr>
          <w:rFonts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rPr>
        <w:t xml:space="preserve">4.安全文明措施费（含养护工作时设置安全维护；裸土覆盖；雾炮车降尘；安全风险责任等费用）</w:t>
      </w:r>
      <w:r>
        <w:rPr>
          <w:rFonts w:hint="eastAsia" w:ascii="宋体" w:hAnsi="宋体" w:cs="宋体"/>
          <w:color w:val="000000"/>
          <w:szCs w:val="21"/>
          <w:highlight w:val="none"/>
        </w:rPr>
        <w:t xml:space="preserve">报价自行考虑</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94"/>
        <w:ind w:firstLine="420"/>
        <w:keepLines w:val="0"/>
        <w:keepNext w:val="0"/>
        <w:pageBreakBefore w:val="0"/>
        <w:spacing w:line="360" w:lineRule="exact"/>
        <w:widowControl w:val="off"/>
        <w:tabs>
          <w:tab w:val="left" w:pos="284" w:leader="none"/>
        </w:tabs>
        <w:rPr>
          <w:rFonts w:hint="eastAsia" w:ascii="宋体" w:hAnsi="宋体" w:cs="宋体"/>
          <w:b/>
          <w:bCs/>
          <w:color w:val="000000"/>
          <w:szCs w:val="21"/>
          <w:highlight w:val="none"/>
        </w:rPr>
      </w:pPr>
      <w:r>
        <w:rPr>
          <w:rFonts w:hint="eastAsia" w:ascii="宋体" w:hAnsi="宋体" w:cs="宋体"/>
          <w:bCs/>
          <w:color w:val="000000"/>
          <w:szCs w:val="21"/>
          <w:highlight w:val="none"/>
        </w:rPr>
        <w:t xml:space="preserve">5.因突发情况（如台风、雨雪、冰雹、霜或冰冻等天气或气候因素，或车辆、居民、行人等人为因素，或是其它因素，以及复合因素或不明原因的情况）导致的，不论这些因素是可预测或不可预测的，均已包含在投标报价中。除采购人要求外，不作调整。</w:t>
      </w:r>
      <w:r>
        <w:rPr>
          <w:rFonts w:hint="eastAsia" w:ascii="宋体" w:hAnsi="宋体" w:cs="宋体"/>
          <w:b/>
          <w:bCs/>
          <w:color w:val="000000"/>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（四）费用测算要求</w:t>
      </w:r>
      <w:r>
        <w:rPr>
          <w:rFonts w:hint="eastAsia" w:ascii="宋体" w:hAnsi="宋体" w:eastAsia="宋体" w:cs="宋体"/>
          <w:b/>
          <w:bCs/>
          <w:color w:val="000000"/>
          <w:szCs w:val="21"/>
          <w:highlight w:val="none"/>
        </w:rPr>
      </w:r>
      <w:r/>
    </w:p>
    <w:tbl>
      <w:tblPr>
        <w:tblW w:w="923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859"/>
        <w:gridCol w:w="2011"/>
        <w:gridCol w:w="1321"/>
        <w:gridCol w:w="3984"/>
      </w:tblGrid>
      <w:tr>
        <w:trPr>
          <w:trHeight w:val="632"/>
        </w:trPr>
        <w:tc>
          <w:tcPr>
            <w:tcW w:w="1062"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包号</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缴费项目</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rPr>
                <w:rFonts w:hint="eastAsia" w:ascii="宋体" w:hAnsi="宋体" w:eastAsia="宋体" w:cs="宋体"/>
                <w:b/>
                <w:bCs/>
                <w:i w:val="0"/>
                <w:iCs w:val="0"/>
                <w:color w:val="000000"/>
                <w:sz w:val="21"/>
                <w:szCs w:val="21"/>
                <w:highlight w:val="none"/>
                <w:u w:val="none"/>
              </w:rPr>
            </w:r>
            <w:r/>
          </w:p>
        </w:tc>
        <w:tc>
          <w:tcPr>
            <w:tcW w:w="3984" w:type="dxa"/>
            <w:vAlign w:val="center"/>
            <w:vMerge w:val="restart"/>
            <w:textDirection w:val="lrTb"/>
            <w:noWrap w:val="false"/>
          </w:tcPr>
          <w:p>
            <w:pPr>
              <w:pStyle w:val="1025"/>
              <w:tabs>
                <w:tab w:val="left" w:pos="567" w:leader="none"/>
              </w:tabs>
              <w:rPr>
                <w:rFonts w:hint="eastAsia"/>
                <w:color w:val="000000"/>
                <w:highlight w:val="none"/>
              </w:rPr>
            </w:pPr>
            <w:r>
              <w:rPr>
                <w:rFonts w:hint="eastAsia" w:ascii="宋体" w:hAnsi="宋体" w:eastAsia="宋体" w:cs="宋体"/>
                <w:b/>
                <w:bCs/>
                <w:i w:val="0"/>
                <w:iCs w:val="0"/>
                <w:color w:val="000000"/>
                <w:sz w:val="21"/>
                <w:szCs w:val="21"/>
                <w:highlight w:val="none"/>
                <w:u w:val="none"/>
                <w:lang w:val="en-US" w:eastAsia="zh-CN" w:bidi="ar"/>
              </w:rPr>
              <w:t xml:space="preserve">磋商报价包含竞争性磋商文件所确定的采购范围相应服务的提供、车辆费、运费、电费、维修费、工具费、垃圾处理费、交通事故、违章处罚、人员（包括工资和补贴）、办公场所及设施、肥料、农药、草花（</w:t>
            </w:r>
            <w:r>
              <w:rPr>
                <w:rFonts w:hint="eastAsia" w:ascii="宋体" w:hAnsi="宋体" w:eastAsia="宋体" w:cs="宋体"/>
                <w:b/>
                <w:bCs/>
                <w:i w:val="0"/>
                <w:iCs w:val="0"/>
                <w:color w:val="000000"/>
                <w:sz w:val="21"/>
                <w:szCs w:val="21"/>
                <w:highlight w:val="none"/>
                <w:u w:val="none"/>
                <w:lang w:val="en-US" w:eastAsia="zh-CN" w:bidi="ar"/>
              </w:rPr>
              <w:t xml:space="preserve">水源自行解决）、保险、劳保、管理、各种税费、利润、税金、政策性文件规定及合同包含的所有风险、责任等各项应有费用，以及为完成该项服务项目所涉及到的一切相关费用，采购人不再支付其他任何费用。上述未列明，但投标供应商认为所需的其他费用也包含在内，采购人不接受投标供应商任何因遗漏报价而发生的费用追加。投标供应商应考虑合同期内的物价、政策等所有风险因素，在投标时自行预测并纳入投标总价中。如国家出台最低基本工资和最低社会保险缴纳基数标准等规定，成交供应商应保障服务人员的基本法定待遇，但采购人并不为此支付增加的有关费用。</w:t>
            </w:r>
            <w:r>
              <w:rPr>
                <w:rFonts w:hint="eastAsia"/>
                <w:color w:val="000000"/>
                <w:highlight w:val="none"/>
              </w:rPr>
            </w:r>
            <w:r/>
          </w:p>
        </w:tc>
      </w:tr>
      <w:tr>
        <w:trPr>
          <w:trHeight w:val="656"/>
        </w:trPr>
        <w:tc>
          <w:tcPr>
            <w:tcW w:w="1062" w:type="dxa"/>
            <w:vAlign w:val="center"/>
            <w:vMerge w:val="restart"/>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01郑陆片绿化管护项目</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A</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最低人员工资</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12人</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716"/>
        </w:trPr>
        <w:tc>
          <w:tcPr>
            <w:tcW w:w="1062" w:type="dxa"/>
            <w:vAlign w:val="center"/>
            <w:vMerge w:val="continue"/>
            <w:textDirection w:val="lrTb"/>
            <w:noWrap w:val="false"/>
          </w:tcPr>
          <w:p>
            <w:pPr>
              <w:pStyle w:val="99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社会保险</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12人</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692"/>
        </w:trPr>
        <w:tc>
          <w:tcPr>
            <w:tcW w:w="1062" w:type="dxa"/>
            <w:vAlign w:val="center"/>
            <w:vMerge w:val="continue"/>
            <w:textDirection w:val="lrTb"/>
            <w:noWrap w:val="false"/>
          </w:tcPr>
          <w:p>
            <w:pPr>
              <w:pStyle w:val="99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C</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高温费</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12人</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652"/>
        </w:trPr>
        <w:tc>
          <w:tcPr>
            <w:tcW w:w="1062"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包号</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缴费项目</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人数</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655"/>
        </w:trPr>
        <w:tc>
          <w:tcPr>
            <w:tcW w:w="1062" w:type="dxa"/>
            <w:vAlign w:val="center"/>
            <w:vMerge w:val="restart"/>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02三河口片绿化管护项目</w:t>
            </w: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A</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最低人员工资</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9人</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700"/>
        </w:trPr>
        <w:tc>
          <w:tcPr>
            <w:tcW w:w="1062" w:type="dxa"/>
            <w:vAlign w:val="center"/>
            <w:vMerge w:val="continue"/>
            <w:textDirection w:val="lrTb"/>
            <w:noWrap w:val="false"/>
          </w:tcPr>
          <w:p>
            <w:pPr>
              <w:pStyle w:val="99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社会保险</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9人</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829"/>
        </w:trPr>
        <w:tc>
          <w:tcPr>
            <w:tcW w:w="1062" w:type="dxa"/>
            <w:vAlign w:val="center"/>
            <w:vMerge w:val="continue"/>
            <w:textDirection w:val="lrTb"/>
            <w:noWrap w:val="false"/>
          </w:tcPr>
          <w:p>
            <w:pPr>
              <w:pStyle w:val="99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859"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C</w:t>
            </w:r>
            <w:r>
              <w:rPr>
                <w:rFonts w:hint="eastAsia" w:ascii="宋体" w:hAnsi="宋体" w:eastAsia="宋体" w:cs="宋体"/>
                <w:b/>
                <w:bCs/>
                <w:i w:val="0"/>
                <w:iCs w:val="0"/>
                <w:color w:val="000000"/>
                <w:sz w:val="21"/>
                <w:szCs w:val="21"/>
                <w:highlight w:val="none"/>
                <w:u w:val="none"/>
              </w:rPr>
            </w:r>
            <w:r/>
          </w:p>
        </w:tc>
        <w:tc>
          <w:tcPr>
            <w:tcW w:w="201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高温费</w:t>
            </w:r>
            <w:r>
              <w:rPr>
                <w:rFonts w:hint="eastAsia" w:ascii="宋体" w:hAnsi="宋体" w:eastAsia="宋体" w:cs="宋体"/>
                <w:b/>
                <w:bCs/>
                <w:i w:val="0"/>
                <w:iCs w:val="0"/>
                <w:color w:val="000000"/>
                <w:sz w:val="21"/>
                <w:szCs w:val="21"/>
                <w:highlight w:val="none"/>
                <w:u w:val="none"/>
              </w:rPr>
            </w:r>
            <w:r/>
          </w:p>
        </w:tc>
        <w:tc>
          <w:tcPr>
            <w:tcW w:w="1321" w:type="dxa"/>
            <w:vAlign w:val="center"/>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9人</w:t>
            </w:r>
            <w:r>
              <w:rPr>
                <w:rFonts w:hint="eastAsia" w:ascii="宋体" w:hAnsi="宋体" w:eastAsia="宋体" w:cs="宋体"/>
                <w:b/>
                <w:bCs/>
                <w:i w:val="0"/>
                <w:iCs w:val="0"/>
                <w:color w:val="000000"/>
                <w:sz w:val="21"/>
                <w:szCs w:val="21"/>
                <w:highlight w:val="none"/>
                <w:u w:val="none"/>
              </w:rPr>
            </w:r>
            <w:r/>
          </w:p>
        </w:tc>
        <w:tc>
          <w:tcPr>
            <w:tcW w:w="3984" w:type="dxa"/>
            <w:vAlign w:val="center"/>
            <w:vMerge w:val="continue"/>
            <w:textDirection w:val="lrTb"/>
            <w:noWrap w:val="false"/>
          </w:tcPr>
          <w:p>
            <w:pPr>
              <w:pStyle w:val="99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bl>
    <w:p>
      <w:pPr>
        <w:pStyle w:val="994"/>
        <w:spacing w:line="360" w:lineRule="exact"/>
        <w:tabs>
          <w:tab w:val="left" w:pos="284"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注：1.投标供应商在配置养护人员时不得少于上述人员费用测算表的最低人员配置。</w:t>
      </w:r>
      <w:r>
        <w:rPr>
          <w:rFonts w:hint="eastAsia" w:ascii="宋体" w:hAnsi="宋体" w:eastAsia="宋体" w:cs="宋体"/>
          <w:b/>
          <w:bCs/>
          <w:color w:val="000000"/>
          <w:szCs w:val="21"/>
          <w:highlight w:val="none"/>
          <w:lang w:val="en-US" w:eastAsia="zh-CN"/>
        </w:rPr>
      </w:r>
      <w:r/>
    </w:p>
    <w:p>
      <w:pPr>
        <w:pStyle w:val="994"/>
        <w:ind w:firstLine="422"/>
        <w:jc w:val="left"/>
        <w:keepLines w:val="0"/>
        <w:keepNext w:val="0"/>
        <w:pageBreakBefore w:val="0"/>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工资标准不低于常州市最低工资标准2660</w:t>
      </w:r>
      <w:r>
        <w:rPr>
          <w:rFonts w:hint="eastAsia" w:ascii="宋体" w:hAnsi="宋体" w:eastAsia="宋体" w:cs="宋体"/>
          <w:b/>
          <w:bCs/>
          <w:color w:val="000000"/>
          <w:szCs w:val="21"/>
          <w:highlight w:val="none"/>
          <w:lang w:val="en-US" w:eastAsia="zh-CN"/>
        </w:rPr>
        <w:t xml:space="preserve">元/月/人</w:t>
      </w:r>
      <w:r>
        <w:rPr>
          <w:rFonts w:hint="eastAsia" w:ascii="宋体" w:hAnsi="宋体" w:eastAsia="宋体" w:cs="宋体"/>
          <w:b/>
          <w:bCs/>
          <w:color w:val="000000"/>
          <w:szCs w:val="21"/>
          <w:highlight w:val="none"/>
        </w:rPr>
        <w:t xml:space="preserve">；社保月缴费基数不得低于常州市最低标准</w:t>
      </w:r>
      <w:r>
        <w:rPr>
          <w:rFonts w:hint="eastAsia" w:ascii="宋体" w:hAnsi="宋体" w:eastAsia="宋体" w:cs="宋体"/>
          <w:b/>
          <w:bCs/>
          <w:color w:val="000000"/>
          <w:szCs w:val="21"/>
          <w:highlight w:val="none"/>
          <w:lang w:val="en-US" w:eastAsia="zh-CN"/>
        </w:rPr>
        <w:t xml:space="preserve">4952元/月/人</w:t>
      </w:r>
      <w:r>
        <w:rPr>
          <w:rFonts w:hint="eastAsia" w:ascii="宋体" w:hAnsi="宋体" w:eastAsia="宋体" w:cs="宋体"/>
          <w:b/>
          <w:bCs/>
          <w:color w:val="000000"/>
          <w:szCs w:val="21"/>
          <w:highlight w:val="none"/>
        </w:rPr>
        <w:t xml:space="preserve">，缴费比例</w:t>
      </w:r>
      <w:r>
        <w:rPr>
          <w:rFonts w:hint="eastAsia" w:ascii="宋体" w:hAnsi="宋体" w:eastAsia="宋体" w:cs="宋体"/>
          <w:b/>
          <w:bCs/>
          <w:color w:val="000000"/>
          <w:szCs w:val="21"/>
          <w:highlight w:val="none"/>
          <w:lang w:val="en-US" w:eastAsia="zh-CN"/>
        </w:rPr>
        <w:t xml:space="preserve">按主管部门核定的比例填报</w:t>
      </w:r>
      <w:r>
        <w:rPr>
          <w:rFonts w:hint="eastAsia" w:ascii="宋体" w:hAnsi="宋体" w:eastAsia="宋体" w:cs="宋体"/>
          <w:b/>
          <w:bCs/>
          <w:color w:val="000000"/>
          <w:szCs w:val="21"/>
          <w:highlight w:val="none"/>
        </w:rPr>
        <w:t xml:space="preserve">；高温费按不低于1200元/人•年计算。</w:t>
      </w:r>
      <w:r>
        <w:rPr>
          <w:rFonts w:hint="eastAsia" w:ascii="宋体" w:hAnsi="宋体" w:eastAsia="宋体" w:cs="宋体"/>
          <w:b/>
          <w:bCs/>
          <w:color w:val="000000"/>
          <w:szCs w:val="21"/>
          <w:highlight w:val="none"/>
          <w:lang w:val="en-US" w:eastAsia="zh-CN"/>
        </w:rPr>
        <w:t xml:space="preserve">（本项为实质性要求）。</w:t>
      </w:r>
      <w:r>
        <w:rPr>
          <w:rFonts w:hint="eastAsia" w:ascii="宋体" w:hAnsi="宋体" w:eastAsia="宋体" w:cs="宋体"/>
          <w:b/>
          <w:bCs/>
          <w:color w:val="000000"/>
          <w:sz w:val="21"/>
          <w:szCs w:val="21"/>
          <w:highlight w:val="none"/>
          <w:lang w:eastAsia="zh-CN"/>
        </w:rPr>
      </w:r>
      <w:r/>
    </w:p>
    <w:p>
      <w:pPr>
        <w:pStyle w:val="994"/>
        <w:ind w:firstLine="422"/>
        <w:keepLines w:val="0"/>
        <w:keepNext w:val="0"/>
        <w:pageBreakBefore w:val="0"/>
        <w:spacing w:line="380" w:lineRule="exact"/>
        <w:tabs>
          <w:tab w:val="left" w:pos="284" w:leader="none"/>
        </w:tabs>
        <w:rPr>
          <w:rFonts w:hint="eastAsia" w:ascii="宋体" w:hAnsi="宋体" w:eastAsia="宋体" w:cs="宋体"/>
          <w:b/>
          <w:color w:val="000000"/>
          <w:sz w:val="21"/>
          <w:szCs w:val="21"/>
          <w:highlight w:val="none"/>
        </w:rPr>
      </w:pPr>
      <w:r/>
      <w:bookmarkStart w:id="672" w:name="_Hlk168319726"/>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低于上述任何一项测算标准报价的，按无效响应文件处理。投标报价不得以其他任何形式进行贴补，否则按无效响应文件处理。</w:t>
      </w:r>
      <w:r>
        <w:rPr>
          <w:rFonts w:hint="eastAsia" w:ascii="宋体" w:hAnsi="宋体" w:eastAsia="宋体" w:cs="宋体"/>
          <w:b/>
          <w:color w:val="000000"/>
          <w:sz w:val="21"/>
          <w:szCs w:val="21"/>
          <w:highlight w:val="none"/>
        </w:rPr>
      </w:r>
      <w:r/>
    </w:p>
    <w:p>
      <w:pPr>
        <w:pStyle w:val="994"/>
        <w:ind w:firstLine="420"/>
        <w:spacing w:line="360" w:lineRule="exact"/>
        <w:tabs>
          <w:tab w:val="left" w:pos="284" w:leader="none"/>
        </w:tabs>
        <w:rPr>
          <w:rFonts w:hint="eastAsia" w:ascii="宋体" w:hAnsi="宋体" w:eastAsia="宋体" w:cs="宋体"/>
          <w:color w:val="000000"/>
          <w:szCs w:val="21"/>
          <w:highlight w:val="none"/>
          <w:lang w:val="en-US" w:eastAsia="zh-CN"/>
        </w:rPr>
      </w:pPr>
      <w:r/>
      <w:bookmarkEnd w:id="672"/>
      <w:r>
        <w:rPr>
          <w:rFonts w:hint="eastAsia" w:ascii="宋体" w:hAnsi="宋体" w:eastAsia="宋体" w:cs="宋体"/>
          <w:color w:val="000000"/>
          <w:szCs w:val="21"/>
          <w:highlight w:val="none"/>
          <w:lang w:val="en-US" w:eastAsia="zh-CN"/>
        </w:rPr>
      </w:r>
      <w:r/>
    </w:p>
    <w:p>
      <w:pPr>
        <w:pStyle w:val="1091"/>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91"/>
        <w:numPr>
          <w:ilvl w:val="0"/>
          <w:numId w:val="0"/>
        </w:numPr>
        <w:contextualSpacing/>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spacing w:line="440" w:lineRule="exact"/>
        <w:rPr>
          <w:rFonts w:ascii="宋体" w:hAnsi="宋体" w:cs="宋体"/>
          <w:b/>
          <w:bCs/>
          <w:color w:val="000000"/>
          <w:szCs w:val="21"/>
          <w:highlight w:val="none"/>
        </w:rPr>
      </w:pPr>
      <w:r/>
      <w:bookmarkEnd w:id="670"/>
      <w:r/>
      <w:bookmarkEnd w:id="671"/>
      <w:r/>
      <w:bookmarkStart w:id="673" w:name="_Toc104818929"/>
      <w:r>
        <w:rPr>
          <w:b/>
          <w:color w:val="000000"/>
          <w:sz w:val="32"/>
          <w:szCs w:val="32"/>
          <w:highlight w:val="none"/>
        </w:rPr>
        <w:br w:type="page" w:clear="all"/>
      </w:r>
      <w:r>
        <w:rPr>
          <w:rFonts w:hint="eastAsia" w:ascii="宋体" w:hAnsi="宋体" w:cs="宋体"/>
          <w:b/>
          <w:bCs/>
          <w:color w:val="000000"/>
          <w:szCs w:val="21"/>
          <w:highlight w:val="none"/>
        </w:rPr>
        <w:t xml:space="preserve">考核办法：</w:t>
      </w:r>
      <w:r>
        <w:rPr>
          <w:rFonts w:ascii="宋体" w:hAnsi="宋体" w:cs="宋体"/>
          <w:b/>
          <w:bCs/>
          <w:color w:val="000000"/>
          <w:szCs w:val="21"/>
          <w:highlight w:val="none"/>
        </w:rPr>
      </w:r>
      <w:r/>
    </w:p>
    <w:p>
      <w:pPr>
        <w:pStyle w:val="994"/>
        <w:ind w:firstLine="422"/>
        <w:jc w:val="center"/>
        <w:spacing w:line="440" w:lineRule="exact"/>
        <w:rPr>
          <w:rFonts w:ascii="宋体" w:hAnsi="宋体" w:cs="宋体"/>
          <w:b/>
          <w:bCs/>
          <w:color w:val="000000"/>
          <w:szCs w:val="21"/>
          <w:highlight w:val="none"/>
        </w:rPr>
      </w:pPr>
      <w:r/>
      <w:bookmarkStart w:id="674" w:name="_Toc184327615"/>
      <w:r>
        <w:rPr>
          <w:rFonts w:hint="eastAsia" w:ascii="宋体" w:hAnsi="宋体" w:cs="宋体"/>
          <w:b/>
          <w:bCs/>
          <w:color w:val="000000"/>
          <w:szCs w:val="21"/>
          <w:highlight w:val="none"/>
        </w:rPr>
        <w:t xml:space="preserve">镇级绿化管护考核办法</w:t>
      </w:r>
      <w:bookmarkEnd w:id="674"/>
      <w:r>
        <w:rPr>
          <w:rFonts w:ascii="宋体" w:hAnsi="宋体" w:cs="宋体"/>
          <w:b/>
          <w:bCs/>
          <w:color w:val="000000"/>
          <w:szCs w:val="21"/>
          <w:highlight w:val="none"/>
        </w:rPr>
      </w:r>
      <w:r/>
    </w:p>
    <w:p>
      <w:pPr>
        <w:pStyle w:val="994"/>
        <w:ind w:firstLine="422"/>
        <w:spacing w:line="400" w:lineRule="exact"/>
        <w:rPr>
          <w:rFonts w:ascii="宋体" w:hAnsi="宋体" w:cs="宋体"/>
          <w:b/>
          <w:bCs/>
          <w:color w:val="000000"/>
          <w:szCs w:val="21"/>
          <w:highlight w:val="none"/>
        </w:rPr>
      </w:pPr>
      <w:r>
        <w:rPr>
          <w:rFonts w:hint="eastAsia" w:ascii="宋体" w:hAnsi="宋体" w:cs="宋体"/>
          <w:b/>
          <w:color w:val="000000"/>
          <w:szCs w:val="21"/>
          <w:highlight w:val="none"/>
        </w:rPr>
        <w:t xml:space="preserve">一、考核依据</w:t>
      </w:r>
      <w:r>
        <w:rPr>
          <w:rFonts w:ascii="宋体" w:hAnsi="宋体" w:cs="宋体"/>
          <w:b/>
          <w:bCs/>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1.甲方与乙方签订的《管护合同》；</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常政发〔2022〕113号《市政府关于进一步完善常州市城市长效综合管理考核工作的实施意见》、常城管委办〔2021〕7号《关于调整城市绿化专项考核计分办法和细则的通知》《绿化养护管理办法》《绿化养护技术规程》等文件；</w:t>
      </w:r>
      <w:r>
        <w:rPr>
          <w:rFonts w:ascii="宋体" w:hAnsi="宋体" w:cs="宋体"/>
          <w:color w:val="000000"/>
          <w:szCs w:val="21"/>
          <w:highlight w:val="none"/>
        </w:rPr>
      </w:r>
      <w:r/>
    </w:p>
    <w:p>
      <w:pPr>
        <w:pStyle w:val="994"/>
        <w:ind w:left="479"/>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3.甲方发给养护单位的《建设单位指令单》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94"/>
        <w:ind w:left="4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4.其他可以作为考核标准的法律、法规与相关文件。</w:t>
      </w:r>
      <w:r>
        <w:rPr>
          <w:rFonts w:ascii="宋体" w:hAnsi="宋体" w:cs="宋体"/>
          <w:color w:val="000000"/>
          <w:szCs w:val="21"/>
          <w:highlight w:val="none"/>
        </w:rPr>
      </w:r>
      <w:r/>
    </w:p>
    <w:p>
      <w:pPr>
        <w:pStyle w:val="994"/>
        <w:ind w:firstLine="42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二、考核方式</w:t>
      </w:r>
      <w:r>
        <w:rPr>
          <w:rFonts w:ascii="宋体" w:hAnsi="宋体" w:cs="宋体"/>
          <w:b/>
          <w:color w:val="000000"/>
          <w:szCs w:val="21"/>
          <w:highlight w:val="none"/>
        </w:rPr>
      </w:r>
      <w:r/>
    </w:p>
    <w:p>
      <w:pPr>
        <w:pStyle w:val="994"/>
        <w:ind w:firstLine="426"/>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1.管护考核小组的组成 </w:t>
      </w:r>
      <w:r>
        <w:rPr>
          <w:rFonts w:ascii="宋体" w:hAnsi="宋体" w:cs="宋体"/>
          <w:bCs/>
          <w:color w:val="000000"/>
          <w:szCs w:val="21"/>
          <w:highlight w:val="none"/>
        </w:rPr>
      </w:r>
      <w:r/>
    </w:p>
    <w:p>
      <w:pPr>
        <w:pStyle w:val="994"/>
        <w:ind w:firstLine="426"/>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管护巡查、考核小组由甲方负责组建，分日常巡查和现场考评、专项考评、市区考评等相关考评方式。</w:t>
      </w:r>
      <w:r>
        <w:rPr>
          <w:rFonts w:ascii="宋体" w:hAnsi="宋体" w:cs="宋体"/>
          <w:bCs/>
          <w:color w:val="000000"/>
          <w:szCs w:val="21"/>
          <w:highlight w:val="none"/>
        </w:rPr>
      </w:r>
      <w:r/>
    </w:p>
    <w:p>
      <w:pPr>
        <w:pStyle w:val="994"/>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2.定期、不定期等考核方式。</w:t>
      </w:r>
      <w:r>
        <w:rPr>
          <w:rFonts w:ascii="宋体" w:hAnsi="宋体" w:cs="宋体"/>
          <w:bCs/>
          <w:color w:val="000000"/>
          <w:szCs w:val="21"/>
          <w:highlight w:val="none"/>
        </w:rPr>
      </w:r>
      <w:r/>
    </w:p>
    <w:p>
      <w:pPr>
        <w:pStyle w:val="994"/>
        <w:ind w:firstLine="426"/>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甲方组织的绿化日常巡查、现场考评、专项考核，不定期、不定路段，每月至少组织一次现场综合考核。</w:t>
      </w:r>
      <w:r>
        <w:rPr>
          <w:rFonts w:ascii="宋体" w:hAnsi="宋体" w:cs="宋体"/>
          <w:bCs/>
          <w:color w:val="000000"/>
          <w:szCs w:val="21"/>
          <w:highlight w:val="none"/>
        </w:rPr>
      </w:r>
      <w:r/>
    </w:p>
    <w:p>
      <w:pPr>
        <w:pStyle w:val="994"/>
        <w:ind w:firstLine="426"/>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3.每月汇总全部考核内容，考核组将召开月度管护工作会议，会议中将对管护工作进行总结、评价，并发出《镇级管护单位考核表》（该表格作为养护费用的支付依据），同时布置下月工作重点。</w:t>
      </w:r>
      <w:r>
        <w:rPr>
          <w:rFonts w:ascii="宋体" w:hAnsi="宋体" w:cs="宋体"/>
          <w:bCs/>
          <w:color w:val="000000"/>
          <w:szCs w:val="21"/>
          <w:highlight w:val="none"/>
        </w:rPr>
      </w:r>
      <w:r/>
    </w:p>
    <w:p>
      <w:pPr>
        <w:pStyle w:val="994"/>
        <w:ind w:firstLine="420"/>
        <w:spacing w:line="400" w:lineRule="exact"/>
        <w:rPr>
          <w:rFonts w:ascii="宋体" w:hAnsi="宋体" w:cs="宋体"/>
          <w:b/>
          <w:color w:val="000000"/>
          <w:szCs w:val="21"/>
          <w:highlight w:val="none"/>
        </w:rPr>
      </w:pP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管护考核纪律</w:t>
      </w:r>
      <w:r>
        <w:rPr>
          <w:rFonts w:ascii="宋体" w:hAnsi="宋体" w:cs="宋体"/>
          <w:b/>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1.乙方项目负责人须参加月度工作会议，不得缺席。如确有情况必须请假的，应在会议前24小时书面请假。否则扣款500元/次。</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Cs/>
          <w:color w:val="000000"/>
          <w:szCs w:val="21"/>
          <w:highlight w:val="none"/>
        </w:rPr>
        <w:t xml:space="preserve">镇级管护单位考核汇总表</w:t>
      </w:r>
      <w:r>
        <w:rPr>
          <w:rFonts w:hint="eastAsia" w:ascii="宋体" w:hAnsi="宋体" w:cs="宋体"/>
          <w:color w:val="000000"/>
          <w:szCs w:val="21"/>
          <w:highlight w:val="none"/>
        </w:rPr>
        <w:t xml:space="preserve">》须乙方项目负责人签字确认。如无正当理由拒绝签字的，由考评小组全体签字确认为准。</w:t>
      </w:r>
      <w:r>
        <w:rPr>
          <w:rFonts w:ascii="宋体" w:hAnsi="宋体" w:cs="宋体"/>
          <w:color w:val="000000"/>
          <w:szCs w:val="21"/>
          <w:highlight w:val="none"/>
        </w:rPr>
      </w:r>
      <w:r/>
    </w:p>
    <w:p>
      <w:pPr>
        <w:pStyle w:val="994"/>
        <w:ind w:firstLine="424"/>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四、考核方法</w:t>
      </w:r>
      <w:r>
        <w:rPr>
          <w:rFonts w:ascii="宋体" w:hAnsi="宋体" w:cs="宋体"/>
          <w:b/>
          <w:bCs/>
          <w:color w:val="000000"/>
          <w:szCs w:val="21"/>
          <w:highlight w:val="none"/>
        </w:rPr>
      </w:r>
      <w:r/>
    </w:p>
    <w:p>
      <w:pPr>
        <w:pStyle w:val="994"/>
        <w:ind w:firstLine="31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（一）考核原则</w:t>
      </w:r>
      <w:r>
        <w:rPr>
          <w:rFonts w:ascii="宋体" w:hAnsi="宋体" w:cs="宋体"/>
          <w:b/>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1.全面履行原则：管护作业单位应全面、按时履行合同义务。</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2.确保质量原则：管护作业单位的工作必须是有效的，即符合作业技术规范要求和绿化生长客观规律。</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积极主动原则：管护作业单位应积极主动的开展工作，工作思路清晰，效率高，养护作业效果明显，有亮点。而不是仅仅机械、被动地执行建设单位的指令，等靠建设单位的安排，更不能消极怠工，有意拖延、抵触任务。</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4.确保人员、机具原则：管护作业是一项劳动密集型的工作。管护作业单位应确保作业工人的人数和作业机具的正常使用，特别是在繁忙季节和有突击任务时。</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确保安全、文明施工原则。管护作业应注意自身和第三方的应注意施工操作人员和行人的安全，注意不损害周边市政设施和建筑物，不影响市容环境。做好各项围护、防护措施，配合城建部门的管理。发生安全文明事故的，由作业单位负责，建设单位有权根据危害情况扣分。</w:t>
      </w:r>
      <w:r>
        <w:rPr>
          <w:rFonts w:ascii="宋体" w:hAnsi="宋体" w:cs="宋体"/>
          <w:color w:val="000000"/>
          <w:szCs w:val="21"/>
          <w:highlight w:val="none"/>
        </w:rPr>
      </w:r>
      <w:r/>
    </w:p>
    <w:p>
      <w:pPr>
        <w:pStyle w:val="994"/>
        <w:ind w:left="-315" w:firstLine="63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（二）考核操作办法</w:t>
      </w:r>
      <w:r>
        <w:rPr>
          <w:rFonts w:ascii="宋体" w:hAnsi="宋体" w:cs="宋体"/>
          <w:b/>
          <w:color w:val="000000"/>
          <w:szCs w:val="21"/>
          <w:highlight w:val="none"/>
        </w:rPr>
      </w:r>
      <w:r/>
    </w:p>
    <w:p>
      <w:pPr>
        <w:pStyle w:val="99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服务经费结算与考核成绩挂钩。每年从项目服务经费中抽出10%作为绩效考核费用，按月考核合同期满结算。若考核扣款等于或大于10%的按10%扣款。项目服务完成，结算考核扣款后将剩余部分凭有效发票一次性结算给乙方。</w:t>
      </w:r>
      <w:r>
        <w:rPr>
          <w:rFonts w:hint="eastAsia" w:ascii="宋体" w:hAnsi="宋体" w:eastAsia="宋体" w:cs="宋体"/>
          <w:color w:val="000000"/>
          <w:szCs w:val="21"/>
          <w:highlight w:val="none"/>
        </w:rPr>
      </w:r>
      <w:r/>
    </w:p>
    <w:p>
      <w:pPr>
        <w:pStyle w:val="99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体考核为：根据常政发〔2022〕113号《市政府关于进一步完善常州市城市长效综合管理考核工作的实施意见》、常城管委办〔2022〕11号《常州市城市管理委员会办公室关于印发《常州市城市长效综合管理专项考核标准及扣分细则》的通知》结合实际，</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1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市级下派问题（包括市考评、市领导派发、媒体曝光、12345）每1张工单扣款5000元。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2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区级下派问题（包括区考评、区领导派发）每1张工单扣款2000元。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3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③</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镇领导下派及群众举报问题每1张工单扣款1000元。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4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④</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镇级现场综合考核，每一个问题扣500元。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5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⑤</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日常考核（一体化平台派单及微信工作群派单）为即时整改考核，在规定的时间和整改要求内将问题整改到位的不扣款，超时整改的每1张工单扣500元，超时不整改的每张工单扣500元，并承担整改费用。但即时整改工单每天不得超过10个，每超一个扣 100元。 </w:t>
      </w:r>
      <w:r>
        <w:rPr>
          <w:rFonts w:hint="eastAsia" w:ascii="宋体" w:hAnsi="宋体" w:eastAsia="宋体" w:cs="宋体"/>
          <w:color w:val="000000"/>
          <w:szCs w:val="21"/>
          <w:highlight w:val="none"/>
        </w:rPr>
      </w:r>
      <w:r/>
    </w:p>
    <w:p>
      <w:pPr>
        <w:pStyle w:val="994"/>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1025"/>
        <w:jc w:val="center"/>
        <w:tabs>
          <w:tab w:val="left" w:pos="567" w:leader="none"/>
        </w:tabs>
        <w:rPr>
          <w:color w:val="000000"/>
          <w:highlight w:val="none"/>
        </w:rPr>
      </w:pPr>
      <w:r>
        <w:rPr>
          <w:rFonts w:hint="eastAsia"/>
          <w:color w:val="000000"/>
          <w:highlight w:val="none"/>
        </w:rPr>
        <mc:AlternateContent>
          <mc:Choice Requires="wpg">
            <w:drawing>
              <wp:inline xmlns:wp="http://schemas.openxmlformats.org/drawingml/2006/wordprocessingDrawing" distT="0" distB="0" distL="0" distR="0">
                <wp:extent cx="5274310" cy="74771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4310" cy="747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588.8pt;mso-wrap-distance-left:0.0pt;mso-wrap-distance-top:0.0pt;mso-wrap-distance-right:0.0pt;mso-wrap-distance-bottom:0.0pt;" stroked="f">
                <v:path textboxrect="0,0,0,0"/>
                <v:imagedata r:id="rId18" o:title=""/>
              </v:shape>
            </w:pict>
          </mc:Fallback>
        </mc:AlternateContent>
      </w:r>
      <w:r>
        <w:rPr>
          <w:rFonts w:hint="eastAsia"/>
          <w:color w:val="000000"/>
          <w:highlight w:val="none"/>
        </w:rPr>
        <mc:AlternateContent>
          <mc:Choice Requires="wpg">
            <w:drawing>
              <wp:inline xmlns:wp="http://schemas.openxmlformats.org/drawingml/2006/wordprocessingDrawing" distT="0" distB="0" distL="0" distR="0">
                <wp:extent cx="5274310" cy="74771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74310" cy="747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588.8pt;mso-wrap-distance-left:0.0pt;mso-wrap-distance-top:0.0pt;mso-wrap-distance-right:0.0pt;mso-wrap-distance-bottom:0.0pt;" stroked="f">
                <v:path textboxrect="0,0,0,0"/>
                <v:imagedata r:id="rId19" o:title=""/>
              </v:shape>
            </w:pict>
          </mc:Fallback>
        </mc:AlternateContent>
      </w:r>
      <w:r>
        <w:rPr>
          <w:color w:val="000000"/>
          <w:highlight w:val="none"/>
        </w:rPr>
      </w:r>
      <w:r/>
    </w:p>
    <w:p>
      <w:pPr>
        <w:pStyle w:val="1025"/>
        <w:tabs>
          <w:tab w:val="left" w:pos="567" w:leader="none"/>
        </w:tabs>
        <w:rPr>
          <w:color w:val="000000"/>
          <w:highlight w:val="none"/>
        </w:rPr>
      </w:pPr>
      <w:r>
        <w:rPr>
          <w:color w:val="000000"/>
          <w:highlight w:val="none"/>
        </w:rPr>
      </w:r>
      <w:r/>
    </w:p>
    <w:p>
      <w:pPr>
        <w:pStyle w:val="994"/>
        <w:ind w:firstLine="420"/>
        <w:spacing w:line="360" w:lineRule="exact"/>
        <w:tabs>
          <w:tab w:val="left" w:pos="284" w:leader="none"/>
        </w:tabs>
        <w:rPr>
          <w:rFonts w:ascii="宋体" w:hAnsi="宋体" w:cs="宋体"/>
          <w:color w:val="000000"/>
          <w:szCs w:val="21"/>
          <w:highlight w:val="none"/>
        </w:rPr>
      </w:pPr>
      <w:r>
        <w:rPr>
          <w:rFonts w:ascii="宋体" w:hAnsi="宋体" w:cs="宋体"/>
          <w:color w:val="000000"/>
          <w:szCs w:val="21"/>
          <w:highlight w:val="none"/>
        </w:rPr>
      </w:r>
      <w:r/>
    </w:p>
    <w:p>
      <w:pPr>
        <w:pStyle w:val="994"/>
        <w:ind w:firstLine="606"/>
        <w:jc w:val="center"/>
        <w:spacing w:line="72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1025"/>
        <w:jc w:val="both"/>
        <w:tabs>
          <w:tab w:val="left" w:pos="567" w:leader="none"/>
        </w:tabs>
        <w:rPr>
          <w:rFonts w:hint="eastAsia"/>
          <w:color w:val="000000"/>
          <w:highlight w:val="none"/>
        </w:rPr>
      </w:pPr>
      <w:r>
        <w:rPr>
          <w:rFonts w:hint="eastAsia" w:cs="宋体"/>
          <w:color w:val="000000"/>
          <w:szCs w:val="21"/>
          <w:highlight w:val="none"/>
        </w:rPr>
        <mc:AlternateContent>
          <mc:Choice Requires="wpg">
            <w:drawing>
              <wp:inline xmlns:wp="http://schemas.openxmlformats.org/drawingml/2006/wordprocessingDrawing" distT="0" distB="0" distL="0" distR="0">
                <wp:extent cx="5759120" cy="408701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59120" cy="40870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321.8pt;mso-wrap-distance-left:0.0pt;mso-wrap-distance-top:0.0pt;mso-wrap-distance-right:0.0pt;mso-wrap-distance-bottom:0.0pt;" stroked="f">
                <v:path textboxrect="0,0,0,0"/>
                <v:imagedata r:id="rId20" o:title=""/>
              </v:shape>
            </w:pict>
          </mc:Fallback>
        </mc:AlternateContent>
      </w:r>
      <w:r>
        <w:rPr>
          <w:rFonts w:hint="eastAsia" w:cs="宋体"/>
          <w:color w:val="000000"/>
          <w:szCs w:val="21"/>
          <w:highlight w:val="none"/>
        </w:rPr>
        <mc:AlternateContent>
          <mc:Choice Requires="wpg">
            <w:drawing>
              <wp:inline xmlns:wp="http://schemas.openxmlformats.org/drawingml/2006/wordprocessingDrawing" distT="0" distB="0" distL="0" distR="0">
                <wp:extent cx="5764822" cy="408701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64822" cy="40870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9pt;height:321.8pt;mso-wrap-distance-left:0.0pt;mso-wrap-distance-top:0.0pt;mso-wrap-distance-right:0.0pt;mso-wrap-distance-bottom:0.0pt;" stroked="f">
                <v:path textboxrect="0,0,0,0"/>
                <v:imagedata r:id="rId21" o:title=""/>
              </v:shape>
            </w:pict>
          </mc:Fallback>
        </mc:AlternateContent>
      </w:r>
      <w:r>
        <w:rPr>
          <w:color w:val="000000"/>
          <w:highlight w:val="none"/>
        </w:rPr>
        <mc:AlternateContent>
          <mc:Choice Requires="wpg">
            <w:drawing>
              <wp:inline xmlns:wp="http://schemas.openxmlformats.org/drawingml/2006/wordprocessingDrawing" distT="0" distB="0" distL="0" distR="0">
                <wp:extent cx="5632450" cy="399224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632450" cy="399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3.5pt;height:314.3pt;mso-wrap-distance-left:0.0pt;mso-wrap-distance-top:0.0pt;mso-wrap-distance-right:0.0pt;mso-wrap-distance-bottom:0.0pt;" stroked="f">
                <v:path textboxrect="0,0,0,0"/>
                <v:imagedata r:id="rId22" o:title=""/>
              </v:shape>
            </w:pict>
          </mc:Fallback>
        </mc:AlternateContent>
      </w:r>
      <w:r>
        <w:rPr>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5635625" cy="39941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635625" cy="399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3.8pt;height:314.5pt;mso-wrap-distance-left:0.0pt;mso-wrap-distance-top:0.0pt;mso-wrap-distance-right:0.0pt;mso-wrap-distance-bottom:0.0pt;" stroked="f">
                <v:path textboxrect="0,0,0,0"/>
                <v:imagedata r:id="rId23" o:title=""/>
              </v:shape>
            </w:pict>
          </mc:Fallback>
        </mc:AlternateContent>
      </w:r>
      <w:r>
        <w:rPr>
          <w:rFonts w:hint="eastAsia"/>
          <w:color w:val="000000"/>
          <w:highlight w:val="none"/>
        </w:rPr>
      </w:r>
      <w:r/>
    </w:p>
    <w:p>
      <w:pPr>
        <w:pStyle w:val="994"/>
        <w:rPr>
          <w:rFonts w:hint="eastAsia"/>
          <w:color w:val="000000"/>
          <w:highlight w:val="none"/>
        </w:rPr>
      </w:pPr>
      <w:r>
        <w:rPr>
          <w:rFonts w:hint="eastAsia"/>
          <w:color w:val="000000"/>
          <w:highlight w:val="none"/>
        </w:rPr>
      </w:r>
      <w:r/>
    </w:p>
    <w:p>
      <w:pPr>
        <w:pStyle w:val="994"/>
        <w:jc w:val="center"/>
        <w:spacing w:line="360" w:lineRule="auto"/>
        <w:rPr>
          <w:b/>
          <w:color w:val="000000"/>
          <w:sz w:val="36"/>
          <w:szCs w:val="36"/>
          <w:highlight w:val="none"/>
        </w:rPr>
        <w:outlineLvl w:val="0"/>
      </w:pPr>
      <w:r>
        <w:rPr>
          <w:color w:val="000000"/>
          <w:highlight w:val="none"/>
        </w:rPr>
        <mc:AlternateContent>
          <mc:Choice Requires="wpg">
            <w:drawing>
              <wp:inline xmlns:wp="http://schemas.openxmlformats.org/drawingml/2006/wordprocessingDrawing" distT="0" distB="0" distL="0" distR="0">
                <wp:extent cx="5583555" cy="395716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583555" cy="39571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9.6pt;height:311.6pt;mso-wrap-distance-left:0.0pt;mso-wrap-distance-top:0.0pt;mso-wrap-distance-right:0.0pt;mso-wrap-distance-bottom:0.0pt;" stroked="f">
                <v:path textboxrect="0,0,0,0"/>
                <v:imagedata r:id="rId24" o:title=""/>
              </v:shape>
            </w:pict>
          </mc:Fallback>
        </mc:AlternateContent>
      </w:r>
      <w:r>
        <w:rPr>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5584190" cy="395795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84190" cy="3957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39.7pt;height:311.6pt;mso-wrap-distance-left:0.0pt;mso-wrap-distance-top:0.0pt;mso-wrap-distance-right:0.0pt;mso-wrap-distance-bottom:0.0pt;" stroked="f">
                <v:path textboxrect="0,0,0,0"/>
                <v:imagedata r:id="rId25" o:title=""/>
              </v:shape>
            </w:pict>
          </mc:Fallback>
        </mc:AlternateContent>
      </w:r>
      <w:r>
        <w:rPr>
          <w:b/>
          <w:color w:val="000000"/>
          <w:sz w:val="32"/>
          <w:szCs w:val="32"/>
          <w:highlight w:val="none"/>
        </w:rPr>
        <w:br w:type="page" w:clear="all"/>
      </w:r>
      <w:r>
        <w:rPr>
          <w:b/>
          <w:color w:val="000000"/>
          <w:sz w:val="32"/>
          <w:szCs w:val="32"/>
          <w:highlight w:val="none"/>
        </w:rPr>
        <w:t xml:space="preserve">第五章   合同草案条款</w:t>
      </w:r>
      <w:bookmarkEnd w:id="673"/>
      <w:r>
        <w:rPr>
          <w:b/>
          <w:color w:val="000000"/>
          <w:sz w:val="36"/>
          <w:szCs w:val="36"/>
          <w:highlight w:val="none"/>
        </w:rPr>
      </w:r>
      <w:r/>
    </w:p>
    <w:p>
      <w:pPr>
        <w:pStyle w:val="1033"/>
        <w:ind w:firstLine="422"/>
        <w:keepLines w:val="0"/>
        <w:keepNext w:val="0"/>
        <w:pageBreakBefore w:val="0"/>
        <w:spacing w:line="360" w:lineRule="exact"/>
        <w:rPr>
          <w:rFonts w:hAnsi="宋体" w:cs="宋体"/>
          <w:color w:val="000000"/>
          <w:szCs w:val="21"/>
          <w:highlight w:val="none"/>
        </w:rPr>
      </w:pPr>
      <w:r/>
      <w:bookmarkStart w:id="675" w:name="_Toc104818930"/>
      <w:r>
        <w:rPr>
          <w:rFonts w:hAnsi="宋体" w:cs="宋体"/>
          <w:b/>
          <w:color w:val="000000"/>
          <w:szCs w:val="21"/>
          <w:highlight w:val="none"/>
          <w:lang w:val="zh-CN"/>
        </w:rPr>
        <w:t xml:space="preserve">采购</w:t>
      </w:r>
      <w:r>
        <w:rPr>
          <w:rFonts w:hAnsi="宋体" w:cs="宋体"/>
          <w:b/>
          <w:color w:val="000000"/>
          <w:szCs w:val="21"/>
          <w:highlight w:val="none"/>
        </w:rPr>
        <w:t xml:space="preserve">人</w:t>
      </w:r>
      <w:r>
        <w:rPr>
          <w:rFonts w:hAnsi="宋体" w:cs="宋体"/>
          <w:b/>
          <w:color w:val="000000"/>
          <w:szCs w:val="21"/>
          <w:highlight w:val="none"/>
          <w:lang w:val="zh-CN"/>
        </w:rPr>
        <w:t xml:space="preserve">（以下称甲</w:t>
      </w:r>
      <w:r>
        <w:rPr>
          <w:rFonts w:hAnsi="宋体" w:cs="宋体"/>
          <w:b/>
          <w:color w:val="000000"/>
          <w:szCs w:val="21"/>
          <w:highlight w:val="none"/>
        </w:rPr>
        <w:t xml:space="preserve">方）:                       </w:t>
      </w:r>
      <w:r>
        <w:rPr>
          <w:rFonts w:hAnsi="宋体" w:cs="宋体"/>
          <w:color w:val="000000"/>
          <w:szCs w:val="21"/>
          <w:highlight w:val="none"/>
        </w:rPr>
        <w:t xml:space="preserve">合同编号：</w:t>
      </w:r>
      <w:r>
        <w:rPr>
          <w:rFonts w:hAnsi="宋体" w:cs="宋体"/>
          <w:color w:val="000000"/>
          <w:szCs w:val="21"/>
          <w:highlight w:val="none"/>
        </w:rPr>
      </w:r>
      <w:r/>
    </w:p>
    <w:p>
      <w:pPr>
        <w:pStyle w:val="1033"/>
        <w:ind w:firstLine="422"/>
        <w:keepLines w:val="0"/>
        <w:keepNext w:val="0"/>
        <w:pageBreakBefore w:val="0"/>
        <w:spacing w:line="360" w:lineRule="exact"/>
        <w:rPr>
          <w:rFonts w:hAnsi="宋体" w:cs="宋体"/>
          <w:color w:val="000000"/>
          <w:szCs w:val="21"/>
          <w:highlight w:val="none"/>
          <w:u w:val="single"/>
        </w:rPr>
      </w:pPr>
      <w:r>
        <w:rPr>
          <w:rFonts w:hAnsi="宋体" w:cs="宋体"/>
          <w:b/>
          <w:color w:val="000000"/>
          <w:szCs w:val="21"/>
          <w:highlight w:val="none"/>
        </w:rPr>
        <w:t xml:space="preserve">供应商（</w:t>
      </w:r>
      <w:r>
        <w:rPr>
          <w:rFonts w:hAnsi="宋体" w:cs="宋体"/>
          <w:b/>
          <w:color w:val="000000"/>
          <w:szCs w:val="21"/>
          <w:highlight w:val="none"/>
          <w:lang w:val="zh-CN"/>
        </w:rPr>
        <w:t xml:space="preserve">以下称</w:t>
      </w:r>
      <w:r>
        <w:rPr>
          <w:rFonts w:hAnsi="宋体" w:cs="宋体"/>
          <w:b/>
          <w:color w:val="000000"/>
          <w:szCs w:val="21"/>
          <w:highlight w:val="none"/>
        </w:rPr>
        <w:t xml:space="preserve">乙方）:                       </w:t>
      </w:r>
      <w:r>
        <w:rPr>
          <w:rFonts w:hAnsi="宋体" w:cs="宋体"/>
          <w:color w:val="000000"/>
          <w:szCs w:val="21"/>
          <w:highlight w:val="none"/>
        </w:rPr>
        <w:t xml:space="preserve">签订地点：</w:t>
      </w:r>
      <w:r>
        <w:rPr>
          <w:rFonts w:hAnsi="宋体" w:cs="宋体"/>
          <w:color w:val="000000"/>
          <w:szCs w:val="21"/>
          <w:highlight w:val="none"/>
          <w:u w:val="single"/>
        </w:rPr>
      </w:r>
      <w:r/>
    </w:p>
    <w:p>
      <w:pPr>
        <w:pStyle w:val="1016"/>
        <w:ind w:firstLine="5040"/>
        <w:keepLines w:val="0"/>
        <w:keepNext w:val="0"/>
        <w:pageBreakBefore w:val="0"/>
        <w:spacing w:line="360" w:lineRule="exact"/>
        <w:rPr>
          <w:rFonts w:hint="eastAsia" w:hAnsi="宋体" w:cs="宋体"/>
          <w:b/>
          <w:color w:val="000000"/>
          <w:sz w:val="21"/>
          <w:szCs w:val="21"/>
          <w:highlight w:val="none"/>
        </w:rPr>
      </w:pPr>
      <w:r>
        <w:rPr>
          <w:rFonts w:hint="eastAsia" w:hAnsi="宋体" w:cs="宋体"/>
          <w:color w:val="000000"/>
          <w:sz w:val="21"/>
          <w:szCs w:val="21"/>
          <w:highlight w:val="none"/>
        </w:rPr>
        <w:t xml:space="preserve">合同时间: </w:t>
      </w:r>
      <w:r>
        <w:rPr>
          <w:rFonts w:hint="eastAsia" w:hAnsi="宋体" w:cs="宋体"/>
          <w:color w:val="000000"/>
          <w:sz w:val="21"/>
          <w:szCs w:val="21"/>
          <w:highlight w:val="none"/>
          <w:u w:val="single"/>
        </w:rPr>
        <w:t xml:space="preserve">     年    月    日</w:t>
      </w:r>
      <w:r>
        <w:rPr>
          <w:rFonts w:hint="eastAsia" w:hAnsi="宋体" w:cs="宋体"/>
          <w:b/>
          <w:color w:val="000000"/>
          <w:sz w:val="21"/>
          <w:szCs w:val="21"/>
          <w:highlight w:val="none"/>
        </w:rPr>
      </w:r>
      <w:r/>
    </w:p>
    <w:p>
      <w:pPr>
        <w:pStyle w:val="1268"/>
        <w:ind w:firstLine="484"/>
        <w:keepLines w:val="0"/>
        <w:keepNext w:val="0"/>
        <w:pageBreakBefore w:val="0"/>
        <w:spacing w:line="360" w:lineRule="exact"/>
        <w:rPr>
          <w:rFonts w:hAnsi="宋体" w:cs="宋体"/>
          <w:color w:val="000000"/>
          <w:szCs w:val="21"/>
          <w:highlight w:val="none"/>
        </w:rPr>
      </w:pPr>
      <w:r>
        <w:rPr>
          <w:rFonts w:hAnsi="宋体" w:cs="宋体"/>
          <w:color w:val="000000"/>
          <w:szCs w:val="21"/>
          <w:highlight w:val="none"/>
        </w:rPr>
        <w:t xml:space="preserve">甲乙双方依据《中华人民共和国民法典》以及有关法律、法规的规定，经协商一致，订立本合同，以便共同遵守。</w:t>
      </w:r>
      <w:r>
        <w:rPr>
          <w:rFonts w:hAnsi="宋体" w:cs="宋体"/>
          <w:color w:val="000000"/>
          <w:szCs w:val="21"/>
          <w:highlight w:val="none"/>
        </w:rPr>
      </w:r>
      <w:r/>
    </w:p>
    <w:p>
      <w:pPr>
        <w:pStyle w:val="1268"/>
        <w:ind w:firstLine="487"/>
        <w:keepLines w:val="0"/>
        <w:keepNext w:val="0"/>
        <w:pageBreakBefore w:val="0"/>
        <w:spacing w:line="360" w:lineRule="exact"/>
        <w:rPr>
          <w:rFonts w:hAnsi="宋体" w:cs="宋体"/>
          <w:b/>
          <w:color w:val="000000"/>
          <w:szCs w:val="21"/>
          <w:highlight w:val="none"/>
        </w:rPr>
      </w:pPr>
      <w:r>
        <w:rPr>
          <w:rFonts w:hAnsi="宋体" w:cs="宋体"/>
          <w:b/>
          <w:color w:val="000000"/>
          <w:szCs w:val="21"/>
          <w:highlight w:val="none"/>
        </w:rPr>
        <w:t xml:space="preserve">第一条 合同标的</w:t>
      </w:r>
      <w:r>
        <w:rPr>
          <w:rFonts w:hAnsi="宋体" w:cs="宋体"/>
          <w:b/>
          <w:color w:val="000000"/>
          <w:szCs w:val="21"/>
          <w:highlight w:val="none"/>
        </w:rPr>
      </w:r>
      <w:r/>
    </w:p>
    <w:p>
      <w:pPr>
        <w:pStyle w:val="994"/>
        <w:ind w:firstLine="484"/>
        <w:jc w:val="left"/>
        <w:keepLines w:val="0"/>
        <w:keepNext w:val="0"/>
        <w:pageBreakBefore w:val="0"/>
        <w:spacing w:line="3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乙方根据甲方需求提供下列服务：</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系指根据合同规定乙方须承担与服务有关的所有辅助服务</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268"/>
        <w:ind w:firstLine="487"/>
        <w:keepLines w:val="0"/>
        <w:keepNext w:val="0"/>
        <w:pageBreakBefore w:val="0"/>
        <w:spacing w:line="360" w:lineRule="exact"/>
        <w:widowControl w:val="off"/>
        <w:rPr>
          <w:rFonts w:hAnsi="宋体" w:cs="宋体"/>
          <w:b/>
          <w:color w:val="000000"/>
          <w:szCs w:val="21"/>
          <w:highlight w:val="none"/>
          <w:lang w:val="en-US" w:eastAsia="zh-CN"/>
        </w:rPr>
      </w:pPr>
      <w:r>
        <w:rPr>
          <w:rFonts w:hint="eastAsia" w:hAnsi="宋体" w:cs="宋体"/>
          <w:b/>
          <w:color w:val="000000"/>
          <w:szCs w:val="21"/>
          <w:highlight w:val="none"/>
          <w:lang w:val="en-US" w:eastAsia="zh-CN"/>
        </w:rPr>
        <w:t xml:space="preserve">（一）项目管护范围：详见合同附件1。</w:t>
      </w:r>
      <w:r>
        <w:rPr>
          <w:rFonts w:hAnsi="宋体" w:cs="宋体"/>
          <w:b/>
          <w:color w:val="000000"/>
          <w:szCs w:val="21"/>
          <w:highlight w:val="none"/>
          <w:lang w:val="en-US" w:eastAsia="zh-CN"/>
        </w:rPr>
      </w:r>
      <w:r/>
    </w:p>
    <w:p>
      <w:pPr>
        <w:pStyle w:val="1268"/>
        <w:ind w:firstLine="487"/>
        <w:keepLines w:val="0"/>
        <w:keepNext w:val="0"/>
        <w:pageBreakBefore w:val="0"/>
        <w:spacing w:line="360" w:lineRule="exact"/>
        <w:widowControl w:val="off"/>
        <w:rPr>
          <w:rFonts w:hint="eastAsia" w:hAnsi="宋体" w:cs="宋体"/>
          <w:b/>
          <w:color w:val="000000"/>
          <w:szCs w:val="21"/>
          <w:highlight w:val="none"/>
          <w:lang w:val="en-US" w:eastAsia="zh-CN"/>
        </w:rPr>
      </w:pPr>
      <w:r>
        <w:rPr>
          <w:rFonts w:hint="eastAsia" w:hAnsi="宋体" w:cs="宋体"/>
          <w:b/>
          <w:color w:val="000000"/>
          <w:szCs w:val="21"/>
          <w:highlight w:val="none"/>
          <w:lang w:val="en-US" w:eastAsia="zh-CN"/>
        </w:rPr>
        <w:t xml:space="preserve">（二）养护要求</w:t>
      </w:r>
      <w:r>
        <w:rPr>
          <w:rFonts w:hint="eastAsia" w:hAnsi="宋体" w:cs="宋体"/>
          <w:b/>
          <w:color w:val="000000"/>
          <w:szCs w:val="21"/>
          <w:highlight w:val="none"/>
          <w:lang w:val="en-US" w:eastAsia="zh-CN"/>
        </w:rPr>
      </w:r>
      <w:r/>
    </w:p>
    <w:p>
      <w:pPr>
        <w:pStyle w:val="994"/>
        <w:ind w:firstLine="420"/>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按照《常州市城市绿地养护管理质量标准》、《常州市城市绿地养护技术要求》、常政发〔2022〕113号《市政府关于进一步完善常州市城市长效综合管理考核工作的实施意见》、常城管委办〔2022〕11号《常州市城市管理委员会办公室关于印发《常州市城市长效综合管理专项考核标准及扣分细则》》的通知》等相关绿化管理条例及</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指令开展养护工作。</w:t>
      </w:r>
      <w:r>
        <w:rPr>
          <w:rFonts w:hint="eastAsia" w:ascii="宋体" w:hAnsi="宋体" w:eastAsia="宋体" w:cs="宋体"/>
          <w:color w:val="000000"/>
          <w:szCs w:val="21"/>
          <w:highlight w:val="none"/>
        </w:rPr>
      </w:r>
      <w:r/>
    </w:p>
    <w:p>
      <w:pPr>
        <w:pStyle w:val="994"/>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共性管护要求：对涉及路段的所有乔木、灌木、色块、草坪等修剪、中耕除草、浇水、施肥、除虫、植保、扶正与支撑</w:t>
      </w:r>
      <w:r>
        <w:rPr>
          <w:rFonts w:hint="eastAsia" w:ascii="宋体" w:hAnsi="宋体" w:cs="宋体"/>
          <w:color w:val="000000"/>
          <w:szCs w:val="21"/>
          <w:highlight w:val="none"/>
        </w:rPr>
        <w:t xml:space="preserve">、防寒与保暖、死树杂物和绿化残留物的清理、空秃补种以及绿化现场的巡查，对香樟养护段全线托高一次，并进行每季度至少一次以上落叶的清理，形成绿化管护巡查等文档资料。</w:t>
      </w:r>
      <w:r>
        <w:rPr>
          <w:rFonts w:hint="eastAsia" w:ascii="宋体" w:hAnsi="宋体" w:cs="宋体"/>
          <w:color w:val="000000"/>
          <w:szCs w:val="21"/>
          <w:highlight w:val="none"/>
        </w:rPr>
      </w:r>
      <w:r/>
    </w:p>
    <w:p>
      <w:pPr>
        <w:pStyle w:val="1025"/>
        <w:ind w:firstLine="465"/>
        <w:keepLines w:val="0"/>
        <w:keepNext w:val="0"/>
        <w:pageBreakBefore w:val="0"/>
        <w:spacing w:before="0" w:line="360" w:lineRule="exact"/>
        <w:widowControl w:val="off"/>
        <w:tabs>
          <w:tab w:val="left" w:pos="567" w:leader="none"/>
        </w:tabs>
        <w:rPr>
          <w:rFonts w:hint="eastAsia"/>
          <w:b/>
          <w:color w:val="000000"/>
          <w:sz w:val="21"/>
          <w:szCs w:val="21"/>
          <w:highlight w:val="none"/>
        </w:rPr>
      </w:pPr>
      <w:r>
        <w:rPr>
          <w:rFonts w:hint="eastAsia"/>
          <w:b/>
          <w:color w:val="000000"/>
          <w:sz w:val="21"/>
          <w:szCs w:val="21"/>
          <w:highlight w:val="none"/>
        </w:rPr>
        <w:t xml:space="preserve">3.重点管护要求：</w:t>
      </w:r>
      <w:r>
        <w:rPr>
          <w:rFonts w:hint="eastAsia"/>
          <w:b/>
          <w:color w:val="000000"/>
          <w:sz w:val="21"/>
          <w:szCs w:val="21"/>
          <w:highlight w:val="none"/>
          <w:lang w:eastAsia="zh-CN"/>
        </w:rPr>
        <w:t xml:space="preserve">（</w:t>
      </w:r>
      <w:r>
        <w:rPr>
          <w:rFonts w:hint="eastAsia"/>
          <w:b/>
          <w:color w:val="000000"/>
          <w:sz w:val="21"/>
          <w:szCs w:val="21"/>
          <w:highlight w:val="none"/>
          <w:lang w:val="en-US" w:eastAsia="zh-CN"/>
        </w:rPr>
        <w:t xml:space="preserve">1</w:t>
      </w:r>
      <w:r>
        <w:rPr>
          <w:rFonts w:hint="eastAsia"/>
          <w:b/>
          <w:color w:val="000000"/>
          <w:sz w:val="21"/>
          <w:szCs w:val="21"/>
          <w:highlight w:val="none"/>
          <w:lang w:eastAsia="zh-CN"/>
        </w:rPr>
        <w:t xml:space="preserve">）</w:t>
      </w:r>
      <w:r>
        <w:rPr>
          <w:rFonts w:hint="eastAsia"/>
          <w:b/>
          <w:color w:val="000000"/>
          <w:sz w:val="21"/>
          <w:szCs w:val="21"/>
          <w:highlight w:val="none"/>
        </w:rPr>
        <w:t xml:space="preserve">郑陆片：常焦线郑陆段香樟的全线修剪、托高</w:t>
      </w:r>
      <w:r>
        <w:rPr>
          <w:rFonts w:hint="eastAsia"/>
          <w:b/>
          <w:color w:val="000000"/>
          <w:sz w:val="21"/>
          <w:szCs w:val="21"/>
          <w:highlight w:val="none"/>
          <w:lang w:eastAsia="zh-CN"/>
        </w:rPr>
        <w:t xml:space="preserve">（</w:t>
      </w:r>
      <w:r>
        <w:rPr>
          <w:rFonts w:hint="eastAsia"/>
          <w:b/>
          <w:color w:val="000000"/>
          <w:sz w:val="21"/>
          <w:szCs w:val="21"/>
          <w:highlight w:val="none"/>
        </w:rPr>
        <w:t xml:space="preserve">保持</w:t>
      </w:r>
      <w:r>
        <w:rPr>
          <w:rFonts w:hint="eastAsia"/>
          <w:b/>
          <w:color w:val="000000"/>
          <w:sz w:val="21"/>
          <w:szCs w:val="21"/>
          <w:highlight w:val="none"/>
          <w:lang w:val="en-US" w:eastAsia="zh-CN"/>
        </w:rPr>
        <w:t xml:space="preserve">树下</w:t>
      </w:r>
      <w:r>
        <w:rPr>
          <w:rFonts w:hint="eastAsia"/>
          <w:b/>
          <w:color w:val="000000"/>
          <w:sz w:val="21"/>
          <w:szCs w:val="21"/>
          <w:highlight w:val="none"/>
        </w:rPr>
        <w:t xml:space="preserve">通透</w:t>
      </w:r>
      <w:r>
        <w:rPr>
          <w:rFonts w:hint="eastAsia"/>
          <w:b/>
          <w:color w:val="000000"/>
          <w:sz w:val="21"/>
          <w:szCs w:val="21"/>
          <w:highlight w:val="none"/>
          <w:lang w:eastAsia="zh-CN"/>
        </w:rPr>
        <w:t xml:space="preserve">）</w:t>
      </w:r>
      <w:r>
        <w:rPr>
          <w:rFonts w:hint="eastAsia"/>
          <w:b/>
          <w:color w:val="000000"/>
          <w:sz w:val="21"/>
          <w:szCs w:val="21"/>
          <w:highlight w:val="none"/>
        </w:rPr>
        <w:t xml:space="preserve">，特别是路灯两侧无遮挡</w:t>
      </w:r>
      <w:r>
        <w:rPr>
          <w:rFonts w:hint="eastAsia"/>
          <w:b/>
          <w:color w:val="000000"/>
          <w:sz w:val="21"/>
          <w:szCs w:val="21"/>
          <w:highlight w:val="none"/>
          <w:lang w:eastAsia="zh-CN"/>
        </w:rPr>
        <w:t xml:space="preserve">，</w:t>
      </w:r>
      <w:r>
        <w:rPr>
          <w:rFonts w:hint="eastAsia"/>
          <w:b/>
          <w:color w:val="000000"/>
          <w:sz w:val="21"/>
          <w:szCs w:val="21"/>
          <w:highlight w:val="none"/>
        </w:rPr>
        <w:t xml:space="preserve">12月份前清理机器河、季子公园河道、舜杰路南侧河道两边的芦苇、杂树。</w:t>
      </w:r>
      <w:r>
        <w:rPr>
          <w:rFonts w:hint="eastAsia"/>
          <w:b/>
          <w:color w:val="000000"/>
          <w:sz w:val="21"/>
          <w:szCs w:val="21"/>
          <w:highlight w:val="none"/>
          <w:lang w:eastAsia="zh-CN"/>
        </w:rPr>
        <w:t xml:space="preserve">（</w:t>
      </w:r>
      <w:r>
        <w:rPr>
          <w:rFonts w:hint="eastAsia"/>
          <w:b/>
          <w:color w:val="000000"/>
          <w:sz w:val="21"/>
          <w:szCs w:val="21"/>
          <w:highlight w:val="none"/>
          <w:lang w:val="en-US" w:eastAsia="zh-CN"/>
        </w:rPr>
        <w:t xml:space="preserve">2</w:t>
      </w:r>
      <w:r>
        <w:rPr>
          <w:rFonts w:hint="eastAsia"/>
          <w:b/>
          <w:color w:val="000000"/>
          <w:sz w:val="21"/>
          <w:szCs w:val="21"/>
          <w:highlight w:val="none"/>
          <w:lang w:eastAsia="zh-CN"/>
        </w:rPr>
        <w:t xml:space="preserve">）</w:t>
      </w:r>
      <w:r>
        <w:rPr>
          <w:rFonts w:hint="eastAsia"/>
          <w:b/>
          <w:color w:val="000000"/>
          <w:sz w:val="21"/>
          <w:szCs w:val="21"/>
          <w:highlight w:val="none"/>
        </w:rPr>
        <w:t xml:space="preserve">三河口片：常焦线三河口段</w:t>
      </w:r>
      <w:r>
        <w:rPr>
          <w:rFonts w:hint="eastAsia"/>
          <w:b/>
          <w:color w:val="000000"/>
          <w:sz w:val="21"/>
          <w:szCs w:val="21"/>
          <w:highlight w:val="none"/>
          <w:lang w:eastAsia="zh-CN"/>
        </w:rPr>
        <w:t xml:space="preserve">、</w:t>
      </w:r>
      <w:r>
        <w:rPr>
          <w:rFonts w:hint="eastAsia"/>
          <w:b/>
          <w:color w:val="000000"/>
          <w:sz w:val="21"/>
          <w:szCs w:val="21"/>
          <w:highlight w:val="none"/>
        </w:rPr>
        <w:t xml:space="preserve">东塘路、河丰路、河横路香樟的全线修剪、托高</w:t>
      </w:r>
      <w:r>
        <w:rPr>
          <w:rFonts w:hint="eastAsia"/>
          <w:b/>
          <w:color w:val="000000"/>
          <w:sz w:val="21"/>
          <w:szCs w:val="21"/>
          <w:highlight w:val="none"/>
          <w:lang w:eastAsia="zh-CN"/>
        </w:rPr>
        <w:t xml:space="preserve">（</w:t>
      </w:r>
      <w:r>
        <w:rPr>
          <w:rFonts w:hint="eastAsia"/>
          <w:b/>
          <w:color w:val="000000"/>
          <w:sz w:val="21"/>
          <w:szCs w:val="21"/>
          <w:highlight w:val="none"/>
        </w:rPr>
        <w:t xml:space="preserve">保持</w:t>
      </w:r>
      <w:r>
        <w:rPr>
          <w:rFonts w:hint="eastAsia"/>
          <w:b/>
          <w:color w:val="000000"/>
          <w:sz w:val="21"/>
          <w:szCs w:val="21"/>
          <w:highlight w:val="none"/>
          <w:lang w:val="en-US" w:eastAsia="zh-CN"/>
        </w:rPr>
        <w:t xml:space="preserve">树下</w:t>
      </w:r>
      <w:r>
        <w:rPr>
          <w:rFonts w:hint="eastAsia"/>
          <w:b/>
          <w:color w:val="000000"/>
          <w:sz w:val="21"/>
          <w:szCs w:val="21"/>
          <w:highlight w:val="none"/>
        </w:rPr>
        <w:t xml:space="preserve">通透</w:t>
      </w:r>
      <w:r>
        <w:rPr>
          <w:rFonts w:hint="eastAsia"/>
          <w:b/>
          <w:color w:val="000000"/>
          <w:sz w:val="21"/>
          <w:szCs w:val="21"/>
          <w:highlight w:val="none"/>
          <w:lang w:eastAsia="zh-CN"/>
        </w:rPr>
        <w:t xml:space="preserve">）</w:t>
      </w:r>
      <w:r>
        <w:rPr>
          <w:rFonts w:hint="eastAsia"/>
          <w:b/>
          <w:color w:val="000000"/>
          <w:sz w:val="21"/>
          <w:szCs w:val="21"/>
          <w:highlight w:val="none"/>
        </w:rPr>
        <w:t xml:space="preserve">，特别是路灯两侧无遮挡</w:t>
      </w:r>
      <w:r>
        <w:rPr>
          <w:rFonts w:hint="eastAsia"/>
          <w:b/>
          <w:color w:val="000000"/>
          <w:sz w:val="21"/>
          <w:szCs w:val="21"/>
          <w:highlight w:val="none"/>
          <w:lang w:eastAsia="zh-CN"/>
        </w:rPr>
        <w:t xml:space="preserve">，</w:t>
      </w:r>
      <w:r>
        <w:rPr>
          <w:rFonts w:hint="eastAsia"/>
          <w:b/>
          <w:color w:val="000000"/>
          <w:sz w:val="21"/>
          <w:szCs w:val="21"/>
          <w:highlight w:val="none"/>
        </w:rPr>
        <w:t xml:space="preserve">树下灌木及时修剪，道路两侧空地无杂草。（3）所有管护道路两侧无绿化</w:t>
      </w:r>
      <w:r>
        <w:rPr>
          <w:rFonts w:hint="eastAsia"/>
          <w:b/>
          <w:color w:val="000000"/>
          <w:sz w:val="21"/>
          <w:szCs w:val="21"/>
          <w:highlight w:val="none"/>
          <w:lang w:val="en-US" w:eastAsia="zh-CN"/>
        </w:rPr>
        <w:t xml:space="preserve">的</w:t>
      </w:r>
      <w:r>
        <w:rPr>
          <w:rFonts w:hint="eastAsia"/>
          <w:b/>
          <w:color w:val="000000"/>
          <w:sz w:val="21"/>
          <w:szCs w:val="21"/>
          <w:highlight w:val="none"/>
        </w:rPr>
        <w:t xml:space="preserve">空地需清理杂草。</w:t>
      </w:r>
      <w:r>
        <w:rPr>
          <w:rFonts w:hint="eastAsia"/>
          <w:b/>
          <w:color w:val="000000"/>
          <w:sz w:val="21"/>
          <w:szCs w:val="21"/>
          <w:highlight w:val="none"/>
        </w:rPr>
      </w:r>
      <w:r/>
    </w:p>
    <w:p>
      <w:pPr>
        <w:pStyle w:val="1025"/>
        <w:ind w:firstLine="465"/>
        <w:keepLines w:val="0"/>
        <w:keepNext w:val="0"/>
        <w:pageBreakBefore w:val="0"/>
        <w:spacing w:before="0" w:line="360" w:lineRule="exact"/>
        <w:widowControl w:val="off"/>
        <w:tabs>
          <w:tab w:val="left" w:pos="567" w:leader="none"/>
        </w:tabs>
        <w:rPr>
          <w:rFonts w:eastAsia="宋体"/>
          <w:b/>
          <w:color w:val="000000"/>
          <w:sz w:val="21"/>
          <w:szCs w:val="21"/>
          <w:highlight w:val="none"/>
          <w:lang w:val="en-US" w:eastAsia="zh-CN"/>
        </w:rPr>
      </w:pPr>
      <w:r>
        <w:rPr>
          <w:rFonts w:hint="eastAsia"/>
          <w:b/>
          <w:color w:val="000000"/>
          <w:sz w:val="21"/>
          <w:szCs w:val="21"/>
          <w:highlight w:val="none"/>
          <w:lang w:eastAsia="zh-CN"/>
        </w:rPr>
        <w:t xml:space="preserve">（</w:t>
      </w:r>
      <w:r>
        <w:rPr>
          <w:rFonts w:hint="eastAsia"/>
          <w:b/>
          <w:color w:val="000000"/>
          <w:sz w:val="21"/>
          <w:szCs w:val="21"/>
          <w:highlight w:val="none"/>
          <w:lang w:val="en-US" w:eastAsia="zh-CN"/>
        </w:rPr>
        <w:t xml:space="preserve">三</w:t>
      </w:r>
      <w:r>
        <w:rPr>
          <w:rFonts w:hint="eastAsia"/>
          <w:b/>
          <w:color w:val="000000"/>
          <w:sz w:val="21"/>
          <w:szCs w:val="21"/>
          <w:highlight w:val="none"/>
          <w:lang w:eastAsia="zh-CN"/>
        </w:rPr>
        <w:t xml:space="preserve">）</w:t>
      </w:r>
      <w:r>
        <w:rPr>
          <w:rFonts w:hint="eastAsia"/>
          <w:b/>
          <w:color w:val="000000"/>
          <w:sz w:val="21"/>
          <w:szCs w:val="21"/>
          <w:highlight w:val="none"/>
          <w:lang w:val="en-US" w:eastAsia="zh-CN"/>
        </w:rPr>
        <w:t xml:space="preserve">考核办法：详见合同附件2。</w:t>
      </w:r>
      <w:r>
        <w:rPr>
          <w:rFonts w:eastAsia="宋体"/>
          <w:b/>
          <w:color w:val="000000"/>
          <w:sz w:val="21"/>
          <w:szCs w:val="21"/>
          <w:highlight w:val="none"/>
          <w:lang w:val="en-US" w:eastAsia="zh-CN"/>
        </w:rPr>
      </w:r>
      <w:r/>
    </w:p>
    <w:p>
      <w:pPr>
        <w:pStyle w:val="1268"/>
        <w:ind w:firstLine="487"/>
        <w:keepLines w:val="0"/>
        <w:keepNext w:val="0"/>
        <w:pageBreakBefore w:val="0"/>
        <w:spacing w:line="360" w:lineRule="exact"/>
        <w:rPr>
          <w:rFonts w:hAnsi="宋体" w:cs="宋体"/>
          <w:b/>
          <w:color w:val="000000"/>
          <w:szCs w:val="21"/>
          <w:highlight w:val="none"/>
        </w:rPr>
      </w:pPr>
      <w:r>
        <w:rPr>
          <w:rFonts w:hAnsi="宋体" w:cs="宋体"/>
          <w:b/>
          <w:color w:val="000000"/>
          <w:szCs w:val="21"/>
          <w:highlight w:val="none"/>
        </w:rPr>
        <w:t xml:space="preserve">第二条 合同价格</w:t>
      </w:r>
      <w:r>
        <w:rPr>
          <w:rFonts w:hAnsi="宋体" w:cs="宋体"/>
          <w:b/>
          <w:color w:val="000000"/>
          <w:szCs w:val="21"/>
          <w:highlight w:val="none"/>
        </w:rPr>
      </w:r>
      <w:r/>
    </w:p>
    <w:p>
      <w:pPr>
        <w:pStyle w:val="1268"/>
        <w:ind w:firstLine="487"/>
        <w:jc w:val="left"/>
        <w:keepLines w:val="0"/>
        <w:keepNext w:val="0"/>
        <w:pageBreakBefore w:val="0"/>
        <w:spacing w:line="360" w:lineRule="exact"/>
        <w:rPr>
          <w:rFonts w:hAnsi="宋体" w:cs="宋体"/>
          <w:b/>
          <w:color w:val="000000"/>
          <w:szCs w:val="21"/>
          <w:highlight w:val="none"/>
        </w:rPr>
      </w:pPr>
      <w:r>
        <w:rPr>
          <w:rFonts w:hAnsi="宋体" w:cs="宋体"/>
          <w:b/>
          <w:color w:val="000000"/>
          <w:szCs w:val="21"/>
          <w:highlight w:val="none"/>
        </w:rPr>
        <w:t xml:space="preserve">签约合同总价（人民币，下同）：</w:t>
      </w:r>
      <w:r>
        <w:rPr>
          <w:rFonts w:hAnsi="宋体" w:cs="宋体"/>
          <w:b/>
          <w:color w:val="000000"/>
          <w:szCs w:val="21"/>
          <w:highlight w:val="none"/>
          <w:u w:val="single"/>
        </w:rPr>
        <w:t xml:space="preserve">           </w:t>
      </w:r>
      <w:r>
        <w:rPr>
          <w:rFonts w:hAnsi="宋体" w:cs="宋体"/>
          <w:b/>
          <w:color w:val="000000"/>
          <w:szCs w:val="21"/>
          <w:highlight w:val="none"/>
        </w:rPr>
        <w:t xml:space="preserve">圆（小写：</w:t>
      </w:r>
      <w:r>
        <w:rPr>
          <w:rFonts w:hAnsi="宋体" w:cs="宋体"/>
          <w:b/>
          <w:color w:val="000000"/>
          <w:szCs w:val="21"/>
          <w:highlight w:val="none"/>
          <w:u w:val="single"/>
        </w:rPr>
        <w:t xml:space="preserve">       </w:t>
      </w:r>
      <w:r>
        <w:rPr>
          <w:rFonts w:hAnsi="宋体" w:cs="宋体"/>
          <w:b/>
          <w:color w:val="000000"/>
          <w:szCs w:val="21"/>
          <w:highlight w:val="none"/>
        </w:rPr>
        <w:t xml:space="preserve">元），</w:t>
      </w:r>
      <w:r>
        <w:rPr>
          <w:rFonts w:cs="宋体"/>
          <w:b/>
          <w:color w:val="000000"/>
          <w:szCs w:val="21"/>
          <w:highlight w:val="none"/>
        </w:rPr>
        <w:t xml:space="preserve">后附分项报价表</w:t>
      </w:r>
      <w:r>
        <w:rPr>
          <w:rFonts w:hAnsi="宋体" w:cs="宋体"/>
          <w:b/>
          <w:color w:val="000000"/>
          <w:szCs w:val="21"/>
          <w:highlight w:val="none"/>
        </w:rPr>
        <w:t xml:space="preserve">。</w:t>
      </w:r>
      <w:r>
        <w:rPr>
          <w:rFonts w:hAnsi="宋体" w:cs="宋体"/>
          <w:b/>
          <w:color w:val="000000"/>
          <w:szCs w:val="21"/>
          <w:highlight w:val="none"/>
        </w:rPr>
      </w:r>
      <w:r/>
    </w:p>
    <w:p>
      <w:pPr>
        <w:pStyle w:val="1268"/>
        <w:ind w:firstLine="484"/>
        <w:keepLines w:val="0"/>
        <w:keepNext w:val="0"/>
        <w:pageBreakBefore w:val="0"/>
        <w:spacing w:line="360" w:lineRule="exact"/>
        <w:rPr>
          <w:rFonts w:hAnsi="宋体" w:cs="宋体"/>
          <w:color w:val="000000"/>
          <w:szCs w:val="21"/>
          <w:highlight w:val="none"/>
        </w:rPr>
      </w:pPr>
      <w:r>
        <w:rPr>
          <w:rFonts w:hAnsi="宋体" w:cs="宋体"/>
          <w:color w:val="000000"/>
          <w:szCs w:val="21"/>
          <w:highlight w:val="none"/>
        </w:rPr>
        <w:t xml:space="preserve">本合同总价包括竞争性磋商文件所确定的采购范围相应服务的提供、</w:t>
      </w:r>
      <w:r>
        <w:rPr>
          <w:rFonts w:hint="eastAsia" w:hAnsi="宋体" w:cs="宋体"/>
          <w:color w:val="000000"/>
          <w:szCs w:val="21"/>
          <w:highlight w:val="none"/>
        </w:rPr>
        <w:t xml:space="preserve">车辆费、运费、电费、维修费、工具费、垃圾处理费、交通事故、违章处罚、人员（包括工资和补贴）、办公场所及设施、肥料、农药、草花（水源自行解决）、保险、劳保、管理、各种税费、利润、税金、政策性文件规定及合同包含的所有风险、责任等各项应有费用，以及为完成该项服务项目所涉及到的一切相关费用，</w:t>
      </w:r>
      <w:r>
        <w:rPr>
          <w:rFonts w:hAnsi="宋体" w:cs="宋体"/>
          <w:color w:val="000000"/>
          <w:szCs w:val="21"/>
          <w:highlight w:val="none"/>
        </w:rPr>
        <w:t xml:space="preserve">甲方不再支付其他任何费用。</w:t>
      </w:r>
      <w:r>
        <w:rPr>
          <w:rFonts w:hAnsi="宋体" w:cs="宋体"/>
          <w:bCs/>
          <w:color w:val="000000"/>
          <w:szCs w:val="21"/>
          <w:highlight w:val="none"/>
        </w:rPr>
        <w:t xml:space="preserve">如国家出台最低基本工资和最低社会保险缴纳基数标准等规定，乙方应保障服务人员的基本法定待遇，但甲方并不为此支付增加的有关费用。</w:t>
      </w:r>
      <w:r>
        <w:rPr>
          <w:rFonts w:hAnsi="宋体" w:cs="宋体"/>
          <w:color w:val="000000"/>
          <w:szCs w:val="21"/>
          <w:highlight w:val="none"/>
        </w:rPr>
      </w:r>
      <w:r/>
    </w:p>
    <w:p>
      <w:pPr>
        <w:pStyle w:val="1272"/>
        <w:ind w:left="0" w:firstLine="480"/>
        <w:keepLines w:val="0"/>
        <w:keepNext w:val="0"/>
        <w:pageBreakBefore w:val="0"/>
        <w:spacing w:after="0"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如清单发生漏项、漏算等，将视为已包含在其它项目中或者为乙方的优惠，乙方须完成本项目的所有工作，而漏项、漏算等将得不到结算。</w:t>
      </w:r>
      <w:r>
        <w:rPr>
          <w:rFonts w:hint="eastAsia" w:ascii="宋体" w:hAnsi="宋体" w:cs="宋体"/>
          <w:color w:val="000000"/>
          <w:sz w:val="21"/>
          <w:szCs w:val="21"/>
          <w:highlight w:val="none"/>
        </w:rPr>
      </w:r>
      <w:r/>
    </w:p>
    <w:p>
      <w:pPr>
        <w:pStyle w:val="1268"/>
        <w:ind w:firstLine="484"/>
        <w:keepLines w:val="0"/>
        <w:keepNext w:val="0"/>
        <w:pageBreakBefore w:val="0"/>
        <w:spacing w:line="360" w:lineRule="exact"/>
        <w:rPr>
          <w:rFonts w:hAnsi="宋体" w:cs="宋体"/>
          <w:color w:val="000000"/>
          <w:szCs w:val="21"/>
          <w:highlight w:val="none"/>
        </w:rPr>
      </w:pPr>
      <w:r>
        <w:rPr>
          <w:rFonts w:hAnsi="宋体" w:cs="宋体"/>
          <w:color w:val="000000"/>
          <w:szCs w:val="21"/>
          <w:highlight w:val="none"/>
        </w:rPr>
        <w:t xml:space="preserve">本合同总价款还包含乙方应当提供的伴随服务/售后服务费用。</w:t>
      </w:r>
      <w:r>
        <w:rPr>
          <w:rFonts w:hAnsi="宋体" w:cs="宋体"/>
          <w:color w:val="000000"/>
          <w:szCs w:val="21"/>
          <w:highlight w:val="none"/>
        </w:rPr>
      </w:r>
      <w:r/>
    </w:p>
    <w:p>
      <w:pPr>
        <w:pStyle w:val="1268"/>
        <w:numPr>
          <w:ilvl w:val="0"/>
          <w:numId w:val="9"/>
        </w:numPr>
        <w:ind w:firstLine="482"/>
        <w:keepLines w:val="0"/>
        <w:keepNext w:val="0"/>
        <w:pageBreakBefore w:val="0"/>
        <w:spacing w:line="360" w:lineRule="exact"/>
        <w:rPr>
          <w:rFonts w:hAnsi="宋体" w:cs="宋体"/>
          <w:color w:val="000000"/>
          <w:szCs w:val="21"/>
          <w:highlight w:val="none"/>
          <w:u w:val="single"/>
        </w:rPr>
      </w:pPr>
      <w:r>
        <w:rPr>
          <w:rFonts w:hAnsi="宋体" w:cs="宋体"/>
          <w:b/>
          <w:color w:val="000000"/>
          <w:szCs w:val="21"/>
          <w:highlight w:val="none"/>
        </w:rPr>
        <w:t xml:space="preserve">合同履行期限</w:t>
      </w:r>
      <w:r>
        <w:rPr>
          <w:rFonts w:hAnsi="宋体" w:cs="宋体"/>
          <w:color w:val="000000"/>
          <w:szCs w:val="21"/>
          <w:highlight w:val="none"/>
          <w:u w:val="single"/>
        </w:rPr>
      </w:r>
      <w:r/>
    </w:p>
    <w:p>
      <w:pPr>
        <w:pStyle w:val="1268"/>
        <w:ind w:firstLine="420"/>
        <w:keepLines w:val="0"/>
        <w:keepNext w:val="0"/>
        <w:pageBreakBefore w:val="0"/>
        <w:spacing w:line="360" w:lineRule="exact"/>
        <w:rPr>
          <w:rFonts w:hAnsi="宋体" w:cs="宋体"/>
          <w:color w:val="000000"/>
          <w:szCs w:val="21"/>
          <w:highlight w:val="none"/>
          <w:u w:val="single"/>
        </w:rPr>
      </w:pPr>
      <w:r>
        <w:rPr>
          <w:rFonts w:hint="eastAsia" w:ascii="宋体" w:hAnsi="宋体" w:eastAsia="宋体" w:cs="宋体"/>
          <w:b/>
          <w:bCs/>
          <w:color w:val="000000"/>
          <w:sz w:val="21"/>
          <w:szCs w:val="21"/>
          <w:highlight w:val="none"/>
          <w:u w:val="single"/>
          <w:lang w:val="en-US" w:eastAsia="zh-CN" w:bidi="ar-SA"/>
        </w:rPr>
        <w:t xml:space="preserve">2026年6月1日-2027年5月31日</w:t>
      </w:r>
      <w:r>
        <w:rPr>
          <w:rFonts w:hAnsi="宋体" w:cs="宋体"/>
          <w:bCs/>
          <w:color w:val="000000"/>
          <w:szCs w:val="21"/>
          <w:highlight w:val="none"/>
        </w:rPr>
        <w:t xml:space="preserve">。</w:t>
      </w:r>
      <w:r>
        <w:rPr>
          <w:rFonts w:hAnsi="宋体" w:cs="宋体"/>
          <w:b/>
          <w:color w:val="000000"/>
          <w:szCs w:val="21"/>
          <w:highlight w:val="none"/>
        </w:rPr>
        <w:t xml:space="preserve">                      </w:t>
      </w:r>
      <w:r>
        <w:rPr>
          <w:rFonts w:hAnsi="宋体" w:cs="宋体"/>
          <w:color w:val="000000"/>
          <w:szCs w:val="21"/>
          <w:highlight w:val="none"/>
          <w:u w:val="single"/>
        </w:rPr>
      </w:r>
      <w:r/>
    </w:p>
    <w:p>
      <w:pPr>
        <w:pStyle w:val="1268"/>
        <w:ind w:firstLine="424"/>
        <w:keepLines w:val="0"/>
        <w:keepNext w:val="0"/>
        <w:pageBreakBefore w:val="0"/>
        <w:spacing w:line="360" w:lineRule="exact"/>
        <w:rPr>
          <w:rFonts w:hAnsi="宋体" w:cs="宋体"/>
          <w:b/>
          <w:color w:val="000000"/>
          <w:szCs w:val="21"/>
          <w:highlight w:val="none"/>
        </w:rPr>
      </w:pPr>
      <w:r>
        <w:rPr>
          <w:rFonts w:hAnsi="宋体" w:cs="宋体"/>
          <w:color w:val="000000"/>
          <w:szCs w:val="21"/>
          <w:highlight w:val="none"/>
        </w:rPr>
        <w:t xml:space="preserve"> </w:t>
      </w:r>
      <w:r>
        <w:rPr>
          <w:rFonts w:hAnsi="宋体" w:cs="宋体"/>
          <w:b/>
          <w:color w:val="000000"/>
          <w:szCs w:val="21"/>
          <w:highlight w:val="none"/>
        </w:rPr>
        <w:t xml:space="preserve">第四条 组成本合同的有关文件</w:t>
      </w:r>
      <w:r>
        <w:rPr>
          <w:rFonts w:hAnsi="宋体" w:cs="宋体"/>
          <w:b/>
          <w:color w:val="000000"/>
          <w:szCs w:val="21"/>
          <w:highlight w:val="none"/>
        </w:rPr>
      </w:r>
      <w:r/>
    </w:p>
    <w:p>
      <w:pPr>
        <w:pStyle w:val="1268"/>
        <w:ind w:firstLine="484"/>
        <w:keepLines w:val="0"/>
        <w:keepNext w:val="0"/>
        <w:pageBreakBefore w:val="0"/>
        <w:spacing w:line="360" w:lineRule="exact"/>
        <w:rPr>
          <w:rFonts w:hAnsi="宋体" w:cs="宋体"/>
          <w:color w:val="000000"/>
          <w:szCs w:val="21"/>
          <w:highlight w:val="none"/>
        </w:rPr>
      </w:pPr>
      <w:r>
        <w:rPr>
          <w:rFonts w:hAnsi="宋体" w:cs="宋体"/>
          <w:color w:val="000000"/>
          <w:szCs w:val="21"/>
          <w:highlight w:val="none"/>
        </w:rPr>
        <w:t xml:space="preserve">下列与本次采购活动有关的文件及有关附件是本合同不可分割的组成部分，与本合同具有同等法律效力，这些文件包括但不限于：</w:t>
      </w:r>
      <w:r>
        <w:rPr>
          <w:rFonts w:hAnsi="宋体" w:cs="宋体"/>
          <w:color w:val="000000"/>
          <w:szCs w:val="21"/>
          <w:highlight w:val="none"/>
        </w:rPr>
      </w:r>
      <w:r/>
    </w:p>
    <w:p>
      <w:pPr>
        <w:pStyle w:val="1268"/>
        <w:ind w:firstLine="484"/>
        <w:keepLines w:val="0"/>
        <w:keepNext w:val="0"/>
        <w:pageBreakBefore w:val="0"/>
        <w:spacing w:line="360" w:lineRule="exact"/>
        <w:rPr>
          <w:rFonts w:hAnsi="宋体" w:cs="宋体"/>
          <w:color w:val="000000"/>
          <w:szCs w:val="21"/>
          <w:highlight w:val="none"/>
        </w:rPr>
      </w:pPr>
      <w:r>
        <w:rPr>
          <w:rFonts w:hAnsi="宋体" w:cs="宋体"/>
          <w:color w:val="000000"/>
          <w:szCs w:val="21"/>
          <w:highlight w:val="none"/>
        </w:rPr>
        <w:t xml:space="preserve">（1）竞争性磋商文件（编号： </w:t>
      </w:r>
      <w:r>
        <w:rPr>
          <w:rFonts w:hint="eastAsia" w:hAnsi="宋体" w:cs="宋体"/>
          <w:color w:val="000000"/>
          <w:szCs w:val="21"/>
          <w:highlight w:val="none"/>
          <w:lang w:val="en-US" w:eastAsia="zh-CN"/>
        </w:rPr>
        <w:t xml:space="preserve"> </w:t>
      </w:r>
      <w:r>
        <w:rPr>
          <w:rFonts w:hAnsi="宋体" w:cs="宋体"/>
          <w:color w:val="000000"/>
          <w:szCs w:val="21"/>
          <w:highlight w:val="none"/>
        </w:rPr>
        <w:t xml:space="preserve">  ）   </w:t>
      </w:r>
      <w:r>
        <w:rPr>
          <w:rFonts w:hint="eastAsia" w:hAnsi="宋体" w:cs="宋体"/>
          <w:color w:val="000000"/>
          <w:szCs w:val="21"/>
          <w:highlight w:val="none"/>
          <w:lang w:val="en-US" w:eastAsia="zh-CN"/>
        </w:rPr>
        <w:t xml:space="preserve"> </w:t>
      </w:r>
      <w:r>
        <w:rPr>
          <w:rFonts w:hAnsi="宋体" w:cs="宋体"/>
          <w:color w:val="000000"/>
          <w:szCs w:val="21"/>
          <w:highlight w:val="none"/>
        </w:rPr>
        <w:t xml:space="preserve"> （2）乙方提供的磋商响应文件； </w:t>
      </w:r>
      <w:r>
        <w:rPr>
          <w:rFonts w:hAnsi="宋体" w:cs="宋体"/>
          <w:color w:val="000000"/>
          <w:szCs w:val="21"/>
          <w:highlight w:val="none"/>
        </w:rPr>
      </w:r>
      <w:r/>
    </w:p>
    <w:p>
      <w:pPr>
        <w:pStyle w:val="1268"/>
        <w:ind w:firstLine="484"/>
        <w:keepLines w:val="0"/>
        <w:keepNext w:val="0"/>
        <w:pageBreakBefore w:val="0"/>
        <w:spacing w:line="360" w:lineRule="exact"/>
        <w:rPr>
          <w:rFonts w:hAnsi="宋体" w:cs="宋体"/>
          <w:color w:val="000000"/>
          <w:szCs w:val="21"/>
          <w:highlight w:val="none"/>
        </w:rPr>
      </w:pPr>
      <w:r>
        <w:rPr>
          <w:rFonts w:hAnsi="宋体" w:cs="宋体"/>
          <w:color w:val="000000"/>
          <w:szCs w:val="21"/>
          <w:highlight w:val="none"/>
        </w:rPr>
        <w:t xml:space="preserve">（3）成交通知书；                   </w:t>
      </w:r>
      <w:r>
        <w:rPr>
          <w:rFonts w:hint="eastAsia" w:hAnsi="宋体" w:cs="宋体"/>
          <w:color w:val="000000"/>
          <w:szCs w:val="21"/>
          <w:highlight w:val="none"/>
          <w:lang w:val="en-US" w:eastAsia="zh-CN"/>
        </w:rPr>
        <w:t xml:space="preserve"> </w:t>
      </w:r>
      <w:r>
        <w:rPr>
          <w:rFonts w:hAnsi="宋体" w:cs="宋体"/>
          <w:color w:val="000000"/>
          <w:szCs w:val="21"/>
          <w:highlight w:val="none"/>
        </w:rPr>
        <w:t xml:space="preserve"> （4）甲乙双方商定的其他文件等。</w:t>
      </w:r>
      <w:r>
        <w:rPr>
          <w:rFonts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第五条 合同款结算及支付</w:t>
      </w:r>
      <w:r>
        <w:rPr>
          <w:rFonts w:hint="eastAsia" w:ascii="宋体" w:hAnsi="宋体" w:cs="宋体"/>
          <w:b/>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1.本合同项下所有款项均以人民币支付。</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2.本合同项下的采购资金由甲方自行支付，乙方向甲方开具发票。</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3.结算原则：</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4.付款方式：</w:t>
      </w:r>
      <w:r>
        <w:rPr>
          <w:rFonts w:hint="eastAsia" w:ascii="宋体" w:hAnsi="宋体" w:cs="宋体"/>
          <w:b/>
          <w:bCs/>
          <w:color w:val="000000"/>
          <w:szCs w:val="21"/>
          <w:highlight w:val="none"/>
          <w:u w:val="single"/>
        </w:rPr>
        <w:t xml:space="preserve">合同签订后支付</w:t>
      </w:r>
      <w:r>
        <w:rPr>
          <w:rFonts w:hint="eastAsia" w:ascii="宋体" w:hAnsi="宋体" w:cs="宋体"/>
          <w:b/>
          <w:bCs/>
          <w:color w:val="000000"/>
          <w:szCs w:val="21"/>
          <w:highlight w:val="none"/>
          <w:u w:val="single"/>
          <w:lang w:val="en-US" w:eastAsia="zh-CN"/>
        </w:rPr>
        <w:t xml:space="preserve">合同金额</w:t>
      </w:r>
      <w:r>
        <w:rPr>
          <w:rFonts w:hint="eastAsia" w:ascii="宋体" w:hAnsi="宋体" w:cs="宋体"/>
          <w:b/>
          <w:bCs/>
          <w:color w:val="000000"/>
          <w:szCs w:val="21"/>
          <w:highlight w:val="none"/>
          <w:u w:val="single"/>
        </w:rPr>
        <w:t xml:space="preserve">的10%为预付款（预付款在第一次季度养护经费中进行扣除），养护经费以季度为周期进行支付，年度支付四次。甲方按照已签有效合同金额提取10%作为服务考核金额，合同金额的90%部分甲方按季度向乙方进行付款：甲方每季度根据乙方提供的正规税务发票按时向乙方支付合同总价款的22.5%，年度考核结算与第四次季度结算金额一起进行结算。在签订合同时，乙方明确表示无需预付款或者主动要求降低预付款比例的，甲方可不适用关于预付款的规定。</w:t>
      </w:r>
      <w:r>
        <w:rPr>
          <w:rFonts w:hint="eastAsia" w:ascii="宋体" w:hAnsi="宋体" w:cs="宋体"/>
          <w:b/>
          <w:bCs/>
          <w:color w:val="000000"/>
          <w:szCs w:val="21"/>
          <w:highlight w:val="none"/>
          <w:u w:val="singl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第六条 甲方权利和义务</w:t>
      </w:r>
      <w:r>
        <w:rPr>
          <w:rFonts w:hint="eastAsia" w:ascii="宋体" w:hAnsi="宋体" w:cs="宋体"/>
          <w:b/>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1.甲方根据绿化养护要求及乙方投标响应文件中的承诺，对乙方提供的服务及履行本合同情况实行监督考核。</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2.甲方有权制定、调整绿化养护相关考核办法、奖惩细则等，对乙方养护工作及现场效果根据相关考核文件进行考核，并根据考核结果支付管护费用。</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3.若乙方在承包养护期间，因将绿化养护管理转包他人或发生其他严重侵害甲方利益的行为，甲方有权终止合同。</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4.听取乙方提出的建议并给予答复。</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5.甲方有义务在适当的范围内公开考核结果。</w:t>
      </w:r>
      <w:r>
        <w:rPr>
          <w:rFonts w:hint="eastAsia" w:ascii="宋体" w:hAnsi="宋体" w:cs="宋体"/>
          <w:color w:val="000000"/>
          <w:szCs w:val="21"/>
          <w:highlight w:val="none"/>
        </w:rPr>
      </w:r>
      <w:r/>
    </w:p>
    <w:p>
      <w:pPr>
        <w:pStyle w:val="994"/>
        <w:ind w:firstLine="482"/>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第七条 乙方权利和义务</w:t>
      </w:r>
      <w:r>
        <w:rPr>
          <w:rFonts w:hint="eastAsia" w:ascii="宋体" w:hAnsi="宋体" w:cs="宋体"/>
          <w:b/>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1.乙方有权监督、举报甲方现场负责人违法、违规行为。</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2.乙方承担独立绿化管护作业中的安全责任和经济赔偿。</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3.乙方有义务按照绿化养护技术规范、质量标准、考核办法等，主动做好绿化养护工作。</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4.乙方有义务接受并配合甲方及行业管理部门的考核及其结果。</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5.乙方有义务做好甲方合理布置的养护范围之外的突击性、突发性工作，不得无故拖延。</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6.管护不当造成植物死亡、设施损坏的，应及时补植和修复或照价赔偿。</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7.准时参加甲方召开的会议。</w:t>
      </w:r>
      <w:r>
        <w:rPr>
          <w:rFonts w:hint="eastAsia" w:ascii="宋体" w:hAnsi="宋体" w:cs="宋体"/>
          <w:color w:val="000000"/>
          <w:szCs w:val="21"/>
          <w:highlight w:val="none"/>
        </w:rPr>
      </w:r>
      <w:r/>
    </w:p>
    <w:p>
      <w:pPr>
        <w:pStyle w:val="994"/>
        <w:ind w:firstLine="480"/>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8.向甲方提出合理化建议。</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第八条 违约责任</w:t>
      </w:r>
      <w:r>
        <w:rPr>
          <w:rFonts w:hint="eastAsia" w:ascii="宋体" w:hAnsi="宋体" w:cs="宋体"/>
          <w:b/>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2.乙方未按本合同的规定和“服务承诺”提供伴随服务的，甲方有权提前解除本合同，同时乙方应按合同总价款的5%向甲方承担违约责任。</w:t>
      </w:r>
      <w:r>
        <w:rPr>
          <w:rFonts w:hint="eastAsia" w:ascii="宋体" w:hAnsi="宋体" w:eastAsia="宋体" w:cs="宋体"/>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4.乙方属虚假承诺，或是由于乙方的过错造成合同无法继续履行的，还应向甲方支付不少于合同总价30%违约金，若该违约金不足以弥补甲方损失，则应当赔偿甲方所有损失。</w:t>
      </w:r>
      <w:r>
        <w:rPr>
          <w:rFonts w:hint="eastAsia" w:ascii="宋体" w:hAnsi="宋体" w:eastAsia="宋体" w:cs="宋体"/>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5.乙方开具正规发票后甲方无故逾期超60日，协商无果后，乙方有权要求甲方支付逾期利息，逾期利息以1年期贷款市场报价利率按日折算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最高不超过欠款总额的</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6.其他未尽事宜，以《中华人民共和国民法典》等有关法律法规规定为准，无相关规定的，双方协商解决。</w:t>
      </w:r>
      <w:r>
        <w:rPr>
          <w:rFonts w:hint="eastAsia" w:ascii="宋体" w:hAnsi="宋体" w:eastAsia="宋体" w:cs="宋体"/>
          <w:color w:val="000000"/>
          <w:szCs w:val="21"/>
          <w:highlight w:val="none"/>
        </w:rPr>
      </w:r>
      <w:r/>
    </w:p>
    <w:p>
      <w:pPr>
        <w:pStyle w:val="994"/>
        <w:ind w:firstLine="48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第九条 合同的变更和终止</w:t>
      </w:r>
      <w:r>
        <w:rPr>
          <w:rFonts w:hint="eastAsia" w:ascii="宋体" w:hAnsi="宋体" w:eastAsia="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1.本合同一经签订，甲乙双方不得擅自变更、中止或终止合同。</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第十条 合同的转让</w:t>
      </w:r>
      <w:r>
        <w:rPr>
          <w:rFonts w:hint="eastAsia" w:ascii="宋体" w:hAnsi="宋体" w:cs="宋体"/>
          <w:b/>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乙方不得擅自部分或全部转让其应履行的合同义务。</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第十一条 不可抗力</w:t>
      </w:r>
      <w:r>
        <w:rPr>
          <w:rFonts w:hint="eastAsia" w:ascii="宋体" w:hAnsi="宋体" w:cs="宋体"/>
          <w:b/>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甲、乙方中任何一方，因不可抗力不能按时或完全履行合同的，应及时通知对方，并在</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第十二条 争议的解决</w:t>
      </w:r>
      <w:r>
        <w:rPr>
          <w:rFonts w:hint="eastAsia" w:ascii="宋体" w:hAnsi="宋体" w:cs="宋体"/>
          <w:b/>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（1）向甲方所在地人民法院提起诉讼；</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（2）向甲方所在地仲裁委员会按其仲裁规则申请仲裁。</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如没有约定，默认采取第2种方式解决争议。</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2.在法院审理和仲裁期间，除有争议部分外，本合同其他部分应继续履行。</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第十三条 诚实信用 </w:t>
      </w:r>
      <w:r>
        <w:rPr>
          <w:rFonts w:hint="eastAsia" w:ascii="宋体" w:hAnsi="宋体" w:cs="宋体"/>
          <w:b/>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乙方应诚实信用，严格按照竞争性磋商文件要求和磋商承诺履行合同，不向甲方进行商业贿赂或者提供不正当利益。</w:t>
      </w:r>
      <w:r>
        <w:rPr>
          <w:rFonts w:hint="eastAsia" w:ascii="宋体" w:hAnsi="宋体" w:cs="宋体"/>
          <w:color w:val="000000"/>
          <w:szCs w:val="21"/>
          <w:highlight w:val="none"/>
        </w:rPr>
      </w:r>
      <w:r/>
    </w:p>
    <w:p>
      <w:pPr>
        <w:pStyle w:val="994"/>
        <w:ind w:firstLine="487"/>
        <w:keepLines w:val="0"/>
        <w:keepNext w:val="0"/>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第十四条 合同生效及其他</w:t>
      </w:r>
      <w:r>
        <w:rPr>
          <w:rFonts w:hint="eastAsia" w:ascii="宋体" w:hAnsi="宋体" w:cs="宋体"/>
          <w:b/>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cs="宋体"/>
          <w:color w:val="000000"/>
          <w:szCs w:val="21"/>
          <w:highlight w:val="none"/>
        </w:rPr>
      </w:r>
      <w:r/>
    </w:p>
    <w:p>
      <w:pPr>
        <w:pStyle w:val="994"/>
        <w:ind w:firstLine="48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2.本合同一式</w:t>
      </w:r>
      <w:r>
        <w:rPr>
          <w:rFonts w:hint="eastAsia" w:ascii="宋体" w:hAnsi="宋体" w:cs="宋体"/>
          <w:b/>
          <w:bCs/>
          <w:color w:val="000000"/>
          <w:szCs w:val="21"/>
          <w:highlight w:val="none"/>
          <w:u w:val="single"/>
        </w:rPr>
        <w:t xml:space="preserve">伍</w:t>
      </w:r>
      <w:r>
        <w:rPr>
          <w:rFonts w:hint="eastAsia" w:ascii="宋体" w:hAnsi="宋体" w:cs="宋体"/>
          <w:color w:val="000000"/>
          <w:szCs w:val="21"/>
          <w:highlight w:val="none"/>
        </w:rPr>
        <w:t xml:space="preserve">份，甲乙双方各执</w:t>
      </w:r>
      <w:r>
        <w:rPr>
          <w:rFonts w:hint="eastAsia" w:ascii="宋体" w:hAnsi="宋体" w:cs="宋体"/>
          <w:b/>
          <w:bCs/>
          <w:color w:val="000000"/>
          <w:szCs w:val="21"/>
          <w:highlight w:val="none"/>
          <w:u w:val="single"/>
        </w:rPr>
        <w:t xml:space="preserve">贰</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r>
        <w:rPr>
          <w:rFonts w:hint="eastAsia" w:ascii="宋体" w:hAnsi="宋体" w:cs="宋体"/>
          <w:color w:val="000000"/>
          <w:szCs w:val="21"/>
          <w:highlight w:val="none"/>
        </w:rPr>
      </w:r>
      <w:r/>
    </w:p>
    <w:p>
      <w:pPr>
        <w:pStyle w:val="994"/>
        <w:ind w:firstLine="424"/>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3.本合同应按照中华人民共和国的现行法律进行解释。</w:t>
      </w:r>
      <w:r>
        <w:rPr>
          <w:rFonts w:hint="eastAsia" w:ascii="宋体" w:hAnsi="宋体" w:cs="宋体"/>
          <w:color w:val="000000"/>
          <w:szCs w:val="21"/>
          <w:highlight w:val="none"/>
        </w:rPr>
      </w:r>
      <w:r/>
    </w:p>
    <w:p>
      <w:pPr>
        <w:pStyle w:val="994"/>
        <w:ind w:firstLine="4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94"/>
        <w:ind w:firstLine="632"/>
        <w:jc w:val="left"/>
        <w:keepLines w:val="0"/>
        <w:keepNext w:val="0"/>
        <w:pageBreakBefore w:val="0"/>
        <w:spacing w:line="300" w:lineRule="atLeas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94"/>
        <w:ind w:firstLine="630"/>
        <w:keepLines w:val="0"/>
        <w:keepNext w:val="0"/>
        <w:pageBreakBefore w:val="0"/>
        <w:spacing w:line="300" w:lineRule="atLeas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994"/>
        <w:ind w:firstLine="630"/>
        <w:keepLines w:val="0"/>
        <w:keepNext w:val="0"/>
        <w:pageBreakBefore w:val="0"/>
        <w:spacing w:line="300" w:lineRule="atLeas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994"/>
        <w:ind w:firstLine="630"/>
        <w:keepLines w:val="0"/>
        <w:keepNext w:val="0"/>
        <w:pageBreakBefore w:val="0"/>
        <w:spacing w:line="300" w:lineRule="atLeas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994"/>
        <w:ind w:firstLine="630"/>
        <w:keepLines w:val="0"/>
        <w:keepNext w:val="0"/>
        <w:pageBreakBefore w:val="0"/>
        <w:spacing w:line="300" w:lineRule="atLeas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994"/>
        <w:ind w:firstLine="630"/>
        <w:keepLines w:val="0"/>
        <w:keepNext w:val="0"/>
        <w:pageBreakBefore w:val="0"/>
        <w:spacing w:line="300" w:lineRule="atLeast"/>
        <w:widowControl w:val="off"/>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帐号：</w:t>
      </w:r>
      <w:r>
        <w:rPr>
          <w:rFonts w:hint="eastAsia" w:ascii="宋体" w:hAnsi="宋体" w:cs="宋体"/>
          <w:b/>
          <w:bCs/>
          <w:color w:val="000000"/>
          <w:szCs w:val="21"/>
          <w:highlight w:val="none"/>
        </w:rPr>
      </w:r>
      <w:r/>
    </w:p>
    <w:p>
      <w:pPr>
        <w:pStyle w:val="1025"/>
        <w:tabs>
          <w:tab w:val="left" w:pos="567" w:leader="none"/>
        </w:tabs>
        <w:rPr>
          <w:rFonts w:hint="eastAsia"/>
          <w:color w:val="000000"/>
          <w:highlight w:val="none"/>
        </w:rPr>
      </w:pPr>
      <w:r>
        <w:rPr>
          <w:rFonts w:hint="eastAsia"/>
          <w:color w:val="000000"/>
          <w:highlight w:val="none"/>
        </w:rPr>
      </w:r>
      <w:r/>
    </w:p>
    <w:p>
      <w:pPr>
        <w:pStyle w:val="994"/>
        <w:ind w:firstLine="632"/>
        <w:keepLines w:val="0"/>
        <w:keepNext w:val="0"/>
        <w:pageBreakBefore w:val="0"/>
        <w:spacing w:line="30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994"/>
        <w:ind w:firstLine="630"/>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994"/>
        <w:ind w:firstLine="630"/>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994"/>
        <w:ind w:firstLine="630"/>
        <w:keepLines w:val="0"/>
        <w:keepNext w:val="0"/>
        <w:pageBreakBefore w:val="0"/>
        <w:spacing w:line="3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ascii="宋体" w:hAnsi="宋体" w:cs="宋体"/>
          <w:color w:val="000000"/>
          <w:szCs w:val="21"/>
          <w:highlight w:val="none"/>
        </w:rPr>
      </w:r>
      <w:r/>
    </w:p>
    <w:p>
      <w:pPr>
        <w:pStyle w:val="994"/>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94"/>
        <w:ind w:firstLine="422"/>
        <w:spacing w:line="400" w:lineRule="exact"/>
        <w:rPr>
          <w:rFonts w:hint="eastAsia" w:ascii="宋体" w:hAnsi="宋体" w:cs="宋体"/>
          <w:b/>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b/>
          <w:color w:val="000000"/>
          <w:szCs w:val="21"/>
          <w:highlight w:val="none"/>
        </w:rPr>
        <w:t xml:space="preserve">以上是合同的简易模版，仅供甲乙双方签订合同时参考，具体条款详见磋商文件中所对应的内容及要求，其余条款按照《中华人民共和国政府采购法》、《中华人民共和国民法典》、其他有关法律、行政法规以及省、市、区规范性文件规定，由甲乙双方协商一致后自拟合同。</w:t>
      </w:r>
      <w:r>
        <w:rPr>
          <w:rFonts w:hint="eastAsia" w:ascii="宋体" w:hAnsi="宋体" w:cs="宋体"/>
          <w:b/>
          <w:color w:val="000000"/>
          <w:szCs w:val="21"/>
          <w:highlight w:val="none"/>
        </w:rPr>
      </w:r>
      <w:r/>
    </w:p>
    <w:p>
      <w:pPr>
        <w:pStyle w:val="994"/>
        <w:jc w:val="left"/>
        <w:rPr>
          <w:rFonts w:hint="eastAsia" w:ascii="宋体" w:hAnsi="宋体" w:cs="宋体"/>
          <w:b/>
          <w:bCs/>
          <w:color w:val="000000"/>
          <w:sz w:val="21"/>
          <w:szCs w:val="21"/>
          <w:highlight w:val="none"/>
          <w:lang w:val="en-US" w:eastAsia="zh-CN"/>
        </w:rPr>
      </w:pPr>
      <w:r>
        <w:rPr>
          <w:rFonts w:hint="eastAsia" w:ascii="宋体" w:hAnsi="宋体" w:cs="宋体"/>
          <w:b/>
          <w:color w:val="000000"/>
          <w:szCs w:val="21"/>
          <w:highlight w:val="none"/>
        </w:rPr>
        <w:br w:type="page" w:clear="all"/>
      </w:r>
      <w:r>
        <w:rPr>
          <w:rFonts w:hint="eastAsia" w:ascii="宋体" w:hAnsi="宋体" w:cs="宋体"/>
          <w:b/>
          <w:bCs/>
          <w:color w:val="000000"/>
          <w:sz w:val="21"/>
          <w:szCs w:val="21"/>
          <w:highlight w:val="none"/>
          <w:lang w:val="en-US" w:eastAsia="zh-CN"/>
        </w:rPr>
        <w:t xml:space="preserve">附件1：管护项目清单</w:t>
      </w:r>
      <w:r>
        <w:rPr>
          <w:rFonts w:hint="eastAsia" w:ascii="宋体" w:hAnsi="宋体" w:cs="宋体"/>
          <w:b/>
          <w:bCs/>
          <w:color w:val="000000"/>
          <w:sz w:val="21"/>
          <w:szCs w:val="21"/>
          <w:highlight w:val="none"/>
          <w:lang w:val="en-US" w:eastAsia="zh-CN"/>
        </w:rPr>
      </w:r>
      <w:r/>
    </w:p>
    <w:p>
      <w:pPr>
        <w:pStyle w:val="994"/>
        <w:ind w:firstLine="422"/>
        <w:keepLines w:val="0"/>
        <w:keepNext w:val="0"/>
        <w:pageBreakBefore w:val="0"/>
        <w:spacing w:line="3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01包：郑陆片绿化管护项目清单</w:t>
      </w:r>
      <w:r>
        <w:rPr>
          <w:rFonts w:hint="eastAsia" w:ascii="宋体" w:hAnsi="宋体" w:eastAsia="宋体" w:cs="宋体"/>
          <w:b/>
          <w:bCs/>
          <w:color w:val="000000"/>
          <w:szCs w:val="21"/>
          <w:highlight w:val="none"/>
        </w:rPr>
      </w:r>
      <w:r/>
    </w:p>
    <w:tbl>
      <w:tblPr>
        <w:tblpPr w:horzAnchor="text" w:tblpXSpec="left"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7"/>
        <w:gridCol w:w="2079"/>
        <w:gridCol w:w="2366"/>
      </w:tblGrid>
      <w:tr>
        <w:trPr/>
        <w:tc>
          <w:tcPr>
            <w:tcW w:w="4077"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2079"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面积（平方米）</w:t>
            </w:r>
            <w:r>
              <w:rPr>
                <w:rFonts w:hint="eastAsia" w:ascii="宋体" w:hAnsi="宋体" w:eastAsia="宋体" w:cs="宋体"/>
                <w:b/>
                <w:bCs/>
                <w:color w:val="000000"/>
                <w:sz w:val="21"/>
                <w:szCs w:val="21"/>
                <w:highlight w:val="none"/>
              </w:rPr>
            </w:r>
            <w:r/>
          </w:p>
        </w:tc>
        <w:tc>
          <w:tcPr>
            <w:tcW w:w="2366"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常焦线西侧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（郑陆垃圾中转站—高铁）</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常焦线东侧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（郑陆垃圾中转站—高铁）</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常焦线西侧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（高铁—工业大道）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2520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常焦线东侧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（高铁—工业大道）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1920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常焦线（工业大道－迎宾路）西</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常焦线（工业大道－迎宾路）东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1438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常焦线（迎宾路－寺墩路）南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450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常焦线（迎宾路－寺墩）北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225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常焦线（寺墩路-232）南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2495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常焦线（寺墩路-232）北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2090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工业大道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（武城—郑陆大石头处）</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30000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舜杰路（常焦线—民康路）北侧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620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舜杰路（迎宾南路—草塘浜）北侧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舜杰路（迎宾南路—草塘浜）南侧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文体中心外围香樟</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舜杰路（草塘浜—安民路）北侧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840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舜杰路（草塘浜—安民路）南侧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舜杰路（安民路—无名路）北侧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1120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舜杰路（安民路—无名路）南侧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2600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舜杰路（季子公园—无名路）河道两侧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芦苇及岸坡杂草杂树</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季子路（常焦线—寺墩路）北侧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季子路（安民路—寺墩路）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季子路（草塘浜—寺墩路）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572</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南侧围挡外</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环镇路（常焦线—郑陆西桥）</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728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环镇路东侧，西侧变电所门口</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永洁保洁门口</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郑中路（包括学校操场南门）</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825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法院门口草塘浜东西侧</w:t>
            </w:r>
            <w:r>
              <w:rPr>
                <w:rFonts w:hint="eastAsia" w:ascii="宋体" w:hAnsi="宋体" w:eastAsia="宋体" w:cs="宋体"/>
                <w:color w:val="000000"/>
                <w:sz w:val="21"/>
                <w:szCs w:val="21"/>
                <w:highlight w:val="none"/>
              </w:rPr>
            </w:r>
            <w:r/>
          </w:p>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（常焦线-郑中路，含金域东郡东）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法院门口草塘浜东西侧（金域东郡东）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邮电路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连家沟路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438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迎宾北路（常焦线-郑陆桥）</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迎宾南路（焦溪大道-舜杰路）东侧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310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季子幼儿园北、西侧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民康路（焦溪大道-舜杰路）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566</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民康路（焦溪大道-舜杰路）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1960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绿化带2米往西7米</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民康路（舜杰路-季子路）西</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民康路（常焦线-焦溪大道）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郑陆实验学校周边（东西南北，包括北面河两侧）</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9560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寺墩路（金域东郡东）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翟家路（包括两边小区零星、执安办）</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郑陆镇消费品市场停车场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综合行政执法局停车场周边</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240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环镇路边公园</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1225</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季子公园（含文体中心）</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36000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含芦苇及岸坡杂草杂树</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怡巷花园旁翁家浜河边地块</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安民路</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3150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草塘浜西侧包括申达花苑开放小区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毛家头小区东边广场（包括学校东侧路东）</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1637</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盛悦雅园（东、南、西）</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11592</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法治公园、迎宾中路停车场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2800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金正花园外围</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寺墩路（常焦线－焦溪大道）</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3258</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公元礼著外围</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7216</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焦溪大道常焦线南节点</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2050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郑陆卫生院北门停车场</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机器河两侧（含两侧乔木）</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32060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含河道内水生植物</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镇区其他零星区域</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含医院对面绿篱</w:t>
            </w: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大宁佳苑二期周边</w:t>
            </w:r>
            <w:r>
              <w:rPr>
                <w:rFonts w:hint="eastAsia" w:ascii="宋体" w:hAnsi="宋体" w:eastAsia="宋体" w:cs="宋体"/>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t xml:space="preserve">7700</w:t>
            </w:r>
            <w:r>
              <w:rPr>
                <w:rFonts w:hint="eastAsia" w:ascii="宋体" w:hAnsi="宋体" w:eastAsia="宋体" w:cs="宋体"/>
                <w:color w:val="000000"/>
                <w:sz w:val="21"/>
                <w:szCs w:val="21"/>
                <w:highlight w:val="none"/>
              </w:rPr>
            </w:r>
            <w:r/>
          </w:p>
        </w:tc>
        <w:tc>
          <w:tcPr>
            <w:tcW w:w="2366" w:type="dxa"/>
            <w:vAlign w:val="center"/>
            <w:textDirection w:val="lrTb"/>
            <w:noWrap w:val="false"/>
          </w:tcPr>
          <w:p>
            <w:pPr>
              <w:pStyle w:val="994"/>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r>
            <w:r/>
          </w:p>
        </w:tc>
      </w:tr>
      <w:tr>
        <w:trPr>
          <w:trHeight w:val="306"/>
        </w:trPr>
        <w:tc>
          <w:tcPr>
            <w:tcW w:w="4077" w:type="dxa"/>
            <w:vAlign w:val="center"/>
            <w:textDirection w:val="lrTb"/>
            <w:noWrap w:val="false"/>
          </w:tcPr>
          <w:p>
            <w:pPr>
              <w:pStyle w:val="994"/>
              <w:jc w:val="center"/>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2079" w:type="dxa"/>
            <w:vAlign w:val="center"/>
            <w:textDirection w:val="lrTb"/>
            <w:noWrap w:val="false"/>
          </w:tcPr>
          <w:p>
            <w:pPr>
              <w:pStyle w:val="994"/>
              <w:jc w:val="center"/>
              <w:rPr>
                <w:rFonts w:hint="eastAsia" w:ascii="宋体" w:hAnsi="宋体" w:eastAsia="宋体" w:cs="宋体"/>
                <w:b/>
                <w:bCs/>
                <w:color w:val="000000"/>
                <w:sz w:val="21"/>
                <w:szCs w:val="21"/>
                <w:highlight w:val="none"/>
              </w:rPr>
              <w:framePr w:vAnchor="margin" w:hAnchor="page" w:y="1"/>
            </w:pPr>
            <w:r>
              <w:rPr>
                <w:rFonts w:hint="eastAsia" w:ascii="宋体" w:hAnsi="宋体" w:eastAsia="宋体" w:cs="宋体"/>
                <w:b/>
                <w:bCs/>
                <w:color w:val="000000"/>
                <w:sz w:val="21"/>
                <w:szCs w:val="21"/>
                <w:highlight w:val="none"/>
              </w:rPr>
              <w:t xml:space="preserve">185560</w:t>
            </w:r>
            <w:r>
              <w:rPr>
                <w:rFonts w:hint="eastAsia" w:ascii="宋体" w:hAnsi="宋体" w:eastAsia="宋体" w:cs="宋体"/>
                <w:b/>
                <w:bCs/>
                <w:color w:val="000000"/>
                <w:sz w:val="21"/>
                <w:szCs w:val="21"/>
                <w:highlight w:val="none"/>
              </w:rPr>
            </w:r>
            <w:r/>
          </w:p>
        </w:tc>
        <w:tc>
          <w:tcPr>
            <w:tcW w:w="2366" w:type="dxa"/>
            <w:vAlign w:val="center"/>
            <w:textDirection w:val="lrTb"/>
            <w:noWrap w:val="false"/>
          </w:tcPr>
          <w:p>
            <w:pPr>
              <w:pStyle w:val="994"/>
              <w:jc w:val="center"/>
              <w:rPr>
                <w:rFonts w:hint="eastAsia" w:ascii="宋体" w:hAnsi="宋体" w:eastAsia="宋体" w:cs="宋体"/>
                <w:color w:val="000000"/>
                <w:sz w:val="21"/>
                <w:szCs w:val="21"/>
                <w:highlight w:val="none"/>
              </w:rPr>
              <w:framePr w:vAnchor="margin" w:hAnchor="page" w:y="1"/>
            </w:pPr>
            <w:r>
              <w:rPr>
                <w:rFonts w:hint="eastAsia" w:ascii="宋体" w:hAnsi="宋体" w:eastAsia="宋体" w:cs="宋体"/>
                <w:color w:val="000000"/>
                <w:sz w:val="21"/>
                <w:szCs w:val="21"/>
                <w:highlight w:val="none"/>
              </w:rPr>
            </w:r>
            <w:r/>
          </w:p>
        </w:tc>
      </w:tr>
    </w:tbl>
    <w:p>
      <w:pPr>
        <w:pStyle w:val="99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4"/>
        <w:ind w:firstLine="422"/>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422"/>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0"/>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0"/>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r>
      <w:r>
        <w:rPr>
          <w:rFonts w:hint="eastAsia" w:ascii="宋体" w:hAnsi="宋体" w:eastAsia="宋体" w:cs="宋体"/>
          <w:b/>
          <w:bCs/>
          <w:color w:val="000000"/>
          <w:szCs w:val="21"/>
          <w:highlight w:val="none"/>
        </w:rPr>
      </w:r>
      <w:r/>
    </w:p>
    <w:p>
      <w:pPr>
        <w:ind w:firstLine="0"/>
        <w:keepLines w:val="0"/>
        <w:keepNext w:val="0"/>
        <w:pageBreakBefore w:val="0"/>
        <w:spacing w:line="36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t xml:space="preserve">02包：三河口片绿化管护项目清单</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3"/>
        <w:gridCol w:w="1902"/>
        <w:gridCol w:w="2727"/>
      </w:tblGrid>
      <w:tr>
        <w:trPr>
          <w:trHeight w:val="306"/>
        </w:trPr>
        <w:tc>
          <w:tcPr>
            <w:tcW w:w="3893"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902"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面积（平方米）</w:t>
            </w:r>
            <w:r>
              <w:rPr>
                <w:rFonts w:hint="eastAsia" w:ascii="宋体" w:hAnsi="宋体" w:eastAsia="宋体" w:cs="宋体"/>
                <w:b/>
                <w:bCs/>
                <w:color w:val="000000"/>
                <w:sz w:val="21"/>
                <w:szCs w:val="21"/>
                <w:highlight w:val="none"/>
              </w:rPr>
            </w:r>
            <w:r/>
          </w:p>
        </w:tc>
        <w:tc>
          <w:tcPr>
            <w:tcW w:w="2727" w:type="dxa"/>
            <w:vAlign w:val="center"/>
            <w:textDirection w:val="lrTb"/>
            <w:noWrap w:val="false"/>
          </w:tcPr>
          <w:p>
            <w:pPr>
              <w:pStyle w:val="994"/>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常焦线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（东古—朝阳路）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常焦线（232-东古）</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20582</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含绿地内河道</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春申君公园（包括文体公园）</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三河路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20993</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剑河周围及集镇区零星</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东塘路（河横路—河丰路）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24728</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人民路（常焦线-北塘河）</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河横路（北塘河—观岸桥）</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河横路（舜平路-舜山路）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河丰路（常焦线—河横路）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河口高中门口（河横路-北塘河）</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5950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窖墩浜两侧</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3160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包括河道内水生植物</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中降路两侧</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中降工业园区</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丰收河两侧（三河路-河丰路）</w:t>
            </w:r>
            <w:r>
              <w:rPr>
                <w:rFonts w:hint="eastAsia" w:ascii="宋体" w:hAnsi="宋体" w:eastAsia="宋体" w:cs="宋体"/>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3600</w:t>
            </w:r>
            <w:r>
              <w:rPr>
                <w:rFonts w:hint="eastAsia" w:ascii="宋体" w:hAnsi="宋体" w:eastAsia="宋体" w:cs="宋体"/>
                <w:color w:val="000000"/>
                <w:sz w:val="21"/>
                <w:szCs w:val="21"/>
                <w:highlight w:val="none"/>
              </w:rPr>
            </w:r>
            <w:r/>
          </w:p>
        </w:tc>
        <w:tc>
          <w:tcPr>
            <w:tcW w:w="2727" w:type="dxa"/>
            <w:vAlign w:val="center"/>
            <w:textDirection w:val="lrTb"/>
            <w:noWrap w:val="false"/>
          </w:tcPr>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6"/>
        </w:trPr>
        <w:tc>
          <w:tcPr>
            <w:shd w:val="clear" w:color="ffff00" w:fill="auto"/>
            <w:tcW w:w="3893"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1902" w:type="dxa"/>
            <w:vAlign w:val="center"/>
            <w:textDirection w:val="lrTb"/>
            <w:noWrap w:val="false"/>
          </w:tcPr>
          <w:p>
            <w:pPr>
              <w:pStyle w:val="99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151383</w:t>
            </w:r>
            <w:r>
              <w:rPr>
                <w:rFonts w:hint="eastAsia" w:ascii="宋体" w:hAnsi="宋体" w:eastAsia="宋体" w:cs="宋体"/>
                <w:b/>
                <w:bCs/>
                <w:color w:val="000000"/>
                <w:sz w:val="21"/>
                <w:szCs w:val="21"/>
                <w:highlight w:val="none"/>
              </w:rPr>
            </w:r>
            <w:r/>
          </w:p>
        </w:tc>
        <w:tc>
          <w:tcPr>
            <w:tcW w:w="272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4"/>
        <w:ind w:firstLine="422"/>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注：上述面积为采购人根据目前现有情况暂估，具体以采购人实际需求为准。</w:t>
      </w:r>
      <w:r>
        <w:rPr>
          <w:rFonts w:hint="eastAsia" w:ascii="宋体" w:hAnsi="宋体" w:cs="宋体"/>
          <w:b/>
          <w:bCs/>
          <w:color w:val="000000"/>
          <w:szCs w:val="21"/>
          <w:highlight w:val="none"/>
        </w:rPr>
      </w:r>
      <w:r/>
    </w:p>
    <w:p>
      <w:pPr>
        <w:pStyle w:val="994"/>
        <w:jc w:val="left"/>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附件2：考核办法</w:t>
      </w:r>
      <w:r>
        <w:rPr>
          <w:rFonts w:hint="eastAsia" w:ascii="宋体" w:hAnsi="宋体" w:cs="宋体"/>
          <w:b/>
          <w:bCs/>
          <w:color w:val="000000"/>
          <w:sz w:val="32"/>
          <w:szCs w:val="32"/>
          <w:highlight w:val="none"/>
          <w:lang w:val="en-US" w:eastAsia="zh-CN"/>
        </w:rPr>
      </w:r>
      <w:r/>
    </w:p>
    <w:p>
      <w:pPr>
        <w:pStyle w:val="994"/>
        <w:ind w:firstLine="31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（一）考核原则</w:t>
      </w:r>
      <w:r>
        <w:rPr>
          <w:rFonts w:ascii="宋体" w:hAnsi="宋体" w:cs="宋体"/>
          <w:b/>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1.全面履行原则：管护作业单位应全面、按时履行合同义务。</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2.确保质量原则：管护作业单位的工作必须是有效的，即符合作业技术规范要求和绿化生长客观规律。</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积极主动原则：管护作业单位应积极主动的开展工作，工作思路清晰，效率高，养护作业效果明显，有亮点。而不是仅仅机械、被动地执行建设单位的指令，等靠建设单位的安排，更不能消极怠工，有意拖延、抵触任务。</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4.确保人员、机具原则：管护作业是一项劳动密集型的工作。管护作业单位应确保作业工人的人数和作业机具的正常使用，特别是在繁忙季节和有突击任务时。</w:t>
      </w:r>
      <w:r>
        <w:rPr>
          <w:rFonts w:ascii="宋体" w:hAnsi="宋体" w:cs="宋体"/>
          <w:color w:val="000000"/>
          <w:szCs w:val="21"/>
          <w:highlight w:val="none"/>
        </w:rPr>
      </w:r>
      <w:r/>
    </w:p>
    <w:p>
      <w:pPr>
        <w:pStyle w:val="99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确保安全、文明施工原则。管护作业应注意自身和第三方的应注意施工操作人员和行人的安全，注意不损害周边市政设施和建筑物，不影响市容环境。做好各项围护、防护措施，配合城建部门的管理。发生安全文明事故的，由作业单位负责，建设单位有权根据危害情况扣分。</w:t>
      </w:r>
      <w:r>
        <w:rPr>
          <w:rFonts w:ascii="宋体" w:hAnsi="宋体" w:cs="宋体"/>
          <w:color w:val="000000"/>
          <w:szCs w:val="21"/>
          <w:highlight w:val="none"/>
        </w:rPr>
      </w:r>
      <w:r/>
    </w:p>
    <w:p>
      <w:pPr>
        <w:pStyle w:val="994"/>
        <w:ind w:left="-315" w:firstLine="63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（二）考核操作办法</w:t>
      </w:r>
      <w:r>
        <w:rPr>
          <w:rFonts w:ascii="宋体" w:hAnsi="宋体" w:cs="宋体"/>
          <w:b/>
          <w:color w:val="000000"/>
          <w:szCs w:val="21"/>
          <w:highlight w:val="none"/>
        </w:rPr>
      </w:r>
      <w:r/>
    </w:p>
    <w:p>
      <w:pPr>
        <w:pStyle w:val="99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服务经费结算与考核成绩挂钩。每年从项目服务经费中抽出10%作为绩效考核费用，按月考核合同期满结算。若考核扣款等于或大于10%的按10%扣款。项目服务完成，结算考核扣款后将剩余部分凭有效发票一次性结算给乙方。</w:t>
      </w:r>
      <w:r>
        <w:rPr>
          <w:rFonts w:hint="eastAsia" w:ascii="宋体" w:hAnsi="宋体" w:eastAsia="宋体" w:cs="宋体"/>
          <w:color w:val="000000"/>
          <w:szCs w:val="21"/>
          <w:highlight w:val="none"/>
        </w:rPr>
      </w:r>
      <w:r/>
    </w:p>
    <w:p>
      <w:pPr>
        <w:pStyle w:val="99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体考核为：根据常政发〔2022〕113号《市政府关于进一步完善常州市城市长效综合管理考核工作的实施意见》、常城管委办〔2022〕11号《常州市城市管理委员会办公室关于印发《常州市城市长效综合管理专项考核标准及扣分细则》的通知》结合实际，</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1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市级下派问题（包括市考评、市领导派发、媒体曝光、12345）每1张工单扣款5000元。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2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区级下派问题（包括区考评、区领导派发）每1张工单扣款2000元。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3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③</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镇领导下派及群众举报问题每1张工单扣款1000元。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4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④</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镇级现场综合考核，每一个问题扣500元。</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 5 \* GB3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⑤</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日常考核（一体化平台派单及微信工作群派单）为即时整改考核，在规定的时间和整改要求内将问题整改到位的不扣款，超时整改的每1张工单扣500元，超时不整改的每张工单扣500元，并承担整改费用。但即时整改工单每天不得超过10个，每超一个扣 100元。 </w:t>
      </w:r>
      <w:r>
        <w:rPr>
          <w:rFonts w:hint="eastAsia" w:ascii="宋体" w:hAnsi="宋体" w:eastAsia="宋体" w:cs="宋体"/>
          <w:color w:val="000000"/>
          <w:szCs w:val="21"/>
          <w:highlight w:val="none"/>
        </w:rPr>
      </w:r>
      <w:r/>
    </w:p>
    <w:p>
      <w:pPr>
        <w:pStyle w:val="994"/>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1025"/>
        <w:jc w:val="center"/>
        <w:tabs>
          <w:tab w:val="left" w:pos="567" w:leader="none"/>
        </w:tabs>
        <w:rPr>
          <w:color w:val="000000"/>
          <w:highlight w:val="none"/>
        </w:rPr>
      </w:pPr>
      <w:r>
        <w:rPr>
          <w:rFonts w:hint="eastAsia"/>
          <w:color w:val="000000"/>
          <w:highlight w:val="none"/>
        </w:rPr>
        <mc:AlternateContent>
          <mc:Choice Requires="wpg">
            <w:drawing>
              <wp:inline xmlns:wp="http://schemas.openxmlformats.org/drawingml/2006/wordprocessingDrawing" distT="0" distB="0" distL="0" distR="0">
                <wp:extent cx="5274310" cy="74771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74310" cy="747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588.8pt;mso-wrap-distance-left:0.0pt;mso-wrap-distance-top:0.0pt;mso-wrap-distance-right:0.0pt;mso-wrap-distance-bottom:0.0pt;" stroked="f">
                <v:path textboxrect="0,0,0,0"/>
                <v:imagedata r:id="rId26" o:title=""/>
              </v:shape>
            </w:pict>
          </mc:Fallback>
        </mc:AlternateContent>
      </w:r>
      <w:r>
        <w:rPr>
          <w:rFonts w:hint="eastAsia"/>
          <w:color w:val="000000"/>
          <w:highlight w:val="none"/>
        </w:rPr>
        <mc:AlternateContent>
          <mc:Choice Requires="wpg">
            <w:drawing>
              <wp:inline xmlns:wp="http://schemas.openxmlformats.org/drawingml/2006/wordprocessingDrawing" distT="0" distB="0" distL="0" distR="0">
                <wp:extent cx="5274310" cy="74771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74310" cy="747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3pt;height:588.8pt;mso-wrap-distance-left:0.0pt;mso-wrap-distance-top:0.0pt;mso-wrap-distance-right:0.0pt;mso-wrap-distance-bottom:0.0pt;" stroked="f">
                <v:path textboxrect="0,0,0,0"/>
                <v:imagedata r:id="rId27" o:title=""/>
              </v:shape>
            </w:pict>
          </mc:Fallback>
        </mc:AlternateContent>
      </w:r>
      <w:r>
        <w:rPr>
          <w:color w:val="000000"/>
          <w:highlight w:val="none"/>
        </w:rPr>
      </w:r>
      <w:r/>
    </w:p>
    <w:p>
      <w:pPr>
        <w:pStyle w:val="1025"/>
        <w:tabs>
          <w:tab w:val="left" w:pos="567" w:leader="none"/>
        </w:tabs>
        <w:rPr>
          <w:color w:val="000000"/>
          <w:highlight w:val="none"/>
        </w:rPr>
      </w:pPr>
      <w:r>
        <w:rPr>
          <w:color w:val="000000"/>
          <w:highlight w:val="none"/>
        </w:rPr>
      </w:r>
      <w:r/>
    </w:p>
    <w:p>
      <w:pPr>
        <w:pStyle w:val="994"/>
        <w:ind w:firstLine="420"/>
        <w:spacing w:line="360" w:lineRule="exact"/>
        <w:tabs>
          <w:tab w:val="left" w:pos="284" w:leader="none"/>
        </w:tabs>
        <w:rPr>
          <w:rFonts w:ascii="宋体" w:hAnsi="宋体" w:cs="宋体"/>
          <w:color w:val="000000"/>
          <w:szCs w:val="21"/>
          <w:highlight w:val="none"/>
        </w:rPr>
      </w:pPr>
      <w:r>
        <w:rPr>
          <w:rFonts w:ascii="宋体" w:hAnsi="宋体" w:cs="宋体"/>
          <w:color w:val="000000"/>
          <w:szCs w:val="21"/>
          <w:highlight w:val="none"/>
        </w:rPr>
      </w:r>
      <w:r/>
    </w:p>
    <w:p>
      <w:pPr>
        <w:pStyle w:val="994"/>
        <w:ind w:firstLine="606"/>
        <w:jc w:val="center"/>
        <w:spacing w:line="72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1025"/>
        <w:jc w:val="both"/>
        <w:tabs>
          <w:tab w:val="left" w:pos="567" w:leader="none"/>
        </w:tabs>
        <w:rPr>
          <w:rFonts w:hint="eastAsia"/>
          <w:color w:val="000000"/>
          <w:highlight w:val="none"/>
        </w:rPr>
      </w:pPr>
      <w:r>
        <w:rPr>
          <w:rFonts w:hint="eastAsia" w:cs="宋体"/>
          <w:color w:val="000000"/>
          <w:szCs w:val="21"/>
          <w:highlight w:val="none"/>
        </w:rPr>
        <mc:AlternateContent>
          <mc:Choice Requires="wpg">
            <w:drawing>
              <wp:inline xmlns:wp="http://schemas.openxmlformats.org/drawingml/2006/wordprocessingDrawing" distT="0" distB="0" distL="0" distR="0">
                <wp:extent cx="5759120" cy="408701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759120" cy="40870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321.8pt;mso-wrap-distance-left:0.0pt;mso-wrap-distance-top:0.0pt;mso-wrap-distance-right:0.0pt;mso-wrap-distance-bottom:0.0pt;" stroked="f">
                <v:path textboxrect="0,0,0,0"/>
                <v:imagedata r:id="rId28" o:title=""/>
              </v:shape>
            </w:pict>
          </mc:Fallback>
        </mc:AlternateContent>
      </w:r>
      <w:r>
        <w:rPr>
          <w:rFonts w:hint="eastAsia" w:cs="宋体"/>
          <w:color w:val="000000"/>
          <w:szCs w:val="21"/>
          <w:highlight w:val="none"/>
        </w:rPr>
        <mc:AlternateContent>
          <mc:Choice Requires="wpg">
            <w:drawing>
              <wp:inline xmlns:wp="http://schemas.openxmlformats.org/drawingml/2006/wordprocessingDrawing" distT="0" distB="0" distL="0" distR="0">
                <wp:extent cx="5764822" cy="4087012"/>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764822" cy="40870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9pt;height:321.8pt;mso-wrap-distance-left:0.0pt;mso-wrap-distance-top:0.0pt;mso-wrap-distance-right:0.0pt;mso-wrap-distance-bottom:0.0pt;" stroked="f">
                <v:path textboxrect="0,0,0,0"/>
                <v:imagedata r:id="rId29" o:title=""/>
              </v:shape>
            </w:pict>
          </mc:Fallback>
        </mc:AlternateContent>
      </w:r>
      <w:r>
        <w:rPr>
          <w:color w:val="000000"/>
          <w:highlight w:val="none"/>
        </w:rPr>
        <mc:AlternateContent>
          <mc:Choice Requires="wpg">
            <w:drawing>
              <wp:inline xmlns:wp="http://schemas.openxmlformats.org/drawingml/2006/wordprocessingDrawing" distT="0" distB="0" distL="0" distR="0">
                <wp:extent cx="5632450" cy="399224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632450" cy="399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3.5pt;height:314.3pt;mso-wrap-distance-left:0.0pt;mso-wrap-distance-top:0.0pt;mso-wrap-distance-right:0.0pt;mso-wrap-distance-bottom:0.0pt;" stroked="f">
                <v:path textboxrect="0,0,0,0"/>
                <v:imagedata r:id="rId30" o:title=""/>
              </v:shape>
            </w:pict>
          </mc:Fallback>
        </mc:AlternateContent>
      </w:r>
      <w:r>
        <w:rPr>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5635625" cy="39941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35625" cy="399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3.8pt;height:314.5pt;mso-wrap-distance-left:0.0pt;mso-wrap-distance-top:0.0pt;mso-wrap-distance-right:0.0pt;mso-wrap-distance-bottom:0.0pt;" stroked="f">
                <v:path textboxrect="0,0,0,0"/>
                <v:imagedata r:id="rId31" o:title=""/>
              </v:shape>
            </w:pict>
          </mc:Fallback>
        </mc:AlternateContent>
      </w:r>
      <w:r>
        <w:rPr>
          <w:rFonts w:hint="eastAsia"/>
          <w:color w:val="000000"/>
          <w:highlight w:val="none"/>
        </w:rPr>
      </w:r>
      <w:r/>
    </w:p>
    <w:p>
      <w:pPr>
        <w:pStyle w:val="994"/>
        <w:rPr>
          <w:rFonts w:hint="eastAsia"/>
          <w:color w:val="000000"/>
          <w:highlight w:val="none"/>
        </w:rPr>
      </w:pPr>
      <w:r>
        <w:rPr>
          <w:rFonts w:hint="eastAsia"/>
          <w:color w:val="000000"/>
          <w:highlight w:val="none"/>
        </w:rPr>
      </w:r>
      <w:r/>
    </w:p>
    <w:p>
      <w:pPr>
        <w:pStyle w:val="994"/>
        <w:jc w:val="left"/>
        <w:spacing w:line="240" w:lineRule="auto"/>
        <w:rPr>
          <w:color w:val="000000"/>
          <w:highlight w:val="none"/>
        </w:rPr>
      </w:pPr>
      <w:r>
        <w:rPr>
          <w:color w:val="000000"/>
          <w:highlight w:val="none"/>
        </w:rPr>
        <mc:AlternateContent>
          <mc:Choice Requires="wpg">
            <w:drawing>
              <wp:inline xmlns:wp="http://schemas.openxmlformats.org/drawingml/2006/wordprocessingDrawing" distT="0" distB="0" distL="0" distR="0">
                <wp:extent cx="5583555" cy="395716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583555" cy="39571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9.6pt;height:311.6pt;mso-wrap-distance-left:0.0pt;mso-wrap-distance-top:0.0pt;mso-wrap-distance-right:0.0pt;mso-wrap-distance-bottom:0.0pt;" stroked="f">
                <v:path textboxrect="0,0,0,0"/>
                <v:imagedata r:id="rId32" o:title=""/>
              </v:shape>
            </w:pict>
          </mc:Fallback>
        </mc:AlternateContent>
      </w:r>
      <w:r>
        <w:rPr>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5584190" cy="395795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584190" cy="39579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39.7pt;height:311.6pt;mso-wrap-distance-left:0.0pt;mso-wrap-distance-top:0.0pt;mso-wrap-distance-right:0.0pt;mso-wrap-distance-bottom:0.0pt;" stroked="f">
                <v:path textboxrect="0,0,0,0"/>
                <v:imagedata r:id="rId33" o:title=""/>
              </v:shape>
            </w:pict>
          </mc:Fallback>
        </mc:AlternateContent>
      </w:r>
      <w:r>
        <w:rPr>
          <w:color w:val="000000"/>
          <w:highlight w:val="none"/>
        </w:rPr>
      </w:r>
      <w:r/>
    </w:p>
    <w:p>
      <w:pPr>
        <w:pStyle w:val="994"/>
        <w:jc w:val="center"/>
        <w:spacing w:line="24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廉政责任书</w:t>
      </w:r>
      <w:r>
        <w:rPr>
          <w:rFonts w:ascii="宋体" w:hAnsi="宋体" w:cs="宋体"/>
          <w:b/>
          <w:bCs/>
          <w:color w:val="000000"/>
          <w:sz w:val="32"/>
          <w:szCs w:val="32"/>
          <w:highlight w:val="none"/>
        </w:rPr>
      </w:r>
      <w:r/>
    </w:p>
    <w:p>
      <w:pPr>
        <w:pStyle w:val="994"/>
        <w:ind w:firstLine="480"/>
        <w:jc w:val="center"/>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pStyle w:val="994"/>
        <w:ind w:firstLine="420"/>
        <w:jc w:val="left"/>
        <w:spacing w:line="46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为进一步加强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的廉政建设，特订立如下责任书。</w:t>
      </w:r>
      <w:r>
        <w:rPr>
          <w:rFonts w:ascii="宋体" w:hAnsi="宋体" w:cs="宋体"/>
          <w:color w:val="000000"/>
          <w:szCs w:val="21"/>
          <w:highlight w:val="none"/>
        </w:rPr>
      </w:r>
      <w:r/>
    </w:p>
    <w:p>
      <w:pPr>
        <w:pStyle w:val="994"/>
        <w:ind w:firstLine="422"/>
        <w:jc w:val="left"/>
        <w:spacing w:line="46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一、甲、乙双方的权利和义务</w:t>
      </w:r>
      <w:r>
        <w:rPr>
          <w:rFonts w:ascii="宋体" w:hAnsi="宋体" w:cs="宋体"/>
          <w:b/>
          <w:bCs/>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1.甲乙双方应严格遵守党的政策规定和国家有关法律法规。</w:t>
      </w:r>
      <w:r>
        <w:rPr>
          <w:rFonts w:ascii="宋体" w:hAnsi="宋体" w:cs="宋体"/>
          <w:color w:val="000000"/>
          <w:szCs w:val="21"/>
          <w:highlight w:val="none"/>
        </w:rPr>
      </w:r>
      <w:r/>
    </w:p>
    <w:p>
      <w:pPr>
        <w:pStyle w:val="994"/>
        <w:ind w:firstLine="420"/>
        <w:jc w:val="left"/>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2.甲乙双方应严格执行项目的合同文件，自觉按合同办事。</w:t>
      </w:r>
      <w:r>
        <w:rPr>
          <w:rFonts w:hint="eastAsia" w:ascii="宋体" w:hAnsi="宋体" w:cs="宋体"/>
          <w:color w:val="000000"/>
          <w:szCs w:val="21"/>
          <w:highlight w:val="none"/>
        </w:rPr>
      </w:r>
      <w:r/>
    </w:p>
    <w:p>
      <w:pPr>
        <w:pStyle w:val="994"/>
        <w:ind w:firstLine="420"/>
        <w:jc w:val="left"/>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3.甲乙双方的业务活动应坚持公开、公平、公正、诚信、透明的原则。</w:t>
      </w:r>
      <w:r>
        <w:rPr>
          <w:rFonts w:hint="eastAsia" w:ascii="宋体" w:hAnsi="宋体" w:cs="宋体"/>
          <w:color w:val="000000"/>
          <w:szCs w:val="21"/>
          <w:highlight w:val="none"/>
        </w:rPr>
      </w:r>
      <w:r/>
    </w:p>
    <w:p>
      <w:pPr>
        <w:pStyle w:val="994"/>
        <w:ind w:firstLine="420"/>
        <w:jc w:val="left"/>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4.甲乙双方不得以任何理由向对方工作人员行贿或馈赠礼金、有价证券、贵重礼品。不得在对方报销任何应由个人支付的费用。</w:t>
      </w:r>
      <w:r>
        <w:rPr>
          <w:rFonts w:hint="eastAsia" w:ascii="宋体" w:hAnsi="宋体" w:cs="宋体"/>
          <w:color w:val="000000"/>
          <w:szCs w:val="21"/>
          <w:highlight w:val="none"/>
        </w:rPr>
      </w:r>
      <w:r/>
    </w:p>
    <w:p>
      <w:pPr>
        <w:pStyle w:val="994"/>
        <w:ind w:firstLine="420"/>
        <w:jc w:val="left"/>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5.甲乙双方不得以任何理由违反廉洁自律的有关规定。</w:t>
      </w:r>
      <w:r>
        <w:rPr>
          <w:rFonts w:hint="eastAsia" w:ascii="宋体" w:hAnsi="宋体" w:cs="宋体"/>
          <w:color w:val="000000"/>
          <w:szCs w:val="21"/>
          <w:highlight w:val="none"/>
        </w:rPr>
      </w:r>
      <w:r/>
    </w:p>
    <w:p>
      <w:pPr>
        <w:pStyle w:val="994"/>
        <w:ind w:firstLine="420"/>
        <w:jc w:val="left"/>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cs="宋体"/>
          <w:color w:val="000000"/>
          <w:szCs w:val="21"/>
          <w:highlight w:val="none"/>
        </w:rPr>
      </w:r>
      <w:r/>
    </w:p>
    <w:p>
      <w:pPr>
        <w:pStyle w:val="994"/>
        <w:ind w:firstLine="422"/>
        <w:jc w:val="left"/>
        <w:spacing w:line="46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二、违约责任</w:t>
      </w:r>
      <w:r>
        <w:rPr>
          <w:rFonts w:ascii="宋体" w:hAnsi="宋体" w:cs="宋体"/>
          <w:b/>
          <w:bCs/>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2.本协议一式三份，由甲、乙双方各执一份，送交甲方的监督单位一份。</w:t>
      </w: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甲方单位（盖章）：              乙方单位（盖章）：</w:t>
      </w: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法定代表人：                    法定代表人：</w:t>
      </w: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日期：年 月 日                  日期：年 月 日</w:t>
      </w:r>
      <w:r>
        <w:rPr>
          <w:rFonts w:ascii="宋体" w:hAnsi="宋体" w:cs="宋体"/>
          <w:color w:val="000000"/>
          <w:szCs w:val="21"/>
          <w:highlight w:val="none"/>
        </w:rPr>
      </w:r>
      <w:r/>
    </w:p>
    <w:p>
      <w:pPr>
        <w:pStyle w:val="994"/>
        <w:ind w:left="-199" w:right="-395" w:firstLine="420"/>
        <w:spacing w:line="460" w:lineRule="exact"/>
        <w:rPr>
          <w:rFonts w:ascii="宋体" w:hAnsi="宋体" w:cs="宋体"/>
          <w:color w:val="000000"/>
          <w:szCs w:val="21"/>
          <w:highlight w:val="none"/>
        </w:rPr>
      </w:pP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见证单位（盖章）：</w:t>
      </w:r>
      <w:r>
        <w:rPr>
          <w:rFonts w:ascii="宋体" w:hAnsi="宋体" w:cs="宋体"/>
          <w:color w:val="000000"/>
          <w:szCs w:val="21"/>
          <w:highlight w:val="none"/>
        </w:rPr>
      </w:r>
      <w:r/>
    </w:p>
    <w:p>
      <w:pPr>
        <w:pStyle w:val="994"/>
        <w:ind w:firstLine="420"/>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日期：年 月 日 </w:t>
      </w:r>
      <w:r>
        <w:rPr>
          <w:rFonts w:ascii="宋体" w:hAnsi="宋体" w:cs="宋体"/>
          <w:color w:val="000000"/>
          <w:szCs w:val="21"/>
          <w:highlight w:val="none"/>
        </w:rPr>
      </w:r>
      <w:r/>
    </w:p>
    <w:p>
      <w:pPr>
        <w:pStyle w:val="994"/>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94"/>
        <w:rPr>
          <w:rFonts w:ascii="宋体" w:hAnsi="宋体" w:cs="宋体"/>
          <w:b/>
          <w:color w:val="000000"/>
          <w:sz w:val="30"/>
          <w:szCs w:val="30"/>
          <w:highlight w:val="none"/>
        </w:rPr>
      </w:pPr>
      <w:r>
        <w:rPr>
          <w:rFonts w:ascii="宋体" w:hAnsi="宋体" w:cs="宋体"/>
          <w:b/>
          <w:color w:val="000000"/>
          <w:sz w:val="30"/>
          <w:szCs w:val="30"/>
          <w:highlight w:val="none"/>
        </w:rPr>
      </w:r>
      <w:r/>
    </w:p>
    <w:p>
      <w:pPr>
        <w:pStyle w:val="994"/>
        <w:ind w:firstLine="643"/>
        <w:spacing w:line="400" w:lineRule="exact"/>
        <w:rPr>
          <w:b/>
          <w:color w:val="000000"/>
          <w:sz w:val="32"/>
          <w:szCs w:val="32"/>
          <w:highlight w:val="none"/>
        </w:rPr>
      </w:pPr>
      <w:r>
        <w:rPr>
          <w:b/>
          <w:color w:val="000000"/>
          <w:sz w:val="32"/>
          <w:szCs w:val="32"/>
          <w:highlight w:val="none"/>
        </w:rPr>
      </w:r>
      <w:r/>
    </w:p>
    <w:p>
      <w:pPr>
        <w:pStyle w:val="994"/>
        <w:rPr>
          <w:rFonts w:hint="eastAsia" w:ascii="宋体" w:hAnsi="宋体" w:eastAsia="宋体" w:cs="宋体"/>
          <w:color w:val="000000"/>
          <w:sz w:val="21"/>
          <w:szCs w:val="21"/>
          <w:highlight w:val="none"/>
        </w:rPr>
      </w:pPr>
      <w:r>
        <w:rPr>
          <w:b/>
          <w:color w:val="000000"/>
          <w:sz w:val="32"/>
          <w:szCs w:val="32"/>
          <w:highlight w:val="none"/>
        </w:rPr>
        <w:br w:type="page" w:clear="all"/>
      </w:r>
      <w:r>
        <w:rPr>
          <w:rFonts w:hint="eastAsia" w:ascii="宋体" w:hAnsi="宋体" w:eastAsia="宋体" w:cs="宋体"/>
          <w:color w:val="000000"/>
          <w:sz w:val="21"/>
          <w:szCs w:val="21"/>
          <w:highlight w:val="none"/>
        </w:rPr>
      </w:r>
      <w:r/>
    </w:p>
    <w:p>
      <w:pPr>
        <w:pStyle w:val="994"/>
        <w:jc w:val="center"/>
        <w:spacing w:line="360" w:lineRule="auto"/>
        <w:rPr>
          <w:b/>
          <w:color w:val="000000"/>
          <w:sz w:val="24"/>
          <w:highlight w:val="none"/>
        </w:rPr>
        <w:outlineLvl w:val="0"/>
      </w:pPr>
      <w:r>
        <w:rPr>
          <w:b/>
          <w:color w:val="000000"/>
          <w:sz w:val="32"/>
          <w:szCs w:val="32"/>
          <w:highlight w:val="none"/>
        </w:rPr>
        <w:t xml:space="preserve">第六章   响应文件格式</w:t>
      </w:r>
      <w:bookmarkEnd w:id="675"/>
      <w:r>
        <w:rPr>
          <w:b/>
          <w:color w:val="000000"/>
          <w:sz w:val="24"/>
          <w:highlight w:val="none"/>
        </w:rPr>
      </w:r>
      <w:r/>
    </w:p>
    <w:p>
      <w:pPr>
        <w:pStyle w:val="994"/>
        <w:spacing w:line="360" w:lineRule="auto"/>
        <w:tabs>
          <w:tab w:val="left" w:pos="900" w:leader="none"/>
          <w:tab w:val="left" w:pos="19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供应商编制文件须知</w:t>
      </w:r>
      <w:r>
        <w:rPr>
          <w:rFonts w:hint="eastAsia" w:ascii="宋体" w:hAnsi="宋体" w:eastAsia="宋体" w:cs="宋体"/>
          <w:b/>
          <w:color w:val="000000"/>
          <w:sz w:val="21"/>
          <w:szCs w:val="21"/>
          <w:highlight w:val="none"/>
        </w:rPr>
      </w:r>
      <w:r/>
    </w:p>
    <w:p>
      <w:pPr>
        <w:pStyle w:val="994"/>
        <w:numPr>
          <w:ilvl w:val="0"/>
          <w:numId w:val="10"/>
        </w:numPr>
        <w:ind w:firstLine="420"/>
        <w:spacing w:line="360" w:lineRule="auto"/>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1"/>
          <w:szCs w:val="21"/>
          <w:highlight w:val="none"/>
        </w:rPr>
      </w:r>
      <w:r/>
    </w:p>
    <w:p>
      <w:pPr>
        <w:pStyle w:val="994"/>
        <w:numPr>
          <w:ilvl w:val="0"/>
          <w:numId w:val="10"/>
        </w:numPr>
        <w:ind w:left="0" w:firstLine="422"/>
        <w:spacing w:line="360" w:lineRule="auto"/>
        <w:tabs>
          <w:tab w:val="left" w:pos="900" w:leader="none"/>
          <w:tab w:val="left" w:pos="19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对于竞争性磋商文件中标记了“实质性格式”文件的，供应商</w:t>
      </w:r>
      <w:r>
        <w:rPr>
          <w:rFonts w:hint="eastAsia" w:ascii="宋体" w:hAnsi="宋体" w:eastAsia="宋体" w:cs="宋体"/>
          <w:b/>
          <w:bCs/>
          <w:color w:val="000000"/>
          <w:sz w:val="21"/>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color w:val="000000"/>
          <w:sz w:val="21"/>
          <w:szCs w:val="21"/>
          <w:highlight w:val="none"/>
        </w:rPr>
        <w:t xml:space="preserve">否则响应无效。未标记“实质性格式”的文件和竞争性磋商文件未提供格式的内容，可由供应商自行编写。</w:t>
      </w:r>
      <w:r>
        <w:rPr>
          <w:rFonts w:hint="eastAsia" w:ascii="宋体" w:hAnsi="宋体" w:eastAsia="宋体" w:cs="宋体"/>
          <w:b/>
          <w:bCs/>
          <w:color w:val="000000"/>
          <w:sz w:val="21"/>
          <w:szCs w:val="21"/>
          <w:highlight w:val="none"/>
        </w:rPr>
      </w:r>
      <w:r/>
    </w:p>
    <w:p>
      <w:pPr>
        <w:pStyle w:val="994"/>
        <w:numPr>
          <w:ilvl w:val="0"/>
          <w:numId w:val="10"/>
        </w:numPr>
        <w:ind w:firstLine="420"/>
        <w:spacing w:line="360" w:lineRule="auto"/>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全部声明和问题的回答及所附材料必须是真实的、准确</w:t>
      </w:r>
      <w:r>
        <w:rPr>
          <w:rFonts w:hint="eastAsia" w:ascii="宋体" w:hAnsi="宋体" w:eastAsia="宋体" w:cs="宋体"/>
          <w:color w:val="000000"/>
          <w:sz w:val="21"/>
          <w:szCs w:val="21"/>
          <w:highlight w:val="none"/>
        </w:rPr>
        <w:t xml:space="preserve">的和完整的。</w:t>
      </w:r>
      <w:r>
        <w:rPr>
          <w:rFonts w:hint="eastAsia" w:ascii="宋体" w:hAnsi="宋体" w:eastAsia="宋体" w:cs="宋体"/>
          <w:color w:val="000000"/>
          <w:sz w:val="21"/>
          <w:szCs w:val="21"/>
          <w:highlight w:val="none"/>
        </w:rPr>
      </w:r>
      <w:r/>
    </w:p>
    <w:p>
      <w:pPr>
        <w:pStyle w:val="994"/>
        <w:numPr>
          <w:ilvl w:val="0"/>
          <w:numId w:val="10"/>
        </w:numPr>
        <w:ind w:firstLine="422"/>
        <w:spacing w:line="360" w:lineRule="auto"/>
        <w:tabs>
          <w:tab w:val="left" w:pos="900" w:leader="none"/>
          <w:tab w:val="left" w:pos="19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实行电子化不见面交易方式的，加盖公章、签名等均通过响应文件编制工具加盖电子公章、签字、签章或印鉴。</w:t>
      </w:r>
      <w:r>
        <w:rPr>
          <w:rFonts w:hint="eastAsia" w:ascii="宋体" w:hAnsi="宋体" w:eastAsia="宋体" w:cs="宋体"/>
          <w:b/>
          <w:bCs/>
          <w:color w:val="000000"/>
          <w:sz w:val="21"/>
          <w:szCs w:val="21"/>
          <w:highlight w:val="none"/>
        </w:rPr>
      </w:r>
      <w:r/>
    </w:p>
    <w:p>
      <w:pPr>
        <w:pStyle w:val="994"/>
        <w:jc w:val="left"/>
        <w:widowControl/>
        <w:rPr>
          <w:b/>
          <w:color w:val="000000"/>
          <w:sz w:val="21"/>
          <w:szCs w:val="21"/>
          <w:highlight w:val="none"/>
        </w:rPr>
      </w:pPr>
      <w:r>
        <w:rPr>
          <w:color w:val="000000"/>
          <w:sz w:val="24"/>
          <w:highlight w:val="none"/>
        </w:rPr>
        <w:br w:type="page" w:clear="all"/>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 w:val="28"/>
          <w:szCs w:val="28"/>
          <w:highlight w:val="none"/>
        </w:rPr>
        <w:t xml:space="preserve">响应文件</w:t>
      </w:r>
      <w:r>
        <w:rPr>
          <w:b/>
          <w:color w:val="000000"/>
          <w:sz w:val="28"/>
          <w:szCs w:val="28"/>
          <w:highlight w:val="none"/>
        </w:rPr>
        <w:t xml:space="preserve">封面（非实质性格式）</w:t>
      </w:r>
      <w:r>
        <w:rPr>
          <w:b/>
          <w:color w:val="000000"/>
          <w:sz w:val="21"/>
          <w:szCs w:val="21"/>
          <w:highlight w:val="none"/>
        </w:rPr>
      </w:r>
      <w:r/>
    </w:p>
    <w:p>
      <w:pPr>
        <w:pStyle w:val="994"/>
        <w:jc w:val="center"/>
        <w:rPr>
          <w:color w:val="000000"/>
          <w:szCs w:val="21"/>
          <w:highlight w:val="none"/>
        </w:rPr>
      </w:pPr>
      <w:r>
        <w:rPr>
          <w:color w:val="000000"/>
          <w:szCs w:val="21"/>
          <w:highlight w:val="none"/>
        </w:rPr>
      </w:r>
      <w:r/>
    </w:p>
    <w:p>
      <w:pPr>
        <w:pStyle w:val="994"/>
        <w:jc w:val="center"/>
        <w:rPr>
          <w:b/>
          <w:color w:val="000000"/>
          <w:spacing w:val="60"/>
          <w:sz w:val="84"/>
          <w:szCs w:val="84"/>
          <w:highlight w:val="none"/>
        </w:rPr>
      </w:pPr>
      <w:r>
        <w:rPr>
          <w:b/>
          <w:color w:val="000000"/>
          <w:spacing w:val="60"/>
          <w:sz w:val="84"/>
          <w:szCs w:val="84"/>
          <w:highlight w:val="none"/>
        </w:rPr>
      </w:r>
      <w:r/>
    </w:p>
    <w:p>
      <w:pPr>
        <w:pStyle w:val="994"/>
        <w:jc w:val="center"/>
        <w:rPr>
          <w:b/>
          <w:color w:val="000000"/>
          <w:spacing w:val="60"/>
          <w:sz w:val="84"/>
          <w:szCs w:val="84"/>
          <w:highlight w:val="none"/>
        </w:rPr>
      </w:pPr>
      <w:r>
        <w:rPr>
          <w:b/>
          <w:color w:val="000000"/>
          <w:spacing w:val="60"/>
          <w:sz w:val="84"/>
          <w:szCs w:val="84"/>
          <w:highlight w:val="none"/>
        </w:rPr>
      </w:r>
      <w:r/>
    </w:p>
    <w:p>
      <w:pPr>
        <w:pStyle w:val="994"/>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94"/>
        <w:jc w:val="center"/>
        <w:rPr>
          <w:b/>
          <w:color w:val="000000"/>
          <w:spacing w:val="60"/>
          <w:sz w:val="52"/>
          <w:szCs w:val="52"/>
          <w:highlight w:val="none"/>
        </w:rPr>
      </w:pPr>
      <w:r>
        <w:rPr>
          <w:b/>
          <w:color w:val="000000"/>
          <w:spacing w:val="60"/>
          <w:sz w:val="52"/>
          <w:szCs w:val="52"/>
          <w:highlight w:val="none"/>
        </w:rPr>
      </w:r>
      <w:r/>
    </w:p>
    <w:p>
      <w:pPr>
        <w:pStyle w:val="994"/>
        <w:ind w:firstLine="542"/>
        <w:rPr>
          <w:b/>
          <w:color w:val="000000"/>
          <w:spacing w:val="20"/>
          <w:sz w:val="32"/>
          <w:szCs w:val="32"/>
          <w:highlight w:val="none"/>
        </w:rPr>
      </w:pPr>
      <w:r>
        <w:rPr>
          <w:b/>
          <w:color w:val="000000"/>
          <w:spacing w:val="20"/>
          <w:sz w:val="32"/>
          <w:szCs w:val="32"/>
          <w:highlight w:val="none"/>
        </w:rPr>
      </w:r>
      <w:r/>
    </w:p>
    <w:p>
      <w:pPr>
        <w:pStyle w:val="996"/>
        <w:rPr>
          <w:b w:val="0"/>
          <w:color w:val="000000"/>
          <w:spacing w:val="20"/>
          <w:sz w:val="32"/>
          <w:szCs w:val="32"/>
          <w:highlight w:val="none"/>
        </w:rPr>
      </w:pPr>
      <w:r>
        <w:rPr>
          <w:b w:val="0"/>
          <w:color w:val="000000"/>
          <w:spacing w:val="20"/>
          <w:sz w:val="32"/>
          <w:szCs w:val="32"/>
          <w:highlight w:val="none"/>
        </w:rPr>
      </w:r>
      <w:r/>
    </w:p>
    <w:p>
      <w:pPr>
        <w:pStyle w:val="994"/>
        <w:rPr>
          <w:b/>
          <w:color w:val="000000"/>
          <w:spacing w:val="20"/>
          <w:sz w:val="32"/>
          <w:szCs w:val="32"/>
          <w:highlight w:val="none"/>
        </w:rPr>
      </w:pPr>
      <w:r>
        <w:rPr>
          <w:b/>
          <w:color w:val="000000"/>
          <w:spacing w:val="20"/>
          <w:sz w:val="32"/>
          <w:szCs w:val="32"/>
          <w:highlight w:val="none"/>
        </w:rPr>
      </w:r>
      <w:r/>
    </w:p>
    <w:p>
      <w:pPr>
        <w:pStyle w:val="996"/>
        <w:rPr>
          <w:color w:val="000000"/>
          <w:highlight w:val="none"/>
        </w:rPr>
      </w:pPr>
      <w:r>
        <w:rPr>
          <w:color w:val="000000"/>
          <w:highlight w:val="none"/>
        </w:rPr>
      </w:r>
      <w:r/>
    </w:p>
    <w:p>
      <w:pPr>
        <w:pStyle w:val="994"/>
        <w:ind w:firstLine="542"/>
        <w:rPr>
          <w:b/>
          <w:color w:val="000000"/>
          <w:spacing w:val="20"/>
          <w:sz w:val="32"/>
          <w:szCs w:val="32"/>
          <w:highlight w:val="none"/>
        </w:rPr>
      </w:pPr>
      <w:r>
        <w:rPr>
          <w:b/>
          <w:color w:val="000000"/>
          <w:spacing w:val="20"/>
          <w:sz w:val="32"/>
          <w:szCs w:val="32"/>
          <w:highlight w:val="none"/>
        </w:rPr>
      </w:r>
      <w:r/>
    </w:p>
    <w:p>
      <w:pPr>
        <w:pStyle w:val="99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4"/>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4"/>
        <w:spacing w:line="360" w:lineRule="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4"/>
        <w:jc w:val="center"/>
        <w:rPr>
          <w:b/>
          <w:color w:val="000000"/>
          <w:sz w:val="32"/>
          <w:szCs w:val="32"/>
          <w:highlight w:val="none"/>
        </w:rPr>
      </w:pPr>
      <w:r>
        <w:rPr>
          <w:b/>
          <w:color w:val="000000"/>
          <w:sz w:val="32"/>
          <w:szCs w:val="32"/>
          <w:highlight w:val="none"/>
        </w:rPr>
      </w:r>
      <w:r/>
    </w:p>
    <w:p>
      <w:pPr>
        <w:pStyle w:val="994"/>
        <w:rPr>
          <w:b/>
          <w:color w:val="000000"/>
          <w:highlight w:val="none"/>
        </w:rPr>
      </w:pPr>
      <w:r>
        <w:rPr>
          <w:b/>
          <w:color w:val="000000"/>
          <w:spacing w:val="20"/>
          <w:sz w:val="32"/>
          <w:szCs w:val="32"/>
          <w:highlight w:val="none"/>
        </w:rPr>
        <w:br w:type="page" w:clear="all"/>
      </w:r>
      <w:r>
        <w:rPr>
          <w:b/>
          <w:color w:val="000000"/>
          <w:highlight w:val="none"/>
        </w:rPr>
      </w:r>
      <w:r/>
    </w:p>
    <w:p>
      <w:pPr>
        <w:pStyle w:val="994"/>
        <w:spacing w:line="24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p>
      <w:pPr>
        <w:pStyle w:val="997"/>
        <w:spacing w:line="240" w:lineRule="auto"/>
        <w:rPr>
          <w:rFonts w:ascii="宋体" w:hAnsi="宋体" w:eastAsia="宋体" w:cs="宋体"/>
          <w:b w:val="0"/>
          <w:color w:val="000000"/>
          <w:sz w:val="21"/>
          <w:szCs w:val="21"/>
          <w:highlight w:val="none"/>
          <w:u w:val="none"/>
          <w:lang w:val="en-US" w:eastAsia="zh-CN"/>
        </w:rPr>
      </w:pPr>
      <w:r>
        <w:rPr>
          <w:rFonts w:hint="eastAsia" w:hAnsi="宋体" w:eastAsia="宋体" w:cs="宋体"/>
          <w:b w:val="0"/>
          <w:color w:val="000000"/>
          <w:sz w:val="21"/>
          <w:szCs w:val="21"/>
          <w:highlight w:val="none"/>
          <w:u w:val="none"/>
          <w:lang w:val="en-US" w:eastAsia="zh-CN"/>
        </w:rPr>
        <w:t xml:space="preserve">1-1 </w:t>
      </w:r>
      <w:r>
        <w:rPr>
          <w:rFonts w:hint="eastAsia" w:hAnsi="宋体" w:eastAsia="宋体" w:cs="宋体"/>
          <w:b w:val="0"/>
          <w:color w:val="000000"/>
          <w:sz w:val="21"/>
          <w:szCs w:val="21"/>
          <w:highlight w:val="none"/>
          <w:u w:val="none"/>
          <w:lang w:val="en-US" w:eastAsia="zh-CN"/>
        </w:rPr>
        <w:t xml:space="preserve">供应商营业执照：</w:t>
      </w:r>
      <w:r>
        <w:rPr>
          <w:rFonts w:hint="eastAsia" w:ascii="宋体" w:hAnsi="宋体" w:eastAsia="宋体" w:cs="宋体"/>
          <w:b w:val="0"/>
          <w:color w:val="000000"/>
          <w:sz w:val="21"/>
          <w:szCs w:val="21"/>
          <w:highlight w:val="none"/>
          <w:u w:val="none"/>
        </w:rPr>
        <w:t xml:space="preserve">有效的法人或者其他组织的营业执照等证明文件</w:t>
      </w:r>
      <w:r>
        <w:rPr>
          <w:rFonts w:ascii="宋体" w:hAnsi="宋体" w:eastAsia="宋体" w:cs="宋体"/>
          <w:b w:val="0"/>
          <w:color w:val="000000"/>
          <w:sz w:val="21"/>
          <w:szCs w:val="21"/>
          <w:highlight w:val="none"/>
          <w:u w:val="none"/>
          <w:lang w:val="en-US" w:eastAsia="zh-CN"/>
        </w:rPr>
      </w:r>
      <w:r/>
    </w:p>
    <w:p>
      <w:pPr>
        <w:pStyle w:val="997"/>
        <w:spacing w:line="240" w:lineRule="auto"/>
        <w:rPr>
          <w:rFonts w:hint="eastAsia" w:ascii="宋体" w:hAnsi="宋体" w:eastAsia="宋体" w:cs="宋体"/>
          <w:b w:val="0"/>
          <w:bCs/>
          <w:color w:val="000000"/>
          <w:sz w:val="21"/>
          <w:szCs w:val="21"/>
          <w:highlight w:val="none"/>
          <w:u w:val="none"/>
        </w:rPr>
      </w:pPr>
      <w:r>
        <w:rPr>
          <w:rFonts w:hint="eastAsia" w:ascii="宋体" w:hAnsi="宋体" w:eastAsia="宋体" w:cs="宋体"/>
          <w:b w:val="0"/>
          <w:color w:val="000000"/>
          <w:sz w:val="21"/>
          <w:szCs w:val="21"/>
          <w:highlight w:val="none"/>
          <w:u w:val="none"/>
        </w:rPr>
        <w:t xml:space="preserve">1-</w:t>
      </w:r>
      <w:r>
        <w:rPr>
          <w:rFonts w:hint="eastAsia" w:hAnsi="宋体" w:eastAsia="宋体" w:cs="宋体"/>
          <w:b w:val="0"/>
          <w:color w:val="000000"/>
          <w:sz w:val="21"/>
          <w:szCs w:val="21"/>
          <w:highlight w:val="none"/>
          <w:u w:val="none"/>
          <w:lang w:val="en-US" w:eastAsia="zh-CN"/>
        </w:rPr>
        <w:t xml:space="preserve">2</w:t>
      </w:r>
      <w:r>
        <w:rPr>
          <w:rFonts w:hint="eastAsia" w:ascii="宋体" w:hAnsi="宋体" w:eastAsia="宋体" w:cs="宋体"/>
          <w:b w:val="0"/>
          <w:color w:val="000000"/>
          <w:sz w:val="21"/>
          <w:szCs w:val="21"/>
          <w:highlight w:val="none"/>
          <w:u w:val="none"/>
        </w:rPr>
        <w:t xml:space="preserve"> 供应商资格声明函（实质性格式）</w:t>
      </w:r>
      <w:r>
        <w:rPr>
          <w:rFonts w:hint="eastAsia" w:ascii="宋体" w:hAnsi="宋体" w:eastAsia="宋体" w:cs="宋体"/>
          <w:b w:val="0"/>
          <w:bCs/>
          <w:color w:val="000000"/>
          <w:sz w:val="21"/>
          <w:szCs w:val="21"/>
          <w:highlight w:val="none"/>
          <w:u w:val="none"/>
        </w:rPr>
      </w:r>
      <w:r/>
    </w:p>
    <w:p>
      <w:pPr>
        <w:pStyle w:val="99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4"/>
        <w:jc w:val="center"/>
        <w:spacing w:before="120" w:line="360" w:lineRule="auto"/>
        <w:widowControl/>
        <w:rPr>
          <w:color w:val="000000"/>
          <w:sz w:val="32"/>
          <w:szCs w:val="32"/>
          <w:highlight w:val="none"/>
        </w:rPr>
      </w:pPr>
      <w:r>
        <w:rPr>
          <w:rFonts w:hint="eastAsia" w:ascii="宋体" w:hAnsi="宋体" w:cs="宋体"/>
          <w:b/>
          <w:color w:val="000000"/>
          <w:sz w:val="32"/>
          <w:szCs w:val="32"/>
          <w:highlight w:val="none"/>
        </w:rPr>
        <w:t xml:space="preserve">供应商资格声明函</w:t>
      </w:r>
      <w:r>
        <w:rPr>
          <w:color w:val="000000"/>
          <w:sz w:val="32"/>
          <w:szCs w:val="32"/>
          <w:highlight w:val="none"/>
        </w:rPr>
      </w:r>
      <w:r/>
    </w:p>
    <w:p>
      <w:pPr>
        <w:pStyle w:val="1016"/>
        <w:ind w:firstLine="480"/>
        <w:spacing w:line="460" w:lineRule="exact"/>
        <w:rPr>
          <w:rFonts w:hint="eastAsia" w:eastAsia="宋体"/>
          <w:color w:val="000000"/>
          <w:sz w:val="21"/>
          <w:szCs w:val="21"/>
          <w:highlight w:val="none"/>
          <w:lang w:val="en-US" w:eastAsia="zh-CN"/>
        </w:rPr>
      </w:pPr>
      <w:r>
        <w:rPr>
          <w:rFonts w:hint="eastAsia"/>
          <w:color w:val="000000"/>
          <w:sz w:val="21"/>
          <w:szCs w:val="21"/>
          <w:highlight w:val="none"/>
        </w:rPr>
        <w:t xml:space="preserve">致：</w:t>
      </w:r>
      <w:r>
        <w:rPr>
          <w:rFonts w:hint="eastAsia"/>
          <w:color w:val="000000"/>
          <w:sz w:val="21"/>
          <w:szCs w:val="21"/>
          <w:highlight w:val="none"/>
          <w:u w:val="single"/>
          <w:lang w:eastAsia="zh-CN"/>
        </w:rPr>
        <w:t xml:space="preserve">常州市阳峻项目管理有限公司</w:t>
      </w:r>
      <w:r>
        <w:rPr>
          <w:rFonts w:hint="eastAsia" w:eastAsia="宋体"/>
          <w:color w:val="000000"/>
          <w:sz w:val="21"/>
          <w:szCs w:val="21"/>
          <w:highlight w:val="none"/>
          <w:lang w:val="en-US" w:eastAsia="zh-CN"/>
        </w:rPr>
      </w:r>
      <w:r/>
    </w:p>
    <w:p>
      <w:pPr>
        <w:pStyle w:val="1016"/>
        <w:ind w:firstLine="840"/>
        <w:spacing w:line="460" w:lineRule="exact"/>
        <w:rPr>
          <w:color w:val="000000"/>
          <w:sz w:val="21"/>
          <w:szCs w:val="21"/>
          <w:highlight w:val="none"/>
        </w:rPr>
      </w:pPr>
      <w:r>
        <w:rPr>
          <w:rFonts w:hint="eastAsia"/>
          <w:color w:val="000000"/>
          <w:sz w:val="21"/>
          <w:szCs w:val="21"/>
          <w:highlight w:val="none"/>
          <w:u w:val="single"/>
        </w:rPr>
        <w:t xml:space="preserve">（采购人名称）</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按照《中华人民共和国政府采购法》第二十二条和磋商文件的规定，我单位郑重声明如下：</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二、我单位未被“国家企业信用信息系统”列入经营异常名录或者严重违法企业名单。</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三、我单位具有良好的商业信誉（指供应商经营状况良好，无本资格声明第十条情形）和健全的财务会计制度。</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四、我单位依法进行纳税和社会保险申报并实际履行了义务。</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五、我单位具有履行本项目采购合同所必需的设备和专业技术能力，并具有履行合同的良好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七、我单位具备法律、行政法规规定的其他条件。</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八、与我单位存在“单位负责人为同一人或者存在直接控股、管理关系”的其他单位信息如下（如无此情形的，填写“无”）：</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u w:val="single"/>
          <w:lang w:val="en-US" w:eastAsia="zh-CN"/>
        </w:rPr>
        <w:t xml:space="preserve">  </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不属于为本项目提供整体设计、规范编制或者项目管理、监理、检测等服务的供应商。</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十、</w:t>
      </w:r>
      <w:r>
        <w:rPr>
          <w:color w:val="000000"/>
          <w:sz w:val="21"/>
          <w:szCs w:val="21"/>
          <w:highlight w:val="none"/>
        </w:rPr>
        <w:t xml:space="preserve">我单位无以下不良信用记录情形：</w:t>
      </w:r>
      <w:r>
        <w:rPr>
          <w:color w:val="000000"/>
          <w:sz w:val="21"/>
          <w:szCs w:val="21"/>
          <w:highlight w:val="none"/>
        </w:rPr>
      </w:r>
      <w:r/>
    </w:p>
    <w:p>
      <w:pPr>
        <w:pStyle w:val="1016"/>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16"/>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16"/>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16"/>
        <w:ind w:firstLine="480"/>
        <w:spacing w:line="460" w:lineRule="exact"/>
        <w:rPr>
          <w:color w:val="000000"/>
          <w:sz w:val="21"/>
          <w:szCs w:val="21"/>
          <w:highlight w:val="none"/>
        </w:rPr>
      </w:pP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16"/>
        <w:ind w:firstLine="480"/>
        <w:spacing w:line="460" w:lineRule="exact"/>
        <w:rPr>
          <w:color w:val="000000"/>
          <w:sz w:val="21"/>
          <w:szCs w:val="21"/>
          <w:highlight w:val="none"/>
        </w:rPr>
      </w:pPr>
      <w:r>
        <w:rPr>
          <w:color w:val="000000"/>
          <w:sz w:val="21"/>
          <w:szCs w:val="21"/>
          <w:highlight w:val="none"/>
        </w:rPr>
      </w:r>
      <w:r/>
    </w:p>
    <w:p>
      <w:pPr>
        <w:pStyle w:val="1016"/>
        <w:ind w:firstLine="480"/>
        <w:spacing w:line="460" w:lineRule="exact"/>
        <w:rPr>
          <w:color w:val="000000"/>
          <w:sz w:val="21"/>
          <w:szCs w:val="21"/>
          <w:highlight w:val="none"/>
        </w:rPr>
      </w:pP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                                            供应商：（加盖公章）</w:t>
      </w:r>
      <w:r>
        <w:rPr>
          <w:color w:val="000000"/>
          <w:sz w:val="21"/>
          <w:szCs w:val="21"/>
          <w:highlight w:val="none"/>
        </w:rPr>
      </w:r>
      <w:r/>
    </w:p>
    <w:p>
      <w:pPr>
        <w:pStyle w:val="1016"/>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16"/>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994"/>
        <w:spacing w:line="360" w:lineRule="auto"/>
        <w:rPr>
          <w:rFonts w:hint="eastAsia"/>
          <w:color w:val="000000"/>
          <w:sz w:val="21"/>
          <w:szCs w:val="21"/>
          <w:highlight w:val="none"/>
        </w:rPr>
      </w:pPr>
      <w:r>
        <w:rPr>
          <w:rFonts w:hint="eastAsia"/>
          <w:color w:val="000000"/>
          <w:sz w:val="21"/>
          <w:szCs w:val="21"/>
          <w:highlight w:val="none"/>
        </w:rPr>
      </w:r>
      <w:r/>
    </w:p>
    <w:p>
      <w:pPr>
        <w:pStyle w:val="994"/>
        <w:spacing w:line="360" w:lineRule="auto"/>
        <w:rPr>
          <w:rFonts w:hint="eastAsia"/>
          <w:color w:val="000000"/>
          <w:sz w:val="21"/>
          <w:szCs w:val="21"/>
          <w:highlight w:val="none"/>
        </w:rPr>
      </w:pPr>
      <w:r>
        <w:rPr>
          <w:rFonts w:hint="eastAsia"/>
          <w:color w:val="000000"/>
          <w:sz w:val="21"/>
          <w:szCs w:val="21"/>
          <w:highlight w:val="none"/>
        </w:rPr>
      </w:r>
      <w:r/>
    </w:p>
    <w:p>
      <w:pPr>
        <w:pStyle w:val="994"/>
        <w:spacing w:line="360" w:lineRule="auto"/>
        <w:rPr>
          <w:rFonts w:hint="eastAsia"/>
          <w:color w:val="000000"/>
          <w:sz w:val="21"/>
          <w:szCs w:val="21"/>
          <w:highlight w:val="none"/>
        </w:rPr>
      </w:pPr>
      <w:r>
        <w:rPr>
          <w:rFonts w:hint="eastAsia"/>
          <w:color w:val="000000"/>
          <w:sz w:val="21"/>
          <w:szCs w:val="21"/>
          <w:highlight w:val="none"/>
        </w:rPr>
      </w:r>
      <w:r/>
    </w:p>
    <w:p>
      <w:pPr>
        <w:pStyle w:val="994"/>
        <w:spacing w:line="360" w:lineRule="auto"/>
        <w:rPr>
          <w:color w:val="000000"/>
          <w:sz w:val="21"/>
          <w:szCs w:val="21"/>
          <w:highlight w:val="none"/>
        </w:rPr>
      </w:pPr>
      <w:r>
        <w:rPr>
          <w:color w:val="000000"/>
          <w:sz w:val="21"/>
          <w:szCs w:val="21"/>
          <w:highlight w:val="none"/>
        </w:rPr>
        <w:t xml:space="preserve">说明：</w:t>
      </w:r>
      <w:r>
        <w:rPr>
          <w:rFonts w:hint="eastAsia"/>
          <w:color w:val="000000"/>
          <w:sz w:val="21"/>
          <w:szCs w:val="21"/>
          <w:highlight w:val="none"/>
        </w:rPr>
        <w:t xml:space="preserve">供应商承诺不实的，依据《政府采购法》第七十七条“提供虚假材料谋取中标、成交的”有关规定予以处理</w:t>
      </w:r>
      <w:r>
        <w:rPr>
          <w:color w:val="000000"/>
          <w:sz w:val="21"/>
          <w:szCs w:val="21"/>
          <w:highlight w:val="none"/>
        </w:rPr>
        <w:t xml:space="preserve">。</w:t>
      </w:r>
      <w:r>
        <w:rPr>
          <w:color w:val="000000"/>
          <w:sz w:val="21"/>
          <w:szCs w:val="21"/>
          <w:highlight w:val="none"/>
        </w:rPr>
      </w:r>
      <w:r/>
    </w:p>
    <w:p>
      <w:pPr>
        <w:pStyle w:val="994"/>
        <w:spacing w:line="360" w:lineRule="auto"/>
        <w:tabs>
          <w:tab w:val="left" w:pos="5580" w:leader="none"/>
        </w:tabs>
        <w:rPr>
          <w:color w:val="000000"/>
          <w:sz w:val="21"/>
          <w:szCs w:val="21"/>
          <w:highlight w:val="none"/>
        </w:rPr>
        <w:sectPr>
          <w:headerReference w:type="default" r:id="rId9"/>
          <w:footerReference w:type="default" r:id="rId15"/>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1"/>
          <w:szCs w:val="21"/>
          <w:highlight w:val="none"/>
        </w:rPr>
      </w:r>
      <w:r/>
    </w:p>
    <w:p>
      <w:pPr>
        <w:pStyle w:val="99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99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2-1 中小企业声明函</w:t>
      </w:r>
      <w:r>
        <w:rPr>
          <w:rFonts w:hint="eastAsia" w:ascii="宋体" w:hAnsi="宋体" w:eastAsia="宋体" w:cs="宋体"/>
          <w:color w:val="000000"/>
          <w:sz w:val="21"/>
          <w:szCs w:val="21"/>
          <w:highlight w:val="none"/>
        </w:rPr>
      </w:r>
      <w:r/>
    </w:p>
    <w:p>
      <w:pPr>
        <w:pStyle w:val="994"/>
        <w:spacing w:line="360" w:lineRule="auto"/>
        <w:tabs>
          <w:tab w:val="left" w:pos="5580" w:leader="none"/>
        </w:tabs>
        <w:rPr>
          <w:color w:val="000000"/>
          <w:sz w:val="24"/>
          <w:highlight w:val="none"/>
        </w:rPr>
      </w:pPr>
      <w:r>
        <w:rPr>
          <w:color w:val="000000"/>
          <w:sz w:val="24"/>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（2）如本项目（包）专门面向中小/小微企业采购，须提供《中小企业声明函》（实质性格式）。</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（4）其它</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color w:val="000000"/>
          <w:sz w:val="21"/>
          <w:szCs w:val="21"/>
          <w:highlight w:val="none"/>
        </w:rPr>
      </w:r>
      <w:r/>
    </w:p>
    <w:p>
      <w:pPr>
        <w:pStyle w:val="994"/>
        <w:spacing w:line="360" w:lineRule="auto"/>
        <w:tabs>
          <w:tab w:val="left" w:pos="5580" w:leader="none"/>
        </w:tabs>
        <w:rPr>
          <w:color w:val="000000"/>
          <w:sz w:val="24"/>
          <w:highlight w:val="none"/>
        </w:rPr>
      </w:pPr>
      <w:r>
        <w:rPr>
          <w:color w:val="000000"/>
          <w:sz w:val="24"/>
          <w:highlight w:val="none"/>
        </w:rPr>
      </w:r>
      <w:r/>
    </w:p>
    <w:p>
      <w:pPr>
        <w:pStyle w:val="994"/>
        <w:jc w:val="left"/>
        <w:widowControl/>
        <w:rPr>
          <w:color w:val="000000"/>
          <w:sz w:val="24"/>
          <w:highlight w:val="none"/>
        </w:rPr>
      </w:pPr>
      <w:r>
        <w:rPr>
          <w:color w:val="000000"/>
          <w:sz w:val="24"/>
          <w:highlight w:val="none"/>
        </w:rPr>
        <w:br w:type="page" w:clear="all"/>
      </w:r>
      <w:r>
        <w:rPr>
          <w:color w:val="000000"/>
          <w:sz w:val="24"/>
          <w:highlight w:val="none"/>
        </w:rPr>
      </w:r>
      <w:r/>
    </w:p>
    <w:p>
      <w:pPr>
        <w:pStyle w:val="994"/>
        <w:jc w:val="center"/>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b/>
          <w:color w:val="000000"/>
          <w:sz w:val="32"/>
          <w:szCs w:val="32"/>
          <w:highlight w:val="none"/>
        </w:rPr>
        <w:t xml:space="preserve">中小企业声明函（服务类）</w:t>
      </w:r>
      <w:r>
        <w:rPr>
          <w:rFonts w:hint="eastAsia" w:ascii="宋体" w:hAnsi="宋体" w:eastAsia="宋体" w:cs="宋体"/>
          <w:color w:val="000000"/>
          <w:sz w:val="21"/>
          <w:szCs w:val="21"/>
          <w:highlight w:val="none"/>
        </w:rPr>
      </w:r>
      <w:r/>
    </w:p>
    <w:p>
      <w:pPr>
        <w:pStyle w:val="994"/>
        <w:ind w:firstLine="52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（采购单位名称①）</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（项目名称③）（分包号：④）</w:t>
      </w:r>
      <w:r>
        <w:rPr>
          <w:rFonts w:hint="eastAsia" w:ascii="宋体" w:hAnsi="宋体" w:eastAsia="宋体" w:cs="宋体"/>
          <w:color w:val="000000"/>
          <w:sz w:val="21"/>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994"/>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（采购文件中明确的所属行业⑥）</w:t>
      </w:r>
      <w:r>
        <w:rPr>
          <w:rFonts w:hint="eastAsia" w:ascii="宋体" w:hAnsi="宋体" w:eastAsia="宋体" w:cs="宋体"/>
          <w:color w:val="000000"/>
          <w:sz w:val="21"/>
          <w:szCs w:val="21"/>
          <w:highlight w:val="none"/>
        </w:rPr>
        <w:t xml:space="preserve">行业；承接（承建）企业为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（中型企业、小型企业、微型企业⑪）；</w:t>
      </w:r>
      <w:r>
        <w:rPr>
          <w:rFonts w:hint="eastAsia" w:ascii="宋体" w:hAnsi="宋体" w:eastAsia="宋体" w:cs="宋体"/>
          <w:i/>
          <w:color w:val="000000"/>
          <w:sz w:val="21"/>
          <w:szCs w:val="21"/>
          <w:highlight w:val="none"/>
          <w:u w:val="single"/>
        </w:rPr>
      </w:r>
      <w:r/>
    </w:p>
    <w:p>
      <w:pPr>
        <w:pStyle w:val="994"/>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行业；承接（承建）企业为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i/>
          <w:color w:val="000000"/>
          <w:sz w:val="21"/>
          <w:szCs w:val="21"/>
          <w:highlight w:val="none"/>
          <w:u w:val="single"/>
        </w:rPr>
      </w:r>
      <w:r/>
    </w:p>
    <w:p>
      <w:pPr>
        <w:pStyle w:val="994"/>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994"/>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994"/>
        <w:ind w:right="180" w:firstLine="315"/>
        <w:jc w:val="righ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企业名称（加盖CA电子公章）⑫：</w:t>
      </w:r>
      <w:r>
        <w:rPr>
          <w:rFonts w:hint="eastAsia" w:ascii="宋体" w:hAnsi="宋体" w:eastAsia="宋体" w:cs="宋体"/>
          <w:color w:val="000000"/>
          <w:sz w:val="21"/>
          <w:szCs w:val="21"/>
          <w:highlight w:val="none"/>
        </w:rPr>
      </w:r>
      <w:r/>
    </w:p>
    <w:p>
      <w:pPr>
        <w:pStyle w:val="994"/>
        <w:ind w:right="480" w:firstLine="577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94"/>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4"/>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1.（采购单位名称①）：填写本项目采购人单位名称，如常州市XXX局。</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2.采购编号为②：填写本项目编号，如JSZC-3204XX-JZCG-G20XX-XX。</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3.（项目名称③）：填写本项目名称，如常州市XXX项目。</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4.（分包号：④）：填写分包编号，如有分包的，分别填写分包号，没有的填“无”。</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7.（企业名称⑦）：填写</w:t>
      </w:r>
      <w:r>
        <w:rPr>
          <w:rFonts w:hint="eastAsia" w:ascii="宋体" w:hAnsi="宋体" w:eastAsia="宋体" w:cs="宋体"/>
          <w:b/>
          <w:bCs/>
          <w:color w:val="000000"/>
          <w:sz w:val="21"/>
          <w:szCs w:val="21"/>
          <w:highlight w:val="none"/>
        </w:rPr>
        <w:t xml:space="preserve">投标人或供应商的名称</w:t>
      </w:r>
      <w:r>
        <w:rPr>
          <w:rFonts w:hint="eastAsia" w:ascii="宋体" w:hAnsi="宋体" w:eastAsia="宋体" w:cs="宋体"/>
          <w:color w:val="000000"/>
          <w:sz w:val="21"/>
          <w:szCs w:val="21"/>
          <w:highlight w:val="none"/>
        </w:rPr>
        <w:t xml:space="preserve">，如XXX公司。</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8.从业人员⑧人，营业收入为⑨万元，资产总额为⑩万元：填报</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的从业人员、营业收入、资产总额上一年度数据，无上一年度数据的新成立企业可不填报。</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9.（中型企业、小型企业、微型企业</w:t>
      </w:r>
      <w:r>
        <w:rPr>
          <w:rFonts w:hint="eastAsia" w:ascii="宋体" w:hAnsi="宋体" w:eastAsia="宋体" w:cs="宋体"/>
          <w:color w:val="000000"/>
          <w:sz w:val="21"/>
          <w:szCs w:val="21"/>
          <w:highlight w:val="none"/>
          <w:u w:val="single"/>
        </w:rPr>
        <w:t xml:space="preserve">⑪</w:t>
      </w:r>
      <w:r>
        <w:rPr>
          <w:rFonts w:hint="eastAsia" w:ascii="宋体" w:hAnsi="宋体" w:eastAsia="宋体" w:cs="宋体"/>
          <w:color w:val="000000"/>
          <w:sz w:val="21"/>
          <w:szCs w:val="21"/>
          <w:highlight w:val="none"/>
        </w:rPr>
        <w:t xml:space="preserve">）：根据</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的企业规模情况填写中型企业、小型企业或微型企业</w:t>
      </w:r>
      <w:r>
        <w:rPr>
          <w:rFonts w:hint="eastAsia" w:ascii="宋体" w:hAnsi="宋体" w:eastAsia="宋体" w:cs="宋体"/>
          <w:b/>
          <w:bCs/>
          <w:color w:val="000000"/>
          <w:sz w:val="21"/>
          <w:szCs w:val="21"/>
          <w:highlight w:val="none"/>
        </w:rPr>
        <w:t xml:space="preserve">（只能填写三种其中的一种）</w:t>
      </w:r>
      <w:r>
        <w:rPr>
          <w:rFonts w:hint="eastAsia" w:ascii="宋体" w:hAnsi="宋体" w:eastAsia="宋体" w:cs="宋体"/>
          <w:color w:val="000000"/>
          <w:sz w:val="21"/>
          <w:szCs w:val="21"/>
          <w:highlight w:val="none"/>
        </w:rPr>
        <w:t xml:space="preserve">。中小企业划分见《关于印发中小企业划型标准规定的通知》（工信部联企业〔2011〕300号) 。</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10.企业名称（盖章）⑫：加盖</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CA电子公章。</w:t>
      </w:r>
      <w:r>
        <w:rPr>
          <w:rFonts w:hint="eastAsia" w:ascii="宋体" w:hAnsi="宋体" w:eastAsia="宋体" w:cs="宋体"/>
          <w:color w:val="000000"/>
          <w:sz w:val="21"/>
          <w:szCs w:val="21"/>
          <w:highlight w:val="none"/>
        </w:rPr>
      </w:r>
      <w:r/>
    </w:p>
    <w:p>
      <w:pPr>
        <w:pStyle w:val="994"/>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11.如是</w:t>
      </w:r>
      <w:r>
        <w:rPr>
          <w:rFonts w:hint="eastAsia" w:ascii="宋体" w:hAnsi="宋体" w:eastAsia="宋体" w:cs="宋体"/>
          <w:b/>
          <w:color w:val="000000"/>
          <w:sz w:val="21"/>
          <w:szCs w:val="21"/>
          <w:highlight w:val="none"/>
        </w:rPr>
        <w:t xml:space="preserve">专门面向中小企业预留份额</w:t>
      </w:r>
      <w:r>
        <w:rPr>
          <w:rFonts w:hint="eastAsia" w:ascii="宋体" w:hAnsi="宋体" w:eastAsia="宋体" w:cs="宋体"/>
          <w:color w:val="000000"/>
          <w:sz w:val="21"/>
          <w:szCs w:val="21"/>
          <w:highlight w:val="none"/>
        </w:rPr>
        <w:t xml:space="preserve">的采购项目，供应商未提供此声明函的，资格审查不予通过，作为</w:t>
      </w:r>
      <w:r>
        <w:rPr>
          <w:rFonts w:hint="eastAsia" w:ascii="宋体" w:hAnsi="宋体" w:eastAsia="宋体" w:cs="宋体"/>
          <w:b/>
          <w:color w:val="000000"/>
          <w:sz w:val="21"/>
          <w:szCs w:val="21"/>
          <w:highlight w:val="none"/>
        </w:rPr>
        <w:t xml:space="preserve">无效投标（响应）</w:t>
      </w:r>
      <w:r>
        <w:rPr>
          <w:rFonts w:hint="eastAsia" w:ascii="宋体" w:hAnsi="宋体" w:eastAsia="宋体" w:cs="宋体"/>
          <w:color w:val="000000"/>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12.温馨提示</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宋体" w:hAnsi="宋体" w:eastAsia="宋体" w:cs="宋体"/>
          <w:color w:val="000000"/>
          <w:sz w:val="21"/>
          <w:szCs w:val="21"/>
          <w:highlight w:val="none"/>
        </w:rPr>
      </w:r>
      <w:r/>
    </w:p>
    <w:p>
      <w:pPr>
        <w:pStyle w:val="1265"/>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1"/>
          <w:szCs w:val="21"/>
          <w:highlight w:val="none"/>
        </w:rPr>
      </w:r>
      <w:r/>
    </w:p>
    <w:p>
      <w:pPr>
        <w:pStyle w:val="1265"/>
        <w:ind w:firstLine="480"/>
        <w:spacing w:line="570" w:lineRule="exact"/>
        <w:rPr>
          <w:rFonts w:ascii="仿宋_GB2312" w:hAnsi="宋体" w:eastAsia="仿宋_GB2312" w:cs="黑体"/>
          <w:color w:val="000000"/>
          <w:sz w:val="32"/>
          <w:szCs w:val="32"/>
          <w:highlight w:val="none"/>
        </w:rPr>
      </w:pPr>
      <w:r>
        <w:rPr>
          <w:rFonts w:hint="eastAsia" w:ascii="宋体" w:hAnsi="宋体" w:eastAsia="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994"/>
        <w:ind w:firstLine="420"/>
        <w:jc w:val="left"/>
        <w:rPr>
          <w:color w:val="000000"/>
          <w:sz w:val="24"/>
          <w:highlight w:val="none"/>
        </w:rPr>
      </w:pPr>
      <w:r>
        <w:rPr>
          <w:color w:val="000000"/>
          <w:sz w:val="24"/>
          <w:highlight w:val="none"/>
        </w:rPr>
      </w:r>
      <w:r/>
    </w:p>
    <w:p>
      <w:pPr>
        <w:pStyle w:val="994"/>
        <w:spacing w:line="360" w:lineRule="auto"/>
        <w:rPr>
          <w:color w:val="000000"/>
          <w:sz w:val="24"/>
          <w:highlight w:val="none"/>
        </w:rPr>
      </w:pPr>
      <w:r>
        <w:rPr>
          <w:color w:val="000000"/>
          <w:sz w:val="24"/>
          <w:highlight w:val="none"/>
        </w:rPr>
      </w:r>
      <w:r/>
    </w:p>
    <w:p>
      <w:pPr>
        <w:pStyle w:val="994"/>
        <w:jc w:val="both"/>
        <w:spacing w:before="240" w:after="240" w:line="360" w:lineRule="auto"/>
        <w:rPr>
          <w:color w:val="000000"/>
          <w:sz w:val="24"/>
          <w:szCs w:val="20"/>
          <w:highlight w:val="none"/>
        </w:rPr>
      </w:pPr>
      <w:r>
        <w:rPr>
          <w:color w:val="000000"/>
          <w:sz w:val="24"/>
          <w:szCs w:val="20"/>
          <w:highlight w:val="none"/>
        </w:rPr>
      </w:r>
      <w:r/>
    </w:p>
    <w:p>
      <w:pPr>
        <w:pStyle w:val="996"/>
        <w:rPr>
          <w:color w:val="000000"/>
          <w:sz w:val="24"/>
          <w:szCs w:val="20"/>
          <w:highlight w:val="none"/>
        </w:rPr>
      </w:pPr>
      <w:r>
        <w:rPr>
          <w:color w:val="000000"/>
          <w:sz w:val="24"/>
          <w:szCs w:val="20"/>
          <w:highlight w:val="none"/>
        </w:rPr>
      </w:r>
      <w:r/>
    </w:p>
    <w:p>
      <w:pPr>
        <w:pStyle w:val="994"/>
        <w:rPr>
          <w:color w:val="000000"/>
          <w:sz w:val="24"/>
          <w:szCs w:val="20"/>
          <w:highlight w:val="none"/>
        </w:rPr>
      </w:pPr>
      <w:r>
        <w:rPr>
          <w:color w:val="000000"/>
          <w:sz w:val="24"/>
          <w:szCs w:val="20"/>
          <w:highlight w:val="none"/>
        </w:rPr>
      </w:r>
      <w:r/>
    </w:p>
    <w:p>
      <w:pPr>
        <w:pStyle w:val="994"/>
        <w:jc w:val="both"/>
        <w:spacing w:before="240" w:after="240" w:line="360" w:lineRule="auto"/>
        <w:rPr>
          <w:color w:val="000000"/>
          <w:sz w:val="24"/>
          <w:szCs w:val="20"/>
          <w:highlight w:val="none"/>
        </w:rPr>
      </w:pPr>
      <w:r>
        <w:rPr>
          <w:color w:val="000000"/>
          <w:sz w:val="24"/>
          <w:szCs w:val="20"/>
          <w:highlight w:val="none"/>
        </w:rPr>
      </w:r>
      <w:r/>
    </w:p>
    <w:p>
      <w:pPr>
        <w:pStyle w:val="996"/>
        <w:rPr>
          <w:color w:val="000000"/>
          <w:sz w:val="24"/>
          <w:szCs w:val="20"/>
          <w:highlight w:val="none"/>
        </w:rPr>
      </w:pPr>
      <w:r>
        <w:rPr>
          <w:color w:val="000000"/>
          <w:sz w:val="24"/>
          <w:szCs w:val="20"/>
          <w:highlight w:val="none"/>
        </w:rPr>
      </w:r>
      <w:r/>
    </w:p>
    <w:p>
      <w:pPr>
        <w:pStyle w:val="996"/>
        <w:jc w:val="both"/>
        <w:rPr>
          <w:color w:val="000000"/>
          <w:sz w:val="24"/>
          <w:szCs w:val="20"/>
          <w:highlight w:val="none"/>
        </w:rPr>
      </w:pPr>
      <w:r>
        <w:rPr>
          <w:color w:val="000000"/>
          <w:sz w:val="24"/>
          <w:szCs w:val="20"/>
          <w:highlight w:val="none"/>
        </w:rPr>
      </w:r>
      <w:r/>
    </w:p>
    <w:p>
      <w:pPr>
        <w:pStyle w:val="994"/>
        <w:rPr>
          <w:color w:val="000000"/>
          <w:highlight w:val="none"/>
        </w:rPr>
      </w:pPr>
      <w:r>
        <w:rPr>
          <w:color w:val="000000"/>
          <w:highlight w:val="none"/>
        </w:rPr>
      </w:r>
      <w:r/>
    </w:p>
    <w:p>
      <w:pPr>
        <w:pStyle w:val="994"/>
        <w:jc w:val="center"/>
        <w:rPr>
          <w:rFonts w:hint="eastAsia"/>
          <w:b/>
          <w:color w:val="000000"/>
          <w:sz w:val="32"/>
          <w:szCs w:val="32"/>
          <w:highlight w:val="none"/>
        </w:rPr>
      </w:pPr>
      <w:r>
        <w:rPr>
          <w:rFonts w:hint="eastAsia"/>
          <w:b/>
          <w:color w:val="000000"/>
          <w:sz w:val="32"/>
          <w:szCs w:val="32"/>
          <w:highlight w:val="none"/>
        </w:rPr>
      </w:r>
      <w:r/>
    </w:p>
    <w:p>
      <w:pPr>
        <w:pStyle w:val="994"/>
        <w:jc w:val="center"/>
        <w:rPr>
          <w:b/>
          <w:color w:val="000000"/>
          <w:sz w:val="36"/>
          <w:szCs w:val="36"/>
          <w:highlight w:val="none"/>
        </w:rPr>
      </w:pPr>
      <w:r>
        <w:rPr>
          <w:rFonts w:hint="eastAsia"/>
          <w:b/>
          <w:color w:val="000000"/>
          <w:sz w:val="32"/>
          <w:szCs w:val="32"/>
          <w:highlight w:val="none"/>
        </w:rPr>
        <w:t xml:space="preserve">残疾人福利性单位声明函格式</w:t>
      </w:r>
      <w:r>
        <w:rPr>
          <w:b/>
          <w:color w:val="000000"/>
          <w:sz w:val="32"/>
          <w:szCs w:val="32"/>
          <w:highlight w:val="none"/>
        </w:rPr>
        <w:t xml:space="preserve"> </w:t>
      </w:r>
      <w:r>
        <w:rPr>
          <w:b/>
          <w:color w:val="000000"/>
          <w:sz w:val="36"/>
          <w:szCs w:val="36"/>
          <w:highlight w:val="none"/>
        </w:rPr>
        <w:t xml:space="preserve">      </w:t>
      </w:r>
      <w:r>
        <w:rPr>
          <w:b/>
          <w:color w:val="000000"/>
          <w:sz w:val="36"/>
          <w:szCs w:val="36"/>
          <w:highlight w:val="none"/>
        </w:rPr>
      </w:r>
      <w:r/>
    </w:p>
    <w:p>
      <w:pPr>
        <w:pStyle w:val="994"/>
        <w:jc w:val="center"/>
        <w:rPr>
          <w:color w:val="000000"/>
          <w:sz w:val="36"/>
          <w:szCs w:val="36"/>
          <w:highlight w:val="none"/>
        </w:rPr>
      </w:pPr>
      <w:r>
        <w:rPr>
          <w:color w:val="000000"/>
          <w:sz w:val="36"/>
          <w:szCs w:val="36"/>
          <w:highlight w:val="none"/>
        </w:rPr>
      </w:r>
      <w:r/>
    </w:p>
    <w:p>
      <w:pPr>
        <w:pStyle w:val="994"/>
        <w:ind w:firstLine="50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 141</w:t>
      </w:r>
      <w:r>
        <w:rPr>
          <w:rFonts w:hint="eastAsia" w:ascii="宋体" w:hAnsi="宋体" w:eastAsia="宋体" w:cs="宋体"/>
          <w:color w:val="000000"/>
          <w:spacing w:val="6"/>
          <w:sz w:val="21"/>
          <w:szCs w:val="21"/>
          <w:highlight w:val="none"/>
        </w:rPr>
        <w:t xml:space="preserve">号）的规定，本单位</w:t>
      </w:r>
      <w:r>
        <w:rPr>
          <w:rFonts w:hint="eastAsia" w:ascii="宋体" w:hAnsi="宋体" w:eastAsia="宋体" w:cs="宋体"/>
          <w:b/>
          <w:color w:val="000000"/>
          <w:sz w:val="21"/>
          <w:szCs w:val="21"/>
          <w:highlight w:val="none"/>
        </w:rPr>
        <w:t xml:space="preserve">（请进行勾选）</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94"/>
        <w:ind w:firstLine="482"/>
        <w:spacing w:line="588" w:lineRule="exact"/>
        <w:rPr>
          <w:rFonts w:hint="eastAsia" w:ascii="宋体" w:hAnsi="宋体" w:eastAsia="宋体" w:cs="宋体"/>
          <w:b/>
          <w:color w:val="000000"/>
          <w:spacing w:val="6"/>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不属于符合条件的残疾人福利性单位。</w:t>
      </w:r>
      <w:r>
        <w:rPr>
          <w:rFonts w:hint="eastAsia" w:ascii="宋体" w:hAnsi="宋体" w:eastAsia="宋体" w:cs="宋体"/>
          <w:b/>
          <w:color w:val="000000"/>
          <w:spacing w:val="6"/>
          <w:sz w:val="21"/>
          <w:szCs w:val="21"/>
          <w:highlight w:val="none"/>
        </w:rPr>
      </w:r>
      <w:r/>
    </w:p>
    <w:p>
      <w:pPr>
        <w:pStyle w:val="994"/>
        <w:ind w:firstLine="482"/>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属于符合条件的残疾人福利性单位，</w:t>
      </w:r>
      <w:r>
        <w:rPr>
          <w:rFonts w:hint="eastAsia" w:ascii="宋体" w:hAnsi="宋体" w:eastAsia="宋体" w:cs="宋体"/>
          <w:color w:val="000000"/>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994"/>
        <w:ind w:firstLine="446"/>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b/>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994"/>
        <w:ind w:firstLine="44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94"/>
        <w:ind w:firstLine="44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94"/>
        <w:ind w:right="1560" w:firstLine="444"/>
        <w:jc w:val="center"/>
        <w:spacing w:line="588"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994"/>
        <w:ind w:right="1560" w:firstLine="444"/>
        <w:jc w:val="center"/>
        <w:spacing w:line="588"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994"/>
        <w:jc w:val="left"/>
        <w:widowControl/>
        <w:rPr>
          <w:color w:val="000000"/>
          <w:sz w:val="24"/>
          <w:szCs w:val="20"/>
          <w:highlight w:val="none"/>
        </w:rPr>
      </w:pPr>
      <w:r>
        <w:rPr>
          <w:color w:val="000000"/>
          <w:sz w:val="24"/>
          <w:szCs w:val="20"/>
          <w:highlight w:val="none"/>
        </w:rPr>
        <w:br w:type="page" w:clear="all"/>
      </w:r>
      <w:bookmarkStart w:id="676" w:name="_Toc305158899"/>
      <w:r/>
      <w:bookmarkStart w:id="677" w:name="_Toc226965830"/>
      <w:r/>
      <w:bookmarkStart w:id="678" w:name="_Toc226309801"/>
      <w:r/>
      <w:bookmarkStart w:id="679" w:name="_Toc150774762"/>
      <w:r/>
      <w:bookmarkStart w:id="680" w:name="_Toc305158825"/>
      <w:r/>
      <w:bookmarkStart w:id="681" w:name="_Toc480942350"/>
      <w:r/>
      <w:bookmarkStart w:id="682" w:name="_Toc520356218"/>
      <w:r/>
      <w:bookmarkStart w:id="683" w:name="_Toc142311059"/>
      <w:r/>
      <w:bookmarkStart w:id="684" w:name="_Toc150480795"/>
      <w:r/>
      <w:bookmarkStart w:id="685" w:name="_Toc127151557"/>
      <w:r/>
      <w:bookmarkStart w:id="686" w:name="_Toc265228395"/>
      <w:r/>
      <w:bookmarkStart w:id="687" w:name="_Ref467988705"/>
      <w:r/>
      <w:bookmarkStart w:id="688" w:name="_Toc264969247"/>
      <w:r/>
      <w:bookmarkStart w:id="689" w:name="_Toc226337253"/>
      <w:r/>
      <w:bookmarkStart w:id="690" w:name="_Toc195842922"/>
      <w:r/>
      <w:bookmarkStart w:id="691" w:name="_Toc226965747"/>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响应函（实质性格式）</w:t>
      </w:r>
      <w:r>
        <w:rPr>
          <w:color w:val="000000"/>
          <w:sz w:val="24"/>
          <w:szCs w:val="20"/>
          <w:highlight w:val="none"/>
        </w:rPr>
      </w:r>
      <w:r/>
    </w:p>
    <w:p>
      <w:pPr>
        <w:pStyle w:val="994"/>
        <w:spacing w:line="360" w:lineRule="auto"/>
        <w:tabs>
          <w:tab w:val="left" w:pos="5580" w:leader="none"/>
        </w:tabs>
        <w:rPr>
          <w:color w:val="000000"/>
          <w:sz w:val="24"/>
          <w:highlight w:val="none"/>
        </w:rPr>
      </w:pPr>
      <w:r>
        <w:rPr>
          <w:color w:val="000000"/>
          <w:sz w:val="24"/>
          <w:highlight w:val="none"/>
        </w:rPr>
      </w:r>
      <w:r/>
    </w:p>
    <w:p>
      <w:pPr>
        <w:pStyle w:val="994"/>
        <w:jc w:val="center"/>
        <w:spacing w:line="360" w:lineRule="auto"/>
        <w:rPr>
          <w:b/>
          <w:color w:val="000000"/>
          <w:sz w:val="32"/>
          <w:szCs w:val="32"/>
          <w:highlight w:val="none"/>
        </w:rPr>
      </w:pPr>
      <w:r>
        <w:rPr>
          <w:rFonts w:hint="eastAsia"/>
          <w:b/>
          <w:color w:val="000000"/>
          <w:sz w:val="32"/>
          <w:szCs w:val="32"/>
          <w:highlight w:val="none"/>
        </w:rPr>
        <w:t xml:space="preserve">响应函</w:t>
      </w:r>
      <w:r>
        <w:rPr>
          <w:b/>
          <w:color w:val="000000"/>
          <w:sz w:val="32"/>
          <w:szCs w:val="32"/>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rPr>
      </w:r>
      <w:r/>
    </w:p>
    <w:p>
      <w:pPr>
        <w:pStyle w:val="99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我方参加你方就___________（项目名称，项目编号/包号）组织的政府采购活动，并对此项目进行响应。</w:t>
      </w:r>
      <w:r>
        <w:rPr>
          <w:rFonts w:hint="eastAsia" w:ascii="宋体" w:hAnsi="宋体" w:eastAsia="宋体" w:cs="宋体"/>
          <w:color w:val="000000"/>
          <w:sz w:val="21"/>
          <w:szCs w:val="21"/>
          <w:highlight w:val="none"/>
        </w:rPr>
      </w:r>
      <w:r/>
    </w:p>
    <w:p>
      <w:pPr>
        <w:pStyle w:val="994"/>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我方已详细审查全部磋商文件，自愿参与响应并承诺如下：</w:t>
      </w:r>
      <w:r>
        <w:rPr>
          <w:rFonts w:hint="eastAsia" w:ascii="宋体" w:hAnsi="宋体" w:eastAsia="宋体" w:cs="宋体"/>
          <w:color w:val="000000"/>
          <w:sz w:val="21"/>
          <w:szCs w:val="21"/>
          <w:highlight w:val="none"/>
        </w:rPr>
      </w:r>
      <w:r/>
    </w:p>
    <w:p>
      <w:pPr>
        <w:pStyle w:val="994"/>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（1）本响应有效期为自提交响应文件的截止之日起60个日历日。</w:t>
      </w:r>
      <w:r>
        <w:rPr>
          <w:rFonts w:hint="eastAsia" w:ascii="宋体" w:hAnsi="宋体" w:eastAsia="宋体" w:cs="宋体"/>
          <w:color w:val="000000"/>
          <w:sz w:val="21"/>
          <w:szCs w:val="21"/>
          <w:highlight w:val="none"/>
        </w:rPr>
      </w:r>
      <w:r/>
    </w:p>
    <w:p>
      <w:pPr>
        <w:pStyle w:val="994"/>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（2）除合同条款及采购需求偏离表列出的偏离外，我方响应磋商文件的全部要求。</w:t>
      </w:r>
      <w:r>
        <w:rPr>
          <w:rFonts w:hint="eastAsia" w:ascii="宋体" w:hAnsi="宋体" w:eastAsia="宋体" w:cs="宋体"/>
          <w:color w:val="000000"/>
          <w:sz w:val="21"/>
          <w:szCs w:val="21"/>
          <w:highlight w:val="none"/>
        </w:rPr>
      </w:r>
      <w:r/>
    </w:p>
    <w:p>
      <w:pPr>
        <w:pStyle w:val="994"/>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994"/>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1"/>
          <w:szCs w:val="21"/>
          <w:highlight w:val="none"/>
        </w:rPr>
      </w:r>
      <w:r/>
    </w:p>
    <w:p>
      <w:pPr>
        <w:pStyle w:val="994"/>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与本响应有关的一切正式往来信函请寄：</w:t>
      </w:r>
      <w:r>
        <w:rPr>
          <w:rFonts w:hint="eastAsia" w:ascii="宋体" w:hAnsi="宋体" w:eastAsia="宋体" w:cs="宋体"/>
          <w:color w:val="000000"/>
          <w:sz w:val="21"/>
          <w:szCs w:val="21"/>
          <w:highlight w:val="none"/>
        </w:rPr>
      </w:r>
      <w:r/>
    </w:p>
    <w:p>
      <w:pPr>
        <w:pStyle w:val="99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     传真____________________________</w:t>
      </w:r>
      <w:r>
        <w:rPr>
          <w:rFonts w:hint="eastAsia" w:ascii="宋体" w:hAnsi="宋体" w:eastAsia="宋体" w:cs="宋体"/>
          <w:color w:val="000000"/>
          <w:sz w:val="21"/>
          <w:szCs w:val="21"/>
          <w:highlight w:val="none"/>
        </w:rPr>
      </w:r>
      <w:r/>
    </w:p>
    <w:p>
      <w:pPr>
        <w:pStyle w:val="99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电话_________________________     电子函件________________________</w:t>
      </w:r>
      <w:r>
        <w:rPr>
          <w:rFonts w:hint="eastAsia" w:ascii="宋体" w:hAnsi="宋体" w:eastAsia="宋体" w:cs="宋体"/>
          <w:color w:val="000000"/>
          <w:sz w:val="21"/>
          <w:szCs w:val="21"/>
          <w:highlight w:val="none"/>
        </w:rPr>
      </w:r>
      <w:r/>
    </w:p>
    <w:p>
      <w:pPr>
        <w:pStyle w:val="99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 ___________</w:t>
      </w:r>
      <w:r>
        <w:rPr>
          <w:rFonts w:hint="eastAsia" w:ascii="宋体" w:hAnsi="宋体" w:eastAsia="宋体" w:cs="宋体"/>
          <w:color w:val="000000"/>
          <w:sz w:val="21"/>
          <w:szCs w:val="21"/>
          <w:highlight w:val="none"/>
        </w:rPr>
      </w:r>
      <w:r/>
    </w:p>
    <w:p>
      <w:pPr>
        <w:pStyle w:val="994"/>
        <w:ind w:left="420"/>
        <w:spacing w:line="360" w:lineRule="auto"/>
        <w:tabs>
          <w:tab w:val="left" w:pos="5580" w:leader="none"/>
        </w:tabs>
        <w:rPr>
          <w:color w:val="000000"/>
          <w:sz w:val="24"/>
          <w:szCs w:val="20"/>
          <w:highlight w:val="none"/>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99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94"/>
        <w:jc w:val="left"/>
        <w:widowControl/>
        <w:rPr>
          <w:rFonts w:hint="eastAsia" w:ascii="宋体" w:hAnsi="宋体" w:eastAsia="宋体" w:cs="宋体"/>
          <w:color w:val="000000"/>
          <w:sz w:val="21"/>
          <w:szCs w:val="21"/>
          <w:highlight w:val="none"/>
        </w:rPr>
      </w:pPr>
      <w:r/>
      <w:bookmarkStart w:id="692" w:name="_Hlt520356243"/>
      <w:r/>
      <w:bookmarkEnd w:id="692"/>
      <w:r/>
      <w:bookmarkStart w:id="693" w:name="_Hlt520355938"/>
      <w:r/>
      <w:bookmarkEnd w:id="693"/>
      <w:r>
        <w:rPr>
          <w:color w:val="000000"/>
          <w:sz w:val="24"/>
          <w:highlight w:val="none"/>
        </w:rPr>
        <w:br w:type="page" w:clear="all"/>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法定代表人资格证明书（实质性格式）</w:t>
      </w:r>
      <w:r>
        <w:rPr>
          <w:rFonts w:hint="eastAsia" w:ascii="宋体" w:hAnsi="宋体" w:eastAsia="宋体" w:cs="宋体"/>
          <w:color w:val="000000"/>
          <w:sz w:val="21"/>
          <w:szCs w:val="21"/>
          <w:highlight w:val="none"/>
        </w:rPr>
      </w:r>
      <w:r/>
    </w:p>
    <w:p>
      <w:pPr>
        <w:pStyle w:val="99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ascii="宋体" w:hAnsi="宋体"/>
          <w:color w:val="000000"/>
          <w:sz w:val="21"/>
          <w:szCs w:val="21"/>
          <w:highlight w:val="none"/>
        </w:rPr>
      </w:r>
      <w:r/>
    </w:p>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r>
      <w:r/>
    </w:p>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姓名:     性别:       年龄:      职务:</w:t>
      </w:r>
      <w:r>
        <w:rPr>
          <w:rFonts w:ascii="宋体" w:hAnsi="宋体"/>
          <w:color w:val="000000"/>
          <w:sz w:val="21"/>
          <w:szCs w:val="21"/>
          <w:highlight w:val="none"/>
        </w:rPr>
      </w:r>
      <w:r/>
    </w:p>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系</w:t>
      </w:r>
      <w:r>
        <w:rPr>
          <w:rFonts w:hint="eastAsia" w:ascii="宋体" w:hAnsi="宋体"/>
          <w:color w:val="000000"/>
          <w:sz w:val="21"/>
          <w:szCs w:val="21"/>
          <w:highlight w:val="none"/>
          <w:u w:val="single"/>
        </w:rPr>
        <w:t xml:space="preserve">（供应商名称）</w:t>
      </w:r>
      <w:r>
        <w:rPr>
          <w:rFonts w:hint="eastAsia" w:ascii="宋体" w:hAnsi="宋体"/>
          <w:color w:val="000000"/>
          <w:sz w:val="21"/>
          <w:szCs w:val="21"/>
          <w:highlight w:val="none"/>
        </w:rPr>
        <w:t xml:space="preserve">的法定代表人。为参与</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的政府采购活动，</w:t>
      </w:r>
      <w:r>
        <w:rPr>
          <w:rFonts w:ascii="宋体" w:hAnsi="宋体"/>
          <w:color w:val="000000"/>
          <w:sz w:val="21"/>
          <w:szCs w:val="21"/>
          <w:highlight w:val="none"/>
        </w:rPr>
        <w:t xml:space="preserve">签署、澄清确认、递交、撤回、修改</w:t>
      </w:r>
      <w:r>
        <w:rPr>
          <w:rFonts w:hint="eastAsia" w:ascii="宋体" w:hAnsi="宋体"/>
          <w:color w:val="000000"/>
          <w:sz w:val="21"/>
          <w:szCs w:val="21"/>
          <w:highlight w:val="none"/>
        </w:rPr>
        <w:t xml:space="preserve">上述项目的响应文件、进行合同磋商、签署合同和处理与之有关的一切事务。</w:t>
      </w:r>
      <w:r>
        <w:rPr>
          <w:rFonts w:ascii="宋体" w:hAnsi="宋体"/>
          <w:color w:val="000000"/>
          <w:sz w:val="21"/>
          <w:szCs w:val="21"/>
          <w:highlight w:val="none"/>
        </w:rPr>
      </w:r>
      <w:r/>
    </w:p>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特此证明。</w:t>
      </w:r>
      <w:r>
        <w:rPr>
          <w:rFonts w:ascii="宋体" w:hAnsi="宋体"/>
          <w:color w:val="000000"/>
          <w:sz w:val="21"/>
          <w:szCs w:val="21"/>
          <w:highlight w:val="none"/>
        </w:rPr>
      </w:r>
      <w:r/>
    </w:p>
    <w:p>
      <w:pPr>
        <w:pStyle w:val="994"/>
        <w:spacing w:line="560" w:lineRule="exact"/>
        <w:rPr>
          <w:rFonts w:ascii="宋体" w:hAnsi="宋体"/>
          <w:color w:val="000000"/>
          <w:sz w:val="21"/>
          <w:szCs w:val="21"/>
          <w:highlight w:val="none"/>
        </w:rPr>
      </w:pPr>
      <w:r>
        <w:rPr>
          <w:rFonts w:ascii="宋体" w:hAnsi="宋体"/>
          <w:color w:val="000000"/>
          <w:sz w:val="21"/>
          <w:szCs w:val="21"/>
          <w:highlight w:val="none"/>
        </w:rPr>
      </w:r>
      <w:r/>
    </w:p>
    <w:p>
      <w:pPr>
        <w:pStyle w:val="1025"/>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c>
          <w:tcPr>
            <w:tcW w:w="4536" w:type="dxa"/>
            <w:vAlign w:val="top"/>
            <w:textDirection w:val="lrTb"/>
            <w:noWrap w:val="false"/>
          </w:tcPr>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r>
    </w:tbl>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                     供应商：（加盖公章）</w:t>
      </w:r>
      <w:r>
        <w:rPr>
          <w:rFonts w:ascii="宋体" w:hAnsi="宋体"/>
          <w:color w:val="000000"/>
          <w:sz w:val="21"/>
          <w:szCs w:val="21"/>
          <w:highlight w:val="none"/>
        </w:rPr>
      </w:r>
      <w:r/>
    </w:p>
    <w:p>
      <w:pPr>
        <w:pStyle w:val="994"/>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                       法定代表人</w:t>
      </w:r>
      <w:r>
        <w:rPr>
          <w:rFonts w:ascii="宋体" w:hAnsi="宋体"/>
          <w:color w:val="000000"/>
          <w:sz w:val="21"/>
          <w:szCs w:val="21"/>
          <w:highlight w:val="none"/>
        </w:rPr>
        <w:t xml:space="preserve">签字</w:t>
      </w:r>
      <w:r>
        <w:rPr>
          <w:rFonts w:hint="eastAsia" w:ascii="宋体" w:hAnsi="宋体"/>
          <w:color w:val="000000"/>
          <w:sz w:val="21"/>
          <w:szCs w:val="21"/>
          <w:highlight w:val="none"/>
        </w:rPr>
        <w:t xml:space="preserve">、签章</w:t>
      </w:r>
      <w:r>
        <w:rPr>
          <w:rFonts w:ascii="宋体" w:hAnsi="宋体"/>
          <w:color w:val="000000"/>
          <w:sz w:val="21"/>
          <w:szCs w:val="21"/>
          <w:highlight w:val="none"/>
        </w:rPr>
        <w:t xml:space="preserve">或</w:t>
      </w:r>
      <w:r>
        <w:rPr>
          <w:rFonts w:hint="eastAsia" w:ascii="宋体" w:hAnsi="宋体"/>
          <w:color w:val="000000"/>
          <w:sz w:val="21"/>
          <w:szCs w:val="21"/>
          <w:highlight w:val="none"/>
        </w:rPr>
        <w:t xml:space="preserve">印鉴：</w:t>
      </w:r>
      <w:r>
        <w:rPr>
          <w:rFonts w:ascii="宋体" w:hAnsi="宋体"/>
          <w:color w:val="000000"/>
          <w:sz w:val="21"/>
          <w:szCs w:val="21"/>
          <w:highlight w:val="none"/>
        </w:rPr>
      </w:r>
      <w:r/>
    </w:p>
    <w:p>
      <w:pPr>
        <w:pStyle w:val="994"/>
        <w:ind w:firstLine="37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日期：    年    月    日</w:t>
      </w:r>
      <w:r>
        <w:rPr>
          <w:rFonts w:ascii="宋体" w:hAnsi="宋体"/>
          <w:color w:val="000000"/>
          <w:sz w:val="21"/>
          <w:szCs w:val="21"/>
          <w:highlight w:val="none"/>
        </w:rPr>
      </w:r>
      <w:r/>
    </w:p>
    <w:p>
      <w:pPr>
        <w:pStyle w:val="994"/>
        <w:jc w:val="left"/>
        <w:widowControl/>
        <w:rPr>
          <w:rFonts w:hint="eastAsia"/>
          <w:color w:val="000000"/>
          <w:sz w:val="21"/>
          <w:szCs w:val="21"/>
          <w:highlight w:val="none"/>
        </w:rPr>
      </w:pPr>
      <w:r>
        <w:rPr>
          <w:rFonts w:hint="eastAsia"/>
          <w:color w:val="000000"/>
          <w:sz w:val="21"/>
          <w:szCs w:val="21"/>
          <w:highlight w:val="none"/>
        </w:rPr>
      </w:r>
      <w:r/>
    </w:p>
    <w:p>
      <w:pPr>
        <w:pStyle w:val="994"/>
        <w:jc w:val="left"/>
        <w:widowControl/>
        <w:rPr>
          <w:rFonts w:hint="eastAsia"/>
          <w:color w:val="000000"/>
          <w:sz w:val="21"/>
          <w:szCs w:val="21"/>
          <w:highlight w:val="none"/>
        </w:rPr>
      </w:pPr>
      <w:r>
        <w:rPr>
          <w:rFonts w:hint="eastAsia"/>
          <w:color w:val="000000"/>
          <w:sz w:val="21"/>
          <w:szCs w:val="21"/>
          <w:highlight w:val="none"/>
        </w:rPr>
      </w:r>
      <w:r/>
    </w:p>
    <w:p>
      <w:pPr>
        <w:pStyle w:val="994"/>
        <w:jc w:val="left"/>
        <w:widowControl/>
        <w:rPr>
          <w:rFonts w:hint="eastAsia"/>
          <w:color w:val="000000"/>
          <w:sz w:val="21"/>
          <w:szCs w:val="21"/>
          <w:highlight w:val="none"/>
        </w:rPr>
      </w:pPr>
      <w:r>
        <w:rPr>
          <w:rFonts w:hint="eastAsia"/>
          <w:color w:val="000000"/>
          <w:sz w:val="21"/>
          <w:szCs w:val="21"/>
          <w:highlight w:val="none"/>
        </w:rPr>
      </w:r>
      <w:r/>
    </w:p>
    <w:p>
      <w:pPr>
        <w:pStyle w:val="994"/>
        <w:jc w:val="left"/>
        <w:spacing w:line="360" w:lineRule="auto"/>
        <w:tabs>
          <w:tab w:val="left" w:pos="5580" w:leader="none"/>
        </w:tabs>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t xml:space="preserve">：</w:t>
      </w:r>
      <w:r>
        <w:rPr>
          <w:rFonts w:ascii="宋体" w:hAnsi="宋体"/>
          <w:color w:val="000000"/>
          <w:sz w:val="21"/>
          <w:szCs w:val="21"/>
          <w:highlight w:val="none"/>
        </w:rPr>
      </w:r>
      <w:r/>
    </w:p>
    <w:p>
      <w:pPr>
        <w:pStyle w:val="994"/>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1.若供应商为事业单位或其他组织或分支机构（仅当</w:t>
      </w:r>
      <w:r>
        <w:rPr>
          <w:rFonts w:hint="eastAsia" w:ascii="宋体" w:hAnsi="宋体"/>
          <w:color w:val="000000"/>
          <w:sz w:val="21"/>
          <w:szCs w:val="21"/>
          <w:highlight w:val="none"/>
        </w:rPr>
        <w:t xml:space="preserve">磋商文件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的），则法定代表人（单位负责人）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的签署人可为单位负责人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政府采购供应商信用承诺书（实质性格式）</w:t>
      </w:r>
      <w:r>
        <w:rPr>
          <w:rFonts w:hint="eastAsia" w:ascii="宋体" w:hAnsi="宋体" w:eastAsia="宋体" w:cs="宋体"/>
          <w:color w:val="000000"/>
          <w:sz w:val="21"/>
          <w:szCs w:val="21"/>
          <w:highlight w:val="none"/>
        </w:rPr>
      </w:r>
      <w:r/>
    </w:p>
    <w:p>
      <w:pPr>
        <w:pStyle w:val="99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9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94"/>
        <w:ind w:firstLine="640"/>
        <w:rPr>
          <w:color w:val="000000"/>
          <w:highlight w:val="none"/>
        </w:rPr>
      </w:pPr>
      <w:r>
        <w:rPr>
          <w:color w:val="000000"/>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五、承诺本单位自觉接受行政管理部门、行业组织、社会公众、新闻舆论的监督。 </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七、承诺本单位在信用中国（江苏）网站中无违法违规、较重或严重失信记录。 </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八、承诺本单位提出政府采购质疑和投诉坚持依法依规、诚实信用原则。</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九、根据政府采购相关法律法规的规定需要作出的其他承诺。 </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1"/>
          <w:szCs w:val="21"/>
          <w:highlight w:val="none"/>
        </w:rPr>
      </w:r>
      <w:r/>
    </w:p>
    <w:p>
      <w:pPr>
        <w:pStyle w:val="994"/>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1"/>
          <w:szCs w:val="21"/>
          <w:highlight w:val="none"/>
        </w:rPr>
      </w:r>
      <w:r/>
    </w:p>
    <w:p>
      <w:pPr>
        <w:pStyle w:val="1243"/>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94"/>
        <w:spacing w:before="25" w:after="25" w:line="360" w:lineRule="auto"/>
        <w:rPr>
          <w:color w:val="000000"/>
          <w:sz w:val="24"/>
          <w:highlight w:val="none"/>
          <w:lang w:val="zh-CN"/>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highlight w:val="none"/>
          <w:lang w:val="zh-CN"/>
        </w:rPr>
      </w:r>
      <w:r/>
    </w:p>
    <w:p>
      <w:pPr>
        <w:pStyle w:val="994"/>
        <w:spacing w:line="360" w:lineRule="auto"/>
        <w:rPr>
          <w:rFonts w:hint="eastAsia" w:ascii="宋体" w:hAnsi="宋体" w:eastAsia="宋体" w:cs="宋体"/>
          <w:color w:val="000000"/>
          <w:sz w:val="21"/>
          <w:szCs w:val="21"/>
          <w:highlight w:val="none"/>
        </w:rPr>
        <w:outlineLvl w:val="2"/>
      </w:pPr>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994"/>
        <w:jc w:val="center"/>
        <w:rPr>
          <w:color w:val="000000"/>
          <w:sz w:val="24"/>
          <w:highlight w:val="none"/>
        </w:rPr>
      </w:pPr>
      <w:r/>
      <w:bookmarkStart w:id="694" w:name="_Toc164608672"/>
      <w:r/>
      <w:bookmarkStart w:id="695" w:name="_Toc226309802"/>
      <w:r/>
      <w:bookmarkStart w:id="696" w:name="_Toc226965831"/>
      <w:r/>
      <w:bookmarkStart w:id="697" w:name="_Toc195842923"/>
      <w:r/>
      <w:bookmarkStart w:id="698" w:name="_Toc265228396"/>
      <w:r/>
      <w:bookmarkStart w:id="699" w:name="_Toc264969248"/>
      <w:r/>
      <w:bookmarkStart w:id="700" w:name="_Toc305158826"/>
      <w:r/>
      <w:bookmarkStart w:id="701" w:name="_Toc305158900"/>
      <w:r/>
      <w:bookmarkStart w:id="702" w:name="_Toc226965748"/>
      <w:r/>
      <w:bookmarkStart w:id="703" w:name="_Toc164608827"/>
      <w:r/>
      <w:bookmarkStart w:id="704" w:name="_Toc226337254"/>
      <w:r>
        <w:rPr>
          <w:rFonts w:hint="eastAsia"/>
          <w:b/>
          <w:color w:val="000000"/>
          <w:sz w:val="36"/>
          <w:szCs w:val="36"/>
          <w:highlight w:val="none"/>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b/>
          <w:color w:val="000000"/>
          <w:sz w:val="36"/>
          <w:szCs w:val="36"/>
          <w:highlight w:val="none"/>
          <w:lang w:eastAsia="zh-CN"/>
        </w:rPr>
        <w:t xml:space="preserve">（</w:t>
      </w:r>
      <w:r>
        <w:rPr>
          <w:rFonts w:hint="eastAsia"/>
          <w:b/>
          <w:color w:val="000000"/>
          <w:sz w:val="36"/>
          <w:szCs w:val="36"/>
          <w:highlight w:val="none"/>
          <w:lang w:val="en-US" w:eastAsia="zh-CN"/>
        </w:rPr>
        <w:t xml:space="preserve">01包</w:t>
      </w:r>
      <w:r>
        <w:rPr>
          <w:rFonts w:hint="eastAsia"/>
          <w:b/>
          <w:color w:val="000000"/>
          <w:sz w:val="36"/>
          <w:szCs w:val="36"/>
          <w:highlight w:val="none"/>
          <w:lang w:eastAsia="zh-CN"/>
        </w:rPr>
        <w:t xml:space="preserve">）</w:t>
      </w:r>
      <w:r>
        <w:rPr>
          <w:color w:val="000000"/>
          <w:sz w:val="24"/>
          <w:highlight w:val="none"/>
        </w:rPr>
      </w:r>
      <w:r/>
    </w:p>
    <w:p>
      <w:pPr>
        <w:pStyle w:val="994"/>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ind w:firstLine="48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   项目名称：___________________</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Cs w:val="21"/>
          <w:highlight w:val="none"/>
        </w:rPr>
        <w:t xml:space="preserve">                                                            </w:t>
      </w:r>
      <w:r>
        <w:rPr>
          <w:color w:val="000000"/>
          <w:sz w:val="24"/>
          <w:highlight w:val="none"/>
        </w:rPr>
      </w:r>
      <w:r/>
    </w:p>
    <w:tbl>
      <w:tblPr>
        <w:tblW w:w="45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660"/>
        </w:trPr>
        <w:tc>
          <w:tcPr>
            <w:tcW w:w="495" w:type="dxa"/>
            <w:vAlign w:val="center"/>
            <w:vMerge w:val="restart"/>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216" w:type="dxa"/>
            <w:vAlign w:val="center"/>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报价（单位：元）</w:t>
            </w:r>
            <w:r>
              <w:rPr>
                <w:b/>
                <w:color w:val="000000"/>
                <w:sz w:val="24"/>
                <w:highlight w:val="none"/>
              </w:rPr>
            </w:r>
            <w:r/>
          </w:p>
        </w:tc>
      </w:tr>
      <w:tr>
        <w:trPr>
          <w:trHeight w:val="729"/>
        </w:trPr>
        <w:tc>
          <w:tcPr>
            <w:tcW w:w="495" w:type="dxa"/>
            <w:vAlign w:val="center"/>
            <w:vMerge w:val="continue"/>
            <w:textDirection w:val="lrTb"/>
            <w:noWrap w:val="false"/>
          </w:tcPr>
          <w:p>
            <w:pPr>
              <w:pStyle w:val="994"/>
              <w:jc w:val="left"/>
              <w:widowControl/>
              <w:rPr>
                <w:b/>
                <w:color w:val="000000"/>
                <w:sz w:val="24"/>
                <w:highlight w:val="none"/>
              </w:rPr>
            </w:pPr>
            <w:r>
              <w:rPr>
                <w:b/>
                <w:color w:val="000000"/>
                <w:sz w:val="24"/>
                <w:highlight w:val="none"/>
              </w:rPr>
            </w:r>
            <w:r/>
          </w:p>
        </w:tc>
        <w:tc>
          <w:tcPr>
            <w:tcW w:w="1960" w:type="dxa"/>
            <w:vAlign w:val="center"/>
            <w:vMerge w:val="continue"/>
            <w:textDirection w:val="lrTb"/>
            <w:noWrap w:val="false"/>
          </w:tcPr>
          <w:p>
            <w:pPr>
              <w:pStyle w:val="994"/>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216"/>
        </w:trPr>
        <w:tc>
          <w:tcPr>
            <w:tcW w:w="495"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r>
    </w:tbl>
    <w:p>
      <w:pPr>
        <w:pStyle w:val="994"/>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.此表中，每包的报价应和每包的《分项报价表》中的总价相一致。</w:t>
      </w:r>
      <w:r>
        <w:rPr>
          <w:rFonts w:hint="eastAsia" w:ascii="宋体" w:hAnsi="宋体" w:cs="宋体"/>
          <w:color w:val="000000"/>
          <w:szCs w:val="21"/>
          <w:highlight w:val="none"/>
        </w:rPr>
      </w:r>
      <w:r/>
    </w:p>
    <w:p>
      <w:pPr>
        <w:pStyle w:val="994"/>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2.本表必须按包分别填写。</w:t>
      </w:r>
      <w:r>
        <w:rPr>
          <w:rFonts w:hint="eastAsia" w:ascii="宋体" w:hAnsi="宋体" w:cs="宋体"/>
          <w:color w:val="000000"/>
          <w:szCs w:val="21"/>
          <w:highlight w:val="none"/>
        </w:rPr>
      </w:r>
      <w:r/>
    </w:p>
    <w:p>
      <w:pPr>
        <w:pStyle w:val="994"/>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94"/>
        <w:ind w:firstLine="357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96"/>
        <w:ind w:firstLine="3570"/>
        <w:jc w:val="both"/>
        <w:rPr>
          <w:rFonts w:hint="eastAsia" w:ascii="宋体" w:hAnsi="宋体" w:eastAsia="宋体" w:cs="宋体"/>
          <w:b w:val="0"/>
          <w:color w:val="000000"/>
          <w:sz w:val="21"/>
          <w:szCs w:val="21"/>
          <w:highlight w:val="none"/>
          <w:u w:val="single"/>
        </w:rPr>
      </w:pPr>
      <w:r>
        <w:rPr>
          <w:rFonts w:hint="eastAsia" w:ascii="宋体" w:hAnsi="宋体" w:eastAsia="宋体" w:cs="宋体"/>
          <w:b w:val="0"/>
          <w:color w:val="000000"/>
          <w:sz w:val="21"/>
          <w:szCs w:val="21"/>
          <w:highlight w:val="none"/>
          <w:lang w:val="zh-CN"/>
        </w:rPr>
        <w:t xml:space="preserve">法定代表人或代理人（签字或盖章）：</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rPr>
      </w:r>
      <w:r/>
    </w:p>
    <w:p>
      <w:pPr>
        <w:pStyle w:val="996"/>
        <w:ind w:firstLine="357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1025"/>
        <w:tabs>
          <w:tab w:val="left" w:pos="567" w:leader="none"/>
        </w:tabs>
        <w:rPr>
          <w:rFonts w:hint="eastAsia"/>
          <w:color w:val="000000"/>
          <w:highlight w:val="none"/>
          <w:lang w:val="en-US" w:eastAsia="zh-CN"/>
        </w:rPr>
      </w:pPr>
      <w:r>
        <w:rPr>
          <w:rFonts w:hint="eastAsia"/>
          <w:color w:val="000000"/>
          <w:highlight w:val="none"/>
          <w:lang w:val="en-US" w:eastAsia="zh-CN"/>
        </w:rPr>
      </w:r>
      <w:r/>
    </w:p>
    <w:p>
      <w:pPr>
        <w:pStyle w:val="994"/>
        <w:jc w:val="center"/>
        <w:rPr>
          <w:color w:val="000000"/>
          <w:sz w:val="24"/>
          <w:highlight w:val="none"/>
        </w:rPr>
      </w:pPr>
      <w:r>
        <w:rPr>
          <w:rFonts w:hint="eastAsia"/>
          <w:b/>
          <w:color w:val="000000"/>
          <w:sz w:val="36"/>
          <w:szCs w:val="36"/>
          <w:highlight w:val="none"/>
        </w:rPr>
        <w:t xml:space="preserve">报价一览表</w:t>
      </w:r>
      <w:r>
        <w:rPr>
          <w:rFonts w:hint="eastAsia"/>
          <w:b/>
          <w:color w:val="000000"/>
          <w:sz w:val="36"/>
          <w:szCs w:val="36"/>
          <w:highlight w:val="none"/>
          <w:lang w:eastAsia="zh-CN"/>
        </w:rPr>
        <w:t xml:space="preserve">（</w:t>
      </w:r>
      <w:r>
        <w:rPr>
          <w:rFonts w:hint="eastAsia"/>
          <w:b/>
          <w:color w:val="000000"/>
          <w:sz w:val="36"/>
          <w:szCs w:val="36"/>
          <w:highlight w:val="none"/>
          <w:lang w:val="en-US" w:eastAsia="zh-CN"/>
        </w:rPr>
        <w:t xml:space="preserve">02包</w:t>
      </w:r>
      <w:r>
        <w:rPr>
          <w:rFonts w:hint="eastAsia"/>
          <w:b/>
          <w:color w:val="000000"/>
          <w:sz w:val="36"/>
          <w:szCs w:val="36"/>
          <w:highlight w:val="none"/>
          <w:lang w:eastAsia="zh-CN"/>
        </w:rPr>
        <w:t xml:space="preserve">）</w:t>
      </w:r>
      <w:r>
        <w:rPr>
          <w:color w:val="000000"/>
          <w:sz w:val="24"/>
          <w:highlight w:val="none"/>
        </w:rPr>
      </w:r>
      <w:r/>
    </w:p>
    <w:p>
      <w:pPr>
        <w:pStyle w:val="994"/>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ind w:firstLine="48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   项目名称：___________________</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Cs w:val="21"/>
          <w:highlight w:val="none"/>
        </w:rPr>
        <w:t xml:space="preserve">                                                            </w:t>
      </w:r>
      <w:r>
        <w:rPr>
          <w:color w:val="000000"/>
          <w:sz w:val="24"/>
          <w:highlight w:val="none"/>
        </w:rPr>
      </w:r>
      <w:r/>
    </w:p>
    <w:tbl>
      <w:tblPr>
        <w:tblW w:w="45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660"/>
        </w:trPr>
        <w:tc>
          <w:tcPr>
            <w:tcW w:w="495" w:type="dxa"/>
            <w:vAlign w:val="center"/>
            <w:vMerge w:val="restart"/>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216" w:type="dxa"/>
            <w:vAlign w:val="center"/>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报价（单位：元）</w:t>
            </w:r>
            <w:r>
              <w:rPr>
                <w:b/>
                <w:color w:val="000000"/>
                <w:sz w:val="24"/>
                <w:highlight w:val="none"/>
              </w:rPr>
            </w:r>
            <w:r/>
          </w:p>
        </w:tc>
      </w:tr>
      <w:tr>
        <w:trPr>
          <w:trHeight w:val="597"/>
        </w:trPr>
        <w:tc>
          <w:tcPr>
            <w:tcW w:w="495" w:type="dxa"/>
            <w:vAlign w:val="center"/>
            <w:vMerge w:val="continue"/>
            <w:textDirection w:val="lrTb"/>
            <w:noWrap w:val="false"/>
          </w:tcPr>
          <w:p>
            <w:pPr>
              <w:pStyle w:val="994"/>
              <w:jc w:val="left"/>
              <w:widowControl/>
              <w:rPr>
                <w:b/>
                <w:color w:val="000000"/>
                <w:sz w:val="24"/>
                <w:highlight w:val="none"/>
              </w:rPr>
            </w:pPr>
            <w:r>
              <w:rPr>
                <w:b/>
                <w:color w:val="000000"/>
                <w:sz w:val="24"/>
                <w:highlight w:val="none"/>
              </w:rPr>
            </w:r>
            <w:r/>
          </w:p>
        </w:tc>
        <w:tc>
          <w:tcPr>
            <w:tcW w:w="1960" w:type="dxa"/>
            <w:vAlign w:val="center"/>
            <w:vMerge w:val="continue"/>
            <w:textDirection w:val="lrTb"/>
            <w:noWrap w:val="false"/>
          </w:tcPr>
          <w:p>
            <w:pPr>
              <w:pStyle w:val="994"/>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994"/>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216"/>
        </w:trPr>
        <w:tc>
          <w:tcPr>
            <w:tcW w:w="495"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994"/>
              <w:jc w:val="center"/>
              <w:tabs>
                <w:tab w:val="left" w:pos="5580" w:leader="none"/>
              </w:tabs>
              <w:rPr>
                <w:color w:val="000000"/>
                <w:sz w:val="24"/>
                <w:highlight w:val="none"/>
              </w:rPr>
            </w:pPr>
            <w:r>
              <w:rPr>
                <w:color w:val="000000"/>
                <w:sz w:val="24"/>
                <w:highlight w:val="none"/>
              </w:rPr>
            </w:r>
            <w:r/>
          </w:p>
        </w:tc>
      </w:tr>
    </w:tbl>
    <w:p>
      <w:pPr>
        <w:pStyle w:val="994"/>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.此表中，每包的报价应和每包的《分项报价表》中的总价相一致。</w:t>
      </w:r>
      <w:r>
        <w:rPr>
          <w:rFonts w:hint="eastAsia" w:ascii="宋体" w:hAnsi="宋体" w:cs="宋体"/>
          <w:color w:val="000000"/>
          <w:szCs w:val="21"/>
          <w:highlight w:val="none"/>
        </w:rPr>
      </w:r>
      <w:r/>
    </w:p>
    <w:p>
      <w:pPr>
        <w:pStyle w:val="994"/>
        <w:ind w:firstLine="840"/>
        <w:tabs>
          <w:tab w:val="left" w:pos="5580" w:leader="none"/>
        </w:tabs>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2.本表必须按包分别填写。</w:t>
      </w:r>
      <w:r>
        <w:rPr>
          <w:rFonts w:hint="eastAsia" w:ascii="宋体" w:hAnsi="宋体" w:cs="宋体"/>
          <w:color w:val="000000"/>
          <w:szCs w:val="21"/>
          <w:highlight w:val="none"/>
          <w:lang w:val="zh-CN"/>
        </w:rPr>
      </w:r>
      <w:r/>
    </w:p>
    <w:p>
      <w:pPr>
        <w:pStyle w:val="994"/>
        <w:ind w:firstLine="420"/>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ind w:firstLine="399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96"/>
        <w:ind w:firstLine="3990"/>
        <w:jc w:val="both"/>
        <w:rPr>
          <w:rFonts w:hint="eastAsia" w:ascii="宋体" w:hAnsi="宋体" w:eastAsia="宋体" w:cs="宋体"/>
          <w:b w:val="0"/>
          <w:color w:val="000000"/>
          <w:sz w:val="21"/>
          <w:szCs w:val="21"/>
          <w:highlight w:val="none"/>
          <w:u w:val="single"/>
        </w:rPr>
      </w:pPr>
      <w:r>
        <w:rPr>
          <w:rFonts w:hint="eastAsia" w:ascii="宋体" w:hAnsi="宋体" w:eastAsia="宋体" w:cs="宋体"/>
          <w:b w:val="0"/>
          <w:color w:val="000000"/>
          <w:sz w:val="21"/>
          <w:szCs w:val="21"/>
          <w:highlight w:val="none"/>
          <w:lang w:val="zh-CN"/>
        </w:rPr>
        <w:t xml:space="preserve">法定代表人或代理人（签字或盖章）：</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rPr>
      </w:r>
      <w:r/>
    </w:p>
    <w:p>
      <w:pPr>
        <w:pStyle w:val="996"/>
        <w:ind w:firstLine="399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994"/>
        <w:jc w:val="center"/>
        <w:rPr>
          <w:rFonts w:hint="eastAsia"/>
          <w:b/>
          <w:color w:val="000000"/>
          <w:sz w:val="36"/>
          <w:szCs w:val="36"/>
          <w:highlight w:val="none"/>
        </w:rPr>
      </w:pPr>
      <w:r>
        <w:rPr>
          <w:rFonts w:hint="eastAsia"/>
          <w:b/>
          <w:color w:val="000000"/>
          <w:sz w:val="36"/>
          <w:szCs w:val="36"/>
          <w:highlight w:val="none"/>
        </w:rPr>
      </w:r>
      <w:r/>
    </w:p>
    <w:p>
      <w:pPr>
        <w:pStyle w:val="994"/>
        <w:jc w:val="left"/>
        <w:spacing w:line="360" w:lineRule="auto"/>
        <w:rPr>
          <w:color w:val="000000"/>
          <w:sz w:val="24"/>
          <w:szCs w:val="20"/>
          <w:highlight w:val="none"/>
        </w:rPr>
      </w:pPr>
      <w:r/>
      <w:bookmarkStart w:id="705" w:name="_Toc226309803"/>
      <w:r/>
      <w:bookmarkStart w:id="706" w:name="_Toc150480796"/>
      <w:r/>
      <w:bookmarkStart w:id="707" w:name="_Toc142311060"/>
      <w:r/>
      <w:bookmarkStart w:id="708" w:name="_Toc226965832"/>
      <w:r/>
      <w:bookmarkStart w:id="709" w:name="_Toc265228397"/>
      <w:r/>
      <w:bookmarkStart w:id="710" w:name="_Toc305158901"/>
      <w:r/>
      <w:bookmarkStart w:id="711" w:name="_Toc305158827"/>
      <w:r/>
      <w:bookmarkStart w:id="712" w:name="_Toc226965749"/>
      <w:r/>
      <w:bookmarkStart w:id="713" w:name="_Toc264969249"/>
      <w:r/>
      <w:bookmarkStart w:id="714" w:name="_Toc150774763"/>
      <w:r/>
      <w:bookmarkStart w:id="715" w:name="_Toc127151558"/>
      <w:r/>
      <w:bookmarkStart w:id="716" w:name="_Toc226337255"/>
      <w:r/>
      <w:bookmarkStart w:id="717" w:name="_Toc195842924"/>
      <w:r>
        <w:rPr>
          <w:rFonts w:hint="eastAsia" w:ascii="宋体" w:hAnsi="宋体" w:eastAsia="宋体" w:cs="宋体"/>
          <w:color w:val="000000"/>
          <w:sz w:val="21"/>
          <w:szCs w:val="21"/>
          <w:highlight w:val="none"/>
          <w:lang w:val="en-US" w:eastAsia="zh-CN"/>
        </w:rPr>
        <w:t xml:space="preserve">7.分项报价表</w:t>
      </w:r>
      <w:r>
        <w:rPr>
          <w:rFonts w:ascii="宋体" w:hAnsi="宋体" w:eastAsia="宋体" w:cs="宋体"/>
          <w:color w:val="000000"/>
          <w:sz w:val="21"/>
          <w:szCs w:val="21"/>
          <w:highlight w:val="none"/>
        </w:rPr>
        <w:t xml:space="preserve">（实质性格式）</w:t>
      </w:r>
      <w:r>
        <w:rPr>
          <w:color w:val="000000"/>
          <w:sz w:val="24"/>
          <w:szCs w:val="20"/>
          <w:highlight w:val="none"/>
        </w:rPr>
      </w:r>
      <w:r/>
    </w:p>
    <w:p>
      <w:pPr>
        <w:pStyle w:val="994"/>
        <w:jc w:val="center"/>
        <w:spacing w:line="360" w:lineRule="auto"/>
        <w:rPr>
          <w:rFonts w:hint="eastAsia" w:ascii="宋体" w:hAnsi="宋体" w:cs="宋体"/>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b/>
          <w:color w:val="000000"/>
          <w:sz w:val="36"/>
          <w:szCs w:val="36"/>
          <w:highlight w:val="none"/>
        </w:rPr>
        <w:t xml:space="preserve">（01包）</w:t>
      </w:r>
      <w:r>
        <w:rPr>
          <w:rFonts w:hint="eastAsia" w:ascii="宋体" w:hAnsi="宋体" w:cs="宋体"/>
          <w:color w:val="000000"/>
          <w:sz w:val="36"/>
          <w:szCs w:val="36"/>
          <w:highlight w:val="none"/>
        </w:rPr>
      </w:r>
      <w:r/>
    </w:p>
    <w:p>
      <w:pPr>
        <w:pStyle w:val="994"/>
        <w:tabs>
          <w:tab w:val="left" w:pos="1800" w:leader="none"/>
          <w:tab w:val="left" w:pos="5580" w:leader="none"/>
        </w:tabs>
        <w:rPr>
          <w:color w:val="000000"/>
          <w:highlight w:val="none"/>
        </w:rPr>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226965752"/>
      <w:r/>
      <w:bookmarkStart w:id="719" w:name="_Toc264969252"/>
      <w:r/>
      <w:bookmarkStart w:id="720" w:name="_Toc305158830"/>
      <w:r/>
      <w:bookmarkStart w:id="721" w:name="_Toc265228400"/>
      <w:r/>
      <w:bookmarkStart w:id="722" w:name="_Toc127151562"/>
      <w:r/>
      <w:bookmarkStart w:id="723" w:name="_Toc226337258"/>
      <w:r/>
      <w:bookmarkStart w:id="724" w:name="_Toc150774765"/>
      <w:r/>
      <w:bookmarkStart w:id="725" w:name="_Toc226965835"/>
      <w:r/>
      <w:bookmarkStart w:id="726" w:name="_Toc226309806"/>
      <w:r/>
      <w:bookmarkStart w:id="727" w:name="_Toc305158904"/>
      <w:r/>
      <w:bookmarkStart w:id="728" w:name="_Toc195842927"/>
      <w:r/>
      <w:bookmarkStart w:id="729" w:name="_Toc150480798"/>
      <w:r/>
      <w:bookmarkStart w:id="730" w:name="_Toc142311062"/>
      <w:r/>
      <w:bookmarkStart w:id="731" w:name="_Toc305158829"/>
      <w:r/>
      <w:bookmarkStart w:id="732" w:name="_Toc226309805"/>
      <w:r/>
      <w:bookmarkStart w:id="733" w:name="_Toc226965834"/>
      <w:r/>
      <w:bookmarkStart w:id="734" w:name="_Toc142311061"/>
      <w:r/>
      <w:bookmarkStart w:id="735" w:name="_Toc265228399"/>
      <w:r/>
      <w:bookmarkStart w:id="736" w:name="_Toc226337257"/>
      <w:r/>
      <w:bookmarkStart w:id="737" w:name="_Toc264969251"/>
      <w:r/>
      <w:bookmarkStart w:id="738" w:name="_Toc195842926"/>
      <w:r/>
      <w:bookmarkStart w:id="739" w:name="_Toc150480797"/>
      <w:r/>
      <w:bookmarkStart w:id="740" w:name="_Toc127151561"/>
      <w:r/>
      <w:bookmarkStart w:id="741" w:name="_Toc305158903"/>
      <w:r/>
      <w:bookmarkStart w:id="742" w:name="_Toc226965751"/>
      <w:r/>
      <w:bookmarkStart w:id="743" w:name="_Toc150774764"/>
      <w:r>
        <w:rPr>
          <w:rFonts w:hint="eastAsia" w:ascii="宋体" w:hAnsi="宋体" w:eastAsia="宋体" w:cs="宋体"/>
          <w:color w:val="000000"/>
          <w:sz w:val="21"/>
          <w:szCs w:val="21"/>
          <w:highlight w:val="none"/>
        </w:rPr>
        <w:t xml:space="preserve">项目编号/包号：___________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Cs w:val="21"/>
          <w:highlight w:val="none"/>
        </w:rPr>
        <w:t xml:space="preserve">单位：人民币</w:t>
      </w:r>
      <w:r>
        <w:rPr>
          <w:rFonts w:hint="eastAsia" w:ascii="宋体" w:hAnsi="宋体" w:eastAsia="宋体" w:cs="宋体"/>
          <w:b/>
          <w:color w:val="000000"/>
          <w:szCs w:val="21"/>
          <w:highlight w:val="none"/>
          <w:lang w:val="en-US" w:eastAsia="zh-CN"/>
        </w:rPr>
        <w:t xml:space="preserve">元</w:t>
      </w:r>
      <w:r>
        <w:rPr>
          <w:color w:val="000000"/>
          <w:highlight w:val="none"/>
        </w:rPr>
      </w:r>
      <w:r/>
    </w:p>
    <w:tbl>
      <w:tblPr>
        <w:tblW w:w="92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8"/>
        <w:gridCol w:w="1978"/>
        <w:gridCol w:w="1742"/>
        <w:gridCol w:w="1596"/>
        <w:gridCol w:w="1128"/>
      </w:tblGrid>
      <w:tr>
        <w:trPr/>
        <w:tc>
          <w:tcPr>
            <w:tcW w:w="2808"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1978"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面积（平方米）</w:t>
            </w:r>
            <w:r>
              <w:rPr>
                <w:rFonts w:hint="eastAsia" w:ascii="宋体" w:hAnsi="宋体" w:cs="宋体"/>
                <w:b/>
                <w:bCs/>
                <w:color w:val="000000"/>
                <w:szCs w:val="21"/>
                <w:highlight w:val="none"/>
              </w:rPr>
            </w:r>
            <w:r/>
          </w:p>
        </w:tc>
        <w:tc>
          <w:tcPr>
            <w:tcW w:w="1742"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全费用综合单价（元/㎡）</w:t>
            </w:r>
            <w:r>
              <w:rPr>
                <w:rFonts w:hint="eastAsia" w:ascii="宋体" w:hAnsi="宋体" w:cs="宋体"/>
                <w:b/>
                <w:bCs/>
                <w:color w:val="000000"/>
                <w:szCs w:val="21"/>
                <w:highlight w:val="none"/>
              </w:rPr>
            </w:r>
            <w:r/>
          </w:p>
        </w:tc>
        <w:tc>
          <w:tcPr>
            <w:tcW w:w="1596"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合计（元）</w:t>
            </w:r>
            <w:r>
              <w:rPr>
                <w:rFonts w:hint="eastAsia" w:ascii="宋体" w:hAnsi="宋体" w:cs="宋体"/>
                <w:b/>
                <w:bCs/>
                <w:color w:val="000000"/>
                <w:szCs w:val="21"/>
                <w:highlight w:val="none"/>
              </w:rPr>
            </w:r>
            <w:r/>
          </w:p>
        </w:tc>
        <w:tc>
          <w:tcPr>
            <w:tcW w:w="1128"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696"/>
        </w:trPr>
        <w:tc>
          <w:tcPr>
            <w:shd w:val="clear" w:color="ffff00" w:fill="auto"/>
            <w:tcW w:w="2808" w:type="dxa"/>
            <w:vAlign w:val="center"/>
            <w:textDirection w:val="lrTb"/>
            <w:noWrap w:val="false"/>
          </w:tcPr>
          <w:p>
            <w:pPr>
              <w:pStyle w:val="994"/>
              <w:jc w:val="center"/>
              <w:rPr>
                <w:rFonts w:hint="eastAsia" w:ascii="宋体" w:hAnsi="宋体" w:cs="宋体"/>
                <w:color w:val="000000"/>
                <w:szCs w:val="21"/>
                <w:highlight w:val="none"/>
              </w:rPr>
            </w:pPr>
            <w:r>
              <w:rPr>
                <w:rFonts w:hint="eastAsia" w:cs="宋体"/>
                <w:b/>
                <w:bCs/>
                <w:color w:val="000000"/>
                <w:sz w:val="21"/>
                <w:szCs w:val="21"/>
                <w:highlight w:val="none"/>
              </w:rPr>
              <w:t xml:space="preserve">郑陆片绿化管护项目</w:t>
            </w:r>
            <w:r>
              <w:rPr>
                <w:rFonts w:hint="eastAsia" w:ascii="宋体" w:hAnsi="宋体" w:cs="宋体"/>
                <w:color w:val="000000"/>
                <w:szCs w:val="21"/>
                <w:highlight w:val="none"/>
              </w:rPr>
            </w:r>
            <w:r/>
          </w:p>
        </w:tc>
        <w:tc>
          <w:tcPr>
            <w:tcW w:w="1978"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185560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742"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6"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8"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78"/>
        </w:trPr>
        <w:tc>
          <w:tcPr>
            <w:tcW w:w="2808" w:type="dxa"/>
            <w:vAlign w:val="center"/>
            <w:textDirection w:val="lrTb"/>
            <w:noWrap w:val="false"/>
          </w:tcPr>
          <w:p>
            <w:pPr>
              <w:pStyle w:val="994"/>
              <w:jc w:val="center"/>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总价</w:t>
            </w:r>
            <w:r>
              <w:rPr>
                <w:rFonts w:ascii="宋体" w:hAnsi="宋体" w:cs="宋体"/>
                <w:b/>
                <w:bCs/>
                <w:color w:val="000000"/>
                <w:szCs w:val="21"/>
                <w:highlight w:val="none"/>
              </w:rPr>
            </w:r>
            <w:r/>
          </w:p>
        </w:tc>
        <w:tc>
          <w:tcPr>
            <w:gridSpan w:val="4"/>
            <w:tcW w:w="6444" w:type="dxa"/>
            <w:vAlign w:val="center"/>
            <w:textDirection w:val="lrTb"/>
            <w:noWrap w:val="false"/>
          </w:tcPr>
          <w:p>
            <w:pPr>
              <w:pStyle w:val="994"/>
              <w:tabs>
                <w:tab w:val="left" w:pos="55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小写：</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r>
            <w:r/>
          </w:p>
          <w:p>
            <w:pPr>
              <w:pStyle w:val="994"/>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4"/>
                <w:highlight w:val="none"/>
              </w:rPr>
              <w:t xml:space="preserve">大写：</w:t>
            </w:r>
            <w:r>
              <w:rPr>
                <w:rFonts w:hint="eastAsia" w:ascii="宋体" w:hAnsi="宋体" w:cs="宋体"/>
                <w:b/>
                <w:bCs/>
                <w:color w:val="000000"/>
                <w:sz w:val="24"/>
                <w:highlight w:val="none"/>
                <w:u w:val="single"/>
              </w:rPr>
              <w:t xml:space="preserve">               </w:t>
            </w:r>
            <w:r>
              <w:rPr>
                <w:rFonts w:hint="eastAsia" w:ascii="宋体" w:hAnsi="宋体" w:cs="宋体"/>
                <w:b/>
                <w:bCs/>
                <w:color w:val="000000"/>
                <w:szCs w:val="21"/>
                <w:highlight w:val="none"/>
              </w:rPr>
            </w:r>
            <w:r/>
          </w:p>
        </w:tc>
      </w:tr>
    </w:tbl>
    <w:p>
      <w:pPr>
        <w:pStyle w:val="994"/>
        <w:keepLines w:val="0"/>
        <w:keepNext w:val="0"/>
        <w:pageBreakBefore w:val="0"/>
        <w:spacing w:before="25" w:after="25"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.如果不提供分项报价将视为没有实质性响应磋商文件。</w:t>
      </w:r>
      <w:r>
        <w:rPr>
          <w:rFonts w:hint="eastAsia" w:ascii="宋体" w:hAnsi="宋体" w:eastAsia="宋体" w:cs="宋体"/>
          <w:color w:val="000000"/>
          <w:sz w:val="18"/>
          <w:szCs w:val="18"/>
          <w:highlight w:val="none"/>
        </w:rPr>
      </w:r>
      <w:r/>
    </w:p>
    <w:p>
      <w:pPr>
        <w:pStyle w:val="994"/>
        <w:ind w:firstLine="360"/>
        <w:keepLines w:val="0"/>
        <w:keepNext w:val="0"/>
        <w:pageBreakBefore w:val="0"/>
        <w:spacing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.本表行数可以按照项目分项情况增加。</w:t>
      </w:r>
      <w:r>
        <w:rPr>
          <w:rFonts w:hint="eastAsia" w:ascii="宋体" w:hAnsi="宋体" w:eastAsia="宋体" w:cs="宋体"/>
          <w:color w:val="000000"/>
          <w:sz w:val="18"/>
          <w:szCs w:val="18"/>
          <w:highlight w:val="none"/>
        </w:rPr>
      </w:r>
      <w:r/>
    </w:p>
    <w:p>
      <w:pPr>
        <w:pStyle w:val="994"/>
        <w:ind w:firstLine="36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3.本表应按包分别填写。</w:t>
      </w:r>
      <w:r>
        <w:rPr>
          <w:rFonts w:hint="eastAsia" w:ascii="宋体" w:hAnsi="宋体" w:eastAsia="宋体" w:cs="宋体"/>
          <w:color w:val="000000"/>
          <w:sz w:val="18"/>
          <w:szCs w:val="18"/>
          <w:highlight w:val="none"/>
        </w:rPr>
      </w:r>
      <w:r/>
    </w:p>
    <w:p>
      <w:pPr>
        <w:pStyle w:val="994"/>
        <w:ind w:firstLine="361"/>
        <w:jc w:val="left"/>
        <w:spacing w:line="240" w:lineRule="auto"/>
        <w:tabs>
          <w:tab w:val="left" w:pos="1800" w:leader="none"/>
          <w:tab w:val="left" w:pos="5580" w:leader="none"/>
        </w:tabs>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lang w:val="en-US" w:eastAsia="zh-CN"/>
        </w:rPr>
        <w:t xml:space="preserve">4.投标</w:t>
      </w:r>
      <w:r>
        <w:rPr>
          <w:rFonts w:hint="eastAsia" w:ascii="宋体" w:hAnsi="宋体" w:eastAsia="宋体" w:cs="宋体"/>
          <w:b/>
          <w:bCs/>
          <w:color w:val="000000"/>
          <w:sz w:val="18"/>
          <w:szCs w:val="18"/>
          <w:highlight w:val="none"/>
        </w:rPr>
        <w:t xml:space="preserve">总价不得低于采购文件“采购需求”中人员费用测算要求的标准，如不响应则按无效响应文件处理。</w:t>
      </w:r>
      <w:r>
        <w:rPr>
          <w:rFonts w:hint="eastAsia" w:ascii="宋体" w:hAnsi="宋体" w:eastAsia="宋体" w:cs="宋体"/>
          <w:color w:val="000000"/>
          <w:sz w:val="18"/>
          <w:szCs w:val="18"/>
          <w:highlight w:val="none"/>
        </w:rPr>
      </w:r>
      <w:r/>
    </w:p>
    <w:p>
      <w:pPr>
        <w:pStyle w:val="994"/>
        <w:ind w:firstLine="360"/>
        <w:keepLines w:val="0"/>
        <w:keepNext w:val="0"/>
        <w:pageBreakBefore w:val="0"/>
        <w:spacing w:line="260" w:lineRule="exact"/>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994"/>
        <w:ind w:firstLine="3780"/>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ind w:firstLine="378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96"/>
        <w:ind w:firstLine="3780"/>
        <w:jc w:val="both"/>
        <w:rPr>
          <w:rFonts w:hint="eastAsia" w:ascii="宋体" w:hAnsi="宋体" w:eastAsia="宋体" w:cs="宋体"/>
          <w:b w:val="0"/>
          <w:color w:val="000000"/>
          <w:sz w:val="21"/>
          <w:szCs w:val="21"/>
          <w:highlight w:val="none"/>
          <w:u w:val="single"/>
        </w:rPr>
      </w:pPr>
      <w:r>
        <w:rPr>
          <w:rFonts w:hint="eastAsia" w:ascii="宋体" w:hAnsi="宋体" w:eastAsia="宋体" w:cs="宋体"/>
          <w:b w:val="0"/>
          <w:color w:val="000000"/>
          <w:sz w:val="21"/>
          <w:szCs w:val="21"/>
          <w:highlight w:val="none"/>
          <w:lang w:val="zh-CN"/>
        </w:rPr>
        <w:t xml:space="preserve">法定代表人或代理人（签字或盖章）：</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rPr>
      </w:r>
      <w:r/>
    </w:p>
    <w:p>
      <w:pPr>
        <w:pStyle w:val="996"/>
        <w:ind w:firstLine="378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994"/>
        <w:jc w:val="center"/>
        <w:spacing w:line="360" w:lineRule="auto"/>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r>
      <w:r/>
    </w:p>
    <w:p>
      <w:pPr>
        <w:pStyle w:val="994"/>
        <w:jc w:val="center"/>
        <w:spacing w:line="360" w:lineRule="auto"/>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br w:type="page" w:clear="all"/>
      </w:r>
      <w:r>
        <w:rPr>
          <w:rFonts w:hint="eastAsia" w:ascii="Times New Roman" w:hAnsi="Times New Roman" w:eastAsia="宋体" w:cs="Times New Roman"/>
          <w:b/>
          <w:color w:val="000000"/>
          <w:sz w:val="36"/>
          <w:szCs w:val="36"/>
          <w:highlight w:val="none"/>
        </w:rPr>
      </w:r>
      <w:r/>
    </w:p>
    <w:p>
      <w:pPr>
        <w:pStyle w:val="994"/>
        <w:jc w:val="center"/>
        <w:spacing w:line="360" w:lineRule="auto"/>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分项报价表（0</w:t>
      </w:r>
      <w:r>
        <w:rPr>
          <w:rFonts w:hint="eastAsia" w:ascii="Times New Roman" w:hAnsi="Times New Roman" w:eastAsia="宋体" w:cs="Times New Roman"/>
          <w:b/>
          <w:color w:val="000000"/>
          <w:sz w:val="36"/>
          <w:szCs w:val="36"/>
          <w:highlight w:val="none"/>
          <w:lang w:val="en-US" w:eastAsia="zh-CN"/>
        </w:rPr>
        <w:t xml:space="preserve">2</w:t>
      </w:r>
      <w:r>
        <w:rPr>
          <w:rFonts w:hint="eastAsia" w:ascii="Times New Roman" w:hAnsi="Times New Roman" w:eastAsia="宋体" w:cs="Times New Roman"/>
          <w:b/>
          <w:color w:val="000000"/>
          <w:sz w:val="36"/>
          <w:szCs w:val="36"/>
          <w:highlight w:val="none"/>
        </w:rPr>
        <w:t xml:space="preserve">包）</w:t>
      </w:r>
      <w:r>
        <w:rPr>
          <w:rFonts w:hint="eastAsia" w:ascii="Times New Roman" w:hAnsi="Times New Roman" w:eastAsia="宋体" w:cs="Times New Roman"/>
          <w:b/>
          <w:color w:val="000000"/>
          <w:sz w:val="36"/>
          <w:szCs w:val="36"/>
          <w:highlight w:val="none"/>
        </w:rPr>
      </w:r>
      <w:r/>
    </w:p>
    <w:p>
      <w:pPr>
        <w:pStyle w:val="994"/>
        <w:tabs>
          <w:tab w:val="left" w:pos="1800" w:leader="none"/>
          <w:tab w:val="left" w:pos="5580" w:leader="none"/>
        </w:tabs>
        <w:rPr>
          <w:color w:val="000000"/>
          <w:highlight w:val="none"/>
        </w:rPr>
      </w:pPr>
      <w:r>
        <w:rPr>
          <w:rFonts w:hint="eastAsia" w:ascii="宋体" w:hAnsi="宋体" w:eastAsia="宋体" w:cs="宋体"/>
          <w:color w:val="000000"/>
          <w:sz w:val="21"/>
          <w:szCs w:val="21"/>
          <w:highlight w:val="none"/>
        </w:rPr>
        <w:t xml:space="preserve">项目编号/包号：___________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Cs w:val="21"/>
          <w:highlight w:val="none"/>
        </w:rPr>
        <w:t xml:space="preserve">单位：人民币</w:t>
      </w:r>
      <w:r>
        <w:rPr>
          <w:rFonts w:hint="eastAsia" w:ascii="宋体" w:hAnsi="宋体" w:eastAsia="宋体" w:cs="宋体"/>
          <w:b/>
          <w:color w:val="000000"/>
          <w:szCs w:val="21"/>
          <w:highlight w:val="none"/>
          <w:lang w:val="en-US" w:eastAsia="zh-CN"/>
        </w:rPr>
        <w:t xml:space="preserve">元</w:t>
      </w:r>
      <w:r>
        <w:rPr>
          <w:color w:val="000000"/>
          <w:highlight w:val="none"/>
        </w:rPr>
      </w:r>
      <w:r/>
    </w:p>
    <w:tbl>
      <w:tblPr>
        <w:tblW w:w="92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8"/>
        <w:gridCol w:w="1978"/>
        <w:gridCol w:w="1742"/>
        <w:gridCol w:w="1596"/>
        <w:gridCol w:w="1128"/>
      </w:tblGrid>
      <w:tr>
        <w:trPr/>
        <w:tc>
          <w:tcPr>
            <w:tcW w:w="2808"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1978"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面积（平方米）</w:t>
            </w:r>
            <w:r>
              <w:rPr>
                <w:rFonts w:hint="eastAsia" w:ascii="宋体" w:hAnsi="宋体" w:cs="宋体"/>
                <w:b/>
                <w:bCs/>
                <w:color w:val="000000"/>
                <w:szCs w:val="21"/>
                <w:highlight w:val="none"/>
              </w:rPr>
            </w:r>
            <w:r/>
          </w:p>
        </w:tc>
        <w:tc>
          <w:tcPr>
            <w:tcW w:w="1742"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全费用综合单价（元/㎡）</w:t>
            </w:r>
            <w:r>
              <w:rPr>
                <w:rFonts w:hint="eastAsia" w:ascii="宋体" w:hAnsi="宋体" w:cs="宋体"/>
                <w:b/>
                <w:bCs/>
                <w:color w:val="000000"/>
                <w:szCs w:val="21"/>
                <w:highlight w:val="none"/>
              </w:rPr>
            </w:r>
            <w:r/>
          </w:p>
        </w:tc>
        <w:tc>
          <w:tcPr>
            <w:tcW w:w="1596"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合计（元）</w:t>
            </w:r>
            <w:r>
              <w:rPr>
                <w:rFonts w:hint="eastAsia" w:ascii="宋体" w:hAnsi="宋体" w:cs="宋体"/>
                <w:b/>
                <w:bCs/>
                <w:color w:val="000000"/>
                <w:szCs w:val="21"/>
                <w:highlight w:val="none"/>
              </w:rPr>
            </w:r>
            <w:r/>
          </w:p>
        </w:tc>
        <w:tc>
          <w:tcPr>
            <w:tcW w:w="1128" w:type="dxa"/>
            <w:vAlign w:val="center"/>
            <w:textDirection w:val="lrTb"/>
            <w:noWrap w:val="false"/>
          </w:tcPr>
          <w:p>
            <w:pPr>
              <w:pStyle w:val="99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636"/>
        </w:trPr>
        <w:tc>
          <w:tcPr>
            <w:shd w:val="clear" w:color="ffff00" w:fill="auto"/>
            <w:tcW w:w="2808" w:type="dxa"/>
            <w:vAlign w:val="center"/>
            <w:textDirection w:val="lrTb"/>
            <w:noWrap w:val="false"/>
          </w:tcPr>
          <w:p>
            <w:pPr>
              <w:pStyle w:val="994"/>
              <w:jc w:val="center"/>
              <w:rPr>
                <w:rFonts w:hint="eastAsia" w:ascii="宋体" w:hAnsi="宋体" w:cs="宋体"/>
                <w:color w:val="000000"/>
                <w:szCs w:val="21"/>
                <w:highlight w:val="none"/>
              </w:rPr>
            </w:pPr>
            <w:r>
              <w:rPr>
                <w:rFonts w:hint="eastAsia" w:cs="宋体"/>
                <w:b/>
                <w:bCs/>
                <w:color w:val="000000"/>
                <w:sz w:val="21"/>
                <w:szCs w:val="21"/>
                <w:highlight w:val="none"/>
              </w:rPr>
              <w:t xml:space="preserve"> 三河口片绿化管护项目</w:t>
            </w:r>
            <w:r>
              <w:rPr>
                <w:rFonts w:hint="eastAsia" w:ascii="宋体" w:hAnsi="宋体" w:cs="宋体"/>
                <w:color w:val="000000"/>
                <w:szCs w:val="21"/>
                <w:highlight w:val="none"/>
              </w:rPr>
            </w:r>
            <w:r/>
          </w:p>
        </w:tc>
        <w:tc>
          <w:tcPr>
            <w:tcW w:w="1978" w:type="dxa"/>
            <w:vAlign w:val="center"/>
            <w:textDirection w:val="lrTb"/>
            <w:noWrap w:val="false"/>
          </w:tcPr>
          <w:p>
            <w:pPr>
              <w:pStyle w:val="994"/>
              <w:jc w:val="center"/>
              <w:rPr>
                <w:rFonts w:hint="eastAsia" w:ascii="宋体" w:hAnsi="宋体" w:cs="宋体"/>
                <w:color w:val="000000"/>
                <w:szCs w:val="21"/>
                <w:highlight w:val="none"/>
              </w:rPr>
            </w:pPr>
            <w:r>
              <w:rPr>
                <w:rFonts w:hint="eastAsia" w:cs="宋体"/>
                <w:b/>
                <w:bCs/>
                <w:color w:val="000000"/>
                <w:sz w:val="21"/>
                <w:szCs w:val="21"/>
                <w:highlight w:val="none"/>
              </w:rPr>
              <w:t xml:space="preserve">151383</w:t>
            </w:r>
            <w:r>
              <w:rPr>
                <w:rFonts w:hint="eastAsia" w:ascii="宋体" w:hAnsi="宋体" w:cs="宋体"/>
                <w:color w:val="000000"/>
                <w:szCs w:val="21"/>
                <w:highlight w:val="none"/>
              </w:rPr>
            </w:r>
            <w:r/>
          </w:p>
        </w:tc>
        <w:tc>
          <w:tcPr>
            <w:tcW w:w="1742"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6"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8"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26"/>
        </w:trPr>
        <w:tc>
          <w:tcPr>
            <w:tcW w:w="2808" w:type="dxa"/>
            <w:vAlign w:val="center"/>
            <w:textDirection w:val="lrTb"/>
            <w:noWrap w:val="false"/>
          </w:tcPr>
          <w:p>
            <w:pPr>
              <w:pStyle w:val="994"/>
              <w:jc w:val="center"/>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总价</w:t>
            </w:r>
            <w:r>
              <w:rPr>
                <w:rFonts w:ascii="宋体" w:hAnsi="宋体" w:cs="宋体"/>
                <w:b/>
                <w:bCs/>
                <w:color w:val="000000"/>
                <w:szCs w:val="21"/>
                <w:highlight w:val="none"/>
              </w:rPr>
            </w:r>
            <w:r/>
          </w:p>
        </w:tc>
        <w:tc>
          <w:tcPr>
            <w:gridSpan w:val="4"/>
            <w:tcW w:w="6444" w:type="dxa"/>
            <w:vAlign w:val="center"/>
            <w:textDirection w:val="lrTb"/>
            <w:noWrap w:val="false"/>
          </w:tcPr>
          <w:p>
            <w:pPr>
              <w:pStyle w:val="994"/>
              <w:tabs>
                <w:tab w:val="left" w:pos="55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小写：</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r>
            <w:r/>
          </w:p>
          <w:p>
            <w:pPr>
              <w:pStyle w:val="994"/>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4"/>
                <w:highlight w:val="none"/>
              </w:rPr>
              <w:t xml:space="preserve">大写：</w:t>
            </w:r>
            <w:r>
              <w:rPr>
                <w:rFonts w:hint="eastAsia" w:ascii="宋体" w:hAnsi="宋体" w:cs="宋体"/>
                <w:b/>
                <w:bCs/>
                <w:color w:val="000000"/>
                <w:sz w:val="24"/>
                <w:highlight w:val="none"/>
                <w:u w:val="single"/>
              </w:rPr>
              <w:t xml:space="preserve">               </w:t>
            </w:r>
            <w:r>
              <w:rPr>
                <w:rFonts w:hint="eastAsia" w:ascii="宋体" w:hAnsi="宋体" w:cs="宋体"/>
                <w:b/>
                <w:bCs/>
                <w:color w:val="000000"/>
                <w:szCs w:val="21"/>
                <w:highlight w:val="none"/>
              </w:rPr>
            </w:r>
            <w:r/>
          </w:p>
        </w:tc>
      </w:tr>
    </w:tbl>
    <w:p>
      <w:pPr>
        <w:pStyle w:val="994"/>
        <w:keepLines w:val="0"/>
        <w:keepNext w:val="0"/>
        <w:pageBreakBefore w:val="0"/>
        <w:spacing w:before="25" w:after="25"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.如果不提供分项报价将视为没有实质性响应磋商文件。</w:t>
      </w:r>
      <w:r>
        <w:rPr>
          <w:rFonts w:hint="eastAsia" w:ascii="宋体" w:hAnsi="宋体" w:eastAsia="宋体" w:cs="宋体"/>
          <w:color w:val="000000"/>
          <w:sz w:val="18"/>
          <w:szCs w:val="18"/>
          <w:highlight w:val="none"/>
        </w:rPr>
      </w:r>
      <w:r/>
    </w:p>
    <w:p>
      <w:pPr>
        <w:pStyle w:val="994"/>
        <w:ind w:firstLine="360"/>
        <w:keepLines w:val="0"/>
        <w:keepNext w:val="0"/>
        <w:pageBreakBefore w:val="0"/>
        <w:spacing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.本表行数可以按照项目分项情况增加。</w:t>
      </w:r>
      <w:r>
        <w:rPr>
          <w:rFonts w:hint="eastAsia" w:ascii="宋体" w:hAnsi="宋体" w:eastAsia="宋体" w:cs="宋体"/>
          <w:color w:val="000000"/>
          <w:sz w:val="18"/>
          <w:szCs w:val="18"/>
          <w:highlight w:val="none"/>
        </w:rPr>
      </w:r>
      <w:r/>
    </w:p>
    <w:p>
      <w:pPr>
        <w:pStyle w:val="994"/>
        <w:ind w:firstLine="36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3.本表应按包分别填写。</w:t>
      </w:r>
      <w:r>
        <w:rPr>
          <w:rFonts w:hint="eastAsia" w:ascii="宋体" w:hAnsi="宋体" w:eastAsia="宋体" w:cs="宋体"/>
          <w:color w:val="000000"/>
          <w:sz w:val="18"/>
          <w:szCs w:val="18"/>
          <w:highlight w:val="none"/>
        </w:rPr>
      </w:r>
      <w:r/>
    </w:p>
    <w:p>
      <w:pPr>
        <w:pStyle w:val="994"/>
        <w:ind w:firstLine="361"/>
        <w:spacing w:line="240" w:lineRule="auto"/>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lang w:val="en-US" w:eastAsia="zh-CN"/>
        </w:rPr>
        <w:t xml:space="preserve">4.投标</w:t>
      </w:r>
      <w:r>
        <w:rPr>
          <w:rFonts w:hint="eastAsia" w:ascii="宋体" w:hAnsi="宋体" w:eastAsia="宋体" w:cs="宋体"/>
          <w:b/>
          <w:bCs/>
          <w:color w:val="000000"/>
          <w:sz w:val="18"/>
          <w:szCs w:val="18"/>
          <w:highlight w:val="none"/>
        </w:rPr>
        <w:t xml:space="preserve">总价不得低于采购文件“采购需求”中人员费用测算要求的标准，如不响应则按无效响应文件处理。</w:t>
      </w:r>
      <w:r>
        <w:rPr>
          <w:rFonts w:hint="eastAsia" w:ascii="宋体" w:hAnsi="宋体" w:eastAsia="宋体" w:cs="宋体"/>
          <w:color w:val="000000"/>
          <w:sz w:val="18"/>
          <w:szCs w:val="18"/>
          <w:highlight w:val="none"/>
        </w:rPr>
      </w:r>
      <w:r/>
    </w:p>
    <w:p>
      <w:pPr>
        <w:pStyle w:val="994"/>
        <w:ind w:firstLine="360"/>
        <w:keepLines w:val="0"/>
        <w:keepNext w:val="0"/>
        <w:pageBreakBefore w:val="0"/>
        <w:spacing w:line="260" w:lineRule="exact"/>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994"/>
        <w:ind w:firstLine="3780"/>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ind w:firstLine="378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96"/>
        <w:ind w:firstLine="3780"/>
        <w:jc w:val="both"/>
        <w:rPr>
          <w:rFonts w:hint="eastAsia" w:ascii="宋体" w:hAnsi="宋体" w:eastAsia="宋体" w:cs="宋体"/>
          <w:b w:val="0"/>
          <w:color w:val="000000"/>
          <w:sz w:val="21"/>
          <w:szCs w:val="21"/>
          <w:highlight w:val="none"/>
          <w:u w:val="single"/>
        </w:rPr>
      </w:pPr>
      <w:r>
        <w:rPr>
          <w:rFonts w:hint="eastAsia" w:ascii="宋体" w:hAnsi="宋体" w:eastAsia="宋体" w:cs="宋体"/>
          <w:b w:val="0"/>
          <w:color w:val="000000"/>
          <w:sz w:val="21"/>
          <w:szCs w:val="21"/>
          <w:highlight w:val="none"/>
          <w:lang w:val="zh-CN"/>
        </w:rPr>
        <w:t xml:space="preserve">法定代表人或代理人（签字或盖章）：</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rPr>
      </w:r>
      <w:r/>
    </w:p>
    <w:p>
      <w:pPr>
        <w:pStyle w:val="996"/>
        <w:ind w:firstLine="378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994"/>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994"/>
        <w:spacing w:line="360" w:lineRule="auto"/>
        <w:rPr>
          <w:color w:val="000000"/>
          <w:sz w:val="24"/>
          <w:szCs w:val="20"/>
          <w:highlight w:val="none"/>
        </w:rPr>
      </w:pPr>
      <w:r>
        <w:rPr>
          <w:color w:val="000000"/>
          <w:sz w:val="24"/>
          <w:szCs w:val="20"/>
          <w:highlight w:val="none"/>
        </w:rPr>
      </w:r>
      <w:r/>
    </w:p>
    <w:p>
      <w:pPr>
        <w:pStyle w:val="994"/>
        <w:jc w:val="center"/>
        <w:rPr>
          <w:b/>
          <w:color w:val="000000"/>
          <w:sz w:val="32"/>
          <w:szCs w:val="32"/>
          <w:highlight w:val="none"/>
        </w:rPr>
      </w:pPr>
      <w:r>
        <w:rPr>
          <w:rFonts w:hint="eastAsia"/>
          <w:b/>
          <w:color w:val="000000"/>
          <w:sz w:val="32"/>
          <w:szCs w:val="32"/>
          <w:highlight w:val="none"/>
        </w:rPr>
        <w:t xml:space="preserve">合同条款偏离表</w:t>
      </w:r>
      <w:r>
        <w:rPr>
          <w:b/>
          <w:color w:val="000000"/>
          <w:sz w:val="32"/>
          <w:szCs w:val="32"/>
          <w:highlight w:val="none"/>
        </w:rPr>
      </w:r>
      <w:r/>
    </w:p>
    <w:p>
      <w:pPr>
        <w:pStyle w:val="994"/>
        <w:spacing w:line="360" w:lineRule="auto"/>
        <w:rPr>
          <w:color w:val="000000"/>
          <w:sz w:val="24"/>
          <w:szCs w:val="20"/>
          <w:highlight w:val="none"/>
        </w:rPr>
      </w:pPr>
      <w:r>
        <w:rPr>
          <w:color w:val="000000"/>
          <w:sz w:val="24"/>
          <w:szCs w:val="20"/>
          <w:highlight w:val="none"/>
        </w:rPr>
      </w:r>
      <w:r/>
    </w:p>
    <w:p>
      <w:pPr>
        <w:pStyle w:val="994"/>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项目名称：_____________________</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94"/>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rPr>
                <w:rFonts w:hint="eastAsia" w:ascii="宋体" w:hAnsi="宋体" w:eastAsia="宋体" w:cs="宋体"/>
                <w:b/>
                <w:color w:val="000000"/>
                <w:sz w:val="21"/>
                <w:szCs w:val="21"/>
                <w:highlight w:val="none"/>
              </w:rPr>
            </w:r>
            <w:r/>
          </w:p>
          <w:p>
            <w:pPr>
              <w:pStyle w:val="994"/>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b/>
                <w:color w:val="000000"/>
                <w:sz w:val="21"/>
                <w:szCs w:val="21"/>
                <w:highlight w:val="none"/>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1.对合同条款中的所有要求，除本表所列明的所有偏离外，均视作供应商已对之理解和响应。</w:t>
      </w:r>
      <w:r>
        <w:rPr>
          <w:rFonts w:hint="eastAsia" w:ascii="宋体" w:hAnsi="宋体" w:eastAsia="宋体" w:cs="宋体"/>
          <w:color w:val="000000"/>
          <w:sz w:val="21"/>
          <w:szCs w:val="21"/>
          <w:highlight w:val="none"/>
        </w:rPr>
      </w:r>
      <w:r/>
    </w:p>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2.“偏离情况”列应据实填写“正偏离”或“负偏离”。</w:t>
      </w:r>
      <w:r>
        <w:rPr>
          <w:rFonts w:hint="eastAsia" w:ascii="宋体" w:hAnsi="宋体" w:eastAsia="宋体" w:cs="宋体"/>
          <w:color w:val="000000"/>
          <w:sz w:val="21"/>
          <w:szCs w:val="21"/>
          <w:highlight w:val="none"/>
        </w:rPr>
      </w:r>
      <w:r/>
    </w:p>
    <w:p>
      <w:pPr>
        <w:pStyle w:val="9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996"/>
        <w:jc w:val="both"/>
        <w:rPr>
          <w:rFonts w:hint="eastAsia"/>
          <w:color w:val="000000"/>
          <w:highlight w:val="none"/>
          <w:lang w:val="zh-CN"/>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color w:val="000000"/>
          <w:highlight w:val="none"/>
          <w:lang w:val="zh-CN"/>
        </w:rPr>
      </w:r>
      <w:r/>
    </w:p>
    <w:p>
      <w:pPr>
        <w:pStyle w:val="994"/>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994"/>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.采购需求偏离表</w:t>
      </w: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rPr>
      </w:r>
      <w:r/>
    </w:p>
    <w:p>
      <w:pPr>
        <w:pStyle w:val="994"/>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采购需求偏离表</w:t>
      </w:r>
      <w:r>
        <w:rPr>
          <w:rFonts w:hint="eastAsia" w:ascii="Times New Roman" w:hAnsi="Times New Roman" w:eastAsia="宋体" w:cs="Times New Roman"/>
          <w:b/>
          <w:color w:val="000000"/>
          <w:sz w:val="32"/>
          <w:szCs w:val="32"/>
          <w:highlight w:val="none"/>
        </w:rPr>
      </w:r>
      <w:r/>
    </w:p>
    <w:p>
      <w:pPr>
        <w:pStyle w:val="994"/>
        <w:jc w:val="center"/>
        <w:rPr>
          <w:color w:val="000000"/>
          <w:sz w:val="36"/>
          <w:szCs w:val="36"/>
          <w:highlight w:val="none"/>
        </w:rPr>
      </w:pPr>
      <w:r>
        <w:rPr>
          <w:color w:val="000000"/>
          <w:sz w:val="36"/>
          <w:szCs w:val="36"/>
          <w:highlight w:val="none"/>
        </w:rPr>
      </w:r>
      <w:r/>
    </w:p>
    <w:p>
      <w:pPr>
        <w:pStyle w:val="994"/>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项目编号/包号：_____________________     项目名称：_______________________</w:t>
      </w:r>
      <w:r>
        <w:rPr>
          <w:rFonts w:hint="eastAsia" w:ascii="宋体" w:hAnsi="宋体" w:eastAsia="宋体" w:cs="宋体"/>
          <w:color w:val="000000"/>
          <w:sz w:val="21"/>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99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2.“偏离情况”列应据实填写“正偏离”或“负偏离”。</w:t>
      </w:r>
      <w:r>
        <w:rPr>
          <w:rFonts w:hint="eastAsia" w:ascii="宋体" w:hAnsi="宋体" w:eastAsia="宋体" w:cs="宋体"/>
          <w:color w:val="000000"/>
          <w:sz w:val="21"/>
          <w:szCs w:val="21"/>
          <w:highlight w:val="none"/>
        </w:rPr>
      </w:r>
      <w:r/>
    </w:p>
    <w:p>
      <w:pPr>
        <w:pStyle w:val="994"/>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996"/>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994"/>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99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line="360" w:lineRule="auto"/>
        <w:rPr>
          <w:color w:val="000000"/>
          <w:sz w:val="24"/>
          <w:highlight w:val="none"/>
        </w:rPr>
      </w:pPr>
      <w:r>
        <w:rPr>
          <w:color w:val="000000"/>
          <w:sz w:val="24"/>
          <w:highlight w:val="none"/>
        </w:rPr>
      </w:r>
      <w:r/>
    </w:p>
    <w:p>
      <w:pPr>
        <w:pStyle w:val="994"/>
        <w:spacing w:before="240" w:after="240" w:line="360" w:lineRule="auto"/>
        <w:rPr>
          <w:color w:val="000000"/>
          <w:sz w:val="24"/>
          <w:highlight w:val="none"/>
        </w:rPr>
      </w:pPr>
      <w:r>
        <w:rPr>
          <w:color w:val="000000"/>
          <w:sz w:val="24"/>
          <w:highlight w:val="none"/>
        </w:rPr>
      </w:r>
      <w:r/>
    </w:p>
    <w:p>
      <w:pPr>
        <w:pStyle w:val="994"/>
        <w:spacing w:before="240" w:after="240" w:line="360" w:lineRule="auto"/>
        <w:rPr>
          <w:rFonts w:hint="eastAsia" w:ascii="宋体" w:hAnsi="宋体" w:eastAsia="宋体" w:cs="宋体"/>
          <w:color w:val="000000"/>
          <w:sz w:val="21"/>
          <w:szCs w:val="21"/>
          <w:highlight w:val="none"/>
        </w:rPr>
      </w:pPr>
      <w:r>
        <w:rPr>
          <w:color w:val="000000"/>
          <w:sz w:val="24"/>
          <w:highlight w:val="none"/>
        </w:rPr>
        <w:t xml:space="preserve"> </w:t>
      </w:r>
      <w:r>
        <w:rPr>
          <w:rFonts w:hint="eastAsia" w:ascii="宋体" w:hAnsi="宋体" w:eastAsia="宋体" w:cs="宋体"/>
          <w:color w:val="000000"/>
          <w:sz w:val="21"/>
          <w:szCs w:val="21"/>
          <w:highlight w:val="none"/>
          <w:lang w:val="en-US" w:eastAsia="zh-CN"/>
        </w:rPr>
        <w:t xml:space="preserve">10.项</w:t>
      </w:r>
      <w:r>
        <w:rPr>
          <w:rFonts w:hint="eastAsia" w:ascii="宋体" w:hAnsi="宋体" w:eastAsia="宋体" w:cs="宋体"/>
          <w:color w:val="000000"/>
          <w:sz w:val="21"/>
          <w:szCs w:val="21"/>
          <w:highlight w:val="none"/>
        </w:rPr>
        <w:t xml:space="preserve">目实施方案等，包括但不限于如下主题：</w:t>
      </w:r>
      <w:r>
        <w:rPr>
          <w:rFonts w:hint="eastAsia" w:ascii="宋体" w:hAnsi="宋体" w:eastAsia="宋体" w:cs="宋体"/>
          <w:color w:val="000000"/>
          <w:sz w:val="21"/>
          <w:szCs w:val="21"/>
          <w:highlight w:val="none"/>
        </w:rPr>
      </w:r>
      <w:r/>
    </w:p>
    <w:p>
      <w:pPr>
        <w:pStyle w:val="994"/>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1）绿化养护措施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项目管理机构和人力资源配置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安全、文明管养措施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设施维修措施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巡查方案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应急预案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9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rPr>
          <w:rFonts w:hint="eastAsia"/>
          <w:color w:val="000000"/>
          <w:highlight w:val="none"/>
          <w:lang w:val="en-US" w:eastAsia="zh-CN"/>
        </w:rPr>
      </w:pPr>
      <w:r>
        <w:rPr>
          <w:rFonts w:hint="eastAsia"/>
          <w:color w:val="000000"/>
          <w:highlight w:val="none"/>
          <w:lang w:val="en-US" w:eastAsia="zh-CN"/>
        </w:rPr>
      </w:r>
      <w:r/>
    </w:p>
    <w:p>
      <w:pPr>
        <w:pStyle w:val="994"/>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4"/>
        <w:numPr>
          <w:ilvl w:val="0"/>
          <w:numId w:val="0"/>
        </w:numPr>
        <w:jc w:val="both"/>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参加本项目人员一览表</w:t>
      </w:r>
      <w:r>
        <w:rPr>
          <w:rFonts w:hint="eastAsia" w:ascii="宋体" w:hAnsi="宋体" w:eastAsia="宋体" w:cs="宋体"/>
          <w:color w:val="000000"/>
          <w:sz w:val="21"/>
          <w:szCs w:val="21"/>
          <w:highlight w:val="none"/>
        </w:rPr>
      </w:r>
      <w:r/>
    </w:p>
    <w:p>
      <w:pPr>
        <w:pStyle w:val="9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94"/>
        <w:spacing w:line="360" w:lineRule="auto"/>
        <w:rPr>
          <w:rFonts w:ascii="宋体" w:hAnsi="宋体"/>
          <w:color w:val="000000"/>
          <w:sz w:val="22"/>
          <w:highlight w:val="none"/>
        </w:rPr>
      </w:pPr>
      <w:r>
        <w:rPr>
          <w:rFonts w:ascii="宋体" w:hAnsi="宋体"/>
          <w:color w:val="000000"/>
          <w:sz w:val="22"/>
          <w:highlight w:val="none"/>
        </w:rPr>
      </w:r>
      <w:r/>
    </w:p>
    <w:p>
      <w:pPr>
        <w:pStyle w:val="9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074"/>
        <w:gridCol w:w="816"/>
        <w:gridCol w:w="945"/>
        <w:gridCol w:w="945"/>
        <w:gridCol w:w="945"/>
        <w:gridCol w:w="945"/>
      </w:tblGrid>
      <w:tr>
        <w:trPr/>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毕业学校和学历</w:t>
            </w:r>
            <w:r>
              <w:rPr>
                <w:rFonts w:hint="eastAsia" w:ascii="宋体" w:hAnsi="宋体" w:eastAsia="宋体" w:cs="宋体"/>
                <w:color w:val="000000"/>
                <w:sz w:val="21"/>
                <w:szCs w:val="21"/>
                <w:highlight w:val="none"/>
              </w:rPr>
            </w:r>
            <w:r/>
          </w:p>
        </w:tc>
        <w:tc>
          <w:tcPr>
            <w:tcW w:w="816"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专业培训及证书</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w:t>
            </w:r>
            <w:r>
              <w:rPr>
                <w:rFonts w:hint="eastAsia" w:ascii="宋体" w:hAnsi="宋体" w:eastAsia="宋体" w:cs="宋体"/>
                <w:color w:val="000000"/>
                <w:sz w:val="21"/>
                <w:szCs w:val="21"/>
                <w:highlight w:val="none"/>
              </w:rPr>
            </w:r>
            <w:r/>
          </w:p>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或分工</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项目经历或主要工作</w:t>
            </w:r>
            <w:r>
              <w:rPr>
                <w:rFonts w:hint="eastAsia" w:ascii="宋体" w:hAnsi="宋体" w:eastAsia="宋体" w:cs="宋体"/>
                <w:color w:val="000000"/>
                <w:sz w:val="21"/>
                <w:szCs w:val="21"/>
                <w:highlight w:val="none"/>
              </w:rPr>
            </w:r>
            <w:r/>
          </w:p>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94"/>
        <w:tabs>
          <w:tab w:val="left" w:pos="9765"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1075"/>
        <w:rPr>
          <w:rFonts w:hint="eastAsia" w:ascii="宋体" w:eastAsia="宋体" w:cs="Times New Roman"/>
          <w:color w:val="000000"/>
          <w:highlight w:val="none"/>
        </w:rPr>
      </w:pPr>
      <w:r>
        <w:rPr>
          <w:rFonts w:hint="eastAsia" w:ascii="宋体" w:eastAsia="宋体" w:cs="Times New Roman"/>
          <w:color w:val="000000"/>
          <w:highlight w:val="none"/>
          <w:lang w:val="en-US" w:eastAsia="zh-CN"/>
        </w:rPr>
        <w:t xml:space="preserve">注：拟派</w:t>
      </w:r>
      <w:r>
        <w:rPr>
          <w:rFonts w:hint="eastAsia" w:ascii="宋体" w:eastAsia="宋体" w:cs="Times New Roman"/>
          <w:color w:val="000000"/>
          <w:highlight w:val="none"/>
        </w:rPr>
        <w:t xml:space="preserve">参与本项目组负责人及管理成员情况（</w:t>
      </w:r>
      <w:r>
        <w:rPr>
          <w:rFonts w:hint="eastAsia" w:ascii="宋体" w:eastAsia="宋体" w:cs="Times New Roman"/>
          <w:color w:val="000000"/>
          <w:highlight w:val="none"/>
          <w:lang w:val="en-US" w:eastAsia="zh-CN"/>
        </w:rPr>
        <w:t xml:space="preserve">可</w:t>
      </w:r>
      <w:r>
        <w:rPr>
          <w:rFonts w:hint="eastAsia" w:ascii="宋体" w:eastAsia="宋体" w:cs="Times New Roman"/>
          <w:color w:val="000000"/>
          <w:highlight w:val="none"/>
        </w:rPr>
        <w:t xml:space="preserve">附人员学历、资质证书</w:t>
      </w:r>
      <w:r>
        <w:rPr>
          <w:rFonts w:hint="eastAsia" w:ascii="宋体" w:eastAsia="宋体" w:cs="Times New Roman"/>
          <w:color w:val="000000"/>
          <w:highlight w:val="none"/>
          <w:lang w:val="en-US" w:eastAsia="zh-CN"/>
        </w:rPr>
        <w:t xml:space="preserve">扫描件等材料）</w:t>
      </w:r>
      <w:r>
        <w:rPr>
          <w:rFonts w:hint="eastAsia" w:ascii="宋体" w:eastAsia="宋体" w:cs="Times New Roman"/>
          <w:color w:val="000000"/>
          <w:highlight w:val="none"/>
        </w:rPr>
        <w:t xml:space="preserve">。</w:t>
      </w:r>
      <w:r>
        <w:rPr>
          <w:rFonts w:hint="eastAsia" w:ascii="宋体" w:eastAsia="宋体" w:cs="Times New Roman"/>
          <w:color w:val="000000"/>
          <w:highlight w:val="none"/>
        </w:rPr>
      </w:r>
      <w:r/>
    </w:p>
    <w:p>
      <w:pPr>
        <w:pStyle w:val="10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rPr>
          <w:rFonts w:hint="eastAsia"/>
          <w:color w:val="000000"/>
          <w:highlight w:val="none"/>
        </w:rPr>
      </w:pPr>
      <w:r>
        <w:rPr>
          <w:rFonts w:hint="eastAsia"/>
          <w:color w:val="000000"/>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994"/>
        <w:spacing w:before="25" w:after="25" w:line="360" w:lineRule="auto"/>
        <w:rPr>
          <w:rFonts w:hint="eastAsia"/>
          <w:color w:val="000000"/>
          <w:highlight w:val="none"/>
          <w:lang w:val="zh-CN"/>
        </w:rPr>
      </w:pPr>
      <w:r>
        <w:rPr>
          <w:rFonts w:hint="eastAsia" w:ascii="宋体" w:hAnsi="宋体" w:cs="宋体"/>
          <w:color w:val="000000"/>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color w:val="000000"/>
          <w:highlight w:val="none"/>
          <w:lang w:val="zh-CN"/>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99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br w:type="page" w:clear="all"/>
      </w:r>
      <w:bookmarkStart w:id="744" w:name="_Toc288738839"/>
      <w:r/>
      <w:bookmarkStart w:id="745" w:name="_Toc288738397"/>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相关业绩案例一览表</w:t>
      </w:r>
      <w:r>
        <w:rPr>
          <w:rFonts w:hint="eastAsia" w:ascii="宋体" w:hAnsi="宋体" w:eastAsia="宋体" w:cs="宋体"/>
          <w:color w:val="000000"/>
          <w:sz w:val="21"/>
          <w:szCs w:val="21"/>
          <w:highlight w:val="none"/>
          <w:lang w:val="en-US" w:eastAsia="zh-CN"/>
        </w:rPr>
      </w:r>
      <w:r/>
    </w:p>
    <w:p>
      <w:pPr>
        <w:pStyle w:val="994"/>
        <w:rPr>
          <w:color w:val="000000"/>
          <w:sz w:val="24"/>
          <w:szCs w:val="20"/>
          <w:highlight w:val="none"/>
        </w:rPr>
      </w:pPr>
      <w:r>
        <w:rPr>
          <w:color w:val="000000"/>
          <w:sz w:val="24"/>
          <w:szCs w:val="20"/>
          <w:highlight w:val="none"/>
        </w:rPr>
      </w:r>
      <w:r/>
    </w:p>
    <w:p>
      <w:pPr>
        <w:pStyle w:val="994"/>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相关业绩案例一览表</w:t>
      </w:r>
      <w:bookmarkEnd w:id="744"/>
      <w:r/>
      <w:bookmarkEnd w:id="745"/>
      <w:r>
        <w:rPr>
          <w:rFonts w:hint="eastAsia" w:ascii="宋体" w:hAnsi="宋体" w:eastAsia="宋体" w:cs="Times New Roman"/>
          <w:b/>
          <w:color w:val="000000"/>
          <w:sz w:val="32"/>
          <w:szCs w:val="32"/>
          <w:highlight w:val="none"/>
        </w:rPr>
      </w:r>
      <w:r/>
    </w:p>
    <w:p>
      <w:pPr>
        <w:pStyle w:val="99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项目时间</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项目甲方单位</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合同金额</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单位地址</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4"/>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4"/>
              <w:ind w:hanging="52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4"/>
              <w:ind w:hanging="52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4"/>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4"/>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94"/>
        <w:ind w:firstLine="211"/>
        <w:jc w:val="left"/>
        <w:keepLines w:val="0"/>
        <w:keepNext w:val="0"/>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注: 1、本表后附合同扫描件，否则不予认可。</w:t>
      </w:r>
      <w:r>
        <w:rPr>
          <w:rFonts w:hint="eastAsia" w:ascii="宋体" w:hAnsi="宋体" w:eastAsia="宋体" w:cs="宋体"/>
          <w:b/>
          <w:bCs/>
          <w:color w:val="000000"/>
          <w:sz w:val="21"/>
          <w:szCs w:val="21"/>
          <w:highlight w:val="none"/>
          <w:lang w:val="en-US" w:eastAsia="zh-CN" w:bidi="ar"/>
        </w:rPr>
      </w:r>
      <w:r/>
    </w:p>
    <w:p>
      <w:pPr>
        <w:pStyle w:val="994"/>
        <w:ind w:firstLine="632"/>
        <w:jc w:val="left"/>
        <w:keepLines w:val="0"/>
        <w:keepNext w:val="0"/>
        <w:widowControl/>
        <w:rPr>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2、本表可按同样格式扩展。</w:t>
      </w:r>
      <w:r>
        <w:rPr>
          <w:color w:val="000000"/>
          <w:sz w:val="21"/>
          <w:szCs w:val="21"/>
          <w:highlight w:val="none"/>
        </w:rPr>
      </w:r>
      <w:r/>
    </w:p>
    <w:p>
      <w:pPr>
        <w:pStyle w:val="9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994"/>
        <w:spacing w:before="25" w:after="25" w:line="360" w:lineRule="auto"/>
        <w:rPr>
          <w:rFonts w:hint="eastAsia"/>
          <w:color w:val="000000"/>
          <w:highlight w:val="none"/>
          <w:lang w:val="zh-CN"/>
        </w:rPr>
      </w:pPr>
      <w:r>
        <w:rPr>
          <w:rFonts w:hint="eastAsia" w:ascii="宋体" w:hAnsi="宋体" w:cs="宋体"/>
          <w:color w:val="000000"/>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color w:val="000000"/>
          <w:highlight w:val="none"/>
          <w:lang w:val="zh-CN"/>
        </w:rPr>
      </w:r>
      <w:r/>
    </w:p>
    <w:p>
      <w:pPr>
        <w:pStyle w:val="99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99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99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hint="eastAsia"/>
          <w:color w:val="000000"/>
          <w:sz w:val="24"/>
          <w:szCs w:val="20"/>
          <w:highlight w:val="none"/>
        </w:rPr>
        <w:outlineLvl w:val="2"/>
      </w:pPr>
      <w:r>
        <w:rPr>
          <w:rFonts w:hint="eastAsia"/>
          <w:color w:val="000000"/>
          <w:sz w:val="24"/>
          <w:szCs w:val="20"/>
          <w:highlight w:val="none"/>
        </w:rPr>
      </w:r>
      <w:r/>
    </w:p>
    <w:p>
      <w:pPr>
        <w:pStyle w:val="994"/>
        <w:spacing w:line="360" w:lineRule="auto"/>
        <w:rPr>
          <w:rFonts w:ascii="宋体" w:hAnsi="宋体" w:eastAsia="宋体" w:cs="宋体"/>
          <w:color w:val="000000"/>
          <w:szCs w:val="21"/>
          <w:highlight w:val="none"/>
          <w:lang w:val="en-US" w:eastAsia="zh-CN"/>
        </w:rPr>
        <w:outlineLvl w:val="2"/>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Cs w:val="21"/>
          <w:highlight w:val="none"/>
          <w:lang w:val="en-US" w:eastAsia="zh-CN"/>
        </w:rPr>
        <w:t xml:space="preserve">13.关于磋商文件的询问内容</w:t>
      </w:r>
      <w:r>
        <w:rPr>
          <w:rFonts w:ascii="宋体" w:hAnsi="宋体" w:eastAsia="宋体" w:cs="宋体"/>
          <w:color w:val="000000"/>
          <w:szCs w:val="21"/>
          <w:highlight w:val="none"/>
          <w:lang w:val="en-US" w:eastAsia="zh-CN"/>
        </w:rPr>
      </w:r>
      <w:r/>
    </w:p>
    <w:p>
      <w:pPr>
        <w:pStyle w:val="994"/>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询问函</w:t>
      </w:r>
      <w:r>
        <w:rPr>
          <w:rFonts w:hint="eastAsia" w:ascii="宋体" w:hAnsi="宋体" w:eastAsia="宋体" w:cs="Times New Roman"/>
          <w:b/>
          <w:color w:val="000000"/>
          <w:sz w:val="32"/>
          <w:szCs w:val="32"/>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rPr>
      </w:r>
      <w:r/>
    </w:p>
    <w:p>
      <w:pPr>
        <w:pStyle w:val="994"/>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994"/>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94"/>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994"/>
        <w:ind w:firstLine="3780"/>
        <w:spacing w:line="360" w:lineRule="auto"/>
        <w:rPr>
          <w:color w:val="000000"/>
          <w:sz w:val="24"/>
          <w:highlight w:val="none"/>
        </w:rPr>
        <w:outlineLvl w:val="2"/>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14.磋商文件要求提供或供应商认为应附的其他材料</w:t>
      </w:r>
      <w:r>
        <w:rPr>
          <w:color w:val="000000"/>
          <w:sz w:val="24"/>
          <w:highlight w:val="none"/>
        </w:rPr>
      </w:r>
      <w:r/>
    </w:p>
    <w:p>
      <w:pPr>
        <w:pStyle w:val="994"/>
        <w:rPr>
          <w:b/>
          <w:color w:val="000000"/>
          <w:sz w:val="36"/>
          <w:szCs w:val="36"/>
          <w:highlight w:val="none"/>
        </w:rPr>
      </w:pPr>
      <w:r>
        <w:rPr>
          <w:b/>
          <w:color w:val="000000"/>
          <w:sz w:val="36"/>
          <w:szCs w:val="36"/>
          <w:highlight w:val="none"/>
        </w:rPr>
      </w:r>
      <w:r/>
    </w:p>
    <w:p>
      <w:pPr>
        <w:pStyle w:val="994"/>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99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4"/>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【以下无正文】</w:t>
      </w:r>
      <w:r>
        <w:rPr>
          <w:rFonts w:hint="eastAsia" w:ascii="宋体" w:hAnsi="宋体" w:eastAsia="宋体" w:cs="宋体"/>
          <w:b/>
          <w:color w:val="000000"/>
          <w:sz w:val="30"/>
          <w:szCs w:val="30"/>
          <w:highlight w:val="none"/>
        </w:rPr>
      </w:r>
      <w:r/>
    </w:p>
    <w:p>
      <w:pPr>
        <w:pStyle w:val="994"/>
        <w:jc w:val="center"/>
        <w:rPr>
          <w:rFonts w:hint="eastAsia" w:ascii="宋体" w:hAnsi="宋体" w:eastAsia="宋体" w:cs="宋体"/>
          <w:bCs/>
          <w:color w:val="000000"/>
          <w:sz w:val="24"/>
          <w:szCs w:val="24"/>
          <w:highlight w:val="none"/>
        </w:rPr>
      </w:pPr>
      <w:r>
        <w:rPr>
          <w:rFonts w:hint="eastAsia" w:ascii="宋体" w:hAnsi="宋体" w:eastAsia="宋体" w:cs="宋体"/>
          <w:b/>
          <w:color w:val="000000"/>
          <w:sz w:val="30"/>
          <w:szCs w:val="30"/>
          <w:highlight w:val="none"/>
        </w:rPr>
        <w:t xml:space="preserve">*本</w:t>
      </w:r>
      <w:r>
        <w:rPr>
          <w:rFonts w:hint="eastAsia" w:ascii="宋体" w:hAnsi="宋体" w:eastAsia="宋体" w:cs="宋体"/>
          <w:b/>
          <w:color w:val="000000"/>
          <w:sz w:val="30"/>
          <w:szCs w:val="30"/>
          <w:highlight w:val="none"/>
          <w:lang w:eastAsia="zh-CN"/>
        </w:rPr>
        <w:t xml:space="preserve">磋商</w:t>
      </w:r>
      <w:r>
        <w:rPr>
          <w:rFonts w:hint="eastAsia" w:ascii="宋体" w:hAnsi="宋体" w:eastAsia="宋体" w:cs="宋体"/>
          <w:b/>
          <w:color w:val="000000"/>
          <w:sz w:val="30"/>
          <w:szCs w:val="30"/>
          <w:highlight w:val="none"/>
        </w:rPr>
        <w:t xml:space="preserve">文件的最终解释权归</w:t>
      </w:r>
      <w:r>
        <w:rPr>
          <w:rFonts w:hint="eastAsia" w:ascii="宋体" w:hAnsi="宋体" w:cs="宋体"/>
          <w:b/>
          <w:color w:val="000000"/>
          <w:sz w:val="30"/>
          <w:szCs w:val="30"/>
          <w:highlight w:val="none"/>
          <w:lang w:eastAsia="zh-CN"/>
        </w:rPr>
        <w:t xml:space="preserve">常州市阳峻项目管理有限公司</w:t>
      </w:r>
      <w:r>
        <w:rPr>
          <w:rFonts w:hint="eastAsia" w:ascii="宋体" w:hAnsi="宋体" w:eastAsia="宋体" w:cs="宋体"/>
          <w:b/>
          <w:color w:val="000000"/>
          <w:sz w:val="30"/>
          <w:szCs w:val="30"/>
          <w:highlight w:val="none"/>
        </w:rPr>
        <w:t xml:space="preserve">所有*</w:t>
      </w:r>
      <w:r>
        <w:rPr>
          <w:rFonts w:hint="eastAsia" w:ascii="宋体" w:hAnsi="宋体" w:eastAsia="宋体" w:cs="宋体"/>
          <w:bCs/>
          <w:color w:val="000000"/>
          <w:sz w:val="24"/>
          <w:szCs w:val="24"/>
          <w:highlight w:val="none"/>
        </w:rPr>
      </w:r>
      <w:r/>
    </w:p>
    <w:sectPr>
      <w:headerReference w:type="even" r:id="rId10"/>
      <w:headerReference w:type="first" r:id="rId11"/>
      <w:footerReference w:type="even"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font-weight : 400">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font-weight : 700">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Style w:val="1068"/>
      </w:rPr>
      <w:framePr w:wrap="around" w:vAnchor="text" w:hAnchor="margin" w:xAlign="right" w:y="1"/>
    </w:pPr>
    <w:r>
      <w:rPr>
        <w:rStyle w:val="1068"/>
      </w:rPr>
      <w:fldChar w:fldCharType="begin"/>
    </w:r>
    <w:r>
      <w:rPr>
        <w:rStyle w:val="1068"/>
      </w:rPr>
      <w:instrText xml:space="preserve">PAGE  </w:instrText>
    </w:r>
    <w:r>
      <w:rPr>
        <w:rStyle w:val="1068"/>
      </w:rPr>
      <w:fldChar w:fldCharType="end"/>
    </w:r>
    <w:r>
      <w:rPr>
        <w:rStyle w:val="1068"/>
      </w:rPr>
    </w:r>
    <w:r/>
  </w:p>
  <w:p>
    <w:pPr>
      <w:pStyle w:val="104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94"/>
                    </w:pPr>
                    <w:r/>
                    <w:r/>
                  </w:p>
                </w:txbxContent>
              </v:textbox>
            </v:shape>
          </w:pict>
        </mc:Fallback>
      </mc:AlternateContent>
    </w:r>
    <w:r>
      <w:rPr>
        <w:rFonts w:ascii="仿宋_GB2312" w:hAnsi="宋体" w:eastAsia="仿宋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Style w:val="1068"/>
      </w:rPr>
      <w:framePr w:wrap="around" w:vAnchor="text" w:hAnchor="margin" w:xAlign="right" w:y="1"/>
    </w:pPr>
    <w:r>
      <w:rPr>
        <w:rStyle w:val="1068"/>
      </w:rPr>
      <w:fldChar w:fldCharType="begin"/>
    </w:r>
    <w:r>
      <w:rPr>
        <w:rStyle w:val="1068"/>
      </w:rPr>
      <w:instrText xml:space="preserve">PAGE  </w:instrText>
    </w:r>
    <w:r>
      <w:rPr>
        <w:rStyle w:val="1068"/>
      </w:rPr>
      <w:fldChar w:fldCharType="end"/>
    </w:r>
    <w:r>
      <w:rPr>
        <w:rStyle w:val="1068"/>
      </w:rPr>
    </w:r>
    <w:r/>
  </w:p>
  <w:p>
    <w:pPr>
      <w:pStyle w:val="1042"/>
      <w:ind w:right="360"/>
      <w:tabs>
        <w:tab w:val="center" w:pos="4153" w:leader="none"/>
        <w:tab w:val="right" w:pos="8306" w:leader="none"/>
      </w:tabs>
    </w:pPr>
    <w:r/>
    <w:r/>
  </w:p>
  <w:p>
    <w:pPr>
      <w:pStyle w:val="99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p>
    <w:pPr>
      <w:pStyle w:val="9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pStyle w:val="994"/>
      </w:pPr>
      <w:rPr>
        <w:rFonts w:hint="eastAsia"/>
        <w:b/>
        <w:bCs/>
        <w:sz w:val="24"/>
        <w:szCs w:val="24"/>
      </w:rPr>
    </w:lvl>
    <w:lvl w:ilvl="1">
      <w:start w:val="1"/>
      <w:numFmt w:val="bullet"/>
      <w:isLgl w:val="false"/>
      <w:suff w:val="tab"/>
      <w:lvlText w:val="o"/>
      <w:lvlJc w:val="left"/>
      <w:pPr>
        <w:pStyle w:val="994"/>
        <w:ind w:left="1440" w:hanging="360"/>
      </w:pPr>
      <w:rPr>
        <w:rFonts w:ascii="Courier New" w:hAnsi="Courier New" w:eastAsia="Courier New" w:cs="Courier New"/>
      </w:rPr>
    </w:lvl>
    <w:lvl w:ilvl="2">
      <w:start w:val="1"/>
      <w:numFmt w:val="bullet"/>
      <w:isLgl w:val="false"/>
      <w:suff w:val="tab"/>
      <w:lvlText w:val="§"/>
      <w:lvlJc w:val="left"/>
      <w:pPr>
        <w:pStyle w:val="994"/>
        <w:ind w:left="2160" w:hanging="360"/>
      </w:pPr>
      <w:rPr>
        <w:rFonts w:ascii="Wingdings" w:hAnsi="Wingdings" w:eastAsia="Wingdings" w:cs="Wingdings"/>
      </w:rPr>
    </w:lvl>
    <w:lvl w:ilvl="3">
      <w:start w:val="1"/>
      <w:numFmt w:val="bullet"/>
      <w:isLgl w:val="false"/>
      <w:suff w:val="tab"/>
      <w:lvlText w:val="·"/>
      <w:lvlJc w:val="left"/>
      <w:pPr>
        <w:pStyle w:val="994"/>
        <w:ind w:left="2880" w:hanging="360"/>
      </w:pPr>
      <w:rPr>
        <w:rFonts w:ascii="Symbol" w:hAnsi="Symbol" w:eastAsia="Symbol" w:cs="Symbol"/>
      </w:rPr>
    </w:lvl>
    <w:lvl w:ilvl="4">
      <w:start w:val="1"/>
      <w:numFmt w:val="bullet"/>
      <w:isLgl w:val="false"/>
      <w:suff w:val="tab"/>
      <w:lvlText w:val="o"/>
      <w:lvlJc w:val="left"/>
      <w:pPr>
        <w:pStyle w:val="994"/>
        <w:ind w:left="3600" w:hanging="360"/>
      </w:pPr>
      <w:rPr>
        <w:rFonts w:ascii="Courier New" w:hAnsi="Courier New" w:eastAsia="Courier New" w:cs="Courier New"/>
      </w:rPr>
    </w:lvl>
    <w:lvl w:ilvl="5">
      <w:start w:val="1"/>
      <w:numFmt w:val="bullet"/>
      <w:isLgl w:val="false"/>
      <w:suff w:val="tab"/>
      <w:lvlText w:val="§"/>
      <w:lvlJc w:val="left"/>
      <w:pPr>
        <w:pStyle w:val="994"/>
        <w:ind w:left="4320" w:hanging="360"/>
      </w:pPr>
      <w:rPr>
        <w:rFonts w:ascii="Wingdings" w:hAnsi="Wingdings" w:eastAsia="Wingdings" w:cs="Wingdings"/>
      </w:rPr>
    </w:lvl>
    <w:lvl w:ilvl="6">
      <w:start w:val="1"/>
      <w:numFmt w:val="bullet"/>
      <w:isLgl w:val="false"/>
      <w:suff w:val="tab"/>
      <w:lvlText w:val="·"/>
      <w:lvlJc w:val="left"/>
      <w:pPr>
        <w:pStyle w:val="994"/>
        <w:ind w:left="5040" w:hanging="360"/>
      </w:pPr>
      <w:rPr>
        <w:rFonts w:ascii="Symbol" w:hAnsi="Symbol" w:eastAsia="Symbol" w:cs="Symbol"/>
      </w:rPr>
    </w:lvl>
    <w:lvl w:ilvl="7">
      <w:start w:val="1"/>
      <w:numFmt w:val="bullet"/>
      <w:isLgl w:val="false"/>
      <w:suff w:val="tab"/>
      <w:lvlText w:val="o"/>
      <w:lvlJc w:val="left"/>
      <w:pPr>
        <w:pStyle w:val="994"/>
        <w:ind w:left="5760" w:hanging="360"/>
      </w:pPr>
      <w:rPr>
        <w:rFonts w:ascii="Courier New" w:hAnsi="Courier New" w:eastAsia="Courier New" w:cs="Courier New"/>
      </w:rPr>
    </w:lvl>
    <w:lvl w:ilvl="8">
      <w:start w:val="1"/>
      <w:numFmt w:val="bullet"/>
      <w:isLgl w:val="false"/>
      <w:suff w:val="tab"/>
      <w:lvlText w:val="§"/>
      <w:lvlJc w:val="left"/>
      <w:pPr>
        <w:pStyle w:val="994"/>
        <w:ind w:left="6480" w:hanging="360"/>
      </w:pPr>
      <w:rPr>
        <w:rFonts w:ascii="Wingdings" w:hAnsi="Wingdings" w:eastAsia="Wingdings" w:cs="Wingdings"/>
      </w:rPr>
    </w:lvl>
  </w:abstractNum>
  <w:abstractNum w:abstractNumId="2">
    <w:multiLevelType w:val="hybridMultilevel"/>
    <w:lvl w:ilvl="0">
      <w:start w:val="1"/>
      <w:numFmt w:val="decimal"/>
      <w:pStyle w:val="1105"/>
      <w:isLgl w:val="false"/>
      <w:suff w:val="tab"/>
      <w:lvlText w:val="%1."/>
      <w:lvlJc w:val="left"/>
      <w:pPr>
        <w:pStyle w:val="994"/>
        <w:ind w:left="420" w:hanging="420"/>
      </w:pPr>
    </w:lvl>
    <w:lvl w:ilvl="1">
      <w:start w:val="1"/>
      <w:numFmt w:val="decimal"/>
      <w:isLgl w:val="false"/>
      <w:suff w:val="tab"/>
      <w:lvlText w:val="（%2）"/>
      <w:lvlJc w:val="left"/>
      <w:pPr>
        <w:pStyle w:val="994"/>
        <w:ind w:left="1140" w:hanging="720"/>
        <w:tabs>
          <w:tab w:val="num" w:pos="1140" w:leader="none"/>
        </w:tabs>
      </w:pPr>
      <w:rPr>
        <w:rFonts w:hint="eastAsia"/>
      </w:rPr>
    </w:lvl>
    <w:lvl w:ilvl="2">
      <w:start w:val="1"/>
      <w:numFmt w:val="lowerRoman"/>
      <w:isLgl w:val="false"/>
      <w:suff w:val="tab"/>
      <w:lvlText w:val="%3."/>
      <w:lvlJc w:val="right"/>
      <w:pPr>
        <w:pStyle w:val="994"/>
        <w:ind w:left="1260" w:hanging="420"/>
      </w:pPr>
    </w:lvl>
    <w:lvl w:ilvl="3">
      <w:start w:val="1"/>
      <w:numFmt w:val="decimal"/>
      <w:isLgl w:val="false"/>
      <w:suff w:val="tab"/>
      <w:lvlText w:val="%4."/>
      <w:lvlJc w:val="left"/>
      <w:pPr>
        <w:pStyle w:val="994"/>
        <w:ind w:left="1680" w:hanging="420"/>
      </w:pPr>
    </w:lvl>
    <w:lvl w:ilvl="4">
      <w:start w:val="1"/>
      <w:numFmt w:val="lowerLetter"/>
      <w:isLgl w:val="false"/>
      <w:suff w:val="tab"/>
      <w:lvlText w:val="%5)"/>
      <w:lvlJc w:val="left"/>
      <w:pPr>
        <w:pStyle w:val="994"/>
        <w:ind w:left="2100" w:hanging="420"/>
      </w:pPr>
    </w:lvl>
    <w:lvl w:ilvl="5">
      <w:start w:val="1"/>
      <w:numFmt w:val="lowerRoman"/>
      <w:isLgl w:val="false"/>
      <w:suff w:val="tab"/>
      <w:lvlText w:val="%6."/>
      <w:lvlJc w:val="right"/>
      <w:pPr>
        <w:pStyle w:val="994"/>
        <w:ind w:left="2520" w:hanging="420"/>
      </w:pPr>
    </w:lvl>
    <w:lvl w:ilvl="6">
      <w:start w:val="1"/>
      <w:numFmt w:val="decimal"/>
      <w:isLgl w:val="false"/>
      <w:suff w:val="tab"/>
      <w:lvlText w:val="%7."/>
      <w:lvlJc w:val="left"/>
      <w:pPr>
        <w:pStyle w:val="994"/>
        <w:ind w:left="2940" w:hanging="420"/>
      </w:pPr>
    </w:lvl>
    <w:lvl w:ilvl="7">
      <w:start w:val="1"/>
      <w:numFmt w:val="lowerLetter"/>
      <w:isLgl w:val="false"/>
      <w:suff w:val="tab"/>
      <w:lvlText w:val="%8)"/>
      <w:lvlJc w:val="left"/>
      <w:pPr>
        <w:pStyle w:val="994"/>
        <w:ind w:left="3360" w:hanging="420"/>
      </w:pPr>
    </w:lvl>
    <w:lvl w:ilvl="8">
      <w:start w:val="1"/>
      <w:numFmt w:val="lowerRoman"/>
      <w:isLgl w:val="false"/>
      <w:suff w:val="tab"/>
      <w:lvlText w:val="%9."/>
      <w:lvlJc w:val="right"/>
      <w:pPr>
        <w:pStyle w:val="994"/>
        <w:ind w:left="3780" w:hanging="420"/>
      </w:pPr>
    </w:lvl>
  </w:abstractNum>
  <w:abstractNum w:abstractNumId="3">
    <w:multiLevelType w:val="hybridMultilevel"/>
    <w:lvl w:ilvl="0">
      <w:start w:val="1"/>
      <w:numFmt w:val="lowerLetter"/>
      <w:pStyle w:val="1179"/>
      <w:isLgl w:val="false"/>
      <w:suff w:val="tab"/>
      <w:lvlText w:val="%1)"/>
      <w:lvlJc w:val="left"/>
      <w:pPr>
        <w:pStyle w:val="994"/>
        <w:ind w:left="902" w:hanging="420"/>
      </w:pPr>
      <w:rPr>
        <w:color w:val="000000"/>
      </w:rPr>
    </w:lvl>
    <w:lvl w:ilvl="1">
      <w:start w:val="1"/>
      <w:numFmt w:val="lowerLetter"/>
      <w:isLgl w:val="false"/>
      <w:suff w:val="tab"/>
      <w:lvlText w:val="%2)"/>
      <w:lvlJc w:val="left"/>
      <w:pPr>
        <w:pStyle w:val="994"/>
        <w:ind w:left="1322" w:hanging="420"/>
      </w:pPr>
    </w:lvl>
    <w:lvl w:ilvl="2">
      <w:start w:val="1"/>
      <w:numFmt w:val="lowerRoman"/>
      <w:isLgl w:val="false"/>
      <w:suff w:val="tab"/>
      <w:lvlText w:val="%3."/>
      <w:lvlJc w:val="right"/>
      <w:pPr>
        <w:pStyle w:val="994"/>
        <w:ind w:left="1742" w:hanging="420"/>
      </w:pPr>
    </w:lvl>
    <w:lvl w:ilvl="3">
      <w:start w:val="1"/>
      <w:numFmt w:val="decimal"/>
      <w:isLgl w:val="false"/>
      <w:suff w:val="tab"/>
      <w:lvlText w:val="%4."/>
      <w:lvlJc w:val="left"/>
      <w:pPr>
        <w:pStyle w:val="994"/>
        <w:ind w:left="2162" w:hanging="420"/>
      </w:pPr>
    </w:lvl>
    <w:lvl w:ilvl="4">
      <w:start w:val="1"/>
      <w:numFmt w:val="lowerLetter"/>
      <w:isLgl w:val="false"/>
      <w:suff w:val="tab"/>
      <w:lvlText w:val="%5)"/>
      <w:lvlJc w:val="left"/>
      <w:pPr>
        <w:pStyle w:val="994"/>
        <w:ind w:left="2582" w:hanging="420"/>
      </w:pPr>
    </w:lvl>
    <w:lvl w:ilvl="5">
      <w:start w:val="1"/>
      <w:numFmt w:val="lowerRoman"/>
      <w:isLgl w:val="false"/>
      <w:suff w:val="tab"/>
      <w:lvlText w:val="%6."/>
      <w:lvlJc w:val="right"/>
      <w:pPr>
        <w:pStyle w:val="994"/>
        <w:ind w:left="3002" w:hanging="420"/>
      </w:pPr>
    </w:lvl>
    <w:lvl w:ilvl="6">
      <w:start w:val="1"/>
      <w:numFmt w:val="decimal"/>
      <w:isLgl w:val="false"/>
      <w:suff w:val="tab"/>
      <w:lvlText w:val="%7."/>
      <w:lvlJc w:val="left"/>
      <w:pPr>
        <w:pStyle w:val="994"/>
        <w:ind w:left="3422" w:hanging="420"/>
      </w:pPr>
    </w:lvl>
    <w:lvl w:ilvl="7">
      <w:start w:val="1"/>
      <w:numFmt w:val="lowerLetter"/>
      <w:isLgl w:val="false"/>
      <w:suff w:val="tab"/>
      <w:lvlText w:val="%8)"/>
      <w:lvlJc w:val="left"/>
      <w:pPr>
        <w:pStyle w:val="994"/>
        <w:ind w:left="3842" w:hanging="420"/>
      </w:pPr>
    </w:lvl>
    <w:lvl w:ilvl="8">
      <w:start w:val="1"/>
      <w:numFmt w:val="lowerRoman"/>
      <w:isLgl w:val="false"/>
      <w:suff w:val="tab"/>
      <w:lvlText w:val="%9."/>
      <w:lvlJc w:val="right"/>
      <w:pPr>
        <w:pStyle w:val="994"/>
        <w:ind w:left="4262" w:hanging="420"/>
      </w:pPr>
    </w:lvl>
  </w:abstractNum>
  <w:abstractNum w:abstractNumId="4">
    <w:multiLevelType w:val="hybridMultilevel"/>
    <w:lvl w:ilvl="0">
      <w:start w:val="1"/>
      <w:numFmt w:val="decimal"/>
      <w:pStyle w:val="1150"/>
      <w:isLgl w:val="false"/>
      <w:suff w:val="tab"/>
      <w:lvlText w:val="%1."/>
      <w:lvlJc w:val="left"/>
      <w:pPr>
        <w:pStyle w:val="9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9"/>
      <w:isLgl w:val="false"/>
      <w:suff w:val="nothing"/>
      <w:lvlText w:val="%1　"/>
      <w:lvlJc w:val="left"/>
      <w:pPr>
        <w:pStyle w:val="9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4"/>
        <w:ind w:left="-25" w:firstLine="0"/>
      </w:pPr>
      <w:rPr>
        <w:rFonts w:ascii="Times New Roman" w:hAnsi="Times New Roman" w:eastAsia="黑体"/>
        <w:b/>
        <w:i w:val="0"/>
        <w:sz w:val="28"/>
      </w:rPr>
    </w:lvl>
    <w:lvl w:ilvl="3">
      <w:start w:val="1"/>
      <w:numFmt w:val="decimal"/>
      <w:pStyle w:val="1135"/>
      <w:isLgl w:val="false"/>
      <w:suff w:val="nothing"/>
      <w:lvlText w:val="%1.%2.%3.%4　"/>
      <w:lvlJc w:val="left"/>
      <w:pPr>
        <w:pStyle w:val="9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4"/>
        <w:ind w:left="-25" w:firstLine="0"/>
      </w:pPr>
      <w:rPr>
        <w:rFonts w:ascii="Times New Roman" w:hAnsi="Times New Roman" w:eastAsia="宋体"/>
        <w:b/>
        <w:i w:val="0"/>
        <w:sz w:val="28"/>
      </w:rPr>
    </w:lvl>
    <w:lvl w:ilvl="6">
      <w:start w:val="1"/>
      <w:numFmt w:val="lowerLetter"/>
      <w:pStyle w:val="1156"/>
      <w:isLgl w:val="false"/>
      <w:suff w:val="tab"/>
      <w:lvlText w:val="%7) "/>
      <w:lvlJc w:val="left"/>
      <w:pPr>
        <w:pStyle w:val="994"/>
        <w:ind w:left="-125" w:firstLine="400"/>
        <w:tabs>
          <w:tab w:val="num" w:pos="635" w:leader="none"/>
        </w:tabs>
      </w:pPr>
      <w:rPr>
        <w:rFonts w:ascii="Times New Roman" w:hAnsi="Times New Roman" w:eastAsia="宋体"/>
        <w:b/>
        <w:i w:val="0"/>
        <w:color w:val="000000"/>
        <w:sz w:val="28"/>
        <w:u w:val="none"/>
      </w:rPr>
    </w:lvl>
    <w:lvl w:ilvl="7">
      <w:start w:val="1"/>
      <w:numFmt w:val="decimal"/>
      <w:pStyle w:val="1119"/>
      <w:isLgl w:val="false"/>
      <w:suff w:val="tab"/>
      <w:lvlText w:val="%8) "/>
      <w:lvlJc w:val="left"/>
      <w:pPr>
        <w:pStyle w:val="9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94"/>
        <w:ind w:left="768" w:hanging="360"/>
        <w:tabs>
          <w:tab w:val="num" w:pos="768" w:leader="none"/>
        </w:tabs>
      </w:pPr>
      <w:rPr>
        <w:rFonts w:hint="eastAsia"/>
      </w:rPr>
    </w:lvl>
    <w:lvl w:ilvl="1">
      <w:start w:val="1"/>
      <w:numFmt w:val="decimal"/>
      <w:pStyle w:val="1137"/>
      <w:isLgl w:val="false"/>
      <w:suff w:val="tab"/>
      <w:lvlText w:val="%2、"/>
      <w:lvlJc w:val="left"/>
      <w:pPr>
        <w:pStyle w:val="994"/>
        <w:ind w:left="1188" w:hanging="360"/>
        <w:tabs>
          <w:tab w:val="num" w:pos="1188" w:leader="none"/>
        </w:tabs>
      </w:pPr>
      <w:rPr>
        <w:rFonts w:hint="eastAsia"/>
      </w:rPr>
    </w:lvl>
    <w:lvl w:ilvl="2">
      <w:start w:val="1"/>
      <w:numFmt w:val="decimal"/>
      <w:isLgl w:val="false"/>
      <w:suff w:val="tab"/>
      <w:lvlText w:val="（%3）"/>
      <w:lvlJc w:val="left"/>
      <w:pPr>
        <w:pStyle w:val="994"/>
        <w:ind w:left="1968" w:hanging="720"/>
        <w:tabs>
          <w:tab w:val="num" w:pos="1968" w:leader="none"/>
        </w:tabs>
      </w:pPr>
      <w:rPr>
        <w:rFonts w:hint="eastAsia"/>
        <w:u w:val="none"/>
      </w:rPr>
    </w:lvl>
    <w:lvl w:ilvl="3">
      <w:start w:val="1"/>
      <w:numFmt w:val="decimal"/>
      <w:isLgl w:val="false"/>
      <w:suff w:val="tab"/>
      <w:lvlText w:val="%4."/>
      <w:lvlJc w:val="left"/>
      <w:pPr>
        <w:pStyle w:val="994"/>
        <w:ind w:left="2088" w:hanging="420"/>
        <w:tabs>
          <w:tab w:val="num" w:pos="2088" w:leader="none"/>
        </w:tabs>
      </w:pPr>
    </w:lvl>
    <w:lvl w:ilvl="4">
      <w:start w:val="1"/>
      <w:numFmt w:val="lowerLetter"/>
      <w:isLgl w:val="false"/>
      <w:suff w:val="tab"/>
      <w:lvlText w:val="%5)"/>
      <w:lvlJc w:val="left"/>
      <w:pPr>
        <w:pStyle w:val="994"/>
        <w:ind w:left="2508" w:hanging="420"/>
        <w:tabs>
          <w:tab w:val="num" w:pos="2508" w:leader="none"/>
        </w:tabs>
      </w:pPr>
    </w:lvl>
    <w:lvl w:ilvl="5">
      <w:start w:val="1"/>
      <w:numFmt w:val="lowerRoman"/>
      <w:isLgl w:val="false"/>
      <w:suff w:val="tab"/>
      <w:lvlText w:val="%6."/>
      <w:lvlJc w:val="right"/>
      <w:pPr>
        <w:pStyle w:val="994"/>
        <w:ind w:left="2928" w:hanging="420"/>
        <w:tabs>
          <w:tab w:val="num" w:pos="2928" w:leader="none"/>
        </w:tabs>
      </w:pPr>
    </w:lvl>
    <w:lvl w:ilvl="6">
      <w:start w:val="1"/>
      <w:numFmt w:val="decimal"/>
      <w:isLgl w:val="false"/>
      <w:suff w:val="tab"/>
      <w:lvlText w:val="%7."/>
      <w:lvlJc w:val="left"/>
      <w:pPr>
        <w:pStyle w:val="994"/>
        <w:ind w:left="3348" w:hanging="420"/>
        <w:tabs>
          <w:tab w:val="num" w:pos="3348" w:leader="none"/>
        </w:tabs>
      </w:pPr>
    </w:lvl>
    <w:lvl w:ilvl="7">
      <w:start w:val="1"/>
      <w:numFmt w:val="lowerLetter"/>
      <w:isLgl w:val="false"/>
      <w:suff w:val="tab"/>
      <w:lvlText w:val="%8)"/>
      <w:lvlJc w:val="left"/>
      <w:pPr>
        <w:pStyle w:val="994"/>
        <w:ind w:left="3768" w:hanging="420"/>
        <w:tabs>
          <w:tab w:val="num" w:pos="3768" w:leader="none"/>
        </w:tabs>
      </w:pPr>
    </w:lvl>
    <w:lvl w:ilvl="8">
      <w:start w:val="1"/>
      <w:numFmt w:val="lowerRoman"/>
      <w:isLgl w:val="false"/>
      <w:suff w:val="tab"/>
      <w:lvlText w:val="%9."/>
      <w:lvlJc w:val="right"/>
      <w:pPr>
        <w:pStyle w:val="994"/>
        <w:ind w:left="4188" w:hanging="420"/>
        <w:tabs>
          <w:tab w:val="num" w:pos="4188" w:leader="none"/>
        </w:tabs>
      </w:pPr>
    </w:lvl>
  </w:abstractNum>
  <w:abstractNum w:abstractNumId="7">
    <w:multiLevelType w:val="hybridMultilevel"/>
    <w:lvl w:ilvl="0">
      <w:start w:val="1"/>
      <w:numFmt w:val="decimal"/>
      <w:pStyle w:val="1104"/>
      <w:isLgl w:val="false"/>
      <w:suff w:val="tab"/>
      <w:lvlText w:val="%1)"/>
      <w:lvlJc w:val="left"/>
      <w:pPr>
        <w:pStyle w:val="994"/>
        <w:ind w:left="420" w:hanging="420"/>
      </w:pPr>
    </w:lvl>
    <w:lvl w:ilvl="1">
      <w:start w:val="1"/>
      <w:numFmt w:val="lowerLetter"/>
      <w:isLgl w:val="false"/>
      <w:suff w:val="tab"/>
      <w:lvlText w:val="%2)"/>
      <w:lvlJc w:val="left"/>
      <w:pPr>
        <w:pStyle w:val="994"/>
        <w:ind w:left="840" w:hanging="420"/>
      </w:pPr>
    </w:lvl>
    <w:lvl w:ilvl="2">
      <w:start w:val="1"/>
      <w:numFmt w:val="lowerRoman"/>
      <w:isLgl w:val="false"/>
      <w:suff w:val="tab"/>
      <w:lvlText w:val="%3."/>
      <w:lvlJc w:val="right"/>
      <w:pPr>
        <w:pStyle w:val="994"/>
        <w:ind w:left="1260" w:hanging="420"/>
      </w:pPr>
    </w:lvl>
    <w:lvl w:ilvl="3">
      <w:start w:val="1"/>
      <w:numFmt w:val="decimal"/>
      <w:isLgl w:val="false"/>
      <w:suff w:val="tab"/>
      <w:lvlText w:val="%4."/>
      <w:lvlJc w:val="left"/>
      <w:pPr>
        <w:pStyle w:val="994"/>
        <w:ind w:left="1680" w:hanging="420"/>
      </w:pPr>
    </w:lvl>
    <w:lvl w:ilvl="4">
      <w:start w:val="1"/>
      <w:numFmt w:val="lowerLetter"/>
      <w:isLgl w:val="false"/>
      <w:suff w:val="tab"/>
      <w:lvlText w:val="%5)"/>
      <w:lvlJc w:val="left"/>
      <w:pPr>
        <w:pStyle w:val="994"/>
        <w:ind w:left="2100" w:hanging="420"/>
      </w:pPr>
    </w:lvl>
    <w:lvl w:ilvl="5">
      <w:start w:val="1"/>
      <w:numFmt w:val="lowerRoman"/>
      <w:isLgl w:val="false"/>
      <w:suff w:val="tab"/>
      <w:lvlText w:val="%6."/>
      <w:lvlJc w:val="right"/>
      <w:pPr>
        <w:pStyle w:val="994"/>
        <w:ind w:left="2520" w:hanging="420"/>
      </w:pPr>
    </w:lvl>
    <w:lvl w:ilvl="6">
      <w:start w:val="1"/>
      <w:numFmt w:val="decimal"/>
      <w:isLgl w:val="false"/>
      <w:suff w:val="tab"/>
      <w:lvlText w:val="%7."/>
      <w:lvlJc w:val="left"/>
      <w:pPr>
        <w:pStyle w:val="994"/>
        <w:ind w:left="2940" w:hanging="420"/>
      </w:pPr>
    </w:lvl>
    <w:lvl w:ilvl="7">
      <w:start w:val="1"/>
      <w:numFmt w:val="lowerLetter"/>
      <w:isLgl w:val="false"/>
      <w:suff w:val="tab"/>
      <w:lvlText w:val="%8)"/>
      <w:lvlJc w:val="left"/>
      <w:pPr>
        <w:pStyle w:val="994"/>
        <w:ind w:left="3360" w:hanging="420"/>
      </w:pPr>
    </w:lvl>
    <w:lvl w:ilvl="8">
      <w:start w:val="1"/>
      <w:numFmt w:val="lowerRoman"/>
      <w:isLgl w:val="false"/>
      <w:suff w:val="tab"/>
      <w:lvlText w:val="%9."/>
      <w:lvlJc w:val="right"/>
      <w:pPr>
        <w:pStyle w:val="994"/>
        <w:ind w:left="3780" w:hanging="420"/>
      </w:pPr>
    </w:lvl>
  </w:abstractNum>
  <w:abstractNum w:abstractNumId="8">
    <w:multiLevelType w:val="hybridMultilevel"/>
    <w:lvl w:ilvl="0">
      <w:start w:val="1"/>
      <w:numFmt w:val="decimal"/>
      <w:pStyle w:val="1204"/>
      <w:isLgl w:val="false"/>
      <w:suff w:val="tab"/>
      <w:lvlText w:val="%1"/>
      <w:lvlJc w:val="left"/>
      <w:pPr>
        <w:pStyle w:val="994"/>
        <w:ind w:left="680" w:hanging="680"/>
      </w:pPr>
      <w:rPr>
        <w:rFonts w:hint="eastAsia" w:ascii="宋体" w:hAnsi="宋体" w:eastAsia="宋体"/>
      </w:rPr>
    </w:lvl>
    <w:lvl w:ilvl="1">
      <w:start w:val="1"/>
      <w:numFmt w:val="decimal"/>
      <w:pStyle w:val="1205"/>
      <w:isLgl w:val="false"/>
      <w:suff w:val="tab"/>
      <w:lvlText w:val="%1.%2"/>
      <w:lvlJc w:val="left"/>
      <w:pPr>
        <w:pStyle w:val="994"/>
        <w:ind w:left="851" w:hanging="851"/>
      </w:pPr>
      <w:rPr>
        <w:rFonts w:hint="eastAsia" w:ascii="宋体" w:hAnsi="宋体" w:eastAsia="宋体"/>
        <w:color w:val="000000"/>
      </w:rPr>
    </w:lvl>
    <w:lvl w:ilvl="2">
      <w:start w:val="1"/>
      <w:numFmt w:val="decimal"/>
      <w:pStyle w:val="1206"/>
      <w:isLgl w:val="false"/>
      <w:suff w:val="tab"/>
      <w:lvlText w:val="%1.%2.%3"/>
      <w:lvlJc w:val="left"/>
      <w:pPr>
        <w:pStyle w:val="994"/>
        <w:ind w:left="851" w:hanging="851"/>
      </w:pPr>
      <w:rPr>
        <w:rFonts w:hint="eastAsia"/>
      </w:rPr>
    </w:lvl>
    <w:lvl w:ilvl="3">
      <w:start w:val="1"/>
      <w:numFmt w:val="decimal"/>
      <w:isLgl w:val="false"/>
      <w:suff w:val="tab"/>
      <w:lvlText w:val="%1.%2.%3.%4"/>
      <w:lvlJc w:val="left"/>
      <w:pPr>
        <w:pStyle w:val="994"/>
        <w:ind w:left="680" w:hanging="680"/>
      </w:pPr>
      <w:rPr>
        <w:rFonts w:hint="eastAsia"/>
      </w:rPr>
    </w:lvl>
    <w:lvl w:ilvl="4">
      <w:start w:val="1"/>
      <w:numFmt w:val="decimal"/>
      <w:isLgl w:val="false"/>
      <w:suff w:val="tab"/>
      <w:lvlText w:val="%1.%2.%3.%4.%5"/>
      <w:lvlJc w:val="left"/>
      <w:pPr>
        <w:pStyle w:val="994"/>
        <w:ind w:left="680" w:hanging="680"/>
      </w:pPr>
      <w:rPr>
        <w:rFonts w:hint="eastAsia"/>
      </w:rPr>
    </w:lvl>
    <w:lvl w:ilvl="5">
      <w:start w:val="1"/>
      <w:numFmt w:val="decimal"/>
      <w:isLgl w:val="false"/>
      <w:suff w:val="tab"/>
      <w:lvlText w:val="%1.%2.%3.%4.%5.%6"/>
      <w:lvlJc w:val="left"/>
      <w:pPr>
        <w:pStyle w:val="994"/>
        <w:ind w:left="680" w:hanging="680"/>
      </w:pPr>
      <w:rPr>
        <w:rFonts w:hint="eastAsia"/>
      </w:rPr>
    </w:lvl>
    <w:lvl w:ilvl="6">
      <w:start w:val="1"/>
      <w:numFmt w:val="decimal"/>
      <w:isLgl w:val="false"/>
      <w:suff w:val="tab"/>
      <w:lvlText w:val="%1.%2.%3.%4.%5.%6.%7"/>
      <w:lvlJc w:val="left"/>
      <w:pPr>
        <w:pStyle w:val="994"/>
        <w:ind w:left="680" w:hanging="680"/>
      </w:pPr>
      <w:rPr>
        <w:rFonts w:hint="eastAsia"/>
      </w:rPr>
    </w:lvl>
    <w:lvl w:ilvl="7">
      <w:start w:val="1"/>
      <w:numFmt w:val="decimal"/>
      <w:isLgl w:val="false"/>
      <w:suff w:val="tab"/>
      <w:lvlText w:val="%1.%2.%3.%4.%5.%6.%7.%8"/>
      <w:lvlJc w:val="left"/>
      <w:pPr>
        <w:pStyle w:val="994"/>
        <w:ind w:left="680" w:hanging="680"/>
      </w:pPr>
      <w:rPr>
        <w:rFonts w:hint="eastAsia"/>
      </w:rPr>
    </w:lvl>
    <w:lvl w:ilvl="8">
      <w:start w:val="1"/>
      <w:numFmt w:val="decimal"/>
      <w:isLgl w:val="false"/>
      <w:suff w:val="tab"/>
      <w:lvlText w:val="%1.%2.%3.%4.%5.%6.%7.%8.%9"/>
      <w:lvlJc w:val="left"/>
      <w:pPr>
        <w:pStyle w:val="994"/>
        <w:ind w:left="680" w:hanging="680"/>
      </w:pPr>
      <w:rPr>
        <w:rFonts w:hint="eastAsia"/>
      </w:rPr>
    </w:lvl>
  </w:abstractNum>
  <w:abstractNum w:abstractNumId="9">
    <w:multiLevelType w:val="hybridMultilevel"/>
    <w:lvl w:ilvl="0">
      <w:start w:val="1"/>
      <w:numFmt w:val="decimal"/>
      <w:isLgl w:val="false"/>
      <w:suff w:val="tab"/>
      <w:lvlText w:val="%1"/>
      <w:lvlJc w:val="left"/>
      <w:pPr>
        <w:pStyle w:val="994"/>
        <w:ind w:left="900" w:hanging="900"/>
        <w:tabs>
          <w:tab w:val="num" w:pos="900" w:leader="none"/>
        </w:tabs>
      </w:pPr>
      <w:rPr>
        <w:rFonts w:hint="eastAsia"/>
      </w:rPr>
    </w:lvl>
    <w:lvl w:ilvl="1">
      <w:start w:val="1"/>
      <w:numFmt w:val="decimal"/>
      <w:isLgl w:val="false"/>
      <w:suff w:val="tab"/>
      <w:lvlText w:val="%1.%2"/>
      <w:lvlJc w:val="left"/>
      <w:pPr>
        <w:pStyle w:val="9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4"/>
        <w:ind w:left="1980" w:hanging="900"/>
        <w:tabs>
          <w:tab w:val="num" w:pos="1980" w:leader="none"/>
        </w:tabs>
      </w:pPr>
      <w:rPr>
        <w:rFonts w:hint="eastAsia"/>
      </w:rPr>
    </w:lvl>
    <w:lvl w:ilvl="3">
      <w:start w:val="1"/>
      <w:numFmt w:val="decimal"/>
      <w:isLgl w:val="false"/>
      <w:suff w:val="tab"/>
      <w:lvlText w:val="%1.%2.%3.%4"/>
      <w:lvlJc w:val="left"/>
      <w:pPr>
        <w:pStyle w:val="994"/>
        <w:ind w:left="900" w:hanging="900"/>
        <w:tabs>
          <w:tab w:val="num" w:pos="900" w:leader="none"/>
        </w:tabs>
      </w:pPr>
      <w:rPr>
        <w:rFonts w:hint="eastAsia"/>
      </w:rPr>
    </w:lvl>
    <w:lvl w:ilvl="4">
      <w:start w:val="1"/>
      <w:numFmt w:val="decimal"/>
      <w:isLgl w:val="false"/>
      <w:suff w:val="tab"/>
      <w:lvlText w:val="%1.%2.%3.%4.%5"/>
      <w:lvlJc w:val="left"/>
      <w:pPr>
        <w:pStyle w:val="994"/>
        <w:ind w:left="900" w:hanging="900"/>
        <w:tabs>
          <w:tab w:val="num" w:pos="900" w:leader="none"/>
        </w:tabs>
      </w:pPr>
      <w:rPr>
        <w:rFonts w:hint="eastAsia"/>
      </w:rPr>
    </w:lvl>
    <w:lvl w:ilvl="5">
      <w:start w:val="1"/>
      <w:numFmt w:val="decimal"/>
      <w:isLgl w:val="false"/>
      <w:suff w:val="tab"/>
      <w:lvlText w:val="%1.%2.%3.%4.%5.%6"/>
      <w:lvlJc w:val="left"/>
      <w:pPr>
        <w:pStyle w:val="994"/>
        <w:ind w:left="900" w:hanging="900"/>
        <w:tabs>
          <w:tab w:val="num" w:pos="900" w:leader="none"/>
        </w:tabs>
      </w:pPr>
      <w:rPr>
        <w:rFonts w:hint="eastAsia"/>
      </w:rPr>
    </w:lvl>
    <w:lvl w:ilvl="6">
      <w:start w:val="1"/>
      <w:numFmt w:val="decimal"/>
      <w:isLgl w:val="false"/>
      <w:suff w:val="tab"/>
      <w:lvlText w:val="%1.%2.%3.%4.%5.%6.%7"/>
      <w:lvlJc w:val="left"/>
      <w:pPr>
        <w:pStyle w:val="994"/>
        <w:ind w:left="900" w:hanging="900"/>
        <w:tabs>
          <w:tab w:val="num" w:pos="900" w:leader="none"/>
        </w:tabs>
      </w:pPr>
      <w:rPr>
        <w:rFonts w:hint="eastAsia"/>
      </w:rPr>
    </w:lvl>
    <w:lvl w:ilvl="7">
      <w:start w:val="1"/>
      <w:numFmt w:val="decimal"/>
      <w:isLgl w:val="false"/>
      <w:suff w:val="tab"/>
      <w:lvlText w:val="%1.%2.%3.%4.%5.%6.%7.%8"/>
      <w:lvlJc w:val="left"/>
      <w:pPr>
        <w:pStyle w:val="994"/>
        <w:ind w:left="900" w:hanging="900"/>
        <w:tabs>
          <w:tab w:val="num" w:pos="900" w:leader="none"/>
        </w:tabs>
      </w:pPr>
      <w:rPr>
        <w:rFonts w:hint="eastAsia"/>
      </w:rPr>
    </w:lvl>
    <w:lvl w:ilvl="8">
      <w:start w:val="1"/>
      <w:numFmt w:val="decimal"/>
      <w:isLgl w:val="false"/>
      <w:suff w:val="tab"/>
      <w:lvlText w:val="%1.%2.%3.%4.%5.%6.%7.%8.%9"/>
      <w:lvlJc w:val="left"/>
      <w:pPr>
        <w:pStyle w:val="994"/>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4"/>
    <w:next w:val="994"/>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4"/>
    <w:link w:val="994"/>
    <w:qFormat/>
    <w:pPr>
      <w:jc w:val="both"/>
      <w:widowControl w:val="off"/>
    </w:pPr>
    <w:rPr>
      <w:sz w:val="21"/>
      <w:szCs w:val="24"/>
      <w:lang w:val="en-US" w:eastAsia="zh-CN" w:bidi="ar-SA"/>
    </w:rPr>
  </w:style>
  <w:style w:type="paragraph" w:styleId="995">
    <w:name w:val="标题 1"/>
    <w:basedOn w:val="994"/>
    <w:next w:val="994"/>
    <w:link w:val="1006"/>
    <w:qFormat/>
    <w:pPr>
      <w:jc w:val="center"/>
      <w:keepLines/>
      <w:keepNext/>
      <w:spacing w:before="240" w:after="120" w:line="300" w:lineRule="auto"/>
      <w:outlineLvl w:val="0"/>
    </w:pPr>
    <w:rPr>
      <w:rFonts w:ascii="宋体"/>
      <w:b/>
      <w:sz w:val="32"/>
      <w:szCs w:val="20"/>
    </w:rPr>
  </w:style>
  <w:style w:type="paragraph" w:styleId="996">
    <w:name w:val="标题 2"/>
    <w:basedOn w:val="994"/>
    <w:next w:val="994"/>
    <w:link w:val="1007"/>
    <w:qFormat/>
    <w:pPr>
      <w:jc w:val="center"/>
      <w:keepLines/>
      <w:keepNext/>
      <w:spacing w:before="120" w:line="300" w:lineRule="auto"/>
      <w:outlineLvl w:val="1"/>
    </w:pPr>
    <w:rPr>
      <w:rFonts w:ascii="Arial" w:hAnsi="Arial" w:eastAsia="黑体"/>
      <w:b/>
      <w:sz w:val="30"/>
      <w:szCs w:val="20"/>
    </w:rPr>
  </w:style>
  <w:style w:type="paragraph" w:styleId="997">
    <w:name w:val="标题 3"/>
    <w:basedOn w:val="994"/>
    <w:next w:val="994"/>
    <w:link w:val="1008"/>
    <w:qFormat/>
    <w:pPr>
      <w:jc w:val="left"/>
      <w:keepLines/>
      <w:keepNext/>
      <w:spacing w:before="360" w:after="120"/>
      <w:outlineLvl w:val="2"/>
    </w:pPr>
    <w:rPr>
      <w:rFonts w:ascii="宋体"/>
      <w:b/>
      <w:sz w:val="24"/>
      <w:szCs w:val="20"/>
      <w:u w:val="single"/>
    </w:rPr>
  </w:style>
  <w:style w:type="paragraph" w:styleId="998">
    <w:name w:val="标题 4"/>
    <w:basedOn w:val="994"/>
    <w:next w:val="994"/>
    <w:link w:val="1009"/>
    <w:qFormat/>
    <w:pPr>
      <w:keepLines/>
      <w:keepNext/>
      <w:spacing w:before="280" w:after="290" w:line="376" w:lineRule="atLeast"/>
      <w:outlineLvl w:val="3"/>
    </w:pPr>
    <w:rPr>
      <w:rFonts w:ascii="Arial" w:hAnsi="Arial" w:eastAsia="黑体"/>
      <w:b/>
      <w:sz w:val="28"/>
      <w:szCs w:val="20"/>
    </w:rPr>
  </w:style>
  <w:style w:type="paragraph" w:styleId="999">
    <w:name w:val="标题 5"/>
    <w:basedOn w:val="994"/>
    <w:next w:val="994"/>
    <w:link w:val="1010"/>
    <w:qFormat/>
    <w:pPr>
      <w:keepLines/>
      <w:keepNext/>
      <w:spacing w:before="280" w:after="290" w:line="376" w:lineRule="atLeast"/>
      <w:outlineLvl w:val="4"/>
    </w:pPr>
    <w:rPr>
      <w:b/>
      <w:sz w:val="28"/>
      <w:szCs w:val="20"/>
    </w:rPr>
  </w:style>
  <w:style w:type="paragraph" w:styleId="1000">
    <w:name w:val="标题 6"/>
    <w:basedOn w:val="994"/>
    <w:next w:val="994"/>
    <w:link w:val="1011"/>
    <w:qFormat/>
    <w:pPr>
      <w:keepLines/>
      <w:keepNext/>
      <w:spacing w:before="240" w:after="64" w:line="320" w:lineRule="atLeast"/>
      <w:outlineLvl w:val="5"/>
    </w:pPr>
    <w:rPr>
      <w:rFonts w:ascii="Arial" w:hAnsi="Arial" w:eastAsia="黑体"/>
      <w:b/>
      <w:sz w:val="24"/>
      <w:szCs w:val="20"/>
    </w:rPr>
  </w:style>
  <w:style w:type="paragraph" w:styleId="1001">
    <w:name w:val="标题 7"/>
    <w:basedOn w:val="994"/>
    <w:next w:val="994"/>
    <w:link w:val="1012"/>
    <w:qFormat/>
    <w:pPr>
      <w:keepLines/>
      <w:keepNext/>
      <w:spacing w:before="240" w:after="64" w:line="320" w:lineRule="atLeast"/>
      <w:outlineLvl w:val="6"/>
    </w:pPr>
    <w:rPr>
      <w:b/>
      <w:sz w:val="24"/>
      <w:szCs w:val="20"/>
    </w:rPr>
  </w:style>
  <w:style w:type="paragraph" w:styleId="1002">
    <w:name w:val="标题 8"/>
    <w:basedOn w:val="994"/>
    <w:next w:val="994"/>
    <w:link w:val="1013"/>
    <w:qFormat/>
    <w:pPr>
      <w:keepLines/>
      <w:keepNext/>
      <w:spacing w:before="240" w:after="64" w:line="320" w:lineRule="atLeast"/>
      <w:outlineLvl w:val="7"/>
    </w:pPr>
    <w:rPr>
      <w:rFonts w:ascii="Arial" w:hAnsi="Arial" w:eastAsia="黑体"/>
      <w:sz w:val="24"/>
      <w:szCs w:val="20"/>
    </w:rPr>
  </w:style>
  <w:style w:type="paragraph" w:styleId="1003">
    <w:name w:val="标题 9"/>
    <w:basedOn w:val="994"/>
    <w:next w:val="994"/>
    <w:link w:val="1014"/>
    <w:qFormat/>
    <w:pPr>
      <w:keepLines/>
      <w:keepNext/>
      <w:spacing w:before="240" w:after="64" w:line="320" w:lineRule="atLeast"/>
      <w:outlineLvl w:val="8"/>
    </w:pPr>
    <w:rPr>
      <w:rFonts w:ascii="Arial" w:hAnsi="Arial" w:eastAsia="黑体"/>
      <w:szCs w:val="20"/>
    </w:rPr>
  </w:style>
  <w:style w:type="character" w:styleId="1004">
    <w:name w:val="默认段落字体"/>
    <w:next w:val="1004"/>
    <w:link w:val="994"/>
    <w:uiPriority w:val="1"/>
    <w:unhideWhenUsed/>
    <w:qFormat/>
  </w:style>
  <w:style w:type="table" w:styleId="1005">
    <w:name w:val="普通表格"/>
    <w:next w:val="1005"/>
    <w:link w:val="994"/>
    <w:uiPriority w:val="99"/>
    <w:unhideWhenUsed/>
    <w:qFormat/>
    <w:tblPr/>
  </w:style>
  <w:style w:type="character" w:styleId="1006">
    <w:name w:val="标题 1 Char"/>
    <w:basedOn w:val="1004"/>
    <w:next w:val="1006"/>
    <w:link w:val="995"/>
    <w:qFormat/>
    <w:rPr>
      <w:rFonts w:ascii="宋体"/>
      <w:b/>
      <w:sz w:val="32"/>
    </w:rPr>
  </w:style>
  <w:style w:type="character" w:styleId="1007">
    <w:name w:val="标题 2 Char1"/>
    <w:next w:val="1007"/>
    <w:link w:val="996"/>
    <w:qFormat/>
    <w:rPr>
      <w:rFonts w:ascii="Arial" w:hAnsi="Arial" w:eastAsia="黑体"/>
      <w:b/>
      <w:sz w:val="30"/>
      <w:lang w:val="en-US" w:eastAsia="zh-CN" w:bidi="ar-SA"/>
    </w:rPr>
  </w:style>
  <w:style w:type="character" w:styleId="1008">
    <w:name w:val="标题 3 Char1"/>
    <w:next w:val="1008"/>
    <w:link w:val="997"/>
    <w:qFormat/>
    <w:rPr>
      <w:rFonts w:ascii="宋体" w:eastAsia="宋体"/>
      <w:b/>
      <w:sz w:val="24"/>
      <w:u w:val="single"/>
      <w:lang w:val="en-US" w:eastAsia="zh-CN" w:bidi="ar-SA"/>
    </w:rPr>
  </w:style>
  <w:style w:type="character" w:styleId="1009">
    <w:name w:val="标题 4 Char"/>
    <w:basedOn w:val="1004"/>
    <w:next w:val="1009"/>
    <w:link w:val="998"/>
    <w:qFormat/>
    <w:rPr>
      <w:rFonts w:ascii="Arial" w:hAnsi="Arial" w:eastAsia="黑体"/>
      <w:b/>
      <w:sz w:val="28"/>
    </w:rPr>
  </w:style>
  <w:style w:type="character" w:styleId="1010">
    <w:name w:val="标题 5 Char"/>
    <w:basedOn w:val="1004"/>
    <w:next w:val="1010"/>
    <w:link w:val="999"/>
    <w:qFormat/>
    <w:rPr>
      <w:b/>
      <w:sz w:val="28"/>
    </w:rPr>
  </w:style>
  <w:style w:type="character" w:styleId="1011">
    <w:name w:val="标题 6 Char"/>
    <w:basedOn w:val="1004"/>
    <w:next w:val="1011"/>
    <w:link w:val="1000"/>
    <w:qFormat/>
    <w:rPr>
      <w:rFonts w:ascii="Arial" w:hAnsi="Arial" w:eastAsia="黑体"/>
      <w:b/>
      <w:sz w:val="24"/>
    </w:rPr>
  </w:style>
  <w:style w:type="character" w:styleId="1012">
    <w:name w:val="标题 7 Char"/>
    <w:basedOn w:val="1004"/>
    <w:next w:val="1012"/>
    <w:link w:val="1001"/>
    <w:qFormat/>
    <w:rPr>
      <w:b/>
      <w:sz w:val="24"/>
    </w:rPr>
  </w:style>
  <w:style w:type="character" w:styleId="1013">
    <w:name w:val="标题 8 Char"/>
    <w:basedOn w:val="1004"/>
    <w:next w:val="1013"/>
    <w:link w:val="1002"/>
    <w:qFormat/>
    <w:rPr>
      <w:rFonts w:ascii="Arial" w:hAnsi="Arial" w:eastAsia="黑体"/>
      <w:sz w:val="24"/>
    </w:rPr>
  </w:style>
  <w:style w:type="character" w:styleId="1014">
    <w:name w:val="标题 9 Char"/>
    <w:basedOn w:val="1004"/>
    <w:next w:val="1014"/>
    <w:link w:val="1003"/>
    <w:qFormat/>
    <w:rPr>
      <w:rFonts w:ascii="Arial" w:hAnsi="Arial" w:eastAsia="黑体"/>
      <w:sz w:val="21"/>
    </w:rPr>
  </w:style>
  <w:style w:type="paragraph" w:styleId="1015">
    <w:name w:val="目录 7"/>
    <w:basedOn w:val="994"/>
    <w:next w:val="994"/>
    <w:link w:val="994"/>
    <w:qFormat/>
    <w:pPr>
      <w:ind w:left="2520"/>
    </w:pPr>
  </w:style>
  <w:style w:type="paragraph" w:styleId="1016">
    <w:name w:val="正文缩进"/>
    <w:basedOn w:val="994"/>
    <w:next w:val="994"/>
    <w:link w:val="1017"/>
    <w:qFormat/>
    <w:pPr>
      <w:ind w:firstLine="420"/>
      <w:jc w:val="left"/>
    </w:pPr>
    <w:rPr>
      <w:rFonts w:ascii="宋体"/>
      <w:sz w:val="24"/>
    </w:rPr>
  </w:style>
  <w:style w:type="character" w:styleId="1017">
    <w:name w:val="正文缩进 Char1"/>
    <w:next w:val="1017"/>
    <w:link w:val="1016"/>
    <w:qFormat/>
    <w:rPr>
      <w:rFonts w:ascii="宋体" w:eastAsia="宋体"/>
      <w:sz w:val="24"/>
      <w:szCs w:val="24"/>
      <w:lang w:val="en-US" w:eastAsia="zh-CN" w:bidi="ar-SA"/>
    </w:rPr>
  </w:style>
  <w:style w:type="paragraph" w:styleId="1018">
    <w:name w:val="题注"/>
    <w:basedOn w:val="994"/>
    <w:next w:val="994"/>
    <w:link w:val="994"/>
    <w:qFormat/>
    <w:pPr>
      <w:spacing w:line="480" w:lineRule="auto"/>
    </w:pPr>
    <w:rPr>
      <w:rFonts w:ascii="华文中宋" w:hAnsi="华文中宋" w:eastAsia="华文中宋"/>
      <w:sz w:val="36"/>
      <w:szCs w:val="20"/>
    </w:rPr>
  </w:style>
  <w:style w:type="paragraph" w:styleId="1019">
    <w:name w:val="文档结构图"/>
    <w:basedOn w:val="994"/>
    <w:next w:val="1019"/>
    <w:link w:val="1020"/>
    <w:qFormat/>
    <w:pPr>
      <w:shd w:val="clear" w:color="auto" w:fill="000080"/>
    </w:pPr>
  </w:style>
  <w:style w:type="character" w:styleId="1020">
    <w:name w:val="文档结构图 Char"/>
    <w:basedOn w:val="1004"/>
    <w:next w:val="1020"/>
    <w:link w:val="1019"/>
    <w:qFormat/>
    <w:rPr>
      <w:sz w:val="21"/>
      <w:szCs w:val="24"/>
      <w:shd w:val="clear" w:color="auto" w:fill="000080"/>
    </w:rPr>
  </w:style>
  <w:style w:type="paragraph" w:styleId="1021">
    <w:name w:val="批注文字"/>
    <w:basedOn w:val="994"/>
    <w:next w:val="1021"/>
    <w:link w:val="1022"/>
    <w:uiPriority w:val="99"/>
    <w:qFormat/>
    <w:pPr>
      <w:jc w:val="left"/>
    </w:pPr>
  </w:style>
  <w:style w:type="character" w:styleId="1022">
    <w:name w:val="批注文字 Char1"/>
    <w:next w:val="1022"/>
    <w:link w:val="1021"/>
    <w:uiPriority w:val="99"/>
    <w:qFormat/>
    <w:rPr>
      <w:sz w:val="21"/>
      <w:szCs w:val="24"/>
    </w:rPr>
  </w:style>
  <w:style w:type="paragraph" w:styleId="1023">
    <w:name w:val="正文文本 3"/>
    <w:basedOn w:val="994"/>
    <w:next w:val="1023"/>
    <w:link w:val="1024"/>
    <w:qFormat/>
    <w:pPr>
      <w:spacing w:after="120"/>
    </w:pPr>
    <w:rPr>
      <w:sz w:val="16"/>
      <w:szCs w:val="16"/>
    </w:rPr>
  </w:style>
  <w:style w:type="character" w:styleId="1024">
    <w:name w:val="正文文本 3 Char"/>
    <w:basedOn w:val="1004"/>
    <w:next w:val="1024"/>
    <w:link w:val="1023"/>
    <w:qFormat/>
    <w:rPr>
      <w:sz w:val="16"/>
      <w:szCs w:val="16"/>
    </w:rPr>
  </w:style>
  <w:style w:type="paragraph" w:styleId="1025">
    <w:name w:val="正文文本"/>
    <w:basedOn w:val="994"/>
    <w:next w:val="1025"/>
    <w:link w:val="1026"/>
    <w:qFormat/>
    <w:pPr>
      <w:spacing w:before="120" w:line="22" w:lineRule="atLeast"/>
      <w:tabs>
        <w:tab w:val="left" w:pos="567" w:leader="none"/>
      </w:tabs>
    </w:pPr>
    <w:rPr>
      <w:rFonts w:ascii="宋体" w:hAnsi="宋体"/>
      <w:sz w:val="24"/>
    </w:rPr>
  </w:style>
  <w:style w:type="character" w:styleId="1026">
    <w:name w:val="正文文本 Char"/>
    <w:basedOn w:val="1004"/>
    <w:next w:val="1026"/>
    <w:link w:val="1025"/>
    <w:qFormat/>
    <w:rPr>
      <w:rFonts w:ascii="宋体" w:hAnsi="宋体"/>
      <w:sz w:val="24"/>
      <w:szCs w:val="24"/>
    </w:rPr>
  </w:style>
  <w:style w:type="paragraph" w:styleId="1027">
    <w:name w:val="正文文本缩进"/>
    <w:basedOn w:val="994"/>
    <w:next w:val="994"/>
    <w:link w:val="1028"/>
    <w:qFormat/>
    <w:pPr>
      <w:ind w:firstLine="570"/>
      <w:spacing w:line="360" w:lineRule="auto"/>
    </w:pPr>
    <w:rPr>
      <w:sz w:val="24"/>
    </w:rPr>
  </w:style>
  <w:style w:type="character" w:styleId="1028">
    <w:name w:val="正文文本缩进 Char2"/>
    <w:next w:val="1028"/>
    <w:link w:val="1027"/>
    <w:qFormat/>
    <w:rPr>
      <w:rFonts w:eastAsia="宋体"/>
      <w:sz w:val="24"/>
      <w:szCs w:val="24"/>
      <w:lang w:val="en-US" w:eastAsia="zh-CN" w:bidi="ar-SA"/>
    </w:rPr>
  </w:style>
  <w:style w:type="paragraph" w:styleId="1029">
    <w:name w:val="列表 2"/>
    <w:basedOn w:val="994"/>
    <w:next w:val="1029"/>
    <w:link w:val="994"/>
    <w:qFormat/>
    <w:pPr>
      <w:ind w:left="100" w:hanging="200"/>
    </w:pPr>
  </w:style>
  <w:style w:type="paragraph" w:styleId="1030">
    <w:name w:val="文本块"/>
    <w:basedOn w:val="994"/>
    <w:next w:val="1030"/>
    <w:link w:val="994"/>
    <w:qFormat/>
    <w:pPr>
      <w:ind w:left="480" w:right="-341" w:firstLine="513"/>
      <w:widowControl/>
    </w:pPr>
    <w:rPr>
      <w:sz w:val="24"/>
      <w:szCs w:val="20"/>
    </w:rPr>
  </w:style>
  <w:style w:type="paragraph" w:styleId="1031">
    <w:name w:val="目录 5"/>
    <w:basedOn w:val="994"/>
    <w:next w:val="994"/>
    <w:link w:val="994"/>
    <w:qFormat/>
    <w:pPr>
      <w:ind w:left="1680"/>
    </w:pPr>
  </w:style>
  <w:style w:type="paragraph" w:styleId="1032">
    <w:name w:val="目录 3"/>
    <w:basedOn w:val="994"/>
    <w:next w:val="994"/>
    <w:link w:val="994"/>
    <w:uiPriority w:val="39"/>
    <w:qFormat/>
    <w:pPr>
      <w:ind w:left="840"/>
    </w:pPr>
  </w:style>
  <w:style w:type="paragraph" w:styleId="1033">
    <w:name w:val="纯文本"/>
    <w:basedOn w:val="994"/>
    <w:next w:val="1016"/>
    <w:link w:val="1034"/>
    <w:qFormat/>
    <w:rPr>
      <w:rFonts w:hint="eastAsia" w:ascii="宋体" w:hAnsi="Courier New"/>
      <w:szCs w:val="20"/>
    </w:rPr>
  </w:style>
  <w:style w:type="character" w:styleId="1034">
    <w:name w:val="纯文本 Char"/>
    <w:basedOn w:val="1004"/>
    <w:next w:val="1034"/>
    <w:link w:val="1033"/>
    <w:qFormat/>
    <w:rPr>
      <w:rFonts w:hint="eastAsia" w:ascii="宋体" w:hAnsi="Courier New" w:eastAsia="宋体" w:cs="宋体"/>
      <w:sz w:val="21"/>
    </w:rPr>
  </w:style>
  <w:style w:type="paragraph" w:styleId="1035">
    <w:name w:val="目录 8"/>
    <w:basedOn w:val="994"/>
    <w:next w:val="994"/>
    <w:link w:val="994"/>
    <w:qFormat/>
    <w:pPr>
      <w:ind w:left="2940"/>
    </w:pPr>
  </w:style>
  <w:style w:type="paragraph" w:styleId="1036">
    <w:name w:val="日期"/>
    <w:basedOn w:val="994"/>
    <w:next w:val="994"/>
    <w:link w:val="1037"/>
    <w:qFormat/>
    <w:pPr>
      <w:ind w:left="100"/>
    </w:pPr>
    <w:rPr>
      <w:rFonts w:ascii="仿宋_GB2312" w:hAnsi="宋体" w:eastAsia="仿宋_GB2312"/>
      <w:color w:val="000000"/>
      <w:sz w:val="24"/>
    </w:rPr>
  </w:style>
  <w:style w:type="character" w:styleId="1037">
    <w:name w:val="日期 Char"/>
    <w:basedOn w:val="1004"/>
    <w:next w:val="1037"/>
    <w:link w:val="1036"/>
    <w:qFormat/>
    <w:rPr>
      <w:rFonts w:ascii="仿宋_GB2312" w:hAnsi="宋体" w:eastAsia="仿宋_GB2312"/>
      <w:color w:val="000000"/>
      <w:sz w:val="24"/>
      <w:szCs w:val="24"/>
    </w:rPr>
  </w:style>
  <w:style w:type="paragraph" w:styleId="1038">
    <w:name w:val="正文文本缩进 2"/>
    <w:basedOn w:val="994"/>
    <w:next w:val="1038"/>
    <w:link w:val="1039"/>
    <w:qFormat/>
    <w:pPr>
      <w:ind w:firstLine="480"/>
    </w:pPr>
    <w:rPr>
      <w:rFonts w:ascii="仿宋_GB2312" w:eastAsia="仿宋_GB2312"/>
      <w:sz w:val="24"/>
    </w:rPr>
  </w:style>
  <w:style w:type="character" w:styleId="1039">
    <w:name w:val="正文文本缩进 2 Char"/>
    <w:basedOn w:val="1004"/>
    <w:next w:val="1039"/>
    <w:link w:val="1038"/>
    <w:qFormat/>
    <w:rPr>
      <w:rFonts w:ascii="仿宋_GB2312" w:eastAsia="仿宋_GB2312"/>
      <w:sz w:val="24"/>
      <w:szCs w:val="24"/>
    </w:rPr>
  </w:style>
  <w:style w:type="paragraph" w:styleId="1040">
    <w:name w:val="批注框文本"/>
    <w:basedOn w:val="994"/>
    <w:next w:val="1040"/>
    <w:link w:val="1041"/>
    <w:qFormat/>
    <w:rPr>
      <w:sz w:val="18"/>
      <w:szCs w:val="18"/>
    </w:rPr>
  </w:style>
  <w:style w:type="character" w:styleId="1041">
    <w:name w:val="批注框文本 Char"/>
    <w:basedOn w:val="1004"/>
    <w:next w:val="1041"/>
    <w:link w:val="1040"/>
    <w:qFormat/>
    <w:rPr>
      <w:sz w:val="18"/>
      <w:szCs w:val="18"/>
    </w:rPr>
  </w:style>
  <w:style w:type="paragraph" w:styleId="1042">
    <w:name w:val="页脚"/>
    <w:basedOn w:val="994"/>
    <w:next w:val="1042"/>
    <w:link w:val="1043"/>
    <w:uiPriority w:val="99"/>
    <w:qFormat/>
    <w:pPr>
      <w:jc w:val="left"/>
      <w:tabs>
        <w:tab w:val="center" w:pos="4153" w:leader="none"/>
        <w:tab w:val="right" w:pos="8306" w:leader="none"/>
      </w:tabs>
    </w:pPr>
    <w:rPr>
      <w:rFonts w:ascii="宋体"/>
      <w:sz w:val="18"/>
      <w:szCs w:val="20"/>
    </w:rPr>
  </w:style>
  <w:style w:type="character" w:styleId="1043">
    <w:name w:val="页脚 Char1"/>
    <w:next w:val="1043"/>
    <w:link w:val="1042"/>
    <w:uiPriority w:val="99"/>
    <w:qFormat/>
    <w:rPr>
      <w:rFonts w:ascii="宋体" w:eastAsia="宋体"/>
      <w:sz w:val="18"/>
      <w:lang w:val="en-US" w:eastAsia="zh-CN" w:bidi="ar-SA"/>
    </w:rPr>
  </w:style>
  <w:style w:type="paragraph" w:styleId="1044">
    <w:name w:val="页眉"/>
    <w:basedOn w:val="994"/>
    <w:next w:val="1044"/>
    <w:link w:val="1045"/>
    <w:qFormat/>
    <w:pPr>
      <w:jc w:val="center"/>
      <w:tabs>
        <w:tab w:val="center" w:pos="4153" w:leader="none"/>
        <w:tab w:val="right" w:pos="8306" w:leader="none"/>
      </w:tabs>
      <w:pBdr>
        <w:bottom w:val="single" w:color="000000" w:sz="6" w:space="1"/>
      </w:pBdr>
    </w:pPr>
    <w:rPr>
      <w:sz w:val="18"/>
      <w:szCs w:val="18"/>
    </w:rPr>
  </w:style>
  <w:style w:type="character" w:styleId="1045">
    <w:name w:val="页眉 Char1"/>
    <w:next w:val="1045"/>
    <w:link w:val="1044"/>
    <w:qFormat/>
    <w:rPr>
      <w:rFonts w:eastAsia="宋体"/>
      <w:sz w:val="18"/>
      <w:szCs w:val="18"/>
      <w:lang w:val="en-US" w:eastAsia="zh-CN" w:bidi="ar-SA"/>
    </w:rPr>
  </w:style>
  <w:style w:type="paragraph" w:styleId="1046">
    <w:name w:val="目录 1"/>
    <w:basedOn w:val="994"/>
    <w:next w:val="994"/>
    <w:link w:val="994"/>
    <w:uiPriority w:val="39"/>
    <w:qFormat/>
    <w:pPr>
      <w:spacing w:line="300" w:lineRule="auto"/>
      <w:tabs>
        <w:tab w:val="left" w:pos="1050" w:leader="none"/>
        <w:tab w:val="right" w:pos="8937" w:leader="dot"/>
      </w:tabs>
    </w:pPr>
    <w:rPr>
      <w:rFonts w:ascii="宋体" w:hAnsi="宋体"/>
      <w:b/>
      <w:sz w:val="24"/>
    </w:rPr>
  </w:style>
  <w:style w:type="paragraph" w:styleId="1047">
    <w:name w:val="目录 4"/>
    <w:basedOn w:val="994"/>
    <w:next w:val="994"/>
    <w:link w:val="994"/>
    <w:qFormat/>
    <w:pPr>
      <w:ind w:left="1260"/>
    </w:pPr>
  </w:style>
  <w:style w:type="paragraph" w:styleId="1048">
    <w:name w:val="目录 6"/>
    <w:basedOn w:val="994"/>
    <w:next w:val="994"/>
    <w:link w:val="994"/>
    <w:qFormat/>
    <w:pPr>
      <w:ind w:left="2100"/>
    </w:pPr>
  </w:style>
  <w:style w:type="paragraph" w:styleId="1049">
    <w:name w:val="正文文本缩进 3"/>
    <w:basedOn w:val="994"/>
    <w:next w:val="1049"/>
    <w:link w:val="1050"/>
    <w:qFormat/>
    <w:pPr>
      <w:ind w:left="720" w:firstLine="480"/>
      <w:jc w:val="left"/>
      <w:spacing w:before="120" w:line="22" w:lineRule="atLeast"/>
    </w:pPr>
    <w:rPr>
      <w:rFonts w:ascii="宋体"/>
      <w:sz w:val="24"/>
      <w:szCs w:val="20"/>
    </w:rPr>
  </w:style>
  <w:style w:type="character" w:styleId="1050">
    <w:name w:val="正文文本缩进 3 Char"/>
    <w:basedOn w:val="1004"/>
    <w:next w:val="1050"/>
    <w:link w:val="1049"/>
    <w:qFormat/>
    <w:rPr>
      <w:rFonts w:ascii="宋体"/>
      <w:sz w:val="24"/>
    </w:rPr>
  </w:style>
  <w:style w:type="paragraph" w:styleId="1051">
    <w:name w:val="目录 2"/>
    <w:basedOn w:val="994"/>
    <w:next w:val="994"/>
    <w:link w:val="994"/>
    <w:uiPriority w:val="39"/>
    <w:qFormat/>
    <w:pPr>
      <w:ind w:left="420"/>
      <w:spacing w:line="312" w:lineRule="auto"/>
      <w:tabs>
        <w:tab w:val="right" w:pos="8937" w:leader="dot"/>
      </w:tabs>
    </w:pPr>
  </w:style>
  <w:style w:type="paragraph" w:styleId="1052">
    <w:name w:val="目录 9"/>
    <w:basedOn w:val="994"/>
    <w:next w:val="994"/>
    <w:link w:val="994"/>
    <w:qFormat/>
    <w:pPr>
      <w:ind w:left="3360"/>
    </w:pPr>
  </w:style>
  <w:style w:type="paragraph" w:styleId="1053">
    <w:name w:val="HTML 预设格式"/>
    <w:basedOn w:val="994"/>
    <w:next w:val="1053"/>
    <w:link w:val="10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4">
    <w:name w:val="HTML 预设格式 Char"/>
    <w:basedOn w:val="1004"/>
    <w:next w:val="1054"/>
    <w:link w:val="1053"/>
    <w:qFormat/>
    <w:rPr>
      <w:rFonts w:ascii="宋体" w:hAnsi="宋体" w:cs="宋体"/>
      <w:sz w:val="24"/>
      <w:szCs w:val="24"/>
    </w:rPr>
  </w:style>
  <w:style w:type="paragraph" w:styleId="1055">
    <w:name w:val="普通(网站)"/>
    <w:basedOn w:val="994"/>
    <w:next w:val="1055"/>
    <w:link w:val="994"/>
    <w:uiPriority w:val="99"/>
    <w:unhideWhenUsed/>
    <w:qFormat/>
    <w:pPr>
      <w:jc w:val="left"/>
      <w:spacing w:before="100" w:beforeAutospacing="1" w:after="100" w:afterAutospacing="1"/>
      <w:widowControl/>
    </w:pPr>
    <w:rPr>
      <w:rFonts w:ascii="宋体" w:hAnsi="宋体" w:cs="宋体"/>
      <w:sz w:val="24"/>
    </w:rPr>
  </w:style>
  <w:style w:type="paragraph" w:styleId="1056">
    <w:name w:val="索引 1"/>
    <w:basedOn w:val="994"/>
    <w:next w:val="994"/>
    <w:link w:val="994"/>
    <w:qFormat/>
    <w:rPr>
      <w:szCs w:val="20"/>
    </w:rPr>
  </w:style>
  <w:style w:type="paragraph" w:styleId="1057">
    <w:name w:val="标题"/>
    <w:basedOn w:val="994"/>
    <w:next w:val="994"/>
    <w:link w:val="1058"/>
    <w:qFormat/>
    <w:pPr>
      <w:jc w:val="center"/>
      <w:outlineLvl w:val="0"/>
    </w:pPr>
    <w:rPr>
      <w:b/>
      <w:sz w:val="32"/>
      <w:szCs w:val="20"/>
    </w:rPr>
  </w:style>
  <w:style w:type="character" w:styleId="1058">
    <w:name w:val="标题 Char1"/>
    <w:next w:val="1058"/>
    <w:link w:val="1057"/>
    <w:qFormat/>
    <w:rPr>
      <w:b/>
      <w:sz w:val="32"/>
    </w:rPr>
  </w:style>
  <w:style w:type="paragraph" w:styleId="1059">
    <w:name w:val="批注主题"/>
    <w:basedOn w:val="1021"/>
    <w:next w:val="1021"/>
    <w:link w:val="1060"/>
    <w:qFormat/>
    <w:rPr>
      <w:b/>
      <w:bCs/>
    </w:rPr>
  </w:style>
  <w:style w:type="character" w:styleId="1060">
    <w:name w:val="批注主题 Char"/>
    <w:basedOn w:val="1061"/>
    <w:next w:val="1060"/>
    <w:link w:val="1059"/>
    <w:qFormat/>
    <w:rPr>
      <w:rFonts w:ascii="Times New Roman" w:hAnsi="Times New Roman" w:eastAsia="宋体" w:cs="Times New Roman"/>
      <w:b/>
      <w:bCs/>
      <w:sz w:val="21"/>
      <w:szCs w:val="24"/>
      <w:lang w:val="en-US" w:eastAsia="zh-CN" w:bidi="ar-SA"/>
    </w:rPr>
  </w:style>
  <w:style w:type="character" w:styleId="1061">
    <w:name w:val="批注文字 字符"/>
    <w:next w:val="1061"/>
    <w:link w:val="994"/>
    <w:uiPriority w:val="99"/>
    <w:qFormat/>
    <w:rPr>
      <w:rFonts w:ascii="Times New Roman" w:hAnsi="Times New Roman" w:eastAsia="宋体" w:cs="Times New Roman"/>
      <w:sz w:val="24"/>
      <w:lang w:val="en-US" w:eastAsia="zh-CN" w:bidi="ar-SA"/>
    </w:rPr>
  </w:style>
  <w:style w:type="paragraph" w:styleId="1062">
    <w:name w:val="正文首行缩进"/>
    <w:basedOn w:val="1025"/>
    <w:next w:val="1062"/>
    <w:link w:val="994"/>
    <w:qFormat/>
    <w:pPr>
      <w:ind w:firstLine="420"/>
      <w:tabs>
        <w:tab w:val="left" w:pos="567" w:leader="none"/>
      </w:tabs>
    </w:pPr>
    <w:rPr>
      <w:szCs w:val="20"/>
    </w:rPr>
  </w:style>
  <w:style w:type="paragraph" w:styleId="1063">
    <w:name w:val="正文首行缩进 2"/>
    <w:basedOn w:val="994"/>
    <w:next w:val="994"/>
    <w:link w:val="1064"/>
    <w:qFormat/>
    <w:pPr>
      <w:ind w:left="420" w:firstLine="420"/>
      <w:spacing w:after="120" w:line="480" w:lineRule="exact"/>
    </w:pPr>
    <w:rPr>
      <w:szCs w:val="20"/>
    </w:rPr>
  </w:style>
  <w:style w:type="character" w:styleId="1064">
    <w:name w:val="正文首行缩进 2 Char"/>
    <w:basedOn w:val="1028"/>
    <w:next w:val="1064"/>
    <w:link w:val="1063"/>
    <w:qFormat/>
    <w:rPr>
      <w:rFonts w:eastAsia="宋体"/>
      <w:sz w:val="24"/>
      <w:szCs w:val="24"/>
      <w:lang w:val="en-US" w:eastAsia="zh-CN" w:bidi="ar-SA"/>
    </w:rPr>
  </w:style>
  <w:style w:type="table" w:styleId="1065">
    <w:name w:val="网格型"/>
    <w:basedOn w:val="1005"/>
    <w:next w:val="1065"/>
    <w:link w:val="994"/>
    <w:uiPriority w:val="39"/>
    <w:qFormat/>
    <w:tblPr/>
  </w:style>
  <w:style w:type="table" w:styleId="1066">
    <w:name w:val="中等深浅网格 1 - 强调文字颜色 2"/>
    <w:basedOn w:val="1005"/>
    <w:next w:val="1066"/>
    <w:link w:val="994"/>
    <w:qFormat/>
    <w:rPr>
      <w:sz w:val="21"/>
      <w:szCs w:val="24"/>
    </w:rPr>
    <w:tblPr/>
  </w:style>
  <w:style w:type="character" w:styleId="1067">
    <w:name w:val="要点"/>
    <w:basedOn w:val="1004"/>
    <w:next w:val="1067"/>
    <w:link w:val="994"/>
    <w:qFormat/>
    <w:rPr>
      <w:b/>
      <w:bCs/>
    </w:rPr>
  </w:style>
  <w:style w:type="character" w:styleId="1068">
    <w:name w:val="页码"/>
    <w:basedOn w:val="1004"/>
    <w:next w:val="1068"/>
    <w:link w:val="994"/>
    <w:qFormat/>
  </w:style>
  <w:style w:type="character" w:styleId="1069">
    <w:name w:val="已访问的超链接"/>
    <w:basedOn w:val="1004"/>
    <w:next w:val="1069"/>
    <w:link w:val="994"/>
    <w:qFormat/>
    <w:rPr>
      <w:color w:val="333333"/>
      <w:u w:val="none"/>
    </w:rPr>
  </w:style>
  <w:style w:type="character" w:styleId="1070">
    <w:name w:val="强调"/>
    <w:next w:val="1070"/>
    <w:link w:val="994"/>
    <w:qFormat/>
    <w:rPr>
      <w:color w:val="cc0033"/>
    </w:rPr>
  </w:style>
  <w:style w:type="character" w:styleId="1071">
    <w:name w:val="超链接"/>
    <w:basedOn w:val="1004"/>
    <w:next w:val="1071"/>
    <w:link w:val="994"/>
    <w:uiPriority w:val="99"/>
    <w:qFormat/>
    <w:rPr>
      <w:color w:val="333333"/>
      <w:u w:val="none"/>
    </w:rPr>
  </w:style>
  <w:style w:type="character" w:styleId="1072">
    <w:name w:val="批注引用"/>
    <w:next w:val="1072"/>
    <w:link w:val="994"/>
    <w:uiPriority w:val="99"/>
    <w:qFormat/>
    <w:rPr>
      <w:sz w:val="21"/>
      <w:szCs w:val="21"/>
    </w:rPr>
  </w:style>
  <w:style w:type="character" w:styleId="1073">
    <w:name w:val="HTML 引文"/>
    <w:next w:val="1073"/>
    <w:link w:val="994"/>
    <w:qFormat/>
    <w:rPr>
      <w:i/>
      <w:iCs/>
    </w:rPr>
  </w:style>
  <w:style w:type="paragraph" w:styleId="1074">
    <w:name w:val="Default"/>
    <w:next w:val="1074"/>
    <w:link w:val="994"/>
    <w:qFormat/>
    <w:pPr>
      <w:widowControl w:val="off"/>
    </w:pPr>
    <w:rPr>
      <w:rFonts w:ascii="Symbol" w:hAnsi="Symbol" w:cs="Symbol"/>
      <w:color w:val="000000"/>
      <w:sz w:val="24"/>
      <w:szCs w:val="24"/>
      <w:lang w:val="en-US" w:eastAsia="zh-CN" w:bidi="ar-SA"/>
    </w:rPr>
  </w:style>
  <w:style w:type="paragraph" w:styleId="1075">
    <w:name w:val="段"/>
    <w:next w:val="1075"/>
    <w:link w:val="994"/>
    <w:qFormat/>
    <w:pPr>
      <w:ind w:firstLine="200"/>
      <w:jc w:val="both"/>
    </w:pPr>
    <w:rPr>
      <w:rFonts w:ascii="宋体" w:hAnsi="Calibri" w:eastAsia="宋体" w:cs="Times New Roman"/>
      <w:sz w:val="21"/>
      <w:lang w:val="en-US" w:eastAsia="zh-CN" w:bidi="ar-SA"/>
    </w:rPr>
  </w:style>
  <w:style w:type="character" w:styleId="1076">
    <w:name w:val="c21"/>
    <w:next w:val="1076"/>
    <w:link w:val="994"/>
    <w:qFormat/>
    <w:rPr>
      <w:rFonts w:ascii="ˎ̥" w:hAnsi="ˎ̥"/>
      <w:color w:val="000000"/>
      <w:sz w:val="20"/>
      <w:szCs w:val="20"/>
      <w:u w:val="none"/>
    </w:rPr>
  </w:style>
  <w:style w:type="character" w:styleId="1077">
    <w:name w:val="title4"/>
    <w:next w:val="1077"/>
    <w:link w:val="994"/>
    <w:qFormat/>
    <w:rPr>
      <w:b/>
      <w:bCs/>
      <w:color w:val="1d87b3"/>
      <w:sz w:val="15"/>
      <w:szCs w:val="15"/>
    </w:rPr>
  </w:style>
  <w:style w:type="character" w:styleId="1078">
    <w:name w:val="标题 2 Char Char"/>
    <w:next w:val="1078"/>
    <w:link w:val="994"/>
    <w:qFormat/>
    <w:rPr>
      <w:rFonts w:ascii="Arial" w:hAnsi="Arial" w:eastAsia="黑体"/>
      <w:b/>
      <w:bCs/>
      <w:sz w:val="32"/>
      <w:szCs w:val="32"/>
      <w:lang w:val="en-US" w:eastAsia="zh-CN" w:bidi="ar-SA"/>
    </w:rPr>
  </w:style>
  <w:style w:type="character" w:styleId="1079">
    <w:name w:val="black1"/>
    <w:next w:val="1079"/>
    <w:link w:val="994"/>
    <w:qFormat/>
    <w:rPr>
      <w:color w:val="000000"/>
    </w:rPr>
  </w:style>
  <w:style w:type="character" w:styleId="1080">
    <w:name w:val="street-address"/>
    <w:basedOn w:val="1004"/>
    <w:next w:val="1080"/>
    <w:link w:val="994"/>
    <w:qFormat/>
  </w:style>
  <w:style w:type="character" w:styleId="1081">
    <w:name w:val="locality"/>
    <w:basedOn w:val="1004"/>
    <w:next w:val="1081"/>
    <w:link w:val="994"/>
    <w:qFormat/>
  </w:style>
  <w:style w:type="character" w:styleId="1082">
    <w:name w:val="正文文本缩进 Char1"/>
    <w:next w:val="1082"/>
    <w:link w:val="1083"/>
    <w:qFormat/>
    <w:rPr>
      <w:rFonts w:ascii="宋体" w:hAnsi="宋体" w:eastAsia="宋体"/>
      <w:sz w:val="24"/>
      <w:szCs w:val="24"/>
      <w:lang w:bidi="ar-SA"/>
    </w:rPr>
  </w:style>
  <w:style w:type="paragraph" w:styleId="1083">
    <w:name w:val="正文文本缩进1"/>
    <w:basedOn w:val="994"/>
    <w:next w:val="1083"/>
    <w:link w:val="1082"/>
    <w:qFormat/>
    <w:pPr>
      <w:ind w:firstLine="480"/>
      <w:spacing w:line="480" w:lineRule="exact"/>
    </w:pPr>
    <w:rPr>
      <w:rFonts w:ascii="宋体" w:hAnsi="宋体"/>
      <w:sz w:val="24"/>
    </w:rPr>
  </w:style>
  <w:style w:type="character" w:styleId="1084">
    <w:name w:val="Char Char11"/>
    <w:next w:val="1084"/>
    <w:link w:val="994"/>
    <w:qFormat/>
    <w:rPr>
      <w:rFonts w:ascii="宋体" w:eastAsia="宋体"/>
      <w:b/>
      <w:sz w:val="24"/>
      <w:u w:val="single"/>
      <w:lang w:val="en-US" w:eastAsia="zh-CN" w:bidi="ar-SA"/>
    </w:rPr>
  </w:style>
  <w:style w:type="character" w:styleId="1085">
    <w:name w:val="txt"/>
    <w:basedOn w:val="1004"/>
    <w:next w:val="1085"/>
    <w:link w:val="994"/>
    <w:qFormat/>
  </w:style>
  <w:style w:type="character" w:styleId="1086">
    <w:name w:val="正文缩进 Char Char"/>
    <w:next w:val="1086"/>
    <w:link w:val="1087"/>
    <w:qFormat/>
    <w:rPr>
      <w:rFonts w:ascii="宋体" w:eastAsia="宋体"/>
      <w:color w:val="000000"/>
      <w:sz w:val="28"/>
      <w:lang w:bidi="ar-SA"/>
    </w:rPr>
  </w:style>
  <w:style w:type="paragraph" w:styleId="1087">
    <w:name w:val="正文缩进1"/>
    <w:basedOn w:val="994"/>
    <w:next w:val="1087"/>
    <w:link w:val="1086"/>
    <w:qFormat/>
    <w:pPr>
      <w:ind w:firstLine="567"/>
      <w:spacing w:line="480" w:lineRule="exact"/>
      <w:widowControl/>
    </w:pPr>
    <w:rPr>
      <w:rFonts w:ascii="宋体"/>
      <w:color w:val="000000"/>
      <w:sz w:val="28"/>
      <w:szCs w:val="20"/>
    </w:rPr>
  </w:style>
  <w:style w:type="character" w:styleId="1088">
    <w:name w:val="普通文字1 Char1"/>
    <w:next w:val="1088"/>
    <w:link w:val="994"/>
    <w:qFormat/>
    <w:rPr>
      <w:rFonts w:ascii="宋体" w:hAnsi="Courier New" w:eastAsia="宋体"/>
      <w:sz w:val="21"/>
      <w:lang w:val="en-US" w:eastAsia="zh-CN" w:bidi="ar-SA"/>
    </w:rPr>
  </w:style>
  <w:style w:type="character" w:styleId="1089">
    <w:name w:val="chanpin1"/>
    <w:next w:val="1089"/>
    <w:link w:val="994"/>
    <w:qFormat/>
    <w:rPr>
      <w:rFonts w:ascii="ˎ̥" w:hAnsi="ˎ̥"/>
      <w:color w:val="000000"/>
      <w:sz w:val="20"/>
      <w:szCs w:val="20"/>
      <w:u w:val="none"/>
    </w:rPr>
  </w:style>
  <w:style w:type="character" w:styleId="1090">
    <w:name w:val="列出段落 Char1"/>
    <w:next w:val="1090"/>
    <w:link w:val="1091"/>
    <w:uiPriority w:val="34"/>
    <w:qFormat/>
    <w:rPr>
      <w:rFonts w:ascii="Calibri" w:hAnsi="Calibri" w:eastAsia="宋体"/>
      <w:sz w:val="21"/>
      <w:szCs w:val="22"/>
      <w:lang w:val="en-US" w:eastAsia="zh-CN" w:bidi="ar-SA"/>
    </w:rPr>
  </w:style>
  <w:style w:type="paragraph" w:styleId="1091">
    <w:name w:val="列出段落"/>
    <w:basedOn w:val="994"/>
    <w:next w:val="1091"/>
    <w:link w:val="1090"/>
    <w:uiPriority w:val="34"/>
    <w:qFormat/>
    <w:pPr>
      <w:ind w:firstLine="420"/>
    </w:pPr>
    <w:rPr>
      <w:rFonts w:ascii="Calibri" w:hAnsi="Calibri"/>
      <w:szCs w:val="22"/>
    </w:rPr>
  </w:style>
  <w:style w:type="character" w:styleId="1092">
    <w:name w:val="标题 3 Char Char"/>
    <w:next w:val="1092"/>
    <w:link w:val="994"/>
    <w:qFormat/>
    <w:rPr>
      <w:rFonts w:eastAsia="宋体"/>
      <w:b/>
      <w:bCs/>
      <w:sz w:val="32"/>
      <w:szCs w:val="32"/>
      <w:lang w:val="en-US" w:eastAsia="zh-CN" w:bidi="ar-SA"/>
    </w:rPr>
  </w:style>
  <w:style w:type="character" w:styleId="1093">
    <w:name w:val="段1 Char"/>
    <w:next w:val="1093"/>
    <w:link w:val="994"/>
    <w:qFormat/>
    <w:rPr>
      <w:rFonts w:ascii="宋体" w:eastAsia="宋体"/>
      <w:sz w:val="24"/>
      <w:lang w:val="en-US" w:eastAsia="zh-CN" w:bidi="ar-SA"/>
    </w:rPr>
  </w:style>
  <w:style w:type="character" w:styleId="1094">
    <w:name w:val="chanpin拷贝"/>
    <w:basedOn w:val="1004"/>
    <w:next w:val="1094"/>
    <w:link w:val="994"/>
    <w:qFormat/>
  </w:style>
  <w:style w:type="character" w:styleId="1095">
    <w:name w:val="纯文本 Char1"/>
    <w:next w:val="1095"/>
    <w:link w:val="994"/>
    <w:qFormat/>
    <w:rPr>
      <w:rFonts w:ascii="宋体" w:hAnsi="Courier New" w:eastAsia="宋体"/>
      <w:sz w:val="21"/>
      <w:lang w:val="en-US" w:eastAsia="zh-CN" w:bidi="ar-SA"/>
    </w:rPr>
  </w:style>
  <w:style w:type="character" w:styleId="1096">
    <w:name w:val="apple-style-span"/>
    <w:next w:val="1096"/>
    <w:link w:val="994"/>
    <w:qFormat/>
    <w:rPr>
      <w:rFonts w:cs="Times New Roman"/>
    </w:rPr>
  </w:style>
  <w:style w:type="paragraph" w:styleId="1097">
    <w:name w:val="二级条标题"/>
    <w:basedOn w:val="1098"/>
    <w:next w:val="994"/>
    <w:link w:val="994"/>
    <w:qFormat/>
    <w:pPr>
      <w:numPr>
        <w:ilvl w:val="0"/>
        <w:numId w:val="0"/>
      </w:numPr>
      <w:ind w:hanging="840"/>
      <w:tabs>
        <w:tab w:val="left" w:pos="360" w:leader="none"/>
        <w:tab w:val="left" w:pos="840" w:leader="none"/>
      </w:tabs>
      <w:outlineLvl w:val="2"/>
    </w:pPr>
    <w:rPr>
      <w:rFonts w:ascii="宋体" w:eastAsia="宋体"/>
      <w:b w:val="0"/>
    </w:rPr>
  </w:style>
  <w:style w:type="paragraph" w:styleId="1098">
    <w:name w:val="一级条标题"/>
    <w:basedOn w:val="1099"/>
    <w:next w:val="994"/>
    <w:link w:val="994"/>
    <w:qFormat/>
    <w:pPr>
      <w:numPr>
        <w:ilvl w:val="1"/>
      </w:numPr>
      <w:ind w:left="0" w:hanging="840"/>
      <w:tabs>
        <w:tab w:val="left" w:pos="360" w:leader="none"/>
        <w:tab w:val="left" w:pos="840" w:leader="none"/>
      </w:tabs>
      <w:outlineLvl w:val="1"/>
    </w:pPr>
  </w:style>
  <w:style w:type="paragraph" w:styleId="1099">
    <w:name w:val="章标题"/>
    <w:next w:val="994"/>
    <w:link w:val="99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0">
    <w:name w:val="font7"/>
    <w:basedOn w:val="994"/>
    <w:next w:val="1100"/>
    <w:link w:val="994"/>
    <w:qFormat/>
    <w:pPr>
      <w:jc w:val="left"/>
      <w:spacing w:before="100" w:beforeAutospacing="1" w:after="100" w:afterAutospacing="1"/>
      <w:widowControl/>
    </w:pPr>
    <w:rPr>
      <w:rFonts w:eastAsia="Arial Unicode MS"/>
      <w:b/>
      <w:bCs/>
      <w:color w:val="000000"/>
      <w:sz w:val="20"/>
      <w:szCs w:val="20"/>
    </w:rPr>
  </w:style>
  <w:style w:type="paragraph" w:styleId="1101">
    <w:name w:val="字元 字元"/>
    <w:basedOn w:val="994"/>
    <w:next w:val="1101"/>
    <w:link w:val="994"/>
    <w:qFormat/>
    <w:rPr>
      <w:rFonts w:ascii="Tahoma" w:hAnsi="Tahoma"/>
      <w:sz w:val="24"/>
      <w:szCs w:val="20"/>
    </w:rPr>
  </w:style>
  <w:style w:type="paragraph" w:styleId="1102">
    <w:name w:val="Char3 Char Char Char"/>
    <w:basedOn w:val="994"/>
    <w:next w:val="1102"/>
    <w:link w:val="994"/>
    <w:qFormat/>
    <w:rPr>
      <w:rFonts w:ascii="Tahoma" w:hAnsi="Tahoma"/>
      <w:sz w:val="24"/>
      <w:szCs w:val="20"/>
    </w:rPr>
  </w:style>
  <w:style w:type="paragraph" w:styleId="1103">
    <w:name w:val="font6"/>
    <w:basedOn w:val="994"/>
    <w:next w:val="1103"/>
    <w:link w:val="994"/>
    <w:qFormat/>
    <w:pPr>
      <w:jc w:val="left"/>
      <w:spacing w:before="100" w:beforeAutospacing="1" w:after="100" w:afterAutospacing="1"/>
      <w:widowControl/>
    </w:pPr>
    <w:rPr>
      <w:rFonts w:ascii="宋体" w:hAnsi="宋体" w:cs="宋体"/>
      <w:sz w:val="20"/>
      <w:szCs w:val="20"/>
    </w:rPr>
  </w:style>
  <w:style w:type="paragraph" w:styleId="1104">
    <w:name w:val="项目编号2"/>
    <w:basedOn w:val="1105"/>
    <w:next w:val="1104"/>
    <w:link w:val="994"/>
    <w:qFormat/>
    <w:pPr>
      <w:numPr>
        <w:numId w:val="3"/>
      </w:numPr>
    </w:pPr>
  </w:style>
  <w:style w:type="paragraph" w:styleId="1105">
    <w:name w:val="项目编号1"/>
    <w:basedOn w:val="994"/>
    <w:next w:val="1105"/>
    <w:link w:val="994"/>
    <w:qFormat/>
    <w:pPr>
      <w:numPr>
        <w:ilvl w:val="0"/>
        <w:numId w:val="2"/>
      </w:numPr>
      <w:spacing w:before="100" w:beforeAutospacing="1" w:after="100" w:afterAutospacing="1" w:line="360" w:lineRule="auto"/>
    </w:pPr>
    <w:rPr>
      <w:sz w:val="24"/>
    </w:rPr>
  </w:style>
  <w:style w:type="paragraph" w:styleId="1106">
    <w:name w:val="图中文字"/>
    <w:basedOn w:val="994"/>
    <w:next w:val="1106"/>
    <w:link w:val="994"/>
    <w:qFormat/>
    <w:pPr>
      <w:jc w:val="center"/>
      <w:spacing w:line="0" w:lineRule="atLeast"/>
    </w:pPr>
    <w:rPr>
      <w:sz w:val="24"/>
      <w:szCs w:val="20"/>
    </w:rPr>
  </w:style>
  <w:style w:type="paragraph" w:styleId="1107">
    <w:name w:val="xl46"/>
    <w:basedOn w:val="994"/>
    <w:next w:val="1107"/>
    <w:link w:val="9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name w:val="xl25"/>
    <w:basedOn w:val="994"/>
    <w:next w:val="1108"/>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Char2"/>
    <w:basedOn w:val="994"/>
    <w:next w:val="1109"/>
    <w:link w:val="994"/>
    <w:qFormat/>
    <w:rPr>
      <w:rFonts w:ascii="Tahoma" w:hAnsi="Tahoma"/>
      <w:sz w:val="24"/>
      <w:szCs w:val="20"/>
    </w:rPr>
  </w:style>
  <w:style w:type="paragraph" w:styleId="1110">
    <w:name w:val="xl35"/>
    <w:basedOn w:val="994"/>
    <w:next w:val="1110"/>
    <w:link w:val="9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xl40"/>
    <w:basedOn w:val="994"/>
    <w:next w:val="1111"/>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xl52"/>
    <w:basedOn w:val="994"/>
    <w:next w:val="1112"/>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3">
    <w:name w:val="xl43"/>
    <w:basedOn w:val="994"/>
    <w:next w:val="1113"/>
    <w:link w:val="9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name w:val="background1"/>
    <w:basedOn w:val="994"/>
    <w:next w:val="1114"/>
    <w:link w:val="994"/>
    <w:qFormat/>
    <w:pPr>
      <w:jc w:val="left"/>
      <w:spacing w:before="100" w:beforeAutospacing="1" w:after="100" w:afterAutospacing="1"/>
      <w:widowControl/>
    </w:pPr>
    <w:rPr>
      <w:rFonts w:ascii="宋体" w:hAnsi="宋体" w:cs="宋体"/>
      <w:sz w:val="24"/>
    </w:rPr>
  </w:style>
  <w:style w:type="paragraph" w:styleId="1115">
    <w:name w:val="Char Char Char Char Char Char Char"/>
    <w:basedOn w:val="994"/>
    <w:next w:val="1115"/>
    <w:link w:val="994"/>
    <w:qFormat/>
    <w:pPr>
      <w:ind w:firstLine="200"/>
      <w:spacing w:line="360" w:lineRule="auto"/>
    </w:pPr>
    <w:rPr>
      <w:rFonts w:eastAsia="仿宋_GB2312"/>
      <w:sz w:val="24"/>
    </w:rPr>
  </w:style>
  <w:style w:type="paragraph" w:styleId="1116">
    <w:name w:val="xl38"/>
    <w:basedOn w:val="994"/>
    <w:next w:val="1116"/>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7">
    <w:name w:val="xl36"/>
    <w:basedOn w:val="994"/>
    <w:next w:val="1117"/>
    <w:link w:val="9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name w:val="正文 + 宋体"/>
    <w:basedOn w:val="994"/>
    <w:next w:val="1118"/>
    <w:link w:val="994"/>
    <w:qFormat/>
    <w:pPr>
      <w:ind w:left="360" w:hanging="360"/>
      <w:jc w:val="left"/>
      <w:widowControl/>
    </w:pPr>
    <w:rPr>
      <w:rFonts w:ascii="宋体" w:hAnsi="宋体" w:cs="宋体"/>
      <w:b/>
      <w:bCs/>
      <w:color w:val="000000"/>
      <w:sz w:val="18"/>
      <w:szCs w:val="18"/>
    </w:rPr>
  </w:style>
  <w:style w:type="paragraph" w:styleId="1119">
    <w:name w:val="正文列项_数字"/>
    <w:basedOn w:val="994"/>
    <w:next w:val="1119"/>
    <w:link w:val="994"/>
    <w:qFormat/>
    <w:pPr>
      <w:numPr>
        <w:ilvl w:val="7"/>
        <w:numId w:val="1"/>
      </w:numPr>
      <w:ind w:left="680" w:hanging="150"/>
      <w:spacing w:line="460" w:lineRule="exact"/>
      <w:tabs>
        <w:tab w:val="clear" w:pos="860" w:leader="none"/>
      </w:tabs>
      <w:outlineLvl w:val="7"/>
    </w:pPr>
    <w:rPr>
      <w:rFonts w:ascii="宋体"/>
      <w:sz w:val="28"/>
      <w:szCs w:val="20"/>
    </w:rPr>
  </w:style>
  <w:style w:type="paragraph" w:styleId="1120">
    <w:name w:val="xl39"/>
    <w:basedOn w:val="994"/>
    <w:next w:val="1120"/>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xl37"/>
    <w:basedOn w:val="994"/>
    <w:next w:val="1121"/>
    <w:link w:val="9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32"/>
    <w:basedOn w:val="994"/>
    <w:next w:val="1122"/>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font8"/>
    <w:basedOn w:val="994"/>
    <w:next w:val="1123"/>
    <w:link w:val="994"/>
    <w:qFormat/>
    <w:pPr>
      <w:jc w:val="left"/>
      <w:spacing w:before="100" w:beforeAutospacing="1" w:after="100" w:afterAutospacing="1"/>
      <w:widowControl/>
    </w:pPr>
    <w:rPr>
      <w:sz w:val="36"/>
      <w:szCs w:val="36"/>
    </w:rPr>
  </w:style>
  <w:style w:type="paragraph" w:styleId="1124">
    <w:name w:val="Char"/>
    <w:basedOn w:val="994"/>
    <w:next w:val="1124"/>
    <w:link w:val="994"/>
    <w:qFormat/>
    <w:pPr>
      <w:tabs>
        <w:tab w:val="left" w:pos="360" w:leader="none"/>
      </w:tabs>
    </w:pPr>
    <w:rPr>
      <w:sz w:val="24"/>
    </w:rPr>
  </w:style>
  <w:style w:type="paragraph" w:styleId="1125">
    <w:name w:val="Char Char Char Char Char Char Char Char Char Char Char Char Char Char Char Char"/>
    <w:basedOn w:val="994"/>
    <w:next w:val="1125"/>
    <w:link w:val="994"/>
    <w:qFormat/>
    <w:pPr>
      <w:jc w:val="center"/>
      <w:spacing w:after="160" w:line="240" w:lineRule="exact"/>
      <w:widowControl/>
    </w:pPr>
    <w:rPr>
      <w:rFonts w:ascii="宋体" w:hAnsi="宋体"/>
      <w:b/>
      <w:sz w:val="30"/>
      <w:szCs w:val="30"/>
      <w:lang w:eastAsia="en-US"/>
    </w:rPr>
  </w:style>
  <w:style w:type="paragraph" w:styleId="1126">
    <w:name w:val="xl45"/>
    <w:basedOn w:val="994"/>
    <w:next w:val="1126"/>
    <w:link w:val="9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Char Char1 Char Char Char Char Char Char"/>
    <w:basedOn w:val="994"/>
    <w:next w:val="1127"/>
    <w:link w:val="994"/>
    <w:qFormat/>
    <w:pPr>
      <w:jc w:val="left"/>
      <w:spacing w:after="160" w:line="240" w:lineRule="exact"/>
      <w:widowControl/>
    </w:pPr>
    <w:rPr>
      <w:rFonts w:ascii="Verdana" w:hAnsi="Verdana" w:eastAsia="仿宋_GB2312"/>
      <w:sz w:val="24"/>
      <w:szCs w:val="20"/>
      <w:lang w:eastAsia="en-US"/>
    </w:rPr>
  </w:style>
  <w:style w:type="paragraph" w:styleId="1128">
    <w:name w:val="Char Char1"/>
    <w:basedOn w:val="1019"/>
    <w:next w:val="1128"/>
    <w:link w:val="994"/>
    <w:qFormat/>
    <w:rPr>
      <w:rFonts w:ascii="Tahoma" w:hAnsi="Tahoma"/>
      <w:sz w:val="24"/>
    </w:rPr>
  </w:style>
  <w:style w:type="paragraph" w:styleId="1129">
    <w:name w:val="xl26"/>
    <w:basedOn w:val="994"/>
    <w:next w:val="1129"/>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0">
    <w:name w:val="xl30"/>
    <w:basedOn w:val="994"/>
    <w:next w:val="1130"/>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41"/>
    <w:basedOn w:val="994"/>
    <w:next w:val="1131"/>
    <w:link w:val="9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name w:val="样式 宋体 五号 行距: 单倍行距"/>
    <w:basedOn w:val="994"/>
    <w:next w:val="1132"/>
    <w:link w:val="994"/>
    <w:qFormat/>
    <w:pPr>
      <w:jc w:val="left"/>
    </w:pPr>
    <w:rPr>
      <w:rFonts w:ascii="宋体" w:hAnsi="宋体"/>
      <w:szCs w:val="20"/>
    </w:rPr>
  </w:style>
  <w:style w:type="paragraph" w:styleId="1133">
    <w:name w:val="Char1 Char Char Char1"/>
    <w:basedOn w:val="994"/>
    <w:next w:val="1133"/>
    <w:link w:val="994"/>
    <w:qFormat/>
    <w:rPr>
      <w:rFonts w:ascii="Tahoma" w:hAnsi="Tahoma" w:cs="仿宋_GB2312"/>
      <w:sz w:val="24"/>
      <w:szCs w:val="28"/>
    </w:rPr>
  </w:style>
  <w:style w:type="paragraph" w:styleId="1134">
    <w:name w:val="四级条标题"/>
    <w:basedOn w:val="1135"/>
    <w:next w:val="994"/>
    <w:link w:val="994"/>
    <w:qFormat/>
    <w:pPr>
      <w:numPr>
        <w:ilvl w:val="4"/>
      </w:numPr>
      <w:ind w:left="0" w:hanging="840"/>
      <w:tabs>
        <w:tab w:val="left" w:pos="360" w:leader="none"/>
        <w:tab w:val="left" w:pos="840" w:leader="none"/>
      </w:tabs>
      <w:outlineLvl w:val="4"/>
    </w:pPr>
  </w:style>
  <w:style w:type="paragraph" w:styleId="1135">
    <w:name w:val="三级条标题"/>
    <w:basedOn w:val="1097"/>
    <w:next w:val="994"/>
    <w:link w:val="994"/>
    <w:qFormat/>
    <w:pPr>
      <w:numPr>
        <w:ilvl w:val="3"/>
        <w:numId w:val="1"/>
      </w:numPr>
      <w:ind w:left="0" w:hanging="840"/>
      <w:tabs>
        <w:tab w:val="left" w:pos="360" w:leader="none"/>
        <w:tab w:val="left" w:pos="840" w:leader="none"/>
      </w:tabs>
      <w:outlineLvl w:val="3"/>
    </w:pPr>
  </w:style>
  <w:style w:type="paragraph" w:styleId="1136">
    <w:name w:val="??"/>
    <w:next w:val="1136"/>
    <w:link w:val="994"/>
    <w:qFormat/>
    <w:pPr>
      <w:jc w:val="both"/>
      <w:widowControl w:val="off"/>
    </w:pPr>
    <w:rPr>
      <w:sz w:val="21"/>
      <w:lang w:val="en-US" w:eastAsia="en-US" w:bidi="ar-SA"/>
    </w:rPr>
  </w:style>
  <w:style w:type="paragraph" w:styleId="1137">
    <w:name w:val="样式 标题 2 + 宋体 五号 行距: 单倍行距"/>
    <w:basedOn w:val="996"/>
    <w:next w:val="1137"/>
    <w:link w:val="99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8">
    <w:name w:val="List Paragraph1"/>
    <w:basedOn w:val="994"/>
    <w:next w:val="1138"/>
    <w:link w:val="994"/>
    <w:qFormat/>
    <w:pPr>
      <w:ind w:firstLine="420"/>
    </w:pPr>
    <w:rPr>
      <w:rFonts w:ascii="Calibri" w:hAnsi="Calibri"/>
      <w:szCs w:val="22"/>
    </w:rPr>
  </w:style>
  <w:style w:type="paragraph" w:styleId="1139">
    <w:name w:val="项目符号1"/>
    <w:basedOn w:val="1140"/>
    <w:next w:val="1139"/>
    <w:link w:val="994"/>
    <w:qFormat/>
    <w:pPr>
      <w:ind w:left="-25" w:firstLine="0"/>
    </w:pPr>
  </w:style>
  <w:style w:type="paragraph" w:styleId="1140">
    <w:name w:val="正文文本样式"/>
    <w:basedOn w:val="994"/>
    <w:next w:val="1140"/>
    <w:link w:val="994"/>
    <w:qFormat/>
    <w:pPr>
      <w:ind w:firstLine="482"/>
      <w:spacing w:line="360" w:lineRule="auto"/>
    </w:pPr>
    <w:rPr>
      <w:rFonts w:cs="宋体"/>
      <w:sz w:val="24"/>
      <w:szCs w:val="20"/>
    </w:rPr>
  </w:style>
  <w:style w:type="paragraph" w:styleId="1141">
    <w:name w:val="xl27"/>
    <w:basedOn w:val="994"/>
    <w:next w:val="1141"/>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name w:val="font5"/>
    <w:basedOn w:val="994"/>
    <w:next w:val="1142"/>
    <w:link w:val="994"/>
    <w:qFormat/>
    <w:pPr>
      <w:jc w:val="left"/>
      <w:spacing w:before="100" w:beforeAutospacing="1" w:after="100" w:afterAutospacing="1"/>
      <w:widowControl/>
    </w:pPr>
    <w:rPr>
      <w:rFonts w:ascii="宋体" w:hAnsi="宋体" w:cs="宋体"/>
      <w:sz w:val="18"/>
      <w:szCs w:val="18"/>
    </w:rPr>
  </w:style>
  <w:style w:type="paragraph" w:styleId="1143">
    <w:name w:val="五级条标题"/>
    <w:basedOn w:val="1134"/>
    <w:next w:val="994"/>
    <w:link w:val="994"/>
    <w:qFormat/>
    <w:pPr>
      <w:numPr>
        <w:ilvl w:val="5"/>
      </w:numPr>
      <w:ind w:left="0" w:hanging="840"/>
      <w:tabs>
        <w:tab w:val="left" w:pos="360" w:leader="none"/>
        <w:tab w:val="left" w:pos="840" w:leader="none"/>
      </w:tabs>
      <w:outlineLvl w:val="5"/>
    </w:pPr>
  </w:style>
  <w:style w:type="paragraph" w:styleId="1144">
    <w:name w:val="xl49"/>
    <w:basedOn w:val="994"/>
    <w:next w:val="1144"/>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5">
    <w:name w:val="文档正文"/>
    <w:basedOn w:val="994"/>
    <w:next w:val="1145"/>
    <w:link w:val="994"/>
    <w:qFormat/>
    <w:pPr>
      <w:spacing w:before="120" w:after="120" w:line="180" w:lineRule="auto"/>
    </w:pPr>
    <w:rPr>
      <w:rFonts w:ascii="Arial" w:hAnsi="Arial"/>
      <w:szCs w:val="20"/>
    </w:rPr>
  </w:style>
  <w:style w:type="paragraph" w:styleId="1146">
    <w:name w:val="xl33"/>
    <w:basedOn w:val="994"/>
    <w:next w:val="1146"/>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42"/>
    <w:basedOn w:val="994"/>
    <w:next w:val="1147"/>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8">
    <w:name w:val="Char Char Char1 Char"/>
    <w:basedOn w:val="994"/>
    <w:next w:val="1148"/>
    <w:link w:val="994"/>
    <w:qFormat/>
    <w:rPr>
      <w:rFonts w:ascii="Tahoma" w:hAnsi="Tahoma"/>
      <w:sz w:val="24"/>
      <w:szCs w:val="20"/>
    </w:rPr>
  </w:style>
  <w:style w:type="paragraph" w:styleId="1149">
    <w:name w:val="xl44"/>
    <w:basedOn w:val="994"/>
    <w:next w:val="1149"/>
    <w:link w:val="9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0">
    <w:name w:val="1名"/>
    <w:basedOn w:val="994"/>
    <w:next w:val="1150"/>
    <w:link w:val="994"/>
    <w:qFormat/>
    <w:pPr>
      <w:numPr>
        <w:ilvl w:val="0"/>
        <w:numId w:val="5"/>
      </w:numPr>
      <w:spacing w:before="120"/>
      <w:tabs>
        <w:tab w:val="left" w:pos="360" w:leader="none"/>
      </w:tabs>
    </w:pPr>
    <w:rPr>
      <w:rFonts w:ascii="宋体"/>
      <w:sz w:val="28"/>
      <w:szCs w:val="20"/>
    </w:rPr>
  </w:style>
  <w:style w:type="paragraph" w:styleId="1151">
    <w:name w:val="font9"/>
    <w:basedOn w:val="994"/>
    <w:next w:val="1151"/>
    <w:link w:val="994"/>
    <w:qFormat/>
    <w:pPr>
      <w:jc w:val="left"/>
      <w:spacing w:before="100" w:beforeAutospacing="1" w:after="100" w:afterAutospacing="1"/>
      <w:widowControl/>
    </w:pPr>
    <w:rPr>
      <w:rFonts w:hint="eastAsia" w:ascii="宋体" w:hAnsi="宋体" w:cs="Arial Unicode MS"/>
      <w:color w:val="000000"/>
      <w:sz w:val="20"/>
      <w:szCs w:val="20"/>
    </w:rPr>
  </w:style>
  <w:style w:type="paragraph" w:styleId="1152">
    <w:name w:val="Char Char Char1 Char1"/>
    <w:basedOn w:val="994"/>
    <w:next w:val="1152"/>
    <w:link w:val="994"/>
    <w:qFormat/>
    <w:rPr>
      <w:rFonts w:ascii="Tahoma" w:hAnsi="Tahoma"/>
      <w:sz w:val="24"/>
      <w:szCs w:val="20"/>
    </w:rPr>
  </w:style>
  <w:style w:type="paragraph" w:styleId="1153">
    <w:name w:val="Char Char Char Char Char Char Char Char Char Char"/>
    <w:basedOn w:val="994"/>
    <w:next w:val="1153"/>
    <w:link w:val="994"/>
    <w:qFormat/>
  </w:style>
  <w:style w:type="paragraph" w:styleId="1154">
    <w:name w:val="Char Char1 Char Char Char Char Char Char Char Char"/>
    <w:basedOn w:val="994"/>
    <w:next w:val="1154"/>
    <w:link w:val="994"/>
    <w:qFormat/>
    <w:pPr>
      <w:jc w:val="left"/>
      <w:spacing w:after="160" w:line="240" w:lineRule="exact"/>
      <w:widowControl/>
    </w:pPr>
    <w:rPr>
      <w:rFonts w:ascii="Verdana" w:hAnsi="Verdana"/>
      <w:sz w:val="20"/>
      <w:szCs w:val="20"/>
      <w:lang w:eastAsia="en-US"/>
    </w:rPr>
  </w:style>
  <w:style w:type="paragraph" w:styleId="1155">
    <w:name w:val="Char1"/>
    <w:basedOn w:val="994"/>
    <w:next w:val="1155"/>
    <w:link w:val="994"/>
    <w:qFormat/>
    <w:pPr>
      <w:tabs>
        <w:tab w:val="left" w:pos="360" w:leader="none"/>
      </w:tabs>
    </w:pPr>
    <w:rPr>
      <w:sz w:val="24"/>
    </w:rPr>
  </w:style>
  <w:style w:type="paragraph" w:styleId="1156">
    <w:name w:val="正文列项_字母"/>
    <w:basedOn w:val="994"/>
    <w:next w:val="1156"/>
    <w:link w:val="994"/>
    <w:qFormat/>
    <w:pPr>
      <w:numPr>
        <w:ilvl w:val="6"/>
        <w:numId w:val="1"/>
      </w:numPr>
      <w:ind w:left="480" w:hanging="180"/>
      <w:spacing w:line="460" w:lineRule="exact"/>
      <w:tabs>
        <w:tab w:val="clear" w:pos="635" w:leader="none"/>
      </w:tabs>
      <w:outlineLvl w:val="6"/>
    </w:pPr>
    <w:rPr>
      <w:rFonts w:ascii="宋体"/>
      <w:sz w:val="28"/>
      <w:szCs w:val="20"/>
    </w:rPr>
  </w:style>
  <w:style w:type="paragraph" w:styleId="1157">
    <w:name w:val="xl28"/>
    <w:basedOn w:val="994"/>
    <w:next w:val="1157"/>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47"/>
    <w:basedOn w:val="994"/>
    <w:next w:val="1158"/>
    <w:link w:val="9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name w:val="默认段落字体 Para Char Char Char Char"/>
    <w:basedOn w:val="994"/>
    <w:next w:val="1159"/>
    <w:link w:val="994"/>
    <w:qFormat/>
    <w:rPr>
      <w:rFonts w:ascii="Arial" w:hAnsi="Arial" w:cs="Arial"/>
      <w:szCs w:val="21"/>
    </w:rPr>
  </w:style>
  <w:style w:type="paragraph" w:styleId="1160">
    <w:name w:val="xl48"/>
    <w:basedOn w:val="994"/>
    <w:next w:val="1160"/>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name w:val="xl31"/>
    <w:basedOn w:val="994"/>
    <w:next w:val="1161"/>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53"/>
    <w:basedOn w:val="994"/>
    <w:next w:val="1162"/>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name w:val="Char Char Char"/>
    <w:basedOn w:val="994"/>
    <w:next w:val="1163"/>
    <w:link w:val="994"/>
    <w:qFormat/>
    <w:rPr>
      <w:rFonts w:ascii="Tahoma" w:hAnsi="Tahoma"/>
      <w:sz w:val="24"/>
      <w:szCs w:val="20"/>
    </w:rPr>
  </w:style>
  <w:style w:type="paragraph" w:styleId="1164">
    <w:name w:val="xl50"/>
    <w:basedOn w:val="994"/>
    <w:next w:val="1164"/>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name w:val="缺省文本"/>
    <w:basedOn w:val="994"/>
    <w:next w:val="1165"/>
    <w:link w:val="994"/>
    <w:qFormat/>
    <w:pPr>
      <w:jc w:val="left"/>
    </w:pPr>
    <w:rPr>
      <w:sz w:val="24"/>
    </w:rPr>
  </w:style>
  <w:style w:type="paragraph" w:styleId="1166">
    <w:name w:val="Char Char Char1"/>
    <w:basedOn w:val="994"/>
    <w:next w:val="1166"/>
    <w:link w:val="994"/>
    <w:qFormat/>
    <w:rPr>
      <w:rFonts w:ascii="Tahoma" w:hAnsi="Tahoma"/>
      <w:sz w:val="24"/>
      <w:szCs w:val="20"/>
    </w:rPr>
  </w:style>
  <w:style w:type="paragraph" w:styleId="1167">
    <w:name w:val="Char Char Char Char Char Char Char1"/>
    <w:basedOn w:val="994"/>
    <w:next w:val="1167"/>
    <w:link w:val="994"/>
    <w:qFormat/>
    <w:pPr>
      <w:ind w:firstLine="200"/>
      <w:spacing w:line="360" w:lineRule="auto"/>
    </w:pPr>
    <w:rPr>
      <w:rFonts w:eastAsia="仿宋_GB2312"/>
      <w:sz w:val="24"/>
    </w:rPr>
  </w:style>
  <w:style w:type="paragraph" w:styleId="1168">
    <w:name w:val="xl51"/>
    <w:basedOn w:val="994"/>
    <w:next w:val="1168"/>
    <w:link w:val="9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name w:val="样式2"/>
    <w:basedOn w:val="1056"/>
    <w:next w:val="1169"/>
    <w:link w:val="994"/>
    <w:qFormat/>
    <w:pPr>
      <w:jc w:val="center"/>
      <w:spacing w:line="360" w:lineRule="auto"/>
    </w:pPr>
    <w:rPr>
      <w:sz w:val="24"/>
    </w:rPr>
  </w:style>
  <w:style w:type="paragraph" w:styleId="1170">
    <w:name w:val="xl24"/>
    <w:basedOn w:val="994"/>
    <w:next w:val="1170"/>
    <w:link w:val="9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xl29"/>
    <w:basedOn w:val="994"/>
    <w:next w:val="1171"/>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name w:val="正文 + 楷体_GB2312"/>
    <w:basedOn w:val="994"/>
    <w:next w:val="1172"/>
    <w:link w:val="994"/>
    <w:qFormat/>
    <w:pPr>
      <w:jc w:val="left"/>
      <w:widowControl/>
    </w:pPr>
    <w:rPr>
      <w:rFonts w:ascii="楷体_GB2312" w:eastAsia="楷体_GB2312" w:cs="Arial"/>
      <w:sz w:val="24"/>
    </w:rPr>
  </w:style>
  <w:style w:type="paragraph" w:styleId="1173">
    <w:name w:val="xl34"/>
    <w:basedOn w:val="994"/>
    <w:next w:val="1173"/>
    <w:link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name w:val="1 Char Char Char Char"/>
    <w:basedOn w:val="994"/>
    <w:next w:val="1174"/>
    <w:link w:val="994"/>
    <w:qFormat/>
    <w:rPr>
      <w:rFonts w:ascii="Tahoma" w:hAnsi="Tahoma"/>
      <w:sz w:val="24"/>
      <w:szCs w:val="20"/>
    </w:rPr>
  </w:style>
  <w:style w:type="paragraph" w:styleId="1175">
    <w:name w:val="列出段落1"/>
    <w:basedOn w:val="994"/>
    <w:next w:val="1175"/>
    <w:link w:val="994"/>
    <w:qFormat/>
    <w:pPr>
      <w:ind w:firstLine="420"/>
    </w:pPr>
    <w:rPr>
      <w:rFonts w:ascii="Calibri" w:hAnsi="Calibri"/>
      <w:szCs w:val="22"/>
    </w:rPr>
  </w:style>
  <w:style w:type="paragraph" w:styleId="1176">
    <w:name w:val="default"/>
    <w:basedOn w:val="994"/>
    <w:next w:val="1176"/>
    <w:link w:val="994"/>
    <w:qFormat/>
    <w:pPr>
      <w:jc w:val="left"/>
      <w:spacing w:before="100" w:beforeAutospacing="1" w:after="100" w:afterAutospacing="1"/>
      <w:widowControl/>
    </w:pPr>
    <w:rPr>
      <w:rFonts w:ascii="宋体" w:hAnsi="宋体" w:cs="宋体"/>
      <w:sz w:val="24"/>
    </w:rPr>
  </w:style>
  <w:style w:type="paragraph" w:styleId="1177">
    <w:name w:val="字元 字元1"/>
    <w:basedOn w:val="994"/>
    <w:next w:val="1177"/>
    <w:link w:val="994"/>
    <w:qFormat/>
    <w:rPr>
      <w:rFonts w:ascii="Tahoma" w:hAnsi="Tahoma"/>
      <w:sz w:val="24"/>
      <w:szCs w:val="20"/>
    </w:rPr>
  </w:style>
  <w:style w:type="paragraph" w:styleId="1178">
    <w:name w:val="_Style 160"/>
    <w:next w:val="1178"/>
    <w:link w:val="994"/>
    <w:qFormat/>
    <w:rPr>
      <w:sz w:val="21"/>
      <w:szCs w:val="24"/>
      <w:lang w:val="en-US" w:eastAsia="zh-CN" w:bidi="ar-SA"/>
    </w:rPr>
  </w:style>
  <w:style w:type="paragraph" w:styleId="1179">
    <w:name w:val="项目编号3"/>
    <w:basedOn w:val="1140"/>
    <w:next w:val="1179"/>
    <w:link w:val="994"/>
    <w:qFormat/>
    <w:pPr>
      <w:numPr>
        <w:ilvl w:val="0"/>
        <w:numId w:val="6"/>
      </w:numPr>
    </w:pPr>
  </w:style>
  <w:style w:type="paragraph" w:styleId="1180">
    <w:name w:val="Char21"/>
    <w:basedOn w:val="994"/>
    <w:next w:val="1180"/>
    <w:link w:val="994"/>
    <w:qFormat/>
    <w:rPr>
      <w:rFonts w:ascii="Tahoma" w:hAnsi="Tahoma"/>
      <w:sz w:val="24"/>
      <w:szCs w:val="20"/>
    </w:rPr>
  </w:style>
  <w:style w:type="paragraph" w:styleId="1181">
    <w:name w:val="表格文字"/>
    <w:basedOn w:val="1027"/>
    <w:next w:val="1181"/>
    <w:link w:val="994"/>
    <w:qFormat/>
    <w:pPr>
      <w:ind w:firstLine="0"/>
      <w:spacing w:before="20" w:after="20" w:line="240" w:lineRule="auto"/>
    </w:pPr>
    <w:rPr>
      <w:rFonts w:ascii="Century Gothic" w:hAnsi="Century Gothic"/>
      <w:sz w:val="20"/>
      <w:szCs w:val="20"/>
    </w:rPr>
  </w:style>
  <w:style w:type="paragraph" w:styleId="1182">
    <w:name w:val="Char Char Char Char Char Char Char Char Char Char1"/>
    <w:basedOn w:val="994"/>
    <w:next w:val="1182"/>
    <w:link w:val="994"/>
    <w:qFormat/>
    <w:rPr>
      <w:rFonts w:ascii="宋体" w:hAnsi="宋体" w:cs="Courier New"/>
      <w:sz w:val="32"/>
      <w:szCs w:val="32"/>
    </w:rPr>
  </w:style>
  <w:style w:type="paragraph" w:styleId="1183">
    <w:name w:val="正文文本样式 加粗"/>
    <w:basedOn w:val="1140"/>
    <w:next w:val="1183"/>
    <w:link w:val="994"/>
    <w:qFormat/>
    <w:rPr>
      <w:b/>
    </w:rPr>
  </w:style>
  <w:style w:type="paragraph" w:styleId="1184">
    <w:name w:val="Char2 Char Char Char Char Char Char"/>
    <w:basedOn w:val="994"/>
    <w:next w:val="1184"/>
    <w:link w:val="994"/>
    <w:qFormat/>
    <w:pPr>
      <w:jc w:val="center"/>
      <w:spacing w:line="400" w:lineRule="exact"/>
      <w:widowControl/>
    </w:pPr>
  </w:style>
  <w:style w:type="paragraph" w:styleId="1185">
    <w:name w:val="Char Char4"/>
    <w:basedOn w:val="994"/>
    <w:next w:val="1185"/>
    <w:link w:val="994"/>
    <w:qFormat/>
    <w:pPr>
      <w:jc w:val="center"/>
      <w:spacing w:line="400" w:lineRule="exact"/>
      <w:widowControl/>
    </w:pPr>
  </w:style>
  <w:style w:type="paragraph" w:styleId="1186">
    <w:name w:val="Char3 Char Char Char1"/>
    <w:basedOn w:val="994"/>
    <w:next w:val="1186"/>
    <w:link w:val="994"/>
    <w:qFormat/>
    <w:rPr>
      <w:rFonts w:ascii="Tahoma" w:hAnsi="Tahoma"/>
      <w:sz w:val="24"/>
      <w:szCs w:val="20"/>
    </w:rPr>
  </w:style>
  <w:style w:type="paragraph" w:styleId="1187">
    <w:name w:val="无间隔"/>
    <w:next w:val="1187"/>
    <w:link w:val="994"/>
    <w:qFormat/>
    <w:pPr>
      <w:jc w:val="both"/>
      <w:widowControl w:val="off"/>
    </w:pPr>
    <w:rPr>
      <w:sz w:val="21"/>
      <w:szCs w:val="24"/>
      <w:lang w:val="en-US" w:eastAsia="zh-CN" w:bidi="ar-SA"/>
    </w:rPr>
  </w:style>
  <w:style w:type="paragraph" w:styleId="1188">
    <w:name w:val="22222222222222"/>
    <w:basedOn w:val="994"/>
    <w:next w:val="1188"/>
    <w:link w:val="994"/>
    <w:qFormat/>
    <w:pPr>
      <w:ind w:firstLine="480"/>
      <w:jc w:val="left"/>
      <w:spacing w:line="360" w:lineRule="auto"/>
      <w:widowControl/>
    </w:pPr>
    <w:rPr>
      <w:color w:val="ff0000"/>
      <w:sz w:val="24"/>
      <w:szCs w:val="20"/>
    </w:rPr>
  </w:style>
  <w:style w:type="character" w:styleId="1189">
    <w:name w:val="中等深浅网格 1 - 强调文字颜色 2 Char"/>
    <w:next w:val="1189"/>
    <w:link w:val="1190"/>
    <w:qFormat/>
    <w:rPr>
      <w:sz w:val="21"/>
      <w:szCs w:val="24"/>
      <w:lang w:val="zh-CN" w:eastAsia="zh-CN" w:bidi="ar-SA"/>
    </w:rPr>
  </w:style>
  <w:style w:type="paragraph" w:styleId="1190">
    <w:name w:val="1"/>
    <w:next w:val="1190"/>
    <w:link w:val="1189"/>
    <w:qFormat/>
    <w:rPr>
      <w:sz w:val="21"/>
      <w:szCs w:val="24"/>
      <w:lang w:val="zh-CN" w:eastAsia="zh-CN" w:bidi="ar-SA"/>
    </w:rPr>
  </w:style>
  <w:style w:type="paragraph" w:styleId="1191">
    <w:name w:val="图文"/>
    <w:basedOn w:val="994"/>
    <w:next w:val="1191"/>
    <w:link w:val="994"/>
    <w:qFormat/>
    <w:pPr>
      <w:spacing w:after="50" w:line="360" w:lineRule="auto"/>
    </w:pPr>
    <w:rPr>
      <w:sz w:val="24"/>
    </w:rPr>
  </w:style>
  <w:style w:type="paragraph" w:styleId="1192">
    <w:name w:val="xl23"/>
    <w:basedOn w:val="994"/>
    <w:next w:val="1192"/>
    <w:link w:val="994"/>
    <w:qFormat/>
    <w:pPr>
      <w:spacing w:before="100" w:beforeAutospacing="1" w:after="100" w:afterAutospacing="1" w:line="360" w:lineRule="auto"/>
      <w:widowControl/>
    </w:pPr>
    <w:rPr>
      <w:sz w:val="24"/>
      <w:szCs w:val="20"/>
    </w:rPr>
  </w:style>
  <w:style w:type="paragraph" w:styleId="1193">
    <w:name w:val="正文表格"/>
    <w:basedOn w:val="994"/>
    <w:next w:val="1193"/>
    <w:link w:val="1194"/>
    <w:qFormat/>
    <w:pPr>
      <w:jc w:val="left"/>
    </w:pPr>
    <w:rPr>
      <w:rFonts w:ascii="宋体" w:hAnsi="宋体"/>
      <w:color w:val="000000"/>
      <w:szCs w:val="21"/>
    </w:rPr>
  </w:style>
  <w:style w:type="character" w:styleId="1194">
    <w:name w:val="正文表格 Char"/>
    <w:next w:val="1194"/>
    <w:link w:val="1193"/>
    <w:qFormat/>
    <w:rPr>
      <w:rFonts w:ascii="宋体" w:hAnsi="宋体"/>
      <w:color w:val="000000"/>
      <w:sz w:val="21"/>
      <w:szCs w:val="21"/>
    </w:rPr>
  </w:style>
  <w:style w:type="paragraph" w:styleId="1195">
    <w:name w:val="正文重点"/>
    <w:basedOn w:val="994"/>
    <w:next w:val="1195"/>
    <w:link w:val="1196"/>
    <w:qFormat/>
    <w:pPr>
      <w:ind w:firstLine="482"/>
      <w:jc w:val="left"/>
      <w:spacing w:line="360" w:lineRule="auto"/>
    </w:pPr>
    <w:rPr>
      <w:b/>
      <w:sz w:val="24"/>
      <w:szCs w:val="20"/>
    </w:rPr>
  </w:style>
  <w:style w:type="character" w:styleId="1196">
    <w:name w:val="正文重点 Char"/>
    <w:next w:val="1196"/>
    <w:link w:val="1195"/>
    <w:qFormat/>
    <w:rPr>
      <w:b/>
      <w:sz w:val="24"/>
    </w:rPr>
  </w:style>
  <w:style w:type="paragraph" w:styleId="1197">
    <w:name w:val="标题1-附件"/>
    <w:basedOn w:val="995"/>
    <w:next w:val="1197"/>
    <w:link w:val="994"/>
    <w:qFormat/>
    <w:pPr>
      <w:jc w:val="left"/>
    </w:pPr>
    <w:rPr>
      <w:sz w:val="24"/>
      <w:szCs w:val="24"/>
    </w:rPr>
  </w:style>
  <w:style w:type="paragraph" w:styleId="1198">
    <w:name w:val="正文小标题"/>
    <w:basedOn w:val="994"/>
    <w:next w:val="1016"/>
    <w:link w:val="1199"/>
    <w:qFormat/>
    <w:pPr>
      <w:ind w:firstLine="482"/>
      <w:jc w:val="left"/>
      <w:spacing w:before="312" w:after="312"/>
    </w:pPr>
    <w:rPr>
      <w:rFonts w:ascii="宋体" w:hAnsi="宋体"/>
      <w:b/>
      <w:i/>
      <w:color w:val="ff0000"/>
      <w:sz w:val="24"/>
      <w:szCs w:val="20"/>
    </w:rPr>
  </w:style>
  <w:style w:type="character" w:styleId="1199">
    <w:name w:val="正文小标题 Char"/>
    <w:next w:val="1199"/>
    <w:link w:val="1198"/>
    <w:qFormat/>
    <w:rPr>
      <w:rFonts w:ascii="宋体" w:hAnsi="宋体"/>
      <w:b/>
      <w:i/>
      <w:color w:val="ff0000"/>
      <w:sz w:val="24"/>
    </w:rPr>
  </w:style>
  <w:style w:type="paragraph" w:styleId="1200">
    <w:name w:val="正文大标题"/>
    <w:basedOn w:val="1198"/>
    <w:next w:val="1016"/>
    <w:link w:val="1201"/>
    <w:qFormat/>
    <w:pPr>
      <w:jc w:val="center"/>
    </w:pPr>
    <w:rPr>
      <w:i w:val="0"/>
      <w:color w:val="000000"/>
      <w:sz w:val="28"/>
      <w:szCs w:val="21"/>
    </w:rPr>
  </w:style>
  <w:style w:type="character" w:styleId="1201">
    <w:name w:val="正文大标题 Char"/>
    <w:next w:val="1201"/>
    <w:link w:val="1200"/>
    <w:qFormat/>
    <w:rPr>
      <w:rFonts w:ascii="宋体" w:hAnsi="宋体"/>
      <w:b/>
      <w:color w:val="000000"/>
      <w:sz w:val="28"/>
      <w:szCs w:val="21"/>
    </w:rPr>
  </w:style>
  <w:style w:type="paragraph" w:styleId="1202">
    <w:name w:val="注释"/>
    <w:basedOn w:val="994"/>
    <w:next w:val="1202"/>
    <w:link w:val="1203"/>
    <w:qFormat/>
    <w:pPr>
      <w:ind w:left="420" w:hanging="420"/>
      <w:jc w:val="left"/>
    </w:pPr>
    <w:rPr>
      <w:rFonts w:ascii="宋体" w:hAnsi="宋体"/>
      <w:szCs w:val="21"/>
    </w:rPr>
  </w:style>
  <w:style w:type="character" w:styleId="1203">
    <w:name w:val="注释 Char"/>
    <w:next w:val="1203"/>
    <w:link w:val="1202"/>
    <w:qFormat/>
    <w:rPr>
      <w:rFonts w:ascii="宋体" w:hAnsi="宋体"/>
      <w:sz w:val="21"/>
      <w:szCs w:val="21"/>
    </w:rPr>
  </w:style>
  <w:style w:type="paragraph" w:styleId="1204">
    <w:name w:val="正文须知-1级"/>
    <w:basedOn w:val="994"/>
    <w:next w:val="994"/>
    <w:link w:val="994"/>
    <w:qFormat/>
    <w:pPr>
      <w:numPr>
        <w:ilvl w:val="0"/>
        <w:numId w:val="7"/>
      </w:numPr>
      <w:spacing w:line="300" w:lineRule="auto"/>
    </w:pPr>
    <w:rPr>
      <w:rFonts w:ascii="宋体" w:hAnsi="Calibri"/>
      <w:sz w:val="24"/>
      <w:szCs w:val="21"/>
    </w:rPr>
  </w:style>
  <w:style w:type="paragraph" w:styleId="1205">
    <w:name w:val="正文须知-2级"/>
    <w:basedOn w:val="994"/>
    <w:next w:val="1205"/>
    <w:link w:val="994"/>
    <w:qFormat/>
    <w:pPr>
      <w:numPr>
        <w:ilvl w:val="1"/>
        <w:numId w:val="7"/>
      </w:numPr>
      <w:spacing w:line="300" w:lineRule="auto"/>
    </w:pPr>
    <w:rPr>
      <w:rFonts w:ascii="宋体" w:hAnsi="Calibri"/>
      <w:sz w:val="24"/>
      <w:szCs w:val="21"/>
    </w:rPr>
  </w:style>
  <w:style w:type="paragraph" w:styleId="1206">
    <w:name w:val="正文须知-3级"/>
    <w:basedOn w:val="994"/>
    <w:next w:val="1206"/>
    <w:link w:val="994"/>
    <w:qFormat/>
    <w:pPr>
      <w:numPr>
        <w:ilvl w:val="2"/>
        <w:numId w:val="7"/>
      </w:numPr>
      <w:ind w:hanging="355"/>
      <w:spacing w:line="300" w:lineRule="auto"/>
    </w:pPr>
    <w:rPr>
      <w:rFonts w:ascii="宋体" w:hAnsi="Calibri"/>
      <w:sz w:val="24"/>
      <w:szCs w:val="21"/>
    </w:rPr>
  </w:style>
  <w:style w:type="character" w:styleId="1207">
    <w:name w:val="纯文本 字符"/>
    <w:next w:val="1207"/>
    <w:link w:val="994"/>
    <w:uiPriority w:val="99"/>
    <w:qFormat/>
    <w:rPr>
      <w:rFonts w:ascii="宋体" w:hAnsi="Courier New" w:eastAsia="宋体" w:cs="Times New Roman"/>
      <w:sz w:val="21"/>
      <w:szCs w:val="21"/>
      <w:lang w:val="en-US" w:eastAsia="zh-CN" w:bidi="ar-SA"/>
    </w:rPr>
  </w:style>
  <w:style w:type="paragraph" w:styleId="1208">
    <w:name w:val="表格1"/>
    <w:basedOn w:val="994"/>
    <w:next w:val="1208"/>
    <w:link w:val="994"/>
    <w:qFormat/>
    <w:pPr>
      <w:ind w:firstLine="480"/>
      <w:jc w:val="center"/>
    </w:pPr>
    <w:rPr>
      <w:sz w:val="24"/>
      <w:szCs w:val="20"/>
    </w:rPr>
  </w:style>
  <w:style w:type="character" w:styleId="1209">
    <w:name w:val="纯文本 字符1"/>
    <w:next w:val="1209"/>
    <w:link w:val="994"/>
    <w:qFormat/>
    <w:rPr>
      <w:rFonts w:ascii="宋体" w:hAnsi="Courier New"/>
    </w:rPr>
  </w:style>
  <w:style w:type="character" w:styleId="1210">
    <w:name w:val="bjh-p"/>
    <w:next w:val="1210"/>
    <w:link w:val="994"/>
    <w:qFormat/>
  </w:style>
  <w:style w:type="paragraph" w:styleId="1211">
    <w:name w:val="无标题条"/>
    <w:next w:val="994"/>
    <w:link w:val="994"/>
    <w:qFormat/>
    <w:pPr>
      <w:jc w:val="both"/>
    </w:pPr>
    <w:rPr>
      <w:sz w:val="21"/>
      <w:lang w:val="en-US" w:eastAsia="zh-CN" w:bidi="ar-SA"/>
    </w:rPr>
  </w:style>
  <w:style w:type="character" w:styleId="1212">
    <w:name w:val="正文格式 Char"/>
    <w:next w:val="1212"/>
    <w:link w:val="1213"/>
    <w:qFormat/>
    <w:rPr>
      <w:rFonts w:ascii="宋体" w:hAnsi="宋体"/>
      <w:sz w:val="24"/>
      <w:szCs w:val="24"/>
      <w:lang w:val="en-GB"/>
    </w:rPr>
  </w:style>
  <w:style w:type="paragraph" w:styleId="1213">
    <w:name w:val="正文格式"/>
    <w:basedOn w:val="994"/>
    <w:next w:val="1213"/>
    <w:link w:val="1212"/>
    <w:qFormat/>
    <w:pPr>
      <w:ind w:firstLine="480"/>
      <w:spacing w:line="360" w:lineRule="auto"/>
    </w:pPr>
    <w:rPr>
      <w:rFonts w:ascii="宋体" w:hAnsi="宋体"/>
      <w:sz w:val="24"/>
      <w:lang w:val="en-GB"/>
    </w:rPr>
  </w:style>
  <w:style w:type="character" w:styleId="1214">
    <w:name w:val="标题 3 Char"/>
    <w:next w:val="1214"/>
    <w:link w:val="994"/>
    <w:qFormat/>
    <w:rPr>
      <w:rFonts w:ascii="宋体" w:eastAsia="宋体"/>
      <w:b/>
      <w:sz w:val="24"/>
      <w:u w:val="single"/>
      <w:lang w:val="en-US" w:eastAsia="zh-CN" w:bidi="ar-SA"/>
    </w:rPr>
  </w:style>
  <w:style w:type="character" w:styleId="1215">
    <w:name w:val="正文缩进 Char"/>
    <w:next w:val="1215"/>
    <w:link w:val="994"/>
    <w:qFormat/>
    <w:rPr>
      <w:rFonts w:ascii="宋体" w:eastAsia="宋体"/>
      <w:sz w:val="24"/>
      <w:szCs w:val="24"/>
      <w:lang w:val="en-US" w:eastAsia="zh-CN" w:bidi="ar-SA"/>
    </w:rPr>
  </w:style>
  <w:style w:type="character" w:styleId="1216">
    <w:name w:val="Char Char111"/>
    <w:next w:val="1216"/>
    <w:link w:val="994"/>
    <w:qFormat/>
    <w:rPr>
      <w:rFonts w:ascii="宋体" w:eastAsia="宋体"/>
      <w:b/>
      <w:sz w:val="24"/>
      <w:u w:val="single"/>
      <w:lang w:val="en-US" w:eastAsia="zh-CN" w:bidi="ar-SA"/>
    </w:rPr>
  </w:style>
  <w:style w:type="character" w:styleId="1217">
    <w:name w:val="正文文本缩进 Char"/>
    <w:next w:val="1217"/>
    <w:link w:val="994"/>
    <w:qFormat/>
    <w:rPr>
      <w:rFonts w:eastAsia="宋体"/>
      <w:sz w:val="24"/>
      <w:szCs w:val="24"/>
      <w:lang w:val="en-US" w:eastAsia="zh-CN" w:bidi="ar-SA"/>
    </w:rPr>
  </w:style>
  <w:style w:type="character" w:styleId="1218">
    <w:name w:val="列出段落 Char"/>
    <w:next w:val="1218"/>
    <w:link w:val="994"/>
    <w:qFormat/>
    <w:rPr>
      <w:rFonts w:ascii="Calibri" w:hAnsi="Calibri" w:eastAsia="宋体"/>
      <w:sz w:val="21"/>
      <w:szCs w:val="22"/>
      <w:lang w:val="en-US" w:eastAsia="zh-CN" w:bidi="ar-SA"/>
    </w:rPr>
  </w:style>
  <w:style w:type="character" w:styleId="1219">
    <w:name w:val="页眉 Char"/>
    <w:next w:val="1219"/>
    <w:link w:val="994"/>
    <w:qFormat/>
    <w:rPr>
      <w:rFonts w:eastAsia="宋体"/>
      <w:sz w:val="18"/>
      <w:szCs w:val="18"/>
      <w:lang w:val="en-US" w:eastAsia="zh-CN" w:bidi="ar-SA"/>
    </w:rPr>
  </w:style>
  <w:style w:type="character" w:styleId="1220">
    <w:name w:val="标题 2 Char"/>
    <w:next w:val="1220"/>
    <w:link w:val="994"/>
    <w:qFormat/>
    <w:rPr>
      <w:rFonts w:ascii="Arial" w:hAnsi="Arial" w:eastAsia="黑体"/>
      <w:b/>
      <w:sz w:val="30"/>
      <w:lang w:val="en-US" w:eastAsia="zh-CN" w:bidi="ar-SA"/>
    </w:rPr>
  </w:style>
  <w:style w:type="paragraph" w:styleId="1221">
    <w:name w:val="字元 字元2"/>
    <w:basedOn w:val="994"/>
    <w:next w:val="1221"/>
    <w:link w:val="994"/>
    <w:qFormat/>
    <w:rPr>
      <w:rFonts w:ascii="Tahoma" w:hAnsi="Tahoma"/>
      <w:sz w:val="24"/>
      <w:szCs w:val="20"/>
    </w:rPr>
  </w:style>
  <w:style w:type="paragraph" w:styleId="1222">
    <w:name w:val="Char3 Char Char Char2"/>
    <w:basedOn w:val="994"/>
    <w:next w:val="1222"/>
    <w:link w:val="994"/>
    <w:qFormat/>
    <w:rPr>
      <w:rFonts w:ascii="Tahoma" w:hAnsi="Tahoma"/>
      <w:sz w:val="24"/>
      <w:szCs w:val="20"/>
    </w:rPr>
  </w:style>
  <w:style w:type="paragraph" w:styleId="1223">
    <w:name w:val="正文文本缩进2"/>
    <w:basedOn w:val="994"/>
    <w:next w:val="1223"/>
    <w:link w:val="994"/>
    <w:qFormat/>
    <w:pPr>
      <w:ind w:firstLine="480"/>
      <w:spacing w:line="480" w:lineRule="exact"/>
    </w:pPr>
    <w:rPr>
      <w:rFonts w:ascii="宋体" w:hAnsi="宋体"/>
      <w:sz w:val="24"/>
      <w:lang w:val="zh-CN" w:eastAsia="zh-CN"/>
    </w:rPr>
  </w:style>
  <w:style w:type="paragraph" w:styleId="1224">
    <w:name w:val="Char3"/>
    <w:basedOn w:val="994"/>
    <w:next w:val="1224"/>
    <w:link w:val="994"/>
    <w:qFormat/>
    <w:pPr>
      <w:tabs>
        <w:tab w:val="left" w:pos="360" w:leader="none"/>
      </w:tabs>
    </w:pPr>
    <w:rPr>
      <w:sz w:val="24"/>
    </w:rPr>
  </w:style>
  <w:style w:type="paragraph" w:styleId="1225">
    <w:name w:val="Char Char Char Char Char Char Char Char Char Char Char Char Char Char Char Char1"/>
    <w:basedOn w:val="994"/>
    <w:next w:val="1225"/>
    <w:link w:val="994"/>
    <w:qFormat/>
    <w:pPr>
      <w:jc w:val="center"/>
      <w:spacing w:after="160" w:line="240" w:lineRule="exact"/>
      <w:widowControl/>
    </w:pPr>
    <w:rPr>
      <w:rFonts w:ascii="宋体" w:hAnsi="宋体"/>
      <w:b/>
      <w:sz w:val="30"/>
      <w:szCs w:val="30"/>
      <w:lang w:eastAsia="en-US"/>
    </w:rPr>
  </w:style>
  <w:style w:type="paragraph" w:styleId="1226">
    <w:name w:val="Char Char1 Char Char Char Char Char Char1"/>
    <w:basedOn w:val="994"/>
    <w:next w:val="1226"/>
    <w:link w:val="994"/>
    <w:qFormat/>
    <w:pPr>
      <w:jc w:val="left"/>
      <w:spacing w:after="160" w:line="240" w:lineRule="exact"/>
      <w:widowControl/>
    </w:pPr>
    <w:rPr>
      <w:rFonts w:ascii="Verdana" w:hAnsi="Verdana" w:eastAsia="仿宋_GB2312"/>
      <w:sz w:val="24"/>
      <w:szCs w:val="20"/>
      <w:lang w:eastAsia="en-US"/>
    </w:rPr>
  </w:style>
  <w:style w:type="paragraph" w:styleId="1227">
    <w:name w:val="列出段落2"/>
    <w:basedOn w:val="994"/>
    <w:next w:val="1227"/>
    <w:link w:val="994"/>
    <w:qFormat/>
    <w:pPr>
      <w:ind w:firstLine="420"/>
    </w:pPr>
    <w:rPr>
      <w:rFonts w:ascii="Calibri" w:hAnsi="Calibri"/>
      <w:szCs w:val="22"/>
    </w:rPr>
  </w:style>
  <w:style w:type="paragraph" w:styleId="1228">
    <w:name w:val="Char Char Char1 Char2"/>
    <w:basedOn w:val="994"/>
    <w:next w:val="1228"/>
    <w:link w:val="994"/>
    <w:qFormat/>
    <w:rPr>
      <w:rFonts w:ascii="Tahoma" w:hAnsi="Tahoma"/>
      <w:sz w:val="24"/>
      <w:szCs w:val="20"/>
    </w:rPr>
  </w:style>
  <w:style w:type="paragraph" w:styleId="1229">
    <w:name w:val="Char Char Char2"/>
    <w:basedOn w:val="994"/>
    <w:next w:val="1229"/>
    <w:link w:val="994"/>
    <w:qFormat/>
    <w:rPr>
      <w:rFonts w:ascii="Tahoma" w:hAnsi="Tahoma"/>
      <w:sz w:val="24"/>
      <w:szCs w:val="20"/>
    </w:rPr>
  </w:style>
  <w:style w:type="paragraph" w:styleId="1230">
    <w:name w:val="Char Char Char Char Char Char Char2"/>
    <w:basedOn w:val="994"/>
    <w:next w:val="1230"/>
    <w:link w:val="994"/>
    <w:qFormat/>
    <w:pPr>
      <w:ind w:firstLine="200"/>
      <w:spacing w:line="360" w:lineRule="auto"/>
    </w:pPr>
    <w:rPr>
      <w:rFonts w:eastAsia="仿宋_GB2312"/>
      <w:sz w:val="24"/>
    </w:rPr>
  </w:style>
  <w:style w:type="paragraph" w:styleId="1231">
    <w:name w:val="正文缩进2"/>
    <w:basedOn w:val="994"/>
    <w:next w:val="1231"/>
    <w:link w:val="994"/>
    <w:qFormat/>
    <w:pPr>
      <w:ind w:firstLine="567"/>
      <w:spacing w:line="480" w:lineRule="exact"/>
      <w:widowControl/>
    </w:pPr>
    <w:rPr>
      <w:rFonts w:ascii="宋体"/>
      <w:color w:val="000000"/>
      <w:sz w:val="28"/>
      <w:szCs w:val="20"/>
      <w:lang w:val="zh-CN" w:eastAsia="zh-CN"/>
    </w:rPr>
  </w:style>
  <w:style w:type="paragraph" w:styleId="1232">
    <w:name w:val="Revision"/>
    <w:next w:val="1232"/>
    <w:link w:val="994"/>
    <w:qFormat/>
    <w:rPr>
      <w:sz w:val="21"/>
      <w:szCs w:val="24"/>
      <w:lang w:val="en-US" w:eastAsia="zh-CN" w:bidi="ar-SA"/>
    </w:rPr>
  </w:style>
  <w:style w:type="paragraph" w:styleId="1233">
    <w:name w:val="Char22"/>
    <w:basedOn w:val="994"/>
    <w:next w:val="1233"/>
    <w:link w:val="994"/>
    <w:qFormat/>
    <w:rPr>
      <w:rFonts w:ascii="Tahoma" w:hAnsi="Tahoma"/>
      <w:sz w:val="24"/>
      <w:szCs w:val="20"/>
    </w:rPr>
  </w:style>
  <w:style w:type="paragraph" w:styleId="1234">
    <w:name w:val="Char Char Char Char Char Char Char Char Char Char2"/>
    <w:basedOn w:val="994"/>
    <w:next w:val="1234"/>
    <w:link w:val="994"/>
    <w:qFormat/>
    <w:rPr>
      <w:rFonts w:ascii="宋体" w:hAnsi="宋体" w:cs="Courier New"/>
      <w:sz w:val="32"/>
      <w:szCs w:val="32"/>
    </w:rPr>
  </w:style>
  <w:style w:type="paragraph" w:styleId="1235">
    <w:name w:val="Char2 Char Char Char Char Char Char1"/>
    <w:basedOn w:val="994"/>
    <w:next w:val="1235"/>
    <w:link w:val="994"/>
    <w:qFormat/>
    <w:pPr>
      <w:jc w:val="center"/>
      <w:spacing w:line="400" w:lineRule="exact"/>
      <w:widowControl/>
    </w:pPr>
  </w:style>
  <w:style w:type="character" w:styleId="1236">
    <w:name w:val="页脚 Char"/>
    <w:next w:val="1236"/>
    <w:link w:val="994"/>
    <w:qFormat/>
    <w:rPr>
      <w:rFonts w:ascii="宋体" w:eastAsia="宋体"/>
      <w:sz w:val="18"/>
      <w:lang w:val="en-US" w:eastAsia="zh-CN" w:bidi="ar-SA"/>
    </w:rPr>
  </w:style>
  <w:style w:type="paragraph" w:styleId="1237">
    <w:name w:val="Char Char41"/>
    <w:basedOn w:val="994"/>
    <w:next w:val="1237"/>
    <w:link w:val="994"/>
    <w:qFormat/>
    <w:pPr>
      <w:jc w:val="center"/>
      <w:spacing w:line="400" w:lineRule="exact"/>
      <w:widowControl/>
    </w:pPr>
  </w:style>
  <w:style w:type="character" w:styleId="1238">
    <w:name w:val="批注文字 Char"/>
    <w:next w:val="1238"/>
    <w:link w:val="994"/>
    <w:uiPriority w:val="99"/>
    <w:qFormat/>
    <w:rPr>
      <w:sz w:val="21"/>
      <w:szCs w:val="24"/>
    </w:rPr>
  </w:style>
  <w:style w:type="character" w:styleId="1239">
    <w:name w:val="标题 Char"/>
    <w:next w:val="1239"/>
    <w:link w:val="994"/>
    <w:qFormat/>
    <w:rPr>
      <w:b/>
      <w:sz w:val="32"/>
    </w:rPr>
  </w:style>
  <w:style w:type="paragraph" w:styleId="1240">
    <w:name w:val="图例"/>
    <w:basedOn w:val="994"/>
    <w:next w:val="1240"/>
    <w:link w:val="994"/>
    <w:qFormat/>
    <w:pPr>
      <w:jc w:val="center"/>
      <w:spacing w:before="120" w:after="120" w:line="360" w:lineRule="auto"/>
    </w:pPr>
    <w:rPr>
      <w:rFonts w:eastAsia="仿宋_GB2312"/>
      <w:b/>
      <w:sz w:val="24"/>
      <w:szCs w:val="20"/>
    </w:rPr>
  </w:style>
  <w:style w:type="paragraph" w:styleId="1241">
    <w:name w:val="Table Paragraph"/>
    <w:basedOn w:val="994"/>
    <w:next w:val="1241"/>
    <w:link w:val="994"/>
    <w:uiPriority w:val="1"/>
    <w:qFormat/>
    <w:pPr>
      <w:jc w:val="left"/>
    </w:pPr>
    <w:rPr>
      <w:rFonts w:ascii="宋体" w:hAnsi="宋体" w:cs="宋体"/>
      <w:sz w:val="22"/>
      <w:szCs w:val="22"/>
      <w:lang w:eastAsia="en-US"/>
    </w:rPr>
  </w:style>
  <w:style w:type="table" w:styleId="1242">
    <w:name w:val="Table Normal"/>
    <w:next w:val="1242"/>
    <w:link w:val="994"/>
    <w:uiPriority w:val="2"/>
    <w:semiHidden/>
    <w:qFormat/>
    <w:pPr>
      <w:widowControl w:val="off"/>
    </w:pPr>
    <w:rPr>
      <w:rFonts w:ascii="Calibri" w:hAnsi="Calibri"/>
      <w:sz w:val="22"/>
      <w:szCs w:val="22"/>
      <w:lang w:val="en-US" w:eastAsia="en-US" w:bidi="ar-SA"/>
    </w:rPr>
    <w:tblPr/>
  </w:style>
  <w:style w:type="paragraph" w:styleId="1243">
    <w:name w:val="成文日期"/>
    <w:basedOn w:val="994"/>
    <w:next w:val="1243"/>
    <w:link w:val="1244"/>
    <w:qFormat/>
    <w:pPr>
      <w:ind w:right="400" w:firstLine="200"/>
      <w:jc w:val="right"/>
      <w:spacing w:line="570" w:lineRule="exact"/>
    </w:pPr>
    <w:rPr>
      <w:rFonts w:ascii="仿宋_GB2312" w:eastAsia="仿宋_GB2312"/>
      <w:sz w:val="32"/>
      <w:szCs w:val="20"/>
    </w:rPr>
  </w:style>
  <w:style w:type="character" w:styleId="1244">
    <w:name w:val="成文日期 Char"/>
    <w:next w:val="1244"/>
    <w:link w:val="1243"/>
    <w:rPr>
      <w:rFonts w:ascii="仿宋_GB2312" w:eastAsia="仿宋_GB2312"/>
      <w:sz w:val="32"/>
    </w:rPr>
  </w:style>
  <w:style w:type="paragraph" w:styleId="1245">
    <w:name w:val="正文（首行缩进2字符）"/>
    <w:basedOn w:val="994"/>
    <w:next w:val="1245"/>
    <w:link w:val="994"/>
    <w:qFormat/>
    <w:pPr>
      <w:ind w:firstLine="420"/>
    </w:pPr>
    <w:rPr>
      <w:szCs w:val="21"/>
    </w:rPr>
  </w:style>
  <w:style w:type="character" w:styleId="1246">
    <w:name w:val="nav-on"/>
    <w:basedOn w:val="1004"/>
    <w:next w:val="1246"/>
    <w:link w:val="994"/>
    <w:rPr>
      <w:vanish/>
    </w:rPr>
  </w:style>
  <w:style w:type="character" w:styleId="1247">
    <w:name w:val="disabled"/>
    <w:basedOn w:val="1004"/>
    <w:next w:val="1247"/>
    <w:link w:val="994"/>
    <w:rPr>
      <w:color w:val="929292"/>
    </w:rPr>
  </w:style>
  <w:style w:type="character" w:styleId="1248">
    <w:name w:val="thisclass"/>
    <w:basedOn w:val="1004"/>
    <w:next w:val="1248"/>
    <w:link w:val="994"/>
    <w:rPr>
      <w:b/>
      <w:bCs/>
      <w:color w:val="ffffff"/>
      <w:shd w:val="clear" w:color="auto" w:fill="2e6ab1"/>
    </w:rPr>
  </w:style>
  <w:style w:type="paragraph" w:styleId="1249">
    <w:name w:val="È±Ê¡ÎÄ±¾"/>
    <w:basedOn w:val="994"/>
    <w:next w:val="1249"/>
    <w:link w:val="994"/>
    <w:pPr>
      <w:spacing w:line="240" w:lineRule="auto"/>
      <w:widowControl/>
    </w:pPr>
  </w:style>
  <w:style w:type="paragraph" w:styleId="1250">
    <w:name w:val="无间隔1"/>
    <w:basedOn w:val="994"/>
    <w:next w:val="1250"/>
    <w:link w:val="994"/>
    <w:rPr>
      <w:rFonts w:ascii="Times New Roman" w:hAnsi="Times New Roman" w:eastAsia="宋体" w:cs="Times New Roman"/>
    </w:rPr>
  </w:style>
  <w:style w:type="character" w:styleId="1251">
    <w:name w:val="font21"/>
    <w:basedOn w:val="1004"/>
    <w:next w:val="1251"/>
    <w:link w:val="994"/>
    <w:qFormat/>
    <w:rPr>
      <w:rFonts w:ascii="font-weight : 700" w:hAnsi="font-weight : 700" w:eastAsia="font-weight : 700" w:cs="font-weight : 700"/>
      <w:color w:val="000000"/>
      <w:sz w:val="22"/>
      <w:szCs w:val="22"/>
      <w:u w:val="none"/>
    </w:rPr>
  </w:style>
  <w:style w:type="character" w:styleId="1252">
    <w:name w:val="font01"/>
    <w:basedOn w:val="1004"/>
    <w:next w:val="1252"/>
    <w:link w:val="994"/>
    <w:rPr>
      <w:rFonts w:ascii="font-weight : 400" w:hAnsi="font-weight : 400" w:eastAsia="font-weight : 400" w:cs="font-weight : 400"/>
      <w:color w:val="000000"/>
      <w:sz w:val="18"/>
      <w:szCs w:val="18"/>
      <w:u w:val="none"/>
    </w:rPr>
  </w:style>
  <w:style w:type="paragraph" w:styleId="1253">
    <w:name w:val="首行缩进"/>
    <w:basedOn w:val="994"/>
    <w:next w:val="1253"/>
    <w:link w:val="994"/>
    <w:qFormat/>
    <w:pPr>
      <w:ind w:firstLine="480"/>
    </w:pPr>
    <w:rPr>
      <w:lang w:val="zh-CN"/>
    </w:rPr>
  </w:style>
  <w:style w:type="character" w:styleId="1254">
    <w:name w:val="font41"/>
    <w:basedOn w:val="1004"/>
    <w:next w:val="1254"/>
    <w:link w:val="994"/>
    <w:rPr>
      <w:rFonts w:hint="eastAsia" w:ascii="宋体" w:hAnsi="宋体" w:eastAsia="宋体" w:cs="宋体"/>
      <w:b/>
      <w:bCs/>
      <w:i w:val="0"/>
      <w:iCs w:val="0"/>
      <w:color w:val="000000"/>
      <w:sz w:val="24"/>
      <w:szCs w:val="24"/>
      <w:u w:val="none"/>
    </w:rPr>
  </w:style>
  <w:style w:type="character" w:styleId="1255">
    <w:name w:val="font161"/>
    <w:basedOn w:val="1004"/>
    <w:next w:val="1255"/>
    <w:link w:val="994"/>
    <w:rPr>
      <w:rFonts w:hint="eastAsia" w:ascii="宋体" w:hAnsi="宋体" w:eastAsia="宋体" w:cs="宋体"/>
      <w:b/>
      <w:bCs/>
      <w:i w:val="0"/>
      <w:iCs w:val="0"/>
      <w:color w:val="000000"/>
      <w:sz w:val="24"/>
      <w:szCs w:val="24"/>
      <w:u w:val="none"/>
      <w:vertAlign w:val="superscript"/>
    </w:rPr>
  </w:style>
  <w:style w:type="character" w:styleId="1256">
    <w:name w:val="15"/>
    <w:basedOn w:val="1004"/>
    <w:next w:val="1256"/>
    <w:link w:val="994"/>
    <w:qFormat/>
    <w:rPr>
      <w:rFonts w:ascii="Times New Roman" w:hAnsi="Times New Roman" w:cs="Times New Roman"/>
      <w:b/>
      <w:bCs/>
    </w:rPr>
  </w:style>
  <w:style w:type="character" w:styleId="1257">
    <w:name w:val="font11"/>
    <w:basedOn w:val="1004"/>
    <w:next w:val="1257"/>
    <w:link w:val="994"/>
    <w:rPr>
      <w:rFonts w:hint="eastAsia" w:ascii="宋体" w:hAnsi="宋体" w:eastAsia="宋体" w:cs="宋体"/>
      <w:b/>
      <w:bCs/>
      <w:i w:val="0"/>
      <w:iCs w:val="0"/>
      <w:color w:val="000000"/>
      <w:sz w:val="20"/>
      <w:szCs w:val="20"/>
      <w:u w:val="none"/>
    </w:rPr>
  </w:style>
  <w:style w:type="character" w:styleId="1258">
    <w:name w:val="font31"/>
    <w:basedOn w:val="1004"/>
    <w:next w:val="1258"/>
    <w:link w:val="994"/>
    <w:rPr>
      <w:rFonts w:hint="eastAsia" w:ascii="宋体" w:hAnsi="宋体" w:eastAsia="宋体" w:cs="宋体"/>
      <w:i w:val="0"/>
      <w:iCs w:val="0"/>
      <w:color w:val="000000"/>
      <w:sz w:val="18"/>
      <w:szCs w:val="18"/>
      <w:u w:val="none"/>
    </w:rPr>
  </w:style>
  <w:style w:type="paragraph" w:styleId="1259">
    <w:name w:val="正文首行缩进 21"/>
    <w:basedOn w:val="1260"/>
    <w:next w:val="994"/>
    <w:link w:val="994"/>
    <w:qFormat/>
    <w:pPr>
      <w:ind w:left="420" w:firstLine="420"/>
      <w:spacing w:after="120" w:line="480" w:lineRule="exact"/>
    </w:pPr>
  </w:style>
  <w:style w:type="paragraph" w:styleId="1260">
    <w:name w:val="正文文本缩进11"/>
    <w:basedOn w:val="994"/>
    <w:next w:val="1261"/>
    <w:link w:val="994"/>
    <w:qFormat/>
    <w:pPr>
      <w:ind w:firstLine="570"/>
      <w:spacing w:line="360" w:lineRule="auto"/>
    </w:pPr>
    <w:rPr>
      <w:sz w:val="24"/>
    </w:rPr>
  </w:style>
  <w:style w:type="paragraph" w:styleId="1261">
    <w:name w:val="寄信人地址1"/>
    <w:basedOn w:val="994"/>
    <w:next w:val="1261"/>
    <w:link w:val="994"/>
    <w:qFormat/>
    <w:rPr>
      <w:rFonts w:ascii="Arial" w:hAnsi="Arial"/>
    </w:rPr>
  </w:style>
  <w:style w:type="paragraph" w:styleId="1262">
    <w:name w:val="Í¼±íÕýÎÄ"/>
    <w:basedOn w:val="994"/>
    <w:next w:val="1263"/>
    <w:link w:val="994"/>
    <w:qFormat/>
    <w:pPr>
      <w:ind w:firstLine="420"/>
    </w:pPr>
    <w:rPr>
      <w:sz w:val="24"/>
      <w:szCs w:val="20"/>
    </w:rPr>
  </w:style>
  <w:style w:type="paragraph" w:styleId="1263">
    <w:name w:val="正文缩进11"/>
    <w:basedOn w:val="994"/>
    <w:next w:val="994"/>
    <w:link w:val="994"/>
    <w:qFormat/>
    <w:pPr>
      <w:ind w:firstLine="420"/>
      <w:jc w:val="left"/>
    </w:pPr>
    <w:rPr>
      <w:rFonts w:ascii="宋体"/>
      <w:sz w:val="24"/>
    </w:rPr>
  </w:style>
  <w:style w:type="paragraph" w:styleId="1264">
    <w:name w:val="样式 标题 1 + 宋体 居中 段前: 17 磅 段后: 16.5 磅"/>
    <w:basedOn w:val="995"/>
    <w:next w:val="1264"/>
    <w:link w:val="994"/>
    <w:qFormat/>
    <w:pPr>
      <w:ind w:left="840" w:hanging="420"/>
      <w:pageBreakBefore/>
      <w:widowControl/>
      <w:tabs>
        <w:tab w:val="left" w:pos="840" w:leader="none"/>
      </w:tabs>
    </w:pPr>
    <w:rPr>
      <w:rFonts w:ascii="华文中宋" w:hAnsi="华文中宋" w:eastAsia="华文中宋" w:cs="宋体"/>
      <w:sz w:val="28"/>
      <w:szCs w:val="20"/>
    </w:rPr>
  </w:style>
  <w:style w:type="paragraph" w:styleId="1265">
    <w:name w:val="null3"/>
    <w:next w:val="1265"/>
    <w:link w:val="994"/>
    <w:qFormat/>
    <w:rPr>
      <w:rFonts w:hint="eastAsia" w:ascii="Calibri" w:hAnsi="Calibri" w:eastAsia="宋体" w:cs="Times New Roman"/>
      <w:lang w:val="en-US" w:eastAsia="zh-CN" w:bidi="ar-SA"/>
    </w:rPr>
  </w:style>
  <w:style w:type="character" w:styleId="1266">
    <w:name w:val="font61"/>
    <w:basedOn w:val="1004"/>
    <w:next w:val="1266"/>
    <w:link w:val="994"/>
    <w:qFormat/>
    <w:rPr>
      <w:rFonts w:ascii="仿宋_GB2312" w:eastAsia="仿宋_GB2312" w:cs="仿宋_GB2312"/>
      <w:color w:val="000000"/>
      <w:sz w:val="18"/>
      <w:szCs w:val="18"/>
      <w:u w:val="none"/>
    </w:rPr>
  </w:style>
  <w:style w:type="character" w:styleId="1267">
    <w:name w:val="font51"/>
    <w:basedOn w:val="1004"/>
    <w:next w:val="1267"/>
    <w:link w:val="994"/>
    <w:qFormat/>
    <w:rPr>
      <w:rFonts w:ascii="仿宋_GB2312" w:eastAsia="仿宋_GB2312" w:cs="仿宋_GB2312"/>
      <w:color w:val="000000"/>
      <w:sz w:val="18"/>
      <w:szCs w:val="18"/>
      <w:u w:val="none"/>
    </w:rPr>
  </w:style>
  <w:style w:type="paragraph" w:styleId="1268">
    <w:name w:val="纯文本11"/>
    <w:basedOn w:val="994"/>
    <w:next w:val="1269"/>
    <w:link w:val="994"/>
    <w:qFormat/>
    <w:rPr>
      <w:rFonts w:hint="eastAsia" w:ascii="宋体" w:hAnsi="Courier New"/>
      <w:szCs w:val="20"/>
    </w:rPr>
  </w:style>
  <w:style w:type="paragraph" w:styleId="1269">
    <w:name w:val="正文缩进111"/>
    <w:basedOn w:val="994"/>
    <w:next w:val="994"/>
    <w:link w:val="994"/>
    <w:qFormat/>
    <w:pPr>
      <w:ind w:firstLine="420"/>
      <w:jc w:val="left"/>
    </w:pPr>
    <w:rPr>
      <w:rFonts w:ascii="宋体"/>
      <w:sz w:val="24"/>
    </w:rPr>
  </w:style>
  <w:style w:type="paragraph" w:styleId="1270">
    <w:name w:val="正文 A"/>
    <w:next w:val="1270"/>
    <w:link w:val="994"/>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71">
    <w:name w:val="正文文本1"/>
    <w:basedOn w:val="994"/>
    <w:next w:val="994"/>
    <w:link w:val="994"/>
    <w:qFormat/>
    <w:pPr>
      <w:spacing w:before="120" w:line="22" w:lineRule="atLeast"/>
      <w:tabs>
        <w:tab w:val="left" w:pos="567" w:leader="none"/>
      </w:tabs>
    </w:pPr>
    <w:rPr>
      <w:rFonts w:ascii="宋体" w:hAnsi="宋体"/>
      <w:sz w:val="24"/>
    </w:rPr>
  </w:style>
  <w:style w:type="paragraph" w:styleId="1272">
    <w:name w:val="正文首行缩进 211"/>
    <w:basedOn w:val="1273"/>
    <w:next w:val="994"/>
    <w:link w:val="994"/>
    <w:qFormat/>
    <w:pPr>
      <w:ind w:left="420" w:firstLine="420"/>
      <w:spacing w:after="120" w:line="480" w:lineRule="exact"/>
    </w:pPr>
  </w:style>
  <w:style w:type="paragraph" w:styleId="1273">
    <w:name w:val="正文文本缩进12"/>
    <w:basedOn w:val="994"/>
    <w:next w:val="994"/>
    <w:link w:val="994"/>
    <w:qFormat/>
    <w:pPr>
      <w:ind w:firstLine="570"/>
      <w:spacing w:line="360" w:lineRule="auto"/>
    </w:pPr>
    <w:rPr>
      <w:sz w:val="24"/>
    </w:rPr>
  </w:style>
  <w:style w:type="character" w:styleId="1274" w:default="1">
    <w:name w:val="Default Paragraph Font"/>
    <w:uiPriority w:val="1"/>
    <w:semiHidden/>
    <w:unhideWhenUsed/>
  </w:style>
  <w:style w:type="numbering" w:styleId="1275" w:default="1">
    <w:name w:val="No List"/>
    <w:uiPriority w:val="99"/>
    <w:semiHidden/>
    <w:unhideWhenUsed/>
  </w:style>
  <w:style w:type="table" w:styleId="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叶</dc:creator>
  <cp:lastModifiedBy>叶蕾</cp:lastModifiedBy>
  <cp:revision>7</cp:revision>
  <dcterms:created xsi:type="dcterms:W3CDTF">2022-05-30T08:03:00Z</dcterms:created>
  <dcterms:modified xsi:type="dcterms:W3CDTF">2026-04-30T06:09:28Z</dcterms:modified>
</cp:coreProperties>
</file>