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6"/>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6"/>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6"/>
        <w:rPr>
          <w:rFonts w:hint="eastAsia" w:ascii="宋体" w:hAnsi="宋体"/>
          <w:color w:val="000000"/>
          <w:highlight w:val="none"/>
        </w:rPr>
      </w:pPr>
      <w:r>
        <w:rPr>
          <w:rFonts w:hint="eastAsia" w:ascii="宋体" w:hAnsi="宋体"/>
          <w:color w:val="000000"/>
          <w:highlight w:val="none"/>
        </w:rPr>
      </w:r>
      <w:r/>
    </w:p>
    <w:p>
      <w:pPr>
        <w:pStyle w:val="896"/>
        <w:rPr>
          <w:rFonts w:hint="eastAsia" w:ascii="宋体" w:hAnsi="宋体"/>
          <w:color w:val="000000"/>
          <w:highlight w:val="none"/>
        </w:rPr>
      </w:pPr>
      <w:r>
        <w:rPr>
          <w:rFonts w:hint="eastAsia" w:ascii="宋体" w:hAnsi="宋体"/>
          <w:color w:val="000000"/>
          <w:highlight w:val="none"/>
        </w:rPr>
      </w:r>
      <w:r/>
    </w:p>
    <w:p>
      <w:pPr>
        <w:pStyle w:val="896"/>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896"/>
        <w:rPr>
          <w:rFonts w:hint="eastAsia" w:ascii="宋体" w:hAnsi="宋体"/>
          <w:color w:val="000000"/>
          <w:highlight w:val="none"/>
        </w:rPr>
      </w:pPr>
      <w:r>
        <w:rPr>
          <w:rFonts w:hint="eastAsia" w:ascii="宋体" w:hAnsi="宋体"/>
          <w:color w:val="000000"/>
          <w:highlight w:val="none"/>
        </w:rPr>
      </w:r>
      <w:r/>
    </w:p>
    <w:p>
      <w:pPr>
        <w:pStyle w:val="925"/>
        <w:rPr>
          <w:rFonts w:hint="eastAsia"/>
          <w:highlight w:val="none"/>
        </w:rPr>
      </w:pPr>
      <w:r>
        <w:rPr>
          <w:rFonts w:hint="eastAsia"/>
          <w:highlight w:val="none"/>
        </w:rPr>
      </w:r>
      <w:r/>
    </w:p>
    <w:p>
      <w:pPr>
        <w:pStyle w:val="896"/>
        <w:rPr>
          <w:rFonts w:hint="eastAsia" w:ascii="宋体" w:hAnsi="宋体"/>
          <w:bCs/>
          <w:color w:val="000000"/>
          <w:highlight w:val="none"/>
        </w:rPr>
      </w:pPr>
      <w:r>
        <w:rPr>
          <w:rFonts w:hint="eastAsia" w:ascii="宋体" w:hAnsi="宋体"/>
          <w:bCs/>
          <w:color w:val="000000"/>
          <w:highlight w:val="none"/>
        </w:rPr>
      </w:r>
      <w:r/>
    </w:p>
    <w:p>
      <w:pPr>
        <w:pStyle w:val="896"/>
        <w:ind w:right="0" w:firstLine="135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JSZC-320509-ZZHL-C2026-0017</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6"/>
        <w:ind w:right="0" w:firstLine="135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江陵街道城中村改造项目第三次保安选聘</w:t>
      </w:r>
      <w:r>
        <w:rPr>
          <w:rFonts w:hint="eastAsia" w:ascii="宋体" w:hAnsi="宋体" w:eastAsia="宋体"/>
          <w:bCs/>
          <w:color w:val="000000"/>
          <w:sz w:val="30"/>
          <w:highlight w:val="none"/>
          <w:lang w:eastAsia="zh-CN"/>
        </w:rPr>
      </w:r>
      <w:r/>
    </w:p>
    <w:p>
      <w:pPr>
        <w:pStyle w:val="896"/>
        <w:ind w:left="0" w:right="0" w:firstLine="135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苏州市吴江区人民政府江陵街道办事处</w:t>
      </w:r>
      <w:r>
        <w:rPr>
          <w:rFonts w:hint="eastAsia" w:ascii="宋体" w:hAnsi="宋体" w:eastAsia="宋体"/>
          <w:bCs/>
          <w:color w:val="000000"/>
          <w:sz w:val="30"/>
          <w:highlight w:val="none"/>
          <w:lang w:eastAsia="zh-CN"/>
        </w:rPr>
      </w:r>
      <w:r/>
    </w:p>
    <w:p>
      <w:pPr>
        <w:pStyle w:val="896"/>
        <w:ind w:right="0" w:firstLine="135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6"/>
        <w:ind w:right="-159" w:firstLine="1440"/>
        <w:spacing w:line="300" w:lineRule="auto"/>
        <w:rPr>
          <w:rFonts w:hint="eastAsia" w:ascii="宋体" w:hAnsi="宋体"/>
          <w:color w:val="000000"/>
          <w:sz w:val="30"/>
          <w:szCs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ind w:right="-159" w:firstLine="1440"/>
        <w:spacing w:line="300" w:lineRule="auto"/>
        <w:rPr>
          <w:rFonts w:hint="eastAsia" w:ascii="宋体" w:hAnsi="宋体"/>
          <w:b/>
          <w:bCs/>
          <w:color w:val="000000"/>
          <w:sz w:val="30"/>
          <w:szCs w:val="30"/>
          <w:highlight w:val="none"/>
        </w:rPr>
      </w:pPr>
      <w:r>
        <w:rPr>
          <w:rFonts w:hint="eastAsia" w:ascii="宋体" w:hAnsi="宋体"/>
          <w:color w:val="000000"/>
          <w:sz w:val="30"/>
          <w:highlight w:val="none"/>
        </w:rPr>
        <w:t xml:space="preserve">                        </w:t>
      </w:r>
      <w:r/>
    </w:p>
    <w:p>
      <w:pPr>
        <w:pStyle w:val="907"/>
        <w:ind w:left="0" w:firstLine="0"/>
        <w:jc w:val="both"/>
        <w:rPr>
          <w:rFonts w:ascii="Arial" w:hAnsi="Arial" w:cs="Arial"/>
          <w:color w:val="000000"/>
          <w:sz w:val="30"/>
          <w:szCs w:val="30"/>
          <w:highlight w:val="none"/>
          <w:lang w:val="zh-CN"/>
        </w:rPr>
      </w:pPr>
      <w:r>
        <w:rPr>
          <w:rFonts w:ascii="Arial" w:hAnsi="Arial" w:cs="Arial"/>
          <w:color w:val="000000"/>
          <w:sz w:val="30"/>
          <w:szCs w:val="30"/>
          <w:highlight w:val="none"/>
          <w:lang w:val="zh-CN"/>
        </w:rPr>
      </w:r>
      <w:r/>
    </w:p>
    <w:p>
      <w:pPr>
        <w:pStyle w:val="907"/>
        <w:ind w:left="0" w:firstLine="0"/>
        <w:jc w:val="center"/>
        <w:rPr>
          <w:rFonts w:ascii="Arial" w:hAnsi="Arial" w:cs="Arial"/>
          <w:color w:val="000000"/>
          <w:sz w:val="30"/>
          <w:szCs w:val="30"/>
          <w:highlight w:val="none"/>
          <w:lang w:val="zh-CN"/>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3" o:title=""/>
              </v:shape>
            </w:pict>
          </mc:Fallback>
        </mc:AlternateContent>
      </w:r>
      <w:r>
        <w:rPr>
          <w:rFonts w:ascii="Arial" w:hAnsi="Arial" w:cs="Arial"/>
          <w:color w:val="000000"/>
          <w:sz w:val="30"/>
          <w:szCs w:val="30"/>
          <w:highlight w:val="none"/>
          <w:lang w:val="zh-CN"/>
        </w:rPr>
      </w:r>
      <w:r/>
    </w:p>
    <w:p>
      <w:pPr>
        <w:pStyle w:val="896"/>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6"/>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五</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6"/>
        <w:jc w:val="center"/>
        <w:pageBreakBefore/>
        <w:spacing w:line="360" w:lineRule="auto"/>
        <w:widowControl/>
        <w:rPr>
          <w:rFonts w:hint="eastAsia" w:ascii="宋体" w:hAnsi="宋体"/>
          <w:b/>
          <w:color w:val="000000"/>
          <w:sz w:val="48"/>
          <w:highlight w:val="none"/>
        </w:rPr>
        <w:sectPr>
          <w:headerReference w:type="default" r:id="rId9"/>
          <w:footerReference w:type="default" r:id="rId11"/>
          <w:footnotePr/>
          <w:endnotePr/>
          <w:type w:val="nextPage"/>
          <w:pgSz w:w="11850" w:h="16783" w:orient="portrait"/>
          <w:pgMar w:top="1440" w:right="1417" w:bottom="1440" w:left="1417" w:header="624" w:footer="510" w:gutter="113"/>
          <w:pgNumType w:start="1"/>
          <w:cols w:num="1" w:sep="0" w:space="1701" w:equalWidth="1"/>
          <w:docGrid w:linePitch="360"/>
          <w:titlePg/>
        </w:sectPr>
      </w:pPr>
      <w:r>
        <w:rPr>
          <w:rFonts w:hint="eastAsia" w:ascii="宋体" w:hAnsi="宋体"/>
          <w:b/>
          <w:color w:val="000000"/>
          <w:sz w:val="48"/>
          <w:highlight w:val="none"/>
        </w:rPr>
      </w:r>
      <w:r/>
    </w:p>
    <w:p>
      <w:pPr>
        <w:pStyle w:val="896"/>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6"/>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6"/>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6"/>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6"/>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6"/>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江陵街道城中村改造项目第三次保安选聘</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2026年5月</w:t>
      </w: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7"/>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1"/>
      <w:r/>
      <w:bookmarkStart w:id="5" w:name="OLE_LINK6"/>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JSZC-320509-ZZHL-C2026-0017</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江陵街道城中村改造项目第三次保安选聘</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3.预算金额：</w:t>
      </w:r>
      <w:r>
        <w:rPr>
          <w:rFonts w:hint="eastAsia" w:ascii="宋体" w:hAnsi="宋体" w:cs="宋体"/>
          <w:color w:val="000000"/>
          <w:sz w:val="24"/>
          <w:highlight w:val="none"/>
          <w:lang w:eastAsia="zh-CN"/>
        </w:rPr>
        <w:t xml:space="preserve">人民币壹佰伍拾玖万圆整（￥：1590000.00）</w:t>
      </w:r>
      <w:r>
        <w:rPr>
          <w:rFonts w:hint="eastAsia" w:ascii="宋体" w:hAnsi="宋体" w:cs="宋体"/>
          <w:color w:val="000000"/>
          <w:sz w:val="24"/>
          <w:highlight w:val="none"/>
          <w:lang w:eastAsia="zh-CN"/>
        </w:rPr>
      </w:r>
      <w:r/>
    </w:p>
    <w:tbl>
      <w:tblPr>
        <w:tblStyle w:val="921"/>
        <w:tblW w:w="0" w:type="auto"/>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5840"/>
        <w:gridCol w:w="1898"/>
      </w:tblGrid>
      <w:tr>
        <w:trPr>
          <w:trHeight w:val="476"/>
        </w:trPr>
        <w:tc>
          <w:tcPr>
            <w:tcW w:w="1062"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w:t>
            </w:r>
            <w:r>
              <w:rPr>
                <w:rFonts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标段预算（元）</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备注</w:t>
            </w:r>
            <w:r>
              <w:rPr>
                <w:rFonts w:hint="eastAsia" w:ascii="宋体" w:hAnsi="宋体" w:eastAsia="宋体" w:cs="宋体"/>
                <w:color w:val="000000"/>
                <w:szCs w:val="21"/>
                <w:highlight w:val="none"/>
                <w:vertAlign w:val="baseline"/>
                <w:lang w:val="en-US" w:eastAsia="zh-CN"/>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一</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捌拾肆万圆整（￥：840000.00）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花港湾片区</w:t>
            </w:r>
            <w:r>
              <w:rPr>
                <w:rFonts w:hint="eastAsia" w:ascii="宋体" w:hAnsi="宋体" w:cs="宋体"/>
                <w:color w:val="000000"/>
                <w:szCs w:val="21"/>
                <w:highlight w:val="none"/>
                <w:vertAlign w:val="baseline"/>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二</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柒拾伍万圆整（￥：750000.00）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三里桥片区</w:t>
            </w:r>
            <w:r>
              <w:rPr>
                <w:rFonts w:hint="eastAsia" w:ascii="宋体" w:hAnsi="宋体" w:cs="宋体"/>
                <w:color w:val="000000"/>
                <w:szCs w:val="21"/>
                <w:highlight w:val="none"/>
                <w:vertAlign w:val="baseline"/>
              </w:rPr>
            </w:r>
            <w:r/>
          </w:p>
        </w:tc>
      </w:tr>
    </w:tbl>
    <w:p>
      <w:pPr>
        <w:pStyle w:val="927"/>
        <w:ind w:firstLine="480"/>
        <w:spacing w:line="360" w:lineRule="auto"/>
        <w:tabs>
          <w:tab w:val="left" w:pos="540" w:leader="none"/>
        </w:tabs>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4.最高限价：</w:t>
      </w:r>
      <w:r>
        <w:rPr>
          <w:rFonts w:hint="eastAsia" w:ascii="宋体" w:hAnsi="宋体" w:cs="宋体"/>
          <w:color w:val="000000"/>
          <w:sz w:val="24"/>
          <w:highlight w:val="none"/>
          <w:lang w:eastAsia="zh-CN"/>
        </w:rPr>
        <w:t xml:space="preserve">人民币壹佰伍拾玖万圆整（￥：1590000.00）</w:t>
      </w:r>
      <w:r>
        <w:rPr>
          <w:rFonts w:hint="eastAsia" w:ascii="宋体" w:hAnsi="宋体" w:cs="宋体"/>
          <w:color w:val="000000"/>
          <w:sz w:val="24"/>
          <w:highlight w:val="none"/>
          <w:lang w:eastAsia="zh-CN"/>
        </w:rPr>
      </w:r>
      <w:r/>
    </w:p>
    <w:tbl>
      <w:tblPr>
        <w:tblStyle w:val="921"/>
        <w:tblW w:w="0" w:type="auto"/>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5840"/>
        <w:gridCol w:w="1898"/>
      </w:tblGrid>
      <w:tr>
        <w:trPr>
          <w:trHeight w:val="476"/>
        </w:trPr>
        <w:tc>
          <w:tcPr>
            <w:tcW w:w="1062"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w:t>
            </w:r>
            <w:r>
              <w:rPr>
                <w:rFonts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标段预算（元）</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备注</w:t>
            </w:r>
            <w:r>
              <w:rPr>
                <w:rFonts w:hint="eastAsia" w:ascii="宋体" w:hAnsi="宋体" w:eastAsia="宋体" w:cs="宋体"/>
                <w:color w:val="000000"/>
                <w:szCs w:val="21"/>
                <w:highlight w:val="none"/>
                <w:vertAlign w:val="baseline"/>
                <w:lang w:val="en-US" w:eastAsia="zh-CN"/>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一</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捌拾肆万圆整（￥：840000.00）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花港湾片区</w:t>
            </w:r>
            <w:r>
              <w:rPr>
                <w:rFonts w:hint="eastAsia" w:ascii="宋体" w:hAnsi="宋体" w:cs="宋体"/>
                <w:color w:val="000000"/>
                <w:szCs w:val="21"/>
                <w:highlight w:val="none"/>
                <w:vertAlign w:val="baseline"/>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二</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柒拾伍万圆整（￥：750000.00）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三里桥片区</w:t>
            </w:r>
            <w:r>
              <w:rPr>
                <w:rFonts w:hint="eastAsia" w:ascii="宋体" w:hAnsi="宋体" w:cs="宋体"/>
                <w:color w:val="000000"/>
                <w:szCs w:val="21"/>
                <w:highlight w:val="none"/>
                <w:vertAlign w:val="baseline"/>
              </w:rPr>
            </w:r>
            <w:r/>
          </w:p>
        </w:tc>
      </w:tr>
    </w:tbl>
    <w:p>
      <w:pPr>
        <w:pStyle w:val="927"/>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5.成交单位数量：</w:t>
      </w:r>
      <w:r>
        <w:rPr>
          <w:rFonts w:hint="eastAsia" w:ascii="宋体" w:hAnsi="宋体" w:eastAsia="宋体" w:cs="宋体"/>
          <w:color w:val="000000"/>
          <w:sz w:val="24"/>
          <w:highlight w:val="none"/>
          <w:lang w:val="en-US" w:eastAsia="zh-CN"/>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本项目分二个标段采购，响应单位可选择其中一个或二个标段投标</w:t>
      </w:r>
      <w:r>
        <w:rPr>
          <w:rFonts w:hint="eastAsia" w:ascii="宋体" w:hAnsi="宋体" w:eastAsia="宋体" w:cs="宋体"/>
          <w:color w:val="000000"/>
          <w:sz w:val="24"/>
          <w:highlight w:val="none"/>
          <w:lang w:eastAsia="zh-CN"/>
        </w:rPr>
        <w:t xml:space="preserve">，但只能就其中一个标段中标，每个标段成交单位为一名。评审时将按一二标段自然顺序进行评审。按先开先中的原则，确定各标段的成交单位。在合同签订之前，若某标段因质疑、投诉等事项导致成交结果改变的，不影响其它任何标段的成交结果。本项目分标段采购，进入每个标段评审的实质性响应且具有得标权的响应单位不得少于三家，如不足三家，应认定该标段采购失败。已递交某标段投标文件且实质性响应采购需求，但已在前期各标段评审中获得了招标（采购）文件规定的得标上限数的响应单位，不再具有该标段的得标权，不应计入该标段的实质性响应单位数量内。</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为做好花港湾片区和三里桥片区城中村改造项目拆迁区域的安全稳定工作，特组建专职安保队伍，对拆迁区域建立常态化管控机制。具体包括对已腾空房屋设施等情况进行详细排查，积极开展 “敲门行动 ”，集中清理整治拆迁区域出租房、宾馆旅店等场所治安、消防等潜在的问题隐患。</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章磋商采购内容。</w:t>
      </w:r>
      <w:r>
        <w:rPr>
          <w:rFonts w:hint="eastAsia" w:ascii="宋体" w:hAnsi="宋体" w:eastAsia="宋体" w:cs="宋体"/>
          <w:color w:val="000000"/>
          <w:sz w:val="24"/>
          <w:highlight w:val="none"/>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.服务地点：</w:t>
      </w:r>
      <w:r>
        <w:rPr>
          <w:rFonts w:hint="eastAsia" w:ascii="宋体" w:hAnsi="宋体" w:eastAsia="宋体" w:cs="宋体"/>
          <w:color w:val="000000"/>
          <w:sz w:val="24"/>
          <w:highlight w:val="none"/>
          <w:lang w:eastAsia="zh-CN"/>
        </w:rPr>
        <w:t xml:space="preserve">采购人制定地点。</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eastAsia="zh-CN"/>
        </w:rPr>
        <w:t xml:space="preserve">自合同生效之日起六个月。</w:t>
      </w:r>
      <w:r>
        <w:rPr>
          <w:rFonts w:hint="eastAsia" w:ascii="宋体" w:hAnsi="宋体" w:eastAsia="宋体" w:cs="宋体"/>
          <w:color w:val="000000"/>
          <w:sz w:val="24"/>
          <w:highlight w:val="none"/>
        </w:rPr>
      </w:r>
      <w:r/>
    </w:p>
    <w:p>
      <w:pPr>
        <w:pStyle w:val="927"/>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92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27"/>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bidi="ar"/>
        </w:rPr>
        <w:t xml:space="preserve">本项目（是/否）接受联合体：否</w:t>
      </w:r>
      <w:r>
        <w:rPr>
          <w:rFonts w:ascii="宋体" w:hAnsi="宋体" w:eastAsia="宋体" w:cs="宋体"/>
          <w:color w:val="000000"/>
          <w:sz w:val="24"/>
          <w:highlight w:val="none"/>
          <w:lang w:val="en-US" w:eastAsia="zh-CN"/>
        </w:rPr>
      </w:r>
      <w:r/>
    </w:p>
    <w:p>
      <w:pPr>
        <w:pStyle w:val="927"/>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27"/>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2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具有独立承担民事责任的能力； </w:t>
      </w:r>
      <w:r>
        <w:rPr>
          <w:rFonts w:hint="eastAsia" w:ascii="宋体" w:hAnsi="宋体" w:cs="宋体"/>
          <w:color w:val="000000"/>
          <w:sz w:val="24"/>
          <w:highlight w:val="none"/>
        </w:rPr>
      </w:r>
      <w:r/>
    </w:p>
    <w:p>
      <w:pPr>
        <w:pStyle w:val="92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p>
      <w:pPr>
        <w:pStyle w:val="92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p>
      <w:pPr>
        <w:pStyle w:val="92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p>
      <w:pPr>
        <w:pStyle w:val="927"/>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927"/>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2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27"/>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27"/>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6"/>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6"/>
        <w:ind w:firstLine="480"/>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3.3</w:t>
      </w:r>
      <w:r>
        <w:rPr>
          <w:rFonts w:hint="eastAsia" w:ascii="宋体" w:hAnsi="宋体" w:cs="宋体"/>
          <w:color w:val="000000"/>
          <w:sz w:val="24"/>
          <w:highlight w:val="none"/>
          <w:lang w:bidi="ar"/>
        </w:rPr>
        <w:t xml:space="preserve">响应单位具有经公安部门批准的《保安服务许可证》</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896"/>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6"/>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805"/>
      <w:r/>
      <w:bookmarkStart w:id="9" w:name="_Toc35393636"/>
      <w:r/>
      <w:bookmarkStart w:id="10" w:name="_Toc2835909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2026年5月</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896"/>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6"/>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2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2026年5月2</w:t>
      </w:r>
      <w:r>
        <w:rPr>
          <w:rFonts w:hint="eastAsia" w:ascii="宋体" w:hAnsi="宋体" w:eastAsia="宋体" w:cs="宋体"/>
          <w:color w:val="000000"/>
          <w:szCs w:val="24"/>
          <w:highlight w:val="none"/>
          <w:lang w:eastAsia="zh-CN"/>
        </w:rPr>
        <w:t xml:space="preserve">2</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val="en-US" w:eastAsia="zh-CN"/>
        </w:rPr>
        <w:t xml:space="preserve">13</w:t>
      </w:r>
      <w:r>
        <w:rPr>
          <w:rFonts w:hint="eastAsia" w:ascii="宋体" w:hAnsi="宋体" w:eastAsia="宋体" w:cs="宋体"/>
          <w:color w:val="000000"/>
          <w:szCs w:val="24"/>
          <w:highlight w:val="none"/>
          <w:lang w:eastAsia="zh-CN"/>
        </w:rPr>
        <w:t xml:space="preserve">点30分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2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2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2026年5月2</w:t>
      </w: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点30分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2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2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6"/>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6"/>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18"/>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91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35393637"/>
      <w:r/>
      <w:bookmarkStart w:id="15" w:name="_Toc28359096"/>
      <w:r/>
      <w:bookmarkStart w:id="16" w:name="_Toc35393806"/>
      <w:r>
        <w:rPr>
          <w:rFonts w:hint="eastAsia" w:ascii="宋体" w:hAnsi="宋体" w:cs="宋体"/>
          <w:b/>
          <w:color w:val="000000"/>
          <w:sz w:val="24"/>
          <w:highlight w:val="none"/>
        </w:rPr>
      </w:r>
      <w:r/>
    </w:p>
    <w:p>
      <w:pPr>
        <w:pStyle w:val="896"/>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6"/>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称：苏州市吴江区人民政府江陵街道办事处　　　　　　　　　　　　</w:t>
      </w:r>
      <w:r>
        <w:rPr>
          <w:rFonts w:hint="eastAsia" w:ascii="宋体" w:hAnsi="宋体" w:eastAsia="宋体" w:cs="宋体"/>
          <w:color w:val="000000"/>
          <w:sz w:val="24"/>
          <w:highlight w:val="none"/>
          <w:shd w:val="clear" w:color="auto" w:fill="ffffff"/>
          <w:lang w:val="zh-CN"/>
        </w:rPr>
      </w:r>
      <w:r/>
    </w:p>
    <w:p>
      <w:pPr>
        <w:pStyle w:val="896"/>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址：吴江区云梨路1688号</w:t>
      </w:r>
      <w:r>
        <w:rPr>
          <w:rFonts w:hint="eastAsia" w:ascii="宋体" w:hAnsi="宋体" w:eastAsia="宋体" w:cs="宋体"/>
          <w:color w:val="000000"/>
          <w:sz w:val="24"/>
          <w:highlight w:val="none"/>
          <w:shd w:val="clear" w:color="auto" w:fill="ffffff"/>
          <w:lang w:val="zh-CN"/>
        </w:rPr>
      </w:r>
      <w:r/>
    </w:p>
    <w:p>
      <w:pPr>
        <w:pStyle w:val="896"/>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陈全超</w:t>
      </w:r>
      <w:r>
        <w:rPr>
          <w:rFonts w:hint="eastAsia" w:ascii="宋体" w:hAnsi="宋体" w:eastAsia="宋体" w:cs="宋体"/>
          <w:color w:val="000000"/>
          <w:sz w:val="24"/>
          <w:highlight w:val="none"/>
          <w:shd w:val="clear" w:color="auto" w:fill="ffffff"/>
          <w:lang w:val="zh-CN" w:eastAsia="zh-CN"/>
        </w:rPr>
      </w:r>
      <w:r/>
    </w:p>
    <w:p>
      <w:pPr>
        <w:pStyle w:val="896"/>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0512-63960350</w:t>
      </w:r>
      <w:r>
        <w:rPr>
          <w:rFonts w:hint="eastAsia" w:ascii="宋体" w:hAnsi="宋体" w:eastAsia="宋体" w:cs="宋体"/>
          <w:color w:val="000000"/>
          <w:sz w:val="24"/>
          <w:highlight w:val="none"/>
          <w:shd w:val="clear" w:color="auto" w:fill="ffffff"/>
          <w:lang w:val="zh-CN" w:eastAsia="zh-CN"/>
        </w:rPr>
      </w:r>
      <w:r/>
    </w:p>
    <w:p>
      <w:pPr>
        <w:pStyle w:val="89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6"/>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6"/>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6"/>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eastAsia="宋体" w:cs="宋体"/>
          <w:color w:val="000000"/>
          <w:sz w:val="24"/>
          <w:highlight w:val="none"/>
          <w:shd w:val="clear" w:color="auto" w:fill="ffffff"/>
          <w:lang w:eastAsia="zh-CN"/>
        </w:rPr>
      </w:r>
      <w:r/>
    </w:p>
    <w:p>
      <w:pPr>
        <w:pStyle w:val="896"/>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6"/>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pStyle w:val="917"/>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17"/>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17"/>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917"/>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17" w:name="_Toc20823275"/>
      <w:r/>
      <w:bookmarkStart w:id="18" w:name="_Toc513029203"/>
      <w:r/>
      <w:bookmarkStart w:id="19" w:name="_Toc16938519"/>
      <w:r/>
      <w:bookmarkStart w:id="20" w:name="_Toc120614214"/>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16938520"/>
      <w:r/>
      <w:bookmarkStart w:id="24" w:name="_Toc513029204"/>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16938522"/>
      <w:r/>
      <w:bookmarkStart w:id="30" w:name="_Toc20823278"/>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31" w:name="_Toc16938523"/>
      <w:r/>
      <w:bookmarkStart w:id="32" w:name="_Toc20823279"/>
      <w:r/>
      <w:bookmarkStart w:id="33" w:name="_Toc462564067"/>
      <w:r/>
      <w:bookmarkStart w:id="34" w:name="_Toc51302920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成交服务费：</w:t>
      </w:r>
      <w:r>
        <w:rPr>
          <w:rStyle w:val="930"/>
          <w:rFonts w:hint="eastAsia" w:ascii="宋体" w:hAnsi="宋体" w:cs="宋体"/>
          <w:color w:val="000000"/>
          <w:sz w:val="24"/>
          <w:highlight w:val="none"/>
          <w:lang w:val="en-US" w:eastAsia="zh-CN"/>
        </w:rPr>
        <w:t xml:space="preserve">按吴江区中介超市约定收取，本项目代理服务费金额为由各标段按预算比例各自承担</w:t>
      </w:r>
      <w:r>
        <w:rPr>
          <w:rStyle w:val="930"/>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eastAsia="宋体" w:cs="宋体"/>
          <w:color w:val="000000"/>
          <w:sz w:val="24"/>
          <w:highlight w:val="none"/>
          <w:lang w:eastAsia="zh-CN"/>
        </w:rPr>
      </w:r>
      <w:r/>
    </w:p>
    <w:p>
      <w:pPr>
        <w:pStyle w:val="896"/>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16938525"/>
      <w:r/>
      <w:bookmarkStart w:id="37" w:name="_Toc20823281"/>
      <w:r/>
      <w:bookmarkStart w:id="38" w:name="_Toc513029209"/>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42" w:name="_Toc20823283"/>
      <w:r/>
      <w:bookmarkStart w:id="43" w:name="_Toc462564070"/>
      <w:r/>
      <w:bookmarkStart w:id="44" w:name="_Toc16938527"/>
      <w:r/>
      <w:bookmarkStart w:id="45" w:name="_Toc513029211"/>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513029212"/>
      <w:r/>
      <w:bookmarkStart w:id="48" w:name="_Toc16938528"/>
      <w:r/>
      <w:bookmarkStart w:id="49" w:name="_Toc20823284"/>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20823285"/>
      <w:r/>
      <w:bookmarkStart w:id="51" w:name="_Toc120614216"/>
      <w:r/>
      <w:bookmarkStart w:id="52" w:name="_Toc462564072"/>
      <w:r/>
      <w:bookmarkStart w:id="53" w:name="_Toc16938529"/>
      <w:r/>
      <w:bookmarkStart w:id="54" w:name="_Toc513029213"/>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16938530"/>
      <w:r/>
      <w:bookmarkStart w:id="57" w:name="_Toc20823286"/>
      <w:r/>
      <w:bookmarkStart w:id="58" w:name="_Toc513029214"/>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6"/>
        <w:ind w:firstLine="480"/>
        <w:keepLines/>
        <w:keepNext/>
        <w:spacing w:line="360" w:lineRule="auto"/>
        <w:rPr>
          <w:rFonts w:hint="eastAsia" w:ascii="宋体" w:hAnsi="宋体" w:cs="宋体"/>
          <w:color w:val="000000"/>
          <w:sz w:val="24"/>
          <w:highlight w:val="none"/>
        </w:rPr>
        <w:outlineLvl w:val="3"/>
      </w:pPr>
      <w:r/>
      <w:bookmarkStart w:id="59" w:name="_Toc20823287"/>
      <w:r/>
      <w:bookmarkStart w:id="60" w:name="_Toc16938531"/>
      <w:r/>
      <w:bookmarkStart w:id="61" w:name="_Toc513029215"/>
      <w:r/>
      <w:bookmarkStart w:id="62" w:name="_Toc462564074"/>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3"/>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10.4.1.2具有良好的商业信誉和健全的财务会计制度。提供最近一期（2024年度</w:t>
      </w:r>
      <w:r>
        <w:rPr>
          <w:rFonts w:hint="eastAsia" w:ascii="宋体" w:hAnsi="宋体" w:cs="宋体"/>
          <w:bCs/>
          <w:color w:val="000000"/>
          <w:sz w:val="24"/>
          <w:szCs w:val="24"/>
          <w:highlight w:val="none"/>
          <w:lang w:val="en-US" w:eastAsia="zh-CN"/>
        </w:rPr>
        <w:t xml:space="preserve">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磋商响应截至前三个月任意一期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3"/>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0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3"/>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6.2针对本项目的人员配置情况；</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6.3针对本项目的设备配置情况；</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3"/>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3"/>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6"/>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6"/>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6"/>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513029219"/>
      <w:r/>
      <w:bookmarkStart w:id="67" w:name="_Toc14577357"/>
      <w:r/>
      <w:bookmarkStart w:id="68" w:name="_Toc49090509"/>
      <w:r/>
      <w:bookmarkStart w:id="69" w:name="_Toc513029216"/>
      <w:r/>
      <w:bookmarkStart w:id="70" w:name="_Toc49090507"/>
      <w:r/>
      <w:bookmarkStart w:id="71" w:name="_Toc14577354"/>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74" w:name="_Hlt26670486"/>
      <w:r/>
      <w:bookmarkEnd w:id="74"/>
      <w:r/>
      <w:bookmarkStart w:id="75" w:name="_Hlt26954731"/>
      <w:r/>
      <w:bookmarkEnd w:id="75"/>
      <w:r/>
      <w:bookmarkStart w:id="76" w:name="_Hlt26954846"/>
      <w:r/>
      <w:bookmarkEnd w:id="76"/>
      <w:r/>
      <w:bookmarkStart w:id="77" w:name="_Hlt26670482"/>
      <w:r/>
      <w:bookmarkEnd w:id="77"/>
      <w:r/>
      <w:bookmarkStart w:id="78" w:name="_Hlt26954848"/>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513029224"/>
      <w:r/>
      <w:bookmarkStart w:id="86" w:name="_Toc16938540"/>
      <w:r/>
      <w:bookmarkStart w:id="87" w:name="_Toc20823296"/>
      <w:r/>
      <w:bookmarkStart w:id="88" w:name="_Toc120614217"/>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462564084"/>
      <w:r/>
      <w:bookmarkStart w:id="91" w:name="_Toc16938541"/>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6"/>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96" w:name="_Toc513029227"/>
      <w:r/>
      <w:bookmarkStart w:id="97" w:name="_Toc16938543"/>
      <w:r/>
      <w:bookmarkStart w:id="98" w:name="_Toc20823299"/>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102" w:name="_Toc120614218"/>
      <w:r/>
      <w:bookmarkStart w:id="103" w:name="_Toc20823301"/>
      <w:r/>
      <w:bookmarkStart w:id="104" w:name="_Toc513029229"/>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16938546"/>
      <w:r/>
      <w:bookmarkStart w:id="108" w:name="_Toc20823302"/>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16938547"/>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112" w:name="_Toc20823304"/>
      <w:r/>
      <w:bookmarkStart w:id="113" w:name="_Toc16938548"/>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Start w:id="115" w:name="_Toc16938549"/>
      <w:r/>
      <w:bookmarkStart w:id="116" w:name="_Toc513029233"/>
      <w:r/>
      <w:bookmarkStart w:id="117" w:name="_Toc20823305"/>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6"/>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6"/>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6"/>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bookmarkStart w:id="118" w:name="_Toc16938550"/>
      <w:r/>
      <w:bookmarkStart w:id="119" w:name="_Toc20823306"/>
      <w:r/>
      <w:bookmarkStart w:id="120" w:name="_Toc513029234"/>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29"/>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27.2.2价格评审</w:t>
      </w:r>
      <w:r>
        <w:rPr>
          <w:rFonts w:hint="eastAsia" w:ascii="宋体" w:hAnsi="宋体" w:eastAsia="宋体" w:cs="宋体"/>
          <w:color w:val="000000"/>
          <w:sz w:val="24"/>
          <w:highlight w:val="none"/>
          <w:lang w:val="en-US" w:eastAsia="zh-CN"/>
        </w:rPr>
      </w:r>
      <w:r/>
    </w:p>
    <w:p>
      <w:pPr>
        <w:pStyle w:val="89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27.2.2.1</w:t>
      </w:r>
      <w:r>
        <w:rPr>
          <w:rFonts w:hint="eastAsia" w:ascii="宋体" w:hAnsi="宋体" w:eastAsia="宋体" w:cs="宋体"/>
          <w:color w:val="000000"/>
          <w:sz w:val="24"/>
          <w:highlight w:val="none"/>
        </w:rPr>
        <w:t xml:space="preserve">根据《苏财购〔2025〕62号》</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rPr>
        <w:t xml:space="preserve">，评审过程中出现下列情形之一的，评审委员会应当启动异常低价投标（响应）审查程序：</w:t>
      </w:r>
      <w:r>
        <w:rPr>
          <w:rFonts w:hint="eastAsia" w:ascii="宋体" w:hAnsi="宋体" w:eastAsia="宋体" w:cs="宋体"/>
          <w:color w:val="000000"/>
          <w:sz w:val="24"/>
          <w:highlight w:val="none"/>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27.2.2.1.1投标（响应）报价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&lt;全部通过符合性审查供应商</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27.2.2.1.2投标（响应）报价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&lt;通过符合性审查的次低报价供应商</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27.2.2.1.3投标（响应）报价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投标（响应）报价</w:t>
      </w:r>
      <w:r>
        <w:rPr>
          <w:rFonts w:hint="eastAsia" w:ascii="宋体" w:hAnsi="宋体" w:eastAsia="宋体" w:cs="宋体"/>
          <w:color w:val="000000"/>
          <w:sz w:val="24"/>
          <w:highlight w:val="none"/>
          <w:lang w:val="en-US"/>
        </w:rPr>
        <w:t xml:space="preserve">&lt;采购项目最高限价×45%；</w:t>
      </w:r>
      <w:r>
        <w:rPr>
          <w:rFonts w:hint="eastAsia" w:ascii="宋体" w:hAnsi="宋体" w:eastAsia="宋体" w:cs="宋体"/>
          <w:color w:val="000000"/>
          <w:sz w:val="24"/>
          <w:highlight w:val="none"/>
          <w:lang w:val="en-US"/>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27.2.2.1.4磋商小组</w:t>
      </w:r>
      <w:r>
        <w:rPr>
          <w:rFonts w:hint="eastAsia" w:ascii="宋体" w:hAnsi="宋体" w:eastAsia="宋体" w:cs="宋体"/>
          <w:color w:val="000000"/>
          <w:sz w:val="24"/>
          <w:highlight w:val="none"/>
          <w:lang w:val="en-US"/>
        </w:rPr>
        <w:t xml:space="preserve">会基于专业判断，认为供应商报价过低，有可能影响产品质量或者不能诚信履约的其他情形。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27.2.2.2启动异常低价响应审查后，磋商小组会应当要求相关供应商在评标现场合理的时间内对投标价格作出解释，提供项目具体成本测算等与报价合理性相关的书面说明及相关证明材料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lang w:val="en-US" w:eastAsia="zh-CN"/>
        </w:rPr>
        <w:t xml:space="preserve">，</w:t>
      </w:r>
      <w:bookmarkEnd w:id="121"/>
      <w:r/>
      <w:bookmarkEnd w:id="122"/>
      <w:r>
        <w:rPr>
          <w:rFonts w:hint="eastAsia" w:ascii="宋体" w:hAnsi="宋体" w:eastAsia="宋体" w:cs="宋体"/>
          <w:color w:val="000000"/>
          <w:sz w:val="24"/>
          <w:highlight w:val="none"/>
          <w:lang w:val="en-US" w:eastAsia="zh-CN"/>
        </w:rPr>
        <w:t xml:space="preserve">包括但不限于原材料成本、人工成本、制造费用等，给予相关供应商的合理时间一般不少于30分钟。其中，属于27.2.2.1.3情形，供应商已随投标文件一并提交相关书面说明及必要的证明材料的，在评审现场可不再重复提交。</w:t>
      </w:r>
      <w:r>
        <w:rPr>
          <w:rFonts w:hint="eastAsia" w:ascii="宋体" w:hAnsi="宋体" w:eastAsia="宋体" w:cs="宋体"/>
          <w:color w:val="000000"/>
          <w:sz w:val="24"/>
          <w:highlight w:val="none"/>
          <w:lang w:val="en-US" w:eastAsia="zh-CN"/>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27.2.2.3磋商小组会依据专业经验，参考同类项目中标（成交）价格、类似产品市场价格水平、行业人工费用标准、国家有关部门指导行业协会发布的行业平均成本等情况，对报价合理性进行判断。磋商供应商不能提供书面说明、证明材料，或者提供的书面说明、证明材料不能证明其报价合理性的，磋商小组会应当将其作为无效响应处理。</w:t>
      </w:r>
      <w:r>
        <w:rPr>
          <w:rFonts w:hint="eastAsia" w:ascii="宋体" w:hAnsi="宋体" w:eastAsia="宋体" w:cs="宋体"/>
          <w:color w:val="000000"/>
          <w:sz w:val="24"/>
          <w:highlight w:val="none"/>
          <w:lang w:val="en-US" w:eastAsia="zh-CN"/>
        </w:rPr>
      </w:r>
      <w:r/>
    </w:p>
    <w:p>
      <w:pPr>
        <w:pStyle w:val="896"/>
        <w:ind w:firstLine="480"/>
        <w:spacing w:line="360" w:lineRule="auto"/>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27.2.2.4采购人、采购代理机构应当为磋商小组会在评审现场及时获取同类项目中标价格、类似产品市场价格水平、行业人工费用标准、国家有关部门指导行业协会发布的行业平均成本等相关信息资料提供便利。磋商小组会借助互联网等渠道查询相关信息的，应当严格遵守评审工作纪律，不得实施影响评审公正的行为。</w:t>
      </w:r>
      <w:r>
        <w:rPr>
          <w:rFonts w:hint="eastAsia" w:ascii="宋体" w:hAnsi="宋体" w:eastAsia="宋体" w:cs="宋体"/>
          <w:color w:val="000000"/>
          <w:sz w:val="24"/>
          <w:highlight w:val="none"/>
          <w:lang w:val="en-US" w:eastAsia="zh-CN"/>
        </w:rPr>
      </w:r>
      <w:r/>
    </w:p>
    <w:p>
      <w:pPr>
        <w:pStyle w:val="896"/>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异常低价投标（响应）审查的启动原因、审查意见和审查结果应当在评审报告中记录，并随供应商提供的相关书面说明及证明材料，以及磋商小组会有关互联网浏览、查询历史一并归档。</w:t>
      </w:r>
      <w:r>
        <w:rPr>
          <w:rFonts w:hint="eastAsia" w:ascii="宋体" w:hAnsi="宋体" w:eastAsia="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27.2.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评</w:t>
      </w:r>
      <w:r>
        <w:rPr>
          <w:rFonts w:hint="eastAsia" w:ascii="宋体" w:hAnsi="宋体" w:cs="宋体"/>
          <w:color w:val="000000"/>
          <w:sz w:val="24"/>
          <w:highlight w:val="none"/>
        </w:rPr>
        <w:t xml:space="preserve">审标准</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w:t>
      </w:r>
      <w:r>
        <w:rPr>
          <w:rFonts w:hint="eastAsia" w:ascii="宋体" w:hAnsi="宋体" w:cs="宋体"/>
          <w:color w:val="000000"/>
          <w:sz w:val="24"/>
          <w:szCs w:val="24"/>
          <w:highlight w:val="none"/>
        </w:rPr>
        <w:t xml:space="preserve">市场竞争不充分的科研项目，以及需要扶持的科技成果转化项目</w:t>
      </w:r>
      <w:r>
        <w:rPr>
          <w:rFonts w:hint="eastAsia" w:ascii="宋体" w:hAnsi="宋体" w:cs="宋体"/>
          <w:color w:val="000000"/>
          <w:sz w:val="24"/>
          <w:highlight w:val="none"/>
        </w:rPr>
        <w:t xml:space="preserve">的情形外，在采购过程中符合要求的供应商或者最后报价未超过采购预算的供应商不足3家的。</w:t>
      </w:r>
      <w:r>
        <w:rPr>
          <w:rFonts w:hint="eastAsia" w:ascii="宋体" w:hAnsi="宋体" w:cs="宋体"/>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123" w:name="_Toc16938551"/>
      <w:r/>
      <w:bookmarkStart w:id="124" w:name="_Toc120614219"/>
      <w:r/>
      <w:bookmarkStart w:id="125" w:name="_Toc513029235"/>
      <w:r/>
      <w:bookmarkStart w:id="126" w:name="_Toc20823307"/>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6"/>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3"/>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eastAsia="宋体" w:cs="宋体"/>
          <w:color w:val="000000"/>
          <w:sz w:val="24"/>
          <w:szCs w:val="24"/>
          <w:highlight w:val="none"/>
          <w:lang w:eastAsia="zh-CN"/>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6"/>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20823308"/>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20823309"/>
      <w:r/>
      <w:bookmarkStart w:id="136" w:name="_Toc513029237"/>
      <w:r/>
      <w:bookmarkStart w:id="137"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6"/>
        <w:ind w:firstLine="482"/>
        <w:spacing w:line="360" w:lineRule="auto"/>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6"/>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6"/>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6"/>
        <w:ind w:firstLine="480"/>
        <w:keepLines/>
        <w:keepNext/>
        <w:spacing w:line="360" w:lineRule="auto"/>
        <w:rPr>
          <w:rFonts w:hint="eastAsia" w:ascii="宋体" w:hAnsi="宋体" w:cs="宋体"/>
          <w:b/>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
          <w:color w:val="000000"/>
          <w:sz w:val="24"/>
          <w:highlight w:val="none"/>
        </w:rPr>
      </w:r>
      <w:r/>
    </w:p>
    <w:p>
      <w:pPr>
        <w:pStyle w:val="896"/>
        <w:jc w:val="center"/>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6"/>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24"/>
        <w:tabs>
          <w:tab w:val="left" w:pos="480" w:leader="none"/>
        </w:tabs>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rPr>
          <w:rFonts w:hint="eastAsia"/>
          <w:highlight w:val="none"/>
        </w:rPr>
      </w:pPr>
      <w:r>
        <w:rPr>
          <w:rFonts w:hint="eastAsia"/>
          <w:highlight w:val="none"/>
        </w:rPr>
      </w:r>
      <w:r/>
    </w:p>
    <w:p>
      <w:pPr>
        <w:pStyle w:val="896"/>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89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苏州市吴江区人民政府江陵街道办事处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江陵街道城中村改造项目第三次保安选聘</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6"/>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JSZC-320509-ZZHL-C2026-0017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96"/>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z w:val="24"/>
          <w:szCs w:val="24"/>
          <w:highlight w:val="none"/>
          <w:lang w:eastAsia="zh-CN"/>
        </w:rPr>
        <w:t xml:space="preserve">江陵街道城中村改造项目第三次保安选聘</w:t>
      </w:r>
      <w:r>
        <w:rPr>
          <w:rFonts w:hint="eastAsia" w:ascii="宋体" w:hAnsi="宋体" w:eastAsia="宋体" w:cs="宋体"/>
          <w:b/>
          <w:color w:val="000000"/>
          <w:sz w:val="24"/>
          <w:szCs w:val="24"/>
          <w:highlight w:val="none"/>
          <w:lang w:eastAsia="zh-CN"/>
        </w:rPr>
      </w:r>
      <w:r/>
    </w:p>
    <w:p>
      <w:pPr>
        <w:pStyle w:val="927"/>
        <w:ind w:firstLine="480"/>
        <w:spacing w:line="360" w:lineRule="auto"/>
        <w:tabs>
          <w:tab w:val="left" w:pos="540" w:leader="none"/>
        </w:tabs>
        <w:rPr>
          <w:rFonts w:hint="eastAsia" w:ascii="宋体" w:hAnsi="宋体" w:cs="宋体"/>
          <w:b/>
          <w:bCs w:val="0"/>
          <w:color w:val="000000"/>
          <w:sz w:val="24"/>
          <w:highlight w:val="none"/>
          <w:lang w:eastAsia="zh-CN"/>
        </w:rPr>
      </w:pPr>
      <w:r>
        <w:rPr>
          <w:rFonts w:hint="eastAsia" w:ascii="宋体" w:hAnsi="宋体" w:eastAsia="宋体" w:cs="宋体"/>
          <w:b/>
          <w:bCs w:val="0"/>
          <w:color w:val="000000"/>
          <w:sz w:val="24"/>
          <w:szCs w:val="24"/>
          <w:highlight w:val="none"/>
        </w:rPr>
        <w:t xml:space="preserve">三、★采购预算：</w:t>
      </w:r>
      <w:r>
        <w:rPr>
          <w:rFonts w:hint="eastAsia" w:ascii="宋体" w:hAnsi="宋体" w:cs="宋体"/>
          <w:b/>
          <w:bCs w:val="0"/>
          <w:color w:val="000000"/>
          <w:sz w:val="24"/>
          <w:highlight w:val="none"/>
          <w:lang w:eastAsia="zh-CN"/>
        </w:rPr>
        <w:t xml:space="preserve">人民币壹佰伍拾玖万圆整（￥：1590000.00）</w:t>
      </w:r>
      <w:r>
        <w:rPr>
          <w:rFonts w:hint="eastAsia" w:ascii="宋体" w:hAnsi="宋体" w:cs="宋体"/>
          <w:b/>
          <w:bCs w:val="0"/>
          <w:color w:val="000000"/>
          <w:sz w:val="24"/>
          <w:highlight w:val="none"/>
          <w:lang w:eastAsia="zh-CN"/>
        </w:rPr>
      </w:r>
      <w:r/>
    </w:p>
    <w:tbl>
      <w:tblPr>
        <w:tblStyle w:val="921"/>
        <w:tblW w:w="0" w:type="auto"/>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5840"/>
        <w:gridCol w:w="1898"/>
      </w:tblGrid>
      <w:tr>
        <w:trPr>
          <w:trHeight w:val="476"/>
        </w:trPr>
        <w:tc>
          <w:tcPr>
            <w:tcW w:w="1062"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w:t>
            </w:r>
            <w:r>
              <w:rPr>
                <w:rFonts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标段预算（元）</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备注</w:t>
            </w:r>
            <w:r>
              <w:rPr>
                <w:rFonts w:hint="eastAsia" w:ascii="宋体" w:hAnsi="宋体" w:eastAsia="宋体" w:cs="宋体"/>
                <w:color w:val="000000"/>
                <w:szCs w:val="21"/>
                <w:highlight w:val="none"/>
                <w:vertAlign w:val="baseline"/>
                <w:lang w:val="en-US" w:eastAsia="zh-CN"/>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一</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捌拾肆万圆整（￥：840000.00）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花港湾片区</w:t>
            </w:r>
            <w:r>
              <w:rPr>
                <w:rFonts w:hint="eastAsia" w:ascii="宋体" w:hAnsi="宋体" w:cs="宋体"/>
                <w:color w:val="000000"/>
                <w:szCs w:val="21"/>
                <w:highlight w:val="none"/>
                <w:vertAlign w:val="baseline"/>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二</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柒拾伍万圆整（￥：750000.00）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三里桥片区</w:t>
            </w:r>
            <w:r>
              <w:rPr>
                <w:rFonts w:hint="eastAsia" w:ascii="宋体" w:hAnsi="宋体" w:cs="宋体"/>
                <w:color w:val="000000"/>
                <w:szCs w:val="21"/>
                <w:highlight w:val="none"/>
                <w:vertAlign w:val="baseline"/>
              </w:rPr>
            </w:r>
            <w:r/>
          </w:p>
        </w:tc>
      </w:tr>
    </w:tbl>
    <w:p>
      <w:pPr>
        <w:pStyle w:val="927"/>
        <w:ind w:firstLine="480"/>
        <w:spacing w:line="360" w:lineRule="auto"/>
        <w:tabs>
          <w:tab w:val="left" w:pos="540" w:leader="none"/>
        </w:tabs>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最高限价：</w:t>
      </w:r>
      <w:r>
        <w:rPr>
          <w:rFonts w:hint="eastAsia" w:ascii="宋体" w:hAnsi="宋体" w:cs="宋体"/>
          <w:b/>
          <w:bCs/>
          <w:color w:val="000000"/>
          <w:sz w:val="24"/>
          <w:highlight w:val="none"/>
          <w:lang w:eastAsia="zh-CN"/>
        </w:rPr>
        <w:t xml:space="preserve">人民币壹佰伍拾玖万圆整（￥：1590000.00）</w:t>
      </w:r>
      <w:r>
        <w:rPr>
          <w:rFonts w:hint="eastAsia" w:ascii="宋体" w:hAnsi="宋体" w:cs="宋体"/>
          <w:b/>
          <w:bCs/>
          <w:color w:val="000000"/>
          <w:sz w:val="24"/>
          <w:highlight w:val="none"/>
          <w:lang w:eastAsia="zh-CN"/>
        </w:rPr>
      </w:r>
      <w:r/>
    </w:p>
    <w:tbl>
      <w:tblPr>
        <w:tblStyle w:val="921"/>
        <w:tblW w:w="0" w:type="auto"/>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5840"/>
        <w:gridCol w:w="1898"/>
      </w:tblGrid>
      <w:tr>
        <w:trPr>
          <w:trHeight w:val="476"/>
        </w:trPr>
        <w:tc>
          <w:tcPr>
            <w:tcW w:w="1062"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w:t>
            </w:r>
            <w:r>
              <w:rPr>
                <w:rFonts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标段预算（元）</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备注</w:t>
            </w:r>
            <w:r>
              <w:rPr>
                <w:rFonts w:hint="eastAsia" w:ascii="宋体" w:hAnsi="宋体" w:eastAsia="宋体" w:cs="宋体"/>
                <w:color w:val="000000"/>
                <w:szCs w:val="21"/>
                <w:highlight w:val="none"/>
                <w:vertAlign w:val="baseline"/>
                <w:lang w:val="en-US" w:eastAsia="zh-CN"/>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一</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捌拾肆万圆整（￥：840000.00）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花港湾片区</w:t>
            </w:r>
            <w:r>
              <w:rPr>
                <w:rFonts w:hint="eastAsia" w:ascii="宋体" w:hAnsi="宋体" w:cs="宋体"/>
                <w:color w:val="000000"/>
                <w:szCs w:val="21"/>
                <w:highlight w:val="none"/>
                <w:vertAlign w:val="baseline"/>
              </w:rPr>
            </w:r>
            <w:r/>
          </w:p>
        </w:tc>
      </w:tr>
      <w:tr>
        <w:trPr>
          <w:trHeight w:val="476"/>
        </w:trPr>
        <w:tc>
          <w:tcPr>
            <w:tcW w:w="1062" w:type="dxa"/>
            <w:vAlign w:val="center"/>
            <w:textDirection w:val="lrTb"/>
            <w:noWrap w:val="false"/>
          </w:tcPr>
          <w:p>
            <w:pPr>
              <w:pStyle w:val="896"/>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二</w:t>
            </w:r>
            <w:r>
              <w:rPr>
                <w:rFonts w:hint="eastAsia" w:ascii="宋体" w:hAnsi="宋体" w:eastAsia="宋体" w:cs="宋体"/>
                <w:color w:val="000000"/>
                <w:szCs w:val="21"/>
                <w:highlight w:val="none"/>
                <w:vertAlign w:val="baseline"/>
                <w:lang w:val="en-US" w:eastAsia="zh-CN"/>
              </w:rPr>
            </w:r>
            <w:r/>
          </w:p>
        </w:tc>
        <w:tc>
          <w:tcPr>
            <w:tcW w:w="5840" w:type="dxa"/>
            <w:vAlign w:val="center"/>
            <w:textDirection w:val="lrTb"/>
            <w:noWrap w:val="false"/>
          </w:tcPr>
          <w:p>
            <w:pPr>
              <w:pStyle w:val="896"/>
              <w:jc w:val="center"/>
              <w:spacing w:line="360" w:lineRule="auto"/>
              <w:rPr>
                <w:rFonts w:ascii="宋体" w:hAnsi="宋体" w:eastAsia="宋体" w:cs="宋体"/>
                <w:color w:val="000000"/>
                <w:szCs w:val="21"/>
                <w:highlight w:val="none"/>
                <w:vertAlign w:val="baseline"/>
                <w:lang w:val="en-US" w:eastAsia="zh-CN"/>
              </w:rPr>
            </w:pPr>
            <w:r>
              <w:rPr>
                <w:rFonts w:hint="eastAsia" w:ascii="宋体" w:hAnsi="宋体" w:cs="宋体"/>
                <w:color w:val="000000"/>
                <w:szCs w:val="21"/>
                <w:highlight w:val="none"/>
                <w:vertAlign w:val="baseline"/>
                <w:lang w:val="en-US" w:eastAsia="zh-CN"/>
              </w:rPr>
              <w:t xml:space="preserve">柒拾伍万圆整（￥：750000.00）</w:t>
            </w:r>
            <w:r>
              <w:rPr>
                <w:rFonts w:ascii="宋体" w:hAnsi="宋体" w:eastAsia="宋体" w:cs="宋体"/>
                <w:color w:val="000000"/>
                <w:szCs w:val="21"/>
                <w:highlight w:val="none"/>
                <w:vertAlign w:val="baseline"/>
                <w:lang w:val="en-US" w:eastAsia="zh-CN"/>
              </w:rPr>
            </w:r>
            <w:r/>
          </w:p>
        </w:tc>
        <w:tc>
          <w:tcPr>
            <w:tcW w:w="1898" w:type="dxa"/>
            <w:vAlign w:val="center"/>
            <w:textDirection w:val="lrTb"/>
            <w:noWrap w:val="false"/>
          </w:tcPr>
          <w:p>
            <w:pPr>
              <w:pStyle w:val="896"/>
              <w:jc w:val="center"/>
              <w:spacing w:line="360" w:lineRule="auto"/>
              <w:rPr>
                <w:rFonts w:hint="eastAsia" w:ascii="宋体" w:hAnsi="宋体" w:cs="宋体"/>
                <w:color w:val="000000"/>
                <w:szCs w:val="21"/>
                <w:highlight w:val="none"/>
                <w:vertAlign w:val="baseline"/>
              </w:rPr>
            </w:pPr>
            <w:r>
              <w:rPr>
                <w:rFonts w:hint="eastAsia" w:ascii="宋体" w:hAnsi="宋体" w:cs="宋体"/>
                <w:color w:val="000000"/>
                <w:szCs w:val="21"/>
                <w:highlight w:val="none"/>
                <w:vertAlign w:val="baseline"/>
              </w:rPr>
              <w:t xml:space="preserve">三里桥片区</w:t>
            </w:r>
            <w:r>
              <w:rPr>
                <w:rFonts w:hint="eastAsia" w:ascii="宋体" w:hAnsi="宋体" w:cs="宋体"/>
                <w:color w:val="000000"/>
                <w:szCs w:val="21"/>
                <w:highlight w:val="none"/>
                <w:vertAlign w:val="baseline"/>
              </w:rPr>
            </w:r>
            <w:r/>
          </w:p>
        </w:tc>
      </w:tr>
    </w:tbl>
    <w:p>
      <w:pPr>
        <w:pStyle w:val="896"/>
        <w:ind w:firstLine="482"/>
        <w:keepLines w:val="0"/>
        <w:keepNext w:val="0"/>
        <w:pageBreakBefore w:val="0"/>
        <w:spacing w:line="360" w:lineRule="auto"/>
        <w:widowControl/>
        <w:rPr>
          <w:b/>
          <w:bCs w:val="0"/>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eastAsia="zh-CN"/>
        </w:rPr>
        <w:t xml:space="preserve">自合同生效之日起六个月。</w:t>
      </w:r>
      <w:r>
        <w:rPr>
          <w:b/>
          <w:bCs w:val="0"/>
          <w:highlight w:val="none"/>
          <w:lang w:val="en-US" w:eastAsia="zh-CN"/>
        </w:rPr>
      </w:r>
      <w:r/>
    </w:p>
    <w:p>
      <w:pPr>
        <w:pStyle w:val="896"/>
        <w:ind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采购需求：</w:t>
      </w:r>
      <w:r>
        <w:rPr>
          <w:rFonts w:hint="eastAsia" w:ascii="宋体" w:hAnsi="宋体" w:eastAsia="宋体" w:cs="宋体"/>
          <w:b/>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服务工作要求：</w:t>
      </w:r>
      <w:r>
        <w:rPr>
          <w:rFonts w:hint="eastAsia" w:ascii="宋体" w:hAnsi="宋体" w:eastAsia="宋体" w:cs="宋体"/>
          <w:color w:val="000000"/>
          <w:sz w:val="24"/>
          <w:szCs w:val="24"/>
          <w:highlight w:val="none"/>
          <w:lang w:val="en-US" w:eastAsia="zh-CN"/>
        </w:rPr>
        <w:t xml:space="preserve">为做好花港湾片区和三里桥片区城中村改造项目拆迁区域的安全稳定工作，特组建专职安保队伍，对拆迁区域建立常态化管控机制。具体包括对已腾空房屋设施等情况进行详细排查，积极开展 “敲门行动 ”，集中清理整治拆迁区域出租房、宾馆旅店等场所治安、消防等潜在的问题隐患。</w:t>
      </w:r>
      <w:r>
        <w:rPr>
          <w:rFonts w:hint="eastAsia" w:ascii="宋体" w:hAnsi="宋体" w:eastAsia="宋体" w:cs="宋体"/>
          <w:color w:val="000000"/>
          <w:sz w:val="24"/>
          <w:szCs w:val="24"/>
          <w:highlight w:val="none"/>
          <w:lang w:val="en-US" w:eastAsia="zh-CN"/>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人员配备要求：</w:t>
      </w:r>
      <w:r>
        <w:rPr>
          <w:rFonts w:hint="eastAsia" w:ascii="宋体" w:hAnsi="宋体" w:eastAsia="宋体" w:cs="宋体"/>
          <w:color w:val="000000"/>
          <w:sz w:val="24"/>
          <w:szCs w:val="24"/>
          <w:highlight w:val="none"/>
          <w:lang w:val="zh-CN"/>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26"/>
        <w:gridCol w:w="971"/>
        <w:gridCol w:w="1358"/>
        <w:gridCol w:w="712"/>
        <w:gridCol w:w="2438"/>
        <w:gridCol w:w="1929"/>
      </w:tblGrid>
      <w:tr>
        <w:trPr>
          <w:trHeight w:val="476"/>
        </w:trPr>
        <w:tc>
          <w:tcPr>
            <w:tcW w:w="724"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W w:w="1226"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岗位</w:t>
            </w:r>
            <w:r>
              <w:rPr>
                <w:rFonts w:hint="eastAsia" w:ascii="宋体" w:hAnsi="宋体" w:eastAsia="宋体" w:cs="宋体"/>
                <w:sz w:val="24"/>
                <w:szCs w:val="24"/>
                <w:highlight w:val="none"/>
                <w:lang w:val="en-US" w:eastAsia="zh-CN" w:bidi="ar-SA"/>
              </w:rPr>
            </w:r>
            <w:r/>
          </w:p>
        </w:tc>
        <w:tc>
          <w:tcPr>
            <w:tcW w:w="971"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人数下限（人）</w:t>
            </w:r>
            <w:r>
              <w:rPr>
                <w:rFonts w:hint="eastAsia" w:ascii="宋体" w:hAnsi="宋体" w:eastAsia="宋体" w:cs="宋体"/>
                <w:sz w:val="24"/>
                <w:szCs w:val="24"/>
                <w:highlight w:val="none"/>
                <w:lang w:val="en-US" w:eastAsia="zh-CN" w:bidi="ar-SA"/>
              </w:rPr>
            </w:r>
            <w:r/>
          </w:p>
        </w:tc>
        <w:tc>
          <w:tcPr>
            <w:tcW w:w="1358"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年龄要求</w:t>
            </w:r>
            <w:r>
              <w:rPr>
                <w:rFonts w:hint="eastAsia" w:ascii="宋体" w:hAnsi="宋体" w:eastAsia="宋体" w:cs="宋体"/>
                <w:sz w:val="24"/>
                <w:szCs w:val="24"/>
                <w:highlight w:val="none"/>
                <w:lang w:val="en-US" w:eastAsia="zh-CN" w:bidi="ar-SA"/>
              </w:rPr>
            </w:r>
            <w:r/>
          </w:p>
        </w:tc>
        <w:tc>
          <w:tcPr>
            <w:tcW w:w="712"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性别</w:t>
            </w:r>
            <w:r>
              <w:rPr>
                <w:rFonts w:hint="eastAsia" w:ascii="宋体" w:hAnsi="宋体" w:eastAsia="宋体" w:cs="宋体"/>
                <w:sz w:val="24"/>
                <w:szCs w:val="24"/>
                <w:highlight w:val="none"/>
                <w:lang w:val="en-US" w:eastAsia="zh-CN" w:bidi="ar-SA"/>
              </w:rPr>
            </w:r>
            <w:r/>
          </w:p>
        </w:tc>
        <w:tc>
          <w:tcPr>
            <w:tcW w:w="2438"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基本要求</w:t>
            </w:r>
            <w:r>
              <w:rPr>
                <w:rFonts w:hint="eastAsia" w:ascii="宋体" w:hAnsi="宋体" w:eastAsia="宋体" w:cs="宋体"/>
                <w:sz w:val="24"/>
                <w:szCs w:val="24"/>
                <w:highlight w:val="none"/>
                <w:lang w:val="en-US" w:eastAsia="zh-CN" w:bidi="ar-SA"/>
              </w:rPr>
            </w:r>
            <w:r/>
          </w:p>
        </w:tc>
        <w:tc>
          <w:tcPr>
            <w:tcW w:w="1929"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工作时间</w:t>
            </w:r>
            <w:r>
              <w:rPr>
                <w:rFonts w:hint="eastAsia" w:ascii="宋体" w:hAnsi="宋体" w:eastAsia="宋体" w:cs="宋体"/>
                <w:sz w:val="24"/>
                <w:szCs w:val="24"/>
                <w:highlight w:val="none"/>
                <w:lang w:val="en-US" w:eastAsia="zh-CN" w:bidi="ar-SA"/>
              </w:rPr>
            </w:r>
            <w:r/>
          </w:p>
        </w:tc>
      </w:tr>
      <w:tr>
        <w:trPr>
          <w:trHeight w:val="476"/>
        </w:trPr>
        <w:tc>
          <w:tcPr>
            <w:gridSpan w:val="7"/>
            <w:tcW w:w="9358"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一标段、花港湾片区</w:t>
            </w:r>
            <w:r>
              <w:rPr>
                <w:rFonts w:hint="eastAsia" w:ascii="宋体" w:hAnsi="宋体" w:eastAsia="宋体" w:cs="宋体"/>
                <w:sz w:val="24"/>
                <w:szCs w:val="24"/>
                <w:highlight w:val="none"/>
                <w:lang w:val="en-US" w:eastAsia="zh-CN" w:bidi="ar-SA"/>
              </w:rPr>
            </w:r>
            <w:r/>
          </w:p>
        </w:tc>
      </w:tr>
      <w:tr>
        <w:trPr>
          <w:trHeight w:val="476"/>
        </w:trPr>
        <w:tc>
          <w:tcPr>
            <w:tcW w:w="724"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226"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保安队长</w:t>
            </w:r>
            <w:r>
              <w:rPr>
                <w:rFonts w:hint="eastAsia" w:ascii="宋体" w:hAnsi="宋体" w:eastAsia="宋体" w:cs="宋体"/>
                <w:sz w:val="24"/>
                <w:szCs w:val="24"/>
                <w:highlight w:val="none"/>
                <w:lang w:val="en-US" w:eastAsia="zh-CN" w:bidi="ar-SA"/>
              </w:rPr>
            </w:r>
            <w:r/>
          </w:p>
        </w:tc>
        <w:tc>
          <w:tcPr>
            <w:tcW w:w="971"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358" w:type="dxa"/>
            <w:vAlign w:val="center"/>
            <w:vMerge w:val="restart"/>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30（含）-50（含）周岁</w:t>
            </w:r>
            <w:r>
              <w:rPr>
                <w:rFonts w:hint="eastAsia" w:ascii="宋体" w:hAnsi="宋体" w:eastAsia="宋体" w:cs="宋体"/>
                <w:sz w:val="24"/>
                <w:szCs w:val="24"/>
                <w:highlight w:val="none"/>
                <w:lang w:val="en-US" w:eastAsia="zh-CN" w:bidi="ar-SA"/>
              </w:rPr>
            </w:r>
            <w:r/>
          </w:p>
        </w:tc>
        <w:tc>
          <w:tcPr>
            <w:tcW w:w="712" w:type="dxa"/>
            <w:vAlign w:val="center"/>
            <w:vMerge w:val="restart"/>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男</w:t>
            </w:r>
            <w:r>
              <w:rPr>
                <w:rFonts w:hint="eastAsia" w:ascii="宋体" w:hAnsi="宋体" w:eastAsia="宋体" w:cs="宋体"/>
                <w:sz w:val="24"/>
                <w:szCs w:val="24"/>
                <w:highlight w:val="none"/>
                <w:lang w:val="en-US" w:eastAsia="zh-CN" w:bidi="ar-SA"/>
              </w:rPr>
            </w:r>
            <w:r/>
          </w:p>
        </w:tc>
        <w:tc>
          <w:tcPr>
            <w:tcW w:w="2438" w:type="dxa"/>
            <w:vAlign w:val="center"/>
            <w:vMerge w:val="restart"/>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身体健康，体检合格。</w:t>
            </w:r>
            <w:r>
              <w:rPr>
                <w:rFonts w:hint="eastAsia" w:ascii="宋体" w:hAnsi="宋体" w:eastAsia="宋体" w:cs="宋体"/>
                <w:sz w:val="24"/>
                <w:szCs w:val="24"/>
                <w:highlight w:val="none"/>
                <w:lang w:val="en-US" w:eastAsia="zh-CN" w:bidi="ar-SA"/>
              </w:rPr>
              <w:t xml:space="preserve">形体无明显缺陷，外貌端正。</w:t>
            </w:r>
            <w:r>
              <w:rPr>
                <w:rFonts w:hint="eastAsia" w:ascii="宋体" w:hAnsi="宋体" w:eastAsia="宋体" w:cs="宋体"/>
                <w:sz w:val="24"/>
                <w:szCs w:val="24"/>
                <w:highlight w:val="none"/>
                <w:lang w:val="en-US" w:eastAsia="zh-CN" w:bidi="ar-SA"/>
              </w:rPr>
            </w:r>
            <w:r/>
          </w:p>
        </w:tc>
        <w:tc>
          <w:tcPr>
            <w:tcW w:w="1929" w:type="dxa"/>
            <w:vAlign w:val="center"/>
            <w:vMerge w:val="restart"/>
            <w:textDirection w:val="lrTb"/>
            <w:noWrap w:val="false"/>
          </w:tcPr>
          <w:p>
            <w:pPr>
              <w:pStyle w:val="896"/>
              <w:jc w:val="left"/>
              <w:spacing w:line="360" w:lineRule="exac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八小时工作制，周末</w:t>
            </w:r>
            <w:r>
              <w:rPr>
                <w:rFonts w:hint="eastAsia" w:ascii="宋体" w:hAnsi="宋体" w:eastAsia="宋体" w:cs="宋体"/>
                <w:sz w:val="24"/>
                <w:szCs w:val="24"/>
                <w:highlight w:val="none"/>
                <w:lang w:val="en-US" w:eastAsia="zh-CN" w:bidi="ar"/>
              </w:rPr>
              <w:t xml:space="preserve">每天在岗人数不小于</w:t>
            </w:r>
            <w:r>
              <w:rPr>
                <w:rFonts w:hint="eastAsia" w:ascii="宋体" w:hAnsi="宋体" w:eastAsia="宋体" w:cs="宋体"/>
                <w:sz w:val="24"/>
                <w:szCs w:val="24"/>
                <w:highlight w:val="none"/>
                <w:lang w:val="en-US" w:eastAsia="zh-CN" w:bidi="ar-SA"/>
              </w:rPr>
              <w:t xml:space="preserve">8人，</w:t>
            </w:r>
            <w:r>
              <w:rPr>
                <w:rFonts w:hint="eastAsia" w:ascii="宋体" w:hAnsi="宋体" w:eastAsia="宋体" w:cs="宋体"/>
                <w:sz w:val="24"/>
                <w:szCs w:val="24"/>
                <w:highlight w:val="none"/>
                <w:lang w:val="en-US" w:eastAsia="zh-CN" w:bidi="ar"/>
              </w:rPr>
              <w:t xml:space="preserve">法定国假日休息（采购人有服务需求的除外）。</w:t>
            </w:r>
            <w:r>
              <w:rPr>
                <w:rFonts w:hint="eastAsia" w:ascii="宋体" w:hAnsi="宋体" w:eastAsia="宋体" w:cs="宋体"/>
                <w:sz w:val="24"/>
                <w:szCs w:val="24"/>
                <w:highlight w:val="none"/>
                <w:lang w:val="zh-CN" w:eastAsia="zh-CN" w:bidi="ar-SA"/>
              </w:rPr>
            </w:r>
            <w:r/>
          </w:p>
        </w:tc>
      </w:tr>
      <w:tr>
        <w:trPr>
          <w:trHeight w:val="476"/>
        </w:trPr>
        <w:tc>
          <w:tcPr>
            <w:tcW w:w="724"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226"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保安人员</w:t>
            </w:r>
            <w:r>
              <w:rPr>
                <w:rFonts w:hint="eastAsia" w:ascii="宋体" w:hAnsi="宋体" w:eastAsia="宋体" w:cs="宋体"/>
                <w:sz w:val="24"/>
                <w:szCs w:val="24"/>
                <w:highlight w:val="none"/>
                <w:lang w:val="en-US" w:eastAsia="zh-CN" w:bidi="ar-SA"/>
              </w:rPr>
            </w:r>
            <w:r/>
          </w:p>
        </w:tc>
        <w:tc>
          <w:tcPr>
            <w:tcW w:w="971" w:type="dxa"/>
            <w:vAlign w:val="center"/>
            <w:textDirection w:val="lrTb"/>
            <w:noWrap w:val="false"/>
          </w:tcPr>
          <w:p>
            <w:pPr>
              <w:pStyle w:val="896"/>
              <w:jc w:val="center"/>
              <w:spacing w:line="3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rPr>
                <w:rFonts w:ascii="宋体" w:hAnsi="宋体" w:eastAsia="宋体" w:cs="宋体"/>
                <w:sz w:val="24"/>
                <w:szCs w:val="24"/>
                <w:highlight w:val="none"/>
                <w:lang w:val="en-US" w:eastAsia="zh-CN" w:bidi="ar-SA"/>
              </w:rPr>
            </w:r>
            <w:r/>
          </w:p>
        </w:tc>
        <w:tc>
          <w:tcPr>
            <w:tcW w:w="1358"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12" w:type="dxa"/>
            <w:vAlign w:val="center"/>
            <w:vMerge w:val="continue"/>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38"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29"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r>
            <w:r/>
          </w:p>
        </w:tc>
      </w:tr>
      <w:tr>
        <w:trPr>
          <w:trHeight w:val="476"/>
        </w:trPr>
        <w:tc>
          <w:tcPr>
            <w:gridSpan w:val="7"/>
            <w:tcW w:w="9358" w:type="dxa"/>
            <w:vAlign w:val="center"/>
            <w:textDirection w:val="lrTb"/>
            <w:noWrap w:val="false"/>
          </w:tcPr>
          <w:p>
            <w:pPr>
              <w:pStyle w:val="896"/>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二标段、三里桥片区</w:t>
            </w:r>
            <w:r>
              <w:rPr>
                <w:rFonts w:hint="eastAsia" w:ascii="宋体" w:hAnsi="宋体" w:eastAsia="宋体" w:cs="宋体"/>
                <w:sz w:val="24"/>
                <w:szCs w:val="24"/>
                <w:highlight w:val="none"/>
                <w:lang w:val="en-US" w:eastAsia="zh-CN" w:bidi="ar-SA"/>
              </w:rPr>
            </w:r>
            <w:r/>
          </w:p>
        </w:tc>
      </w:tr>
      <w:tr>
        <w:trPr>
          <w:trHeight w:val="476"/>
        </w:trPr>
        <w:tc>
          <w:tcPr>
            <w:tcW w:w="724"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226" w:type="dxa"/>
            <w:vAlign w:val="center"/>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保安队长</w:t>
            </w:r>
            <w:r>
              <w:rPr>
                <w:rFonts w:hint="eastAsia" w:ascii="宋体" w:hAnsi="宋体" w:eastAsia="宋体" w:cs="宋体"/>
                <w:sz w:val="24"/>
                <w:szCs w:val="24"/>
                <w:highlight w:val="none"/>
                <w:lang w:val="en-US" w:eastAsia="zh-CN" w:bidi="ar-SA"/>
              </w:rPr>
            </w:r>
            <w:r/>
          </w:p>
        </w:tc>
        <w:tc>
          <w:tcPr>
            <w:tcW w:w="971"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358" w:type="dxa"/>
            <w:vAlign w:val="center"/>
            <w:vMerge w:val="restart"/>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30（含）-50（含）周岁以下</w:t>
            </w:r>
            <w:r>
              <w:rPr>
                <w:rFonts w:hint="eastAsia" w:ascii="宋体" w:hAnsi="宋体" w:eastAsia="宋体" w:cs="宋体"/>
                <w:sz w:val="24"/>
                <w:szCs w:val="24"/>
                <w:highlight w:val="none"/>
                <w:lang w:val="en-US" w:eastAsia="zh-CN" w:bidi="ar-SA"/>
              </w:rPr>
            </w:r>
            <w:r/>
          </w:p>
        </w:tc>
        <w:tc>
          <w:tcPr>
            <w:tcW w:w="712" w:type="dxa"/>
            <w:vAlign w:val="center"/>
            <w:vMerge w:val="restart"/>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男</w:t>
            </w:r>
            <w:r>
              <w:rPr>
                <w:rFonts w:hint="eastAsia" w:ascii="宋体" w:hAnsi="宋体" w:eastAsia="宋体" w:cs="宋体"/>
                <w:sz w:val="24"/>
                <w:szCs w:val="24"/>
                <w:highlight w:val="none"/>
                <w:lang w:val="en-US" w:eastAsia="zh-CN" w:bidi="ar-SA"/>
              </w:rPr>
            </w:r>
            <w:r/>
          </w:p>
        </w:tc>
        <w:tc>
          <w:tcPr>
            <w:tcW w:w="2438" w:type="dxa"/>
            <w:vAlign w:val="center"/>
            <w:vMerge w:val="restart"/>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身体健康，体检合格。</w:t>
            </w:r>
            <w:r>
              <w:rPr>
                <w:rFonts w:hint="eastAsia" w:ascii="宋体" w:hAnsi="宋体" w:eastAsia="宋体" w:cs="宋体"/>
                <w:sz w:val="24"/>
                <w:szCs w:val="24"/>
                <w:highlight w:val="none"/>
                <w:lang w:val="en-US" w:eastAsia="zh-CN" w:bidi="ar-SA"/>
              </w:rPr>
              <w:t xml:space="preserve">形体无明显缺陷，外貌端正。</w:t>
            </w:r>
            <w:r>
              <w:rPr>
                <w:rFonts w:hint="eastAsia" w:ascii="宋体" w:hAnsi="宋体" w:eastAsia="宋体" w:cs="宋体"/>
                <w:sz w:val="24"/>
                <w:szCs w:val="24"/>
                <w:highlight w:val="none"/>
                <w:lang w:val="en-US" w:eastAsia="zh-CN" w:bidi="ar-SA"/>
              </w:rPr>
            </w:r>
            <w:r/>
          </w:p>
        </w:tc>
        <w:tc>
          <w:tcPr>
            <w:tcW w:w="1929" w:type="dxa"/>
            <w:vAlign w:val="center"/>
            <w:vMerge w:val="restart"/>
            <w:textDirection w:val="lrTb"/>
            <w:noWrap w:val="false"/>
          </w:tcPr>
          <w:p>
            <w:pPr>
              <w:pStyle w:val="896"/>
              <w:jc w:val="left"/>
              <w:spacing w:line="360" w:lineRule="exac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八小时工作制，周末</w:t>
            </w:r>
            <w:r>
              <w:rPr>
                <w:rFonts w:hint="eastAsia" w:ascii="宋体" w:hAnsi="宋体" w:eastAsia="宋体" w:cs="宋体"/>
                <w:sz w:val="24"/>
                <w:szCs w:val="24"/>
                <w:highlight w:val="none"/>
                <w:lang w:val="en-US" w:eastAsia="zh-CN" w:bidi="ar-SA"/>
              </w:rPr>
              <w:t xml:space="preserve">每天在岗人数不小于4人，</w:t>
            </w:r>
            <w:r>
              <w:rPr>
                <w:rFonts w:hint="eastAsia" w:ascii="宋体" w:hAnsi="宋体" w:eastAsia="宋体" w:cs="宋体"/>
                <w:sz w:val="24"/>
                <w:szCs w:val="24"/>
                <w:highlight w:val="none"/>
                <w:lang w:val="en-US" w:eastAsia="zh-CN" w:bidi="ar"/>
              </w:rPr>
              <w:t xml:space="preserve">法定国假日休息（采购人有服务需求的除外）。</w:t>
            </w:r>
            <w:r>
              <w:rPr>
                <w:rFonts w:hint="eastAsia" w:ascii="宋体" w:hAnsi="宋体" w:eastAsia="宋体" w:cs="宋体"/>
                <w:sz w:val="24"/>
                <w:szCs w:val="24"/>
                <w:highlight w:val="none"/>
                <w:lang w:val="zh-CN" w:eastAsia="zh-CN" w:bidi="ar-SA"/>
              </w:rPr>
            </w:r>
            <w:r/>
          </w:p>
        </w:tc>
      </w:tr>
      <w:tr>
        <w:trPr>
          <w:trHeight w:val="476"/>
        </w:trPr>
        <w:tc>
          <w:tcPr>
            <w:tcW w:w="724" w:type="dxa"/>
            <w:vAlign w:val="center"/>
            <w:textDirection w:val="lrTb"/>
            <w:noWrap w:val="false"/>
          </w:tcPr>
          <w:p>
            <w:pPr>
              <w:pStyle w:val="896"/>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226" w:type="dxa"/>
            <w:vAlign w:val="center"/>
            <w:textDirection w:val="lrTb"/>
            <w:noWrap w:val="false"/>
          </w:tcPr>
          <w:p>
            <w:pPr>
              <w:pStyle w:val="896"/>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保安</w:t>
            </w:r>
            <w:r>
              <w:rPr>
                <w:rFonts w:hint="eastAsia" w:ascii="宋体" w:hAnsi="宋体" w:eastAsia="宋体" w:cs="宋体"/>
                <w:sz w:val="24"/>
                <w:szCs w:val="24"/>
                <w:highlight w:val="none"/>
                <w:lang w:val="zh-CN" w:eastAsia="zh-CN" w:bidi="ar-SA"/>
              </w:rPr>
              <w:t xml:space="preserve">人员</w:t>
            </w:r>
            <w:r>
              <w:rPr>
                <w:rFonts w:hint="eastAsia" w:ascii="宋体" w:hAnsi="宋体" w:eastAsia="宋体" w:cs="宋体"/>
                <w:sz w:val="24"/>
                <w:szCs w:val="24"/>
                <w:highlight w:val="none"/>
                <w:lang w:val="en-US" w:eastAsia="zh-CN" w:bidi="ar-SA"/>
              </w:rPr>
            </w:r>
            <w:r/>
          </w:p>
        </w:tc>
        <w:tc>
          <w:tcPr>
            <w:tcW w:w="971" w:type="dxa"/>
            <w:vAlign w:val="center"/>
            <w:textDirection w:val="lrTb"/>
            <w:noWrap w:val="false"/>
          </w:tcPr>
          <w:p>
            <w:pPr>
              <w:pStyle w:val="896"/>
              <w:jc w:val="center"/>
              <w:spacing w:line="36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w:t>
            </w:r>
            <w:r>
              <w:rPr>
                <w:rFonts w:ascii="宋体" w:hAnsi="宋体" w:eastAsia="宋体" w:cs="宋体"/>
                <w:sz w:val="24"/>
                <w:szCs w:val="24"/>
                <w:highlight w:val="none"/>
                <w:lang w:val="en-US" w:eastAsia="zh-CN" w:bidi="ar-SA"/>
              </w:rPr>
            </w:r>
            <w:r/>
          </w:p>
        </w:tc>
        <w:tc>
          <w:tcPr>
            <w:tcW w:w="1358"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2"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38"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29" w:type="dxa"/>
            <w:vAlign w:val="center"/>
            <w:vMerge w:val="continue"/>
            <w:textDirection w:val="lrTb"/>
            <w:noWrap w:val="false"/>
          </w:tcPr>
          <w:p>
            <w:pPr>
              <w:pStyle w:val="896"/>
              <w:jc w:val="left"/>
              <w:spacing w:line="36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 成交单位必须与上述人员签订劳动合同，必须给上述人员按照苏州市有关规定支付工资，并按国家相关政策规定交纳正常的社会保险等。</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若成交的响应单位在服务管理期间，违反下列规定将解除服务合同。</w:t>
      </w:r>
      <w:r>
        <w:rPr>
          <w:rFonts w:hint="eastAsia" w:ascii="宋体" w:hAnsi="宋体" w:eastAsia="宋体" w:cs="宋体"/>
          <w:color w:val="000000"/>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zh-CN"/>
        </w:rPr>
        <w:t xml:space="preserve">未经</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单位许可，将服务转包、分包他人；</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zh-CN"/>
        </w:rPr>
        <w:t xml:space="preserve">严重违反《服务考核办法》（签订合同时由甲乙双方协商确认）的有关规定；</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出现重大事故或问题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6"/>
        <w:ind w:left="0" w:firstLine="482"/>
        <w:keepLines w:val="0"/>
        <w:keepNext w:val="0"/>
        <w:pageBreakBefore w:val="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商务条款要求</w:t>
      </w:r>
      <w:r>
        <w:rPr>
          <w:rFonts w:hint="eastAsia" w:ascii="宋体" w:hAnsi="宋体" w:cs="宋体"/>
          <w:b/>
          <w:color w:val="000000"/>
          <w:sz w:val="24"/>
          <w:highlight w:val="none"/>
        </w:rPr>
      </w:r>
      <w:r/>
    </w:p>
    <w:tbl>
      <w:tblPr>
        <w:tblW w:w="9260" w:type="dxa"/>
        <w:jc w:val="center"/>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070"/>
        <w:gridCol w:w="6350"/>
      </w:tblGrid>
      <w:tr>
        <w:trPr>
          <w:trHeight w:val="397"/>
        </w:trPr>
        <w:tc>
          <w:tcPr>
            <w:tcW w:w="840" w:type="dxa"/>
            <w:vAlign w:val="center"/>
            <w:textDirection w:val="lrTb"/>
            <w:noWrap w:val="false"/>
          </w:tcPr>
          <w:p>
            <w:pPr>
              <w:pStyle w:val="896"/>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2070" w:type="dxa"/>
            <w:vAlign w:val="center"/>
            <w:textDirection w:val="lrTb"/>
            <w:noWrap w:val="false"/>
          </w:tcPr>
          <w:p>
            <w:pPr>
              <w:pStyle w:val="896"/>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名称</w:t>
            </w:r>
            <w:r>
              <w:rPr>
                <w:rFonts w:hint="eastAsia" w:ascii="宋体" w:hAnsi="宋体" w:cs="宋体"/>
                <w:b/>
                <w:color w:val="000000"/>
                <w:sz w:val="24"/>
                <w:szCs w:val="24"/>
                <w:highlight w:val="none"/>
              </w:rPr>
            </w:r>
            <w:r/>
          </w:p>
        </w:tc>
        <w:tc>
          <w:tcPr>
            <w:tcW w:w="6350" w:type="dxa"/>
            <w:vAlign w:val="center"/>
            <w:textDirection w:val="lrTb"/>
            <w:noWrap w:val="false"/>
          </w:tcPr>
          <w:p>
            <w:pPr>
              <w:pStyle w:val="896"/>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商务条款</w:t>
            </w:r>
            <w:r>
              <w:rPr>
                <w:rFonts w:hint="eastAsia" w:ascii="宋体" w:hAnsi="宋体" w:cs="宋体"/>
                <w:b/>
                <w:color w:val="000000"/>
                <w:sz w:val="24"/>
                <w:szCs w:val="24"/>
                <w:highlight w:val="none"/>
              </w:rPr>
              <w:t xml:space="preserve">需求</w:t>
            </w:r>
            <w:r>
              <w:rPr>
                <w:rFonts w:hint="eastAsia" w:ascii="宋体" w:hAnsi="宋体" w:cs="宋体"/>
                <w:b/>
                <w:color w:val="000000"/>
                <w:sz w:val="24"/>
                <w:szCs w:val="24"/>
                <w:highlight w:val="none"/>
              </w:rPr>
            </w:r>
            <w:r/>
          </w:p>
        </w:tc>
      </w:tr>
      <w:tr>
        <w:trPr>
          <w:trHeight w:val="350"/>
        </w:trPr>
        <w:tc>
          <w:tcPr>
            <w:tcW w:w="840" w:type="dxa"/>
            <w:vAlign w:val="center"/>
            <w:textDirection w:val="lrTb"/>
            <w:noWrap w:val="false"/>
          </w:tcPr>
          <w:p>
            <w:pPr>
              <w:pStyle w:val="896"/>
              <w:jc w:val="center"/>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eastAsia="zh-CN"/>
              </w:rPr>
            </w:r>
            <w:r/>
          </w:p>
        </w:tc>
        <w:tc>
          <w:tcPr>
            <w:tcW w:w="2070" w:type="dxa"/>
            <w:vAlign w:val="center"/>
            <w:textDirection w:val="lrTb"/>
            <w:noWrap w:val="false"/>
          </w:tcPr>
          <w:p>
            <w:pPr>
              <w:pStyle w:val="896"/>
              <w:jc w:val="center"/>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响应报价</w:t>
            </w:r>
            <w:r>
              <w:rPr>
                <w:rFonts w:hint="eastAsia" w:ascii="宋体" w:hAnsi="宋体" w:cs="宋体"/>
                <w:bCs/>
                <w:color w:val="000000"/>
                <w:sz w:val="24"/>
                <w:szCs w:val="24"/>
                <w:highlight w:val="none"/>
              </w:rPr>
            </w:r>
            <w:r/>
          </w:p>
        </w:tc>
        <w:tc>
          <w:tcPr>
            <w:tcW w:w="6350" w:type="dxa"/>
            <w:vAlign w:val="top"/>
            <w:textDirection w:val="lrTb"/>
            <w:noWrap w:val="false"/>
          </w:tcPr>
          <w:p>
            <w:pPr>
              <w:pStyle w:val="896"/>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en-US" w:eastAsia="zh-CN"/>
              </w:rPr>
              <w:t xml:space="preserve">1.1报价包括</w:t>
            </w:r>
            <w:r>
              <w:rPr>
                <w:rFonts w:hint="eastAsia" w:ascii="宋体" w:hAnsi="宋体" w:eastAsia="宋体" w:cs="宋体"/>
                <w:sz w:val="24"/>
                <w:szCs w:val="24"/>
                <w:highlight w:val="none"/>
              </w:rPr>
              <w:t xml:space="preserve">完成该项工作所需的所有安保服务管理、保安工具及耗材、通讯、服装、胸卡、办公设备、巡检器材、各种税费、人工工资、保险、劳保、薪金、福利、加班、高温、休假日补贴、医疗费用等工作所发生的全部费用以及乙方企业利润、税金和政策性文件规定及合同包含的所有风险、责任等各项应有费用。采购方除以上服务费用之外不再承担其它任何费用，人员的薪金、福利、休假日补贴、医疗</w:t>
            </w:r>
            <w:r>
              <w:rPr>
                <w:rFonts w:hint="eastAsia" w:ascii="宋体" w:hAnsi="宋体" w:eastAsia="宋体" w:cs="宋体"/>
                <w:sz w:val="24"/>
                <w:szCs w:val="24"/>
                <w:highlight w:val="none"/>
              </w:rPr>
              <w:t xml:space="preserve">费用等均由成交单位负责，与采购方无关。加班费、法定节假日的加班费按国家有关规定费用一并包含在成交价中。</w:t>
            </w:r>
            <w:r>
              <w:rPr>
                <w:rFonts w:hint="eastAsia" w:ascii="宋体" w:hAnsi="宋体" w:eastAsia="宋体" w:cs="宋体"/>
                <w:sz w:val="24"/>
                <w:szCs w:val="24"/>
                <w:highlight w:val="none"/>
              </w:rPr>
            </w:r>
            <w:r/>
          </w:p>
          <w:p>
            <w:pPr>
              <w:pStyle w:val="896"/>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val="zh-CN"/>
              </w:rPr>
              <w:t xml:space="preserve">响应单位项目总人数低于采购要求的，视为非实质性响应招标文件。按响应单位提供的项目总人数测算的人工费（包括人员工资、社保、国假加班工资、</w:t>
            </w:r>
            <w:r>
              <w:rPr>
                <w:rFonts w:hint="eastAsia" w:ascii="宋体" w:hAnsi="宋体" w:eastAsia="宋体" w:cs="宋体"/>
                <w:sz w:val="24"/>
                <w:szCs w:val="24"/>
                <w:highlight w:val="none"/>
                <w:lang w:val="en-US" w:eastAsia="zh-CN"/>
              </w:rPr>
              <w:t xml:space="preserve">高温费</w:t>
            </w:r>
            <w:r>
              <w:rPr>
                <w:rFonts w:hint="eastAsia" w:ascii="宋体" w:hAnsi="宋体" w:eastAsia="宋体" w:cs="宋体"/>
                <w:sz w:val="24"/>
                <w:szCs w:val="24"/>
                <w:highlight w:val="none"/>
                <w:lang w:val="zh-CN"/>
              </w:rPr>
              <w:t xml:space="preserve">等），低于苏州市</w:t>
            </w:r>
            <w:r>
              <w:rPr>
                <w:rFonts w:hint="eastAsia" w:ascii="宋体" w:hAnsi="宋体" w:eastAsia="宋体" w:cs="宋体"/>
                <w:sz w:val="24"/>
                <w:szCs w:val="24"/>
                <w:highlight w:val="none"/>
              </w:rPr>
              <w:t xml:space="preserve">吴江区</w:t>
            </w:r>
            <w:r>
              <w:rPr>
                <w:rFonts w:hint="eastAsia" w:ascii="宋体" w:hAnsi="宋体" w:eastAsia="宋体" w:cs="宋体"/>
                <w:sz w:val="24"/>
                <w:szCs w:val="24"/>
                <w:highlight w:val="none"/>
                <w:lang w:val="zh-CN"/>
              </w:rPr>
              <w:t xml:space="preserve">工资标准及国家社保政策的，视为非实质性响应。</w:t>
            </w:r>
            <w:r>
              <w:rPr>
                <w:rFonts w:ascii="宋体" w:hAnsi="宋体" w:eastAsia="宋体" w:cs="宋体"/>
                <w:sz w:val="24"/>
                <w:szCs w:val="24"/>
                <w:highlight w:val="none"/>
                <w:lang w:val="en-US" w:eastAsia="zh-CN"/>
              </w:rPr>
            </w:r>
            <w:r/>
          </w:p>
          <w:p>
            <w:pPr>
              <w:pStyle w:val="896"/>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1.3报价的编制依据：</w:t>
            </w:r>
            <w:r>
              <w:rPr>
                <w:rFonts w:hint="eastAsia" w:ascii="宋体" w:hAnsi="宋体" w:eastAsia="宋体" w:cs="宋体"/>
                <w:sz w:val="24"/>
                <w:szCs w:val="24"/>
                <w:highlight w:val="none"/>
                <w:lang w:val="en-US" w:eastAsia="zh-CN"/>
              </w:rPr>
            </w:r>
            <w:r/>
          </w:p>
          <w:p>
            <w:pPr>
              <w:pStyle w:val="896"/>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（1）报价严格按照采购方提供的服务要求及采购文件要求进行。响应单位应对所投项目的全部内容进行报价，只投其中部分内容者，其标书将被拒绝。</w:t>
            </w:r>
            <w:r>
              <w:rPr>
                <w:rFonts w:hint="eastAsia" w:ascii="宋体" w:hAnsi="宋体" w:eastAsia="宋体" w:cs="宋体"/>
                <w:sz w:val="24"/>
                <w:szCs w:val="24"/>
                <w:highlight w:val="none"/>
                <w:lang w:val="en-US" w:eastAsia="zh-CN"/>
              </w:rPr>
            </w:r>
            <w:r/>
          </w:p>
          <w:p>
            <w:pPr>
              <w:pStyle w:val="896"/>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（2）市场风险：响应</w:t>
            </w:r>
            <w:r>
              <w:rPr>
                <w:rFonts w:hint="eastAsia" w:ascii="宋体" w:hAnsi="宋体" w:eastAsia="宋体" w:cs="宋体"/>
                <w:bCs/>
                <w:color w:val="000000"/>
                <w:sz w:val="24"/>
                <w:szCs w:val="24"/>
                <w:highlight w:val="none"/>
                <w:lang w:val="en-US" w:eastAsia="zh-CN"/>
              </w:rPr>
              <w:t xml:space="preserve">单位在报价时应充分考虑服务期内的市场因素和成本变化状况的风险，一旦成交，所报的报价，即为每个项目的成交价格。</w:t>
            </w:r>
            <w:r>
              <w:rPr>
                <w:rFonts w:hint="eastAsia" w:ascii="宋体" w:hAnsi="宋体" w:eastAsia="宋体" w:cs="宋体"/>
                <w:bCs/>
                <w:color w:val="000000"/>
                <w:sz w:val="24"/>
                <w:szCs w:val="24"/>
                <w:highlight w:val="none"/>
                <w:lang w:val="en-US" w:eastAsia="zh-CN"/>
              </w:rPr>
            </w:r>
            <w:r/>
          </w:p>
          <w:p>
            <w:pPr>
              <w:pStyle w:val="896"/>
              <w:rPr>
                <w:rFonts w:eastAsia="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1.4单价、合价均须以人民币元表示，各金额均须用小写填写，并精确到小数点后 2 位，第 3 </w:t>
            </w:r>
            <w:r>
              <w:rPr>
                <w:rFonts w:hint="eastAsia" w:ascii="宋体" w:hAnsi="宋体" w:eastAsia="宋体" w:cs="宋体"/>
                <w:bCs/>
                <w:color w:val="000000"/>
                <w:sz w:val="24"/>
                <w:szCs w:val="24"/>
                <w:highlight w:val="none"/>
              </w:rPr>
              <w:t xml:space="preserve">位四舍五入。 </w:t>
            </w:r>
            <w:r>
              <w:rPr>
                <w:rFonts w:eastAsia="宋体"/>
                <w:color w:val="000000"/>
                <w:sz w:val="24"/>
                <w:szCs w:val="24"/>
                <w:highlight w:val="none"/>
                <w:lang w:val="en-US" w:eastAsia="zh-CN"/>
              </w:rPr>
            </w:r>
            <w:r/>
          </w:p>
        </w:tc>
      </w:tr>
      <w:tr>
        <w:trPr>
          <w:trHeight w:val="350"/>
        </w:trPr>
        <w:tc>
          <w:tcPr>
            <w:tcW w:w="840" w:type="dxa"/>
            <w:vAlign w:val="center"/>
            <w:textDirection w:val="lrTb"/>
            <w:noWrap w:val="false"/>
          </w:tcPr>
          <w:p>
            <w:pPr>
              <w:pStyle w:val="896"/>
              <w:jc w:val="center"/>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r>
            <w:r/>
          </w:p>
        </w:tc>
        <w:tc>
          <w:tcPr>
            <w:tcW w:w="2070" w:type="dxa"/>
            <w:vAlign w:val="center"/>
            <w:textDirection w:val="lrTb"/>
            <w:noWrap w:val="false"/>
          </w:tcPr>
          <w:p>
            <w:pPr>
              <w:pStyle w:val="896"/>
              <w:jc w:val="center"/>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无条件解除服务合同情形</w:t>
            </w:r>
            <w:r>
              <w:rPr>
                <w:rFonts w:hint="eastAsia" w:ascii="宋体" w:hAnsi="宋体" w:cs="宋体"/>
                <w:b/>
                <w:color w:val="000000"/>
                <w:sz w:val="24"/>
                <w:szCs w:val="24"/>
                <w:highlight w:val="none"/>
              </w:rPr>
            </w:r>
            <w:r/>
          </w:p>
        </w:tc>
        <w:tc>
          <w:tcPr>
            <w:tcW w:w="6350" w:type="dxa"/>
            <w:vAlign w:val="top"/>
            <w:textDirection w:val="lrTb"/>
            <w:noWrap w:val="false"/>
          </w:tcPr>
          <w:p>
            <w:pPr>
              <w:pStyle w:val="89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员工最低工资</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社保、加班费、高温</w:t>
            </w:r>
            <w:r>
              <w:rPr>
                <w:rFonts w:hint="eastAsia" w:ascii="宋体" w:hAnsi="宋体" w:cs="宋体"/>
                <w:bCs/>
                <w:color w:val="000000"/>
                <w:sz w:val="24"/>
                <w:szCs w:val="24"/>
                <w:highlight w:val="none"/>
              </w:rPr>
              <w:t xml:space="preserve">低于</w:t>
            </w:r>
            <w:r>
              <w:rPr>
                <w:rFonts w:hint="eastAsia" w:ascii="宋体" w:hAnsi="宋体" w:cs="宋体"/>
                <w:bCs/>
                <w:color w:val="000000"/>
                <w:sz w:val="24"/>
                <w:szCs w:val="24"/>
                <w:highlight w:val="none"/>
                <w:lang w:val="en-US" w:eastAsia="zh-CN"/>
              </w:rPr>
              <w:t xml:space="preserve">用工</w:t>
            </w:r>
            <w:r>
              <w:rPr>
                <w:rFonts w:hint="eastAsia" w:ascii="宋体" w:hAnsi="宋体" w:cs="宋体"/>
                <w:bCs/>
                <w:color w:val="000000"/>
                <w:sz w:val="24"/>
                <w:szCs w:val="24"/>
                <w:highlight w:val="none"/>
                <w:lang w:val="en-US" w:eastAsia="zh-CN"/>
              </w:rPr>
              <w:t xml:space="preserve">地</w:t>
            </w:r>
            <w:r>
              <w:rPr>
                <w:rFonts w:hint="eastAsia" w:ascii="宋体" w:hAnsi="宋体" w:cs="宋体"/>
                <w:bCs/>
                <w:color w:val="000000"/>
                <w:sz w:val="24"/>
                <w:szCs w:val="24"/>
                <w:highlight w:val="none"/>
              </w:rPr>
              <w:t xml:space="preserve">标准；</w:t>
            </w:r>
            <w:r>
              <w:rPr>
                <w:rFonts w:hint="eastAsia" w:ascii="宋体" w:hAnsi="宋体" w:cs="宋体"/>
                <w:bCs/>
                <w:color w:val="000000"/>
                <w:sz w:val="24"/>
                <w:szCs w:val="24"/>
                <w:highlight w:val="none"/>
              </w:rPr>
            </w:r>
            <w:r/>
          </w:p>
          <w:p>
            <w:pPr>
              <w:pStyle w:val="896"/>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严重违反采购单</w:t>
            </w:r>
            <w:r>
              <w:rPr>
                <w:rFonts w:hint="eastAsia" w:ascii="宋体" w:hAnsi="宋体" w:eastAsia="宋体" w:cs="宋体"/>
                <w:bCs/>
                <w:color w:val="000000"/>
                <w:sz w:val="24"/>
                <w:szCs w:val="24"/>
                <w:highlight w:val="none"/>
              </w:rPr>
              <w:t xml:space="preserve">位的有关规定；</w:t>
            </w:r>
            <w:r>
              <w:rPr>
                <w:rFonts w:hint="eastAsia" w:ascii="宋体" w:hAnsi="宋体" w:eastAsia="宋体" w:cs="宋体"/>
                <w:bCs/>
                <w:color w:val="000000"/>
                <w:sz w:val="24"/>
                <w:szCs w:val="24"/>
                <w:highlight w:val="none"/>
              </w:rPr>
            </w:r>
            <w:r/>
          </w:p>
          <w:p>
            <w:pPr>
              <w:pStyle w:val="896"/>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出现重大事故或问题</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96"/>
              <w:rPr>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采购文件规定的其他情形（如有）。</w:t>
            </w:r>
            <w:r>
              <w:rPr>
                <w:color w:val="000000"/>
                <w:sz w:val="24"/>
                <w:szCs w:val="24"/>
                <w:highlight w:val="none"/>
                <w:lang w:val="en-US" w:eastAsia="zh-CN"/>
              </w:rPr>
            </w:r>
            <w:r/>
          </w:p>
        </w:tc>
      </w:tr>
      <w:tr>
        <w:trPr>
          <w:trHeight w:val="350"/>
        </w:trPr>
        <w:tc>
          <w:tcPr>
            <w:tcW w:w="840" w:type="dxa"/>
            <w:vAlign w:val="center"/>
            <w:textDirection w:val="lrTb"/>
            <w:noWrap w:val="false"/>
          </w:tcPr>
          <w:p>
            <w:pPr>
              <w:pStyle w:val="896"/>
              <w:jc w:val="center"/>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r>
            <w:r/>
          </w:p>
        </w:tc>
        <w:tc>
          <w:tcPr>
            <w:tcW w:w="2070" w:type="dxa"/>
            <w:vAlign w:val="center"/>
            <w:textDirection w:val="lrTb"/>
            <w:noWrap w:val="false"/>
          </w:tcPr>
          <w:p>
            <w:pPr>
              <w:pStyle w:val="896"/>
              <w:jc w:val="center"/>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★付款方式和时间安排</w:t>
            </w:r>
            <w:r>
              <w:rPr>
                <w:rFonts w:hint="eastAsia" w:ascii="宋体" w:hAnsi="宋体" w:cs="宋体"/>
                <w:b/>
                <w:color w:val="000000"/>
                <w:sz w:val="24"/>
                <w:szCs w:val="24"/>
                <w:highlight w:val="none"/>
              </w:rPr>
            </w:r>
            <w:r/>
          </w:p>
        </w:tc>
        <w:tc>
          <w:tcPr>
            <w:tcW w:w="6350" w:type="dxa"/>
            <w:vAlign w:val="top"/>
            <w:textDirection w:val="lrTb"/>
            <w:noWrap w:val="false"/>
          </w:tcPr>
          <w:p>
            <w:pPr>
              <w:pStyle w:val="896"/>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仅</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不再承担其它任何费用。</w:t>
            </w:r>
            <w:r>
              <w:rPr>
                <w:rFonts w:hint="eastAsia" w:ascii="宋体" w:hAnsi="宋体" w:eastAsia="宋体" w:cs="宋体"/>
                <w:sz w:val="24"/>
                <w:szCs w:val="24"/>
                <w:highlight w:val="none"/>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付款方式：</w:t>
            </w: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（1）先服务后付款，每月根据考核结果结算，每次付款金额=合同金额×1/6-考核扣款，按上述公式折算的付款金额。本项目服务期间，如有人员数量调整，则按乙方成交的人员单价及服务时间按实结算。</w:t>
            </w:r>
            <w:r>
              <w:rPr>
                <w:rFonts w:hint="eastAsia" w:ascii="宋体" w:hAnsi="宋体" w:eastAsia="宋体" w:cs="宋体"/>
                <w:sz w:val="24"/>
                <w:szCs w:val="24"/>
                <w:highlight w:val="none"/>
                <w:lang w:val="zh-CN" w:eastAsia="zh-CN"/>
              </w:rPr>
            </w:r>
            <w:r/>
          </w:p>
          <w:p>
            <w:pPr>
              <w:pStyle w:val="896"/>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（2）每次付款前，乙方需向甲方开具相应金额的合法有效发票，否则甲方有权拒绝付款，且不就此承担逾期付款的违约责任。</w:t>
            </w:r>
            <w:r>
              <w:rPr>
                <w:rFonts w:hint="eastAsia" w:ascii="宋体" w:hAnsi="宋体" w:eastAsia="宋体" w:cs="宋体"/>
                <w:sz w:val="24"/>
                <w:szCs w:val="24"/>
                <w:highlight w:val="none"/>
                <w:lang w:val="en-US" w:eastAsia="zh-CN"/>
              </w:rPr>
            </w:r>
            <w:r/>
          </w:p>
          <w:p>
            <w:pPr>
              <w:pStyle w:val="896"/>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（3）具体付款日期根据采购单位所在地财政部门规定执行。</w:t>
            </w:r>
            <w:r>
              <w:rPr>
                <w:rFonts w:hint="eastAsia" w:ascii="宋体" w:hAnsi="宋体" w:eastAsia="宋体" w:cs="宋体"/>
                <w:sz w:val="24"/>
                <w:szCs w:val="24"/>
                <w:highlight w:val="none"/>
                <w:lang w:val="en-US" w:eastAsia="zh-CN"/>
              </w:rPr>
            </w:r>
            <w:r/>
          </w:p>
          <w:p>
            <w:pPr>
              <w:pStyle w:val="896"/>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ascii="宋体" w:hAnsi="宋体" w:eastAsia="宋体" w:cs="宋体"/>
                <w:sz w:val="24"/>
                <w:szCs w:val="24"/>
                <w:highlight w:val="none"/>
                <w:lang w:val="en-US" w:eastAsia="zh-CN"/>
              </w:rPr>
              <w:t xml:space="preserve">付款方式：银行转账。</w:t>
            </w:r>
            <w:r>
              <w:rPr>
                <w:rFonts w:ascii="宋体" w:hAnsi="宋体" w:eastAsia="宋体" w:cs="宋体"/>
                <w:color w:val="000000"/>
                <w:sz w:val="24"/>
                <w:szCs w:val="24"/>
                <w:highlight w:val="none"/>
                <w:lang w:val="en-US" w:eastAsia="zh-CN"/>
              </w:rPr>
            </w:r>
            <w:r/>
          </w:p>
        </w:tc>
      </w:tr>
      <w:tr>
        <w:trPr>
          <w:trHeight w:val="350"/>
        </w:trPr>
        <w:tc>
          <w:tcPr>
            <w:tcW w:w="840" w:type="dxa"/>
            <w:vAlign w:val="center"/>
            <w:textDirection w:val="lrTb"/>
            <w:noWrap w:val="false"/>
          </w:tcPr>
          <w:p>
            <w:pPr>
              <w:pStyle w:val="896"/>
              <w:jc w:val="center"/>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r>
            <w:r/>
          </w:p>
        </w:tc>
        <w:tc>
          <w:tcPr>
            <w:tcW w:w="2070" w:type="dxa"/>
            <w:vAlign w:val="center"/>
            <w:textDirection w:val="lrTb"/>
            <w:noWrap w:val="false"/>
          </w:tcPr>
          <w:p>
            <w:pPr>
              <w:pStyle w:val="89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磋商保证金</w:t>
            </w:r>
            <w:r>
              <w:rPr>
                <w:rFonts w:hint="eastAsia" w:ascii="宋体" w:hAnsi="宋体" w:cs="宋体"/>
                <w:color w:val="000000"/>
                <w:sz w:val="24"/>
                <w:szCs w:val="24"/>
                <w:highlight w:val="none"/>
              </w:rPr>
            </w:r>
            <w:r/>
          </w:p>
        </w:tc>
        <w:tc>
          <w:tcPr>
            <w:tcW w:w="6350" w:type="dxa"/>
            <w:vAlign w:val="top"/>
            <w:textDirection w:val="lrTb"/>
            <w:noWrap w:val="false"/>
          </w:tcPr>
          <w:p>
            <w:pPr>
              <w:pStyle w:val="89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无需，采购文件中有关磋商保证金的规定均不适用。投标（响应）人应在投标（响应）文件中提交《投标（响应）保证承诺书》（详见附件），否则为</w:t>
            </w:r>
            <w:r>
              <w:rPr>
                <w:rFonts w:hint="eastAsia" w:ascii="宋体" w:hAnsi="宋体" w:cs="宋体"/>
                <w:bCs/>
                <w:color w:val="000000"/>
                <w:sz w:val="24"/>
                <w:szCs w:val="24"/>
                <w:highlight w:val="none"/>
                <w:lang w:eastAsia="zh-CN"/>
              </w:rPr>
              <w:t xml:space="preserve">无效响应</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r>
      <w:tr>
        <w:trPr>
          <w:trHeight w:val="350"/>
        </w:trPr>
        <w:tc>
          <w:tcPr>
            <w:tcW w:w="840" w:type="dxa"/>
            <w:vAlign w:val="center"/>
            <w:textDirection w:val="lrTb"/>
            <w:noWrap w:val="false"/>
          </w:tcPr>
          <w:p>
            <w:pPr>
              <w:pStyle w:val="89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070" w:type="dxa"/>
            <w:vAlign w:val="center"/>
            <w:textDirection w:val="lrTb"/>
            <w:noWrap w:val="false"/>
          </w:tcPr>
          <w:p>
            <w:pPr>
              <w:pStyle w:val="89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rPr>
            </w:r>
            <w:r/>
          </w:p>
        </w:tc>
        <w:tc>
          <w:tcPr>
            <w:tcW w:w="6350" w:type="dxa"/>
            <w:vAlign w:val="top"/>
            <w:textDirection w:val="lrTb"/>
            <w:noWrap w:val="false"/>
          </w:tcPr>
          <w:p>
            <w:pPr>
              <w:pStyle w:val="896"/>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不收取</w:t>
            </w:r>
            <w:r>
              <w:rPr>
                <w:rFonts w:hint="eastAsia" w:ascii="宋体" w:hAnsi="宋体" w:cs="宋体"/>
                <w:color w:val="000000"/>
                <w:sz w:val="24"/>
                <w:szCs w:val="24"/>
                <w:highlight w:val="none"/>
              </w:rPr>
            </w:r>
            <w:r/>
          </w:p>
        </w:tc>
      </w:tr>
      <w:tr>
        <w:trPr>
          <w:trHeight w:val="350"/>
        </w:trPr>
        <w:tc>
          <w:tcPr>
            <w:tcW w:w="840" w:type="dxa"/>
            <w:vAlign w:val="center"/>
            <w:textDirection w:val="lrTb"/>
            <w:noWrap w:val="false"/>
          </w:tcPr>
          <w:p>
            <w:pPr>
              <w:pStyle w:val="896"/>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2070" w:type="dxa"/>
            <w:vAlign w:val="center"/>
            <w:textDirection w:val="lrTb"/>
            <w:noWrap w:val="false"/>
          </w:tcPr>
          <w:p>
            <w:pPr>
              <w:pStyle w:val="896"/>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项目保密要求</w:t>
            </w:r>
            <w:r>
              <w:rPr>
                <w:rFonts w:hint="eastAsia" w:ascii="宋体" w:hAnsi="宋体" w:cs="宋体"/>
                <w:color w:val="000000"/>
                <w:sz w:val="24"/>
                <w:szCs w:val="24"/>
                <w:highlight w:val="none"/>
                <w:lang w:val="en-US" w:eastAsia="zh-CN" w:bidi="ar-SA"/>
              </w:rPr>
            </w:r>
            <w:r/>
          </w:p>
        </w:tc>
        <w:tc>
          <w:tcPr>
            <w:tcW w:w="6350" w:type="dxa"/>
            <w:vAlign w:val="top"/>
            <w:textDirection w:val="lrTb"/>
            <w:noWrap w:val="false"/>
          </w:tcPr>
          <w:p>
            <w:pPr>
              <w:pStyle w:val="896"/>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6.1</w:t>
            </w:r>
            <w:r>
              <w:rPr>
                <w:rFonts w:hint="eastAsia" w:ascii="宋体" w:hAnsi="宋体" w:cs="宋体"/>
                <w:bCs/>
                <w:color w:val="000000"/>
                <w:sz w:val="24"/>
                <w:szCs w:val="24"/>
                <w:highlight w:val="none"/>
              </w:rPr>
              <w:t xml:space="preserve">成交单位及其工作人员需遵守采购单位的保密规定，不以任何形式将收集到的资料、数据等进行泄漏、传播；</w:t>
            </w:r>
            <w:r>
              <w:rPr>
                <w:rFonts w:hint="eastAsia" w:ascii="宋体" w:hAnsi="宋体" w:cs="宋体"/>
                <w:bCs/>
                <w:color w:val="000000"/>
                <w:sz w:val="24"/>
                <w:szCs w:val="24"/>
                <w:highlight w:val="none"/>
              </w:rPr>
            </w:r>
            <w:r/>
          </w:p>
          <w:p>
            <w:pPr>
              <w:pStyle w:val="896"/>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.2成交单位项目服务人员需签署相关保密协议，承担工作中接触相关内容的保密义务；</w:t>
            </w:r>
            <w:r>
              <w:rPr>
                <w:rFonts w:hint="eastAsia" w:ascii="宋体" w:hAnsi="宋体" w:cs="宋体"/>
                <w:bCs/>
                <w:color w:val="000000"/>
                <w:sz w:val="24"/>
                <w:szCs w:val="24"/>
                <w:highlight w:val="none"/>
              </w:rPr>
            </w:r>
            <w:r/>
          </w:p>
          <w:p>
            <w:pPr>
              <w:pStyle w:val="896"/>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.3项目</w:t>
            </w:r>
            <w:r>
              <w:rPr>
                <w:rFonts w:hint="eastAsia" w:ascii="宋体" w:hAnsi="宋体" w:cs="宋体"/>
                <w:bCs/>
                <w:color w:val="000000"/>
                <w:sz w:val="24"/>
                <w:szCs w:val="24"/>
                <w:highlight w:val="none"/>
                <w:lang w:val="en-US" w:eastAsia="zh-CN"/>
              </w:rPr>
              <w:t xml:space="preserve">所有资料</w:t>
            </w:r>
            <w:r>
              <w:rPr>
                <w:rFonts w:hint="eastAsia" w:ascii="宋体" w:hAnsi="宋体" w:cs="宋体"/>
                <w:bCs/>
                <w:color w:val="000000"/>
                <w:sz w:val="24"/>
                <w:szCs w:val="24"/>
                <w:highlight w:val="none"/>
              </w:rPr>
              <w:t xml:space="preserve">最终所有权属采购单位，在项目完成时成交单位必须全部移交；</w:t>
            </w:r>
            <w:r>
              <w:rPr>
                <w:rFonts w:hint="eastAsia" w:ascii="宋体" w:hAnsi="宋体" w:cs="宋体"/>
                <w:bCs/>
                <w:color w:val="000000"/>
                <w:sz w:val="24"/>
                <w:szCs w:val="24"/>
                <w:highlight w:val="none"/>
                <w:lang w:val="en-US" w:eastAsia="zh-CN" w:bidi="ar-SA"/>
              </w:rPr>
            </w:r>
            <w:r/>
          </w:p>
        </w:tc>
      </w:tr>
    </w:tbl>
    <w:p>
      <w:pPr>
        <w:pStyle w:val="896"/>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八、综合说明</w:t>
      </w:r>
      <w:r>
        <w:rPr>
          <w:rFonts w:hint="eastAsia" w:ascii="宋体" w:hAnsi="宋体" w:eastAsia="宋体" w:cs="宋体"/>
          <w:b/>
          <w:bCs/>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响应单位应对所投项目的全部内容进行报价，只投其中部分内容者或出现选择性报价的，其标书将被拒绝。磋商总报价包括在服务期内所需的服务管理内容、人工、保险、利润、税金、检测验收、 技术支持与培训、售后服务、政策性文件规定及合同包含的所有风险、责任等各项应有费用。</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本项目的采购方与派驻人员不发生任何劳动和雇佣关系，派驻人员由成交单位自行管理，成交单位和派驻人员应遵守安全操作规章制度，若发生人身伤害等意外事故，由成交单位自行负责，与采购方无涉。</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方委派相关部门及人员负责对成交单位日常工作的监管、协调、考核；成交单位须配合、协助采购方的工作。综合管理合同期间，如出现重大管理缺陷，采购单位有权扣留缺陷出现之日起的管理费用，直至缺陷更正，如成交单位对管理缺陷15天内不予更正，采购单位有权另请其他单位更正，所发生的费用在管理费用中扣除。若连续出现2次类似缺陷视为违约行为，采购方有权解除合同。</w:t>
      </w:r>
      <w:r>
        <w:rPr>
          <w:rFonts w:hint="eastAsia" w:ascii="宋体" w:hAnsi="宋体" w:eastAsia="宋体" w:cs="宋体"/>
          <w:color w:val="000000"/>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896"/>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6"/>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color w:val="000000"/>
          <w:sz w:val="24"/>
          <w:szCs w:val="24"/>
          <w:highlight w:val="none"/>
          <w:shd w:val="clear" w:color="auto" w:fill="ffffff"/>
          <w:lang w:val="en-US" w:eastAsia="zh-CN"/>
        </w:rPr>
        <w:t xml:space="preserve">适用于第一、第二标段</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lang w:eastAsia="zh-CN"/>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4.磋商小组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896"/>
        <w:ind w:firstLine="482"/>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专门面向中小企业采购的项目或者采购包，不再执行价格评审优惠的扶持政策。</w:t>
      </w:r>
      <w:r>
        <w:rPr>
          <w:rFonts w:ascii="宋体" w:hAnsi="宋体" w:eastAsia="宋体" w:cs="宋体"/>
          <w:sz w:val="24"/>
          <w:szCs w:val="24"/>
          <w:highlight w:val="none"/>
          <w:lang w:val="en-US" w:eastAsia="zh-CN"/>
        </w:rPr>
      </w:r>
      <w:r/>
    </w:p>
    <w:p>
      <w:pPr>
        <w:pStyle w:val="896"/>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896"/>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（一）价格</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第一步：磋商报价低于或等于财政预算价格（及最高限价）的，为有效磋商报价。超采购预算（或最高限价）的磋商报价为无效磋商报价。无效磋商报价的磋商响应文件不进行评审，也不得成交。</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0分，其他磋商供应商的价格分按照下列公式计算（计算结果四舍五入保留两位小数）</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磋商报价得分＝（评标基准价/磋商报价）×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0%×100</w:t>
      </w:r>
      <w:r>
        <w:rPr>
          <w:rFonts w:hint="eastAsia" w:ascii="宋体" w:hAnsi="宋体" w:eastAsia="宋体" w:cs="宋体"/>
          <w:sz w:val="24"/>
          <w:szCs w:val="24"/>
          <w:highlight w:val="none"/>
        </w:rPr>
      </w:r>
      <w:r/>
    </w:p>
    <w:p>
      <w:pPr>
        <w:pStyle w:val="896"/>
        <w:ind w:firstLine="482"/>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（二）服务方案比较</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52</w:t>
      </w:r>
      <w:r>
        <w:rPr>
          <w:rFonts w:hint="eastAsia" w:ascii="宋体" w:hAnsi="宋体" w:eastAsia="宋体" w:cs="宋体"/>
          <w:b/>
          <w:bCs w:val="0"/>
          <w:sz w:val="24"/>
          <w:szCs w:val="24"/>
          <w:highlight w:val="none"/>
        </w:rPr>
        <w:t xml:space="preserve">分</w:t>
      </w:r>
      <w:r>
        <w:rPr>
          <w:rFonts w:hint="eastAsia" w:ascii="宋体" w:hAnsi="宋体" w:eastAsia="宋体" w:cs="宋体"/>
          <w:b/>
          <w:bCs w:val="0"/>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服务总体模式与项目管理运作设计方案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服务总体模式清晰，配套措施周全，运作设计合理比较：由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会根据技术方案的合理性、完善性、规范性、清晰性、可操作性较好的得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分；合理性、完善性、规范性、清晰性、可操作性一般的得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分，合理性、完善性、规范性、清晰性、可操作性较差的得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分；与本项目无关或未提供的不得分；最高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2.服务管理工作具体实施方案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2.1日常服务标准及措施情况：由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技术方案的合理性、完善性、规范性、清晰性、可操作性较好的得5分，合理性、完善性、规范性、清晰性、可操作性一般的得3分，合理性、完善性、规范性、清晰性、可操作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2.2服务的重点难点和解决措施情况：由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技术方案的合理性、完善性、规范性、清晰性、可操作性较好的得5分，合理性、完善性、规范性、清晰性、可操作性一般的得3分，合理性、完善性、规范性、清晰性、可操作性较差的得1分；与本项目无关的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2.3进退场方案情况：由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技术方案的合理性、完善性、规范性、清晰性、可操作性较好的得5分，合理性、完善性、规范性、清晰性、可操作性一般的得3分，合理性、完善性、规范性、清晰性、可操作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2.4工作人员所用设备、器材的配备情况：由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技术方案的合理性、完善性、规范性、清晰性、可操作性较好的得5分，合理性、完善性、规范性、清晰性、可操作性一般的得3分，合理性、完善性、规范性、清晰性、可操作性较差的得1分；与本项目无关或未提供的不得分；最高</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3.内部管理规章制度及考核管理办法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管理规章制度比较，由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会根据管理规章制度的完整性、合理性、可行性较好的得5分，完整性、合理性、可行性一般的得3分，完整性、合理性、可行性较差的得1分；与本项目无关或未提供的不得分；最高5分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服务人员安全文明规范情况，由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会根据服务人员安全文明规范的完整性、合理性、可行性较好的得5分，完整性、合理性、可行性一般的得3分，完整性、合理性、可行性较差的得1分；与本项目无关或未提供的不得分；最高5分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服务档案管理制度情况，由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会根据制度的完整性、合理性、可行性较好的得5分，完整性、合理性、可行性一般的得3分，完整性、合理性、可行性较差的得1分；与本项目无关或未提供的不得分；最高5分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3.4服务人员考核制度及标准情况，由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会根据制度及标准的完整性、合理性、可行性较好的得5分，完整性、合理性、可行性一般的得3分，完整性、合理性、可行性较差的得1分；与本项目无关或未提供的不得分；最高5分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培训计划、培训及支持方案（3分）</w:t>
      </w:r>
      <w:r>
        <w:rPr>
          <w:rFonts w:ascii="宋体" w:hAnsi="宋体" w:eastAsia="宋体" w:cs="宋体"/>
          <w:sz w:val="24"/>
          <w:szCs w:val="24"/>
          <w:highlight w:val="none"/>
          <w:lang w:val="en-US" w:eastAsia="zh-CN"/>
        </w:rPr>
      </w:r>
      <w:r/>
    </w:p>
    <w:p>
      <w:pPr>
        <w:pStyle w:val="89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详细的培训</w:t>
      </w:r>
      <w:r>
        <w:rPr>
          <w:rFonts w:hint="eastAsia" w:ascii="宋体" w:hAnsi="宋体" w:eastAsia="宋体" w:cs="宋体"/>
          <w:sz w:val="24"/>
          <w:szCs w:val="24"/>
          <w:highlight w:val="none"/>
          <w:lang w:val="en-US" w:eastAsia="zh-CN"/>
        </w:rPr>
        <w:t xml:space="preserve">时间</w:t>
      </w:r>
      <w:r>
        <w:rPr>
          <w:rFonts w:hint="eastAsia" w:ascii="宋体" w:hAnsi="宋体" w:eastAsia="宋体" w:cs="宋体"/>
          <w:sz w:val="24"/>
          <w:szCs w:val="24"/>
          <w:highlight w:val="none"/>
        </w:rPr>
        <w:t xml:space="preserve">计划</w:t>
      </w:r>
      <w:r>
        <w:rPr>
          <w:rFonts w:hint="eastAsia" w:ascii="宋体" w:hAnsi="宋体" w:eastAsia="宋体" w:cs="宋体"/>
          <w:sz w:val="24"/>
          <w:szCs w:val="24"/>
          <w:highlight w:val="none"/>
          <w:lang w:val="en-US" w:eastAsia="zh-CN"/>
        </w:rPr>
        <w:t xml:space="preserve">安排、培训内容安排、培训方式、培训质量保障等</w:t>
      </w:r>
      <w:r>
        <w:rPr>
          <w:rFonts w:hint="eastAsia" w:ascii="宋体" w:hAnsi="宋体" w:eastAsia="宋体" w:cs="宋体"/>
          <w:sz w:val="24"/>
          <w:szCs w:val="24"/>
          <w:highlight w:val="none"/>
        </w:rPr>
        <w:t xml:space="preserve">方案情况，由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会根据方案的完整性、合理性、可行性、稳定性较好的得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分，完整性、合理性、可行性、稳定性一般的得2分，完整性、合理性、可行性、稳定性较差的得1分；与本项目无关或未提供的不得分；</w:t>
      </w:r>
      <w:r>
        <w:rPr>
          <w:rFonts w:hint="eastAsia" w:ascii="宋体" w:hAnsi="宋体" w:eastAsia="宋体" w:cs="宋体"/>
          <w:sz w:val="24"/>
          <w:szCs w:val="24"/>
          <w:highlight w:val="none"/>
          <w:lang w:val="en-US" w:eastAsia="zh-CN"/>
        </w:rPr>
        <w:t xml:space="preserve">最高3分</w:t>
      </w:r>
      <w:r>
        <w:rPr>
          <w:rFonts w:ascii="宋体" w:hAnsi="宋体" w:eastAsia="宋体" w:cs="宋体"/>
          <w:sz w:val="24"/>
          <w:szCs w:val="24"/>
          <w:highlight w:val="none"/>
          <w:lang w:val="en-US"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应急方案及其它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有详细的突发事件应急措施，包括：特殊事故（情况）措施、治安应急措施、消防应急措施等。根据内容详细具有可行性比较，由</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会根据方案的完整性、合理性、可行性较好的得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分，完整性、合理性、可行性一般的得2分，完整性、合理性、可行性较差的得1分；与本项目无关或未提供的不得分；</w:t>
      </w:r>
      <w:r>
        <w:rPr>
          <w:rFonts w:hint="eastAsia" w:ascii="宋体" w:hAnsi="宋体" w:eastAsia="宋体" w:cs="宋体"/>
          <w:sz w:val="24"/>
          <w:szCs w:val="24"/>
          <w:highlight w:val="none"/>
          <w:lang w:val="en-US" w:eastAsia="zh-CN"/>
        </w:rPr>
        <w:t xml:space="preserve">最高3分。</w:t>
      </w:r>
      <w:r>
        <w:rPr>
          <w:rFonts w:ascii="宋体" w:hAnsi="宋体" w:eastAsia="宋体" w:cs="宋体"/>
          <w:sz w:val="24"/>
          <w:szCs w:val="24"/>
          <w:highlight w:val="none"/>
          <w:lang w:val="en-US" w:eastAsia="zh-CN"/>
        </w:rPr>
      </w:r>
      <w:r/>
    </w:p>
    <w:p>
      <w:pPr>
        <w:pStyle w:val="896"/>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（三）人员配置及素质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保安队长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情况比较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针对本项目配备的项目负责人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保安队长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具有“四级/中级或以</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保安员证书”的得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分；具有安全员证书的得1分，最高为2分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注：响应文件中需提供项目负责人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保安队长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相应</w:t>
      </w:r>
      <w:r>
        <w:rPr>
          <w:rFonts w:hint="eastAsia" w:ascii="宋体" w:hAnsi="宋体" w:eastAsia="宋体" w:cs="宋体"/>
          <w:sz w:val="24"/>
          <w:szCs w:val="24"/>
          <w:highlight w:val="none"/>
        </w:rPr>
        <w:t xml:space="preserve">证书复印件及响应单位为其缴纳的近3个月或以上的社保证明复印件，资料不全不得分。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其余人员（除项目负责人）素质及经验比较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根据针对本项目配备的其余人员学历、相关经验、人员证书等情况综合评定，综合各方面配备强得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分；综合各方面配备较强得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分；综合各方面配备一般得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分，最高为</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（四）服务保障</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服务标准及保障承诺（</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各项服务达标承诺：包括质量承诺、对发生各类安全事故善后处理承诺、依法规范用工承诺及应对履约期内各类风险承诺。承诺详细完整，具有可操作性，综合评定优秀得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分；承诺较为详细完整，有一定可操作性，综合评定良好得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分；承诺内容一般，综合评定较差得1分。</w:t>
      </w:r>
      <w:r>
        <w:rPr>
          <w:rFonts w:hint="eastAsia" w:ascii="宋体" w:hAnsi="宋体" w:eastAsia="宋体" w:cs="宋体"/>
          <w:sz w:val="24"/>
          <w:szCs w:val="24"/>
          <w:highlight w:val="none"/>
          <w:lang w:val="en-US" w:eastAsia="zh-CN"/>
        </w:rPr>
        <w:t xml:space="preserve">最高3分。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资料、档案管理（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资料档案管理制度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交接制度等</w:t>
      </w:r>
      <w:r>
        <w:rPr>
          <w:rFonts w:hint="eastAsia" w:ascii="宋体" w:hAnsi="宋体" w:eastAsia="宋体" w:cs="宋体"/>
          <w:sz w:val="24"/>
          <w:szCs w:val="24"/>
          <w:highlight w:val="none"/>
        </w:rPr>
        <w:t xml:space="preserve">合理完善，方案细致完整，可操作性强，综合评定优秀得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分；方案较为完整，有一定可操作性，综合评定良好得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分；方案简单，可操作性欠缺，综合评定较差得1分。</w:t>
      </w:r>
      <w:r>
        <w:rPr>
          <w:rFonts w:hint="eastAsia" w:ascii="宋体" w:hAnsi="宋体" w:eastAsia="宋体" w:cs="宋体"/>
          <w:sz w:val="24"/>
          <w:szCs w:val="24"/>
          <w:highlight w:val="none"/>
          <w:lang w:val="en-US" w:eastAsia="zh-CN"/>
        </w:rPr>
        <w:t xml:space="preserve">最高3分。</w:t>
      </w:r>
      <w:r>
        <w:rPr>
          <w:rFonts w:ascii="宋体" w:hAnsi="宋体" w:eastAsia="宋体" w:cs="宋体"/>
          <w:sz w:val="24"/>
          <w:szCs w:val="24"/>
          <w:highlight w:val="none"/>
          <w:lang w:val="en-US" w:eastAsia="zh-CN"/>
        </w:rPr>
      </w:r>
      <w:r/>
    </w:p>
    <w:p>
      <w:pPr>
        <w:pStyle w:val="896"/>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响应单位综合实力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9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管理体系（3分）</w:t>
      </w:r>
      <w:r>
        <w:rPr>
          <w:rFonts w:ascii="宋体" w:hAnsi="宋体" w:eastAsia="宋体" w:cs="宋体"/>
          <w:sz w:val="24"/>
          <w:szCs w:val="24"/>
          <w:highlight w:val="none"/>
          <w:lang w:val="en-US"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响应单位具有有效期内质量体系认证、环境体系认证、职业健康安全体系认证；每提供一份得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分，最高为 </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分。响应文件中需提供有效证书复印件及在中国国家认证认可监督管理委员会官网查询截图，</w:t>
      </w:r>
      <w:r>
        <w:rPr>
          <w:rFonts w:hint="eastAsia" w:ascii="宋体" w:hAnsi="宋体" w:eastAsia="宋体" w:cs="宋体"/>
          <w:sz w:val="24"/>
          <w:szCs w:val="24"/>
          <w:highlight w:val="none"/>
          <w:lang w:val="en-US" w:eastAsia="zh-CN"/>
        </w:rPr>
        <w:t xml:space="preserve">未提供或提供不全该项不得分</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经验业绩（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响应单位自2021年1月1日起至今履行的类似项目业绩，每提供一项得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分；响应文件中提供类似业绩合同、发票（合同期内任意一期）等资料的扫描件，未提供或提供的资料不全不得分。类似业绩日期计算：以合同签订日期为准。</w:t>
      </w:r>
      <w:r>
        <w:rPr>
          <w:rFonts w:hint="eastAsia" w:ascii="宋体" w:hAnsi="宋体" w:eastAsia="宋体" w:cs="宋体"/>
          <w:sz w:val="24"/>
          <w:szCs w:val="24"/>
          <w:highlight w:val="none"/>
        </w:rPr>
      </w:r>
      <w:r/>
    </w:p>
    <w:p>
      <w:pPr>
        <w:pStyle w:val="932"/>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32"/>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896"/>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3"/>
        <w:ind w:firstLine="480"/>
        <w:jc w:val="both"/>
        <w:keepLines w:val="0"/>
        <w:keepNext w:val="0"/>
        <w:pageBreakBefore w:val="0"/>
        <w:spacing w:line="360" w:lineRule="auto"/>
        <w:widowControl w:val="off"/>
        <w:tabs>
          <w:tab w:val="center" w:pos="4153" w:leader="none"/>
          <w:tab w:val="right" w:pos="8306" w:leader="none"/>
        </w:tabs>
        <w:rPr>
          <w:rFonts w:hint="eastAsia" w:ascii="宋体" w:hAnsi="宋体" w:eastAsia="宋体" w:cs="宋体"/>
          <w:color w:val="000000"/>
          <w:sz w:val="24"/>
          <w:szCs w:val="24"/>
          <w:highlight w:val="none"/>
          <w:lang w:val="zh-CN"/>
        </w:rPr>
        <w:pBdr>
          <w:bottom w:val="none" w:color="000000" w:sz="0" w:space="0"/>
        </w:pBd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u w:val="single"/>
          <w:lang w:eastAsia="zh-CN"/>
        </w:rPr>
        <w:t xml:space="preserve">JSZC-320509-ZZHL-C2026-0017</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color w:val="000000"/>
          <w:sz w:val="24"/>
          <w:szCs w:val="24"/>
          <w:highlight w:val="none"/>
          <w:lang w:val="zh-CN"/>
        </w:rPr>
      </w:r>
      <w:r/>
    </w:p>
    <w:p>
      <w:pPr>
        <w:pStyle w:val="940"/>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zh-CN"/>
        </w:rPr>
        <w:t xml:space="preserve">乙方负责</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eastAsia="zh-CN"/>
        </w:rPr>
        <w:t xml:space="preserve">江陵街道城中村改造项目第三次保安选聘</w:t>
      </w:r>
      <w:r>
        <w:rPr>
          <w:rFonts w:hint="eastAsia" w:ascii="宋体" w:hAnsi="宋体" w:eastAsia="宋体" w:cs="宋体"/>
          <w:b/>
          <w:bCs/>
          <w:sz w:val="24"/>
          <w:szCs w:val="24"/>
          <w:highlight w:val="none"/>
          <w:u w:val="single"/>
          <w:lang w:val="en-US" w:eastAsia="zh-CN"/>
        </w:rPr>
        <w:t xml:space="preserve">第    标段</w:t>
      </w:r>
      <w:r>
        <w:rPr>
          <w:rFonts w:hint="eastAsia" w:ascii="宋体" w:hAnsi="宋体" w:eastAsia="宋体" w:cs="宋体"/>
          <w:sz w:val="24"/>
          <w:szCs w:val="24"/>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zh-CN"/>
        </w:rPr>
        <w:t xml:space="preserve">下列文件为本合同不可分割部分，与本合同具有同等法律效力：</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成交</w:t>
      </w:r>
      <w:r>
        <w:rPr>
          <w:rFonts w:hint="eastAsia" w:ascii="宋体" w:hAnsi="宋体" w:eastAsia="宋体" w:cs="宋体"/>
          <w:sz w:val="24"/>
          <w:szCs w:val="24"/>
          <w:highlight w:val="none"/>
          <w:lang w:val="zh-CN"/>
        </w:rPr>
        <w:t xml:space="preserve">通知书；</w:t>
      </w:r>
      <w:r>
        <w:rPr>
          <w:rFonts w:hint="eastAsia" w:ascii="宋体" w:hAnsi="宋体" w:eastAsia="宋体" w:cs="宋体"/>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val="zh-CN"/>
        </w:rPr>
        <w:t xml:space="preserve">乙方的</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zh-CN"/>
        </w:rPr>
        <w:t xml:space="preserve">文件；</w:t>
      </w:r>
      <w:r>
        <w:rPr>
          <w:rFonts w:hint="eastAsia" w:ascii="宋体" w:hAnsi="宋体" w:eastAsia="宋体" w:cs="宋体"/>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文件及其附件；</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lang w:val="zh-CN"/>
        </w:rPr>
        <w:t xml:space="preserve">乙方在</w:t>
      </w:r>
      <w:r>
        <w:rPr>
          <w:rFonts w:hint="eastAsia" w:ascii="宋体" w:hAnsi="宋体" w:eastAsia="宋体" w:cs="宋体"/>
          <w:sz w:val="24"/>
          <w:szCs w:val="24"/>
          <w:highlight w:val="none"/>
        </w:rPr>
        <w:t xml:space="preserve">磋商</w:t>
      </w:r>
      <w:r>
        <w:rPr>
          <w:rFonts w:hint="eastAsia" w:ascii="宋体" w:hAnsi="宋体" w:eastAsia="宋体" w:cs="宋体"/>
          <w:sz w:val="24"/>
          <w:szCs w:val="24"/>
          <w:highlight w:val="none"/>
          <w:lang w:val="zh-CN"/>
        </w:rPr>
        <w:t xml:space="preserve">过程中所作的其它承诺、声明、书面澄清等；</w:t>
      </w:r>
      <w:r>
        <w:rPr>
          <w:rFonts w:hint="eastAsia" w:ascii="宋体" w:hAnsi="宋体" w:eastAsia="宋体" w:cs="宋体"/>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val="zh-CN"/>
        </w:rPr>
        <w:t xml:space="preserve">合同附件。</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3.合同内容：</w:t>
      </w:r>
      <w:r>
        <w:rPr>
          <w:rFonts w:hint="eastAsia" w:ascii="宋体" w:hAnsi="宋体" w:eastAsia="宋体" w:cs="宋体"/>
          <w:sz w:val="24"/>
          <w:szCs w:val="24"/>
          <w:highlight w:val="none"/>
          <w:lang w:val="zh-CN"/>
        </w:rPr>
      </w:r>
      <w:r/>
    </w:p>
    <w:p>
      <w:pPr>
        <w:pStyle w:val="896"/>
        <w:ind w:firstLine="480"/>
        <w:jc w:val="both"/>
        <w:keepLines w:val="0"/>
        <w:keepNext w:val="0"/>
        <w:pageBreakBefore w:val="0"/>
        <w:spacing w:line="360" w:lineRule="auto"/>
        <w:tabs>
          <w:tab w:val="center" w:pos="5131"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江陵街道城中村改造项目第三次保安选聘，</w:t>
      </w:r>
      <w:r>
        <w:rPr>
          <w:rFonts w:hint="eastAsia" w:ascii="宋体" w:hAnsi="宋体" w:eastAsia="宋体" w:cs="宋体"/>
          <w:sz w:val="24"/>
          <w:szCs w:val="24"/>
          <w:highlight w:val="none"/>
          <w:lang w:val="en-US" w:eastAsia="zh-CN"/>
        </w:rPr>
        <w:t xml:space="preserve">具体服务内容</w:t>
      </w:r>
      <w:r>
        <w:rPr>
          <w:rFonts w:hint="eastAsia" w:ascii="宋体" w:hAnsi="宋体" w:eastAsia="宋体" w:cs="宋体"/>
          <w:sz w:val="24"/>
          <w:szCs w:val="24"/>
          <w:highlight w:val="none"/>
          <w:lang w:val="zh-CN"/>
        </w:rPr>
        <w:t xml:space="preserve">按采购文件要求。</w:t>
      </w:r>
      <w:r>
        <w:rPr>
          <w:rFonts w:hint="eastAsia" w:ascii="宋体" w:hAnsi="宋体" w:eastAsia="宋体" w:cs="宋体"/>
          <w:sz w:val="24"/>
          <w:szCs w:val="24"/>
          <w:highlight w:val="none"/>
          <w:lang w:val="zh-CN"/>
        </w:rPr>
      </w:r>
      <w:r/>
    </w:p>
    <w:p>
      <w:pPr>
        <w:pStyle w:val="896"/>
        <w:ind w:firstLine="482"/>
        <w:jc w:val="both"/>
        <w:keepLines w:val="0"/>
        <w:keepNext w:val="0"/>
        <w:pageBreakBefore w:val="0"/>
        <w:spacing w:line="360" w:lineRule="auto"/>
        <w:tabs>
          <w:tab w:val="left" w:pos="54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三、价格与支付：</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本合同为人民币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tabs>
          <w:tab w:val="center" w:pos="513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合同价包含在相应服务期限内所需要的所有</w:t>
      </w:r>
      <w:bookmarkStart w:id="138" w:name="_Hlk9007470"/>
      <w:r>
        <w:rPr>
          <w:rFonts w:hint="eastAsia" w:ascii="宋体" w:hAnsi="宋体" w:eastAsia="宋体" w:cs="宋体"/>
          <w:sz w:val="24"/>
          <w:szCs w:val="24"/>
          <w:highlight w:val="none"/>
          <w:lang w:val="zh-CN"/>
        </w:rPr>
        <w:t xml:space="preserve">安保服务管理、保安工具及耗材、通讯、服装、胸卡、办公设备、巡检器材、各种税费、人工工资、保险、劳保、薪金、福利、加班、高温、休假日补贴、医疗费用、维护、技术支持与培训及相关劳务支出等工作所发生的全部费用</w:t>
      </w:r>
      <w:bookmarkEnd w:id="138"/>
      <w:r>
        <w:rPr>
          <w:rFonts w:hint="eastAsia" w:ascii="宋体" w:hAnsi="宋体" w:eastAsia="宋体" w:cs="宋体"/>
          <w:sz w:val="24"/>
          <w:szCs w:val="24"/>
          <w:highlight w:val="none"/>
          <w:lang w:val="zh-CN"/>
        </w:rPr>
        <w:t xml:space="preserve">以及乙方企业利润、税金和政策性文件规定及合同包含的所有风险、责任等各项应有费用</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tabs>
          <w:tab w:val="center" w:pos="513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甲方支付此项费用外不再承担其它任何费用。</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付款方式：</w:t>
      </w:r>
      <w:r>
        <w:rPr>
          <w:rFonts w:hint="eastAsia" w:ascii="宋体" w:hAnsi="宋体" w:eastAsia="宋体" w:cs="宋体"/>
          <w:sz w:val="24"/>
          <w:szCs w:val="24"/>
          <w:highlight w:val="none"/>
          <w:lang w:val="zh-CN"/>
        </w:rPr>
      </w:r>
      <w:r/>
    </w:p>
    <w:p>
      <w:pPr>
        <w:pStyle w:val="896"/>
        <w:ind w:firstLine="480"/>
        <w:jc w:val="both"/>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zh-CN" w:eastAsia="zh-CN" w:bidi="ar-SA"/>
        </w:rPr>
      </w:pPr>
      <w:r>
        <w:rPr>
          <w:rFonts w:hint="eastAsia" w:ascii="宋体" w:hAnsi="宋体" w:eastAsia="宋体" w:cs="宋体"/>
          <w:sz w:val="24"/>
          <w:szCs w:val="24"/>
          <w:highlight w:val="none"/>
          <w:u w:val="single"/>
          <w:lang w:val="en-US" w:eastAsia="zh-CN" w:bidi="ar-SA"/>
        </w:rPr>
        <w:t xml:space="preserve">4.1</w:t>
      </w:r>
      <w:r>
        <w:rPr>
          <w:rFonts w:hint="eastAsia" w:ascii="宋体" w:hAnsi="宋体" w:eastAsia="宋体" w:cs="宋体"/>
          <w:sz w:val="24"/>
          <w:szCs w:val="24"/>
          <w:highlight w:val="none"/>
          <w:u w:val="single"/>
          <w:lang w:val="zh-CN" w:eastAsia="zh-CN" w:bidi="ar-SA"/>
        </w:rPr>
        <w:t xml:space="preserve">先服务后付款，每月根据考核结果结算，每次付款金额=合同金额×1/6-考核扣款，按上述公式折算的付款金额。本项目服务期间，如有人员数量调整，则按乙方成交的人员单价及服务时间按实结算。</w:t>
      </w:r>
      <w:r>
        <w:rPr>
          <w:rFonts w:hint="eastAsia" w:ascii="宋体" w:hAnsi="宋体" w:eastAsia="宋体" w:cs="宋体"/>
          <w:sz w:val="24"/>
          <w:szCs w:val="24"/>
          <w:highlight w:val="none"/>
          <w:u w:val="single"/>
          <w:lang w:val="zh-CN" w:eastAsia="zh-CN" w:bidi="ar-SA"/>
        </w:rPr>
      </w:r>
      <w:r/>
    </w:p>
    <w:p>
      <w:pPr>
        <w:pStyle w:val="896"/>
        <w:ind w:firstLine="480"/>
        <w:jc w:val="both"/>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4.2每次付款前，乙方需向甲方开具相应金额的合法有效发票，否则甲方有权拒绝付款，且不就此承担逾期付款的违约责任。</w:t>
      </w:r>
      <w:r>
        <w:rPr>
          <w:rFonts w:hint="eastAsia" w:ascii="宋体" w:hAnsi="宋体" w:eastAsia="宋体" w:cs="宋体"/>
          <w:sz w:val="24"/>
          <w:szCs w:val="24"/>
          <w:highlight w:val="none"/>
          <w:u w:val="single"/>
          <w:lang w:val="en-US" w:eastAsia="zh-CN" w:bidi="ar-SA"/>
        </w:rPr>
      </w:r>
      <w:r/>
    </w:p>
    <w:p>
      <w:pPr>
        <w:pStyle w:val="906"/>
        <w:ind w:firstLine="480"/>
        <w:jc w:val="both"/>
        <w:keepLines w:val="0"/>
        <w:keepNext w:val="0"/>
        <w:pageBreakBefore w:val="0"/>
        <w:spacing w:line="360" w:lineRule="auto"/>
        <w:tabs>
          <w:tab w:val="left" w:pos="525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4.3</w:t>
      </w:r>
      <w:r>
        <w:rPr>
          <w:rFonts w:hint="eastAsia" w:ascii="宋体" w:hAnsi="宋体" w:eastAsia="宋体" w:cs="宋体"/>
          <w:sz w:val="24"/>
          <w:szCs w:val="24"/>
          <w:highlight w:val="none"/>
          <w:u w:val="single"/>
        </w:rPr>
        <w:t xml:space="preserve">具体付款日期根据</w:t>
      </w:r>
      <w:r>
        <w:rPr>
          <w:rFonts w:hint="eastAsia" w:ascii="宋体" w:hAnsi="宋体" w:eastAsia="宋体" w:cs="宋体"/>
          <w:sz w:val="24"/>
          <w:szCs w:val="24"/>
          <w:highlight w:val="none"/>
          <w:u w:val="single"/>
          <w:lang w:eastAsia="zh-CN"/>
        </w:rPr>
        <w:t xml:space="preserve">甲方</w:t>
      </w:r>
      <w:r>
        <w:rPr>
          <w:rFonts w:hint="eastAsia" w:ascii="宋体" w:hAnsi="宋体" w:eastAsia="宋体" w:cs="宋体"/>
          <w:sz w:val="24"/>
          <w:szCs w:val="24"/>
          <w:highlight w:val="none"/>
          <w:u w:val="single"/>
        </w:rPr>
        <w:t xml:space="preserve">所在地财政部门规定执行。</w:t>
      </w:r>
      <w:r>
        <w:rPr>
          <w:rFonts w:hint="eastAsia" w:ascii="宋体" w:hAnsi="宋体" w:eastAsia="宋体" w:cs="宋体"/>
          <w:sz w:val="24"/>
          <w:szCs w:val="24"/>
          <w:highlight w:val="none"/>
          <w:u w:val="single"/>
        </w:rPr>
      </w:r>
      <w:r/>
    </w:p>
    <w:p>
      <w:pPr>
        <w:pStyle w:val="896"/>
        <w:ind w:firstLine="480"/>
        <w:jc w:val="both"/>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服务时间：</w:t>
      </w:r>
      <w:r>
        <w:rPr>
          <w:rFonts w:hint="eastAsia" w:ascii="宋体" w:hAnsi="宋体" w:eastAsia="宋体" w:cs="宋体"/>
          <w:sz w:val="24"/>
          <w:szCs w:val="24"/>
          <w:highlight w:val="none"/>
          <w:u w:val="single"/>
          <w:lang w:val="zh-CN" w:eastAsia="zh-CN" w:bidi="ar-SA"/>
        </w:rPr>
        <w:t xml:space="preserve">六个月（服务期限以进驻时间起顺延六个月，</w:t>
      </w:r>
      <w:r>
        <w:rPr>
          <w:rFonts w:hint="eastAsia" w:ascii="宋体" w:hAnsi="宋体" w:eastAsia="宋体" w:cs="宋体"/>
          <w:sz w:val="24"/>
          <w:szCs w:val="24"/>
          <w:highlight w:val="none"/>
          <w:u w:val="single"/>
          <w:lang w:val="en-US" w:eastAsia="zh-CN" w:bidi="ar-SA"/>
        </w:rPr>
        <w:t xml:space="preserve">具体以书面形式通知为准</w:t>
      </w:r>
      <w:r>
        <w:rPr>
          <w:rFonts w:hint="eastAsia" w:ascii="宋体" w:hAnsi="宋体" w:eastAsia="宋体" w:cs="宋体"/>
          <w:sz w:val="24"/>
          <w:szCs w:val="24"/>
          <w:highlight w:val="none"/>
          <w:u w:val="single"/>
          <w:lang w:val="zh-CN" w:eastAsia="zh-CN" w:bidi="ar-SA"/>
        </w:rPr>
        <w:t xml:space="preserve">）</w:t>
      </w:r>
      <w:r>
        <w:rPr>
          <w:rFonts w:hint="eastAsia" w:ascii="宋体" w:hAnsi="宋体" w:eastAsia="宋体" w:cs="宋体"/>
          <w:sz w:val="24"/>
          <w:szCs w:val="24"/>
          <w:highlight w:val="none"/>
          <w:u w:val="single"/>
          <w:lang w:val="en-US" w:eastAsia="zh-CN" w:bidi="ar-SA"/>
        </w:rPr>
        <w:t xml:space="preserve">。</w:t>
      </w:r>
      <w:r>
        <w:rPr>
          <w:rFonts w:hint="eastAsia" w:ascii="宋体" w:hAnsi="宋体" w:eastAsia="宋体" w:cs="宋体"/>
          <w:sz w:val="24"/>
          <w:szCs w:val="24"/>
          <w:highlight w:val="none"/>
          <w:u w:val="single"/>
          <w:lang w:val="en-US" w:eastAsia="zh-CN" w:bidi="ar-SA"/>
        </w:rPr>
      </w:r>
      <w:r/>
    </w:p>
    <w:p>
      <w:pPr>
        <w:pStyle w:val="896"/>
        <w:ind w:firstLine="482"/>
        <w:jc w:val="both"/>
        <w:keepLines w:val="0"/>
        <w:keepNext w:val="0"/>
        <w:pageBreakBefore w:val="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四、服务质量要求</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乙方应按采购文件的有关规定提供合格的服务。</w:t>
      </w:r>
      <w:r>
        <w:rPr>
          <w:rFonts w:hint="eastAsia" w:ascii="宋体" w:hAnsi="宋体" w:eastAsia="宋体" w:cs="宋体"/>
          <w:sz w:val="24"/>
          <w:szCs w:val="24"/>
          <w:highlight w:val="none"/>
        </w:rPr>
      </w:r>
      <w:r/>
    </w:p>
    <w:p>
      <w:pPr>
        <w:pStyle w:val="945"/>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乙方应保证所提供标的物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五、甲方权利和义务</w:t>
      </w:r>
      <w:r>
        <w:rPr>
          <w:rFonts w:hint="eastAsia" w:ascii="宋体" w:hAnsi="宋体" w:eastAsia="宋体" w:cs="宋体"/>
          <w:b/>
          <w:bCs/>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根据甲方采购要求及乙方响应文件中的承诺，对乙方提供的服务及履行本合同情况实行验收考核。</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六、乙方权利和义务</w:t>
      </w:r>
      <w:r>
        <w:rPr>
          <w:rFonts w:hint="eastAsia" w:ascii="宋体" w:hAnsi="宋体" w:eastAsia="宋体" w:cs="宋体"/>
          <w:b/>
          <w:bCs/>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乙方根据甲方有关要求，积极主动保质保量地完成此次工作。</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乙方必须满足本采购文件要求。</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乙方在从事服务工作中应当做到文明工作、安全生产，采取必要的安全防范措施，合同期内，乙方服务工作人员发生的一切安全问题包括由于乙方提供的服务导致的安全事故的责任，均由乙方自行负责，与甲方无关。</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乙方应及时调整不适应工作需求的服务管理人员及其员工。如甲方认为该员工不能胜任本职工作的，必须调整。</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乙方应经常对员工进行岗位职责和安全教育，加强岗位责任考核。因管理不当、违规操作发生设备损坏、被盗等安全事故对甲方造成一定损失的，乙方需承担相应的赔偿责任。</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乙方负有对自己员工的安全责任，甲方不承担任何相关责任。</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因乙方工作造成甲方、乙方人员或其他第三方财产或人身损害的，一切责任由乙方自行承担，由此造成甲方垫款的，甲方有权向乙方全额追偿。</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乙方必须为其工作人员按苏州市劳动部门的相关规定缴纳相关费用（包括社保费用）。有关费用已考虑在本合同价格中。乙方需保证与提供本合同项下劳务人员签订劳动合同、建立劳动关系。如提供本合同项下劳务人员发生劳动争议的，由乙方负责解决，与甲方无关。由此造成甲方垫款的，甲方有权向乙方全额追偿。</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七、违约责任</w:t>
      </w:r>
      <w:r>
        <w:rPr>
          <w:rFonts w:hint="eastAsia" w:ascii="宋体" w:hAnsi="宋体" w:eastAsia="宋体" w:cs="宋体"/>
          <w:b/>
          <w:bCs/>
          <w:sz w:val="24"/>
          <w:szCs w:val="24"/>
          <w:highlight w:val="none"/>
          <w:lang w:val="zh-CN"/>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1.甲方违约责任及违约金支付：</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甲方逾期付款的应按照逾期付款金额根据全国银行间同业拆借中心公布的贷款市场报价利率（LPR）支付逾期付款违约金。</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2.乙方违约责任及违约金支付：</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（1）乙方不能提供服务的，或服务不合格从而影响甲方按期正常使用的，应向甲方偿付合同总价款5%的违约金，违约金不足以补偿损失的甲方有权要求乙方补足，甲方也可选择解除合同。</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（2）乙方逾期提供服务的，应与甲方和采购管理部门协商，甲方仍需求的，乙方应立即提供服务按照逾期服务的每天万分之四支付逾期违约金，同时承担甲方因此遭致的损失费用，甲方也可选择解除合同。</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八、考核：见附件《</w:t>
      </w:r>
      <w:r>
        <w:rPr>
          <w:rFonts w:hint="eastAsia" w:ascii="宋体" w:hAnsi="宋体" w:eastAsia="宋体" w:cs="宋体"/>
          <w:b/>
          <w:sz w:val="24"/>
          <w:szCs w:val="24"/>
          <w:highlight w:val="none"/>
          <w:lang w:val="zh-CN"/>
        </w:rPr>
        <w:t xml:space="preserve">保安管理考核细则</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甲方有权对乙方服务进行定期或不定期考核，并根据考核结果扣减相应合同价款，乙方经考核连续两个月70分以下或累计三个月70分以下，甲方有权解除合同。</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九、不可抗力</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十、合同修改</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和乙方都不得擅自变更本合同，但合同继续履行将损害国家和社会公共利益的除外。如必须对合同条款进行改动时，当事人双方须共同签署书面文件，做为合同的补充，并报同级采购监督管理部门备案（如需）。</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十一、转让和分包</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1.采购合同的部分和全部都不得转让。</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十二、合同的解除</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1.有下列情形之一，合同一方可以解除合同：</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因不可抗力致使不能实现合同目的，未受不可抗力影响的一方有权解除合同；</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因合同一方违约导致合同不能履行，另一方有权解除合同。</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十三、争议解决办法</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因本合同或与本合同有关的一切事项发生争议，由双方友好协商解决。协商不成的，任何一方均可选择向甲方所在地的人民法院起诉。</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十四、合同生效及其他</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1.本合同经双方法定（授权）代表人签字（或盖章）并盖单位公章（合同章）后生效，同时须网上备案。</w:t>
      </w:r>
      <w:r>
        <w:rPr>
          <w:rFonts w:hint="eastAsia" w:ascii="宋体" w:hAnsi="宋体" w:eastAsia="宋体" w:cs="宋体"/>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备存。</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十五、未尽事宜</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sz w:val="24"/>
          <w:szCs w:val="24"/>
          <w:highlight w:val="none"/>
        </w:rPr>
      </w:r>
      <w:r/>
    </w:p>
    <w:p>
      <w:pPr>
        <w:pStyle w:val="896"/>
        <w:ind w:firstLine="482"/>
        <w:jc w:val="both"/>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十六、附则</w:t>
      </w:r>
      <w:r>
        <w:rPr>
          <w:rFonts w:hint="eastAsia" w:ascii="宋体" w:hAnsi="宋体" w:eastAsia="宋体" w:cs="宋体"/>
          <w:b/>
          <w:sz w:val="24"/>
          <w:szCs w:val="24"/>
          <w:highlight w:val="none"/>
        </w:rPr>
      </w:r>
      <w:r/>
    </w:p>
    <w:p>
      <w:pPr>
        <w:pStyle w:val="896"/>
        <w:ind w:firstLine="480"/>
        <w:jc w:val="both"/>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份，采购代理机构</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rPr>
        <w:t xml:space="preserve">份</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zh-CN"/>
        </w:rPr>
      </w:r>
      <w:r/>
    </w:p>
    <w:p>
      <w:pPr>
        <w:pStyle w:val="906"/>
        <w:ind w:firstLine="482"/>
        <w:spacing w:line="360" w:lineRule="auto"/>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（以下无正文）</w:t>
      </w:r>
      <w:r>
        <w:rPr>
          <w:rFonts w:hint="eastAsia" w:ascii="宋体" w:hAnsi="宋体" w:cs="宋体"/>
          <w:b/>
          <w:color w:val="000000"/>
          <w:sz w:val="24"/>
          <w:highlight w:val="none"/>
        </w:rPr>
      </w:r>
      <w:r/>
    </w:p>
    <w:p>
      <w:pPr>
        <w:pStyle w:val="896"/>
        <w:rPr>
          <w:highlight w:val="none"/>
        </w:rPr>
      </w:pPr>
      <w:r>
        <w:rPr>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06"/>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896"/>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6"/>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6"/>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bl>
    <w:p>
      <w:pPr>
        <w:rPr>
          <w:rFonts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rFonts w:hint="eastAsia" w:ascii="宋体" w:hAnsi="宋体" w:eastAsia="宋体" w:cs="宋体"/>
          <w:b/>
          <w:bCs/>
          <w:sz w:val="21"/>
          <w:szCs w:val="21"/>
          <w:highlight w:val="none"/>
        </w:rPr>
      </w:r>
      <w:r/>
    </w:p>
    <w:p>
      <w:pPr>
        <w:pStyle w:val="896"/>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合同</w:t>
      </w:r>
      <w:r>
        <w:rPr>
          <w:rFonts w:hint="eastAsia" w:ascii="宋体" w:hAnsi="宋体" w:eastAsia="宋体" w:cs="宋体"/>
          <w:b/>
          <w:bCs/>
          <w:sz w:val="21"/>
          <w:szCs w:val="21"/>
          <w:highlight w:val="none"/>
        </w:rPr>
        <w:t xml:space="preserve">附件一：</w:t>
      </w:r>
      <w:r>
        <w:rPr>
          <w:rFonts w:ascii="宋体" w:hAnsi="宋体" w:eastAsia="宋体" w:cs="宋体"/>
          <w:b/>
          <w:bCs/>
          <w:sz w:val="21"/>
          <w:szCs w:val="21"/>
          <w:highlight w:val="none"/>
        </w:rPr>
      </w:r>
      <w:r/>
    </w:p>
    <w:p>
      <w:pPr>
        <w:pStyle w:val="896"/>
        <w:ind w:firstLine="420"/>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保安管理考核细则</w:t>
      </w:r>
      <w:r>
        <w:rPr>
          <w:rFonts w:hint="eastAsia" w:ascii="宋体" w:hAnsi="宋体" w:eastAsia="宋体" w:cs="宋体"/>
          <w:b/>
          <w:bCs/>
          <w:sz w:val="24"/>
          <w:szCs w:val="24"/>
          <w:highlight w:val="none"/>
          <w:lang w:val="zh-CN"/>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一、目的</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为做好花港湾片区和三里桥片区城中村改造项目拆迁区域的安全稳定工作，特组建专职安保队伍，对拆迁区域建立常态化管控机制</w:t>
      </w:r>
      <w:r>
        <w:rPr>
          <w:rFonts w:hint="eastAsia" w:ascii="宋体" w:hAnsi="宋体" w:eastAsia="宋体" w:cs="宋体"/>
          <w:sz w:val="24"/>
          <w:szCs w:val="24"/>
          <w:highlight w:val="none"/>
        </w:rPr>
        <w:t xml:space="preserve">。为有效公平地对保安人员进行考核，特制订本规定。</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二、适用范围</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委派在</w:t>
      </w:r>
      <w:r>
        <w:rPr>
          <w:rFonts w:hint="eastAsia" w:ascii="宋体" w:hAnsi="宋体" w:eastAsia="宋体" w:cs="宋体"/>
          <w:sz w:val="24"/>
          <w:szCs w:val="24"/>
          <w:highlight w:val="none"/>
          <w:lang w:bidi="ar"/>
        </w:rPr>
        <w:t xml:space="preserve">拆迁区域</w:t>
      </w:r>
      <w:r>
        <w:rPr>
          <w:rFonts w:hint="eastAsia" w:ascii="宋体" w:hAnsi="宋体" w:eastAsia="宋体" w:cs="宋体"/>
          <w:sz w:val="24"/>
          <w:szCs w:val="24"/>
          <w:highlight w:val="none"/>
        </w:rPr>
        <w:t xml:space="preserve">执行任务的保安人员。</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三、考核方法</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以抽查和发现相结合的方法进行。</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将指定专项人员进行每月不少于每周一次的抽查。依据考核细则进行扣分，下达书面扣分通知书，并可附带提供证言、照片、监控记录等。扣分记录计入考核细则表中。每月保安总分为100分，直至扣减为零分为止。</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四、考核细则</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保安人员</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保安在岗人员未按合同要求配齐，并且未向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有关部门提出请假同意的，扣除10分/人。</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在岗人员未按要求着装，着装不整齐的，扣除5分/起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在岗期间不得抽烟，不得睡觉、玩手机、听耳机、电话聊天等。违者扣除10分/起。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保安人员损坏装备、破坏公物者，除照价赔偿外，视情节轻重给予扣除5-20分/次。情节严重者，当事人解除聘用。并扣除20-40分/次。</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保安人员监守自盗者，解除当事人聘用，并按照合同规定追究相关责任。并扣除30-40分/起。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迟到、早退扣10分/次。保安人员因事因病不能到岗，应事先办理请假手续，安排其他人员顶替，否则以脱岗处理，扣20分/次。</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泄露进驻拆迁区域内部事务或其他秘密情况、资料的，视情况扣除20-50分/起。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不执行工作制度，造成经济损失的，扣除5-10分/起。造成严重后果者，当事人解除聘用，并按照合同规定追究相关责任，扣除20-30分/起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履行工作职责范围以内工作时不听从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工作安排的，不服从分配、不听从指挥的。扣10分/次。</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值勤时遇到紧急情况 ( 如发生案件、事故等 ) 处置不力、甚至临阵退缩的。并按照合同规定追究相关责任，扣除20-50分/起。</w:t>
      </w:r>
      <w:r>
        <w:rPr>
          <w:rFonts w:hint="eastAsia" w:ascii="宋体" w:hAnsi="宋体" w:eastAsia="宋体" w:cs="宋体"/>
          <w:sz w:val="24"/>
          <w:szCs w:val="24"/>
          <w:highlight w:val="none"/>
        </w:rPr>
      </w:r>
      <w:r/>
    </w:p>
    <w:p>
      <w:pPr>
        <w:pStyle w:val="896"/>
        <w:contextualSpacing/>
        <w:ind w:firstLine="42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没有提前通知采购方而更换人员的，扣10分/每起</w:t>
      </w:r>
      <w:r>
        <w:rPr>
          <w:rFonts w:hint="eastAsia" w:ascii="宋体" w:hAnsi="宋体" w:eastAsia="宋体" w:cs="宋体"/>
          <w:sz w:val="24"/>
          <w:szCs w:val="24"/>
          <w:highlight w:val="none"/>
        </w:rPr>
      </w:r>
      <w:r/>
    </w:p>
    <w:p>
      <w:pPr>
        <w:pStyle w:val="89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五、处罚办法</w:t>
      </w:r>
      <w:r>
        <w:rPr>
          <w:rFonts w:hint="eastAsia" w:ascii="宋体" w:hAnsi="宋体" w:eastAsia="宋体" w:cs="宋体"/>
          <w:sz w:val="24"/>
          <w:szCs w:val="24"/>
          <w:highlight w:val="none"/>
        </w:rPr>
      </w:r>
      <w:r/>
    </w:p>
    <w:p>
      <w:pPr>
        <w:pStyle w:val="896"/>
        <w:ind w:left="-40" w:firstLine="420"/>
        <w:spacing w:line="360" w:lineRule="auto"/>
        <w:tabs>
          <w:tab w:val="left" w:pos="-28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每月得分90分</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以上，足额支付费用；</w:t>
      </w:r>
      <w:r>
        <w:rPr>
          <w:rFonts w:hint="eastAsia" w:ascii="宋体" w:hAnsi="宋体" w:eastAsia="宋体" w:cs="宋体"/>
          <w:sz w:val="24"/>
          <w:szCs w:val="24"/>
          <w:highlight w:val="none"/>
          <w:lang w:val="en-US" w:eastAsia="zh-CN"/>
        </w:rPr>
        <w:t xml:space="preserve">85（含）-89（含），每扣1份扣300元；</w:t>
      </w:r>
      <w:r>
        <w:rPr>
          <w:rFonts w:hint="eastAsia" w:ascii="宋体" w:hAnsi="宋体" w:eastAsia="宋体" w:cs="宋体"/>
          <w:sz w:val="24"/>
          <w:szCs w:val="24"/>
          <w:highlight w:val="none"/>
          <w:lang w:val="en-US" w:eastAsia="zh-CN"/>
        </w:rPr>
        <w:t xml:space="preserve">80（含）-84（含），每扣1份扣500元；75（含）-79（含），每扣1份扣800元；70（含）-74（含），每扣1份扣1000元；</w:t>
      </w:r>
      <w:r>
        <w:rPr>
          <w:rFonts w:hint="eastAsia" w:ascii="宋体" w:hAnsi="宋体" w:eastAsia="宋体" w:cs="宋体"/>
          <w:sz w:val="24"/>
          <w:szCs w:val="24"/>
          <w:highlight w:val="none"/>
        </w:rPr>
        <w:t xml:space="preserve">连续两个月70分以下或累计三个月70分以下，</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06"/>
        <w:ind w:firstLine="420"/>
        <w:spacing w:line="360" w:lineRule="auto"/>
        <w:tabs>
          <w:tab w:val="left" w:pos="525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24"/>
        <w:tabs>
          <w:tab w:val="left" w:pos="48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96"/>
        <w:jc w:val="left"/>
        <w:spacing w:line="360" w:lineRule="exact"/>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lang w:val="en-US" w:eastAsia="zh-CN"/>
        </w:rPr>
        <w:t xml:space="preserve">合同</w:t>
      </w:r>
      <w:r>
        <w:rPr>
          <w:rFonts w:hint="eastAsia" w:ascii="宋体" w:hAnsi="宋体" w:eastAsia="宋体" w:cs="宋体"/>
          <w:b/>
          <w:bCs/>
          <w:sz w:val="24"/>
          <w:szCs w:val="24"/>
          <w:highlight w:val="none"/>
          <w:shd w:val="clear" w:color="auto" w:fill="ffffff"/>
        </w:rPr>
        <w:t xml:space="preserve">附件二：</w:t>
      </w:r>
      <w:r>
        <w:rPr>
          <w:rFonts w:hint="eastAsia" w:ascii="宋体" w:hAnsi="宋体" w:eastAsia="宋体" w:cs="宋体"/>
          <w:b/>
          <w:bCs/>
          <w:sz w:val="24"/>
          <w:szCs w:val="24"/>
          <w:highlight w:val="none"/>
          <w:shd w:val="clear" w:color="auto" w:fill="ffffff"/>
        </w:rPr>
      </w:r>
      <w:r/>
    </w:p>
    <w:p>
      <w:pPr>
        <w:pStyle w:val="896"/>
        <w:jc w:val="center"/>
        <w:spacing w:line="360" w:lineRule="auto"/>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履约验收方案</w:t>
      </w:r>
      <w:r>
        <w:rPr>
          <w:rFonts w:hint="eastAsia" w:ascii="宋体" w:hAnsi="宋体" w:eastAsia="宋体" w:cs="宋体"/>
          <w:b/>
          <w:bCs/>
          <w:sz w:val="24"/>
          <w:szCs w:val="24"/>
          <w:highlight w:val="none"/>
          <w:shd w:val="clear" w:color="auto" w:fill="ffffff"/>
        </w:rPr>
      </w:r>
      <w:r/>
    </w:p>
    <w:p>
      <w:pPr>
        <w:pStyle w:val="896"/>
        <w:jc w:val="center"/>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一、 验收单位：苏州市吴江区人民政府江陵街道办事处</w:t>
      </w:r>
      <w:r>
        <w:rPr>
          <w:rFonts w:hint="eastAsia" w:ascii="宋体" w:hAnsi="宋体" w:eastAsia="宋体" w:cs="宋体"/>
          <w:sz w:val="24"/>
          <w:szCs w:val="24"/>
          <w:highlight w:val="none"/>
          <w:shd w:val="clear" w:color="auto" w:fill="ffffff"/>
        </w:rPr>
      </w:r>
      <w:r/>
    </w:p>
    <w:p>
      <w:pPr>
        <w:pStyle w:val="896"/>
        <w:numPr>
          <w:ilvl w:val="0"/>
          <w:numId w:val="2"/>
        </w:numPr>
        <w:contextualSpacing/>
        <w:ind w:firstLine="480"/>
        <w:jc w:val="both"/>
        <w:keepLines w:val="0"/>
        <w:keepNext w:val="0"/>
        <w:pageBreakBefore w:val="0"/>
        <w:spacing w:line="360" w:lineRule="auto"/>
        <w:widowControl w:val="off"/>
        <w:tabs>
          <w:tab w:val="left" w:pos="42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验收时间：服务人员到岗后两周内</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三、验收内容、标准及程序</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验收工作由苏州市吴江区人民政府江陵街道办事处相关人员参加。验收工作依据</w:t>
      </w:r>
      <w:r>
        <w:rPr>
          <w:rFonts w:hint="eastAsia" w:ascii="宋体" w:hAnsi="宋体" w:eastAsia="宋体" w:cs="宋体"/>
          <w:sz w:val="24"/>
          <w:szCs w:val="24"/>
          <w:highlight w:val="none"/>
          <w:shd w:val="clear" w:color="auto" w:fill="ffffff"/>
          <w:lang w:eastAsia="zh-CN"/>
        </w:rPr>
        <w:t xml:space="preserve">采购文件</w:t>
      </w:r>
      <w:r>
        <w:rPr>
          <w:rFonts w:hint="eastAsia" w:ascii="宋体" w:hAnsi="宋体" w:eastAsia="宋体" w:cs="宋体"/>
          <w:sz w:val="24"/>
          <w:szCs w:val="24"/>
          <w:highlight w:val="none"/>
          <w:shd w:val="clear" w:color="auto" w:fill="ffffff"/>
        </w:rPr>
        <w:t xml:space="preserve">、采购合同等相关规定和要求执行。</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（一）查阅资料</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1.</w:t>
      </w:r>
      <w:r>
        <w:rPr>
          <w:rFonts w:hint="eastAsia" w:ascii="宋体" w:hAnsi="宋体" w:eastAsia="宋体" w:cs="宋体"/>
          <w:sz w:val="24"/>
          <w:szCs w:val="24"/>
          <w:highlight w:val="none"/>
          <w:shd w:val="clear" w:color="auto" w:fill="ffffff"/>
        </w:rPr>
        <w:t xml:space="preserve">公司营业执照、相关资质证书等；</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2.</w:t>
      </w:r>
      <w:r>
        <w:rPr>
          <w:rFonts w:hint="eastAsia" w:ascii="宋体" w:hAnsi="宋体" w:eastAsia="宋体" w:cs="宋体"/>
          <w:sz w:val="24"/>
          <w:szCs w:val="24"/>
          <w:highlight w:val="none"/>
          <w:shd w:val="clear" w:color="auto" w:fill="ffffff"/>
        </w:rPr>
        <w:t xml:space="preserve">服务人员花名册；</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3.</w:t>
      </w:r>
      <w:r>
        <w:rPr>
          <w:rFonts w:hint="eastAsia" w:ascii="宋体" w:hAnsi="宋体" w:eastAsia="宋体" w:cs="宋体"/>
          <w:sz w:val="24"/>
          <w:szCs w:val="24"/>
          <w:highlight w:val="none"/>
          <w:shd w:val="clear" w:color="auto" w:fill="ffffff"/>
        </w:rPr>
        <w:t xml:space="preserve">服务人员身份证、相关岗位从业证。</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（二）现场检查</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按要求逐项进行检查，结合</w:t>
      </w:r>
      <w:r>
        <w:rPr>
          <w:rFonts w:hint="eastAsia" w:ascii="宋体" w:hAnsi="宋体" w:eastAsia="宋体" w:cs="宋体"/>
          <w:sz w:val="24"/>
          <w:szCs w:val="24"/>
          <w:highlight w:val="none"/>
          <w:shd w:val="clear" w:color="auto" w:fill="ffffff"/>
          <w:lang w:eastAsia="zh-CN"/>
        </w:rPr>
        <w:t xml:space="preserve">采购文件</w:t>
      </w:r>
      <w:r>
        <w:rPr>
          <w:rFonts w:hint="eastAsia" w:ascii="宋体" w:hAnsi="宋体" w:eastAsia="宋体" w:cs="宋体"/>
          <w:sz w:val="24"/>
          <w:szCs w:val="24"/>
          <w:highlight w:val="none"/>
          <w:shd w:val="clear" w:color="auto" w:fill="ffffff"/>
        </w:rPr>
        <w:t xml:space="preserve">、采购合同等相关规范标准执行。</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1.</w:t>
      </w:r>
      <w:r>
        <w:rPr>
          <w:rFonts w:hint="eastAsia" w:ascii="宋体" w:hAnsi="宋体" w:eastAsia="宋体" w:cs="宋体"/>
          <w:sz w:val="24"/>
          <w:szCs w:val="24"/>
          <w:highlight w:val="none"/>
          <w:shd w:val="clear" w:color="auto" w:fill="ffffff"/>
        </w:rPr>
        <w:t xml:space="preserve">根据花名册核对服务人员；</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2.乙方</w:t>
      </w:r>
      <w:r>
        <w:rPr>
          <w:rFonts w:hint="eastAsia" w:ascii="宋体" w:hAnsi="宋体" w:eastAsia="宋体" w:cs="宋体"/>
          <w:sz w:val="24"/>
          <w:szCs w:val="24"/>
          <w:highlight w:val="none"/>
          <w:shd w:val="clear" w:color="auto" w:fill="ffffff"/>
        </w:rPr>
        <w:t xml:space="preserve">服务所需设施设备工具的检查；</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3.</w:t>
      </w:r>
      <w:r>
        <w:rPr>
          <w:rFonts w:hint="eastAsia" w:ascii="宋体" w:hAnsi="宋体" w:eastAsia="宋体" w:cs="宋体"/>
          <w:sz w:val="24"/>
          <w:szCs w:val="24"/>
          <w:highlight w:val="none"/>
          <w:shd w:val="clear" w:color="auto" w:fill="ffffff"/>
        </w:rPr>
        <w:t xml:space="preserve">岗位工作技能胜任的检查。</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（三）会签验收文件</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1.</w:t>
      </w:r>
      <w:r>
        <w:rPr>
          <w:rFonts w:hint="eastAsia" w:ascii="宋体" w:hAnsi="宋体" w:eastAsia="宋体" w:cs="宋体"/>
          <w:sz w:val="24"/>
          <w:szCs w:val="24"/>
          <w:highlight w:val="none"/>
          <w:shd w:val="clear" w:color="auto" w:fill="ffffff"/>
        </w:rPr>
        <w:t xml:space="preserve">确定会议纪要；</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eastAsia="zh-CN"/>
        </w:rPr>
        <w:t xml:space="preserve">2.</w:t>
      </w:r>
      <w:r>
        <w:rPr>
          <w:rFonts w:hint="eastAsia" w:ascii="宋体" w:hAnsi="宋体" w:eastAsia="宋体" w:cs="宋体"/>
          <w:sz w:val="24"/>
          <w:szCs w:val="24"/>
          <w:highlight w:val="none"/>
          <w:shd w:val="clear" w:color="auto" w:fill="ffffff"/>
        </w:rPr>
        <w:t xml:space="preserve">会签项目验收单。</w:t>
      </w:r>
      <w:r>
        <w:rPr>
          <w:rFonts w:hint="eastAsia" w:ascii="宋体" w:hAnsi="宋体" w:eastAsia="宋体" w:cs="宋体"/>
          <w:sz w:val="24"/>
          <w:szCs w:val="24"/>
          <w:highlight w:val="none"/>
          <w:shd w:val="clear" w:color="auto" w:fill="ffffff"/>
        </w:rPr>
      </w:r>
      <w:r/>
    </w:p>
    <w:p>
      <w:pPr>
        <w:pStyle w:val="896"/>
        <w:ind w:firstLine="480"/>
        <w:jc w:val="both"/>
        <w:keepLines w:val="0"/>
        <w:keepNext w:val="0"/>
        <w:pageBreakBefore w:val="0"/>
        <w:spacing w:line="36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四、验收标准</w:t>
      </w:r>
      <w:r>
        <w:rPr>
          <w:rFonts w:hint="eastAsia" w:ascii="宋体" w:hAnsi="宋体" w:eastAsia="宋体" w:cs="宋体"/>
          <w:sz w:val="24"/>
          <w:szCs w:val="24"/>
          <w:highlight w:val="none"/>
          <w:shd w:val="clear" w:color="auto" w:fill="ffffff"/>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7"/>
        <w:gridCol w:w="2138"/>
        <w:gridCol w:w="2885"/>
        <w:gridCol w:w="1456"/>
        <w:gridCol w:w="1563"/>
      </w:tblGrid>
      <w:tr>
        <w:trPr>
          <w:trHeight w:val="840"/>
        </w:trPr>
        <w:tc>
          <w:tcPr>
            <w:gridSpan w:val="5"/>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896"/>
              <w:ind w:firstLine="2940"/>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江陵街道城中村改造项目保安选聘</w:t>
            </w:r>
            <w:r>
              <w:rPr>
                <w:rFonts w:hint="eastAsia" w:ascii="宋体" w:hAnsi="宋体" w:eastAsia="宋体" w:cs="宋体"/>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验收内容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验收标准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验收方式</w:t>
            </w:r>
            <w:r>
              <w:rPr>
                <w:rFonts w:hint="eastAsia" w:ascii="宋体" w:hAnsi="宋体" w:eastAsia="宋体" w:cs="宋体"/>
                <w:sz w:val="24"/>
                <w:szCs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查阅资料</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公司营业执照</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中标单位信息校对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齐全、相符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查看、归案</w:t>
            </w:r>
            <w:r>
              <w:rPr>
                <w:rFonts w:hint="eastAsia" w:ascii="宋体" w:hAnsi="宋体" w:eastAsia="宋体" w:cs="宋体"/>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保安公司资质</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服务资质校对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齐全、相符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查看、归案</w:t>
            </w:r>
            <w:r>
              <w:rPr>
                <w:rFonts w:hint="eastAsia" w:ascii="宋体" w:hAnsi="宋体" w:eastAsia="宋体" w:cs="宋体"/>
                <w:sz w:val="24"/>
                <w:szCs w:val="24"/>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服务人员花名册</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对人员数量、年龄等要进行校对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齐全、相符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查看、归案</w:t>
            </w:r>
            <w:r>
              <w:rPr>
                <w:rFonts w:hint="eastAsia" w:ascii="宋体" w:hAnsi="宋体" w:eastAsia="宋体" w:cs="宋体"/>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服务人员身份证、相关岗位从业证</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对人员证照信息校对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齐全、相符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查看、归案</w:t>
            </w:r>
            <w:r>
              <w:rPr>
                <w:rFonts w:hint="eastAsia" w:ascii="宋体" w:hAnsi="宋体" w:eastAsia="宋体" w:cs="宋体"/>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现场验收</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核对人员信息</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姓名、年龄等</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齐全、符合</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现场检查</w:t>
            </w:r>
            <w:r>
              <w:rPr>
                <w:rFonts w:hint="eastAsia" w:ascii="宋体" w:hAnsi="宋体" w:eastAsia="宋体" w:cs="宋体"/>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设施设备工具</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所需设施设备</w:t>
            </w:r>
            <w:r>
              <w:rPr>
                <w:rFonts w:hint="eastAsia" w:ascii="宋体" w:hAnsi="宋体" w:eastAsia="宋体" w:cs="宋体"/>
                <w:sz w:val="24"/>
                <w:szCs w:val="24"/>
                <w:highlight w:val="none"/>
              </w:rPr>
              <w:t xml:space="preserve">工具等</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齐全、符合</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现场检查</w:t>
            </w:r>
            <w:r>
              <w:rPr>
                <w:rFonts w:hint="eastAsia" w:ascii="宋体" w:hAnsi="宋体" w:eastAsia="宋体" w:cs="宋体"/>
                <w:sz w:val="24"/>
                <w:szCs w:val="24"/>
                <w:highlight w:val="none"/>
              </w:rPr>
            </w:r>
            <w:r/>
          </w:p>
        </w:tc>
      </w:tr>
      <w:tr>
        <w:trPr>
          <w:trHeight w:val="8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岗位工作技能胜任的检查</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岗位工作知识能力的掌握与具备</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达到岗位工作要求</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896"/>
              <w:jc w:val="left"/>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现场检验</w:t>
            </w:r>
            <w:r>
              <w:rPr>
                <w:rFonts w:hint="eastAsia" w:ascii="宋体" w:hAnsi="宋体" w:eastAsia="宋体" w:cs="宋体"/>
                <w:sz w:val="24"/>
                <w:szCs w:val="24"/>
                <w:highlight w:val="none"/>
              </w:rPr>
            </w:r>
            <w:r/>
          </w:p>
        </w:tc>
      </w:tr>
    </w:tbl>
    <w:p>
      <w:pPr>
        <w:pStyle w:val="925"/>
        <w:rPr>
          <w:highlight w:val="none"/>
          <w:lang w:val="en-US" w:eastAsia="zh-CN"/>
        </w:rPr>
      </w:pPr>
      <w:r>
        <w:rPr>
          <w:highlight w:val="none"/>
          <w:lang w:val="en-US" w:eastAsia="zh-CN"/>
        </w:rPr>
      </w:r>
      <w:r/>
    </w:p>
    <w:p>
      <w:pPr>
        <w:pStyle w:val="896"/>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896"/>
        <w:rPr>
          <w:color w:val="000000"/>
          <w:highlight w:val="none"/>
          <w:lang w:val="en-US" w:eastAsia="zh-CN"/>
        </w:rPr>
      </w:pPr>
      <w:r>
        <w:rPr>
          <w:color w:val="000000"/>
          <w:highlight w:val="none"/>
          <w:lang w:val="en-US" w:eastAsia="zh-CN"/>
        </w:rPr>
      </w:r>
      <w:r/>
    </w:p>
    <w:p>
      <w:pPr>
        <w:pStyle w:val="924"/>
        <w:tabs>
          <w:tab w:val="left" w:pos="480" w:leader="none"/>
        </w:tabs>
        <w:rPr>
          <w:highlight w:val="none"/>
          <w:lang w:val="en-US" w:eastAsia="zh-CN"/>
        </w:rPr>
      </w:pPr>
      <w:r>
        <w:rPr>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906"/>
        <w:tabs>
          <w:tab w:val="left" w:pos="5250" w:leader="none"/>
        </w:tabs>
        <w:rPr>
          <w:color w:val="000000"/>
          <w:highlight w:val="none"/>
          <w:lang w:val="en-US" w:eastAsia="zh-CN"/>
        </w:rPr>
      </w:pPr>
      <w:r>
        <w:rPr>
          <w:color w:val="000000"/>
          <w:highlight w:val="none"/>
          <w:lang w:val="en-US" w:eastAsia="zh-CN"/>
        </w:rPr>
      </w:r>
      <w:r/>
    </w:p>
    <w:p>
      <w:pPr>
        <w:pStyle w:val="896"/>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6"/>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6"/>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JSZC-320509-ZZHL-C2026-0017</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6"/>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6"/>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3"/>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3"/>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3"/>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3"/>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6"/>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18"/>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18"/>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18"/>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7"/>
        <w:rPr>
          <w:rFonts w:hint="eastAsia"/>
          <w:color w:val="000000"/>
          <w:highlight w:val="none"/>
        </w:rPr>
      </w:pPr>
      <w:r>
        <w:rPr>
          <w:rFonts w:hint="eastAsia"/>
          <w:color w:val="000000"/>
          <w:highlight w:val="none"/>
        </w:rPr>
      </w:r>
      <w:r/>
    </w:p>
    <w:p>
      <w:pPr>
        <w:pStyle w:val="896"/>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6"/>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w:t>
      </w:r>
      <w:r>
        <w:rPr>
          <w:rFonts w:hint="eastAsia" w:ascii="宋体" w:hAnsi="宋体" w:cs="宋体"/>
          <w:bCs/>
          <w:color w:val="000000"/>
          <w:sz w:val="24"/>
          <w:highlight w:val="none"/>
          <w:lang w:eastAsia="zh-CN"/>
        </w:rPr>
        <w:t xml:space="preserve">JSZC-320509-ZZHL-C2026-0017</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磋商响应总报价（元）</w:t>
            </w:r>
            <w:r>
              <w:rPr>
                <w:rFonts w:hint="eastAsia" w:ascii="宋体" w:hAnsi="宋体" w:cs="宋体"/>
                <w:color w:val="000000"/>
                <w:spacing w:val="20"/>
                <w:sz w:val="24"/>
                <w:highlight w:val="none"/>
              </w:rPr>
            </w:r>
            <w:r/>
          </w:p>
        </w:tc>
        <w:tc>
          <w:tcPr>
            <w:tcW w:w="2769"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zCs w:val="21"/>
                <w:highlight w:val="none"/>
                <w:lang w:val="en-US" w:eastAsia="zh-CN"/>
              </w:rPr>
              <w:t xml:space="preserve">自合同生效之日起六个月</w:t>
            </w:r>
            <w:r>
              <w:rPr>
                <w:rFonts w:hint="eastAsia" w:ascii="宋体" w:hAnsi="宋体" w:cs="宋体"/>
                <w:color w:val="000000"/>
                <w:szCs w:val="21"/>
                <w:highlight w:val="none"/>
              </w:rPr>
              <w:t xml:space="preserve">。</w:t>
            </w:r>
            <w:r>
              <w:rPr>
                <w:rFonts w:hint="eastAsia" w:ascii="宋体" w:hAnsi="宋体" w:cs="宋体"/>
                <w:color w:val="000000"/>
                <w:spacing w:val="20"/>
                <w:sz w:val="24"/>
                <w:highlight w:val="none"/>
              </w:rPr>
            </w:r>
            <w:r/>
          </w:p>
        </w:tc>
      </w:tr>
      <w:tr>
        <w:trPr>
          <w:trHeight w:val="567"/>
        </w:trPr>
        <w:tc>
          <w:tcPr>
            <w:gridSpan w:val="4"/>
            <w:tcW w:w="8880" w:type="dxa"/>
            <w:vAlign w:val="bottom"/>
            <w:textDirection w:val="lrTb"/>
            <w:noWrap w:val="false"/>
          </w:tcPr>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w:t>
            </w:r>
            <w:r>
              <w:rPr>
                <w:rFonts w:hint="eastAsia" w:ascii="宋体" w:hAnsi="宋体" w:cs="宋体"/>
                <w:color w:val="000000"/>
                <w:spacing w:val="20"/>
                <w:sz w:val="24"/>
                <w:highlight w:val="none"/>
                <w:lang w:val="zh-CN"/>
              </w:rPr>
              <w:t xml:space="preserve">（人民币大写）：</w:t>
            </w:r>
            <w:r>
              <w:rPr>
                <w:rFonts w:hint="eastAsia" w:ascii="宋体" w:hAnsi="宋体" w:cs="宋体"/>
                <w:color w:val="000000"/>
                <w:spacing w:val="20"/>
                <w:sz w:val="24"/>
                <w:highlight w:val="none"/>
              </w:rPr>
            </w:r>
            <w:r/>
          </w:p>
        </w:tc>
      </w:tr>
    </w:tbl>
    <w:p>
      <w:pPr>
        <w:pStyle w:val="903"/>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如本格式与“苏采云”格式冲突的，以苏采云格式为准。</w:t>
      </w:r>
      <w:r>
        <w:rPr>
          <w:rFonts w:ascii="宋体" w:hAnsi="宋体" w:eastAsia="宋体" w:cs="宋体"/>
          <w:color w:val="000000"/>
          <w:sz w:val="24"/>
          <w:szCs w:val="24"/>
          <w:highlight w:val="none"/>
          <w:lang w:val="en-US" w:eastAsia="zh-CN"/>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6"/>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6"/>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97"/>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896"/>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896"/>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lang w:val="en-US" w:eastAsia="zh-CN"/>
        </w:rPr>
      </w:r>
      <w:r/>
    </w:p>
    <w:tbl>
      <w:tblPr>
        <w:tblW w:w="9427" w:type="dxa"/>
        <w:jc w:val="center"/>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812"/>
        <w:gridCol w:w="818"/>
        <w:gridCol w:w="1852"/>
        <w:gridCol w:w="1943"/>
        <w:gridCol w:w="1229"/>
      </w:tblGrid>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名称</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w:t>
            </w:r>
            <w:r>
              <w:rPr>
                <w:rFonts w:hint="eastAsia" w:ascii="宋体" w:hAnsi="宋体" w:eastAsia="宋体" w:cs="宋体"/>
                <w:sz w:val="24"/>
                <w:szCs w:val="24"/>
                <w:highlight w:val="none"/>
              </w:rPr>
            </w:r>
            <w:r/>
          </w:p>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（元/人×月）</w:t>
            </w: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投标总价</w:t>
            </w:r>
            <w:r>
              <w:rPr>
                <w:rFonts w:hint="eastAsia" w:ascii="宋体" w:hAnsi="宋体" w:eastAsia="宋体" w:cs="宋体"/>
                <w:sz w:val="24"/>
                <w:szCs w:val="24"/>
                <w:highlight w:val="none"/>
              </w:rPr>
            </w:r>
            <w:r/>
          </w:p>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（人数×综合单价×个月）</w:t>
            </w: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服务时间</w:t>
            </w: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人员工资</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人员社保</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加班费（国假日和双休日）</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税金</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6"/>
        </w:trPr>
        <w:tc>
          <w:tcPr>
            <w:tcW w:w="77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1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c>
          <w:tcPr>
            <w:tcW w:w="818"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52"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43"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9" w:type="dxa"/>
            <w:vAlign w:val="center"/>
            <w:textDirection w:val="lrTb"/>
            <w:noWrap w:val="false"/>
          </w:tcPr>
          <w:p>
            <w:pPr>
              <w:pStyle w:val="903"/>
              <w:ind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注：1.报价包括</w:t>
      </w:r>
      <w:r>
        <w:rPr>
          <w:rFonts w:hint="eastAsia" w:ascii="宋体" w:hAnsi="宋体" w:eastAsia="宋体" w:cs="宋体"/>
          <w:color w:val="000000"/>
          <w:sz w:val="24"/>
          <w:highlight w:val="none"/>
        </w:rPr>
        <w:t xml:space="preserve">完成该项工作所需的所有安保服务管理、保安工具及耗材、通讯、服装、胸卡、办公设备、巡检器材、各种税费、人工工资、保险、劳保、薪金、福利、加班、高温、休假日补贴、医疗费用等工作所发生的全部费用以及乙方企业利润、税金和政策性文件规定及合同包含的所有风险、责任等各项应有费用。采购方除以上服务费用之外不再承担其它任何费用，人员的薪金、福利、休假日补贴、医疗费用等均由成交单位负责，与采购方无关。加班费、法定节假日的加班费按国家有关规定费用一并包含在成交价中。</w:t>
      </w:r>
      <w:r>
        <w:rPr>
          <w:rFonts w:hint="eastAsia" w:ascii="宋体" w:hAnsi="宋体" w:eastAsia="宋体" w:cs="宋体"/>
          <w:color w:val="000000"/>
          <w:sz w:val="24"/>
          <w:highlight w:val="none"/>
        </w:rPr>
      </w:r>
      <w:r/>
    </w:p>
    <w:p>
      <w:pPr>
        <w:pStyle w:val="896"/>
        <w:ind w:firstLine="480"/>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响应单位项目总人数低于采购要求的，视为非实质性响应招标文件。按响应单位提供的项目总人数测算的人工费（包括人员工资、社保、国假加班工资、</w:t>
      </w:r>
      <w:r>
        <w:rPr>
          <w:rFonts w:hint="eastAsia" w:ascii="宋体" w:hAnsi="宋体" w:eastAsia="宋体" w:cs="宋体"/>
          <w:color w:val="000000"/>
          <w:sz w:val="24"/>
          <w:highlight w:val="none"/>
          <w:lang w:val="en-US" w:eastAsia="zh-CN"/>
        </w:rPr>
        <w:t xml:space="preserve">高温费</w:t>
      </w:r>
      <w:r>
        <w:rPr>
          <w:rFonts w:hint="eastAsia" w:ascii="宋体" w:hAnsi="宋体" w:eastAsia="宋体" w:cs="宋体"/>
          <w:color w:val="000000"/>
          <w:sz w:val="24"/>
          <w:highlight w:val="none"/>
          <w:lang w:val="zh-CN"/>
        </w:rPr>
        <w:t xml:space="preserve">等），低于苏州市</w:t>
      </w:r>
      <w:r>
        <w:rPr>
          <w:rFonts w:hint="eastAsia" w:ascii="宋体" w:hAnsi="宋体" w:eastAsia="宋体" w:cs="宋体"/>
          <w:color w:val="000000"/>
          <w:sz w:val="24"/>
          <w:highlight w:val="none"/>
        </w:rPr>
        <w:t xml:space="preserve">吴江区</w:t>
      </w:r>
      <w:r>
        <w:rPr>
          <w:rFonts w:hint="eastAsia" w:ascii="宋体" w:hAnsi="宋体" w:eastAsia="宋体" w:cs="宋体"/>
          <w:color w:val="000000"/>
          <w:sz w:val="24"/>
          <w:highlight w:val="none"/>
          <w:lang w:val="zh-CN"/>
        </w:rPr>
        <w:t xml:space="preserve">工资标准及国家社保政策的，视为非实质性响应。</w:t>
      </w:r>
      <w:r>
        <w:rPr>
          <w:rFonts w:ascii="宋体" w:hAnsi="宋体" w:eastAsia="宋体" w:cs="宋体"/>
          <w:color w:val="000000"/>
          <w:sz w:val="24"/>
          <w:highlight w:val="none"/>
          <w:lang w:val="en-US" w:eastAsia="zh-CN"/>
        </w:rPr>
      </w:r>
      <w:r/>
    </w:p>
    <w:p>
      <w:pPr>
        <w:pStyle w:val="903"/>
        <w:ind w:firstLine="482"/>
        <w:jc w:val="both"/>
        <w:keepLines w:val="0"/>
        <w:keepNext w:val="0"/>
        <w:pageBreakBefore w:val="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磋商</w:t>
      </w:r>
      <w:r>
        <w:rPr>
          <w:rFonts w:hint="eastAsia" w:ascii="宋体" w:hAnsi="宋体" w:cs="宋体"/>
          <w:b/>
          <w:color w:val="000000"/>
          <w:sz w:val="24"/>
          <w:highlight w:val="none"/>
        </w:rPr>
        <w:t xml:space="preserve">报价</w:t>
      </w:r>
      <w:r>
        <w:rPr>
          <w:rFonts w:hint="eastAsia" w:ascii="宋体" w:hAnsi="宋体" w:cs="宋体"/>
          <w:b/>
          <w:bCs/>
          <w:color w:val="000000"/>
          <w:sz w:val="24"/>
          <w:szCs w:val="24"/>
          <w:highlight w:val="none"/>
        </w:rPr>
        <w:t xml:space="preserve">分析表</w:t>
      </w:r>
      <w:r>
        <w:rPr>
          <w:rFonts w:hint="eastAsia" w:ascii="宋体" w:hAnsi="宋体" w:eastAsia="宋体" w:cs="宋体"/>
          <w:b/>
          <w:bCs/>
          <w:color w:val="000000"/>
          <w:sz w:val="24"/>
          <w:szCs w:val="24"/>
          <w:highlight w:val="none"/>
          <w:lang w:val="en-US" w:eastAsia="zh-CN"/>
        </w:rPr>
        <w:t xml:space="preserve">应与</w:t>
      </w:r>
      <w:r>
        <w:rPr>
          <w:rFonts w:hint="eastAsia" w:ascii="宋体" w:hAnsi="宋体" w:eastAsia="宋体" w:cs="宋体"/>
          <w:b/>
          <w:bCs/>
          <w:color w:val="000000"/>
          <w:sz w:val="24"/>
          <w:szCs w:val="24"/>
          <w:highlight w:val="none"/>
          <w:lang w:eastAsia="zh-CN"/>
        </w:rPr>
        <w:t xml:space="preserve">磋</w:t>
      </w:r>
      <w:r>
        <w:rPr>
          <w:rFonts w:hint="eastAsia" w:ascii="宋体" w:hAnsi="宋体" w:cs="宋体"/>
          <w:b/>
          <w:bCs/>
          <w:color w:val="000000"/>
          <w:sz w:val="24"/>
          <w:szCs w:val="24"/>
          <w:highlight w:val="none"/>
          <w:lang w:eastAsia="zh-CN"/>
        </w:rPr>
        <w:t xml:space="preserve">商响应报价一览表</w:t>
      </w:r>
      <w:r>
        <w:rPr>
          <w:rFonts w:hint="eastAsia" w:ascii="宋体" w:hAnsi="宋体" w:cs="宋体"/>
          <w:b/>
          <w:bCs/>
          <w:color w:val="000000"/>
          <w:sz w:val="24"/>
          <w:szCs w:val="24"/>
          <w:highlight w:val="none"/>
        </w:rPr>
        <w:t xml:space="preserve">总价一致，否则以</w:t>
      </w:r>
      <w:r>
        <w:rPr>
          <w:rFonts w:hint="eastAsia" w:ascii="宋体" w:hAnsi="宋体" w:cs="宋体"/>
          <w:b/>
          <w:bCs/>
          <w:color w:val="000000"/>
          <w:sz w:val="24"/>
          <w:szCs w:val="24"/>
          <w:highlight w:val="none"/>
          <w:lang w:eastAsia="zh-CN"/>
        </w:rPr>
        <w:t xml:space="preserve">磋商响应报价一览表</w:t>
      </w:r>
      <w:r>
        <w:rPr>
          <w:rFonts w:hint="eastAsia" w:ascii="宋体" w:hAnsi="宋体" w:cs="宋体"/>
          <w:b/>
          <w:bCs/>
          <w:color w:val="000000"/>
          <w:sz w:val="24"/>
          <w:szCs w:val="24"/>
          <w:highlight w:val="none"/>
        </w:rPr>
        <w:t xml:space="preserve">为准。</w:t>
      </w:r>
      <w:r>
        <w:rPr>
          <w:rFonts w:ascii="宋体" w:hAnsi="宋体" w:cs="宋体"/>
          <w:b/>
          <w:bCs/>
          <w:color w:val="000000"/>
          <w:sz w:val="24"/>
          <w:szCs w:val="24"/>
          <w:highlight w:val="none"/>
        </w:rPr>
      </w:r>
      <w:r/>
    </w:p>
    <w:p>
      <w:pPr>
        <w:pStyle w:val="903"/>
        <w:ind w:firstLine="480"/>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w:t>
      </w:r>
      <w:r>
        <w:rPr>
          <w:rFonts w:hint="eastAsia" w:ascii="宋体" w:hAnsi="宋体" w:cs="宋体"/>
          <w:color w:val="000000"/>
          <w:sz w:val="24"/>
          <w:szCs w:val="24"/>
          <w:highlight w:val="none"/>
        </w:rPr>
      </w:r>
      <w:r/>
    </w:p>
    <w:p>
      <w:pPr>
        <w:pStyle w:val="910"/>
        <w:ind w:firstLine="480"/>
        <w:jc w:val="both"/>
        <w:keepLines w:val="0"/>
        <w:keepNext w:val="0"/>
        <w:pageBreakBefore w:val="0"/>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910"/>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0"/>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6"/>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注：1.磋商响应单位应对照采购文件技术要求等要求，所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标的物（服务）与采购文件的规定有偏离的，应在此表中申明与技术要求条文的偏差和例外。</w:t>
      </w:r>
      <w:r>
        <w:rPr>
          <w:rFonts w:hint="eastAsia" w:ascii="宋体" w:hAnsi="宋体" w:cs="宋体"/>
          <w:color w:val="000000"/>
          <w:sz w:val="24"/>
          <w:highlight w:val="none"/>
        </w:rPr>
      </w:r>
      <w:r/>
    </w:p>
    <w:p>
      <w:pPr>
        <w:pStyle w:val="896"/>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6"/>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3"/>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6"/>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JSZC-320509-ZZHL-C2026-0017</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5"/>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numPr>
          <w:ilvl w:val="2"/>
          <w:numId w:val="0"/>
        </w:numPr>
        <w:pageBreakBefore/>
        <w:rPr>
          <w:rFonts w:hint="eastAsia" w:ascii="宋体" w:hAnsi="宋体" w:cs="宋体"/>
          <w:color w:val="000000"/>
          <w:sz w:val="24"/>
          <w:highlight w:val="none"/>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rPr>
        <w:t xml:space="preserve">8.</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"http://www.zfcg.suzhou.gov.cn/szzfcg/Upfiles/Fi</w:instrText>
      </w:r>
      <w:r>
        <w:rPr>
          <w:rFonts w:hint="eastAsia" w:ascii="宋体" w:hAnsi="宋体" w:cs="宋体"/>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color w:val="000000"/>
          <w:sz w:val="24"/>
          <w:highlight w:val="none"/>
        </w:rPr>
        <w:fldChar w:fldCharType="separate"/>
      </w:r>
      <w:bookmarkStart w:id="139" w:name="_Toc293925515"/>
      <w:r>
        <w:rPr>
          <w:rFonts w:hint="eastAsia" w:ascii="宋体" w:hAnsi="宋体" w:cs="宋体"/>
          <w:color w:val="000000"/>
          <w:sz w:val="24"/>
          <w:highlight w:val="none"/>
        </w:rPr>
        <w:t xml:space="preserve">设备配备清单表</w:t>
      </w:r>
      <w:bookmarkEnd w:id="139"/>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896"/>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本项目投入设备清单表</w:t>
      </w:r>
      <w:r>
        <w:rPr>
          <w:rFonts w:hint="eastAsia" w:ascii="宋体" w:hAnsi="宋体" w:cs="宋体"/>
          <w:b/>
          <w:color w:val="000000"/>
          <w:sz w:val="24"/>
          <w:highlight w:val="none"/>
        </w:rPr>
      </w:r>
      <w:r/>
    </w:p>
    <w:p>
      <w:pPr>
        <w:pStyle w:val="896"/>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JSZC-320509-ZZHL-C2026-0017</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6"/>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6"/>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附件9.</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6"/>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6"/>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3"/>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3"/>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3"/>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3"/>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附件10</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6"/>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6"/>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03"/>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3"/>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pStyle w:val="896"/>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附件11</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896"/>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8952" w:type="dxa"/>
        <w:jc w:val="center"/>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660"/>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提供最近一期（2024年度</w:t>
            </w:r>
            <w:r>
              <w:rPr>
                <w:rFonts w:hint="eastAsia" w:ascii="宋体" w:hAnsi="宋体" w:cs="宋体"/>
                <w:bCs/>
                <w:color w:val="000000"/>
                <w:sz w:val="24"/>
                <w:szCs w:val="24"/>
                <w:highlight w:val="none"/>
                <w:lang w:val="en-US" w:eastAsia="zh-CN"/>
              </w:rPr>
              <w:t xml:space="preserve">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磋商响应截至前三个月任意一期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3"/>
              <w:ind w:left="0" w:firstLine="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highlight w:val="none"/>
                <w:lang w:eastAsia="zh-CN"/>
              </w:rPr>
            </w:r>
            <w:r/>
          </w:p>
        </w:tc>
      </w:tr>
      <w:tr>
        <w:trPr>
          <w:trHeight w:val="660"/>
        </w:trPr>
        <w:tc>
          <w:tcPr>
            <w:tcW w:w="755"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660"/>
        </w:trPr>
        <w:tc>
          <w:tcPr>
            <w:tcW w:w="755" w:type="dxa"/>
            <w:vAlign w:val="center"/>
            <w:textDirection w:val="lrTb"/>
            <w:noWrap w:val="false"/>
          </w:tcPr>
          <w:p>
            <w:pPr>
              <w:pStyle w:val="896"/>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660"/>
        </w:trPr>
        <w:tc>
          <w:tcPr>
            <w:tcW w:w="755" w:type="dxa"/>
            <w:vAlign w:val="center"/>
            <w:textDirection w:val="lrTb"/>
            <w:noWrap w:val="false"/>
          </w:tcPr>
          <w:p>
            <w:pPr>
              <w:pStyle w:val="896"/>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按申请人资格要求</w:t>
            </w: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6"/>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313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按申请人资格要求</w:t>
            </w: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18"/>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rPr>
          <w:rFonts w:ascii="宋体" w:hAnsi="宋体" w:eastAsia="宋体" w:cs="宋体"/>
          <w:color w:val="000000"/>
          <w:highlight w:val="none"/>
          <w:lang w:val="en-US" w:eastAsia="zh-CN"/>
        </w:rPr>
      </w:r>
      <w:r/>
    </w:p>
    <w:p>
      <w:pPr>
        <w:pStyle w:val="918"/>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896"/>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0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3"/>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3"/>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6"/>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附件12.</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3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3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29"/>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6"/>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附件13.</w:t>
      </w:r>
      <w:bookmarkStart w:id="140" w:name="OLE_LINK13"/>
      <w:r/>
      <w:bookmarkStart w:id="141"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6"/>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0"/>
      <w:r/>
      <w:bookmarkEnd w:id="141"/>
      <w:r>
        <w:rPr>
          <w:rFonts w:hint="eastAsia" w:ascii="宋体" w:hAnsi="宋体" w:cs="宋体"/>
          <w:b/>
          <w:color w:val="000000"/>
          <w:spacing w:val="6"/>
          <w:sz w:val="24"/>
          <w:highlight w:val="none"/>
        </w:rPr>
      </w:r>
      <w:r/>
    </w:p>
    <w:p>
      <w:pPr>
        <w:pStyle w:val="896"/>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6"/>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6"/>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6"/>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 w:val="24"/>
          <w:highlight w:val="none"/>
        </w:rPr>
      </w:r>
      <w:r/>
    </w:p>
    <w:p>
      <w:pPr>
        <w:pStyle w:val="896"/>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6"/>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6"/>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6"/>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6"/>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7"/>
        <w:rPr>
          <w:rFonts w:hint="eastAsia"/>
          <w:color w:val="000000"/>
          <w:highlight w:val="none"/>
          <w:lang w:val="zh-CN"/>
        </w:rPr>
      </w:pPr>
      <w:r>
        <w:rPr>
          <w:rFonts w:hint="eastAsia"/>
          <w:color w:val="000000"/>
          <w:highlight w:val="none"/>
          <w:lang w:val="zh-CN"/>
        </w:rPr>
      </w:r>
      <w:r/>
    </w:p>
    <w:p>
      <w:pPr>
        <w:pStyle w:val="89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6"/>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6"/>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附件14.投标（响应）保证承诺书</w:t>
      </w:r>
      <w:r>
        <w:rPr>
          <w:rFonts w:hint="eastAsia" w:ascii="宋体" w:hAnsi="宋体" w:cs="宋体"/>
          <w:color w:val="000000"/>
          <w:sz w:val="24"/>
          <w:highlight w:val="none"/>
        </w:rPr>
      </w:r>
      <w:r/>
    </w:p>
    <w:p>
      <w:pPr>
        <w:pStyle w:val="906"/>
        <w:jc w:val="center"/>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投标（响应）保证承诺书</w:t>
      </w:r>
      <w:r>
        <w:rPr>
          <w:rFonts w:hint="eastAsia" w:ascii="宋体" w:hAnsi="宋体" w:cs="宋体"/>
          <w:color w:val="000000"/>
          <w:sz w:val="24"/>
          <w:highlight w:val="none"/>
        </w:rPr>
      </w:r>
      <w:r/>
    </w:p>
    <w:p>
      <w:pPr>
        <w:pStyle w:val="89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6"/>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投标（响应）人（盖公章）：                      </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地址：</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6"/>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电话：</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传真：</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6"/>
        <w:ind w:firstLine="333"/>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电子邮件：</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邮编：</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r>
      <w:r/>
    </w:p>
    <w:p>
      <w:pPr>
        <w:pStyle w:val="896"/>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日期：</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u w:val="single"/>
        </w:rPr>
      </w:r>
      <w:r/>
    </w:p>
    <w:p>
      <w:pPr>
        <w:pStyle w:val="89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6"/>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headerReference w:type="default" r:id="rId10"/>
      <w:footerReference w:type="default" r:id="rId12"/>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fldSimple w:instr="PAGE \* MERGEFORMAT">
      <w:r>
        <w:t xml:space="preserve">1</w:t>
      </w:r>
    </w:fldSimple>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center" w:pos="4153" w:leader="none"/>
        <w:tab w:val="right" w:pos="8306" w:leader="none"/>
      </w:tabs>
      <w:rPr>
        <w:rFonts w:hint="eastAsia" w:eastAsia="宋体"/>
        <w:lang w:eastAsia="zh-CN"/>
      </w:rPr>
    </w:pP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w:t>
    </w:r>
    <w:r>
      <w:rPr>
        <w:rFonts w:hint="eastAsia"/>
        <w:u w:val="single"/>
        <w:lang w:eastAsia="zh-CN"/>
      </w:rPr>
      <w:t xml:space="preserve">JSZC-320509-ZZHL-C2026-0017</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JSZC-320509-ZZHL-C2026-0017</w:t>
    </w:r>
    <w:r>
      <w:rPr>
        <w:rFonts w:hint="eastAsia" w:eastAsia="宋体"/>
        <w:lang w:eastAsia="zh-CN"/>
      </w:rPr>
    </w:r>
    <w:r/>
  </w:p>
  <w:p>
    <w:pPr>
      <w:pStyle w:val="913"/>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6"/>
        <w:ind w:left="432" w:hanging="432"/>
        <w:tabs>
          <w:tab w:val="num" w:pos="432" w:leader="none"/>
        </w:tabs>
      </w:pPr>
      <w:rPr>
        <w:rFonts w:hint="eastAsia" w:ascii="宋体" w:hAnsi="宋体" w:eastAsia="宋体"/>
        <w:b/>
        <w:i w:val="0"/>
        <w:sz w:val="28"/>
        <w:szCs w:val="28"/>
      </w:rPr>
    </w:lvl>
    <w:lvl w:ilvl="1">
      <w:start w:val="1"/>
      <w:numFmt w:val="decimal"/>
      <w:pStyle w:val="898"/>
      <w:isLgl w:val="false"/>
      <w:suff w:val="tab"/>
      <w:lvlText w:val="%1.%2"/>
      <w:lvlJc w:val="left"/>
      <w:pPr>
        <w:pStyle w:val="896"/>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6"/>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6"/>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6"/>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6"/>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6"/>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6"/>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6"/>
        <w:ind w:left="3744" w:hanging="1584"/>
        <w:tabs>
          <w:tab w:val="num" w:pos="3744" w:leader="none"/>
        </w:tabs>
      </w:pPr>
      <w:rPr>
        <w:rFonts w:hint="eastAsia" w:ascii="宋体" w:hAnsi="宋体" w:eastAsia="宋体"/>
        <w:b/>
        <w:sz w:val="28"/>
        <w:szCs w:val="28"/>
      </w:rPr>
    </w:lvl>
  </w:abstractNum>
  <w:abstractNum w:abstractNumId="1">
    <w:multiLevelType w:val="hybridMultilevel"/>
    <w:lvl w:ilvl="0">
      <w:start w:val="2"/>
      <w:numFmt w:val="chineseCounting"/>
      <w:isLgl w:val="false"/>
      <w:suff w:val="nothing"/>
      <w:lvlText w:val="%1、"/>
      <w:lvlJc w:val="left"/>
      <w:pPr>
        <w:pStyle w:val="896"/>
      </w:pPr>
      <w:rPr>
        <w:rFonts w:hint="eastAsia"/>
      </w:rPr>
    </w:lvl>
    <w:lvl w:ilvl="1">
      <w:start w:val="1"/>
      <w:numFmt w:val="bullet"/>
      <w:isLgl w:val="false"/>
      <w:suff w:val="tab"/>
      <w:lvlText w:val="o"/>
      <w:lvlJc w:val="left"/>
      <w:pPr>
        <w:pStyle w:val="896"/>
        <w:ind w:left="1440" w:hanging="360"/>
      </w:pPr>
      <w:rPr>
        <w:rFonts w:ascii="Courier New" w:hAnsi="Courier New" w:eastAsia="Courier New" w:cs="Courier New"/>
      </w:rPr>
    </w:lvl>
    <w:lvl w:ilvl="2">
      <w:start w:val="1"/>
      <w:numFmt w:val="bullet"/>
      <w:isLgl w:val="false"/>
      <w:suff w:val="tab"/>
      <w:lvlText w:val="§"/>
      <w:lvlJc w:val="left"/>
      <w:pPr>
        <w:pStyle w:val="896"/>
        <w:ind w:left="2160" w:hanging="360"/>
      </w:pPr>
      <w:rPr>
        <w:rFonts w:ascii="Wingdings" w:hAnsi="Wingdings" w:eastAsia="Wingdings" w:cs="Wingdings"/>
      </w:rPr>
    </w:lvl>
    <w:lvl w:ilvl="3">
      <w:start w:val="1"/>
      <w:numFmt w:val="bullet"/>
      <w:isLgl w:val="false"/>
      <w:suff w:val="tab"/>
      <w:lvlText w:val="·"/>
      <w:lvlJc w:val="left"/>
      <w:pPr>
        <w:pStyle w:val="896"/>
        <w:ind w:left="2880" w:hanging="360"/>
      </w:pPr>
      <w:rPr>
        <w:rFonts w:ascii="Symbol" w:hAnsi="Symbol" w:eastAsia="Symbol" w:cs="Symbol"/>
      </w:rPr>
    </w:lvl>
    <w:lvl w:ilvl="4">
      <w:start w:val="1"/>
      <w:numFmt w:val="bullet"/>
      <w:isLgl w:val="false"/>
      <w:suff w:val="tab"/>
      <w:lvlText w:val="o"/>
      <w:lvlJc w:val="left"/>
      <w:pPr>
        <w:pStyle w:val="896"/>
        <w:ind w:left="3600" w:hanging="360"/>
      </w:pPr>
      <w:rPr>
        <w:rFonts w:ascii="Courier New" w:hAnsi="Courier New" w:eastAsia="Courier New" w:cs="Courier New"/>
      </w:rPr>
    </w:lvl>
    <w:lvl w:ilvl="5">
      <w:start w:val="1"/>
      <w:numFmt w:val="bullet"/>
      <w:isLgl w:val="false"/>
      <w:suff w:val="tab"/>
      <w:lvlText w:val="§"/>
      <w:lvlJc w:val="left"/>
      <w:pPr>
        <w:pStyle w:val="896"/>
        <w:ind w:left="4320" w:hanging="360"/>
      </w:pPr>
      <w:rPr>
        <w:rFonts w:ascii="Wingdings" w:hAnsi="Wingdings" w:eastAsia="Wingdings" w:cs="Wingdings"/>
      </w:rPr>
    </w:lvl>
    <w:lvl w:ilvl="6">
      <w:start w:val="1"/>
      <w:numFmt w:val="bullet"/>
      <w:isLgl w:val="false"/>
      <w:suff w:val="tab"/>
      <w:lvlText w:val="·"/>
      <w:lvlJc w:val="left"/>
      <w:pPr>
        <w:pStyle w:val="896"/>
        <w:ind w:left="5040" w:hanging="360"/>
      </w:pPr>
      <w:rPr>
        <w:rFonts w:ascii="Symbol" w:hAnsi="Symbol" w:eastAsia="Symbol" w:cs="Symbol"/>
      </w:rPr>
    </w:lvl>
    <w:lvl w:ilvl="7">
      <w:start w:val="1"/>
      <w:numFmt w:val="bullet"/>
      <w:isLgl w:val="false"/>
      <w:suff w:val="tab"/>
      <w:lvlText w:val="o"/>
      <w:lvlJc w:val="left"/>
      <w:pPr>
        <w:pStyle w:val="896"/>
        <w:ind w:left="5760" w:hanging="360"/>
      </w:pPr>
      <w:rPr>
        <w:rFonts w:ascii="Courier New" w:hAnsi="Courier New" w:eastAsia="Courier New" w:cs="Courier New"/>
      </w:rPr>
    </w:lvl>
    <w:lvl w:ilvl="8">
      <w:start w:val="1"/>
      <w:numFmt w:val="bullet"/>
      <w:isLgl w:val="false"/>
      <w:suff w:val="tab"/>
      <w:lvlText w:val="§"/>
      <w:lvlJc w:val="left"/>
      <w:pPr>
        <w:pStyle w:val="896"/>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6"/>
    <w:next w:val="896"/>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6"/>
    <w:next w:val="896"/>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6"/>
    <w:next w:val="896"/>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6"/>
    <w:next w:val="896"/>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6"/>
    <w:next w:val="896"/>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6"/>
    <w:next w:val="896"/>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6"/>
    <w:next w:val="896"/>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6"/>
    <w:next w:val="896"/>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6"/>
    <w:next w:val="896"/>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List Paragraph"/>
    <w:basedOn w:val="896"/>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6"/>
    <w:next w:val="896"/>
    <w:link w:val="739"/>
    <w:uiPriority w:val="10"/>
    <w:qFormat/>
    <w:pPr>
      <w:contextualSpacing/>
      <w:spacing w:before="300" w:after="200"/>
    </w:pPr>
    <w:rPr>
      <w:sz w:val="48"/>
      <w:szCs w:val="48"/>
    </w:rPr>
  </w:style>
  <w:style w:type="character" w:styleId="739">
    <w:name w:val="Title Char"/>
    <w:link w:val="738"/>
    <w:uiPriority w:val="10"/>
    <w:rPr>
      <w:sz w:val="48"/>
      <w:szCs w:val="48"/>
    </w:rPr>
  </w:style>
  <w:style w:type="paragraph" w:styleId="740">
    <w:name w:val="Subtitle"/>
    <w:basedOn w:val="896"/>
    <w:next w:val="896"/>
    <w:link w:val="741"/>
    <w:uiPriority w:val="11"/>
    <w:qFormat/>
    <w:pPr>
      <w:spacing w:before="200" w:after="200"/>
    </w:pPr>
    <w:rPr>
      <w:sz w:val="24"/>
      <w:szCs w:val="24"/>
    </w:rPr>
  </w:style>
  <w:style w:type="character" w:styleId="741">
    <w:name w:val="Subtitle Char"/>
    <w:link w:val="740"/>
    <w:uiPriority w:val="11"/>
    <w:rPr>
      <w:sz w:val="24"/>
      <w:szCs w:val="24"/>
    </w:rPr>
  </w:style>
  <w:style w:type="paragraph" w:styleId="742">
    <w:name w:val="Quote"/>
    <w:basedOn w:val="896"/>
    <w:next w:val="896"/>
    <w:link w:val="743"/>
    <w:uiPriority w:val="29"/>
    <w:qFormat/>
    <w:pPr>
      <w:ind w:left="720" w:right="720"/>
    </w:pPr>
    <w:rPr>
      <w:i/>
    </w:rPr>
  </w:style>
  <w:style w:type="character" w:styleId="743">
    <w:name w:val="Quote Char"/>
    <w:link w:val="742"/>
    <w:uiPriority w:val="29"/>
    <w:rPr>
      <w:i/>
    </w:rPr>
  </w:style>
  <w:style w:type="paragraph" w:styleId="744">
    <w:name w:val="Intense Quote"/>
    <w:basedOn w:val="896"/>
    <w:next w:val="8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96"/>
    <w:link w:val="747"/>
    <w:uiPriority w:val="99"/>
    <w:unhideWhenUsed/>
    <w:pPr>
      <w:spacing w:after="0" w:line="240" w:lineRule="auto"/>
      <w:tabs>
        <w:tab w:val="center" w:pos="7143" w:leader="none"/>
        <w:tab w:val="right" w:pos="14287" w:leader="none"/>
      </w:tabs>
    </w:pPr>
  </w:style>
  <w:style w:type="character" w:styleId="747">
    <w:name w:val="Header Char"/>
    <w:link w:val="746"/>
    <w:uiPriority w:val="99"/>
  </w:style>
  <w:style w:type="paragraph" w:styleId="748">
    <w:name w:val="Footer"/>
    <w:basedOn w:val="896"/>
    <w:link w:val="751"/>
    <w:uiPriority w:val="99"/>
    <w:unhideWhenUsed/>
    <w:pPr>
      <w:spacing w:after="0" w:line="240" w:lineRule="auto"/>
      <w:tabs>
        <w:tab w:val="center" w:pos="7143" w:leader="none"/>
        <w:tab w:val="right" w:pos="14287" w:leader="none"/>
      </w:tabs>
    </w:pPr>
  </w:style>
  <w:style w:type="character" w:styleId="749">
    <w:name w:val="Footer Char"/>
    <w:link w:val="748"/>
    <w:uiPriority w:val="99"/>
  </w:style>
  <w:style w:type="paragraph" w:styleId="750">
    <w:name w:val="Caption"/>
    <w:basedOn w:val="896"/>
    <w:next w:val="896"/>
    <w:uiPriority w:val="35"/>
    <w:semiHidden/>
    <w:unhideWhenUsed/>
    <w:qFormat/>
    <w:pPr>
      <w:spacing w:line="276" w:lineRule="auto"/>
    </w:pPr>
    <w:rPr>
      <w:b/>
      <w:bCs/>
      <w:color w:val="4f81bd" w:themeColor="accent1"/>
      <w:sz w:val="18"/>
      <w:szCs w:val="18"/>
    </w:rPr>
  </w:style>
  <w:style w:type="character" w:styleId="751">
    <w:name w:val="Caption Char"/>
    <w:basedOn w:val="750"/>
    <w:link w:val="748"/>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896"/>
    <w:link w:val="896"/>
    <w:qFormat/>
    <w:pPr>
      <w:jc w:val="both"/>
      <w:widowControl w:val="off"/>
    </w:pPr>
    <w:rPr>
      <w:rFonts w:ascii="Calibri" w:hAnsi="Calibri" w:cs="Calibri"/>
      <w:sz w:val="21"/>
      <w:szCs w:val="24"/>
      <w:lang w:val="en-US" w:eastAsia="zh-CN" w:bidi="ar-SA"/>
    </w:rPr>
  </w:style>
  <w:style w:type="paragraph" w:styleId="897">
    <w:name w:val="标题 1"/>
    <w:basedOn w:val="896"/>
    <w:next w:val="896"/>
    <w:link w:val="896"/>
    <w:qFormat/>
    <w:pPr>
      <w:ind w:left="405" w:hanging="405"/>
      <w:jc w:val="left"/>
      <w:keepNext/>
      <w:spacing w:line="300" w:lineRule="auto"/>
      <w:tabs>
        <w:tab w:val="left" w:pos="405" w:leader="none"/>
      </w:tabs>
      <w:outlineLvl w:val="0"/>
    </w:pPr>
    <w:rPr>
      <w:sz w:val="28"/>
    </w:rPr>
  </w:style>
  <w:style w:type="paragraph" w:styleId="898">
    <w:name w:val="标题 2"/>
    <w:basedOn w:val="896"/>
    <w:next w:val="896"/>
    <w:link w:val="896"/>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899">
    <w:name w:val="标题 3"/>
    <w:basedOn w:val="896"/>
    <w:next w:val="896"/>
    <w:link w:val="896"/>
    <w:qFormat/>
    <w:pPr>
      <w:keepLines/>
      <w:keepNext/>
      <w:spacing w:before="260" w:after="260" w:line="413" w:lineRule="auto"/>
      <w:outlineLvl w:val="2"/>
    </w:pPr>
    <w:rPr>
      <w:b/>
      <w:sz w:val="32"/>
    </w:rPr>
  </w:style>
  <w:style w:type="character" w:styleId="900">
    <w:name w:val="默认段落字体"/>
    <w:next w:val="900"/>
    <w:link w:val="896"/>
    <w:semiHidden/>
    <w:qFormat/>
  </w:style>
  <w:style w:type="table" w:styleId="901">
    <w:name w:val="普通表格"/>
    <w:next w:val="901"/>
    <w:link w:val="896"/>
    <w:semiHidden/>
    <w:tblPr/>
  </w:style>
  <w:style w:type="paragraph" w:styleId="902">
    <w:name w:val="目录 7"/>
    <w:basedOn w:val="896"/>
    <w:next w:val="896"/>
    <w:link w:val="896"/>
    <w:uiPriority w:val="39"/>
    <w:unhideWhenUsed/>
    <w:qFormat/>
    <w:pPr>
      <w:ind w:left="1260"/>
      <w:jc w:val="left"/>
    </w:pPr>
    <w:rPr>
      <w:sz w:val="18"/>
      <w:szCs w:val="18"/>
    </w:rPr>
  </w:style>
  <w:style w:type="paragraph" w:styleId="903">
    <w:name w:val="正文缩进"/>
    <w:basedOn w:val="896"/>
    <w:next w:val="896"/>
    <w:link w:val="896"/>
    <w:qFormat/>
    <w:pPr>
      <w:ind w:firstLine="420"/>
    </w:pPr>
    <w:rPr>
      <w:szCs w:val="20"/>
    </w:rPr>
  </w:style>
  <w:style w:type="paragraph" w:styleId="904">
    <w:name w:val="批注文字"/>
    <w:basedOn w:val="896"/>
    <w:next w:val="904"/>
    <w:link w:val="905"/>
    <w:qFormat/>
    <w:pPr>
      <w:jc w:val="left"/>
    </w:pPr>
  </w:style>
  <w:style w:type="character" w:styleId="905">
    <w:name w:val="批注文字 字符"/>
    <w:next w:val="905"/>
    <w:link w:val="904"/>
    <w:rPr>
      <w:rFonts w:ascii="Calibri" w:hAnsi="Calibri" w:cs="Calibri"/>
      <w:sz w:val="21"/>
      <w:szCs w:val="24"/>
    </w:rPr>
  </w:style>
  <w:style w:type="paragraph" w:styleId="906">
    <w:name w:val="正文文本"/>
    <w:basedOn w:val="896"/>
    <w:next w:val="896"/>
    <w:link w:val="896"/>
    <w:qFormat/>
    <w:pPr>
      <w:tabs>
        <w:tab w:val="left" w:pos="5250" w:leader="none"/>
      </w:tabs>
    </w:pPr>
    <w:rPr>
      <w:sz w:val="28"/>
    </w:rPr>
  </w:style>
  <w:style w:type="paragraph" w:styleId="907">
    <w:name w:val="正文文本缩进"/>
    <w:basedOn w:val="896"/>
    <w:next w:val="908"/>
    <w:link w:val="896"/>
    <w:qFormat/>
    <w:pPr>
      <w:ind w:left="420"/>
      <w:spacing w:after="120"/>
    </w:pPr>
  </w:style>
  <w:style w:type="paragraph" w:styleId="908">
    <w:name w:val="寄信人地址"/>
    <w:basedOn w:val="896"/>
    <w:next w:val="908"/>
    <w:link w:val="896"/>
    <w:qFormat/>
    <w:rPr>
      <w:rFonts w:ascii="Arial" w:hAnsi="Arial" w:eastAsia="楷体_GB2312"/>
      <w:sz w:val="26"/>
      <w:szCs w:val="20"/>
    </w:rPr>
  </w:style>
  <w:style w:type="paragraph" w:styleId="909">
    <w:name w:val="文本块"/>
    <w:basedOn w:val="897"/>
    <w:next w:val="896"/>
    <w:link w:val="896"/>
    <w:qFormat/>
    <w:pPr>
      <w:ind w:left="420" w:right="-294"/>
      <w:spacing w:line="320" w:lineRule="exact"/>
      <w:tabs>
        <w:tab w:val="left" w:pos="405" w:leader="none"/>
      </w:tabs>
    </w:pPr>
    <w:rPr>
      <w:rFonts w:ascii="宋体"/>
      <w:sz w:val="24"/>
    </w:rPr>
  </w:style>
  <w:style w:type="paragraph" w:styleId="910">
    <w:name w:val="纯文本"/>
    <w:basedOn w:val="896"/>
    <w:next w:val="910"/>
    <w:link w:val="896"/>
    <w:qFormat/>
    <w:rPr>
      <w:rFonts w:ascii="宋体" w:hAnsi="Courier New" w:eastAsia="楷体_GB2312"/>
      <w:sz w:val="28"/>
    </w:rPr>
  </w:style>
  <w:style w:type="paragraph" w:styleId="911">
    <w:name w:val="批注框文本"/>
    <w:basedOn w:val="896"/>
    <w:next w:val="911"/>
    <w:link w:val="896"/>
    <w:qFormat/>
    <w:rPr>
      <w:sz w:val="18"/>
      <w:szCs w:val="18"/>
    </w:rPr>
  </w:style>
  <w:style w:type="paragraph" w:styleId="912">
    <w:name w:val="页脚"/>
    <w:basedOn w:val="896"/>
    <w:next w:val="912"/>
    <w:link w:val="896"/>
    <w:uiPriority w:val="99"/>
    <w:qFormat/>
    <w:pPr>
      <w:jc w:val="left"/>
      <w:tabs>
        <w:tab w:val="center" w:pos="4153" w:leader="none"/>
        <w:tab w:val="right" w:pos="8306" w:leader="none"/>
      </w:tabs>
    </w:pPr>
    <w:rPr>
      <w:sz w:val="18"/>
      <w:szCs w:val="18"/>
    </w:rPr>
  </w:style>
  <w:style w:type="paragraph" w:styleId="913">
    <w:name w:val="页眉"/>
    <w:basedOn w:val="896"/>
    <w:next w:val="913"/>
    <w:link w:val="896"/>
    <w:uiPriority w:val="99"/>
    <w:qFormat/>
    <w:pPr>
      <w:jc w:val="center"/>
      <w:tabs>
        <w:tab w:val="center" w:pos="4153" w:leader="none"/>
        <w:tab w:val="right" w:pos="8306" w:leader="none"/>
      </w:tabs>
      <w:pBdr>
        <w:bottom w:val="none" w:color="000000" w:sz="0" w:space="1"/>
      </w:pBdr>
    </w:pPr>
    <w:rPr>
      <w:sz w:val="18"/>
      <w:szCs w:val="18"/>
    </w:rPr>
  </w:style>
  <w:style w:type="paragraph" w:styleId="914">
    <w:name w:val="目录 4"/>
    <w:basedOn w:val="896"/>
    <w:next w:val="896"/>
    <w:link w:val="896"/>
    <w:uiPriority w:val="39"/>
    <w:unhideWhenUsed/>
    <w:qFormat/>
    <w:pPr>
      <w:ind w:left="850"/>
      <w:spacing w:after="57"/>
    </w:pPr>
  </w:style>
  <w:style w:type="paragraph" w:styleId="915">
    <w:name w:val="副标题"/>
    <w:basedOn w:val="896"/>
    <w:next w:val="896"/>
    <w:link w:val="896"/>
    <w:qFormat/>
    <w:pPr>
      <w:jc w:val="center"/>
      <w:spacing w:before="240" w:after="60" w:line="312" w:lineRule="auto"/>
      <w:outlineLvl w:val="1"/>
    </w:pPr>
    <w:rPr>
      <w:rFonts w:ascii="宋体" w:hAnsi="Courier New" w:eastAsia="楷体_GB2312"/>
      <w:sz w:val="26"/>
    </w:rPr>
  </w:style>
  <w:style w:type="paragraph" w:styleId="916">
    <w:name w:val="脚注文本"/>
    <w:basedOn w:val="897"/>
    <w:next w:val="909"/>
    <w:link w:val="896"/>
    <w:qFormat/>
    <w:pPr>
      <w:ind w:firstLine="3584"/>
      <w:spacing w:line="360" w:lineRule="auto"/>
      <w:tabs>
        <w:tab w:val="left" w:pos="405" w:leader="none"/>
      </w:tabs>
    </w:pPr>
  </w:style>
  <w:style w:type="paragraph" w:styleId="917">
    <w:name w:val="正文文本 2"/>
    <w:basedOn w:val="896"/>
    <w:next w:val="917"/>
    <w:link w:val="896"/>
    <w:qFormat/>
    <w:pPr>
      <w:spacing w:line="360" w:lineRule="auto"/>
    </w:pPr>
    <w:rPr>
      <w:color w:val="ff0000"/>
    </w:rPr>
  </w:style>
  <w:style w:type="paragraph" w:styleId="918">
    <w:name w:val="普通(网站)"/>
    <w:basedOn w:val="896"/>
    <w:next w:val="918"/>
    <w:link w:val="896"/>
    <w:uiPriority w:val="99"/>
    <w:qFormat/>
    <w:pPr>
      <w:jc w:val="left"/>
      <w:spacing w:beforeAutospacing="1" w:afterAutospacing="1"/>
    </w:pPr>
    <w:rPr>
      <w:rFonts w:cs="Times New Roman"/>
      <w:sz w:val="24"/>
    </w:rPr>
  </w:style>
  <w:style w:type="paragraph" w:styleId="919">
    <w:name w:val="批注主题"/>
    <w:basedOn w:val="904"/>
    <w:next w:val="904"/>
    <w:link w:val="920"/>
    <w:rPr>
      <w:b/>
      <w:bCs/>
    </w:rPr>
  </w:style>
  <w:style w:type="character" w:styleId="920">
    <w:name w:val="批注主题 字符"/>
    <w:next w:val="920"/>
    <w:link w:val="919"/>
    <w:rPr>
      <w:rFonts w:ascii="Calibri" w:hAnsi="Calibri" w:cs="Calibri"/>
      <w:b/>
      <w:bCs/>
      <w:sz w:val="21"/>
      <w:szCs w:val="24"/>
    </w:rPr>
  </w:style>
  <w:style w:type="table" w:styleId="921">
    <w:name w:val="网格型"/>
    <w:basedOn w:val="901"/>
    <w:next w:val="921"/>
    <w:link w:val="896"/>
    <w:qFormat/>
    <w:tblPr/>
  </w:style>
  <w:style w:type="character" w:styleId="922">
    <w:name w:val="页码"/>
    <w:next w:val="922"/>
    <w:link w:val="896"/>
    <w:qFormat/>
  </w:style>
  <w:style w:type="character" w:styleId="923">
    <w:name w:val="批注引用"/>
    <w:next w:val="923"/>
    <w:link w:val="896"/>
    <w:rPr>
      <w:sz w:val="21"/>
      <w:szCs w:val="21"/>
    </w:rPr>
  </w:style>
  <w:style w:type="paragraph" w:styleId="924">
    <w:name w:val="正文1"/>
    <w:basedOn w:val="896"/>
    <w:next w:val="896"/>
    <w:link w:val="896"/>
    <w:qFormat/>
    <w:pPr>
      <w:ind w:left="359" w:hanging="359"/>
      <w:spacing w:line="500" w:lineRule="exact"/>
      <w:tabs>
        <w:tab w:val="left" w:pos="480" w:leader="none"/>
      </w:tabs>
    </w:pPr>
    <w:rPr>
      <w:rFonts w:ascii="黑体" w:hAnsi="宋体" w:eastAsia="宋体"/>
      <w:sz w:val="21"/>
      <w:szCs w:val="24"/>
    </w:rPr>
  </w:style>
  <w:style w:type="paragraph" w:styleId="925">
    <w:name w:val="PlainText1"/>
    <w:basedOn w:val="896"/>
    <w:next w:val="925"/>
    <w:link w:val="896"/>
    <w:uiPriority w:val="99"/>
    <w:qFormat/>
    <w:rPr>
      <w:rFonts w:ascii="宋体" w:hAnsi="Courier New" w:eastAsia="楷体_GB2312"/>
      <w:sz w:val="28"/>
      <w:szCs w:val="20"/>
    </w:rPr>
  </w:style>
  <w:style w:type="paragraph" w:styleId="926">
    <w:name w:val="目录 51"/>
    <w:next w:val="896"/>
    <w:link w:val="896"/>
    <w:qFormat/>
    <w:pPr>
      <w:ind w:left="1275"/>
      <w:jc w:val="both"/>
    </w:pPr>
    <w:rPr>
      <w:rFonts w:ascii="Calibri" w:hAnsi="Calibri" w:eastAsia="宋体" w:cs="Times New Roman"/>
      <w:sz w:val="21"/>
      <w:lang w:val="en-US" w:eastAsia="zh-CN" w:bidi="ar-SA"/>
    </w:rPr>
  </w:style>
  <w:style w:type="paragraph" w:styleId="927">
    <w:name w:val="列表段落"/>
    <w:basedOn w:val="896"/>
    <w:next w:val="927"/>
    <w:link w:val="896"/>
    <w:uiPriority w:val="34"/>
    <w:qFormat/>
    <w:pPr>
      <w:ind w:firstLine="420"/>
    </w:pPr>
  </w:style>
  <w:style w:type="paragraph" w:styleId="928">
    <w:name w:val="正文缩进1"/>
    <w:basedOn w:val="896"/>
    <w:next w:val="896"/>
    <w:link w:val="896"/>
    <w:qFormat/>
    <w:pPr>
      <w:ind w:firstLine="420"/>
      <w:jc w:val="left"/>
    </w:pPr>
    <w:rPr>
      <w:rFonts w:eastAsia="楷体_GB2312"/>
      <w:sz w:val="24"/>
      <w:szCs w:val="20"/>
    </w:rPr>
  </w:style>
  <w:style w:type="paragraph" w:styleId="929">
    <w:name w:val="首行缩进"/>
    <w:basedOn w:val="896"/>
    <w:next w:val="929"/>
    <w:link w:val="896"/>
    <w:qFormat/>
    <w:pPr>
      <w:ind w:firstLine="480"/>
      <w:jc w:val="left"/>
      <w:spacing w:line="360" w:lineRule="auto"/>
    </w:pPr>
    <w:rPr>
      <w:rFonts w:ascii="宋体" w:hAnsi="宋体"/>
      <w:sz w:val="24"/>
    </w:rPr>
  </w:style>
  <w:style w:type="character" w:styleId="930">
    <w:name w:val="NormalCharacter1"/>
    <w:next w:val="930"/>
    <w:link w:val="896"/>
    <w:qFormat/>
  </w:style>
  <w:style w:type="paragraph" w:styleId="931">
    <w:name w:val="+标题1"/>
    <w:basedOn w:val="897"/>
    <w:next w:val="931"/>
    <w:link w:val="896"/>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32">
    <w:name w:val="纯文本13"/>
    <w:basedOn w:val="896"/>
    <w:next w:val="932"/>
    <w:link w:val="896"/>
    <w:qFormat/>
    <w:pPr>
      <w:jc w:val="left"/>
      <w:widowControl/>
    </w:pPr>
    <w:rPr>
      <w:rFonts w:ascii="宋体" w:hAnsi="Courier New" w:eastAsia="楷体_GB2312"/>
      <w:sz w:val="26"/>
      <w:lang w:eastAsia="en-US"/>
    </w:rPr>
  </w:style>
  <w:style w:type="paragraph" w:styleId="933">
    <w:name w:val="段"/>
    <w:next w:val="896"/>
    <w:link w:val="896"/>
    <w:qFormat/>
    <w:pPr>
      <w:ind w:firstLine="200"/>
      <w:jc w:val="both"/>
    </w:pPr>
    <w:rPr>
      <w:rFonts w:ascii="宋体" w:hAnsi="Calibri"/>
      <w:sz w:val="21"/>
      <w:lang w:val="en-US" w:eastAsia="zh-CN" w:bidi="ar-SA"/>
    </w:rPr>
  </w:style>
  <w:style w:type="paragraph" w:styleId="934">
    <w:name w:val="纯文本1"/>
    <w:basedOn w:val="896"/>
    <w:next w:val="914"/>
    <w:link w:val="896"/>
    <w:qFormat/>
    <w:rPr>
      <w:rFonts w:ascii="宋体" w:hAnsi="Courier New" w:eastAsia="楷体_GB2312"/>
      <w:sz w:val="26"/>
    </w:rPr>
  </w:style>
  <w:style w:type="character" w:styleId="935">
    <w:name w:val="font11"/>
    <w:basedOn w:val="900"/>
    <w:next w:val="935"/>
    <w:link w:val="896"/>
    <w:rPr>
      <w:rFonts w:hint="eastAsia" w:ascii="宋体" w:hAnsi="宋体" w:eastAsia="宋体" w:cs="宋体"/>
      <w:i w:val="0"/>
      <w:iCs w:val="0"/>
      <w:color w:val="000000"/>
      <w:sz w:val="22"/>
      <w:szCs w:val="22"/>
      <w:u w:val="none"/>
    </w:rPr>
  </w:style>
  <w:style w:type="character" w:styleId="936">
    <w:name w:val="font61"/>
    <w:basedOn w:val="900"/>
    <w:next w:val="936"/>
    <w:link w:val="896"/>
    <w:rPr>
      <w:rFonts w:ascii="Arial" w:hAnsi="Arial" w:cs="Arial"/>
      <w:i w:val="0"/>
      <w:iCs w:val="0"/>
      <w:color w:val="000000"/>
      <w:sz w:val="22"/>
      <w:szCs w:val="22"/>
      <w:u w:val="none"/>
    </w:rPr>
  </w:style>
  <w:style w:type="character" w:styleId="937">
    <w:name w:val="font71"/>
    <w:basedOn w:val="900"/>
    <w:next w:val="937"/>
    <w:link w:val="896"/>
    <w:rPr>
      <w:rFonts w:hint="eastAsia" w:ascii="宋体" w:hAnsi="宋体" w:eastAsia="宋体" w:cs="宋体"/>
      <w:i w:val="0"/>
      <w:iCs w:val="0"/>
      <w:color w:val="ff0000"/>
      <w:sz w:val="22"/>
      <w:szCs w:val="22"/>
      <w:u w:val="none"/>
    </w:rPr>
  </w:style>
  <w:style w:type="character" w:styleId="938">
    <w:name w:val="font81"/>
    <w:basedOn w:val="900"/>
    <w:next w:val="938"/>
    <w:link w:val="896"/>
    <w:rPr>
      <w:rFonts w:ascii="Calibri" w:hAnsi="Calibri" w:cs="Calibri"/>
      <w:i w:val="0"/>
      <w:iCs w:val="0"/>
      <w:color w:val="000000"/>
      <w:sz w:val="22"/>
      <w:szCs w:val="22"/>
      <w:u w:val="none"/>
    </w:rPr>
  </w:style>
  <w:style w:type="paragraph" w:styleId="939">
    <w:name w:val="p0"/>
    <w:basedOn w:val="896"/>
    <w:next w:val="939"/>
    <w:link w:val="896"/>
    <w:qFormat/>
    <w:rPr>
      <w:rFonts w:ascii="Times New Roman" w:hAnsi="Times New Roman"/>
      <w:szCs w:val="24"/>
    </w:rPr>
  </w:style>
  <w:style w:type="paragraph" w:styleId="940">
    <w:name w:val="纯文本3"/>
    <w:basedOn w:val="896"/>
    <w:next w:val="940"/>
    <w:link w:val="896"/>
    <w:qFormat/>
    <w:rPr>
      <w:rFonts w:ascii="宋体" w:hAnsi="Courier New" w:eastAsia="KaiTi_GB2312"/>
      <w:sz w:val="28"/>
      <w:szCs w:val="20"/>
    </w:rPr>
  </w:style>
  <w:style w:type="paragraph" w:styleId="941">
    <w:name w:val="纯文本11"/>
    <w:basedOn w:val="896"/>
    <w:next w:val="941"/>
    <w:link w:val="896"/>
    <w:qFormat/>
    <w:rPr>
      <w:rFonts w:ascii="宋体" w:hAnsi="Courier New" w:eastAsia="楷体_GB2312"/>
      <w:sz w:val="28"/>
      <w:szCs w:val="20"/>
    </w:rPr>
  </w:style>
  <w:style w:type="paragraph" w:styleId="942">
    <w:name w:val="正文文本缩进 311"/>
    <w:basedOn w:val="896"/>
    <w:next w:val="942"/>
    <w:link w:val="896"/>
    <w:uiPriority w:val="99"/>
    <w:qFormat/>
    <w:pPr>
      <w:ind w:firstLine="480"/>
      <w:spacing w:line="360" w:lineRule="auto"/>
      <w:widowControl/>
    </w:pPr>
    <w:rPr>
      <w:sz w:val="24"/>
    </w:rPr>
  </w:style>
  <w:style w:type="paragraph" w:styleId="943">
    <w:name w:val="标题 21"/>
    <w:basedOn w:val="896"/>
    <w:next w:val="896"/>
    <w:link w:val="896"/>
    <w:qFormat/>
    <w:pPr>
      <w:keepLines/>
      <w:keepNext/>
      <w:spacing w:before="260" w:after="260" w:line="413" w:lineRule="auto"/>
      <w:outlineLvl w:val="1"/>
    </w:pPr>
    <w:rPr>
      <w:rFonts w:ascii="Arial" w:hAnsi="Arial" w:eastAsia="黑体"/>
      <w:b/>
      <w:bCs/>
      <w:sz w:val="32"/>
      <w:szCs w:val="32"/>
    </w:rPr>
  </w:style>
  <w:style w:type="paragraph" w:styleId="944">
    <w:name w:val="纯文本7"/>
    <w:basedOn w:val="896"/>
    <w:next w:val="944"/>
    <w:link w:val="896"/>
    <w:qFormat/>
    <w:pPr>
      <w:jc w:val="left"/>
      <w:widowControl/>
    </w:pPr>
    <w:rPr>
      <w:rFonts w:ascii="宋体" w:hAnsi="Courier New"/>
    </w:rPr>
  </w:style>
  <w:style w:type="paragraph" w:styleId="945">
    <w:name w:val="段落"/>
    <w:basedOn w:val="896"/>
    <w:next w:val="945"/>
    <w:link w:val="896"/>
    <w:qFormat/>
  </w:style>
  <w:style w:type="paragraph" w:styleId="946">
    <w:name w:val="目录 11"/>
    <w:basedOn w:val="896"/>
    <w:next w:val="896"/>
    <w:link w:val="896"/>
    <w:uiPriority w:val="39"/>
    <w:qFormat/>
    <w:pPr>
      <w:jc w:val="left"/>
    </w:pPr>
    <w:rPr>
      <w:sz w:val="24"/>
    </w:r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5</cp:revision>
  <dcterms:created xsi:type="dcterms:W3CDTF">2025-05-18T16:19:00Z</dcterms:created>
  <dcterms:modified xsi:type="dcterms:W3CDTF">2026-05-11T03:13:25Z</dcterms:modified>
</cp:coreProperties>
</file>