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w:t>
      </w:r>
      <w:r/>
    </w:p>
    <w:p>
      <w:pPr>
        <w:ind w:firstLine="300"/>
        <w:spacing w:line="360" w:lineRule="auto"/>
        <w:rPr>
          <w:rFonts w:hint="eastAsia" w:ascii="仿宋" w:hAnsi="仿宋" w:eastAsia="仿宋" w:cs="仿宋"/>
          <w:color w:val="000000"/>
          <w:sz w:val="60"/>
          <w:szCs w:val="60"/>
          <w:highlight w:val="none"/>
        </w:rPr>
      </w:pPr>
      <w:r>
        <w:rPr>
          <w:rFonts w:hint="eastAsia" w:ascii="仿宋" w:hAnsi="仿宋" w:eastAsia="仿宋" w:cs="仿宋"/>
          <w:color w:val="000000"/>
          <w:sz w:val="60"/>
          <w:szCs w:val="60"/>
          <w:highlight w:val="none"/>
        </w:rPr>
      </w:r>
      <w:r/>
    </w:p>
    <w:p>
      <w:pPr>
        <w:pStyle w:val="819"/>
        <w:rPr>
          <w:rFonts w:hint="eastAsia"/>
        </w:rPr>
      </w:pPr>
      <w:r>
        <w:rPr>
          <w:rFonts w:hint="eastAsia"/>
        </w:rPr>
      </w:r>
      <w:r/>
    </w:p>
    <w:p>
      <w:pPr>
        <w:jc w:val="center"/>
        <w:keepLines w:val="0"/>
        <w:keepNext w:val="0"/>
        <w:pageBreakBefore w:val="0"/>
        <w:spacing w:line="216" w:lineRule="auto"/>
        <w:widowControl w:val="off"/>
        <w:rPr>
          <w:rFonts w:hint="eastAsia" w:ascii="仿宋" w:hAnsi="仿宋" w:eastAsia="仿宋" w:cs="仿宋"/>
          <w:b/>
          <w:bCs/>
          <w:color w:val="000000"/>
          <w:sz w:val="56"/>
          <w:szCs w:val="56"/>
        </w:rPr>
      </w:pPr>
      <w:r>
        <w:rPr>
          <w:rFonts w:hint="eastAsia" w:ascii="仿宋" w:hAnsi="仿宋" w:eastAsia="仿宋" w:cs="仿宋"/>
          <w:b/>
          <w:bCs/>
          <w:color w:val="000000"/>
          <w:sz w:val="56"/>
          <w:szCs w:val="56"/>
        </w:rPr>
        <w:t xml:space="preserve">常州市政府采购项目</w:t>
      </w:r>
      <w:r/>
    </w:p>
    <w:p>
      <w:pPr>
        <w:jc w:val="center"/>
        <w:keepLines w:val="0"/>
        <w:keepNext w:val="0"/>
        <w:pageBreakBefore w:val="0"/>
        <w:spacing w:line="216" w:lineRule="auto"/>
        <w:widowControl w:val="off"/>
        <w:rPr>
          <w:rFonts w:hint="eastAsia" w:ascii="仿宋" w:hAnsi="仿宋" w:eastAsia="仿宋" w:cs="仿宋"/>
          <w:b/>
          <w:bCs/>
          <w:color w:val="000000"/>
          <w:sz w:val="56"/>
          <w:szCs w:val="56"/>
        </w:rPr>
      </w:pPr>
      <w:r>
        <w:rPr>
          <w:rFonts w:hint="eastAsia" w:ascii="仿宋" w:hAnsi="仿宋" w:eastAsia="仿宋" w:cs="仿宋"/>
          <w:b/>
          <w:bCs/>
          <w:color w:val="000000"/>
          <w:sz w:val="56"/>
          <w:szCs w:val="56"/>
        </w:rPr>
      </w:r>
      <w:r/>
    </w:p>
    <w:p>
      <w:pPr>
        <w:jc w:val="center"/>
        <w:keepLines w:val="0"/>
        <w:keepNext w:val="0"/>
        <w:pageBreakBefore w:val="0"/>
        <w:spacing w:line="216" w:lineRule="auto"/>
        <w:widowControl w:val="off"/>
        <w:rPr>
          <w:rFonts w:hint="eastAsia" w:ascii="仿宋" w:hAnsi="仿宋" w:eastAsia="仿宋" w:cs="仿宋"/>
          <w:b/>
          <w:bCs/>
          <w:color w:val="000000"/>
          <w:sz w:val="56"/>
          <w:szCs w:val="56"/>
        </w:rPr>
      </w:pPr>
      <w:r>
        <w:rPr>
          <w:rFonts w:hint="eastAsia" w:ascii="仿宋" w:hAnsi="仿宋" w:eastAsia="仿宋" w:cs="仿宋"/>
          <w:b/>
          <w:bCs/>
          <w:color w:val="000000"/>
          <w:sz w:val="56"/>
          <w:szCs w:val="56"/>
          <w:lang w:val="en-US" w:eastAsia="zh-CN"/>
        </w:rPr>
        <w:t xml:space="preserve">竞争性磋商</w:t>
      </w:r>
      <w:r>
        <w:rPr>
          <w:rFonts w:hint="eastAsia" w:ascii="仿宋" w:hAnsi="仿宋" w:eastAsia="仿宋" w:cs="仿宋"/>
          <w:b/>
          <w:bCs/>
          <w:color w:val="000000"/>
          <w:sz w:val="56"/>
          <w:szCs w:val="56"/>
        </w:rPr>
        <w:t xml:space="preserve">文件</w:t>
      </w:r>
      <w:r/>
    </w:p>
    <w:p>
      <w:pPr>
        <w:jc w:val="both"/>
        <w:spacing w:line="360" w:lineRule="auto"/>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jc w:val="both"/>
        <w:spacing w:line="360" w:lineRule="auto"/>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ind w:firstLine="1400"/>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rPr>
        <w:t xml:space="preserve">项目名称：</w:t>
      </w:r>
      <w:r>
        <w:rPr>
          <w:rFonts w:hint="eastAsia" w:ascii="仿宋" w:hAnsi="仿宋" w:eastAsia="仿宋" w:cs="仿宋"/>
          <w:b/>
          <w:bCs w:val="0"/>
          <w:sz w:val="28"/>
          <w:szCs w:val="28"/>
          <w:highlight w:val="none"/>
          <w:u w:val="single"/>
          <w:lang w:val="en-US" w:eastAsia="zh-CN"/>
        </w:rPr>
        <w:t xml:space="preserve">常州机电职业技术学院教学楼变电所增容项目</w:t>
      </w:r>
      <w:r/>
    </w:p>
    <w:p>
      <w:pPr>
        <w:ind w:firstLine="1400"/>
        <w:jc w:val="left"/>
        <w:keepLines w:val="0"/>
        <w:keepNext w:val="0"/>
        <w:pageBreakBefore w:val="0"/>
        <w:spacing w:line="480" w:lineRule="auto"/>
        <w:widowControl w:val="off"/>
        <w:tabs>
          <w:tab w:val="left" w:pos="3240" w:leader="none"/>
          <w:tab w:val="left" w:pos="3420" w:leader="none"/>
        </w:tabs>
        <w:rPr>
          <w:rFonts w:hint="default"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lang w:eastAsia="zh-CN"/>
        </w:rPr>
        <w:t xml:space="preserve">项目编号：</w:t>
      </w:r>
      <w:r>
        <w:rPr>
          <w:rFonts w:hint="eastAsia" w:ascii="仿宋" w:hAnsi="仿宋" w:eastAsia="仿宋" w:cs="仿宋"/>
          <w:b/>
          <w:bCs w:val="0"/>
          <w:sz w:val="28"/>
          <w:szCs w:val="28"/>
          <w:highlight w:val="none"/>
          <w:u w:val="single"/>
          <w:lang w:val="en-US" w:eastAsia="zh-CN"/>
        </w:rPr>
        <w:t xml:space="preserve">JSZC-320400-CZYC-C2026-0001</w:t>
      </w:r>
      <w:r/>
    </w:p>
    <w:p>
      <w:pPr>
        <w:ind w:firstLine="1400"/>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rPr>
        <w:t xml:space="preserve">采 购 人：</w:t>
      </w:r>
      <w:r>
        <w:rPr>
          <w:rFonts w:hint="eastAsia" w:ascii="仿宋" w:hAnsi="仿宋" w:eastAsia="仿宋" w:cs="仿宋"/>
          <w:b/>
          <w:bCs w:val="0"/>
          <w:sz w:val="28"/>
          <w:szCs w:val="28"/>
          <w:highlight w:val="none"/>
          <w:u w:val="single"/>
          <w:lang w:val="en-US" w:eastAsia="zh-CN"/>
        </w:rPr>
        <w:t xml:space="preserve">常州机电职业技术学院</w:t>
      </w:r>
      <w:r/>
    </w:p>
    <w:p>
      <w:pPr>
        <w:ind w:firstLine="1400"/>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rPr>
        <w:t xml:space="preserve">采购代理机构：</w:t>
      </w:r>
      <w:r>
        <w:rPr>
          <w:rFonts w:hint="eastAsia" w:ascii="仿宋" w:hAnsi="仿宋" w:eastAsia="仿宋" w:cs="仿宋"/>
          <w:b/>
          <w:bCs w:val="0"/>
          <w:sz w:val="28"/>
          <w:szCs w:val="28"/>
          <w:highlight w:val="none"/>
          <w:u w:val="single"/>
          <w:lang w:val="en-US" w:eastAsia="zh-CN"/>
        </w:rPr>
        <w:t xml:space="preserve">常州筠诚工程咨询有限公司</w:t>
      </w:r>
      <w:r/>
    </w:p>
    <w:p>
      <w:pPr>
        <w:ind w:firstLine="321"/>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32"/>
          <w:szCs w:val="32"/>
          <w:highlight w:val="none"/>
          <w:u w:val="single"/>
          <w:lang w:val="en-US" w:eastAsia="zh-CN"/>
        </w:rPr>
      </w:pPr>
      <w:r>
        <w:rPr>
          <w:rFonts w:hint="eastAsia" w:ascii="仿宋" w:hAnsi="仿宋" w:eastAsia="仿宋" w:cs="仿宋"/>
          <w:b/>
          <w:bCs w:val="0"/>
          <w:sz w:val="32"/>
          <w:szCs w:val="32"/>
          <w:highlight w:val="none"/>
          <w:u w:val="single"/>
          <w:lang w:val="en-US" w:eastAsia="zh-CN"/>
        </w:rPr>
      </w:r>
      <w:r/>
    </w:p>
    <w:p>
      <w:pPr>
        <w:jc w:val="left"/>
        <w:widowControl/>
        <w:rPr>
          <w:rFonts w:hint="eastAsia" w:ascii="仿宋" w:hAnsi="仿宋" w:eastAsia="仿宋" w:cs="仿宋"/>
          <w:color w:val="000000"/>
          <w:sz w:val="24"/>
          <w:highlight w:val="none"/>
        </w:rPr>
      </w:pPr>
      <w:r>
        <w:rPr>
          <w:rFonts w:hint="eastAsia" w:ascii="仿宋" w:hAnsi="仿宋" w:eastAsia="仿宋" w:cs="仿宋"/>
          <w:b/>
          <w:bCs/>
          <w:color w:val="000000"/>
          <w:sz w:val="44"/>
          <w:highlight w:val="none"/>
        </w:rPr>
        <w:br w:type="page" w:clear="all"/>
      </w:r>
      <w:r/>
    </w:p>
    <w:p>
      <w:pPr>
        <w:pStyle w:val="818"/>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spacing w:line="360" w:lineRule="auto"/>
        <w:rPr>
          <w:rFonts w:hint="eastAsia" w:ascii="仿宋" w:hAnsi="仿宋" w:eastAsia="仿宋" w:cs="仿宋"/>
          <w:color w:val="000000"/>
          <w:highlight w:val="none"/>
        </w:rPr>
      </w:pPr>
      <w:r/>
      <w:bookmarkStart w:id="0" w:name="_Toc104818924"/>
      <w:r>
        <w:rPr>
          <w:rFonts w:hint="eastAsia" w:ascii="仿宋" w:hAnsi="仿宋" w:eastAsia="仿宋" w:cs="仿宋"/>
          <w:b/>
          <w:color w:val="000000"/>
          <w:sz w:val="36"/>
          <w:szCs w:val="36"/>
          <w:highlight w:val="none"/>
        </w:rPr>
        <w:t xml:space="preserve">目      录</w:t>
      </w:r>
      <w:bookmarkEnd w:id="0"/>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6"/>
        <w:spacing w:line="360" w:lineRule="auto"/>
        <w:rPr>
          <w:rFonts w:hint="eastAsia" w:ascii="仿宋" w:hAnsi="仿宋" w:eastAsia="仿宋" w:cs="仿宋"/>
          <w:b w:val="0"/>
          <w:color w:val="000000"/>
          <w:sz w:val="21"/>
          <w:szCs w:val="22"/>
          <w:highlight w:val="none"/>
        </w:rPr>
      </w:pPr>
      <w:r>
        <w:rPr>
          <w:rFonts w:hint="eastAsia" w:ascii="仿宋" w:hAnsi="仿宋" w:eastAsia="仿宋" w:cs="仿宋"/>
          <w:b w:val="0"/>
          <w:color w:val="000000"/>
          <w:highlight w:val="none"/>
        </w:rPr>
        <w:fldChar w:fldCharType="begin"/>
      </w:r>
      <w:r>
        <w:rPr>
          <w:rFonts w:hint="eastAsia" w:ascii="仿宋" w:hAnsi="仿宋" w:eastAsia="仿宋" w:cs="仿宋"/>
          <w:b w:val="0"/>
          <w:color w:val="000000"/>
          <w:highlight w:val="none"/>
        </w:rPr>
        <w:instrText xml:space="preserve"> TOC \o "1-1" \h \z \u </w:instrText>
      </w:r>
      <w:r>
        <w:rPr>
          <w:rFonts w:hint="eastAsia" w:ascii="仿宋" w:hAnsi="仿宋" w:eastAsia="仿宋" w:cs="仿宋"/>
          <w:b w:val="0"/>
          <w:color w:val="000000"/>
          <w:highlight w:val="none"/>
        </w:rPr>
        <w:fldChar w:fldCharType="separate"/>
      </w: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"_Toc151381408"</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第一章   采购邀请</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1</w:t>
      </w:r>
      <w:r>
        <w:rPr>
          <w:rStyle w:val="985"/>
          <w:rFonts w:hint="eastAsia" w:ascii="仿宋" w:hAnsi="仿宋" w:eastAsia="仿宋" w:cs="仿宋"/>
          <w:color w:val="000000"/>
          <w:highlight w:val="none"/>
        </w:rPr>
        <w:fldChar w:fldCharType="end"/>
      </w:r>
      <w:r/>
    </w:p>
    <w:p>
      <w:pPr>
        <w:pStyle w:val="1246"/>
        <w:spacing w:line="360" w:lineRule="auto"/>
        <w:rPr>
          <w:rFonts w:hint="eastAsia" w:ascii="仿宋" w:hAnsi="仿宋" w:eastAsia="仿宋" w:cs="仿宋"/>
          <w:b w:val="0"/>
          <w:color w:val="000000"/>
          <w:sz w:val="21"/>
          <w:szCs w:val="22"/>
          <w:highlight w:val="none"/>
        </w:rPr>
      </w:pP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"_Toc151381409"</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第二章   供应商须知</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4</w:t>
      </w:r>
      <w:r>
        <w:rPr>
          <w:rStyle w:val="985"/>
          <w:rFonts w:hint="eastAsia" w:ascii="仿宋" w:hAnsi="仿宋" w:eastAsia="仿宋" w:cs="仿宋"/>
          <w:color w:val="000000"/>
          <w:highlight w:val="none"/>
        </w:rPr>
        <w:fldChar w:fldCharType="end"/>
      </w:r>
      <w:r/>
    </w:p>
    <w:p>
      <w:pPr>
        <w:pStyle w:val="1246"/>
        <w:spacing w:line="360" w:lineRule="auto"/>
        <w:rPr>
          <w:rFonts w:hint="eastAsia" w:ascii="仿宋" w:hAnsi="仿宋" w:eastAsia="仿宋" w:cs="仿宋"/>
          <w:b w:val="0"/>
          <w:color w:val="000000"/>
          <w:sz w:val="21"/>
          <w:szCs w:val="22"/>
          <w:highlight w:val="none"/>
        </w:rPr>
      </w:pP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"_Toc151381410"</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第三章   评审程序、评审方法和评审标准</w:t>
      </w:r>
      <w:r>
        <w:rPr>
          <w:rFonts w:hint="eastAsia" w:ascii="仿宋" w:hAnsi="仿宋" w:eastAsia="仿宋" w:cs="仿宋"/>
          <w:color w:val="000000"/>
          <w:highlight w:val="none"/>
        </w:rPr>
        <w:tab/>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PAGEREF _Toc151381410 \h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fldChar w:fldCharType="end"/>
      </w:r>
      <w:r>
        <w:rPr>
          <w:rStyle w:val="985"/>
          <w:rFonts w:hint="eastAsia" w:ascii="仿宋" w:hAnsi="仿宋" w:eastAsia="仿宋" w:cs="仿宋"/>
          <w:color w:val="000000"/>
          <w:highlight w:val="none"/>
        </w:rPr>
        <w:fldChar w:fldCharType="end"/>
      </w:r>
      <w:r/>
    </w:p>
    <w:p>
      <w:pPr>
        <w:pStyle w:val="1246"/>
        <w:spacing w:line="360" w:lineRule="auto"/>
        <w:rPr>
          <w:rFonts w:hint="eastAsia" w:ascii="仿宋" w:hAnsi="仿宋" w:eastAsia="仿宋" w:cs="仿宋"/>
          <w:b w:val="0"/>
          <w:color w:val="000000"/>
          <w:sz w:val="21"/>
          <w:szCs w:val="22"/>
          <w:highlight w:val="none"/>
          <w:lang w:val="en-US" w:eastAsia="zh-CN"/>
        </w:rPr>
      </w:pP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"_Toc151381411"</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第四章   采购需求</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2</w:t>
      </w:r>
      <w:r>
        <w:rPr>
          <w:rStyle w:val="985"/>
          <w:rFonts w:hint="eastAsia" w:ascii="仿宋" w:hAnsi="仿宋" w:eastAsia="仿宋" w:cs="仿宋"/>
          <w:color w:val="000000"/>
          <w:highlight w:val="none"/>
        </w:rPr>
        <w:fldChar w:fldCharType="end"/>
      </w:r>
      <w:r>
        <w:rPr>
          <w:rStyle w:val="985"/>
          <w:rFonts w:hint="eastAsia" w:ascii="仿宋" w:hAnsi="仿宋" w:eastAsia="仿宋" w:cs="仿宋"/>
          <w:color w:val="000000"/>
          <w:highlight w:val="none"/>
          <w:lang w:val="en-US" w:eastAsia="zh-CN"/>
        </w:rPr>
        <w:t xml:space="preserve">6</w:t>
      </w:r>
      <w:r/>
    </w:p>
    <w:p>
      <w:pPr>
        <w:pStyle w:val="1246"/>
        <w:spacing w:line="360" w:lineRule="auto"/>
        <w:rPr>
          <w:rFonts w:hint="eastAsia" w:ascii="仿宋" w:hAnsi="仿宋" w:eastAsia="仿宋" w:cs="仿宋"/>
          <w:b w:val="0"/>
          <w:color w:val="000000"/>
          <w:sz w:val="21"/>
          <w:szCs w:val="22"/>
          <w:highlight w:val="none"/>
          <w:lang w:val="en-US" w:eastAsia="zh-CN"/>
        </w:rPr>
      </w:pP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"_Toc151381412"</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第五章   合同草案条款</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3</w:t>
      </w:r>
      <w:r>
        <w:rPr>
          <w:rStyle w:val="985"/>
          <w:rFonts w:hint="eastAsia" w:ascii="仿宋" w:hAnsi="仿宋" w:eastAsia="仿宋" w:cs="仿宋"/>
          <w:color w:val="000000"/>
          <w:highlight w:val="none"/>
        </w:rPr>
        <w:fldChar w:fldCharType="end"/>
      </w:r>
      <w:r>
        <w:rPr>
          <w:rStyle w:val="985"/>
          <w:rFonts w:hint="eastAsia" w:ascii="仿宋" w:hAnsi="仿宋" w:eastAsia="仿宋" w:cs="仿宋"/>
          <w:color w:val="000000"/>
          <w:highlight w:val="none"/>
          <w:lang w:val="en-US" w:eastAsia="zh-CN"/>
        </w:rPr>
        <w:t xml:space="preserve">5</w:t>
      </w:r>
      <w:r/>
    </w:p>
    <w:p>
      <w:pPr>
        <w:pStyle w:val="1246"/>
        <w:spacing w:line="360" w:lineRule="auto"/>
        <w:rPr>
          <w:rFonts w:hint="eastAsia" w:ascii="仿宋" w:hAnsi="仿宋" w:eastAsia="仿宋" w:cs="仿宋"/>
          <w:b w:val="0"/>
          <w:color w:val="000000"/>
          <w:sz w:val="21"/>
          <w:szCs w:val="22"/>
          <w:highlight w:val="none"/>
          <w:lang w:val="en-US" w:eastAsia="zh-CN"/>
        </w:rPr>
      </w:pPr>
      <w:r>
        <w:rPr>
          <w:rStyle w:val="985"/>
          <w:rFonts w:hint="eastAsia" w:ascii="仿宋" w:hAnsi="仿宋" w:eastAsia="仿宋" w:cs="仿宋"/>
          <w:color w:val="000000"/>
          <w:highlight w:val="none"/>
        </w:rPr>
        <w:fldChar w:fldCharType="begin"/>
      </w:r>
      <w:r>
        <w:rPr>
          <w:rStyle w:val="985"/>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"_Toc151381413"</w:instrText>
      </w:r>
      <w:r>
        <w:rPr>
          <w:rStyle w:val="985"/>
          <w:rFonts w:hint="eastAsia" w:ascii="仿宋" w:hAnsi="仿宋" w:eastAsia="仿宋" w:cs="仿宋"/>
          <w:color w:val="000000"/>
          <w:highlight w:val="none"/>
        </w:rPr>
        <w:instrText xml:space="preserve"> </w:instrText>
      </w:r>
      <w:r>
        <w:rPr>
          <w:rStyle w:val="985"/>
          <w:rFonts w:hint="eastAsia" w:ascii="仿宋" w:hAnsi="仿宋" w:eastAsia="仿宋" w:cs="仿宋"/>
          <w:color w:val="000000"/>
          <w:highlight w:val="none"/>
        </w:rPr>
        <w:fldChar w:fldCharType="separate"/>
      </w:r>
      <w:r>
        <w:rPr>
          <w:rStyle w:val="985"/>
          <w:rFonts w:hint="eastAsia" w:ascii="仿宋" w:hAnsi="仿宋" w:eastAsia="仿宋" w:cs="仿宋"/>
          <w:color w:val="000000"/>
          <w:highlight w:val="none"/>
        </w:rPr>
        <w:t xml:space="preserve">第六章   响应文件格式</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4</w:t>
      </w:r>
      <w:r>
        <w:rPr>
          <w:rStyle w:val="985"/>
          <w:rFonts w:hint="eastAsia" w:ascii="仿宋" w:hAnsi="仿宋" w:eastAsia="仿宋" w:cs="仿宋"/>
          <w:color w:val="000000"/>
          <w:highlight w:val="none"/>
        </w:rPr>
        <w:fldChar w:fldCharType="end"/>
      </w:r>
      <w:r>
        <w:rPr>
          <w:rStyle w:val="985"/>
          <w:rFonts w:hint="eastAsia" w:ascii="仿宋" w:hAnsi="仿宋" w:eastAsia="仿宋" w:cs="仿宋"/>
          <w:color w:val="000000"/>
          <w:highlight w:val="none"/>
          <w:lang w:val="en-US" w:eastAsia="zh-CN"/>
        </w:rPr>
        <w:t xml:space="preserve">6</w:t>
      </w:r>
      <w:r/>
    </w:p>
    <w:p>
      <w:pPr>
        <w:pStyle w:val="1246"/>
        <w:spacing w:line="360" w:lineRule="auto"/>
        <w:rPr>
          <w:rFonts w:hint="eastAsia" w:ascii="仿宋" w:hAnsi="仿宋" w:eastAsia="仿宋" w:cs="仿宋"/>
          <w:b w:val="0"/>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仿宋" w:hAnsi="仿宋" w:eastAsia="仿宋" w:cs="仿宋"/>
          <w:b w:val="0"/>
          <w:color w:val="000000"/>
          <w:highlight w:val="none"/>
        </w:rPr>
        <w:fldChar w:fldCharType="end"/>
      </w:r>
      <w:r>
        <w:rPr>
          <w:rFonts w:hint="eastAsia" w:ascii="仿宋" w:hAnsi="仿宋" w:eastAsia="仿宋" w:cs="仿宋"/>
          <w:b w:val="0"/>
          <w:color w:val="000000"/>
          <w:sz w:val="36"/>
          <w:szCs w:val="36"/>
          <w:highlight w:val="none"/>
        </w:rPr>
        <w:br w:type="page" w:clear="all"/>
      </w:r>
      <w:r/>
    </w:p>
    <w:p>
      <w:pPr>
        <w:jc w:val="center"/>
        <w:spacing w:line="360" w:lineRule="auto"/>
        <w:rPr>
          <w:rFonts w:hint="eastAsia" w:ascii="仿宋" w:hAnsi="仿宋" w:eastAsia="仿宋" w:cs="仿宋"/>
          <w:b/>
          <w:color w:val="000000"/>
          <w:sz w:val="36"/>
          <w:szCs w:val="36"/>
          <w:highlight w:val="none"/>
        </w:rPr>
        <w:outlineLvl w:val="0"/>
      </w:pPr>
      <w:r/>
      <w:bookmarkStart w:id="1" w:name="_Toc99301419"/>
      <w:r/>
      <w:bookmarkStart w:id="2" w:name="_Toc35393621"/>
      <w:r/>
      <w:bookmarkStart w:id="3" w:name="_Toc28359002"/>
      <w:r/>
      <w:bookmarkStart w:id="4" w:name="_Toc28359079"/>
      <w:r/>
      <w:bookmarkStart w:id="5" w:name="_Toc35393790"/>
      <w:r/>
      <w:bookmarkStart w:id="6" w:name="_Hlk24379207"/>
      <w:r>
        <w:rPr>
          <w:rFonts w:hint="eastAsia" w:ascii="仿宋" w:hAnsi="仿宋" w:eastAsia="仿宋" w:cs="仿宋"/>
          <w:b/>
          <w:sz w:val="36"/>
          <w:szCs w:val="36"/>
          <w:highlight w:val="none"/>
        </w:rPr>
        <w:t xml:space="preserve">第一章   </w:t>
      </w:r>
      <w:r>
        <w:rPr>
          <w:rFonts w:hint="eastAsia" w:ascii="仿宋" w:hAnsi="仿宋" w:eastAsia="仿宋" w:cs="仿宋"/>
          <w:b/>
          <w:sz w:val="36"/>
          <w:szCs w:val="36"/>
          <w:highlight w:val="none"/>
          <w:lang w:val="en-US" w:eastAsia="zh-CN"/>
        </w:rPr>
        <w:t xml:space="preserve">采购</w:t>
      </w:r>
      <w:r>
        <w:rPr>
          <w:rFonts w:hint="eastAsia" w:ascii="仿宋" w:hAnsi="仿宋" w:eastAsia="仿宋" w:cs="仿宋"/>
          <w:b/>
          <w:sz w:val="36"/>
          <w:szCs w:val="36"/>
          <w:highlight w:val="none"/>
        </w:rPr>
        <w:t xml:space="preserve">邀请</w:t>
      </w:r>
      <w:bookmarkEnd w:id="1"/>
      <w:r/>
      <w:r/>
    </w:p>
    <w:p>
      <w:pPr>
        <w:pStyle w:val="967"/>
        <w:jc w:val="left"/>
        <w:spacing w:before="0" w:line="360" w:lineRule="auto"/>
        <w:rPr>
          <w:rFonts w:hint="eastAsia" w:ascii="仿宋" w:hAnsi="仿宋" w:eastAsia="仿宋" w:cs="仿宋"/>
          <w:color w:val="000000"/>
          <w:sz w:val="21"/>
          <w:szCs w:val="21"/>
          <w:highlight w:val="none"/>
        </w:rPr>
      </w:pPr>
      <w:r/>
      <w:bookmarkStart w:id="7" w:name="_Hlk151457335"/>
      <w:r>
        <w:rPr>
          <w:rFonts w:hint="eastAsia" w:ascii="仿宋" w:hAnsi="仿宋" w:eastAsia="仿宋" w:cs="仿宋"/>
          <w:color w:val="000000"/>
          <w:sz w:val="21"/>
          <w:szCs w:val="21"/>
          <w:highlight w:val="none"/>
        </w:rPr>
        <w:t xml:space="preserve">一、项目基本情况</w:t>
      </w:r>
      <w:bookmarkEnd w:id="2"/>
      <w:r/>
      <w:bookmarkEnd w:id="3"/>
      <w:r/>
      <w:bookmarkEnd w:id="4"/>
      <w:r/>
      <w:bookmarkEnd w:id="5"/>
      <w:r/>
      <w:r/>
    </w:p>
    <w:p>
      <w:pPr>
        <w:ind w:firstLine="48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1.项目编</w:t>
      </w:r>
      <w:r>
        <w:rPr>
          <w:rFonts w:hint="eastAsia" w:ascii="仿宋_GB2312" w:hAnsi="仿宋" w:eastAsia="仿宋_GB2312" w:cs="宋体"/>
          <w:b w:val="0"/>
          <w:bCs w:val="0"/>
          <w:color w:val="auto"/>
          <w:spacing w:val="8"/>
          <w:sz w:val="21"/>
          <w:szCs w:val="21"/>
          <w:u w:val="none"/>
          <w:lang w:val="en-US" w:eastAsia="zh-CN"/>
        </w:rPr>
        <w:t xml:space="preserve">号：JSZC-320400-CZYC-C2026-0001</w:t>
      </w:r>
      <w:r/>
    </w:p>
    <w:p>
      <w:pPr>
        <w:ind w:firstLine="480"/>
        <w:spacing w:line="360" w:lineRule="auto"/>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2.项目名称：</w:t>
      </w:r>
      <w:r>
        <w:rPr>
          <w:rFonts w:hint="eastAsia" w:ascii="仿宋_GB2312" w:hAnsi="仿宋" w:eastAsia="仿宋_GB2312" w:cs="宋体"/>
          <w:b w:val="0"/>
          <w:bCs w:val="0"/>
          <w:color w:val="auto"/>
          <w:spacing w:val="8"/>
          <w:sz w:val="21"/>
          <w:szCs w:val="21"/>
          <w:u w:val="none"/>
          <w:lang w:val="en-US" w:eastAsia="zh-CN"/>
        </w:rPr>
        <w:t xml:space="preserve">常州机电职业技术学院教学楼变电所增容项目</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3.采购方式：竞争性磋商</w:t>
      </w:r>
      <w:bookmarkEnd w:id="6"/>
      <w:r/>
    </w:p>
    <w:p>
      <w:pPr>
        <w:ind w:firstLine="480"/>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4.项目预算金额：人民币2840000元</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color w:val="000000"/>
          <w:szCs w:val="21"/>
          <w:lang w:val="en-US" w:eastAsia="zh-CN"/>
        </w:rPr>
        <w:t xml:space="preserve">5.项目最高限价：人民币2828432.26元，磋商供应商的响应报价不得低于工程成本且不得高于最高投标限价</w:t>
      </w:r>
      <w:r>
        <w:rPr>
          <w:rFonts w:hint="eastAsia" w:ascii="仿宋" w:hAnsi="仿宋" w:eastAsia="仿宋" w:cs="仿宋"/>
          <w:szCs w:val="21"/>
          <w:highlight w:val="none"/>
          <w:lang w:val="en-US" w:eastAsia="zh-CN"/>
        </w:rPr>
        <w:t xml:space="preserve">，已标价工程量清单中任一分部分项工程和单价措施项目响应单价不得超过最高投标限价相对应分部分项工程和单价措施项目单价，否则作无效响应处理。</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6.采购需求：本项目为新建10kV变电所工程，核心目的是解决学校善思楼、善学楼空调系统新增负荷的供电需求（善思楼空调功率454kW</w:t>
      </w:r>
      <w:r>
        <w:rPr>
          <w:rFonts w:hint="eastAsia" w:ascii="仿宋" w:hAnsi="仿宋" w:eastAsia="仿宋" w:cs="仿宋"/>
          <w:szCs w:val="21"/>
          <w:highlight w:val="none"/>
          <w:lang w:val="en-US" w:eastAsia="zh-CN"/>
        </w:rPr>
        <w:t xml:space="preserve">，善学楼空调功率497.41kW，合计总功率951.41kW），保障空调系统及相关教学、办公设施正常供电。本工程为交钥匙工程，范围包含但不限于：变电所土建施工、设备采购与安装、电气线路铺设、试验调试、验收投运、后期维保及相关技术服务等全部工作内容。成交单位须对本项目技术标准、工程质量、施工安全、建设进度、全部费用（含设备购置费、建安施工费、供电综合服务费、质保期服务费等）全权负责，最终向采购人交付功能完善、运行达标、验收合格并具备正常使用条件的完整变电所工程。具体技术要求及工作内容详见本文件第四章采购需求。</w:t>
      </w:r>
      <w:r/>
    </w:p>
    <w:p>
      <w:pPr>
        <w:numPr>
          <w:ilvl w:val="0"/>
          <w:numId w:val="0"/>
        </w:num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 w:val="21"/>
          <w:szCs w:val="21"/>
          <w:lang w:val="en-US" w:eastAsia="zh-CN" w:bidi="ar-SA"/>
        </w:rPr>
        <w:t xml:space="preserve">7.</w:t>
      </w:r>
      <w:r>
        <w:rPr>
          <w:rFonts w:hint="eastAsia" w:ascii="仿宋" w:hAnsi="仿宋" w:eastAsia="仿宋" w:cs="仿宋"/>
          <w:color w:val="000000"/>
          <w:szCs w:val="21"/>
        </w:rPr>
        <w:t xml:space="preserve">合</w:t>
      </w:r>
      <w:r>
        <w:rPr>
          <w:rFonts w:hint="eastAsia" w:ascii="仿宋" w:hAnsi="仿宋" w:eastAsia="仿宋" w:cs="仿宋"/>
          <w:color w:val="000000"/>
          <w:szCs w:val="21"/>
          <w:highlight w:val="none"/>
        </w:rPr>
        <w:t xml:space="preserve">同履行期</w:t>
      </w:r>
      <w:r>
        <w:rPr>
          <w:rFonts w:hint="eastAsia" w:ascii="仿宋" w:hAnsi="仿宋" w:eastAsia="仿宋" w:cs="仿宋"/>
          <w:color w:val="000000"/>
          <w:szCs w:val="21"/>
        </w:rPr>
        <w:t xml:space="preserve">限：</w:t>
      </w:r>
      <w:r>
        <w:rPr>
          <w:rFonts w:hint="eastAsia" w:ascii="仿宋" w:hAnsi="仿宋" w:eastAsia="仿宋" w:cs="仿宋"/>
          <w:szCs w:val="21"/>
          <w:highlight w:val="none"/>
          <w:lang w:val="en-US" w:eastAsia="zh-CN"/>
        </w:rPr>
        <w:t xml:space="preserve">本工程开工日期以采购人发出的开工通知为准，须在30个日历天内完工并通过全部验收，工期必须严格服从采购人的安排，满足项目进度的要求。</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.本项目是否接受联合体：□是  ■否。</w:t>
      </w:r>
      <w:r/>
    </w:p>
    <w:p>
      <w:pPr>
        <w:ind w:firstLine="480"/>
        <w:spacing w:line="360" w:lineRule="auto"/>
        <w:rPr>
          <w:rFonts w:hint="eastAsia" w:ascii="仿宋" w:hAnsi="仿宋" w:eastAsia="仿宋" w:cs="仿宋"/>
          <w:color w:val="000000"/>
          <w:sz w:val="21"/>
          <w:szCs w:val="21"/>
          <w:highlight w:val="none"/>
        </w:rPr>
      </w:pPr>
      <w:r/>
      <w:bookmarkStart w:id="8" w:name="_Toc35393791"/>
      <w:r/>
      <w:bookmarkStart w:id="9" w:name="_Toc28359080"/>
      <w:r/>
      <w:bookmarkStart w:id="10" w:name="_Toc35393622"/>
      <w:r/>
      <w:bookmarkStart w:id="11" w:name="_Toc28359003"/>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.本项目是否接受进口产品响应：□是  ■否。</w:t>
      </w:r>
      <w:r/>
    </w:p>
    <w:p>
      <w:pPr>
        <w:pStyle w:val="967"/>
        <w:jc w:val="left"/>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二、申请人的资格要求（须同时满足）</w:t>
      </w:r>
      <w:bookmarkEnd w:id="8"/>
      <w:r/>
      <w:bookmarkEnd w:id="9"/>
      <w:r/>
      <w:bookmarkEnd w:id="10"/>
      <w:r/>
      <w:bookmarkEnd w:id="11"/>
      <w:r/>
      <w:r/>
    </w:p>
    <w:p>
      <w:pPr>
        <w:ind w:firstLine="480"/>
        <w:spacing w:line="360" w:lineRule="auto"/>
        <w:rPr>
          <w:rFonts w:hint="eastAsia" w:ascii="仿宋" w:hAnsi="仿宋" w:eastAsia="仿宋" w:cs="仿宋"/>
          <w:color w:val="000000"/>
          <w:sz w:val="21"/>
          <w:szCs w:val="21"/>
          <w:highlight w:val="none"/>
        </w:rPr>
      </w:pPr>
      <w:r/>
      <w:bookmarkStart w:id="12" w:name="_Toc28359081"/>
      <w:r/>
      <w:bookmarkStart w:id="13" w:name="_Toc28359004"/>
      <w:r>
        <w:rPr>
          <w:rFonts w:hint="eastAsia" w:ascii="仿宋" w:hAnsi="仿宋" w:eastAsia="仿宋" w:cs="仿宋"/>
          <w:color w:val="000000"/>
          <w:sz w:val="21"/>
          <w:szCs w:val="21"/>
          <w:highlight w:val="none"/>
        </w:rPr>
        <w:t xml:space="preserve">1.满足《中华人民共和国政府采购法》第二十二条规定以及下列情形：</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2.落实政府采购政策需满足的资格要求：</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 中小企业政策</w:t>
      </w:r>
      <w:r/>
    </w:p>
    <w:p>
      <w:pPr>
        <w:pStyle w:val="968"/>
        <w:spacing w:line="360" w:lineRule="auto"/>
        <w:rPr>
          <w:rFonts w:hint="eastAsia" w:ascii="仿宋" w:hAnsi="仿宋" w:eastAsia="仿宋"/>
          <w:b/>
          <w:bCs/>
          <w:color w:val="000000"/>
          <w:sz w:val="21"/>
          <w:szCs w:val="21"/>
          <w:highlight w:val="none"/>
        </w:rPr>
      </w:pPr>
      <w:r/>
      <w:bookmarkStart w:id="14" w:name="_Hlk140808885"/>
      <w:r>
        <w:rPr>
          <w:rFonts w:hint="eastAsia" w:ascii="仿宋" w:hAnsi="仿宋" w:eastAsia="仿宋"/>
          <w:b/>
          <w:bCs/>
          <w:color w:val="000000"/>
          <w:sz w:val="21"/>
          <w:szCs w:val="21"/>
          <w:highlight w:val="none"/>
        </w:rPr>
        <w:t xml:space="preserve">本项目</w:t>
      </w:r>
      <w:bookmarkEnd w:id="14"/>
      <w:r>
        <w:rPr>
          <w:rFonts w:hint="eastAsia" w:ascii="仿宋" w:hAnsi="仿宋" w:eastAsia="仿宋"/>
          <w:b/>
          <w:bCs/>
          <w:color w:val="000000"/>
          <w:sz w:val="21"/>
          <w:szCs w:val="21"/>
          <w:highlight w:val="none"/>
        </w:rPr>
        <w:t xml:space="preserve">专门面向中小企业采购。</w:t>
      </w:r>
      <w:r>
        <w:rPr>
          <w:rFonts w:hint="eastAsia" w:ascii="仿宋" w:hAnsi="仿宋" w:eastAsia="仿宋"/>
          <w:b w:val="0"/>
          <w:bCs w:val="0"/>
          <w:color w:val="000000"/>
          <w:sz w:val="21"/>
          <w:szCs w:val="21"/>
          <w:highlight w:val="none"/>
        </w:rPr>
        <w:t xml:space="preserve">即</w:t>
      </w:r>
      <w:r>
        <w:rPr>
          <w:rFonts w:hint="eastAsia" w:ascii="仿宋" w:hAnsi="仿宋" w:eastAsia="仿宋"/>
          <w:b w:val="0"/>
          <w:bCs w:val="0"/>
          <w:color w:val="000000"/>
          <w:sz w:val="21"/>
          <w:szCs w:val="21"/>
          <w:highlight w:val="none"/>
          <w:lang w:val="en-US" w:eastAsia="zh-CN"/>
        </w:rPr>
        <w:t xml:space="preserve">：工程由中小企业承建，即工程施工单位为中小企业。</w:t>
      </w:r>
      <w:r>
        <w:rPr>
          <w:rFonts w:hint="eastAsia" w:ascii="仿宋" w:hAnsi="仿宋" w:eastAsia="仿宋"/>
          <w:b w:val="0"/>
          <w:bCs w:val="0"/>
          <w:color w:val="000000"/>
          <w:sz w:val="21"/>
          <w:szCs w:val="21"/>
          <w:highlight w:val="none"/>
        </w:rPr>
        <w:t xml:space="preserve">说明：中小企业包含中型、小型、微型企业，残疾人福利性单位和监狱企业视同小微企业。</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 其它落实政府采购政策的资格要求（如有）：/</w:t>
      </w:r>
      <w:r/>
    </w:p>
    <w:p>
      <w:pPr>
        <w:ind w:firstLine="480"/>
        <w:spacing w:line="360" w:lineRule="auto"/>
        <w:rPr>
          <w:rFonts w:hint="eastAsia" w:ascii="仿宋" w:hAnsi="仿宋" w:eastAsia="仿宋" w:cs="仿宋"/>
          <w:i/>
          <w:iCs/>
          <w:color w:val="0000ff"/>
          <w:sz w:val="21"/>
          <w:szCs w:val="21"/>
          <w:highlight w:val="none"/>
          <w:u w:val="single"/>
          <w:lang w:val="en-US" w:eastAsia="zh-CN"/>
        </w:rPr>
      </w:pPr>
      <w:r>
        <w:rPr>
          <w:rFonts w:hint="eastAsia" w:ascii="仿宋" w:hAnsi="仿宋" w:eastAsia="仿宋" w:cs="仿宋"/>
          <w:sz w:val="21"/>
          <w:szCs w:val="21"/>
          <w:highlight w:val="none"/>
        </w:rPr>
        <w:t xml:space="preserve">3.本项目的特定资格要求：</w:t>
      </w:r>
      <w:r>
        <w:rPr>
          <w:rFonts w:hint="eastAsia" w:ascii="仿宋" w:hAnsi="仿宋" w:eastAsia="仿宋" w:cs="仿宋"/>
          <w:sz w:val="21"/>
          <w:szCs w:val="21"/>
          <w:highlight w:val="none"/>
          <w:lang w:val="en-US" w:eastAsia="zh-CN"/>
        </w:rPr>
        <w:t xml:space="preserve">无</w:t>
      </w:r>
      <w:r/>
    </w:p>
    <w:p>
      <w:pPr>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3.2本项目是否属于政府购买服务：</w:t>
      </w:r>
      <w:r>
        <w:rPr>
          <w:rFonts w:hint="eastAsia" w:ascii="仿宋" w:hAnsi="仿宋" w:eastAsia="仿宋" w:cs="仿宋"/>
          <w:sz w:val="21"/>
          <w:szCs w:val="21"/>
          <w:highlight w:val="none"/>
          <w:lang w:val="en-US" w:eastAsia="zh-CN"/>
        </w:rPr>
        <w:t xml:space="preserve">否</w:t>
      </w:r>
      <w:r>
        <w:rPr>
          <w:rFonts w:hint="eastAsia" w:ascii="仿宋" w:hAnsi="仿宋" w:eastAsia="仿宋" w:cs="仿宋"/>
          <w:sz w:val="21"/>
          <w:szCs w:val="21"/>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3.3其他特定资格要求：</w:t>
      </w:r>
      <w:bookmarkEnd w:id="12"/>
      <w:r/>
      <w:bookmarkEnd w:id="13"/>
      <w:r/>
      <w:bookmarkStart w:id="15" w:name="_Toc35393623"/>
      <w:r/>
      <w:bookmarkStart w:id="16" w:name="_Toc35393792"/>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 xml:space="preserve">（1）磋商供应商须具备电力工程施工总承包三级及以上资质或输变电工程专业承包三级及以上资质，并具有有效的安全生产许可证。</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 xml:space="preserve">（2）磋商供应商须同时具备国家能源主管部门核发的承装类、承修类、承试类三级及以上电力设施许可证。</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 xml:space="preserve">注：电力设施许可证执行《承装（修、试）电力设施许可证管理办法》（国家发展改革委令 2025 年第 30 号）。</w:t>
      </w:r>
      <w:r/>
    </w:p>
    <w:p>
      <w:pPr>
        <w:ind w:firstLine="422"/>
        <w:spacing w:line="360" w:lineRule="auto"/>
        <w:tabs>
          <w:tab w:val="left" w:pos="900" w:leader="none"/>
          <w:tab w:val="left" w:pos="1134" w:leader="none"/>
          <w:tab w:val="left" w:pos="1589" w:leader="none"/>
          <w:tab w:val="left" w:pos="5521" w:leader="none"/>
        </w:tabs>
        <w:rPr>
          <w:rFonts w:hint="eastAsia"/>
          <w:b/>
          <w:bCs/>
          <w:highlight w:val="none"/>
          <w:lang w:val="en-US" w:eastAsia="zh-CN"/>
        </w:rPr>
      </w:pPr>
      <w:r>
        <w:rPr>
          <w:rFonts w:hint="eastAsia" w:ascii="仿宋" w:hAnsi="仿宋" w:eastAsia="仿宋" w:cs="仿宋"/>
          <w:b/>
          <w:bCs/>
          <w:szCs w:val="21"/>
          <w:highlight w:val="none"/>
          <w:lang w:val="en-US" w:eastAsia="zh-CN"/>
        </w:rPr>
        <w:t xml:space="preserve">（3）拟派项目负责人须具备机电工程专业二级及以上注册建造师，并持有有效的安全生产考核合格证书（B 类）。</w:t>
      </w:r>
      <w:r/>
    </w:p>
    <w:p>
      <w:pPr>
        <w:pStyle w:val="967"/>
        <w:jc w:val="left"/>
        <w:spacing w:before="0" w:line="360" w:lineRule="auto"/>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三、获取采购文件</w:t>
      </w:r>
      <w:bookmarkEnd w:id="15"/>
      <w:r/>
      <w:bookmarkEnd w:id="16"/>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1.时间：</w:t>
      </w:r>
      <w:r>
        <w:rPr>
          <w:rFonts w:hint="eastAsia" w:ascii="仿宋" w:hAnsi="仿宋" w:eastAsia="仿宋" w:cs="仿宋"/>
          <w:b/>
          <w:bCs/>
          <w:color w:val="000000"/>
          <w:sz w:val="21"/>
          <w:szCs w:val="21"/>
          <w:highlight w:val="none"/>
          <w:lang w:bidi="ar"/>
        </w:rPr>
        <w:t xml:space="preserve">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bidi="ar"/>
        </w:rPr>
        <w:t xml:space="preserve">年</w:t>
      </w:r>
      <w:r>
        <w:rPr>
          <w:rFonts w:hint="eastAsia" w:ascii="仿宋" w:hAnsi="仿宋" w:eastAsia="仿宋" w:cs="仿宋"/>
          <w:b/>
          <w:bCs/>
          <w:color w:val="000000"/>
          <w:sz w:val="21"/>
          <w:szCs w:val="21"/>
          <w:highlight w:val="none"/>
          <w:lang w:val="en-US" w:eastAsia="zh-CN" w:bidi="ar"/>
        </w:rPr>
        <w:t xml:space="preserve">05</w:t>
      </w:r>
      <w:r>
        <w:rPr>
          <w:rFonts w:hint="eastAsia" w:ascii="仿宋" w:hAnsi="仿宋" w:eastAsia="仿宋" w:cs="仿宋"/>
          <w:b/>
          <w:bCs/>
          <w:color w:val="000000"/>
          <w:sz w:val="21"/>
          <w:szCs w:val="21"/>
          <w:highlight w:val="none"/>
          <w:lang w:bidi="ar"/>
        </w:rPr>
        <w:t xml:space="preserve">月</w:t>
      </w:r>
      <w:r>
        <w:rPr>
          <w:rFonts w:hint="eastAsia" w:ascii="仿宋" w:hAnsi="仿宋" w:eastAsia="仿宋" w:cs="仿宋"/>
          <w:b/>
          <w:bCs/>
          <w:color w:val="000000"/>
          <w:sz w:val="21"/>
          <w:szCs w:val="21"/>
          <w:highlight w:val="none"/>
          <w:lang w:val="en-US" w:eastAsia="zh-CN" w:bidi="ar"/>
        </w:rPr>
        <w:t xml:space="preserve">26</w:t>
      </w:r>
      <w:r>
        <w:rPr>
          <w:rFonts w:hint="eastAsia" w:ascii="仿宋" w:hAnsi="仿宋" w:eastAsia="仿宋" w:cs="仿宋"/>
          <w:b/>
          <w:bCs/>
          <w:color w:val="000000"/>
          <w:sz w:val="21"/>
          <w:szCs w:val="21"/>
          <w:highlight w:val="none"/>
          <w:lang w:bidi="ar"/>
        </w:rPr>
        <w:t xml:space="preserve">日至202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bidi="ar"/>
        </w:rPr>
        <w:t xml:space="preserve">年</w:t>
      </w:r>
      <w:r>
        <w:rPr>
          <w:rFonts w:hint="eastAsia" w:ascii="仿宋" w:hAnsi="仿宋" w:eastAsia="仿宋" w:cs="仿宋"/>
          <w:b/>
          <w:bCs/>
          <w:color w:val="000000"/>
          <w:sz w:val="21"/>
          <w:szCs w:val="21"/>
          <w:highlight w:val="none"/>
          <w:lang w:val="en-US" w:eastAsia="zh-CN" w:bidi="ar"/>
        </w:rPr>
        <w:t xml:space="preserve">06</w:t>
      </w:r>
      <w:r>
        <w:rPr>
          <w:rFonts w:hint="eastAsia" w:ascii="仿宋" w:hAnsi="仿宋" w:eastAsia="仿宋" w:cs="仿宋"/>
          <w:b/>
          <w:bCs/>
          <w:color w:val="000000"/>
          <w:sz w:val="21"/>
          <w:szCs w:val="21"/>
          <w:highlight w:val="none"/>
          <w:lang w:bidi="ar"/>
        </w:rPr>
        <w:t xml:space="preserve">月</w:t>
      </w:r>
      <w:r>
        <w:rPr>
          <w:rFonts w:hint="eastAsia" w:ascii="仿宋" w:hAnsi="仿宋" w:eastAsia="仿宋" w:cs="仿宋"/>
          <w:b/>
          <w:bCs/>
          <w:color w:val="000000"/>
          <w:sz w:val="21"/>
          <w:szCs w:val="21"/>
          <w:highlight w:val="none"/>
          <w:lang w:val="en-US" w:eastAsia="zh-CN" w:bidi="ar"/>
        </w:rPr>
        <w:t xml:space="preserve">01</w:t>
      </w:r>
      <w:r>
        <w:rPr>
          <w:rFonts w:hint="eastAsia" w:ascii="仿宋" w:hAnsi="仿宋" w:eastAsia="仿宋" w:cs="仿宋"/>
          <w:b/>
          <w:bCs/>
          <w:color w:val="000000"/>
          <w:sz w:val="21"/>
          <w:szCs w:val="21"/>
          <w:highlight w:val="none"/>
          <w:lang w:bidi="ar"/>
        </w:rPr>
        <w:t xml:space="preserve">日</w:t>
      </w:r>
      <w:r>
        <w:rPr>
          <w:rFonts w:hint="eastAsia" w:ascii="仿宋" w:hAnsi="仿宋" w:eastAsia="仿宋" w:cs="仿宋"/>
          <w:color w:val="000000"/>
          <w:sz w:val="21"/>
          <w:szCs w:val="21"/>
          <w:highlight w:val="none"/>
          <w:lang w:bidi="ar"/>
        </w:rPr>
        <w:t xml:space="preserve">。</w:t>
      </w:r>
      <w:r/>
    </w:p>
    <w:p>
      <w:pPr>
        <w:ind w:firstLine="48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bidi="ar"/>
        </w:rPr>
        <w:t xml:space="preserve">2.地点：政府采购一体化平台</w:t>
      </w:r>
      <w:r>
        <w:rPr>
          <w:rFonts w:hint="eastAsia" w:ascii="仿宋" w:hAnsi="仿宋" w:eastAsia="仿宋" w:cs="仿宋"/>
          <w:color w:val="000000"/>
          <w:sz w:val="21"/>
          <w:szCs w:val="21"/>
          <w:highlight w:val="none"/>
          <w:lang w:eastAsia="zh-CN" w:bidi="ar"/>
        </w:rPr>
        <w:t xml:space="preserve">“苏采云”</w:t>
      </w:r>
      <w:r/>
    </w:p>
    <w:p>
      <w:pPr>
        <w:ind w:firstLine="480"/>
        <w:jc w:val="left"/>
        <w:spacing w:line="360" w:lineRule="auto"/>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3.方式：政府采购一体化平台</w:t>
      </w:r>
      <w:r>
        <w:rPr>
          <w:rFonts w:hint="eastAsia" w:ascii="仿宋" w:hAnsi="仿宋" w:eastAsia="仿宋" w:cs="仿宋"/>
          <w:color w:val="000000"/>
          <w:sz w:val="21"/>
          <w:szCs w:val="21"/>
          <w:highlight w:val="none"/>
          <w:lang w:eastAsia="zh-CN" w:bidi="ar"/>
        </w:rPr>
        <w:t xml:space="preserve">“苏采云”</w:t>
      </w:r>
      <w:r>
        <w:rPr>
          <w:rFonts w:hint="eastAsia" w:ascii="仿宋" w:hAnsi="仿宋" w:eastAsia="仿宋" w:cs="仿宋"/>
          <w:color w:val="000000"/>
          <w:sz w:val="21"/>
          <w:szCs w:val="21"/>
          <w:highlight w:val="none"/>
          <w:lang w:bidi="ar"/>
        </w:rPr>
        <w:t xml:space="preserve">获取电子版磋商文件。</w:t>
      </w:r>
      <w:r/>
    </w:p>
    <w:p>
      <w:pPr>
        <w:ind w:firstLine="48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4.售价：0元。</w:t>
      </w:r>
      <w:r/>
    </w:p>
    <w:p>
      <w:pPr>
        <w:pStyle w:val="967"/>
        <w:jc w:val="left"/>
        <w:spacing w:before="0" w:line="360" w:lineRule="auto"/>
        <w:widowControl/>
        <w:rPr>
          <w:rFonts w:hint="eastAsia" w:ascii="仿宋" w:hAnsi="仿宋" w:eastAsia="仿宋" w:cs="仿宋"/>
          <w:color w:val="000000"/>
          <w:sz w:val="21"/>
          <w:szCs w:val="21"/>
          <w:highlight w:val="none"/>
        </w:rPr>
      </w:pPr>
      <w:r/>
      <w:bookmarkStart w:id="17" w:name="_Toc28359082"/>
      <w:r/>
      <w:bookmarkStart w:id="18" w:name="_Toc35393624"/>
      <w:r/>
      <w:bookmarkStart w:id="19" w:name="_Toc35393793"/>
      <w:r/>
      <w:bookmarkStart w:id="20" w:name="_Toc28359005"/>
      <w:r>
        <w:rPr>
          <w:rFonts w:hint="eastAsia" w:ascii="仿宋" w:hAnsi="仿宋" w:eastAsia="仿宋" w:cs="仿宋"/>
          <w:color w:val="000000"/>
          <w:sz w:val="21"/>
          <w:szCs w:val="21"/>
          <w:highlight w:val="none"/>
        </w:rPr>
        <w:t xml:space="preserve">四、</w:t>
      </w:r>
      <w:bookmarkEnd w:id="17"/>
      <w:r/>
      <w:bookmarkEnd w:id="18"/>
      <w:r/>
      <w:bookmarkEnd w:id="19"/>
      <w:r/>
      <w:bookmarkEnd w:id="20"/>
      <w:r>
        <w:rPr>
          <w:rFonts w:hint="eastAsia" w:ascii="仿宋" w:hAnsi="仿宋" w:eastAsia="仿宋" w:cs="仿宋"/>
          <w:color w:val="000000"/>
          <w:sz w:val="21"/>
          <w:szCs w:val="21"/>
          <w:highlight w:val="none"/>
        </w:rPr>
        <w:t xml:space="preserve">响应文件提交</w:t>
      </w:r>
      <w:r/>
    </w:p>
    <w:p>
      <w:pPr>
        <w:ind w:firstLine="480"/>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color w:val="000000"/>
          <w:sz w:val="21"/>
          <w:szCs w:val="21"/>
          <w:highlight w:val="none"/>
          <w:lang w:bidi="ar"/>
        </w:rPr>
        <w:t xml:space="preserve">截止时间：</w:t>
      </w:r>
      <w:r>
        <w:rPr>
          <w:rFonts w:hint="eastAsia" w:ascii="仿宋" w:hAnsi="仿宋" w:eastAsia="仿宋" w:cs="仿宋"/>
          <w:b/>
          <w:bCs/>
          <w:color w:val="000000"/>
          <w:sz w:val="21"/>
          <w:szCs w:val="21"/>
          <w:highlight w:val="none"/>
          <w:lang w:eastAsia="zh-CN" w:bidi="ar"/>
        </w:rPr>
        <w:t xml:space="preserve">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eastAsia="zh-CN" w:bidi="ar"/>
        </w:rPr>
        <w:t xml:space="preserve">年</w:t>
      </w:r>
      <w:r>
        <w:rPr>
          <w:rFonts w:hint="eastAsia" w:ascii="仿宋" w:hAnsi="仿宋" w:eastAsia="仿宋" w:cs="仿宋"/>
          <w:b/>
          <w:bCs/>
          <w:color w:val="000000"/>
          <w:sz w:val="21"/>
          <w:szCs w:val="21"/>
          <w:highlight w:val="none"/>
          <w:lang w:val="en-US" w:eastAsia="zh-CN" w:bidi="ar"/>
        </w:rPr>
        <w:t xml:space="preserve">06</w:t>
      </w:r>
      <w:r>
        <w:rPr>
          <w:rFonts w:hint="eastAsia" w:ascii="仿宋" w:hAnsi="仿宋" w:eastAsia="仿宋" w:cs="仿宋"/>
          <w:b/>
          <w:bCs/>
          <w:color w:val="000000"/>
          <w:sz w:val="21"/>
          <w:szCs w:val="21"/>
          <w:highlight w:val="none"/>
          <w:lang w:eastAsia="zh-CN" w:bidi="ar"/>
        </w:rPr>
        <w:t xml:space="preserve">月</w:t>
      </w:r>
      <w:r>
        <w:rPr>
          <w:rFonts w:hint="eastAsia" w:ascii="仿宋" w:hAnsi="仿宋" w:eastAsia="仿宋" w:cs="仿宋"/>
          <w:b/>
          <w:bCs/>
          <w:color w:val="000000"/>
          <w:sz w:val="21"/>
          <w:szCs w:val="21"/>
          <w:highlight w:val="none"/>
          <w:lang w:val="en-US" w:eastAsia="zh-CN" w:bidi="ar"/>
        </w:rPr>
        <w:t xml:space="preserve">10</w:t>
      </w:r>
      <w:r>
        <w:rPr>
          <w:rFonts w:hint="eastAsia" w:ascii="仿宋" w:hAnsi="仿宋" w:eastAsia="仿宋" w:cs="仿宋"/>
          <w:b/>
          <w:bCs/>
          <w:color w:val="000000"/>
          <w:sz w:val="21"/>
          <w:szCs w:val="21"/>
          <w:highlight w:val="none"/>
          <w:lang w:eastAsia="zh-CN" w:bidi="ar"/>
        </w:rPr>
        <w:t xml:space="preserve">日</w:t>
      </w:r>
      <w:r>
        <w:rPr>
          <w:rFonts w:hint="eastAsia" w:ascii="仿宋" w:hAnsi="仿宋" w:eastAsia="仿宋" w:cs="仿宋"/>
          <w:b/>
          <w:bCs/>
          <w:color w:val="000000"/>
          <w:sz w:val="21"/>
          <w:szCs w:val="21"/>
          <w:highlight w:val="none"/>
          <w:lang w:bidi="ar"/>
        </w:rPr>
        <w:t xml:space="preserve">1</w:t>
      </w:r>
      <w:r>
        <w:rPr>
          <w:rFonts w:hint="eastAsia" w:ascii="仿宋" w:hAnsi="仿宋" w:eastAsia="仿宋" w:cs="仿宋"/>
          <w:b/>
          <w:bCs/>
          <w:color w:val="000000"/>
          <w:sz w:val="21"/>
          <w:szCs w:val="21"/>
          <w:highlight w:val="none"/>
          <w:lang w:val="en-US" w:eastAsia="zh-CN" w:bidi="ar"/>
        </w:rPr>
        <w:t xml:space="preserve">4时00分</w:t>
      </w:r>
      <w:r>
        <w:rPr>
          <w:rFonts w:hint="eastAsia" w:ascii="仿宋" w:hAnsi="仿宋" w:eastAsia="仿宋" w:cs="仿宋"/>
          <w:color w:val="000000"/>
          <w:sz w:val="21"/>
          <w:szCs w:val="21"/>
          <w:highlight w:val="none"/>
          <w:lang w:bidi="ar"/>
        </w:rPr>
        <w:t xml:space="preserve">（北京时间）</w:t>
      </w:r>
      <w:r>
        <w:rPr>
          <w:rFonts w:hint="eastAsia" w:ascii="仿宋" w:hAnsi="仿宋" w:eastAsia="仿宋" w:cs="仿宋"/>
          <w:iCs/>
          <w:color w:val="000000"/>
          <w:sz w:val="21"/>
          <w:szCs w:val="21"/>
          <w:highlight w:val="none"/>
          <w:lang w:bidi="ar"/>
        </w:rPr>
        <w:t xml:space="preserve">。</w:t>
      </w:r>
      <w:r/>
    </w:p>
    <w:p>
      <w:pPr>
        <w:ind w:firstLine="480"/>
        <w:spacing w:line="360" w:lineRule="auto"/>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bidi="ar"/>
        </w:rPr>
        <w:t xml:space="preserve">地点：</w:t>
      </w:r>
      <w:r>
        <w:rPr>
          <w:rFonts w:hint="eastAsia" w:ascii="仿宋" w:hAnsi="仿宋" w:eastAsia="仿宋" w:cs="仿宋"/>
          <w:color w:val="000000"/>
          <w:sz w:val="21"/>
          <w:szCs w:val="21"/>
          <w:highlight w:val="none"/>
        </w:rPr>
        <w:t xml:space="preserve">政府采购一体化平台</w:t>
      </w:r>
      <w:r>
        <w:rPr>
          <w:rFonts w:hint="eastAsia" w:ascii="仿宋" w:hAnsi="仿宋" w:eastAsia="仿宋" w:cs="仿宋"/>
          <w:color w:val="000000"/>
          <w:sz w:val="21"/>
          <w:szCs w:val="21"/>
          <w:highlight w:val="none"/>
          <w:lang w:eastAsia="zh-CN"/>
        </w:rPr>
        <w:t xml:space="preserve">“苏采云”</w:t>
      </w:r>
      <w:r>
        <w:rPr>
          <w:rFonts w:hint="eastAsia" w:ascii="仿宋" w:hAnsi="仿宋" w:eastAsia="仿宋" w:cs="仿宋"/>
          <w:color w:val="000000"/>
          <w:sz w:val="21"/>
          <w:szCs w:val="21"/>
          <w:highlight w:val="none"/>
        </w:rPr>
        <w:t xml:space="preserve">供应商端，通过系统在线提交电子响应文件</w:t>
      </w:r>
      <w:r>
        <w:rPr>
          <w:rFonts w:hint="eastAsia" w:ascii="仿宋" w:hAnsi="仿宋" w:eastAsia="仿宋" w:cs="仿宋"/>
          <w:color w:val="000000"/>
          <w:sz w:val="21"/>
          <w:szCs w:val="21"/>
          <w:highlight w:val="none"/>
          <w:lang w:val="zh-TW" w:bidi="ar"/>
        </w:rPr>
        <w:t xml:space="preserve">。</w:t>
      </w:r>
      <w:r/>
    </w:p>
    <w:p>
      <w:pPr>
        <w:pStyle w:val="967"/>
        <w:jc w:val="left"/>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五、开启</w:t>
      </w:r>
      <w:r/>
    </w:p>
    <w:p>
      <w:pPr>
        <w:ind w:firstLine="480"/>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color w:val="000000"/>
          <w:sz w:val="21"/>
          <w:szCs w:val="21"/>
          <w:highlight w:val="none"/>
          <w:lang w:bidi="ar"/>
        </w:rPr>
        <w:t xml:space="preserve">时间：</w:t>
      </w:r>
      <w:r>
        <w:rPr>
          <w:rFonts w:hint="eastAsia" w:ascii="仿宋" w:hAnsi="仿宋" w:eastAsia="仿宋" w:cs="仿宋"/>
          <w:b/>
          <w:bCs/>
          <w:color w:val="000000"/>
          <w:sz w:val="21"/>
          <w:szCs w:val="21"/>
          <w:highlight w:val="none"/>
          <w:lang w:eastAsia="zh-CN" w:bidi="ar"/>
        </w:rPr>
        <w:t xml:space="preserve">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eastAsia="zh-CN" w:bidi="ar"/>
        </w:rPr>
        <w:t xml:space="preserve">年</w:t>
      </w:r>
      <w:r>
        <w:rPr>
          <w:rFonts w:hint="eastAsia" w:ascii="仿宋" w:hAnsi="仿宋" w:eastAsia="仿宋" w:cs="仿宋"/>
          <w:b/>
          <w:bCs/>
          <w:color w:val="000000"/>
          <w:sz w:val="21"/>
          <w:szCs w:val="21"/>
          <w:highlight w:val="none"/>
          <w:lang w:val="en-US" w:eastAsia="zh-CN" w:bidi="ar"/>
        </w:rPr>
        <w:t xml:space="preserve">06</w:t>
      </w:r>
      <w:r>
        <w:rPr>
          <w:rFonts w:hint="eastAsia" w:ascii="仿宋" w:hAnsi="仿宋" w:eastAsia="仿宋" w:cs="仿宋"/>
          <w:b/>
          <w:bCs/>
          <w:color w:val="000000"/>
          <w:sz w:val="21"/>
          <w:szCs w:val="21"/>
          <w:highlight w:val="none"/>
          <w:lang w:eastAsia="zh-CN" w:bidi="ar"/>
        </w:rPr>
        <w:t xml:space="preserve">月</w:t>
      </w:r>
      <w:r>
        <w:rPr>
          <w:rFonts w:hint="eastAsia" w:ascii="仿宋" w:hAnsi="仿宋" w:eastAsia="仿宋" w:cs="仿宋"/>
          <w:b/>
          <w:bCs/>
          <w:color w:val="000000"/>
          <w:sz w:val="21"/>
          <w:szCs w:val="21"/>
          <w:highlight w:val="none"/>
          <w:lang w:val="en-US" w:eastAsia="zh-CN" w:bidi="ar"/>
        </w:rPr>
        <w:t xml:space="preserve">10</w:t>
      </w:r>
      <w:r>
        <w:rPr>
          <w:rFonts w:hint="eastAsia" w:ascii="仿宋" w:hAnsi="仿宋" w:eastAsia="仿宋" w:cs="仿宋"/>
          <w:b/>
          <w:bCs/>
          <w:color w:val="000000"/>
          <w:sz w:val="21"/>
          <w:szCs w:val="21"/>
          <w:highlight w:val="none"/>
          <w:lang w:eastAsia="zh-CN" w:bidi="ar"/>
        </w:rPr>
        <w:t xml:space="preserve">日</w:t>
      </w:r>
      <w:r>
        <w:rPr>
          <w:rFonts w:hint="eastAsia" w:ascii="仿宋" w:hAnsi="仿宋" w:eastAsia="仿宋" w:cs="仿宋"/>
          <w:b/>
          <w:bCs/>
          <w:color w:val="000000"/>
          <w:sz w:val="21"/>
          <w:szCs w:val="21"/>
          <w:highlight w:val="none"/>
          <w:lang w:bidi="ar"/>
        </w:rPr>
        <w:t xml:space="preserve">1</w:t>
      </w:r>
      <w:r>
        <w:rPr>
          <w:rFonts w:hint="eastAsia" w:ascii="仿宋" w:hAnsi="仿宋" w:eastAsia="仿宋" w:cs="仿宋"/>
          <w:b/>
          <w:bCs/>
          <w:color w:val="000000"/>
          <w:sz w:val="21"/>
          <w:szCs w:val="21"/>
          <w:highlight w:val="none"/>
          <w:lang w:val="en-US" w:eastAsia="zh-CN" w:bidi="ar"/>
        </w:rPr>
        <w:t xml:space="preserve">4时00分</w:t>
      </w:r>
      <w:r>
        <w:rPr>
          <w:rFonts w:hint="eastAsia" w:ascii="仿宋" w:hAnsi="仿宋" w:eastAsia="仿宋" w:cs="仿宋"/>
          <w:color w:val="000000"/>
          <w:sz w:val="21"/>
          <w:szCs w:val="21"/>
          <w:highlight w:val="none"/>
          <w:lang w:bidi="ar"/>
        </w:rPr>
        <w:t xml:space="preserve">（北京时间）</w:t>
      </w:r>
      <w:r>
        <w:rPr>
          <w:rFonts w:hint="eastAsia" w:ascii="仿宋" w:hAnsi="仿宋" w:eastAsia="仿宋" w:cs="仿宋"/>
          <w:iCs/>
          <w:color w:val="000000"/>
          <w:sz w:val="21"/>
          <w:szCs w:val="21"/>
          <w:highlight w:val="none"/>
          <w:lang w:bidi="ar"/>
        </w:rPr>
        <w:t xml:space="preserve">。</w:t>
      </w:r>
      <w:r/>
    </w:p>
    <w:p>
      <w:pPr>
        <w:ind w:firstLine="480"/>
        <w:spacing w:line="360" w:lineRule="auto"/>
        <w:rPr>
          <w:rFonts w:hint="eastAsia" w:ascii="仿宋" w:hAnsi="仿宋" w:eastAsia="仿宋" w:cs="仿宋"/>
          <w:color w:val="000000"/>
          <w:sz w:val="21"/>
          <w:szCs w:val="21"/>
          <w:highlight w:val="none"/>
          <w:lang w:val="zh-TW"/>
        </w:rPr>
      </w:pPr>
      <w:r>
        <w:rPr>
          <w:rFonts w:hint="eastAsia" w:ascii="仿宋" w:hAnsi="仿宋" w:eastAsia="仿宋" w:cs="仿宋"/>
          <w:color w:val="000000"/>
          <w:sz w:val="21"/>
          <w:szCs w:val="21"/>
          <w:highlight w:val="none"/>
          <w:lang w:bidi="ar"/>
        </w:rPr>
        <w:t xml:space="preserve">地点：</w:t>
      </w:r>
      <w:r>
        <w:rPr>
          <w:rFonts w:hint="eastAsia" w:ascii="仿宋" w:hAnsi="仿宋" w:eastAsia="仿宋" w:cs="仿宋"/>
          <w:color w:val="000000"/>
          <w:sz w:val="21"/>
          <w:szCs w:val="21"/>
          <w:highlight w:val="none"/>
        </w:rPr>
        <w:t xml:space="preserve">“苏采云”政府采购交易系统网上开标大厅。</w:t>
      </w:r>
      <w:r/>
    </w:p>
    <w:p>
      <w:pPr>
        <w:pStyle w:val="967"/>
        <w:jc w:val="left"/>
        <w:spacing w:before="0" w:line="360" w:lineRule="auto"/>
        <w:rPr>
          <w:rFonts w:hint="eastAsia" w:ascii="仿宋" w:hAnsi="仿宋" w:eastAsia="仿宋" w:cs="仿宋"/>
          <w:color w:val="000000"/>
          <w:sz w:val="21"/>
          <w:szCs w:val="21"/>
          <w:highlight w:val="none"/>
        </w:rPr>
      </w:pPr>
      <w:r/>
      <w:bookmarkStart w:id="21" w:name="_Toc35393625"/>
      <w:r/>
      <w:bookmarkStart w:id="22" w:name="_Toc28359007"/>
      <w:r/>
      <w:bookmarkStart w:id="23" w:name="_Toc35393794"/>
      <w:r/>
      <w:bookmarkStart w:id="24" w:name="_Toc28359084"/>
      <w:r>
        <w:rPr>
          <w:rFonts w:hint="eastAsia" w:ascii="仿宋" w:hAnsi="仿宋" w:eastAsia="仿宋" w:cs="仿宋"/>
          <w:color w:val="000000"/>
          <w:sz w:val="21"/>
          <w:szCs w:val="21"/>
          <w:highlight w:val="none"/>
        </w:rPr>
        <w:t xml:space="preserve">六、公告期限</w:t>
      </w:r>
      <w:bookmarkEnd w:id="21"/>
      <w:r/>
      <w:bookmarkEnd w:id="22"/>
      <w:r/>
      <w:bookmarkEnd w:id="23"/>
      <w:r/>
      <w:bookmarkEnd w:id="24"/>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自本公告发布之日起</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个工作日。</w:t>
      </w:r>
      <w:r/>
    </w:p>
    <w:p>
      <w:pPr>
        <w:pStyle w:val="967"/>
        <w:jc w:val="left"/>
        <w:spacing w:before="0" w:line="360" w:lineRule="auto"/>
        <w:rPr>
          <w:rFonts w:hint="eastAsia" w:ascii="仿宋" w:hAnsi="仿宋" w:eastAsia="仿宋" w:cs="仿宋"/>
          <w:color w:val="000000"/>
          <w:sz w:val="21"/>
          <w:szCs w:val="21"/>
          <w:highlight w:val="none"/>
        </w:rPr>
      </w:pPr>
      <w:r/>
      <w:bookmarkStart w:id="25" w:name="_Toc35393795"/>
      <w:r/>
      <w:bookmarkStart w:id="26" w:name="_Toc35393626"/>
      <w:r>
        <w:rPr>
          <w:rFonts w:hint="eastAsia" w:ascii="仿宋" w:hAnsi="仿宋" w:eastAsia="仿宋" w:cs="仿宋"/>
          <w:color w:val="000000"/>
          <w:sz w:val="21"/>
          <w:szCs w:val="21"/>
          <w:highlight w:val="none"/>
        </w:rPr>
        <w:t xml:space="preserve">七、其他补充事宜</w:t>
      </w:r>
      <w:bookmarkEnd w:id="25"/>
      <w:r/>
      <w:bookmarkEnd w:id="26"/>
      <w:r/>
      <w:r/>
    </w:p>
    <w:p>
      <w:pPr>
        <w:ind w:firstLine="420"/>
        <w:spacing w:line="360" w:lineRule="auto"/>
        <w:tabs>
          <w:tab w:val="left" w:pos="900" w:leader="none"/>
          <w:tab w:val="left" w:pos="1134" w:leader="none"/>
          <w:tab w:val="left" w:pos="1589" w:leader="none"/>
          <w:tab w:val="left" w:pos="5521" w:leader="none"/>
        </w:tabs>
        <w:rPr>
          <w:rFonts w:hint="default" w:ascii="仿宋" w:hAnsi="仿宋" w:eastAsia="仿宋" w:cs="仿宋"/>
          <w:bCs/>
          <w:color w:val="000000"/>
          <w:szCs w:val="21"/>
          <w:lang w:val="en-US" w:eastAsia="zh-CN"/>
        </w:rPr>
      </w:pPr>
      <w:r>
        <w:rPr>
          <w:rFonts w:hint="eastAsia" w:ascii="仿宋" w:hAnsi="仿宋" w:eastAsia="仿宋" w:cs="仿宋"/>
          <w:bCs/>
          <w:color w:val="000000"/>
          <w:szCs w:val="21"/>
          <w:lang w:val="en-US" w:eastAsia="zh-CN"/>
        </w:rPr>
        <w:t xml:space="preserve">1</w:t>
      </w:r>
      <w:r>
        <w:rPr>
          <w:rFonts w:hint="eastAsia" w:ascii="仿宋" w:hAnsi="仿宋" w:eastAsia="仿宋" w:cs="仿宋"/>
          <w:bCs/>
          <w:color w:val="000000"/>
          <w:szCs w:val="21"/>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w:t>
      </w:r>
      <w:r>
        <w:rPr>
          <w:rFonts w:hint="eastAsia" w:ascii="仿宋" w:hAnsi="仿宋" w:eastAsia="仿宋" w:cs="仿宋"/>
          <w:bCs/>
          <w:color w:val="000000"/>
          <w:szCs w:val="21"/>
          <w:lang w:val="en-US" w:eastAsia="zh-CN"/>
        </w:rPr>
        <w:t xml:space="preserve">1223</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Cs w:val="21"/>
        </w:rPr>
        <w:t xml:space="preserve">0633ce9.html。</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Cs w:val="21"/>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numPr>
          <w:ilvl w:val="0"/>
          <w:numId w:val="0"/>
        </w:num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 w:val="21"/>
          <w:szCs w:val="21"/>
          <w:lang w:val="en-US" w:eastAsia="zh-CN" w:bidi="ar-SA"/>
        </w:rPr>
        <w:t xml:space="preserve">2.</w:t>
      </w:r>
      <w:r>
        <w:rPr>
          <w:rFonts w:hint="eastAsia" w:ascii="仿宋" w:hAnsi="仿宋" w:eastAsia="仿宋" w:cs="仿宋"/>
          <w:bCs/>
          <w:color w:val="000000"/>
          <w:szCs w:val="21"/>
        </w:rPr>
        <w:t xml:space="preserve">有关本次招标的事项若存在变动或修改，敬请及时关注“江苏政府采购网” 、“常州市政府采购网”发布的更正公告。</w:t>
      </w:r>
      <w:r/>
    </w:p>
    <w:p>
      <w:pPr>
        <w:numPr>
          <w:ilvl w:val="0"/>
          <w:numId w:val="0"/>
        </w:num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lang w:val="zh-TW"/>
        </w:rPr>
      </w:pPr>
      <w:r>
        <w:rPr>
          <w:rFonts w:hint="eastAsia" w:ascii="仿宋" w:hAnsi="仿宋" w:eastAsia="仿宋" w:cs="仿宋"/>
          <w:bCs/>
          <w:color w:val="000000"/>
          <w:sz w:val="21"/>
          <w:szCs w:val="21"/>
          <w:lang w:val="zh-TW" w:eastAsia="zh-CN" w:bidi="ar-SA"/>
        </w:rPr>
        <w:t xml:space="preserve">3.</w:t>
      </w:r>
      <w:r>
        <w:rPr>
          <w:rFonts w:hint="eastAsia" w:ascii="仿宋" w:hAnsi="仿宋" w:eastAsia="仿宋" w:cs="仿宋"/>
          <w:bCs/>
          <w:color w:val="000000"/>
          <w:szCs w:val="21"/>
          <w:lang w:val="zh-TW"/>
        </w:rPr>
        <w:t xml:space="preserve">关于常州市中小企业政府采购信用融资：</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lang w:val="zh-TW"/>
        </w:rPr>
      </w:pPr>
      <w:r>
        <w:rPr>
          <w:rFonts w:hint="eastAsia" w:ascii="仿宋" w:hAnsi="仿宋" w:eastAsia="仿宋" w:cs="仿宋"/>
          <w:bCs/>
          <w:color w:val="000000"/>
          <w:szCs w:val="21"/>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67"/>
        <w:jc w:val="left"/>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八</w:t>
      </w:r>
      <w:r>
        <w:rPr>
          <w:rFonts w:hint="eastAsia" w:ascii="仿宋" w:hAnsi="仿宋" w:eastAsia="仿宋" w:cs="仿宋"/>
          <w:sz w:val="21"/>
          <w:szCs w:val="21"/>
          <w:highlight w:val="none"/>
        </w:rPr>
        <w:t xml:space="preserve">、对本次招标提出询问，请按以下方式联系。</w:t>
      </w:r>
      <w:r/>
    </w:p>
    <w:p>
      <w:pPr>
        <w:pStyle w:val="967"/>
        <w:ind w:left="630"/>
        <w:jc w:val="left"/>
        <w:pageBreakBefore w:val="0"/>
        <w:spacing w:before="0" w:line="360" w:lineRule="auto"/>
        <w:widowControl w:val="off"/>
        <w:rPr>
          <w:rFonts w:hint="eastAsia" w:ascii="仿宋" w:hAnsi="仿宋" w:eastAsia="仿宋" w:cs="仿宋"/>
          <w:sz w:val="21"/>
          <w:szCs w:val="21"/>
          <w:highlight w:val="none"/>
        </w:rPr>
      </w:pPr>
      <w:r/>
      <w:bookmarkStart w:id="27" w:name="_Toc35393806"/>
      <w:r/>
      <w:bookmarkStart w:id="28" w:name="_Toc35393637"/>
      <w:r/>
      <w:bookmarkStart w:id="29" w:name="_Toc28359096"/>
      <w:r/>
      <w:bookmarkStart w:id="30" w:name="_Toc28359019"/>
      <w:r>
        <w:rPr>
          <w:rFonts w:hint="eastAsia" w:ascii="仿宋" w:hAnsi="仿宋" w:eastAsia="仿宋" w:cs="仿宋"/>
          <w:sz w:val="21"/>
          <w:szCs w:val="21"/>
          <w:highlight w:val="none"/>
        </w:rPr>
        <w:t xml:space="preserve">1.招标人信息</w:t>
      </w:r>
      <w:bookmarkEnd w:id="27"/>
      <w:r/>
      <w:bookmarkEnd w:id="28"/>
      <w:r/>
      <w:bookmarkEnd w:id="29"/>
      <w:r/>
      <w:bookmarkEnd w:id="30"/>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名    称：</w:t>
      </w:r>
      <w:r>
        <w:rPr>
          <w:rFonts w:hint="eastAsia" w:ascii="仿宋" w:hAnsi="仿宋" w:eastAsia="仿宋" w:cs="仿宋"/>
          <w:color w:val="000000" w:themeColor="text1"/>
          <w:sz w:val="21"/>
          <w:szCs w:val="21"/>
          <w:lang w:val="zh-TW" w:eastAsia="zh-CN"/>
          <w14:textFill>
            <w14:solidFill>
              <w14:schemeClr w14:val="tx1"/>
            </w14:solidFill>
          </w14:textFill>
        </w:rPr>
        <w:t xml:space="preserve">常州机电职业技术学院  </w:t>
      </w:r>
      <w:r/>
    </w:p>
    <w:p>
      <w:pPr>
        <w:ind w:firstLine="720"/>
        <w:jc w:val="left"/>
        <w:pageBreakBefore w:val="0"/>
        <w:spacing w:line="360" w:lineRule="auto"/>
        <w:widowControl w:val="off"/>
        <w:rPr>
          <w:rFonts w:hint="eastAsia" w:ascii="仿宋" w:hAnsi="仿宋" w:eastAsia="仿宋" w:cs="仿宋"/>
          <w:color w:val="000000" w:themeColor="text1"/>
          <w:sz w:val="21"/>
          <w:szCs w:val="21"/>
          <w:lang w:val="zh-TW"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地    址：</w:t>
      </w:r>
      <w:r>
        <w:rPr>
          <w:rFonts w:hint="eastAsia" w:ascii="仿宋" w:hAnsi="仿宋" w:eastAsia="仿宋" w:cs="仿宋"/>
          <w:color w:val="auto"/>
          <w:szCs w:val="21"/>
          <w:highlight w:val="none"/>
        </w:rPr>
        <w:t xml:space="preserve">常州市武进区湖塘镇鸣新中路26号</w:t>
      </w:r>
      <w:r>
        <w:rPr>
          <w:rFonts w:hint="eastAsia" w:ascii="仿宋" w:hAnsi="仿宋" w:eastAsia="仿宋" w:cs="仿宋"/>
          <w:color w:val="000000"/>
          <w:szCs w:val="21"/>
          <w:highlight w:val="none"/>
        </w:rPr>
        <w:t xml:space="preserve">　</w:t>
      </w:r>
      <w:r/>
    </w:p>
    <w:p>
      <w:pPr>
        <w:ind w:firstLine="720"/>
        <w:jc w:val="left"/>
        <w:pageBreakBefore w:val="0"/>
        <w:spacing w:line="360" w:lineRule="auto"/>
        <w:widowControl w:val="off"/>
        <w:rPr>
          <w:rFonts w:hint="default"/>
          <w:lang w:val="en-US" w:eastAsia="zh-CN"/>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 系 人：封老师</w:t>
      </w:r>
      <w:r/>
    </w:p>
    <w:p>
      <w:pPr>
        <w:ind w:firstLine="720"/>
        <w:jc w:val="left"/>
        <w:pageBreakBefore w:val="0"/>
        <w:spacing w:line="360" w:lineRule="auto"/>
        <w:widowControl w:val="off"/>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联系方式：</w:t>
      </w:r>
      <w:r>
        <w:rPr>
          <w:rFonts w:hint="eastAsia" w:ascii="仿宋" w:hAnsi="仿宋" w:eastAsia="仿宋" w:cs="仿宋"/>
          <w:color w:val="auto"/>
          <w:szCs w:val="21"/>
          <w:highlight w:val="none"/>
        </w:rPr>
        <w:t xml:space="preserve">0519-86331299</w:t>
      </w:r>
      <w:r>
        <w:rPr>
          <w:rFonts w:hint="eastAsia" w:ascii="仿宋" w:hAnsi="仿宋" w:eastAsia="仿宋" w:cs="仿宋"/>
          <w:color w:val="000000"/>
          <w:szCs w:val="21"/>
          <w:highlight w:val="none"/>
        </w:rPr>
        <w:t xml:space="preserve">　</w:t>
      </w:r>
      <w:r/>
    </w:p>
    <w:p>
      <w:pPr>
        <w:pStyle w:val="967"/>
        <w:ind w:left="630"/>
        <w:jc w:val="left"/>
        <w:pageBreakBefore w:val="0"/>
        <w:spacing w:before="0" w:line="360" w:lineRule="auto"/>
        <w:widowControl w:val="off"/>
        <w:rPr>
          <w:rFonts w:hint="eastAsia" w:ascii="仿宋" w:hAnsi="仿宋" w:eastAsia="仿宋" w:cs="仿宋"/>
          <w:sz w:val="21"/>
          <w:szCs w:val="21"/>
          <w:highlight w:val="none"/>
        </w:rPr>
      </w:pPr>
      <w:r/>
      <w:bookmarkStart w:id="31" w:name="_Toc35393807"/>
      <w:r/>
      <w:bookmarkStart w:id="32" w:name="_Toc35393638"/>
      <w:r/>
      <w:bookmarkStart w:id="33" w:name="_Toc28359020"/>
      <w:r/>
      <w:bookmarkStart w:id="34" w:name="_Toc28359097"/>
      <w:r>
        <w:rPr>
          <w:rFonts w:hint="eastAsia" w:ascii="仿宋" w:hAnsi="仿宋" w:eastAsia="仿宋" w:cs="仿宋"/>
          <w:sz w:val="21"/>
          <w:szCs w:val="21"/>
          <w:highlight w:val="none"/>
        </w:rPr>
        <w:t xml:space="preserve">2.采购代理机构信息</w:t>
      </w:r>
      <w:bookmarkEnd w:id="31"/>
      <w:r/>
      <w:bookmarkEnd w:id="32"/>
      <w:r/>
      <w:bookmarkEnd w:id="33"/>
      <w:r/>
      <w:bookmarkEnd w:id="34"/>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名    称：常州筠诚工程咨询有限公司</w:t>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zh-CN" w:eastAsia="zh-CN"/>
          <w14:textFill>
            <w14:solidFill>
              <w14:schemeClr w14:val="tx1"/>
            </w14:solidFill>
          </w14:textFill>
        </w:rPr>
        <w:t xml:space="preserve">地</w:t>
      </w:r>
      <w:r>
        <w:rPr>
          <w:rFonts w:hint="eastAsia" w:ascii="仿宋" w:hAnsi="仿宋" w:eastAsia="仿宋" w:cs="仿宋"/>
          <w:color w:val="000000" w:themeColor="text1"/>
          <w:sz w:val="21"/>
          <w:szCs w:val="21"/>
          <w:lang w:val="en-US" w:eastAsia="zh-CN"/>
          <w14:textFill>
            <w14:solidFill>
              <w14:schemeClr w14:val="tx1"/>
            </w14:solidFill>
          </w14:textFill>
        </w:rPr>
        <w:t xml:space="preserve">    </w:t>
      </w:r>
      <w:r>
        <w:rPr>
          <w:rFonts w:hint="eastAsia" w:ascii="仿宋" w:hAnsi="仿宋" w:eastAsia="仿宋" w:cs="仿宋"/>
          <w:color w:val="000000" w:themeColor="text1"/>
          <w:sz w:val="21"/>
          <w:szCs w:val="21"/>
          <w:lang w:val="zh-CN" w:eastAsia="zh-CN"/>
          <w14:textFill>
            <w14:solidFill>
              <w14:schemeClr w14:val="tx1"/>
            </w14:solidFill>
          </w14:textFill>
        </w:rPr>
        <w:t xml:space="preserve">址：</w:t>
      </w:r>
      <w:r>
        <w:rPr>
          <w:rFonts w:hint="eastAsia" w:ascii="仿宋" w:hAnsi="仿宋" w:eastAsia="仿宋" w:cs="仿宋"/>
          <w:color w:val="000000" w:themeColor="text1"/>
          <w:sz w:val="21"/>
          <w:szCs w:val="21"/>
          <w:lang w:val="en-US" w:eastAsia="zh-CN"/>
          <w14:textFill>
            <w14:solidFill>
              <w14:schemeClr w14:val="tx1"/>
            </w14:solidFill>
          </w14:textFill>
        </w:rPr>
        <w:t xml:space="preserve">常州市钟楼区化龙巷1号恒利大厦C座四楼</w:t>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 系 人：叶女士</w:t>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联系方式：</w:t>
      </w:r>
      <w:r>
        <w:rPr>
          <w:rFonts w:hint="eastAsia" w:ascii="仿宋" w:hAnsi="仿宋" w:eastAsia="仿宋" w:cs="仿宋"/>
          <w:szCs w:val="21"/>
          <w:lang w:val="en-US" w:eastAsia="zh-CN"/>
        </w:rPr>
        <w:t xml:space="preserve">18115062814</w:t>
      </w:r>
      <w:r/>
    </w:p>
    <w:p>
      <w:pPr>
        <w:pStyle w:val="967"/>
        <w:ind w:left="630"/>
        <w:jc w:val="left"/>
        <w:pageBreakBefore w:val="0"/>
        <w:spacing w:before="0" w:line="360" w:lineRule="auto"/>
        <w:widowControl w:val="off"/>
        <w:rPr>
          <w:rFonts w:hint="eastAsia" w:ascii="仿宋" w:hAnsi="仿宋" w:eastAsia="仿宋" w:cs="仿宋"/>
          <w:sz w:val="21"/>
          <w:szCs w:val="21"/>
          <w:highlight w:val="none"/>
        </w:rPr>
      </w:pPr>
      <w:r/>
      <w:bookmarkStart w:id="35" w:name="_Toc35393639"/>
      <w:r/>
      <w:bookmarkStart w:id="36" w:name="_Toc35393808"/>
      <w:r/>
      <w:bookmarkStart w:id="37" w:name="_Toc28359098"/>
      <w:r/>
      <w:bookmarkStart w:id="38" w:name="_Toc28359021"/>
      <w:r>
        <w:rPr>
          <w:rFonts w:hint="eastAsia" w:ascii="仿宋" w:hAnsi="仿宋" w:eastAsia="仿宋" w:cs="仿宋"/>
          <w:sz w:val="21"/>
          <w:szCs w:val="21"/>
          <w:highlight w:val="none"/>
        </w:rPr>
        <w:t xml:space="preserve">3.项目联系方式</w:t>
      </w:r>
      <w:bookmarkEnd w:id="35"/>
      <w:r/>
      <w:bookmarkEnd w:id="36"/>
      <w:r/>
      <w:bookmarkEnd w:id="37"/>
      <w:r/>
      <w:bookmarkEnd w:id="38"/>
      <w:r/>
      <w:r/>
    </w:p>
    <w:p>
      <w:pPr>
        <w:pStyle w:val="1283"/>
        <w:ind w:firstLine="720"/>
        <w:pageBreakBefore w:val="0"/>
        <w:spacing w:line="360" w:lineRule="auto"/>
        <w:widowControl w:val="off"/>
        <w:rPr>
          <w:rFonts w:hint="eastAsia" w:ascii="仿宋" w:hAnsi="仿宋" w:eastAsia="仿宋" w:cs="仿宋"/>
          <w:sz w:val="21"/>
          <w:szCs w:val="21"/>
          <w:highlight w:val="none"/>
          <w:lang w:val="en-US"/>
        </w:rPr>
      </w:pPr>
      <w:r>
        <w:rPr>
          <w:rFonts w:hint="eastAsia" w:ascii="仿宋" w:hAnsi="仿宋" w:eastAsia="仿宋" w:cs="仿宋"/>
          <w:sz w:val="21"/>
          <w:szCs w:val="21"/>
          <w:highlight w:val="none"/>
        </w:rPr>
        <w:t xml:space="preserve">项目联系人：</w:t>
      </w:r>
      <w:r>
        <w:rPr>
          <w:rFonts w:hint="eastAsia" w:ascii="仿宋" w:hAnsi="仿宋" w:eastAsia="仿宋" w:cs="仿宋"/>
          <w:color w:val="000000" w:themeColor="text1"/>
          <w:sz w:val="21"/>
          <w:szCs w:val="21"/>
          <w:lang w:val="en-US" w:eastAsia="zh-CN"/>
          <w14:textFill>
            <w14:solidFill>
              <w14:schemeClr w14:val="tx1"/>
            </w14:solidFill>
          </w14:textFill>
        </w:rPr>
        <w:t xml:space="preserve">叶女士</w:t>
      </w:r>
      <w:r/>
    </w:p>
    <w:p>
      <w:pPr>
        <w:ind w:firstLine="720"/>
        <w:pageBreakBefore w:val="0"/>
        <w:spacing w:line="360" w:lineRule="auto"/>
        <w:widowControl w:val="off"/>
        <w:rPr>
          <w:rFonts w:hint="eastAsia" w:ascii="仿宋" w:hAnsi="仿宋" w:eastAsia="仿宋" w:cs="仿宋"/>
          <w:spacing w:val="2"/>
          <w:sz w:val="21"/>
          <w:szCs w:val="21"/>
          <w:highlight w:val="none"/>
          <w:lang w:val="en-US" w:eastAsia="zh-CN"/>
        </w:rPr>
      </w:pPr>
      <w:r>
        <w:rPr>
          <w:rFonts w:hint="eastAsia" w:ascii="仿宋" w:hAnsi="仿宋" w:eastAsia="仿宋" w:cs="仿宋"/>
          <w:sz w:val="21"/>
          <w:szCs w:val="21"/>
          <w:highlight w:val="none"/>
        </w:rPr>
        <w:t xml:space="preserve">电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话：</w:t>
      </w:r>
      <w:r>
        <w:rPr>
          <w:rFonts w:hint="eastAsia" w:ascii="仿宋" w:hAnsi="仿宋" w:eastAsia="仿宋" w:cs="仿宋"/>
          <w:szCs w:val="21"/>
          <w:lang w:val="en-US" w:eastAsia="zh-CN"/>
        </w:rPr>
        <w:t xml:space="preserve">18115062814</w:t>
      </w:r>
      <w:r/>
    </w:p>
    <w:p>
      <w:pPr>
        <w:jc w:val="center"/>
        <w:spacing w:line="360" w:lineRule="auto"/>
        <w:rPr>
          <w:rFonts w:hint="eastAsia" w:ascii="仿宋" w:hAnsi="仿宋" w:eastAsia="仿宋" w:cs="仿宋"/>
          <w:b/>
          <w:color w:val="000000"/>
          <w:sz w:val="36"/>
          <w:szCs w:val="36"/>
          <w:highlight w:val="none"/>
        </w:rPr>
        <w:outlineLvl w:val="0"/>
      </w:pPr>
      <w:r>
        <w:rPr>
          <w:rFonts w:hint="eastAsia" w:ascii="仿宋" w:hAnsi="仿宋" w:eastAsia="仿宋" w:cs="仿宋"/>
          <w:color w:val="000000"/>
          <w:sz w:val="24"/>
          <w:highlight w:val="none"/>
        </w:rPr>
        <w:br w:type="page" w:clear="all"/>
      </w:r>
      <w:bookmarkEnd w:id="7"/>
      <w:r/>
      <w:bookmarkStart w:id="39" w:name="_Toc150774783"/>
      <w:r/>
      <w:bookmarkStart w:id="40" w:name="_Toc353873938"/>
      <w:r/>
      <w:bookmarkStart w:id="41" w:name="_Toc195842950"/>
      <w:r/>
      <w:bookmarkStart w:id="42" w:name="_Toc305158854"/>
      <w:r/>
      <w:bookmarkStart w:id="43" w:name="_Toc151381409"/>
      <w:r/>
      <w:bookmarkStart w:id="44" w:name="_Toc353825548"/>
      <w:r/>
      <w:bookmarkStart w:id="45" w:name="_Toc226965856"/>
      <w:r/>
      <w:bookmarkStart w:id="46" w:name="_Toc127161488"/>
      <w:r/>
      <w:bookmarkStart w:id="47" w:name="_Toc264969275"/>
      <w:r/>
      <w:bookmarkStart w:id="48" w:name="_Toc127151777"/>
      <w:r/>
      <w:bookmarkStart w:id="49" w:name="_Toc305158928"/>
      <w:r/>
      <w:bookmarkStart w:id="50" w:name="_Toc265228423"/>
      <w:r/>
      <w:bookmarkStart w:id="51" w:name="_Toc512937850"/>
      <w:r>
        <w:rPr>
          <w:rFonts w:hint="eastAsia" w:ascii="仿宋" w:hAnsi="仿宋" w:eastAsia="仿宋" w:cs="仿宋"/>
          <w:b/>
          <w:color w:val="000000"/>
          <w:sz w:val="36"/>
          <w:szCs w:val="36"/>
          <w:highlight w:val="none"/>
        </w:rPr>
        <w:t xml:space="preserve">第二章   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967"/>
        <w:spacing w:before="0" w:line="360" w:lineRule="auto"/>
        <w:tabs>
          <w:tab w:val="center" w:pos="4592" w:leader="none"/>
          <w:tab w:val="left" w:pos="7860" w:leader="none"/>
        </w:tabs>
        <w:rPr>
          <w:rFonts w:hint="eastAsia" w:ascii="仿宋" w:hAnsi="仿宋" w:eastAsia="仿宋" w:cs="仿宋"/>
          <w:b w:val="0"/>
          <w:color w:val="000000"/>
          <w:sz w:val="28"/>
          <w:highlight w:val="none"/>
        </w:rPr>
      </w:pPr>
      <w:r/>
      <w:bookmarkStart w:id="52" w:name="_Toc127151519"/>
      <w:r/>
      <w:bookmarkStart w:id="53" w:name="_Toc520356144"/>
      <w:r/>
      <w:bookmarkStart w:id="54" w:name="_Toc150774724"/>
      <w:r/>
      <w:bookmarkStart w:id="55" w:name="_Toc127151720"/>
      <w:r/>
      <w:bookmarkStart w:id="56" w:name="_Toc226309763"/>
      <w:r/>
      <w:bookmarkStart w:id="57" w:name="_Toc164608788"/>
      <w:r/>
      <w:bookmarkStart w:id="58" w:name="_Toc195842884"/>
      <w:r/>
      <w:bookmarkStart w:id="59" w:name="_Toc149720812"/>
      <w:r/>
      <w:bookmarkStart w:id="60" w:name="_Toc151193761"/>
      <w:r/>
      <w:bookmarkStart w:id="61" w:name="_Toc127161433"/>
      <w:r/>
      <w:bookmarkStart w:id="62" w:name="_Toc164229360"/>
      <w:r/>
      <w:bookmarkStart w:id="63" w:name="_Toc151193689"/>
      <w:r/>
      <w:bookmarkStart w:id="64" w:name="_Toc226337215"/>
      <w:r/>
      <w:bookmarkStart w:id="65" w:name="_Toc151193833"/>
      <w:r/>
      <w:bookmarkStart w:id="66" w:name="_Toc150509270"/>
      <w:r/>
      <w:bookmarkStart w:id="67" w:name="_Toc164229214"/>
      <w:r/>
      <w:bookmarkStart w:id="68" w:name="_Toc151193907"/>
      <w:r/>
      <w:bookmarkStart w:id="69" w:name="_Toc226965709"/>
      <w:r/>
      <w:bookmarkStart w:id="70" w:name="_Toc151190146"/>
      <w:r/>
      <w:bookmarkStart w:id="71" w:name="_Toc151193617"/>
      <w:r/>
      <w:bookmarkStart w:id="72" w:name="_Toc164351613"/>
      <w:r/>
      <w:bookmarkStart w:id="73" w:name="_Toc226965792"/>
      <w:r/>
      <w:bookmarkStart w:id="74" w:name="_Toc142311021"/>
      <w:r/>
      <w:bookmarkStart w:id="75" w:name="_Toc150480757"/>
      <w:r/>
      <w:bookmarkStart w:id="76" w:name="_Toc150774619"/>
      <w:r/>
      <w:bookmarkStart w:id="77" w:name="_Toc164608633"/>
      <w:r>
        <w:rPr>
          <w:rFonts w:hint="eastAsia" w:ascii="仿宋" w:hAnsi="仿宋" w:eastAsia="仿宋" w:cs="仿宋"/>
          <w:color w:val="000000"/>
          <w:sz w:val="28"/>
          <w:highlight w:val="none"/>
        </w:rPr>
        <w:t xml:space="preserve">供应商须知资料表</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本表是对供应商须知的具体补充和修改，如有矛盾，均以本资料表为准。标记“</w:t>
      </w:r>
      <w:r>
        <w:rPr>
          <w:rFonts w:hint="eastAsia" w:ascii="仿宋" w:hAnsi="仿宋" w:eastAsia="仿宋" w:cs="仿宋"/>
          <w:b/>
          <w:color w:val="000000"/>
          <w:sz w:val="21"/>
          <w:szCs w:val="21"/>
          <w:highlight w:val="none"/>
        </w:rPr>
        <w:t xml:space="preserve">■</w:t>
      </w:r>
      <w:r>
        <w:rPr>
          <w:rFonts w:hint="eastAsia" w:ascii="仿宋" w:hAnsi="仿宋" w:eastAsia="仿宋" w:cs="仿宋"/>
          <w:color w:val="000000"/>
          <w:sz w:val="21"/>
          <w:szCs w:val="21"/>
          <w:highlight w:val="none"/>
        </w:rPr>
        <w:t xml:space="preserve">”的选项意为适用于本项目，标记“□”的选项意为不适用于本项目。</w:t>
      </w:r>
      <w:r/>
    </w:p>
    <w:tbl>
      <w:tblPr>
        <w:tblStyle w:val="788"/>
        <w:tblW w:w="94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800"/>
      </w:tblGrid>
      <w:tr>
        <w:trPr>
          <w:jc w:val="center"/>
          <w:trHeight w:val="340"/>
          <w:tblHeader/>
        </w:trPr>
        <w:tc>
          <w:tcPr>
            <w:tcW w:w="988" w:type="dxa"/>
            <w:vAlign w:val="center"/>
            <w:textDirection w:val="lrTb"/>
            <w:noWrap w:val="false"/>
          </w:tcPr>
          <w:p>
            <w:pPr>
              <w:jc w:val="center"/>
              <w:rPr>
                <w:rFonts w:hint="eastAsia" w:ascii="仿宋" w:hAnsi="仿宋" w:eastAsia="仿宋" w:cs="仿宋"/>
                <w:b/>
                <w:bCs/>
                <w:color w:val="000000"/>
                <w:sz w:val="21"/>
                <w:szCs w:val="21"/>
                <w:highlight w:val="none"/>
              </w:rPr>
            </w:pPr>
            <w:r>
              <w:rPr>
                <w:rFonts w:hint="eastAsia" w:ascii="仿宋" w:hAnsi="仿宋" w:eastAsia="仿宋" w:cs="仿宋"/>
                <w:b/>
                <w:color w:val="000000"/>
                <w:sz w:val="21"/>
                <w:szCs w:val="21"/>
                <w:highlight w:val="none"/>
              </w:rPr>
              <w:t xml:space="preserve">条款号</w:t>
            </w:r>
            <w:r/>
          </w:p>
        </w:tc>
        <w:tc>
          <w:tcPr>
            <w:tcW w:w="1701" w:type="dxa"/>
            <w:vAlign w:val="center"/>
            <w:textDirection w:val="lrTb"/>
            <w:noWrap w:val="false"/>
          </w:tcPr>
          <w:p>
            <w:pPr>
              <w:jc w:val="cente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条目</w:t>
            </w:r>
            <w:r/>
          </w:p>
        </w:tc>
        <w:tc>
          <w:tcPr>
            <w:tcW w:w="6800" w:type="dxa"/>
            <w:vAlign w:val="center"/>
            <w:textDirection w:val="lrTb"/>
            <w:noWrap w:val="false"/>
          </w:tcPr>
          <w:p>
            <w:pPr>
              <w:jc w:val="cente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内容</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项目属性</w:t>
            </w:r>
            <w:r/>
          </w:p>
        </w:tc>
        <w:tc>
          <w:tcPr>
            <w:tcW w:w="6800" w:type="dxa"/>
            <w:vAlign w:val="center"/>
            <w:textDirection w:val="lrTb"/>
            <w:noWrap w:val="false"/>
          </w:tcPr>
          <w:p>
            <w:pPr>
              <w:jc w:val="lef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项目属性：</w:t>
            </w:r>
            <w:r>
              <w:rPr>
                <w:rFonts w:hint="eastAsia" w:ascii="仿宋" w:hAnsi="仿宋" w:eastAsia="仿宋" w:cs="仿宋"/>
                <w:b/>
                <w:bCs/>
                <w:color w:val="000000"/>
                <w:sz w:val="21"/>
                <w:szCs w:val="21"/>
                <w:highlight w:val="none"/>
                <w:u w:val="none"/>
                <w:lang w:val="en-US" w:eastAsia="zh-CN"/>
              </w:rPr>
              <w:t xml:space="preserve">工程</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科研仪器设备</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是否属于科研仪器设备采购项目：否</w:t>
            </w:r>
            <w:r/>
          </w:p>
        </w:tc>
      </w:tr>
      <w:tr>
        <w:trPr>
          <w:jc w:val="center"/>
          <w:trHeight w:val="340"/>
        </w:trPr>
        <w:tc>
          <w:tcPr>
            <w:tcW w:w="988" w:type="dxa"/>
            <w:vAlign w:val="center"/>
            <w:vMerge w:val="restart"/>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现场考察</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不组织</w:t>
            </w:r>
            <w:r/>
          </w:p>
        </w:tc>
      </w:tr>
      <w:tr>
        <w:trPr>
          <w:jc w:val="center"/>
          <w:trHeight w:val="340"/>
        </w:trPr>
        <w:tc>
          <w:tcPr>
            <w:tcW w:w="988" w:type="dxa"/>
            <w:vAlign w:val="center"/>
            <w:vMerge w:val="continue"/>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磋商前答疑会</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不召开</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标的所属行业</w:t>
            </w:r>
            <w:r/>
          </w:p>
        </w:tc>
        <w:tc>
          <w:tcPr>
            <w:tcW w:w="6800"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b/>
                <w:color w:val="000000"/>
                <w:sz w:val="21"/>
                <w:szCs w:val="21"/>
                <w:highlight w:val="none"/>
                <w:u w:val="single"/>
                <w:lang w:val="en-US" w:eastAsia="zh-CN"/>
              </w:rPr>
            </w:pPr>
            <w:r>
              <w:rPr>
                <w:rFonts w:hint="eastAsia" w:ascii="仿宋" w:hAnsi="仿宋" w:eastAsia="仿宋" w:cs="仿宋"/>
                <w:color w:val="000000"/>
                <w:sz w:val="21"/>
                <w:szCs w:val="21"/>
                <w:highlight w:val="none"/>
              </w:rPr>
              <w:t xml:space="preserve">本项目采购标的对应的中小企业划分标准所属行业：</w:t>
            </w:r>
            <w:r>
              <w:rPr>
                <w:rFonts w:hint="eastAsia" w:ascii="仿宋" w:hAnsi="仿宋" w:eastAsia="仿宋" w:cs="仿宋"/>
                <w:b/>
                <w:bCs w:val="0"/>
                <w:color w:val="000000"/>
                <w:sz w:val="21"/>
                <w:szCs w:val="21"/>
                <w:highlight w:val="none"/>
                <w:u w:val="single"/>
                <w:lang w:eastAsia="zh-CN"/>
              </w:rPr>
              <w:t xml:space="preserve">建筑业</w:t>
            </w:r>
            <w:r>
              <w:rPr>
                <w:rFonts w:hint="eastAsia" w:ascii="仿宋" w:hAnsi="仿宋" w:eastAsia="仿宋" w:cs="仿宋"/>
                <w:b/>
                <w:bCs w:val="0"/>
                <w:color w:val="000000"/>
                <w:sz w:val="21"/>
                <w:szCs w:val="21"/>
                <w:highlight w:val="none"/>
                <w:u w:val="single"/>
                <w:lang w:val="en-US" w:eastAsia="zh-CN"/>
              </w:rPr>
              <w:t xml:space="preserve"> </w:t>
            </w:r>
            <w:r/>
          </w:p>
          <w:p>
            <w:pPr>
              <w:jc w:val="left"/>
              <w:keepLines w:val="0"/>
              <w:keepNext w:val="0"/>
              <w:pageBreakBefore w:val="0"/>
              <w:spacing w:line="264" w:lineRule="auto"/>
              <w:widowControl w:val="off"/>
              <w:rPr>
                <w:rFonts w:hint="default" w:ascii="仿宋" w:hAnsi="仿宋" w:eastAsia="仿宋" w:cs="仿宋"/>
                <w:b/>
                <w:color w:val="000000"/>
                <w:sz w:val="21"/>
                <w:szCs w:val="21"/>
                <w:highlight w:val="none"/>
                <w:u w:val="single"/>
                <w:lang w:val="en-US" w:eastAsia="zh-CN"/>
              </w:rPr>
            </w:pPr>
            <w:r>
              <w:rPr>
                <w:rFonts w:hint="default" w:ascii="仿宋" w:hAnsi="仿宋" w:eastAsia="仿宋" w:cs="仿宋"/>
                <w:b w:val="0"/>
                <w:bCs/>
                <w:color w:val="000000"/>
                <w:sz w:val="21"/>
                <w:szCs w:val="21"/>
                <w:highlight w:val="none"/>
                <w:u w:val="single"/>
                <w:lang w:val="en-US"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w:t>
            </w:r>
            <w:r/>
          </w:p>
        </w:tc>
        <w:tc>
          <w:tcPr>
            <w:tcW w:w="6800"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rPr>
              <w:t xml:space="preserve">报价的特殊规定：</w:t>
            </w:r>
            <w:r>
              <w:rPr>
                <w:rFonts w:hint="eastAsia" w:ascii="仿宋" w:hAnsi="仿宋" w:eastAsia="仿宋" w:cs="仿宋"/>
                <w:color w:val="auto"/>
                <w:sz w:val="21"/>
                <w:szCs w:val="21"/>
                <w:highlight w:val="none"/>
                <w:u w:val="single"/>
              </w:rPr>
              <w:t xml:space="preserve">本项目采用至少二次报价</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000000"/>
                <w:sz w:val="21"/>
                <w:szCs w:val="21"/>
                <w:highlight w:val="none"/>
                <w:u w:val="single"/>
                <w:lang w:val="en-US" w:eastAsia="zh-CN"/>
              </w:rPr>
              <w:t xml:space="preserve">磋商供应商的响应报价不得低于工程成本且不得高于最高投标限价，已标价工程量清单中任一分部分项工程和单价措施项目响应单价不得超过最高投标限价相对应分部分项工程和单价措施项目单价，否则作无效响应处理。</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磋商保证金</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免收</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响应有效期</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自提交响应文件的截止之日起算60日历天。</w:t>
            </w:r>
            <w:r/>
          </w:p>
        </w:tc>
      </w:tr>
      <w:tr>
        <w:trPr>
          <w:jc w:val="center"/>
          <w:trHeight w:val="340"/>
        </w:trPr>
        <w:tc>
          <w:tcPr>
            <w:tcW w:w="988" w:type="dxa"/>
            <w:vAlign w:val="center"/>
            <w:textDirection w:val="lrTb"/>
            <w:noWrap w:val="false"/>
          </w:tcPr>
          <w:p>
            <w:pPr>
              <w:pStyle w:val="1174"/>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w:t>
            </w:r>
            <w:r/>
          </w:p>
        </w:tc>
        <w:tc>
          <w:tcPr>
            <w:shd w:val="clear" w:color="auto" w:fill="auto"/>
            <w:tcW w:w="1701" w:type="dxa"/>
            <w:vAlign w:val="center"/>
            <w:textDirection w:val="lrTb"/>
            <w:noWrap w:val="false"/>
          </w:tcPr>
          <w:p>
            <w:pPr>
              <w:jc w:val="center"/>
              <w:spacing w:line="276"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投标文件份数</w:t>
            </w:r>
            <w:r>
              <w:rPr>
                <w:rFonts w:hint="eastAsia" w:ascii="仿宋" w:hAnsi="仿宋" w:eastAsia="仿宋" w:cs="仿宋"/>
                <w:color w:val="000000"/>
                <w:szCs w:val="21"/>
              </w:rPr>
              <w:tab/>
            </w:r>
            <w:r/>
          </w:p>
        </w:tc>
        <w:tc>
          <w:tcPr>
            <w:shd w:val="clear" w:color="auto" w:fill="auto"/>
            <w:tcW w:w="6800" w:type="dxa"/>
            <w:vAlign w:val="center"/>
            <w:textDirection w:val="lrTb"/>
            <w:noWrap w:val="false"/>
          </w:tcPr>
          <w:p>
            <w:pPr>
              <w:jc w:val="left"/>
              <w:spacing w:line="276" w:lineRule="auto"/>
              <w:rPr>
                <w:rFonts w:ascii="仿宋" w:hAnsi="仿宋" w:eastAsia="仿宋" w:cs="仿宋"/>
                <w:b w:val="0"/>
                <w:bCs w:val="0"/>
                <w:color w:val="000000"/>
                <w:szCs w:val="21"/>
              </w:rPr>
            </w:pPr>
            <w:r>
              <w:rPr>
                <w:rFonts w:hint="eastAsia" w:ascii="仿宋" w:hAnsi="仿宋" w:eastAsia="仿宋" w:cs="仿宋"/>
                <w:b w:val="0"/>
                <w:bCs w:val="0"/>
                <w:color w:val="000000"/>
                <w:szCs w:val="21"/>
              </w:rPr>
              <w:t xml:space="preserve">本项目为“苏采云”政府采购一体化平台全流程线上招投标，投标时各</w:t>
            </w:r>
            <w:r>
              <w:rPr>
                <w:rFonts w:hint="eastAsia" w:ascii="仿宋" w:hAnsi="仿宋" w:eastAsia="仿宋" w:cs="仿宋"/>
                <w:b w:val="0"/>
                <w:bCs w:val="0"/>
                <w:color w:val="000000"/>
                <w:szCs w:val="21"/>
                <w:lang w:val="en-US" w:eastAsia="zh-CN"/>
              </w:rPr>
              <w:t xml:space="preserve">供应商</w:t>
            </w:r>
            <w:r>
              <w:rPr>
                <w:rFonts w:hint="eastAsia" w:ascii="仿宋" w:hAnsi="仿宋" w:eastAsia="仿宋" w:cs="仿宋"/>
                <w:b w:val="0"/>
                <w:bCs w:val="0"/>
                <w:color w:val="000000"/>
                <w:szCs w:val="21"/>
              </w:rPr>
              <w:t xml:space="preserve">应按</w:t>
            </w:r>
            <w:r>
              <w:rPr>
                <w:rFonts w:hint="eastAsia" w:ascii="仿宋" w:hAnsi="仿宋" w:eastAsia="仿宋" w:cs="仿宋"/>
                <w:b w:val="0"/>
                <w:bCs w:val="0"/>
                <w:color w:val="000000"/>
                <w:szCs w:val="21"/>
                <w:lang w:val="en-US" w:eastAsia="zh-CN"/>
              </w:rPr>
              <w:t xml:space="preserve">磋商</w:t>
            </w:r>
            <w:r>
              <w:rPr>
                <w:rFonts w:hint="eastAsia" w:ascii="仿宋" w:hAnsi="仿宋" w:eastAsia="仿宋" w:cs="仿宋"/>
                <w:b w:val="0"/>
                <w:bCs w:val="0"/>
                <w:color w:val="000000"/>
                <w:szCs w:val="21"/>
              </w:rPr>
              <w:t xml:space="preserve">文件及”苏采云”政府采购一体化平台规定制作并提交电子版</w:t>
            </w:r>
            <w:r>
              <w:rPr>
                <w:rFonts w:hint="eastAsia" w:ascii="仿宋" w:hAnsi="仿宋" w:eastAsia="仿宋" w:cs="仿宋"/>
                <w:b w:val="0"/>
                <w:bCs w:val="0"/>
                <w:color w:val="000000"/>
                <w:szCs w:val="21"/>
                <w:lang w:val="en-US" w:eastAsia="zh-CN"/>
              </w:rPr>
              <w:t xml:space="preserve">响应</w:t>
            </w:r>
            <w:r>
              <w:rPr>
                <w:rFonts w:hint="eastAsia" w:ascii="仿宋" w:hAnsi="仿宋" w:eastAsia="仿宋" w:cs="仿宋"/>
                <w:b w:val="0"/>
                <w:bCs w:val="0"/>
                <w:color w:val="000000"/>
                <w:szCs w:val="21"/>
              </w:rPr>
              <w:t xml:space="preserve">文件。</w:t>
            </w:r>
            <w:r/>
          </w:p>
          <w:p>
            <w:pPr>
              <w:jc w:val="left"/>
              <w:spacing w:line="276" w:lineRule="auto"/>
              <w:rPr>
                <w:rFonts w:hint="eastAsia" w:ascii="仿宋" w:hAnsi="仿宋" w:eastAsia="仿宋" w:cs="仿宋"/>
                <w:color w:val="000000"/>
                <w:sz w:val="21"/>
                <w:szCs w:val="21"/>
                <w:lang w:val="en-US" w:eastAsia="zh-CN" w:bidi="ar-SA"/>
              </w:rPr>
            </w:pPr>
            <w:r>
              <w:rPr>
                <w:rFonts w:hint="eastAsia" w:ascii="仿宋" w:hAnsi="仿宋" w:eastAsia="仿宋" w:cs="仿宋"/>
                <w:b w:val="0"/>
                <w:bCs w:val="0"/>
                <w:color w:val="000000"/>
                <w:szCs w:val="21"/>
                <w:lang w:val="en-US" w:eastAsia="zh-CN"/>
              </w:rPr>
              <w:t xml:space="preserve">成交</w:t>
            </w:r>
            <w:r>
              <w:rPr>
                <w:rFonts w:hint="eastAsia" w:ascii="仿宋" w:hAnsi="仿宋" w:eastAsia="仿宋" w:cs="仿宋"/>
                <w:b w:val="0"/>
                <w:bCs w:val="0"/>
                <w:color w:val="000000"/>
                <w:szCs w:val="21"/>
              </w:rPr>
              <w:t xml:space="preserve">结果确定后</w:t>
            </w:r>
            <w:r>
              <w:rPr>
                <w:rFonts w:hint="eastAsia" w:ascii="仿宋" w:hAnsi="仿宋" w:eastAsia="仿宋" w:cs="仿宋"/>
                <w:b w:val="0"/>
                <w:bCs w:val="0"/>
                <w:color w:val="000000"/>
                <w:szCs w:val="21"/>
                <w:lang w:val="en-US" w:eastAsia="zh-CN"/>
              </w:rPr>
              <w:t xml:space="preserve">成交</w:t>
            </w:r>
            <w:r>
              <w:rPr>
                <w:rFonts w:hint="eastAsia" w:ascii="仿宋" w:hAnsi="仿宋" w:eastAsia="仿宋" w:cs="仿宋"/>
                <w:b w:val="0"/>
                <w:bCs w:val="0"/>
                <w:color w:val="000000"/>
                <w:szCs w:val="21"/>
              </w:rPr>
              <w:t xml:space="preserve">单位应提交胶装并加盖公章的纸质版投标文件叁份，纸质投标文件应与“苏采云”政府采购一体化平台中的电子文件内容、格式一致。</w:t>
            </w:r>
            <w:r/>
          </w:p>
        </w:tc>
      </w:tr>
      <w:tr>
        <w:trPr>
          <w:jc w:val="center"/>
          <w:trHeight w:val="340"/>
        </w:trPr>
        <w:tc>
          <w:tcPr>
            <w:tcW w:w="988" w:type="dxa"/>
            <w:vAlign w:val="center"/>
            <w:textDirection w:val="lrTb"/>
            <w:noWrap w:val="false"/>
          </w:tcPr>
          <w:p>
            <w:pPr>
              <w:pStyle w:val="117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w:t>
            </w:r>
            <w:r/>
          </w:p>
        </w:tc>
        <w:tc>
          <w:tcPr>
            <w:tcW w:w="6800" w:type="dxa"/>
            <w:vAlign w:val="center"/>
            <w:textDirection w:val="lrTb"/>
            <w:noWrap w:val="false"/>
          </w:tcPr>
          <w:p>
            <w:pPr>
              <w:jc w:val="left"/>
              <w:rPr>
                <w:rFonts w:hint="eastAsia" w:ascii="仿宋" w:hAnsi="仿宋" w:eastAsia="仿宋" w:cs="仿宋"/>
                <w:color w:val="000000"/>
                <w:sz w:val="21"/>
                <w:szCs w:val="21"/>
                <w:highlight w:val="none"/>
                <w:u w:val="single"/>
              </w:rPr>
            </w:pPr>
            <w:r>
              <w:rPr>
                <w:rFonts w:hint="eastAsia" w:ascii="仿宋" w:hAnsi="仿宋" w:eastAsia="仿宋" w:cs="仿宋"/>
                <w:color w:val="000000"/>
                <w:szCs w:val="21"/>
              </w:rPr>
              <w:t xml:space="preserve">本项目的非主体、非关键性工作是否允许分包：不允许</w:t>
            </w:r>
            <w:r/>
          </w:p>
        </w:tc>
      </w:tr>
      <w:tr>
        <w:trPr>
          <w:jc w:val="center"/>
          <w:trHeight w:val="340"/>
        </w:trPr>
        <w:tc>
          <w:tcPr>
            <w:tcW w:w="988" w:type="dxa"/>
            <w:vAlign w:val="center"/>
            <w:textDirection w:val="lrTb"/>
            <w:noWrap w:val="false"/>
          </w:tcPr>
          <w:p>
            <w:pPr>
              <w:pStyle w:val="1174"/>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询问</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szCs w:val="21"/>
                <w:highlight w:val="none"/>
              </w:rPr>
              <w:t xml:space="preserve">询问送达形式：</w:t>
            </w:r>
            <w:r>
              <w:rPr>
                <w:rFonts w:hint="eastAsia" w:ascii="仿宋" w:hAnsi="仿宋" w:eastAsia="仿宋" w:cs="仿宋"/>
                <w:color w:val="000000"/>
                <w:szCs w:val="21"/>
                <w:lang w:val="en-US" w:eastAsia="zh-CN"/>
              </w:rPr>
              <w:t xml:space="preserve">供应商</w:t>
            </w:r>
            <w:r>
              <w:rPr>
                <w:rFonts w:hint="eastAsia" w:ascii="仿宋" w:hAnsi="仿宋" w:eastAsia="仿宋" w:cs="仿宋"/>
                <w:color w:val="000000"/>
                <w:szCs w:val="21"/>
              </w:rPr>
              <w:t xml:space="preserve">对</w:t>
            </w:r>
            <w:r>
              <w:rPr>
                <w:rFonts w:hint="eastAsia" w:ascii="仿宋" w:hAnsi="仿宋" w:eastAsia="仿宋" w:cs="仿宋"/>
                <w:color w:val="000000"/>
                <w:szCs w:val="21"/>
                <w:lang w:val="en-US" w:eastAsia="zh-CN"/>
              </w:rPr>
              <w:t xml:space="preserve">磋商</w:t>
            </w:r>
            <w:r>
              <w:rPr>
                <w:rFonts w:hint="eastAsia" w:ascii="仿宋" w:hAnsi="仿宋" w:eastAsia="仿宋" w:cs="仿宋"/>
                <w:color w:val="000000"/>
                <w:szCs w:val="21"/>
              </w:rPr>
              <w:t xml:space="preserve">文件如有疑问</w:t>
            </w:r>
            <w:r>
              <w:rPr>
                <w:rFonts w:hint="eastAsia" w:ascii="仿宋" w:hAnsi="仿宋" w:eastAsia="仿宋" w:cs="仿宋"/>
                <w:szCs w:val="21"/>
                <w:highlight w:val="none"/>
              </w:rPr>
              <w:t xml:space="preserve">，请将疑问于</w:t>
            </w:r>
            <w:r>
              <w:rPr>
                <w:rFonts w:hint="eastAsia" w:ascii="仿宋" w:hAnsi="仿宋" w:eastAsia="仿宋" w:cs="仿宋"/>
                <w:b/>
                <w:szCs w:val="21"/>
                <w:highlight w:val="none"/>
              </w:rPr>
              <w:t xml:space="preserve">202</w:t>
            </w:r>
            <w:r>
              <w:rPr>
                <w:rFonts w:hint="eastAsia" w:ascii="仿宋" w:hAnsi="仿宋" w:eastAsia="仿宋" w:cs="仿宋"/>
                <w:b/>
                <w:szCs w:val="21"/>
                <w:highlight w:val="none"/>
                <w:lang w:val="en-US" w:eastAsia="zh-CN"/>
              </w:rPr>
              <w:t xml:space="preserve">6</w:t>
            </w:r>
            <w:r>
              <w:rPr>
                <w:rFonts w:hint="eastAsia" w:ascii="仿宋" w:hAnsi="仿宋" w:eastAsia="仿宋" w:cs="仿宋"/>
                <w:b/>
                <w:szCs w:val="21"/>
                <w:highlight w:val="none"/>
              </w:rPr>
              <w:t xml:space="preserve">年</w:t>
            </w:r>
            <w:r>
              <w:rPr>
                <w:rFonts w:hint="eastAsia" w:ascii="仿宋" w:hAnsi="仿宋" w:eastAsia="仿宋" w:cs="仿宋"/>
                <w:b/>
                <w:szCs w:val="21"/>
                <w:highlight w:val="none"/>
                <w:lang w:val="en-US" w:eastAsia="zh-CN"/>
              </w:rPr>
              <w:t xml:space="preserve">06月 02</w:t>
            </w:r>
            <w:r>
              <w:rPr>
                <w:rFonts w:hint="eastAsia" w:ascii="仿宋" w:hAnsi="仿宋" w:eastAsia="仿宋" w:cs="仿宋"/>
                <w:b/>
                <w:szCs w:val="21"/>
                <w:highlight w:val="none"/>
              </w:rPr>
              <w:t xml:space="preserve">日</w:t>
            </w:r>
            <w:r>
              <w:rPr>
                <w:rFonts w:hint="eastAsia" w:ascii="仿宋" w:hAnsi="仿宋" w:eastAsia="仿宋" w:cs="仿宋"/>
                <w:b/>
                <w:szCs w:val="21"/>
                <w:highlight w:val="none"/>
                <w:lang w:val="en-US" w:eastAsia="zh-CN"/>
              </w:rPr>
              <w:t xml:space="preserve">11时</w:t>
            </w:r>
            <w:r>
              <w:rPr>
                <w:rFonts w:hint="eastAsia" w:ascii="仿宋" w:hAnsi="仿宋" w:eastAsia="仿宋" w:cs="仿宋"/>
                <w:b/>
                <w:szCs w:val="21"/>
                <w:highlight w:val="none"/>
              </w:rPr>
              <w:t xml:space="preserve">00分（北京时间）</w:t>
            </w:r>
            <w:r>
              <w:rPr>
                <w:rFonts w:hint="eastAsia" w:ascii="仿宋" w:hAnsi="仿宋" w:eastAsia="仿宋" w:cs="仿宋"/>
                <w:szCs w:val="21"/>
                <w:highlight w:val="none"/>
              </w:rPr>
              <w:t xml:space="preserve">前以书面形式提交至常州筠诚工程咨询有限公司。</w:t>
            </w:r>
            <w:r>
              <w:rPr>
                <w:rFonts w:hint="eastAsia" w:ascii="仿宋" w:hAnsi="仿宋" w:eastAsia="仿宋" w:cs="仿宋"/>
                <w:szCs w:val="21"/>
                <w:highlight w:val="none"/>
                <w:lang w:val="en-US" w:eastAsia="zh-CN"/>
              </w:rPr>
              <w:t xml:space="preserve">邮箱：330528251@qq.com。</w:t>
            </w:r>
            <w:r/>
          </w:p>
        </w:tc>
      </w:tr>
      <w:tr>
        <w:trPr>
          <w:jc w:val="center"/>
          <w:trHeight w:val="340"/>
        </w:trPr>
        <w:tc>
          <w:tcPr>
            <w:tcW w:w="988" w:type="dxa"/>
            <w:vAlign w:val="center"/>
            <w:textDirection w:val="lrTb"/>
            <w:noWrap w:val="false"/>
          </w:tcPr>
          <w:p>
            <w:pPr>
              <w:pStyle w:val="1174"/>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11</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联系方式</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接收询问和质疑的联系方式</w:t>
            </w:r>
            <w:r/>
          </w:p>
          <w:p>
            <w:pPr>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联系部门：</w:t>
            </w:r>
            <w:r>
              <w:rPr>
                <w:rFonts w:hint="eastAsia" w:ascii="仿宋" w:hAnsi="仿宋" w:eastAsia="仿宋" w:cs="仿宋"/>
                <w:color w:val="000000"/>
                <w:szCs w:val="21"/>
              </w:rPr>
              <w:t xml:space="preserve">常州筠诚工程咨询有限公司招标部办公室</w:t>
            </w:r>
            <w:r>
              <w:rPr>
                <w:rFonts w:hint="eastAsia" w:ascii="仿宋" w:hAnsi="仿宋" w:eastAsia="仿宋" w:cs="仿宋"/>
                <w:color w:val="000000"/>
                <w:sz w:val="21"/>
                <w:szCs w:val="21"/>
                <w:highlight w:val="none"/>
              </w:rPr>
              <w:t xml:space="preserve">；</w:t>
            </w:r>
            <w:r/>
          </w:p>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联系电话：</w:t>
            </w:r>
            <w:r>
              <w:rPr>
                <w:rFonts w:hint="eastAsia" w:ascii="仿宋" w:hAnsi="仿宋" w:eastAsia="仿宋" w:cs="仿宋"/>
                <w:color w:val="000000"/>
                <w:sz w:val="21"/>
                <w:szCs w:val="21"/>
                <w:highlight w:val="none"/>
                <w:lang w:val="en-US" w:eastAsia="zh-CN"/>
              </w:rPr>
              <w:t xml:space="preserve">13584333088</w:t>
            </w:r>
            <w:r>
              <w:rPr>
                <w:rFonts w:hint="eastAsia" w:ascii="仿宋" w:hAnsi="仿宋" w:eastAsia="仿宋" w:cs="仿宋"/>
                <w:color w:val="000000"/>
                <w:sz w:val="21"/>
                <w:szCs w:val="21"/>
                <w:highlight w:val="none"/>
              </w:rPr>
              <w:t xml:space="preserve">；</w:t>
            </w:r>
            <w:r/>
          </w:p>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通讯地址：</w:t>
            </w:r>
            <w:r>
              <w:rPr>
                <w:rFonts w:hint="eastAsia" w:ascii="仿宋" w:hAnsi="仿宋" w:eastAsia="仿宋" w:cs="仿宋"/>
                <w:color w:val="000000"/>
                <w:szCs w:val="21"/>
              </w:rPr>
              <w:t xml:space="preserve">常州市钟楼区化龙巷1号恒利大厦C座四楼。</w:t>
            </w:r>
            <w:r/>
          </w:p>
        </w:tc>
      </w:tr>
      <w:tr>
        <w:trPr>
          <w:jc w:val="center"/>
          <w:trHeight w:val="340"/>
        </w:trPr>
        <w:tc>
          <w:tcPr>
            <w:tcW w:w="988" w:type="dxa"/>
            <w:vAlign w:val="center"/>
            <w:textDirection w:val="lrTb"/>
            <w:noWrap w:val="false"/>
          </w:tcPr>
          <w:p>
            <w:pPr>
              <w:pStyle w:val="1174"/>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代理费</w:t>
            </w:r>
            <w:r/>
          </w:p>
        </w:tc>
        <w:tc>
          <w:tcPr>
            <w:tcW w:w="6800" w:type="dxa"/>
            <w:vAlign w:val="center"/>
            <w:textDirection w:val="lrTb"/>
            <w:noWrap w:val="false"/>
          </w:tcPr>
          <w:p>
            <w:pPr>
              <w:jc w:val="left"/>
              <w:spacing w:line="276" w:lineRule="auto"/>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收费对象：中标人</w:t>
            </w:r>
            <w:r/>
          </w:p>
          <w:p>
            <w:pPr>
              <w:jc w:val="left"/>
              <w:spacing w:line="276" w:lineRule="auto"/>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收费标准：按差额定率累进法计算，中标金额100万元以下1.5%、100-500万元以下1.1%的2.8折计取。如按上述方法计算的金额低于人民币1500元整，则服务费按人民币1500元整计取。</w:t>
            </w:r>
            <w:r/>
          </w:p>
          <w:p>
            <w:pPr>
              <w:jc w:val="left"/>
              <w:rPr>
                <w:rFonts w:hint="eastAsia" w:ascii="仿宋" w:hAnsi="仿宋" w:eastAsia="仿宋" w:cs="仿宋"/>
                <w:color w:val="000000"/>
                <w:sz w:val="21"/>
                <w:szCs w:val="21"/>
                <w:highlight w:val="none"/>
              </w:rPr>
            </w:pPr>
            <w:r>
              <w:rPr>
                <w:rFonts w:hint="eastAsia" w:ascii="仿宋" w:hAnsi="仿宋" w:eastAsia="仿宋" w:cs="仿宋"/>
                <w:b w:val="0"/>
                <w:bCs w:val="0"/>
                <w:color w:val="000000"/>
                <w:szCs w:val="21"/>
              </w:rPr>
              <w:t xml:space="preserve">缴纳时间：领取中标（成交）通知书之前。</w:t>
            </w:r>
            <w:r/>
          </w:p>
        </w:tc>
      </w:tr>
    </w:tbl>
    <w:p>
      <w:pPr>
        <w:jc w:val="both"/>
        <w:spacing w:line="360" w:lineRule="auto"/>
        <w:tabs>
          <w:tab w:val="left" w:pos="5580" w:leader="none"/>
        </w:tabs>
        <w:rPr>
          <w:rFonts w:hint="eastAsia" w:ascii="仿宋" w:hAnsi="仿宋" w:eastAsia="仿宋" w:cs="仿宋"/>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仿宋" w:hAnsi="仿宋" w:eastAsia="仿宋" w:cs="仿宋"/>
          <w:color w:val="000000"/>
          <w:sz w:val="24"/>
          <w:highlight w:val="none"/>
        </w:rPr>
      </w:r>
      <w:r/>
    </w:p>
    <w:p>
      <w:pPr>
        <w:jc w:val="center"/>
        <w:spacing w:before="240" w:after="240"/>
        <w:rPr>
          <w:rFonts w:ascii="仿宋" w:hAnsi="仿宋" w:eastAsia="仿宋"/>
          <w:b/>
          <w:color w:val="000000"/>
          <w:sz w:val="28"/>
          <w:szCs w:val="28"/>
          <w:highlight w:val="none"/>
        </w:rPr>
        <w:outlineLvl w:val="1"/>
      </w:pPr>
      <w:r/>
      <w:bookmarkStart w:id="78" w:name="_Toc169226704"/>
      <w:r/>
      <w:bookmarkStart w:id="79" w:name="_Toc7239"/>
      <w:r/>
      <w:bookmarkStart w:id="80" w:name="_Toc140670326"/>
      <w:r/>
      <w:bookmarkStart w:id="81" w:name="_Toc7722"/>
      <w:r/>
      <w:bookmarkStart w:id="82" w:name="_Toc169226708"/>
      <w:r/>
      <w:bookmarkStart w:id="83" w:name="_Toc128435111"/>
      <w:r/>
      <w:bookmarkStart w:id="84" w:name="_Toc107952825"/>
      <w:r/>
      <w:bookmarkStart w:id="85" w:name="_Toc140670462"/>
      <w:r>
        <w:rPr>
          <w:rFonts w:ascii="仿宋" w:hAnsi="仿宋" w:eastAsia="仿宋"/>
          <w:b/>
          <w:color w:val="000000"/>
          <w:sz w:val="28"/>
          <w:szCs w:val="28"/>
          <w:highlight w:val="none"/>
        </w:rPr>
        <w:t xml:space="preserve">供应商须知</w:t>
      </w:r>
      <w:bookmarkEnd w:id="78"/>
      <w:r/>
      <w:bookmarkEnd w:id="79"/>
      <w:r/>
      <w:r/>
    </w:p>
    <w:p>
      <w:pPr>
        <w:pStyle w:val="967"/>
        <w:jc w:val="left"/>
        <w:spacing w:before="0" w:line="360" w:lineRule="auto"/>
        <w:tabs>
          <w:tab w:val="center" w:pos="4592" w:leader="none"/>
          <w:tab w:val="left" w:pos="7860" w:leader="none"/>
        </w:tabs>
        <w:rPr>
          <w:rFonts w:ascii="仿宋" w:hAnsi="仿宋" w:eastAsia="仿宋"/>
          <w:color w:val="000000"/>
          <w:sz w:val="28"/>
          <w:highlight w:val="none"/>
        </w:rPr>
      </w:pPr>
      <w:r/>
      <w:bookmarkStart w:id="86" w:name="_Toc127151518"/>
      <w:r/>
      <w:bookmarkStart w:id="87" w:name="_Toc520356143"/>
      <w:r>
        <w:rPr>
          <w:rFonts w:ascii="仿宋" w:hAnsi="仿宋" w:eastAsia="仿宋"/>
          <w:color w:val="000000"/>
          <w:sz w:val="28"/>
          <w:highlight w:val="none"/>
        </w:rPr>
        <w:tab/>
      </w:r>
      <w:bookmarkStart w:id="88" w:name="_Toc151190145"/>
      <w:r/>
      <w:bookmarkStart w:id="89" w:name="_Toc1897"/>
      <w:r/>
      <w:bookmarkStart w:id="90" w:name="_Toc226309762"/>
      <w:r/>
      <w:bookmarkStart w:id="91" w:name="_Toc195842883"/>
      <w:r/>
      <w:bookmarkStart w:id="92" w:name="_Toc264969208"/>
      <w:r/>
      <w:bookmarkStart w:id="93" w:name="_Toc150774723"/>
      <w:r/>
      <w:bookmarkStart w:id="94" w:name="_Toc151193688"/>
      <w:r/>
      <w:bookmarkStart w:id="95" w:name="_Toc107952808"/>
      <w:r/>
      <w:bookmarkStart w:id="96" w:name="_Toc226965708"/>
      <w:r/>
      <w:bookmarkStart w:id="97" w:name="_Toc226965791"/>
      <w:r/>
      <w:bookmarkStart w:id="98" w:name="_Toc151193906"/>
      <w:r/>
      <w:bookmarkStart w:id="99" w:name="_Toc150774618"/>
      <w:r/>
      <w:bookmarkStart w:id="100" w:name="_Toc305158860"/>
      <w:r/>
      <w:bookmarkStart w:id="101" w:name="_Toc151193832"/>
      <w:r/>
      <w:bookmarkStart w:id="102" w:name="_Toc226337214"/>
      <w:r/>
      <w:bookmarkStart w:id="103" w:name="_Toc150480756"/>
      <w:r/>
      <w:bookmarkStart w:id="104" w:name="_Toc151193616"/>
      <w:r/>
      <w:bookmarkStart w:id="105" w:name="_Toc140670323"/>
      <w:r/>
      <w:bookmarkStart w:id="106" w:name="_Toc150509269"/>
      <w:r/>
      <w:bookmarkStart w:id="107" w:name="_Toc265228356"/>
      <w:r/>
      <w:bookmarkStart w:id="108" w:name="_Toc128435095"/>
      <w:r/>
      <w:bookmarkStart w:id="109" w:name="_Toc142311020"/>
      <w:r/>
      <w:bookmarkStart w:id="110" w:name="_Toc140670459"/>
      <w:r/>
      <w:bookmarkStart w:id="111" w:name="_Toc169226705"/>
      <w:r/>
      <w:bookmarkStart w:id="112" w:name="_Toc305158786"/>
      <w:r/>
      <w:bookmarkStart w:id="113" w:name="_Toc151193760"/>
      <w:r>
        <w:rPr>
          <w:rFonts w:hint="eastAsia" w:ascii="仿宋" w:hAnsi="仿宋" w:eastAsia="仿宋"/>
          <w:color w:val="000000"/>
          <w:sz w:val="28"/>
          <w:highlight w:val="none"/>
        </w:rPr>
        <w:t xml:space="preserve">一</w:t>
      </w:r>
      <w:r>
        <w:rPr>
          <w:rFonts w:ascii="仿宋" w:hAnsi="仿宋" w:eastAsia="仿宋"/>
          <w:color w:val="000000"/>
          <w:sz w:val="28"/>
          <w:highlight w:val="none"/>
        </w:rPr>
        <w:t xml:space="preserve">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仿宋" w:hAnsi="仿宋" w:eastAsia="仿宋"/>
          <w:color w:val="000000"/>
          <w:sz w:val="28"/>
          <w:highlight w:val="none"/>
        </w:rPr>
        <w:tab/>
      </w:r>
      <w:r/>
    </w:p>
    <w:p>
      <w:pPr>
        <w:contextualSpacing/>
        <w:ind w:firstLine="422"/>
        <w:spacing w:line="360" w:lineRule="auto"/>
        <w:rPr>
          <w:rStyle w:val="1151"/>
          <w:rFonts w:ascii="仿宋" w:hAnsi="仿宋" w:eastAsia="仿宋"/>
          <w:b/>
          <w:bCs/>
          <w:color w:val="000000"/>
          <w:sz w:val="21"/>
          <w:szCs w:val="21"/>
          <w:highlight w:val="none"/>
        </w:rPr>
      </w:pPr>
      <w:r/>
      <w:bookmarkStart w:id="114" w:name="_Toc305158861"/>
      <w:r/>
      <w:bookmarkStart w:id="115" w:name="_Toc264969209"/>
      <w:r/>
      <w:bookmarkStart w:id="116" w:name="_Toc305158787"/>
      <w:r/>
      <w:bookmarkStart w:id="117" w:name="_Toc265228357"/>
      <w:r/>
      <w:bookmarkStart w:id="118" w:name="_Toc128435096"/>
      <w:r/>
      <w:bookmarkStart w:id="119" w:name="_Toc107952809"/>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.采购人、采购代理机构、供应商</w:t>
      </w:r>
      <w:bookmarkEnd w:id="114"/>
      <w:r/>
      <w:bookmarkEnd w:id="115"/>
      <w:r/>
      <w:bookmarkEnd w:id="116"/>
      <w:r/>
      <w:bookmarkEnd w:id="117"/>
      <w:r>
        <w:rPr>
          <w:rStyle w:val="1151"/>
          <w:rFonts w:ascii="仿宋" w:hAnsi="仿宋" w:eastAsia="仿宋"/>
          <w:b/>
          <w:bCs/>
          <w:color w:val="000000"/>
          <w:sz w:val="21"/>
          <w:szCs w:val="21"/>
          <w:highlight w:val="none"/>
        </w:rPr>
        <w:t xml:space="preserve">、联合体</w:t>
      </w:r>
      <w:bookmarkEnd w:id="118"/>
      <w:r/>
      <w:bookmarkEnd w:id="119"/>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.1采购人、采购代理机构：指依法进行政府采购的国家机关、事业单位、团体组织，及其委托的采购代理机构。本项目采购人、采购代理机构见第一章《采购邀请》。</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.2供应商（也称“申请人”）：指向采购人提供货物、工程或者服务的法人、其他组织或者自然人。</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1.3联合体：指两个以上的自然人、法人或者其他组织组成一个联合体，以一个供应商的身份共同参加政府采购。</w:t>
      </w:r>
      <w:r/>
    </w:p>
    <w:p>
      <w:pPr>
        <w:contextualSpacing/>
        <w:ind w:firstLine="422"/>
        <w:spacing w:line="360" w:lineRule="auto"/>
        <w:rPr>
          <w:rStyle w:val="1151"/>
          <w:rFonts w:ascii="仿宋" w:hAnsi="仿宋" w:eastAsia="仿宋"/>
          <w:b/>
          <w:bCs/>
          <w:color w:val="000000"/>
          <w:sz w:val="21"/>
          <w:szCs w:val="21"/>
          <w:highlight w:val="none"/>
        </w:rPr>
      </w:pPr>
      <w:r/>
      <w:bookmarkStart w:id="120" w:name="_Toc151193618"/>
      <w:r/>
      <w:bookmarkStart w:id="121" w:name="_Toc151190147"/>
      <w:r/>
      <w:bookmarkStart w:id="122" w:name="_Toc127151520"/>
      <w:r/>
      <w:bookmarkStart w:id="123" w:name="_Toc265228358"/>
      <w:r/>
      <w:bookmarkStart w:id="124" w:name="_Toc226965710"/>
      <w:r/>
      <w:bookmarkStart w:id="125" w:name="_Toc164229215"/>
      <w:r/>
      <w:bookmarkStart w:id="126" w:name="_Toc226309764"/>
      <w:r/>
      <w:bookmarkStart w:id="127" w:name="_Toc305158788"/>
      <w:r/>
      <w:bookmarkStart w:id="128" w:name="_Toc226965793"/>
      <w:r/>
      <w:bookmarkStart w:id="129" w:name="_Toc305158862"/>
      <w:r/>
      <w:bookmarkStart w:id="130" w:name="_Toc226337216"/>
      <w:r/>
      <w:bookmarkStart w:id="131" w:name="_Toc164608789"/>
      <w:r/>
      <w:bookmarkStart w:id="132" w:name="_Toc151193762"/>
      <w:r/>
      <w:bookmarkStart w:id="133" w:name="_Toc150774620"/>
      <w:r/>
      <w:bookmarkStart w:id="134" w:name="_Toc150774725"/>
      <w:r/>
      <w:bookmarkStart w:id="135" w:name="_Toc149720813"/>
      <w:r/>
      <w:bookmarkStart w:id="136" w:name="_Toc164229361"/>
      <w:r/>
      <w:bookmarkStart w:id="137" w:name="_Toc127161434"/>
      <w:r/>
      <w:bookmarkStart w:id="138" w:name="_Toc151193908"/>
      <w:r/>
      <w:bookmarkStart w:id="139" w:name="_Toc264969210"/>
      <w:r/>
      <w:bookmarkStart w:id="140" w:name="_Toc151193690"/>
      <w:r/>
      <w:bookmarkStart w:id="141" w:name="_Toc164608634"/>
      <w:r/>
      <w:bookmarkStart w:id="142" w:name="_Toc127151721"/>
      <w:r/>
      <w:bookmarkStart w:id="143" w:name="_Toc142311022"/>
      <w:r/>
      <w:bookmarkStart w:id="144" w:name="_Toc195842885"/>
      <w:r/>
      <w:bookmarkStart w:id="145" w:name="_Toc150480758"/>
      <w:r/>
      <w:bookmarkStart w:id="146" w:name="_Toc151193834"/>
      <w:r/>
      <w:bookmarkStart w:id="147" w:name="_Toc164351614"/>
      <w:r/>
      <w:bookmarkStart w:id="148" w:name="_Toc150509271"/>
      <w:r/>
      <w:bookmarkStart w:id="149" w:name="_Toc128435097"/>
      <w:r/>
      <w:bookmarkStart w:id="150" w:name="_Toc107952810"/>
      <w:r>
        <w:rPr>
          <w:rStyle w:val="1151"/>
          <w:rFonts w:ascii="仿宋" w:hAnsi="仿宋" w:eastAsia="仿宋"/>
          <w:b/>
          <w:bCs/>
          <w:color w:val="000000"/>
          <w:sz w:val="21"/>
          <w:szCs w:val="21"/>
          <w:highlight w:val="none"/>
        </w:rPr>
        <w:t xml:space="preserve">2.资金来源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Style w:val="1151"/>
          <w:rFonts w:ascii="仿宋" w:hAnsi="仿宋" w:eastAsia="仿宋"/>
          <w:b/>
          <w:bCs/>
          <w:color w:val="000000"/>
          <w:sz w:val="21"/>
          <w:szCs w:val="21"/>
          <w:highlight w:val="none"/>
        </w:rPr>
        <w:t xml:space="preserve">、项目属性、科研仪器设备采购</w:t>
      </w:r>
      <w:bookmarkEnd w:id="149"/>
      <w:r/>
      <w:bookmarkEnd w:id="150"/>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.1资金来源为财政性资金和/或本项目采购中无法与财政性资金分割的非财政性资金。</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.2 项目属性见《供应商须知资料表》。</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.3 是否属于科研仪器设备采购见《供应商须知资料表》。</w:t>
      </w:r>
      <w:r/>
    </w:p>
    <w:p>
      <w:pPr>
        <w:contextualSpacing/>
        <w:ind w:firstLine="422"/>
        <w:spacing w:line="360" w:lineRule="auto"/>
        <w:rPr>
          <w:rStyle w:val="1151"/>
          <w:rFonts w:ascii="仿宋" w:hAnsi="仿宋" w:eastAsia="仿宋"/>
          <w:b/>
          <w:bCs/>
          <w:color w:val="000000"/>
          <w:sz w:val="21"/>
          <w:szCs w:val="21"/>
          <w:highlight w:val="none"/>
        </w:rPr>
      </w:pPr>
      <w:r/>
      <w:bookmarkStart w:id="151" w:name="_Toc107952811"/>
      <w:r/>
      <w:bookmarkStart w:id="152" w:name="_Toc128435098"/>
      <w:r>
        <w:rPr>
          <w:rStyle w:val="1151"/>
          <w:rFonts w:ascii="仿宋" w:hAnsi="仿宋" w:eastAsia="仿宋"/>
          <w:b/>
          <w:bCs/>
          <w:color w:val="000000"/>
          <w:sz w:val="21"/>
          <w:szCs w:val="21"/>
          <w:highlight w:val="none"/>
        </w:rPr>
        <w:t xml:space="preserve">3.现场考察、磋商前答疑会</w:t>
      </w:r>
      <w:bookmarkEnd w:id="151"/>
      <w:r/>
      <w:bookmarkEnd w:id="152"/>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.1若《供应商须知资料表》中规定了组织现场考察、召开磋商前答疑会，则供应商应按要求在规定的时间和地点参加。</w:t>
      </w:r>
      <w:bookmarkStart w:id="153" w:name="_Toc151193764"/>
      <w:r/>
      <w:bookmarkStart w:id="154" w:name="_Toc142311024"/>
      <w:r/>
      <w:bookmarkStart w:id="155" w:name="_Toc195842887"/>
      <w:r/>
      <w:bookmarkStart w:id="156" w:name="_Toc150774622"/>
      <w:r/>
      <w:bookmarkStart w:id="157" w:name="_Toc150480760"/>
      <w:r/>
      <w:bookmarkStart w:id="158" w:name="_Toc151193620"/>
      <w:r/>
      <w:bookmarkStart w:id="159" w:name="_Toc150509273"/>
      <w:r/>
      <w:bookmarkStart w:id="160" w:name="_Toc151190149"/>
      <w:r/>
      <w:bookmarkStart w:id="161" w:name="_Toc265228360"/>
      <w:r/>
      <w:bookmarkStart w:id="162" w:name="_Toc151193692"/>
      <w:r/>
      <w:bookmarkStart w:id="163" w:name="_Toc226309766"/>
      <w:r/>
      <w:bookmarkStart w:id="164" w:name="_Toc226965712"/>
      <w:r/>
      <w:bookmarkStart w:id="165" w:name="_Toc151193910"/>
      <w:r/>
      <w:bookmarkStart w:id="166" w:name="_Toc127151522"/>
      <w:r/>
      <w:bookmarkStart w:id="167" w:name="_Toc305158790"/>
      <w:r/>
      <w:bookmarkStart w:id="168" w:name="_Toc264969212"/>
      <w:r/>
      <w:bookmarkStart w:id="169" w:name="_Toc151193836"/>
      <w:r/>
      <w:bookmarkStart w:id="170" w:name="_Toc226965795"/>
      <w:r/>
      <w:bookmarkStart w:id="171" w:name="_Toc520356146"/>
      <w:r/>
      <w:bookmarkStart w:id="172" w:name="_Toc305158864"/>
      <w:r/>
      <w:bookmarkStart w:id="173" w:name="_Toc150774727"/>
      <w:r/>
      <w:bookmarkStart w:id="174" w:name="_Toc226337218"/>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contextualSpacing/>
        <w:ind w:firstLine="422"/>
        <w:spacing w:line="360" w:lineRule="auto"/>
        <w:rPr>
          <w:rStyle w:val="1151"/>
          <w:rFonts w:ascii="仿宋" w:hAnsi="仿宋" w:eastAsia="仿宋"/>
          <w:b/>
          <w:bCs/>
          <w:color w:val="000000"/>
          <w:sz w:val="21"/>
          <w:szCs w:val="21"/>
          <w:highlight w:val="none"/>
        </w:rPr>
      </w:pPr>
      <w:r/>
      <w:bookmarkStart w:id="175" w:name="_Toc128435099"/>
      <w:r/>
      <w:bookmarkStart w:id="176" w:name="_Toc107952812"/>
      <w:r>
        <w:rPr>
          <w:rStyle w:val="1151"/>
          <w:rFonts w:ascii="仿宋" w:hAnsi="仿宋" w:eastAsia="仿宋"/>
          <w:b/>
          <w:bCs/>
          <w:color w:val="000000"/>
          <w:sz w:val="21"/>
          <w:szCs w:val="21"/>
          <w:highlight w:val="none"/>
        </w:rPr>
        <w:t xml:space="preserve">4.政府采购政策（包括但不限于下列具体政策要求）</w:t>
      </w:r>
      <w:bookmarkEnd w:id="175"/>
      <w:r/>
      <w:bookmarkEnd w:id="176"/>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.1 进口产品</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.2中小企业、监狱企业及残疾人福利性单位</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4.2.1中小企业定义：</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.2.1.1中小企业是</w:t>
      </w:r>
      <w:r>
        <w:rPr>
          <w:rStyle w:val="1151"/>
          <w:rFonts w:ascii="仿宋" w:hAnsi="仿宋" w:eastAsia="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.2.1.2供应商提供的货物、工程或者服务符合下列情形的，享受中小企业扶持政策：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（1）在货物采购项目中，货物由中小企业制造，即货物由中小企业生产且使用该中小企业商号或者注册商标；</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（2）在工程采购项目中，工程由中小企业承建，即工程施工单位为中小企业；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（3）在服务采购项目中，服务由中小企业承接，即提供服务的人员为中小企业依照《中华人民共和国劳动合同法》订立劳动合同的从业人员。</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.2.1.3在货物采购项目中，供应商提供的货物既有中小企业制造货物，也有大型企业制造货物的，不享受中小企业扶持政策。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4.2.1.4以联合体形式参加政府采购活动，联合体各方均为中小企业的，联合体视同中小企业。其中，联合体各方均为小微企业的，联合体视同小微企业。</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4.2.3残疾人福利单位定义：享受政府采购支持政策的残疾人福利性单位应当同时满足以下条件：</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4.2.3.1 安置的残疾人占本单位在职职工人数的比例不低于25%（含25%），并且安置的残疾人人数不少于10人（含10人）；</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.2.3.2依法与安置的每位残疾人签订了一年以上（含一年）的劳动合同或服务协议；</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4.2.3.3为安置的每位残疾人按月足额缴纳了基本养老保险、基本医疗保险、失业保险、工伤保险和生育保险等社会保险费；</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4.2.3.4通过银行等金融机构向安置的每位残疾人，按月支付了不低于单位所在区县适用的经省级人民政府批准的月最低工资标准的工资；</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4.2.3.5提供本单位制造的货物、承担的工程或者服务（以下简称产品），或者提供其他残疾人福利性单位制造的货物（不包括使用非残疾人福利性单位注册商标的货物）；</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.2.4 本项目是否专门面向中小企业预留采购份额见第一章《采购邀请》。</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4.2.5 采购标的对应的中小企业划分标准所属行业见《供应商须知资料表》。</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4.2.6 小微企业价格评审优惠的政策调整：见第三章《评审方法和评审标准》。</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.3政府采购节能产品、环境标志产品</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.3.3如本项目采购产品属于实施政府强制采购品目清单范围的节能产品，则供应商所报产品必须获得国家确定的认证机构出具的、处于有效期之内的节能产品认证证书，否则响应无效；</w:t>
      </w:r>
      <w:r/>
    </w:p>
    <w:p>
      <w:pPr>
        <w:contextualSpacing/>
        <w:ind w:firstLine="420"/>
        <w:spacing w:line="360" w:lineRule="auto"/>
        <w:rPr>
          <w:rStyle w:val="1151"/>
          <w:rFonts w:hint="eastAsia" w:ascii="仿宋" w:hAnsi="仿宋" w:eastAsia="仿宋"/>
          <w:color w:val="000000"/>
          <w:sz w:val="21"/>
          <w:szCs w:val="21"/>
          <w:highlight w:val="none"/>
        </w:rPr>
      </w:pPr>
      <w:r>
        <w:rPr>
          <w:rStyle w:val="1151"/>
          <w:rFonts w:ascii="仿宋" w:hAnsi="仿宋" w:eastAsia="仿宋"/>
          <w:color w:val="000000"/>
          <w:sz w:val="21"/>
          <w:szCs w:val="21"/>
          <w:highlight w:val="none"/>
        </w:rPr>
        <w:t xml:space="preserve">4.3.4非政府强制采购的节能产品或环境标志产品，依据品目清单和认证证书实施政府优先采购。优先采购的具体规定见第三章《评审方法和评审标准》（如涉及）。</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.3.5</w:t>
      </w:r>
      <w:r>
        <w:rPr>
          <w:rStyle w:val="1151"/>
          <w:rFonts w:hint="eastAsia" w:ascii="仿宋" w:hAnsi="仿宋" w:eastAsia="仿宋"/>
          <w:color w:val="000000"/>
          <w:sz w:val="21"/>
          <w:szCs w:val="21"/>
          <w:highlight w:val="none"/>
        </w:rPr>
        <w:t xml:space="preserve">依据</w:t>
      </w:r>
      <w:r>
        <w:rPr>
          <w:rStyle w:val="1151"/>
          <w:rFonts w:ascii="仿宋" w:hAnsi="仿宋" w:eastAsia="仿宋"/>
          <w:color w:val="000000"/>
          <w:sz w:val="21"/>
          <w:szCs w:val="21"/>
          <w:highlight w:val="none"/>
        </w:rPr>
        <w:t xml:space="preserve">《关于印发〈商品包装政府采购需求标准（试行）〉、〈快递包装政府采购需求标准（试行）〉的通知》（财办库〔2020〕123号）</w:t>
      </w:r>
      <w:r>
        <w:rPr>
          <w:rStyle w:val="1151"/>
          <w:rFonts w:hint="eastAsia" w:ascii="仿宋" w:hAnsi="仿宋" w:eastAsia="仿宋"/>
          <w:color w:val="000000"/>
          <w:sz w:val="21"/>
          <w:szCs w:val="21"/>
          <w:highlight w:val="none"/>
        </w:rPr>
        <w:t xml:space="preserve">文件</w:t>
      </w:r>
      <w:r>
        <w:rPr>
          <w:rStyle w:val="1151"/>
          <w:rFonts w:ascii="仿宋" w:hAnsi="仿宋" w:eastAsia="仿宋"/>
          <w:color w:val="000000"/>
          <w:sz w:val="21"/>
          <w:szCs w:val="21"/>
          <w:highlight w:val="none"/>
        </w:rPr>
        <w:t xml:space="preserve">精神</w:t>
      </w:r>
      <w:r>
        <w:rPr>
          <w:rStyle w:val="1151"/>
          <w:rFonts w:hint="eastAsia" w:ascii="仿宋" w:hAnsi="仿宋" w:eastAsia="仿宋"/>
          <w:color w:val="000000"/>
          <w:sz w:val="21"/>
          <w:szCs w:val="21"/>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.4支持乡村产业振兴管理</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.4.1为落实《关于运用政府采购政策支持乡村产业振兴的通知》（财库〔2021〕19号）有关要求，做好支持脱贫攻坚工作，本项目采购活动中对于支持乡村振兴管理的相关要求见第四章《采购需求》（如涉及）。</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4.5正版软件</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.5.1依据《财政部 国家发展改革委 信息产业部关于印发无线局域网产品政府采购实施意见的通知》（财库〔2005〕366 号），采购无线局域网产品和含有无线局域网功能的计算机、通信设备、打印</w:t>
      </w:r>
      <w:r>
        <w:rPr>
          <w:rStyle w:val="1151"/>
          <w:rFonts w:ascii="仿宋" w:hAnsi="仿宋" w:eastAsia="仿宋"/>
          <w:color w:val="000000"/>
          <w:sz w:val="21"/>
          <w:szCs w:val="21"/>
          <w:highlight w:val="none"/>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contextualSpacing/>
        <w:ind w:firstLine="420"/>
        <w:spacing w:line="360" w:lineRule="auto"/>
        <w:rPr>
          <w:rStyle w:val="1151"/>
          <w:rFonts w:hint="eastAsia" w:ascii="仿宋" w:hAnsi="仿宋" w:eastAsia="仿宋"/>
          <w:color w:val="000000"/>
          <w:sz w:val="21"/>
          <w:szCs w:val="21"/>
          <w:highlight w:val="none"/>
        </w:rPr>
      </w:pPr>
      <w:r/>
      <w:bookmarkStart w:id="177" w:name="_Toc107952813"/>
      <w:r/>
      <w:bookmarkStart w:id="178" w:name="_Toc128435100"/>
      <w:r>
        <w:rPr>
          <w:rStyle w:val="1151"/>
          <w:rFonts w:ascii="仿宋" w:hAnsi="仿宋" w:eastAsia="仿宋"/>
          <w:color w:val="000000"/>
          <w:sz w:val="21"/>
          <w:szCs w:val="21"/>
          <w:highlight w:val="none"/>
        </w:rPr>
        <w:t xml:space="preserve">4.6</w:t>
      </w:r>
      <w:r>
        <w:rPr>
          <w:rStyle w:val="1151"/>
          <w:rFonts w:hint="eastAsia" w:ascii="仿宋" w:hAnsi="仿宋" w:eastAsia="仿宋"/>
          <w:color w:val="000000"/>
          <w:sz w:val="21"/>
          <w:szCs w:val="21"/>
          <w:highlight w:val="none"/>
        </w:rPr>
        <w:t xml:space="preserve">政府采购创新产品政策</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.6.1</w:t>
      </w:r>
      <w:r>
        <w:rPr>
          <w:rStyle w:val="1151"/>
          <w:rFonts w:hint="eastAsia" w:ascii="仿宋" w:hAnsi="仿宋" w:eastAsia="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4.</w:t>
      </w:r>
      <w:r>
        <w:rPr>
          <w:rStyle w:val="1151"/>
          <w:rFonts w:ascii="仿宋" w:hAnsi="仿宋" w:eastAsia="仿宋"/>
          <w:b/>
          <w:bCs/>
          <w:color w:val="000000"/>
          <w:sz w:val="21"/>
          <w:szCs w:val="21"/>
          <w:highlight w:val="none"/>
        </w:rPr>
        <w:t xml:space="preserve">7</w:t>
      </w:r>
      <w:r>
        <w:rPr>
          <w:rStyle w:val="1151"/>
          <w:rFonts w:hint="eastAsia" w:ascii="仿宋" w:hAnsi="仿宋" w:eastAsia="仿宋"/>
          <w:b/>
          <w:bCs/>
          <w:color w:val="000000"/>
          <w:sz w:val="21"/>
          <w:szCs w:val="21"/>
          <w:highlight w:val="none"/>
        </w:rPr>
        <w:t xml:space="preserve"> 绿色采购政策</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4.</w:t>
      </w:r>
      <w:r>
        <w:rPr>
          <w:rStyle w:val="1151"/>
          <w:rFonts w:ascii="仿宋" w:hAnsi="仿宋" w:eastAsia="仿宋"/>
          <w:b/>
          <w:bCs/>
          <w:color w:val="000000"/>
          <w:sz w:val="21"/>
          <w:szCs w:val="21"/>
          <w:highlight w:val="none"/>
        </w:rPr>
        <w:t xml:space="preserve">7</w:t>
      </w:r>
      <w:r>
        <w:rPr>
          <w:rStyle w:val="1151"/>
          <w:rFonts w:hint="eastAsia" w:ascii="仿宋" w:hAnsi="仿宋" w:eastAsia="仿宋"/>
          <w:b/>
          <w:bCs/>
          <w:color w:val="000000"/>
          <w:sz w:val="21"/>
          <w:szCs w:val="21"/>
          <w:highlight w:val="none"/>
        </w:rPr>
        <w:t xml:space="preserve">.1  绿色数据中心政策 </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依据《绿色数据中心政府采购需求标准（试行）》（财办库〔2023〕7 号）文件精神，采购</w:t>
      </w:r>
      <w:r>
        <w:rPr>
          <w:rStyle w:val="1151"/>
          <w:rFonts w:hint="eastAsia" w:ascii="仿宋" w:hAnsi="仿宋" w:eastAsia="仿宋"/>
          <w:b/>
          <w:bCs/>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4.</w:t>
      </w:r>
      <w:r>
        <w:rPr>
          <w:rStyle w:val="1151"/>
          <w:rFonts w:ascii="仿宋" w:hAnsi="仿宋" w:eastAsia="仿宋"/>
          <w:b/>
          <w:bCs/>
          <w:color w:val="000000"/>
          <w:sz w:val="21"/>
          <w:szCs w:val="21"/>
          <w:highlight w:val="none"/>
        </w:rPr>
        <w:t xml:space="preserve">7</w:t>
      </w:r>
      <w:r>
        <w:rPr>
          <w:rStyle w:val="1151"/>
          <w:rFonts w:hint="eastAsia" w:ascii="仿宋" w:hAnsi="仿宋" w:eastAsia="仿宋"/>
          <w:b/>
          <w:bCs/>
          <w:color w:val="000000"/>
          <w:sz w:val="21"/>
          <w:szCs w:val="21"/>
          <w:highlight w:val="none"/>
        </w:rPr>
        <w:t xml:space="preserve">.2 推广应用绿色建材</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contextualSpacing/>
        <w:ind w:firstLine="422"/>
        <w:spacing w:line="360" w:lineRule="auto"/>
        <w:rPr>
          <w:rStyle w:val="1151"/>
          <w:rFonts w:hint="eastAsia"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 4.</w:t>
      </w:r>
      <w:r>
        <w:rPr>
          <w:rStyle w:val="1151"/>
          <w:rFonts w:ascii="仿宋" w:hAnsi="仿宋" w:eastAsia="仿宋"/>
          <w:b/>
          <w:bCs/>
          <w:color w:val="000000"/>
          <w:sz w:val="21"/>
          <w:szCs w:val="21"/>
          <w:highlight w:val="none"/>
        </w:rPr>
        <w:t xml:space="preserve">7</w:t>
      </w:r>
      <w:r>
        <w:rPr>
          <w:rStyle w:val="1151"/>
          <w:rFonts w:hint="eastAsia" w:ascii="仿宋" w:hAnsi="仿宋" w:eastAsia="仿宋"/>
          <w:b/>
          <w:bCs/>
          <w:color w:val="000000"/>
          <w:sz w:val="21"/>
          <w:szCs w:val="21"/>
          <w:highlight w:val="none"/>
        </w:rPr>
        <w:t xml:space="preserve">.3 优先使用低挥发性有机化合物产品</w:t>
      </w:r>
      <w:r/>
    </w:p>
    <w:p>
      <w:pPr>
        <w:contextualSpacing/>
        <w:ind w:firstLine="422"/>
        <w:spacing w:line="360" w:lineRule="auto"/>
        <w:rPr>
          <w:rStyle w:val="1151"/>
          <w:rFonts w:ascii="仿宋" w:hAnsi="仿宋" w:eastAsia="仿宋"/>
          <w:b/>
          <w:bCs/>
          <w:color w:val="000000"/>
          <w:sz w:val="21"/>
          <w:szCs w:val="21"/>
          <w:highlight w:val="none"/>
        </w:rPr>
      </w:pPr>
      <w:r>
        <w:rPr>
          <w:rStyle w:val="1151"/>
          <w:rFonts w:hint="eastAsia" w:ascii="仿宋" w:hAnsi="仿宋" w:eastAsia="仿宋"/>
          <w:b/>
          <w:bCs/>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5.响应费用</w:t>
      </w:r>
      <w:bookmarkEnd w:id="177"/>
      <w:r/>
      <w:bookmarkEnd w:id="178"/>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.1供应商应自行承担所有与准备和参加磋商有关的费用，无论磋商的结果如何，采购人或采购代理机构在任何情况下均无承担这些费用的义务和责任。</w:t>
      </w:r>
      <w:r/>
    </w:p>
    <w:p>
      <w:pPr>
        <w:pStyle w:val="967"/>
        <w:spacing w:before="0" w:line="360" w:lineRule="auto"/>
        <w:rPr>
          <w:rFonts w:ascii="仿宋" w:hAnsi="仿宋" w:eastAsia="仿宋"/>
          <w:color w:val="000000"/>
          <w:sz w:val="28"/>
          <w:highlight w:val="none"/>
        </w:rPr>
      </w:pPr>
      <w:r/>
      <w:bookmarkStart w:id="179" w:name="_1.8_计量单位"/>
      <w:r/>
      <w:bookmarkEnd w:id="179"/>
      <w:r/>
      <w:bookmarkStart w:id="180" w:name="_Toc169226706"/>
      <w:r/>
      <w:bookmarkStart w:id="181" w:name="_Toc4821"/>
      <w:r/>
      <w:bookmarkStart w:id="182" w:name="_Toc140670324"/>
      <w:r/>
      <w:bookmarkStart w:id="183" w:name="_Toc140670460"/>
      <w:r/>
      <w:bookmarkStart w:id="184" w:name="_Toc107952814"/>
      <w:r/>
      <w:bookmarkStart w:id="185" w:name="_Toc128435101"/>
      <w:r>
        <w:rPr>
          <w:rFonts w:ascii="仿宋" w:hAnsi="仿宋" w:eastAsia="仿宋"/>
          <w:color w:val="000000"/>
          <w:sz w:val="28"/>
          <w:highlight w:val="none"/>
        </w:rPr>
        <w:t xml:space="preserve">二   竞争性磋商文件</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80"/>
      <w:r/>
      <w:bookmarkEnd w:id="181"/>
      <w:r/>
      <w:bookmarkEnd w:id="182"/>
      <w:r/>
      <w:bookmarkEnd w:id="183"/>
      <w:r/>
      <w:bookmarkEnd w:id="184"/>
      <w:r/>
      <w:bookmarkEnd w:id="185"/>
      <w:r/>
      <w:r/>
    </w:p>
    <w:p>
      <w:pPr>
        <w:contextualSpacing/>
        <w:ind w:firstLine="422"/>
        <w:spacing w:line="360" w:lineRule="auto"/>
        <w:rPr>
          <w:rStyle w:val="1151"/>
          <w:rFonts w:ascii="仿宋" w:hAnsi="仿宋" w:eastAsia="仿宋"/>
          <w:b/>
          <w:bCs/>
          <w:color w:val="000000"/>
          <w:sz w:val="21"/>
          <w:szCs w:val="21"/>
          <w:highlight w:val="none"/>
        </w:rPr>
      </w:pPr>
      <w:r/>
      <w:bookmarkStart w:id="186" w:name="_Toc164608792"/>
      <w:r/>
      <w:bookmarkStart w:id="187" w:name="_Toc164229364"/>
      <w:r/>
      <w:bookmarkStart w:id="188" w:name="_Toc226965713"/>
      <w:r/>
      <w:bookmarkStart w:id="189" w:name="_Toc195842888"/>
      <w:r/>
      <w:bookmarkStart w:id="190" w:name="_Toc305158791"/>
      <w:r/>
      <w:bookmarkStart w:id="191" w:name="_Toc151193837"/>
      <w:r/>
      <w:bookmarkStart w:id="192" w:name="_Toc305158865"/>
      <w:r/>
      <w:bookmarkStart w:id="193" w:name="_Toc520356147"/>
      <w:r/>
      <w:bookmarkStart w:id="194" w:name="_Toc150774728"/>
      <w:r/>
      <w:bookmarkStart w:id="195" w:name="_Toc164608637"/>
      <w:r/>
      <w:bookmarkStart w:id="196" w:name="_Toc226309767"/>
      <w:r/>
      <w:bookmarkStart w:id="197" w:name="_Toc264969213"/>
      <w:r/>
      <w:bookmarkStart w:id="198" w:name="_Toc127151523"/>
      <w:r/>
      <w:bookmarkStart w:id="199" w:name="_Toc150509274"/>
      <w:r/>
      <w:bookmarkStart w:id="200" w:name="_Toc127151724"/>
      <w:r/>
      <w:bookmarkStart w:id="201" w:name="_Toc164229218"/>
      <w:r/>
      <w:bookmarkStart w:id="202" w:name="_Toc226965796"/>
      <w:r/>
      <w:bookmarkStart w:id="203" w:name="_Toc151193765"/>
      <w:r/>
      <w:bookmarkStart w:id="204" w:name="_Toc150774623"/>
      <w:r/>
      <w:bookmarkStart w:id="205" w:name="_Toc151193621"/>
      <w:r/>
      <w:bookmarkStart w:id="206" w:name="_Toc127161437"/>
      <w:r/>
      <w:bookmarkStart w:id="207" w:name="_Toc142311025"/>
      <w:r/>
      <w:bookmarkStart w:id="208" w:name="_Toc265228361"/>
      <w:r/>
      <w:bookmarkStart w:id="209" w:name="_Toc151193911"/>
      <w:r/>
      <w:bookmarkStart w:id="210" w:name="_Toc151193693"/>
      <w:r/>
      <w:bookmarkStart w:id="211" w:name="_Toc150480761"/>
      <w:r/>
      <w:bookmarkStart w:id="212" w:name="_Toc151190150"/>
      <w:r/>
      <w:bookmarkStart w:id="213" w:name="_Toc226337219"/>
      <w:r/>
      <w:bookmarkStart w:id="214" w:name="_Toc164351617"/>
      <w:r/>
      <w:bookmarkStart w:id="215" w:name="_Toc149720816"/>
      <w:r/>
      <w:bookmarkStart w:id="216" w:name="_Toc107952815"/>
      <w:r/>
      <w:bookmarkStart w:id="217" w:name="_Toc128435102"/>
      <w:r>
        <w:rPr>
          <w:rStyle w:val="1151"/>
          <w:rFonts w:hint="eastAsia" w:ascii="仿宋" w:hAnsi="仿宋" w:eastAsia="仿宋"/>
          <w:b/>
          <w:bCs/>
          <w:color w:val="000000"/>
          <w:sz w:val="21"/>
          <w:szCs w:val="21"/>
          <w:highlight w:val="none"/>
        </w:rPr>
        <w:t xml:space="preserve">6</w:t>
      </w:r>
      <w:r>
        <w:rPr>
          <w:rStyle w:val="1151"/>
          <w:rFonts w:ascii="仿宋" w:hAnsi="仿宋" w:eastAsia="仿宋"/>
          <w:b/>
          <w:bCs/>
          <w:color w:val="000000"/>
          <w:sz w:val="21"/>
          <w:szCs w:val="21"/>
          <w:highlight w:val="none"/>
        </w:rPr>
        <w:t xml:space="preserve">.竞争性磋商文件构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Style w:val="1151"/>
          <w:rFonts w:ascii="仿宋" w:hAnsi="仿宋" w:eastAsia="仿宋"/>
          <w:b/>
          <w:bCs/>
          <w:color w:val="000000"/>
          <w:sz w:val="21"/>
          <w:szCs w:val="21"/>
          <w:highlight w:val="none"/>
        </w:rPr>
        <w:t xml:space="preserve">成</w:t>
      </w:r>
      <w:bookmarkEnd w:id="216"/>
      <w:r/>
      <w:bookmarkEnd w:id="217"/>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6</w:t>
      </w:r>
      <w:r>
        <w:rPr>
          <w:rStyle w:val="1151"/>
          <w:rFonts w:ascii="仿宋" w:hAnsi="仿宋" w:eastAsia="仿宋"/>
          <w:color w:val="000000"/>
          <w:sz w:val="21"/>
          <w:szCs w:val="21"/>
          <w:highlight w:val="none"/>
        </w:rPr>
        <w:t xml:space="preserve">.1竞争性磋商文件包括以下部分：</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第一章 </w:t>
      </w:r>
      <w:r>
        <w:rPr>
          <w:rStyle w:val="1151"/>
          <w:rFonts w:ascii="仿宋" w:hAnsi="仿宋" w:eastAsia="仿宋"/>
          <w:color w:val="000000"/>
          <w:sz w:val="21"/>
          <w:szCs w:val="21"/>
          <w:highlight w:val="none"/>
        </w:rPr>
        <w:t xml:space="preserve">采购邀请</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第二章 </w:t>
      </w:r>
      <w:r>
        <w:rPr>
          <w:rStyle w:val="1151"/>
          <w:rFonts w:ascii="仿宋" w:hAnsi="仿宋" w:eastAsia="仿宋"/>
          <w:color w:val="000000"/>
          <w:sz w:val="21"/>
          <w:szCs w:val="21"/>
          <w:highlight w:val="none"/>
        </w:rPr>
        <w:t xml:space="preserve">供应商须知</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第三章 </w:t>
      </w:r>
      <w:r>
        <w:rPr>
          <w:rStyle w:val="1151"/>
          <w:rFonts w:ascii="仿宋" w:hAnsi="仿宋" w:eastAsia="仿宋"/>
          <w:color w:val="000000"/>
          <w:sz w:val="21"/>
          <w:szCs w:val="21"/>
          <w:highlight w:val="none"/>
        </w:rPr>
        <w:t xml:space="preserve">评审</w:t>
      </w:r>
      <w:r>
        <w:rPr>
          <w:rStyle w:val="1151"/>
          <w:rFonts w:hint="eastAsia" w:ascii="仿宋" w:hAnsi="仿宋" w:eastAsia="仿宋"/>
          <w:color w:val="000000"/>
          <w:sz w:val="21"/>
          <w:szCs w:val="21"/>
          <w:highlight w:val="none"/>
        </w:rPr>
        <w:t xml:space="preserve">程序、评审</w:t>
      </w:r>
      <w:r>
        <w:rPr>
          <w:rStyle w:val="1151"/>
          <w:rFonts w:ascii="仿宋" w:hAnsi="仿宋" w:eastAsia="仿宋"/>
          <w:color w:val="000000"/>
          <w:sz w:val="21"/>
          <w:szCs w:val="21"/>
          <w:highlight w:val="none"/>
        </w:rPr>
        <w:t xml:space="preserve">方法和评审标准</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第四章 </w:t>
      </w:r>
      <w:r>
        <w:rPr>
          <w:rStyle w:val="1151"/>
          <w:rFonts w:ascii="仿宋" w:hAnsi="仿宋" w:eastAsia="仿宋"/>
          <w:color w:val="000000"/>
          <w:sz w:val="21"/>
          <w:szCs w:val="21"/>
          <w:highlight w:val="none"/>
        </w:rPr>
        <w:t xml:space="preserve">采购需求</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第五章 </w:t>
      </w:r>
      <w:r>
        <w:rPr>
          <w:rStyle w:val="1151"/>
          <w:rFonts w:ascii="仿宋" w:hAnsi="仿宋" w:eastAsia="仿宋"/>
          <w:color w:val="000000"/>
          <w:sz w:val="21"/>
          <w:szCs w:val="21"/>
          <w:highlight w:val="none"/>
        </w:rPr>
        <w:t xml:space="preserve">合同草案条款</w:t>
      </w:r>
      <w:r/>
    </w:p>
    <w:p>
      <w:pPr>
        <w:contextualSpacing/>
        <w:ind w:firstLine="63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第六章 </w:t>
      </w:r>
      <w:r>
        <w:rPr>
          <w:rStyle w:val="1151"/>
          <w:rFonts w:ascii="仿宋" w:hAnsi="仿宋" w:eastAsia="仿宋"/>
          <w:color w:val="000000"/>
          <w:sz w:val="21"/>
          <w:szCs w:val="21"/>
          <w:highlight w:val="none"/>
        </w:rPr>
        <w:t xml:space="preserve">响应文件格式</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6</w:t>
      </w:r>
      <w:r>
        <w:rPr>
          <w:rStyle w:val="1151"/>
          <w:rFonts w:ascii="仿宋" w:hAnsi="仿宋" w:eastAsia="仿宋"/>
          <w:color w:val="000000"/>
          <w:sz w:val="21"/>
          <w:szCs w:val="21"/>
          <w:highlight w:val="none"/>
        </w:rPr>
        <w:t xml:space="preserve">.2供应商应认真阅读竞争性磋商文件的全部内容。供应商应按照竞争性磋商文件要求提交响应文件并保证所提供的全部资料的真实性，并对竞争性磋商文件做出实质性响应，否则响应无效。</w:t>
      </w:r>
      <w:r/>
    </w:p>
    <w:p>
      <w:pPr>
        <w:contextualSpacing/>
        <w:ind w:firstLine="422"/>
        <w:spacing w:line="360" w:lineRule="auto"/>
        <w:rPr>
          <w:rStyle w:val="1151"/>
          <w:rFonts w:ascii="仿宋" w:hAnsi="仿宋" w:eastAsia="仿宋"/>
          <w:b/>
          <w:bCs/>
          <w:color w:val="000000"/>
          <w:sz w:val="21"/>
          <w:szCs w:val="21"/>
          <w:highlight w:val="none"/>
        </w:rPr>
      </w:pPr>
      <w:r/>
      <w:bookmarkStart w:id="218" w:name="_Toc107952816"/>
      <w:r/>
      <w:bookmarkStart w:id="219" w:name="_Toc128435103"/>
      <w:r>
        <w:rPr>
          <w:rStyle w:val="1151"/>
          <w:rFonts w:hint="eastAsia" w:ascii="仿宋" w:hAnsi="仿宋" w:eastAsia="仿宋"/>
          <w:b/>
          <w:bCs/>
          <w:color w:val="000000"/>
          <w:sz w:val="21"/>
          <w:szCs w:val="21"/>
          <w:highlight w:val="none"/>
        </w:rPr>
        <w:t xml:space="preserve">7</w:t>
      </w:r>
      <w:r>
        <w:rPr>
          <w:rStyle w:val="1151"/>
          <w:rFonts w:ascii="仿宋" w:hAnsi="仿宋" w:eastAsia="仿宋"/>
          <w:b/>
          <w:bCs/>
          <w:color w:val="000000"/>
          <w:sz w:val="21"/>
          <w:szCs w:val="21"/>
          <w:highlight w:val="none"/>
        </w:rPr>
        <w:t xml:space="preserve">.对竞争性磋商文件的澄清或修改</w:t>
      </w:r>
      <w:bookmarkEnd w:id="218"/>
      <w:r/>
      <w:bookmarkEnd w:id="219"/>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7</w:t>
      </w:r>
      <w:r>
        <w:rPr>
          <w:rStyle w:val="1151"/>
          <w:rFonts w:ascii="仿宋" w:hAnsi="仿宋" w:eastAsia="仿宋"/>
          <w:color w:val="000000"/>
          <w:sz w:val="21"/>
          <w:szCs w:val="21"/>
          <w:highlight w:val="none"/>
        </w:rPr>
        <w:t xml:space="preserve">.1 采购人或采购代理机构对已发出的竞争性磋商文件进行必要澄清或者修改的，将在原公告发布媒体上以</w:t>
      </w:r>
      <w:r>
        <w:rPr>
          <w:rStyle w:val="1151"/>
          <w:rFonts w:hint="eastAsia" w:ascii="仿宋" w:hAnsi="仿宋" w:eastAsia="仿宋"/>
          <w:color w:val="000000"/>
          <w:sz w:val="21"/>
          <w:szCs w:val="21"/>
          <w:highlight w:val="none"/>
        </w:rPr>
        <w:t xml:space="preserve">发布</w:t>
      </w:r>
      <w:r>
        <w:rPr>
          <w:rStyle w:val="1151"/>
          <w:rFonts w:ascii="仿宋" w:hAnsi="仿宋" w:eastAsia="仿宋"/>
          <w:color w:val="000000"/>
          <w:sz w:val="21"/>
          <w:szCs w:val="21"/>
          <w:highlight w:val="none"/>
        </w:rPr>
        <w:t xml:space="preserve">更正公告</w:t>
      </w:r>
      <w:r>
        <w:rPr>
          <w:rStyle w:val="1151"/>
          <w:rFonts w:hint="eastAsia" w:ascii="仿宋" w:hAnsi="仿宋" w:eastAsia="仿宋"/>
          <w:color w:val="000000"/>
          <w:sz w:val="21"/>
          <w:szCs w:val="21"/>
          <w:highlight w:val="none"/>
        </w:rPr>
        <w:t xml:space="preserve">的</w:t>
      </w:r>
      <w:r>
        <w:rPr>
          <w:rStyle w:val="1151"/>
          <w:rFonts w:ascii="仿宋" w:hAnsi="仿宋" w:eastAsia="仿宋"/>
          <w:color w:val="000000"/>
          <w:sz w:val="21"/>
          <w:szCs w:val="21"/>
          <w:highlight w:val="none"/>
        </w:rPr>
        <w:t xml:space="preserve">形式通知所有获取</w:t>
      </w:r>
      <w:r>
        <w:rPr>
          <w:rStyle w:val="1151"/>
          <w:rFonts w:hint="eastAsia" w:ascii="仿宋" w:hAnsi="仿宋" w:eastAsia="仿宋"/>
          <w:color w:val="000000"/>
          <w:sz w:val="21"/>
          <w:szCs w:val="21"/>
          <w:highlight w:val="none"/>
        </w:rPr>
        <w:t xml:space="preserve">磋商文件</w:t>
      </w:r>
      <w:r>
        <w:rPr>
          <w:rStyle w:val="1151"/>
          <w:rFonts w:ascii="仿宋" w:hAnsi="仿宋" w:eastAsia="仿宋"/>
          <w:color w:val="000000"/>
          <w:sz w:val="21"/>
          <w:szCs w:val="21"/>
          <w:highlight w:val="none"/>
        </w:rPr>
        <w:t xml:space="preserve">的</w:t>
      </w:r>
      <w:r>
        <w:rPr>
          <w:rStyle w:val="1151"/>
          <w:rFonts w:hint="eastAsia" w:ascii="仿宋" w:hAnsi="仿宋" w:eastAsia="仿宋"/>
          <w:color w:val="000000"/>
          <w:sz w:val="21"/>
          <w:szCs w:val="21"/>
          <w:highlight w:val="none"/>
        </w:rPr>
        <w:t xml:space="preserve">供应商。</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7</w:t>
      </w:r>
      <w:r>
        <w:rPr>
          <w:rStyle w:val="1151"/>
          <w:rFonts w:ascii="仿宋" w:hAnsi="仿宋" w:eastAsia="仿宋"/>
          <w:color w:val="000000"/>
          <w:sz w:val="21"/>
          <w:szCs w:val="21"/>
          <w:highlight w:val="none"/>
        </w:rPr>
        <w:t xml:space="preserve">.2澄清或者修改的内容为竞争性磋商文件的组成部分，并对所有获取竞争性磋商文件的潜在供应商具有约束力。澄清或者修改的内容可能影响响应文件编制的，将在提交首次响应文件截止之日</w:t>
      </w: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日前</w:t>
      </w:r>
      <w:r>
        <w:rPr>
          <w:rStyle w:val="1151"/>
          <w:rFonts w:hint="eastAsia" w:ascii="仿宋" w:hAnsi="仿宋" w:eastAsia="仿宋"/>
          <w:color w:val="000000"/>
          <w:sz w:val="21"/>
          <w:szCs w:val="21"/>
          <w:highlight w:val="none"/>
        </w:rPr>
        <w:t xml:space="preserve">，</w:t>
      </w:r>
      <w:r>
        <w:rPr>
          <w:rStyle w:val="1151"/>
          <w:rFonts w:ascii="仿宋" w:hAnsi="仿宋" w:eastAsia="仿宋"/>
          <w:color w:val="000000"/>
          <w:sz w:val="21"/>
          <w:szCs w:val="21"/>
          <w:highlight w:val="none"/>
        </w:rPr>
        <w:t xml:space="preserve">以更正公告形式通知所有获取</w:t>
      </w:r>
      <w:r>
        <w:rPr>
          <w:rStyle w:val="1151"/>
          <w:rFonts w:hint="eastAsia" w:ascii="仿宋" w:hAnsi="仿宋" w:eastAsia="仿宋"/>
          <w:color w:val="000000"/>
          <w:sz w:val="21"/>
          <w:szCs w:val="21"/>
          <w:highlight w:val="none"/>
        </w:rPr>
        <w:t xml:space="preserve">磋商</w:t>
      </w:r>
      <w:r>
        <w:rPr>
          <w:rStyle w:val="1151"/>
          <w:rFonts w:ascii="仿宋" w:hAnsi="仿宋" w:eastAsia="仿宋"/>
          <w:color w:val="000000"/>
          <w:sz w:val="21"/>
          <w:szCs w:val="21"/>
          <w:highlight w:val="none"/>
        </w:rPr>
        <w:t xml:space="preserve">文件的潜在供应商；不足上述时间的，将顺延提交响应文件的截止时间。</w:t>
      </w:r>
      <w:r/>
    </w:p>
    <w:p>
      <w:pPr>
        <w:pStyle w:val="967"/>
        <w:spacing w:before="0" w:line="360" w:lineRule="auto"/>
        <w:rPr>
          <w:rFonts w:ascii="仿宋" w:hAnsi="仿宋" w:eastAsia="仿宋"/>
          <w:color w:val="000000"/>
          <w:sz w:val="28"/>
          <w:highlight w:val="none"/>
        </w:rPr>
      </w:pPr>
      <w:r/>
      <w:bookmarkStart w:id="220" w:name="_Toc516367020"/>
      <w:r/>
      <w:bookmarkStart w:id="221" w:name="_Toc151193624"/>
      <w:r/>
      <w:bookmarkStart w:id="222" w:name="_Toc150509277"/>
      <w:r/>
      <w:bookmarkStart w:id="223" w:name="_Toc150480764"/>
      <w:r/>
      <w:bookmarkStart w:id="224" w:name="_Toc142311028"/>
      <w:r/>
      <w:bookmarkStart w:id="225" w:name="_Toc305158868"/>
      <w:r/>
      <w:bookmarkStart w:id="226" w:name="_Toc107952817"/>
      <w:r/>
      <w:bookmarkStart w:id="227" w:name="_Toc226337222"/>
      <w:r/>
      <w:bookmarkStart w:id="228" w:name="_Toc140670325"/>
      <w:r/>
      <w:bookmarkStart w:id="229" w:name="_Toc128435104"/>
      <w:r/>
      <w:bookmarkStart w:id="230" w:name="_Toc151193768"/>
      <w:r/>
      <w:bookmarkStart w:id="231" w:name="_Toc226965716"/>
      <w:r/>
      <w:bookmarkStart w:id="232" w:name="_Toc305158794"/>
      <w:r/>
      <w:bookmarkStart w:id="233" w:name="_Toc520356150"/>
      <w:r/>
      <w:bookmarkStart w:id="234" w:name="_Toc140670461"/>
      <w:r/>
      <w:bookmarkStart w:id="235" w:name="_Toc151190153"/>
      <w:r/>
      <w:bookmarkStart w:id="236" w:name="_Toc127151526"/>
      <w:r/>
      <w:bookmarkStart w:id="237" w:name="_Toc151193840"/>
      <w:r/>
      <w:bookmarkStart w:id="238" w:name="_Toc195842891"/>
      <w:r/>
      <w:bookmarkStart w:id="239" w:name="_Toc150774731"/>
      <w:r/>
      <w:bookmarkStart w:id="240" w:name="_Toc226309770"/>
      <w:r/>
      <w:bookmarkStart w:id="241" w:name="_Toc226965799"/>
      <w:r/>
      <w:bookmarkStart w:id="242" w:name="_Toc151193914"/>
      <w:r/>
      <w:bookmarkStart w:id="243" w:name="_Toc169226707"/>
      <w:r/>
      <w:bookmarkStart w:id="244" w:name="_Toc151193696"/>
      <w:r/>
      <w:bookmarkStart w:id="245" w:name="_Toc265228364"/>
      <w:r/>
      <w:bookmarkStart w:id="246" w:name="_Toc264969216"/>
      <w:r/>
      <w:bookmarkStart w:id="247" w:name="_Toc150774626"/>
      <w:r/>
      <w:bookmarkStart w:id="248" w:name="_Toc31051"/>
      <w:r>
        <w:rPr>
          <w:rFonts w:ascii="仿宋" w:hAnsi="仿宋" w:eastAsia="仿宋"/>
          <w:color w:val="000000"/>
          <w:sz w:val="28"/>
          <w:highlight w:val="none"/>
        </w:rPr>
        <w:t xml:space="preserve">三   响应文件</w:t>
      </w:r>
      <w:bookmarkEnd w:id="220"/>
      <w:r>
        <w:rPr>
          <w:rFonts w:ascii="仿宋" w:hAnsi="仿宋" w:eastAsia="仿宋"/>
          <w:color w:val="000000"/>
          <w:sz w:val="28"/>
          <w:highlight w:val="none"/>
        </w:rPr>
        <w:t xml:space="preserve">的编制</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contextualSpacing/>
        <w:ind w:firstLine="422"/>
        <w:spacing w:line="360" w:lineRule="auto"/>
        <w:rPr>
          <w:rStyle w:val="1151"/>
          <w:rFonts w:ascii="仿宋" w:hAnsi="仿宋" w:eastAsia="仿宋"/>
          <w:b/>
          <w:bCs/>
          <w:color w:val="000000"/>
          <w:sz w:val="21"/>
          <w:szCs w:val="21"/>
          <w:highlight w:val="none"/>
        </w:rPr>
      </w:pPr>
      <w:r/>
      <w:bookmarkStart w:id="249" w:name="_Toc305158795"/>
      <w:r/>
      <w:bookmarkStart w:id="250" w:name="_Toc151193625"/>
      <w:r/>
      <w:bookmarkStart w:id="251" w:name="_Toc142311029"/>
      <w:r/>
      <w:bookmarkStart w:id="252" w:name="_Toc149720820"/>
      <w:r/>
      <w:bookmarkStart w:id="253" w:name="_Toc226309771"/>
      <w:r/>
      <w:bookmarkStart w:id="254" w:name="_Toc195842892"/>
      <w:r/>
      <w:bookmarkStart w:id="255" w:name="_Toc151193915"/>
      <w:r/>
      <w:bookmarkStart w:id="256" w:name="_Toc127161441"/>
      <w:r/>
      <w:bookmarkStart w:id="257" w:name="_Toc164351621"/>
      <w:r/>
      <w:bookmarkStart w:id="258" w:name="_Toc516367021"/>
      <w:r/>
      <w:bookmarkStart w:id="259" w:name="_Toc150480765"/>
      <w:r/>
      <w:bookmarkStart w:id="260" w:name="_Toc151193841"/>
      <w:r/>
      <w:bookmarkStart w:id="261" w:name="_Toc151193769"/>
      <w:r/>
      <w:bookmarkStart w:id="262" w:name="_Toc151190154"/>
      <w:r/>
      <w:bookmarkStart w:id="263" w:name="_Toc164608641"/>
      <w:r/>
      <w:bookmarkStart w:id="264" w:name="_Toc151193697"/>
      <w:r/>
      <w:bookmarkStart w:id="265" w:name="_Toc150509278"/>
      <w:r/>
      <w:bookmarkStart w:id="266" w:name="_Toc150774732"/>
      <w:r/>
      <w:bookmarkStart w:id="267" w:name="_Toc265228365"/>
      <w:r/>
      <w:bookmarkStart w:id="268" w:name="_Toc226965800"/>
      <w:r/>
      <w:bookmarkStart w:id="269" w:name="_Toc520356151"/>
      <w:r/>
      <w:bookmarkStart w:id="270" w:name="_Toc127151527"/>
      <w:r/>
      <w:bookmarkStart w:id="271" w:name="_Toc264969217"/>
      <w:r/>
      <w:bookmarkStart w:id="272" w:name="_Toc164608796"/>
      <w:r/>
      <w:bookmarkStart w:id="273" w:name="_Toc127151728"/>
      <w:r/>
      <w:bookmarkStart w:id="274" w:name="_Toc226965717"/>
      <w:r/>
      <w:bookmarkStart w:id="275" w:name="_Toc164229368"/>
      <w:r/>
      <w:bookmarkStart w:id="276" w:name="_Toc150774627"/>
      <w:r/>
      <w:bookmarkStart w:id="277" w:name="_Toc305158869"/>
      <w:r/>
      <w:bookmarkStart w:id="278" w:name="_Toc164229222"/>
      <w:r/>
      <w:bookmarkStart w:id="279" w:name="_Toc226337223"/>
      <w:r/>
      <w:bookmarkStart w:id="280" w:name="_Toc128435105"/>
      <w:r/>
      <w:bookmarkStart w:id="281" w:name="_Toc107952818"/>
      <w:r>
        <w:rPr>
          <w:rStyle w:val="1151"/>
          <w:rFonts w:hint="eastAsia" w:ascii="仿宋" w:hAnsi="仿宋" w:eastAsia="仿宋"/>
          <w:b/>
          <w:bCs/>
          <w:color w:val="000000"/>
          <w:sz w:val="21"/>
          <w:szCs w:val="21"/>
          <w:highlight w:val="none"/>
        </w:rPr>
        <w:t xml:space="preserve">8</w:t>
      </w:r>
      <w:r>
        <w:rPr>
          <w:rStyle w:val="1151"/>
          <w:rFonts w:ascii="仿宋" w:hAnsi="仿宋" w:eastAsia="仿宋"/>
          <w:b/>
          <w:bCs/>
          <w:color w:val="000000"/>
          <w:sz w:val="21"/>
          <w:szCs w:val="21"/>
          <w:highlight w:val="none"/>
        </w:rPr>
        <w:t xml:space="preserve">.响应范围、竞争性磋商文件中计量单位的使用</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Style w:val="1151"/>
          <w:rFonts w:ascii="仿宋" w:hAnsi="仿宋" w:eastAsia="仿宋"/>
          <w:b/>
          <w:bCs/>
          <w:color w:val="000000"/>
          <w:sz w:val="21"/>
          <w:szCs w:val="21"/>
          <w:highlight w:val="none"/>
        </w:rPr>
        <w:t xml:space="preserve">及磋商语言</w:t>
      </w:r>
      <w:bookmarkEnd w:id="280"/>
      <w:r/>
      <w:bookmarkEnd w:id="281"/>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8</w:t>
      </w:r>
      <w:r>
        <w:rPr>
          <w:rStyle w:val="1151"/>
          <w:rFonts w:ascii="仿宋" w:hAnsi="仿宋" w:eastAsia="仿宋"/>
          <w:color w:val="000000"/>
          <w:sz w:val="21"/>
          <w:szCs w:val="21"/>
          <w:highlight w:val="none"/>
        </w:rPr>
        <w:t xml:space="preserve">.1 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响应无效。</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8</w:t>
      </w:r>
      <w:r>
        <w:rPr>
          <w:rStyle w:val="1151"/>
          <w:rFonts w:ascii="仿宋" w:hAnsi="仿宋" w:eastAsia="仿宋"/>
          <w:color w:val="000000"/>
          <w:sz w:val="21"/>
          <w:szCs w:val="21"/>
          <w:highlight w:val="none"/>
        </w:rPr>
        <w:t xml:space="preserve">.2除竞争性磋商文件有特殊要求外，本项目磋商所使用的计量单位，应采用中华人民共和国法定计量单位。</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contextualSpacing/>
        <w:ind w:firstLine="422"/>
        <w:spacing w:line="360" w:lineRule="auto"/>
        <w:rPr>
          <w:rStyle w:val="1151"/>
          <w:rFonts w:ascii="仿宋" w:hAnsi="仿宋" w:eastAsia="仿宋"/>
          <w:b/>
          <w:bCs/>
          <w:color w:val="000000"/>
          <w:sz w:val="21"/>
          <w:szCs w:val="21"/>
          <w:highlight w:val="none"/>
        </w:rPr>
      </w:pPr>
      <w:r/>
      <w:bookmarkStart w:id="282" w:name="_Toc516367022"/>
      <w:r/>
      <w:bookmarkStart w:id="283" w:name="_Ref467306195"/>
      <w:r/>
      <w:bookmarkStart w:id="284" w:name="_Ref467306676"/>
      <w:r/>
      <w:bookmarkStart w:id="285" w:name="_Toc142311030"/>
      <w:r/>
      <w:bookmarkStart w:id="286" w:name="_Toc128435106"/>
      <w:r/>
      <w:bookmarkStart w:id="287" w:name="_Toc164351622"/>
      <w:r/>
      <w:bookmarkStart w:id="288" w:name="_Toc226309772"/>
      <w:r/>
      <w:bookmarkStart w:id="289" w:name="_Toc151190155"/>
      <w:r/>
      <w:bookmarkStart w:id="290" w:name="_Toc195842893"/>
      <w:r/>
      <w:bookmarkStart w:id="291" w:name="_Toc149720821"/>
      <w:r/>
      <w:bookmarkStart w:id="292" w:name="_Toc151193698"/>
      <w:r/>
      <w:bookmarkStart w:id="293" w:name="_Toc150509279"/>
      <w:r/>
      <w:bookmarkStart w:id="294" w:name="_Toc151193842"/>
      <w:r/>
      <w:bookmarkStart w:id="295" w:name="_Toc164229369"/>
      <w:r/>
      <w:bookmarkStart w:id="296" w:name="_Toc164608642"/>
      <w:r/>
      <w:bookmarkStart w:id="297" w:name="_Toc305158870"/>
      <w:r/>
      <w:bookmarkStart w:id="298" w:name="_Toc150774733"/>
      <w:r/>
      <w:bookmarkStart w:id="299" w:name="_Toc226965718"/>
      <w:r/>
      <w:bookmarkStart w:id="300" w:name="_Toc264969218"/>
      <w:r/>
      <w:bookmarkStart w:id="301" w:name="_Toc164229223"/>
      <w:r/>
      <w:bookmarkStart w:id="302" w:name="_Toc520356152"/>
      <w:r/>
      <w:bookmarkStart w:id="303" w:name="_Toc164608797"/>
      <w:r/>
      <w:bookmarkStart w:id="304" w:name="_Toc150774628"/>
      <w:r/>
      <w:bookmarkStart w:id="305" w:name="_Toc226337224"/>
      <w:r/>
      <w:bookmarkStart w:id="306" w:name="_Toc127151528"/>
      <w:r/>
      <w:bookmarkStart w:id="307" w:name="_Toc127151729"/>
      <w:r/>
      <w:bookmarkStart w:id="308" w:name="_Toc107952819"/>
      <w:r/>
      <w:bookmarkStart w:id="309" w:name="_Toc151193626"/>
      <w:r/>
      <w:bookmarkStart w:id="310" w:name="_Toc151193916"/>
      <w:r/>
      <w:bookmarkStart w:id="311" w:name="_Toc226965801"/>
      <w:r/>
      <w:bookmarkStart w:id="312" w:name="_Toc150480766"/>
      <w:r/>
      <w:bookmarkStart w:id="313" w:name="_Toc151193770"/>
      <w:r/>
      <w:bookmarkStart w:id="314" w:name="_Toc127161442"/>
      <w:r/>
      <w:bookmarkStart w:id="315" w:name="_Toc305158796"/>
      <w:r/>
      <w:bookmarkStart w:id="316" w:name="_Toc265228366"/>
      <w:r>
        <w:rPr>
          <w:rStyle w:val="1151"/>
          <w:rFonts w:hint="eastAsia" w:ascii="仿宋" w:hAnsi="仿宋" w:eastAsia="仿宋"/>
          <w:b/>
          <w:bCs/>
          <w:color w:val="000000"/>
          <w:sz w:val="21"/>
          <w:szCs w:val="21"/>
          <w:highlight w:val="none"/>
        </w:rPr>
        <w:t xml:space="preserve">9</w:t>
      </w:r>
      <w:r>
        <w:rPr>
          <w:rStyle w:val="1151"/>
          <w:rFonts w:ascii="仿宋" w:hAnsi="仿宋" w:eastAsia="仿宋"/>
          <w:b/>
          <w:bCs/>
          <w:color w:val="000000"/>
          <w:sz w:val="21"/>
          <w:szCs w:val="21"/>
          <w:highlight w:val="none"/>
        </w:rPr>
        <w:t xml:space="preserve">.响应文件</w:t>
      </w:r>
      <w:bookmarkEnd w:id="282"/>
      <w:r/>
      <w:bookmarkEnd w:id="283"/>
      <w:r/>
      <w:bookmarkEnd w:id="284"/>
      <w:r>
        <w:rPr>
          <w:rStyle w:val="1151"/>
          <w:rFonts w:ascii="仿宋" w:hAnsi="仿宋" w:eastAsia="仿宋"/>
          <w:b/>
          <w:bCs/>
          <w:color w:val="000000"/>
          <w:sz w:val="21"/>
          <w:szCs w:val="21"/>
          <w:highlight w:val="none"/>
        </w:rPr>
        <w:t xml:space="preserve">构成</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contextualSpacing/>
        <w:ind w:firstLine="420"/>
        <w:spacing w:line="360" w:lineRule="auto"/>
        <w:rPr>
          <w:rStyle w:val="1151"/>
          <w:rFonts w:ascii="仿宋" w:hAnsi="仿宋" w:eastAsia="仿宋"/>
          <w:color w:val="000000"/>
          <w:sz w:val="21"/>
          <w:szCs w:val="21"/>
          <w:highlight w:val="none"/>
        </w:rPr>
      </w:pPr>
      <w:r/>
      <w:bookmarkStart w:id="317" w:name="_Ref467052588"/>
      <w:r>
        <w:rPr>
          <w:rStyle w:val="1151"/>
          <w:rFonts w:hint="eastAsia" w:ascii="仿宋" w:hAnsi="仿宋" w:eastAsia="仿宋"/>
          <w:color w:val="000000"/>
          <w:sz w:val="21"/>
          <w:szCs w:val="21"/>
          <w:highlight w:val="none"/>
        </w:rPr>
        <w:t xml:space="preserve">9</w:t>
      </w:r>
      <w:r>
        <w:rPr>
          <w:rStyle w:val="1151"/>
          <w:rFonts w:ascii="仿宋" w:hAnsi="仿宋" w:eastAsia="仿宋"/>
          <w:color w:val="000000"/>
          <w:sz w:val="21"/>
          <w:szCs w:val="21"/>
          <w:highlight w:val="none"/>
        </w:rPr>
        <w:t xml:space="preserve">.1 供应商应当按照竞争性磋商文件的要求编制响应文件，并对其提交的响应文件的真实性、合法性承担法律责任。响应文件的部分格式要求，见第六章《响应文件格式》。</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9</w:t>
      </w:r>
      <w:r>
        <w:rPr>
          <w:rStyle w:val="1151"/>
          <w:rFonts w:ascii="仿宋" w:hAnsi="仿宋" w:eastAsia="仿宋"/>
          <w:color w:val="000000"/>
          <w:sz w:val="21"/>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9</w:t>
      </w:r>
      <w:r>
        <w:rPr>
          <w:rStyle w:val="1151"/>
          <w:rFonts w:ascii="仿宋" w:hAnsi="仿宋" w:eastAsia="仿宋"/>
          <w:color w:val="000000"/>
          <w:sz w:val="21"/>
          <w:szCs w:val="21"/>
          <w:highlight w:val="none"/>
        </w:rPr>
        <w:t xml:space="preserve">.3 第三章《评审方法和评审标准》中涉及的证明文件。</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9</w:t>
      </w:r>
      <w:r>
        <w:rPr>
          <w:rStyle w:val="1151"/>
          <w:rFonts w:ascii="仿宋" w:hAnsi="仿宋" w:eastAsia="仿宋"/>
          <w:color w:val="000000"/>
          <w:sz w:val="21"/>
          <w:szCs w:val="21"/>
          <w:highlight w:val="none"/>
        </w:rPr>
        <w:t xml:space="preserve">.5供应商认为应附的其他材料。</w:t>
      </w:r>
      <w:bookmarkEnd w:id="317"/>
      <w:r/>
      <w:r/>
    </w:p>
    <w:p>
      <w:pPr>
        <w:contextualSpacing/>
        <w:ind w:firstLine="422"/>
        <w:spacing w:line="360" w:lineRule="auto"/>
        <w:rPr>
          <w:rStyle w:val="1151"/>
          <w:rFonts w:ascii="仿宋" w:hAnsi="仿宋" w:eastAsia="仿宋"/>
          <w:b/>
          <w:bCs/>
          <w:color w:val="000000"/>
          <w:sz w:val="21"/>
          <w:szCs w:val="21"/>
          <w:highlight w:val="none"/>
        </w:rPr>
      </w:pPr>
      <w:r/>
      <w:bookmarkStart w:id="318" w:name="_Toc142311032"/>
      <w:r/>
      <w:bookmarkStart w:id="319" w:name="_Toc127151530"/>
      <w:r/>
      <w:bookmarkStart w:id="320" w:name="_Toc150774735"/>
      <w:r/>
      <w:bookmarkStart w:id="321" w:name="_Toc150509281"/>
      <w:r/>
      <w:bookmarkStart w:id="322" w:name="_Toc151193628"/>
      <w:r/>
      <w:bookmarkStart w:id="323" w:name="_Toc164608799"/>
      <w:r/>
      <w:bookmarkStart w:id="324" w:name="_Toc150774630"/>
      <w:r/>
      <w:bookmarkStart w:id="325" w:name="_Toc151190157"/>
      <w:r/>
      <w:bookmarkStart w:id="326" w:name="_Toc151193772"/>
      <w:r/>
      <w:bookmarkStart w:id="327" w:name="_Toc164229371"/>
      <w:r/>
      <w:bookmarkStart w:id="328" w:name="_Toc151193844"/>
      <w:r/>
      <w:bookmarkStart w:id="329" w:name="_Toc150480768"/>
      <w:r/>
      <w:bookmarkStart w:id="330" w:name="_Toc151193918"/>
      <w:r/>
      <w:bookmarkStart w:id="331" w:name="_Toc128435107"/>
      <w:r/>
      <w:bookmarkStart w:id="332" w:name="_Toc164351624"/>
      <w:r/>
      <w:bookmarkStart w:id="333" w:name="_Toc195842895"/>
      <w:r/>
      <w:bookmarkStart w:id="334" w:name="_Toc127161444"/>
      <w:r/>
      <w:bookmarkStart w:id="335" w:name="_Toc164229225"/>
      <w:r/>
      <w:bookmarkStart w:id="336" w:name="_Toc164608644"/>
      <w:r/>
      <w:bookmarkStart w:id="337" w:name="_Toc520356155"/>
      <w:r/>
      <w:bookmarkStart w:id="338" w:name="_Toc149720823"/>
      <w:r/>
      <w:bookmarkStart w:id="339" w:name="_Toc151193700"/>
      <w:r/>
      <w:bookmarkStart w:id="340" w:name="_Toc107952820"/>
      <w:r/>
      <w:bookmarkStart w:id="341" w:name="_Toc127151731"/>
      <w:r>
        <w:rPr>
          <w:rStyle w:val="1151"/>
          <w:rFonts w:ascii="仿宋" w:hAnsi="仿宋" w:eastAsia="仿宋"/>
          <w:b/>
          <w:bCs/>
          <w:color w:val="000000"/>
          <w:sz w:val="21"/>
          <w:szCs w:val="21"/>
          <w:highlight w:val="none"/>
        </w:rPr>
        <w:t xml:space="preserve">10.报价</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contextualSpacing/>
        <w:ind w:firstLine="420"/>
        <w:spacing w:line="360" w:lineRule="auto"/>
        <w:rPr>
          <w:rStyle w:val="1151"/>
          <w:rFonts w:hint="eastAsia"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0.1所有响应均以人民币报价。</w:t>
      </w:r>
      <w:r>
        <w:rPr>
          <w:rStyle w:val="1151"/>
          <w:rFonts w:hint="eastAsia" w:ascii="仿宋" w:hAnsi="仿宋" w:eastAsia="仿宋"/>
          <w:color w:val="000000"/>
          <w:sz w:val="21"/>
          <w:szCs w:val="21"/>
          <w:highlight w:val="none"/>
        </w:rPr>
        <w:t xml:space="preserve">本项目采用工程量清单计价、固定综合单价方式，投标人须按要求提供已标价工程量清单。</w:t>
      </w:r>
      <w:r/>
    </w:p>
    <w:p>
      <w:pPr>
        <w:contextualSpacing/>
        <w:ind w:firstLine="420"/>
        <w:spacing w:line="360" w:lineRule="auto"/>
        <w:rPr>
          <w:rStyle w:val="1151"/>
          <w:rFonts w:ascii="仿宋" w:hAnsi="仿宋" w:eastAsia="仿宋"/>
          <w:color w:val="000000"/>
          <w:sz w:val="21"/>
          <w:szCs w:val="21"/>
          <w:highlight w:val="none"/>
        </w:rPr>
      </w:pPr>
      <w:r>
        <w:rPr>
          <w:rFonts w:ascii="仿宋" w:hAnsi="仿宋" w:eastAsia="仿宋"/>
          <w:color w:val="000000"/>
          <w:sz w:val="21"/>
          <w:szCs w:val="21"/>
          <w:highlight w:val="none"/>
        </w:rPr>
      </w:r>
      <w:r/>
    </w:p>
    <w:p>
      <w:pPr>
        <w:ind w:firstLine="420"/>
        <w:spacing w:line="360" w:lineRule="auto"/>
        <w:rPr>
          <w:rFonts w:hint="eastAsia" w:ascii="仿宋" w:hAnsi="仿宋" w:eastAsia="仿宋" w:cs="仿宋"/>
          <w:color w:val="000000"/>
          <w:szCs w:val="21"/>
          <w:highlight w:val="none"/>
        </w:rPr>
      </w:pPr>
      <w:r/>
      <w:bookmarkStart w:id="342" w:name="_Hlk128432099"/>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0.2</w:t>
      </w:r>
      <w:bookmarkEnd w:id="342"/>
      <w:r>
        <w:rPr>
          <w:rFonts w:hint="eastAsia" w:ascii="仿宋" w:hAnsi="仿宋" w:eastAsia="仿宋" w:cs="仿宋"/>
          <w:color w:val="000000"/>
          <w:szCs w:val="21"/>
          <w:highlight w:val="none"/>
        </w:rPr>
        <w:t xml:space="preserve">本项目报价表上的价格为含税报价，响应报价应包括但不限于磋商文件、施工图、工程量清单范围内相应工程开工前的准备（包括现场踏勘、技术核对等）、技术资料、材料、施工、劳务、机械、备品备件</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专用工具、仪表</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技术服务、验收、质保期及维保服务和磋商文件所要求的相关服务等全部内容及相应的管理、劳务、培训、必须的备件和工具、资料费、管理费、利润、税金及政策性文件规定及合同包含的所有责任、义务和风险，以及可能因工程量的调整及实施项目的变更而引起的价格调整风险、为完成本项目所涉及到的一切相关费用，采购人不再支付其他任何费用。同时，除非合同条款中另有规定，否则，成交供应商所报价格在合同履行期间不因市场变化因素而变动。</w:t>
      </w:r>
      <w:r/>
    </w:p>
    <w:p>
      <w:pPr>
        <w:ind w:firstLine="42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Cs w:val="21"/>
          <w:highlight w:val="none"/>
        </w:rPr>
        <w:t xml:space="preserve">1</w:t>
      </w:r>
      <w:r>
        <w:rPr>
          <w:rFonts w:hint="eastAsia" w:ascii="仿宋" w:hAnsi="仿宋" w:eastAsia="仿宋" w:cs="仿宋"/>
          <w:bCs/>
          <w:color w:val="000000"/>
          <w:szCs w:val="21"/>
          <w:highlight w:val="none"/>
          <w:lang w:val="en-US" w:eastAsia="zh-CN"/>
        </w:rPr>
        <w:t xml:space="preserve">0</w:t>
      </w:r>
      <w:r>
        <w:rPr>
          <w:rFonts w:hint="eastAsia" w:ascii="仿宋" w:hAnsi="仿宋" w:eastAsia="仿宋" w:cs="仿宋"/>
          <w:bCs/>
          <w:color w:val="000000"/>
          <w:szCs w:val="21"/>
          <w:highlight w:val="none"/>
        </w:rPr>
        <w:t xml:space="preserve">.</w:t>
      </w:r>
      <w:r>
        <w:rPr>
          <w:rFonts w:hint="eastAsia" w:ascii="仿宋" w:hAnsi="仿宋" w:eastAsia="仿宋" w:cs="仿宋"/>
          <w:bCs/>
          <w:color w:val="000000"/>
          <w:szCs w:val="21"/>
          <w:highlight w:val="none"/>
          <w:lang w:val="en-US" w:eastAsia="zh-CN"/>
        </w:rPr>
        <w:t xml:space="preserve">3</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报价要求：</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编制的工程量清单及报价。采用工程量清单计价方式的清单包括</w:t>
      </w:r>
      <w:r>
        <w:rPr>
          <w:rFonts w:hint="eastAsia" w:ascii="仿宋" w:hAnsi="仿宋" w:eastAsia="仿宋" w:cs="仿宋"/>
          <w:color w:val="000000"/>
          <w:sz w:val="21"/>
          <w:szCs w:val="21"/>
          <w:highlight w:val="none"/>
          <w:lang w:val="en-US" w:eastAsia="zh-CN"/>
        </w:rPr>
        <w:t xml:space="preserve">项目编码、</w:t>
      </w:r>
      <w:r>
        <w:rPr>
          <w:rFonts w:hint="eastAsia" w:ascii="仿宋" w:hAnsi="仿宋" w:eastAsia="仿宋" w:cs="仿宋"/>
          <w:color w:val="000000"/>
          <w:sz w:val="21"/>
          <w:szCs w:val="21"/>
          <w:highlight w:val="none"/>
        </w:rPr>
        <w:t xml:space="preserve">项目名称、项目特征、计量单位、工程量。</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1）供应商报价时不得总价及各分部分项工程和单价措施项目单价均不得超过最高投标限价</w:t>
      </w:r>
      <w:r>
        <w:rPr>
          <w:rFonts w:hint="eastAsia" w:ascii="仿宋" w:hAnsi="仿宋" w:eastAsia="仿宋" w:cs="仿宋"/>
          <w:color w:val="000000"/>
          <w:sz w:val="21"/>
          <w:szCs w:val="21"/>
          <w:highlight w:val="none"/>
        </w:rPr>
        <w:t xml:space="preserve">，超过最高投标限价为无效标。本工程由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根据企业自身实力和管理水平，并考虑本工程的内容、工程的复杂性和施工期间</w:t>
      </w:r>
      <w:r>
        <w:rPr>
          <w:rFonts w:hint="eastAsia" w:ascii="仿宋" w:hAnsi="仿宋" w:eastAsia="仿宋" w:cs="仿宋"/>
          <w:color w:val="000000"/>
          <w:sz w:val="21"/>
          <w:szCs w:val="21"/>
          <w:highlight w:val="none"/>
          <w:lang w:val="en-US" w:eastAsia="zh-CN"/>
        </w:rPr>
        <w:t xml:space="preserve">设备、</w:t>
      </w:r>
      <w:r>
        <w:rPr>
          <w:rFonts w:hint="eastAsia" w:ascii="仿宋" w:hAnsi="仿宋" w:eastAsia="仿宋" w:cs="仿宋"/>
          <w:color w:val="000000"/>
          <w:sz w:val="21"/>
          <w:szCs w:val="21"/>
          <w:highlight w:val="none"/>
        </w:rPr>
        <w:t xml:space="preserve">各类建筑材料的市场风险和政策性调整因素确定投标价格，</w:t>
      </w:r>
      <w:r>
        <w:rPr>
          <w:rFonts w:hint="eastAsia" w:ascii="仿宋" w:hAnsi="仿宋" w:eastAsia="仿宋" w:cs="仿宋"/>
          <w:color w:val="000000"/>
          <w:sz w:val="21"/>
          <w:szCs w:val="21"/>
          <w:highlight w:val="none"/>
          <w:lang w:val="en-US" w:eastAsia="zh-CN"/>
        </w:rPr>
        <w:t xml:space="preserve">响应报价</w:t>
      </w:r>
      <w:r>
        <w:rPr>
          <w:rFonts w:hint="eastAsia" w:ascii="仿宋" w:hAnsi="仿宋" w:eastAsia="仿宋" w:cs="仿宋"/>
          <w:color w:val="000000"/>
          <w:sz w:val="21"/>
          <w:szCs w:val="21"/>
          <w:highlight w:val="none"/>
        </w:rPr>
        <w:t xml:space="preserve">为</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在</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文件中提出的各项支付金额的总和，为实施、完成</w:t>
      </w:r>
      <w:r>
        <w:rPr>
          <w:rFonts w:hint="eastAsia" w:ascii="仿宋" w:hAnsi="仿宋" w:eastAsia="仿宋" w:cs="仿宋"/>
          <w:color w:val="000000"/>
          <w:sz w:val="21"/>
          <w:szCs w:val="21"/>
          <w:highlight w:val="none"/>
          <w:lang w:val="en-US" w:eastAsia="zh-CN"/>
        </w:rPr>
        <w:t xml:space="preserve">采购</w:t>
      </w:r>
      <w:r>
        <w:rPr>
          <w:rFonts w:hint="eastAsia" w:ascii="仿宋" w:hAnsi="仿宋" w:eastAsia="仿宋" w:cs="仿宋"/>
          <w:color w:val="000000"/>
          <w:sz w:val="21"/>
          <w:szCs w:val="21"/>
          <w:highlight w:val="none"/>
        </w:rPr>
        <w:t xml:space="preserve">工程并修补缺陷以及履行</w:t>
      </w:r>
      <w:r>
        <w:rPr>
          <w:rFonts w:hint="eastAsia" w:ascii="仿宋" w:hAnsi="仿宋" w:eastAsia="仿宋" w:cs="仿宋"/>
          <w:color w:val="000000"/>
          <w:sz w:val="21"/>
          <w:szCs w:val="21"/>
          <w:highlight w:val="none"/>
          <w:lang w:val="en-US" w:eastAsia="zh-CN"/>
        </w:rPr>
        <w:t xml:space="preserve">采购</w:t>
      </w:r>
      <w:r>
        <w:rPr>
          <w:rFonts w:hint="eastAsia" w:ascii="仿宋" w:hAnsi="仿宋" w:eastAsia="仿宋" w:cs="仿宋"/>
          <w:color w:val="000000"/>
          <w:sz w:val="21"/>
          <w:szCs w:val="21"/>
          <w:highlight w:val="none"/>
        </w:rPr>
        <w:t xml:space="preserve">文件中约定的风险范围内的所有责任和义务所发生的全部费用。本项目报价均为含税报价。</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须根据</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中所包括的国家规范、标准，国家或省级、行业建设主管部门颁发的计价依据和办法，与建设工程项目有关的标准、规范、技术资料，</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及其修改、补充通知、答疑澄清文件，</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自行编制的设计文件、施工现场情况、工程特点及常规施工方案进行编制。计量采用中华人民共和国法定计量单位。</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除非</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对</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予以修改，否则</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应按</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提供的</w:t>
      </w:r>
      <w:r>
        <w:rPr>
          <w:rFonts w:hint="eastAsia" w:ascii="仿宋" w:hAnsi="仿宋" w:eastAsia="仿宋" w:cs="仿宋"/>
          <w:color w:val="000000"/>
          <w:sz w:val="21"/>
          <w:szCs w:val="21"/>
          <w:highlight w:val="none"/>
          <w:lang w:eastAsia="zh-CN"/>
        </w:rPr>
        <w:t xml:space="preserve">工程量清单</w:t>
      </w:r>
      <w:r>
        <w:rPr>
          <w:rFonts w:hint="eastAsia" w:ascii="仿宋" w:hAnsi="仿宋" w:eastAsia="仿宋" w:cs="仿宋"/>
          <w:color w:val="000000"/>
          <w:sz w:val="21"/>
          <w:szCs w:val="21"/>
          <w:highlight w:val="none"/>
        </w:rPr>
        <w:t xml:space="preserve">中列出的工程项目和工程量填报单价和合价。每一项目只允许有一个报价，任何有选择的报价将不予接受。</w:t>
      </w:r>
      <w:r>
        <w:rPr>
          <w:rFonts w:hint="eastAsia" w:ascii="仿宋" w:hAnsi="仿宋" w:eastAsia="仿宋" w:cs="仿宋"/>
          <w:color w:val="000000"/>
          <w:sz w:val="21"/>
          <w:szCs w:val="21"/>
          <w:highlight w:val="none"/>
          <w:lang w:eastAsia="zh-CN"/>
        </w:rPr>
        <w:t xml:space="preserve">工程量清单</w:t>
      </w:r>
      <w:r>
        <w:rPr>
          <w:rFonts w:hint="eastAsia" w:ascii="仿宋" w:hAnsi="仿宋" w:eastAsia="仿宋" w:cs="仿宋"/>
          <w:color w:val="000000"/>
          <w:sz w:val="21"/>
          <w:szCs w:val="21"/>
          <w:highlight w:val="none"/>
        </w:rPr>
        <w:t xml:space="preserve">计价格式中列明的所有需要填报的单价和合价，</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均应填报，未填报的单价和合价，视为此项费用已包含在</w:t>
      </w:r>
      <w:r>
        <w:rPr>
          <w:rFonts w:hint="eastAsia" w:ascii="仿宋" w:hAnsi="仿宋" w:eastAsia="仿宋" w:cs="仿宋"/>
          <w:color w:val="000000"/>
          <w:sz w:val="21"/>
          <w:szCs w:val="21"/>
          <w:highlight w:val="none"/>
          <w:lang w:eastAsia="zh-CN"/>
        </w:rPr>
        <w:t xml:space="preserve">工程量清单</w:t>
      </w:r>
      <w:r>
        <w:rPr>
          <w:rFonts w:hint="eastAsia" w:ascii="仿宋" w:hAnsi="仿宋" w:eastAsia="仿宋" w:cs="仿宋"/>
          <w:color w:val="000000"/>
          <w:sz w:val="21"/>
          <w:szCs w:val="21"/>
          <w:highlight w:val="none"/>
        </w:rPr>
        <w:t xml:space="preserve">的其他单价和合价中。当竣工结算时，此项目不得重新组价予以调整。施工中所用的材料、成品、半成品在制作、运输、安装中等发生的一切损耗应包括在报价内。</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在</w:t>
      </w:r>
      <w:r>
        <w:rPr>
          <w:rFonts w:hint="eastAsia" w:ascii="仿宋" w:hAnsi="仿宋" w:eastAsia="仿宋" w:cs="仿宋"/>
          <w:color w:val="000000"/>
          <w:sz w:val="21"/>
          <w:szCs w:val="21"/>
          <w:highlight w:val="none"/>
          <w:lang w:val="en-US" w:eastAsia="zh-CN"/>
        </w:rPr>
        <w:t xml:space="preserve">磋商</w:t>
      </w:r>
      <w:r>
        <w:rPr>
          <w:rFonts w:hint="eastAsia" w:ascii="仿宋" w:hAnsi="仿宋" w:eastAsia="仿宋" w:cs="仿宋"/>
          <w:color w:val="000000"/>
          <w:sz w:val="21"/>
          <w:szCs w:val="21"/>
          <w:highlight w:val="none"/>
        </w:rPr>
        <w:t xml:space="preserve">前应对现场进行认真踏勘，熟悉工程现场和周围环境，了解一切可能影响投标方案、报价等编制</w:t>
      </w:r>
      <w:r>
        <w:rPr>
          <w:rFonts w:hint="eastAsia" w:ascii="仿宋" w:hAnsi="仿宋" w:eastAsia="仿宋" w:cs="仿宋"/>
          <w:color w:val="000000"/>
          <w:sz w:val="21"/>
          <w:szCs w:val="21"/>
          <w:highlight w:val="none"/>
          <w:lang w:eastAsia="zh-CN"/>
        </w:rPr>
        <w:t xml:space="preserve">响应文件</w:t>
      </w:r>
      <w:r>
        <w:rPr>
          <w:rFonts w:hint="eastAsia" w:ascii="仿宋" w:hAnsi="仿宋" w:eastAsia="仿宋" w:cs="仿宋"/>
          <w:color w:val="000000"/>
          <w:sz w:val="21"/>
          <w:szCs w:val="21"/>
          <w:highlight w:val="none"/>
        </w:rPr>
        <w:t xml:space="preserve">的资料，并承担考察现场的责任和风险以及踏勘现场所发生的自身费用。</w:t>
      </w:r>
      <w:r>
        <w:rPr>
          <w:rFonts w:hint="eastAsia" w:ascii="仿宋" w:hAnsi="仿宋" w:eastAsia="仿宋" w:cs="仿宋"/>
          <w:color w:val="000000"/>
          <w:sz w:val="21"/>
          <w:szCs w:val="21"/>
          <w:highlight w:val="none"/>
          <w:lang w:eastAsia="zh-CN"/>
        </w:rPr>
        <w:t xml:space="preserve">成交后</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不得以不完全了解施工现场及周围环境为由，提出额外款项增加、补偿或延长工期等要求。同时作为一个有经验的承包商，应充分考虑与施工现场周边居民的关系、当地施工企业及外围矛盾的协调，</w:t>
      </w:r>
      <w:r>
        <w:rPr>
          <w:rFonts w:hint="eastAsia" w:ascii="仿宋" w:hAnsi="仿宋" w:eastAsia="仿宋" w:cs="仿宋"/>
          <w:color w:val="000000"/>
          <w:sz w:val="21"/>
          <w:szCs w:val="21"/>
          <w:highlight w:val="none"/>
          <w:lang w:val="en-US" w:eastAsia="zh-CN"/>
        </w:rPr>
        <w:t xml:space="preserve">响应</w:t>
      </w:r>
      <w:r>
        <w:rPr>
          <w:rFonts w:hint="eastAsia" w:ascii="仿宋" w:hAnsi="仿宋" w:eastAsia="仿宋" w:cs="仿宋"/>
          <w:color w:val="000000"/>
          <w:sz w:val="21"/>
          <w:szCs w:val="21"/>
          <w:highlight w:val="none"/>
        </w:rPr>
        <w:t xml:space="preserve">报价时应包含解决与当地居民、当地施工企业及地方矛盾所产生的费用，并承担相应的责任。</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10.</w:t>
      </w:r>
      <w:r>
        <w:rPr>
          <w:rStyle w:val="1151"/>
          <w:rFonts w:hint="eastAsia" w:ascii="仿宋" w:hAnsi="仿宋" w:eastAsia="仿宋"/>
          <w:color w:val="000000"/>
          <w:sz w:val="21"/>
          <w:szCs w:val="21"/>
          <w:highlight w:val="none"/>
          <w:lang w:val="en-US"/>
        </w:rPr>
        <w:t xml:space="preserve">4</w:t>
      </w:r>
      <w:r>
        <w:rPr>
          <w:rStyle w:val="1151"/>
          <w:rFonts w:ascii="仿宋" w:hAnsi="仿宋" w:eastAsia="仿宋"/>
          <w:color w:val="000000"/>
          <w:sz w:val="21"/>
          <w:szCs w:val="21"/>
          <w:highlight w:val="none"/>
        </w:rPr>
        <w:t xml:space="preserve">采购人不得向供应商索要或者接受其给予的赠品、回扣或者与采购无关的其他商品、服务。</w:t>
      </w:r>
      <w:r/>
    </w:p>
    <w:p>
      <w:pPr>
        <w:ind w:firstLine="420"/>
        <w:pageBreakBefore w:val="0"/>
        <w:spacing w:line="360" w:lineRule="auto"/>
        <w:rPr>
          <w:rFonts w:hint="eastAsia" w:ascii="仿宋" w:hAnsi="仿宋" w:eastAsia="仿宋" w:cs="仿宋"/>
          <w:color w:val="000000"/>
          <w:sz w:val="21"/>
          <w:szCs w:val="21"/>
          <w:highlight w:val="none"/>
        </w:rPr>
      </w:pPr>
      <w:r>
        <w:rPr>
          <w:rStyle w:val="1151"/>
          <w:rFonts w:ascii="仿宋" w:hAnsi="仿宋" w:eastAsia="仿宋"/>
          <w:color w:val="000000"/>
          <w:sz w:val="21"/>
          <w:szCs w:val="21"/>
          <w:highlight w:val="none"/>
        </w:rPr>
        <w:t xml:space="preserve">10.</w:t>
      </w:r>
      <w:r>
        <w:rPr>
          <w:rStyle w:val="1151"/>
          <w:rFonts w:hint="eastAsia" w:ascii="仿宋" w:hAnsi="仿宋" w:eastAsia="仿宋"/>
          <w:color w:val="000000"/>
          <w:sz w:val="21"/>
          <w:szCs w:val="21"/>
          <w:highlight w:val="none"/>
          <w:lang w:val="en-US"/>
        </w:rPr>
        <w:t xml:space="preserve">5</w:t>
      </w:r>
      <w:r>
        <w:rPr>
          <w:rStyle w:val="1151"/>
          <w:rFonts w:ascii="仿宋" w:hAnsi="仿宋" w:eastAsia="仿宋"/>
          <w:color w:val="000000"/>
          <w:sz w:val="21"/>
          <w:szCs w:val="21"/>
          <w:highlight w:val="none"/>
        </w:rPr>
        <w:t xml:space="preserve">供应商不能提供任何有选择性或可调整的最终报价（竞争性磋商文件另有规定的除外），否则其</w:t>
      </w:r>
      <w:r>
        <w:rPr>
          <w:rFonts w:hint="eastAsia" w:ascii="仿宋" w:hAnsi="仿宋" w:eastAsia="仿宋" w:cs="仿宋"/>
          <w:color w:val="000000"/>
          <w:sz w:val="21"/>
          <w:szCs w:val="21"/>
          <w:highlight w:val="none"/>
        </w:rPr>
        <w:t xml:space="preserve">响应无效。</w:t>
      </w:r>
      <w:r/>
    </w:p>
    <w:p>
      <w:pPr>
        <w:ind w:firstLine="420"/>
        <w:pageBreakBefore w:val="0"/>
        <w:spacing w:line="360" w:lineRule="auto"/>
        <w:rPr>
          <w:rFonts w:hint="eastAsia" w:ascii="仿宋" w:hAnsi="仿宋" w:eastAsia="仿宋" w:cs="仿宋"/>
          <w:color w:val="000000"/>
          <w:sz w:val="21"/>
          <w:szCs w:val="21"/>
          <w:highlight w:val="none"/>
        </w:rPr>
      </w:pPr>
      <w:r/>
      <w:bookmarkStart w:id="343" w:name="_Toc128435108"/>
      <w:r/>
      <w:bookmarkStart w:id="344" w:name="_Toc107952821"/>
      <w:r>
        <w:rPr>
          <w:rFonts w:hint="eastAsia" w:ascii="仿宋" w:hAnsi="仿宋" w:eastAsia="仿宋" w:cs="仿宋"/>
          <w:color w:val="000000"/>
          <w:sz w:val="21"/>
          <w:szCs w:val="21"/>
          <w:highlight w:val="none"/>
          <w:lang w:val="en-US" w:eastAsia="zh-CN"/>
        </w:rPr>
        <w:t xml:space="preserve">10.6</w:t>
      </w:r>
      <w:r>
        <w:rPr>
          <w:rFonts w:hint="eastAsia" w:ascii="仿宋" w:hAnsi="仿宋" w:eastAsia="仿宋" w:cs="仿宋"/>
          <w:color w:val="000000"/>
          <w:sz w:val="21"/>
          <w:szCs w:val="21"/>
          <w:highlight w:val="none"/>
        </w:rPr>
        <w:t xml:space="preserve">由于</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对</w:t>
      </w:r>
      <w:r>
        <w:rPr>
          <w:rFonts w:hint="eastAsia" w:ascii="仿宋" w:hAnsi="仿宋" w:eastAsia="仿宋" w:cs="仿宋"/>
          <w:color w:val="000000"/>
          <w:sz w:val="21"/>
          <w:szCs w:val="21"/>
          <w:highlight w:val="none"/>
          <w:lang w:eastAsia="zh-CN"/>
        </w:rPr>
        <w:t xml:space="preserve">采购文件</w:t>
      </w:r>
      <w:r>
        <w:rPr>
          <w:rFonts w:hint="eastAsia" w:ascii="仿宋" w:hAnsi="仿宋" w:eastAsia="仿宋" w:cs="仿宋"/>
          <w:color w:val="000000"/>
          <w:sz w:val="21"/>
          <w:szCs w:val="21"/>
          <w:highlight w:val="none"/>
        </w:rPr>
        <w:t xml:space="preserve">及相关文件的理解产生的误解和偏差，责任由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自负。</w:t>
      </w:r>
      <w:r/>
    </w:p>
    <w:p>
      <w:pPr>
        <w:ind w:firstLine="42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实施中，如采购人因为工程整体要求而需统一某些材料的材料品牌规格，</w:t>
      </w:r>
      <w:r>
        <w:rPr>
          <w:rFonts w:hint="eastAsia" w:ascii="仿宋" w:hAnsi="仿宋" w:eastAsia="仿宋" w:cs="仿宋"/>
          <w:color w:val="000000"/>
          <w:sz w:val="21"/>
          <w:szCs w:val="21"/>
          <w:highlight w:val="none"/>
          <w:lang w:val="en-US" w:eastAsia="zh-CN"/>
        </w:rPr>
        <w:t xml:space="preserve">成交供应商</w:t>
      </w:r>
      <w:r>
        <w:rPr>
          <w:rFonts w:hint="eastAsia" w:ascii="仿宋" w:hAnsi="仿宋" w:eastAsia="仿宋" w:cs="仿宋"/>
          <w:color w:val="000000"/>
          <w:sz w:val="21"/>
          <w:szCs w:val="21"/>
          <w:highlight w:val="none"/>
          <w:lang w:eastAsia="zh-CN"/>
        </w:rPr>
        <w:t xml:space="preserve">应服从采购人要求在备选品牌内进行更换，且此项投标价格不变，供应商报价时应充分考虑此因素。</w:t>
      </w:r>
      <w:r/>
    </w:p>
    <w:p>
      <w:pPr>
        <w:ind w:firstLine="420"/>
        <w:pageBreakBefore w:val="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10.7</w:t>
      </w:r>
      <w:r>
        <w:rPr>
          <w:rFonts w:hint="eastAsia" w:ascii="仿宋" w:hAnsi="仿宋" w:eastAsia="仿宋" w:cs="仿宋"/>
          <w:color w:val="000000"/>
          <w:sz w:val="21"/>
          <w:szCs w:val="21"/>
          <w:highlight w:val="none"/>
          <w:lang w:eastAsia="zh-CN"/>
        </w:rPr>
        <w:t xml:space="preserve">农民工工资专户、农民工工资发放、农民工工资保证金、履约担保、支付担保、工程保险等按国家、省、市现行文件执行。</w:t>
      </w:r>
      <w:r/>
    </w:p>
    <w:p>
      <w:pPr>
        <w:ind w:firstLine="420"/>
        <w:pageBreakBefore w:val="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10.8其余详见最高投标限价及工程量清单文件（含编制说明）。</w:t>
      </w:r>
      <w:r/>
    </w:p>
    <w:p>
      <w:pPr>
        <w:ind w:firstLine="42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10.9</w:t>
      </w:r>
      <w:r>
        <w:rPr>
          <w:rFonts w:hint="eastAsia" w:ascii="仿宋" w:hAnsi="仿宋" w:eastAsia="仿宋" w:cs="仿宋"/>
          <w:color w:val="000000"/>
          <w:sz w:val="21"/>
          <w:szCs w:val="21"/>
          <w:highlight w:val="none"/>
          <w:lang w:eastAsia="zh-CN"/>
        </w:rPr>
        <w:t xml:space="preserve">除非采购文件另有规定，报价原则上精确到小数点后两位。</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11.磋商保证金</w:t>
      </w:r>
      <w:bookmarkEnd w:id="343"/>
      <w:r/>
      <w:bookmarkEnd w:id="344"/>
      <w:r/>
      <w:r/>
    </w:p>
    <w:p>
      <w:pPr>
        <w:contextualSpacing/>
        <w:ind w:firstLine="420"/>
        <w:spacing w:line="360" w:lineRule="auto"/>
        <w:rPr>
          <w:rStyle w:val="1151"/>
          <w:rFonts w:ascii="仿宋" w:hAnsi="仿宋" w:eastAsia="仿宋"/>
          <w:color w:val="000000"/>
          <w:sz w:val="21"/>
          <w:szCs w:val="21"/>
          <w:highlight w:val="none"/>
        </w:rPr>
      </w:pPr>
      <w:r/>
      <w:bookmarkStart w:id="345" w:name="_Toc107952822"/>
      <w:r>
        <w:rPr>
          <w:rStyle w:val="1151"/>
          <w:rFonts w:hint="eastAsia" w:ascii="仿宋" w:hAnsi="仿宋" w:eastAsia="仿宋"/>
          <w:color w:val="000000"/>
          <w:sz w:val="21"/>
          <w:szCs w:val="21"/>
          <w:highlight w:val="none"/>
        </w:rPr>
        <w:t xml:space="preserve">根据江苏省和常州市的相关文件规定，免收保证金。</w:t>
      </w:r>
      <w:bookmarkEnd w:id="345"/>
      <w:r/>
      <w:r/>
    </w:p>
    <w:p>
      <w:pPr>
        <w:contextualSpacing/>
        <w:ind w:firstLine="422"/>
        <w:spacing w:line="360" w:lineRule="auto"/>
        <w:rPr>
          <w:rStyle w:val="1151"/>
          <w:rFonts w:ascii="仿宋" w:hAnsi="仿宋" w:eastAsia="仿宋"/>
          <w:b/>
          <w:bCs/>
          <w:color w:val="000000"/>
          <w:sz w:val="21"/>
          <w:szCs w:val="21"/>
          <w:highlight w:val="none"/>
        </w:rPr>
      </w:pPr>
      <w:r/>
      <w:bookmarkStart w:id="346" w:name="_Toc128435109"/>
      <w:r/>
      <w:bookmarkStart w:id="347" w:name="_Toc107952823"/>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2.响应有效期</w:t>
      </w:r>
      <w:bookmarkEnd w:id="346"/>
      <w:r/>
      <w:bookmarkEnd w:id="347"/>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2.1响应文件应在本竞争性磋商文件《供应商须知资料表》中规定的响应有效期内保持有效，响应有效期少于竞争性磋商文件规定期限的，其响应无效。</w:t>
      </w:r>
      <w:r/>
    </w:p>
    <w:p>
      <w:pPr>
        <w:contextualSpacing/>
        <w:ind w:firstLine="422"/>
        <w:spacing w:line="360" w:lineRule="auto"/>
        <w:rPr>
          <w:rStyle w:val="1151"/>
          <w:rFonts w:ascii="仿宋" w:hAnsi="仿宋" w:eastAsia="仿宋"/>
          <w:b/>
          <w:bCs/>
          <w:color w:val="000000"/>
          <w:sz w:val="21"/>
          <w:szCs w:val="21"/>
          <w:highlight w:val="none"/>
        </w:rPr>
      </w:pPr>
      <w:r/>
      <w:bookmarkStart w:id="348" w:name="_Toc226337229"/>
      <w:r/>
      <w:bookmarkStart w:id="349" w:name="_Toc127151734"/>
      <w:r/>
      <w:bookmarkStart w:id="350" w:name="_Toc265228371"/>
      <w:r/>
      <w:bookmarkStart w:id="351" w:name="_Toc150509284"/>
      <w:r/>
      <w:bookmarkStart w:id="352" w:name="_Toc150774738"/>
      <w:r/>
      <w:bookmarkStart w:id="353" w:name="_Toc127151533"/>
      <w:r/>
      <w:bookmarkStart w:id="354" w:name="_Toc150774633"/>
      <w:r/>
      <w:bookmarkStart w:id="355" w:name="_Toc164351627"/>
      <w:r/>
      <w:bookmarkStart w:id="356" w:name="_Toc164608647"/>
      <w:r/>
      <w:bookmarkStart w:id="357" w:name="_Toc164229374"/>
      <w:r/>
      <w:bookmarkStart w:id="358" w:name="_Toc127161447"/>
      <w:r/>
      <w:bookmarkStart w:id="359" w:name="_Toc164608802"/>
      <w:r/>
      <w:bookmarkStart w:id="360" w:name="_Toc151193921"/>
      <w:r/>
      <w:bookmarkStart w:id="361" w:name="_Toc305158875"/>
      <w:r/>
      <w:bookmarkStart w:id="362" w:name="_Toc164229228"/>
      <w:r/>
      <w:bookmarkStart w:id="363" w:name="_Toc151190160"/>
      <w:r/>
      <w:bookmarkStart w:id="364" w:name="_Toc226309777"/>
      <w:r/>
      <w:bookmarkStart w:id="365" w:name="_Toc151193703"/>
      <w:r/>
      <w:bookmarkStart w:id="366" w:name="_Toc520356158"/>
      <w:r/>
      <w:bookmarkStart w:id="367" w:name="_Toc264969223"/>
      <w:r/>
      <w:bookmarkStart w:id="368" w:name="_Toc149720826"/>
      <w:r/>
      <w:bookmarkStart w:id="369" w:name="_Toc151193847"/>
      <w:r/>
      <w:bookmarkStart w:id="370" w:name="_Toc150480771"/>
      <w:r/>
      <w:bookmarkStart w:id="371" w:name="_Toc226965806"/>
      <w:r/>
      <w:bookmarkStart w:id="372" w:name="_Toc151193775"/>
      <w:r/>
      <w:bookmarkStart w:id="373" w:name="_Toc226965723"/>
      <w:r/>
      <w:bookmarkStart w:id="374" w:name="_Toc151193631"/>
      <w:r/>
      <w:bookmarkStart w:id="375" w:name="_Toc195842898"/>
      <w:r/>
      <w:bookmarkStart w:id="376" w:name="_Toc305158801"/>
      <w:r/>
      <w:bookmarkStart w:id="377" w:name="_Toc142311035"/>
      <w:r/>
      <w:bookmarkStart w:id="378" w:name="_Toc128435110"/>
      <w:r>
        <w:rPr>
          <w:rStyle w:val="1151"/>
          <w:rFonts w:ascii="仿宋" w:hAnsi="仿宋" w:eastAsia="仿宋"/>
          <w:b/>
          <w:bCs/>
          <w:color w:val="000000"/>
          <w:sz w:val="21"/>
          <w:szCs w:val="21"/>
          <w:highlight w:val="none"/>
        </w:rPr>
        <w:t xml:space="preserve">13.响应文件的签署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Style w:val="1151"/>
          <w:rFonts w:ascii="仿宋" w:hAnsi="仿宋" w:eastAsia="仿宋"/>
          <w:b/>
          <w:bCs/>
          <w:color w:val="000000"/>
          <w:sz w:val="21"/>
          <w:szCs w:val="21"/>
          <w:highlight w:val="none"/>
        </w:rPr>
        <w:t xml:space="preserve">、盖章</w:t>
      </w:r>
      <w:bookmarkEnd w:id="378"/>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3.1竞争性磋商文件要求签字的内容（如授权委托书等），</w:t>
      </w:r>
      <w:r>
        <w:rPr>
          <w:rStyle w:val="1151"/>
          <w:rFonts w:hint="eastAsia" w:ascii="仿宋" w:hAnsi="仿宋" w:eastAsia="仿宋"/>
          <w:color w:val="000000"/>
          <w:sz w:val="21"/>
          <w:szCs w:val="21"/>
          <w:highlight w:val="none"/>
        </w:rPr>
        <w:t xml:space="preserve">可以使用电子签章或使用原件的电子件（电子件指扫描件、照片等形式电子文件）；要求</w:t>
      </w:r>
      <w:r>
        <w:rPr>
          <w:rStyle w:val="1151"/>
          <w:rFonts w:ascii="仿宋" w:hAnsi="仿宋" w:eastAsia="仿宋"/>
          <w:color w:val="000000"/>
          <w:sz w:val="21"/>
          <w:szCs w:val="21"/>
          <w:highlight w:val="none"/>
        </w:rPr>
        <w:t xml:space="preserve">第三方出具的盖章件原件（如联合协议、分包意向协议、制造商授权书原件等），响应文件中应使用原件的电子件。</w:t>
      </w:r>
      <w:r/>
    </w:p>
    <w:p>
      <w:pPr>
        <w:pStyle w:val="967"/>
        <w:ind w:firstLine="420"/>
        <w:jc w:val="both"/>
        <w:spacing w:before="0" w:line="360" w:lineRule="auto"/>
        <w:rPr>
          <w:rStyle w:val="1151"/>
          <w:rFonts w:ascii="仿宋" w:hAnsi="仿宋" w:eastAsia="仿宋"/>
          <w:b w:val="0"/>
          <w:bCs/>
          <w:color w:val="000000"/>
          <w:sz w:val="21"/>
          <w:szCs w:val="21"/>
          <w:highlight w:val="none"/>
        </w:rPr>
      </w:pPr>
      <w:r>
        <w:rPr>
          <w:rStyle w:val="1151"/>
          <w:rFonts w:ascii="仿宋" w:hAnsi="仿宋" w:eastAsia="仿宋"/>
          <w:b w:val="0"/>
          <w:bCs/>
          <w:color w:val="000000"/>
          <w:sz w:val="21"/>
          <w:szCs w:val="21"/>
          <w:highlight w:val="none"/>
        </w:rPr>
        <w:t xml:space="preserve">13.2竞争性磋商文件要求盖章的内容，</w:t>
      </w:r>
      <w:r>
        <w:rPr>
          <w:rStyle w:val="1151"/>
          <w:rFonts w:hint="eastAsia" w:ascii="仿宋" w:hAnsi="仿宋" w:eastAsia="仿宋"/>
          <w:b w:val="0"/>
          <w:bCs/>
          <w:color w:val="000000"/>
          <w:sz w:val="21"/>
          <w:szCs w:val="21"/>
          <w:highlight w:val="none"/>
        </w:rPr>
        <w:t xml:space="preserve">一般</w:t>
      </w:r>
      <w:r>
        <w:rPr>
          <w:rStyle w:val="1151"/>
          <w:rFonts w:ascii="仿宋" w:hAnsi="仿宋" w:eastAsia="仿宋"/>
          <w:b w:val="0"/>
          <w:bCs/>
          <w:color w:val="000000"/>
          <w:sz w:val="21"/>
          <w:szCs w:val="21"/>
          <w:highlight w:val="none"/>
        </w:rPr>
        <w:t xml:space="preserve">通过投标文件编制工具加盖电子签章。</w:t>
      </w:r>
      <w:r/>
    </w:p>
    <w:p>
      <w:pPr>
        <w:pStyle w:val="968"/>
      </w:pPr>
      <w:r/>
      <w:r/>
    </w:p>
    <w:p>
      <w:pPr>
        <w:pStyle w:val="967"/>
        <w:spacing w:before="0" w:line="360" w:lineRule="auto"/>
        <w:rPr>
          <w:rFonts w:ascii="仿宋" w:hAnsi="仿宋" w:eastAsia="仿宋"/>
          <w:color w:val="000000"/>
          <w:sz w:val="28"/>
          <w:highlight w:val="none"/>
        </w:rPr>
      </w:pPr>
      <w:r>
        <w:rPr>
          <w:rFonts w:ascii="仿宋" w:hAnsi="仿宋" w:eastAsia="仿宋"/>
          <w:color w:val="000000"/>
          <w:sz w:val="28"/>
          <w:highlight w:val="none"/>
        </w:rPr>
        <w:t xml:space="preserve">四   响应文件的提交</w:t>
      </w:r>
      <w:bookmarkEnd w:id="80"/>
      <w:r/>
      <w:bookmarkEnd w:id="81"/>
      <w:r/>
      <w:bookmarkEnd w:id="82"/>
      <w:r/>
      <w:bookmarkEnd w:id="83"/>
      <w:r/>
      <w:bookmarkEnd w:id="84"/>
      <w:r/>
      <w:bookmarkEnd w:id="85"/>
      <w:r/>
      <w:r/>
    </w:p>
    <w:p>
      <w:pPr>
        <w:contextualSpacing/>
        <w:ind w:firstLine="422"/>
        <w:spacing w:line="360" w:lineRule="auto"/>
        <w:rPr>
          <w:rStyle w:val="1151"/>
          <w:rFonts w:ascii="仿宋" w:hAnsi="仿宋" w:eastAsia="仿宋"/>
          <w:b/>
          <w:bCs/>
          <w:color w:val="000000"/>
          <w:sz w:val="21"/>
          <w:szCs w:val="21"/>
          <w:highlight w:val="none"/>
        </w:rPr>
      </w:pPr>
      <w:r/>
      <w:bookmarkStart w:id="379" w:name="_Toc127151736"/>
      <w:r/>
      <w:bookmarkStart w:id="380" w:name="_Toc142311037"/>
      <w:r/>
      <w:bookmarkStart w:id="381" w:name="_Toc164608804"/>
      <w:r/>
      <w:bookmarkStart w:id="382" w:name="_Toc265228373"/>
      <w:r/>
      <w:bookmarkStart w:id="383" w:name="_Toc226965725"/>
      <w:r/>
      <w:bookmarkStart w:id="384" w:name="_Toc150774740"/>
      <w:r/>
      <w:bookmarkStart w:id="385" w:name="_Toc164351629"/>
      <w:r/>
      <w:bookmarkStart w:id="386" w:name="_Toc226309779"/>
      <w:r/>
      <w:bookmarkStart w:id="387" w:name="_Toc520356160"/>
      <w:r/>
      <w:bookmarkStart w:id="388" w:name="_Toc127151535"/>
      <w:r/>
      <w:bookmarkStart w:id="389" w:name="_Toc151193923"/>
      <w:r/>
      <w:bookmarkStart w:id="390" w:name="_Toc150509286"/>
      <w:r/>
      <w:bookmarkStart w:id="391" w:name="_Toc150774635"/>
      <w:r/>
      <w:bookmarkStart w:id="392" w:name="_Toc264969225"/>
      <w:r/>
      <w:bookmarkStart w:id="393" w:name="_Toc149720828"/>
      <w:r/>
      <w:bookmarkStart w:id="394" w:name="_Toc150480773"/>
      <w:r/>
      <w:bookmarkStart w:id="395" w:name="_Toc127161449"/>
      <w:r/>
      <w:bookmarkStart w:id="396" w:name="_Toc151193705"/>
      <w:r/>
      <w:bookmarkStart w:id="397" w:name="_Toc151193633"/>
      <w:r/>
      <w:bookmarkStart w:id="398" w:name="_Toc305158803"/>
      <w:r/>
      <w:bookmarkStart w:id="399" w:name="_Toc226337231"/>
      <w:r/>
      <w:bookmarkStart w:id="400" w:name="_Toc164229230"/>
      <w:r/>
      <w:bookmarkStart w:id="401" w:name="_Toc226965808"/>
      <w:r/>
      <w:bookmarkStart w:id="402" w:name="_Toc195842900"/>
      <w:r/>
      <w:bookmarkStart w:id="403" w:name="_Toc164229376"/>
      <w:r/>
      <w:bookmarkStart w:id="404" w:name="_Toc151193849"/>
      <w:r/>
      <w:bookmarkStart w:id="405" w:name="_Toc151193777"/>
      <w:r/>
      <w:bookmarkStart w:id="406" w:name="_Toc151190162"/>
      <w:r/>
      <w:bookmarkStart w:id="407" w:name="_Toc305158877"/>
      <w:r/>
      <w:bookmarkStart w:id="408" w:name="_Toc164608649"/>
      <w:r/>
      <w:bookmarkStart w:id="409" w:name="_Toc128435112"/>
      <w:r/>
      <w:bookmarkStart w:id="410" w:name="_Toc264969227"/>
      <w:r/>
      <w:bookmarkStart w:id="411" w:name="_Toc151193635"/>
      <w:r/>
      <w:bookmarkStart w:id="412" w:name="_Toc150480775"/>
      <w:r/>
      <w:bookmarkStart w:id="413" w:name="_Toc142311039"/>
      <w:r/>
      <w:bookmarkStart w:id="414" w:name="_Toc195842902"/>
      <w:r/>
      <w:bookmarkStart w:id="415" w:name="_Toc150509288"/>
      <w:r/>
      <w:bookmarkStart w:id="416" w:name="_Toc520356162"/>
      <w:r/>
      <w:bookmarkStart w:id="417" w:name="_Toc226337233"/>
      <w:r/>
      <w:bookmarkStart w:id="418" w:name="_Toc265228375"/>
      <w:r/>
      <w:bookmarkStart w:id="419" w:name="_Toc164229232"/>
      <w:r/>
      <w:bookmarkStart w:id="420" w:name="_Toc164351631"/>
      <w:r/>
      <w:bookmarkStart w:id="421" w:name="_Toc151193925"/>
      <w:r/>
      <w:bookmarkStart w:id="422" w:name="_Toc151193851"/>
      <w:r/>
      <w:bookmarkStart w:id="423" w:name="_Toc226309781"/>
      <w:r/>
      <w:bookmarkStart w:id="424" w:name="_Toc226965727"/>
      <w:r/>
      <w:bookmarkStart w:id="425" w:name="_Toc151193707"/>
      <w:r/>
      <w:bookmarkStart w:id="426" w:name="_Toc127161451"/>
      <w:r/>
      <w:bookmarkStart w:id="427" w:name="_Toc226965810"/>
      <w:r/>
      <w:bookmarkStart w:id="428" w:name="_Toc151193779"/>
      <w:r/>
      <w:bookmarkStart w:id="429" w:name="_Toc149720830"/>
      <w:r/>
      <w:bookmarkStart w:id="430" w:name="_Toc164229378"/>
      <w:r/>
      <w:bookmarkStart w:id="431" w:name="_Toc127151537"/>
      <w:r/>
      <w:bookmarkStart w:id="432" w:name="_Toc305158805"/>
      <w:r/>
      <w:bookmarkStart w:id="433" w:name="_Toc164608651"/>
      <w:r/>
      <w:bookmarkStart w:id="434" w:name="_Toc164608806"/>
      <w:r/>
      <w:bookmarkStart w:id="435" w:name="_Toc150774742"/>
      <w:r/>
      <w:bookmarkStart w:id="436" w:name="_Toc127151738"/>
      <w:r/>
      <w:bookmarkStart w:id="437" w:name="_Toc150774637"/>
      <w:r/>
      <w:bookmarkStart w:id="438" w:name="_Toc305158879"/>
      <w:r/>
      <w:bookmarkStart w:id="439" w:name="_Toc107952827"/>
      <w:r/>
      <w:bookmarkStart w:id="440" w:name="_Toc151190164"/>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4.响应文件的</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Style w:val="1151"/>
          <w:rFonts w:ascii="仿宋" w:hAnsi="仿宋" w:eastAsia="仿宋"/>
          <w:b/>
          <w:bCs/>
          <w:color w:val="000000"/>
          <w:sz w:val="21"/>
          <w:szCs w:val="21"/>
          <w:highlight w:val="none"/>
        </w:rPr>
        <w:t xml:space="preserve">提交</w:t>
      </w:r>
      <w:bookmarkEnd w:id="409"/>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4.1本项目使用“苏采云”系统。供应商根据竞争性磋商文件及“苏采云”系统供应商操作手册要求编制、生成并提交电子响应文件。</w:t>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4.2采购人及采购代理机构拒绝接受通过电子交易平台以外任何形式提交的响应文件，磋商保证金除外。</w:t>
      </w:r>
      <w:r/>
    </w:p>
    <w:p>
      <w:pPr>
        <w:contextualSpacing/>
        <w:ind w:firstLine="422"/>
        <w:spacing w:line="360" w:lineRule="auto"/>
        <w:rPr>
          <w:rStyle w:val="1151"/>
          <w:rFonts w:ascii="仿宋" w:hAnsi="仿宋" w:eastAsia="仿宋"/>
          <w:b/>
          <w:bCs/>
          <w:color w:val="000000"/>
          <w:sz w:val="21"/>
          <w:szCs w:val="21"/>
          <w:highlight w:val="none"/>
        </w:rPr>
      </w:pPr>
      <w:r/>
      <w:bookmarkStart w:id="441" w:name="_Toc149720829"/>
      <w:r/>
      <w:bookmarkStart w:id="442" w:name="_Toc150774741"/>
      <w:r/>
      <w:bookmarkStart w:id="443" w:name="_Toc164351630"/>
      <w:r/>
      <w:bookmarkStart w:id="444" w:name="_Toc151193706"/>
      <w:r/>
      <w:bookmarkStart w:id="445" w:name="_Toc195842901"/>
      <w:r/>
      <w:bookmarkStart w:id="446" w:name="_Toc127161450"/>
      <w:r/>
      <w:bookmarkStart w:id="447" w:name="_Toc226965726"/>
      <w:r/>
      <w:bookmarkStart w:id="448" w:name="_Toc151193924"/>
      <w:r/>
      <w:bookmarkStart w:id="449" w:name="_Toc164229377"/>
      <w:r/>
      <w:bookmarkStart w:id="450" w:name="_Toc164608805"/>
      <w:r/>
      <w:bookmarkStart w:id="451" w:name="_Toc127151536"/>
      <w:r/>
      <w:bookmarkStart w:id="452" w:name="_Toc151190163"/>
      <w:r/>
      <w:bookmarkStart w:id="453" w:name="_Toc226309780"/>
      <w:r/>
      <w:bookmarkStart w:id="454" w:name="_Toc127151737"/>
      <w:r/>
      <w:bookmarkStart w:id="455" w:name="_Toc164608650"/>
      <w:r/>
      <w:bookmarkStart w:id="456" w:name="_Toc305158878"/>
      <w:r/>
      <w:bookmarkStart w:id="457" w:name="_Toc226337232"/>
      <w:r/>
      <w:bookmarkStart w:id="458" w:name="_Toc142311038"/>
      <w:r/>
      <w:bookmarkStart w:id="459" w:name="_Toc265228374"/>
      <w:r/>
      <w:bookmarkStart w:id="460" w:name="_Toc150480774"/>
      <w:r/>
      <w:bookmarkStart w:id="461" w:name="_Toc150509287"/>
      <w:r/>
      <w:bookmarkStart w:id="462" w:name="_Toc226965809"/>
      <w:r/>
      <w:bookmarkStart w:id="463" w:name="_Toc520356161"/>
      <w:r/>
      <w:bookmarkStart w:id="464" w:name="_Toc151193850"/>
      <w:r/>
      <w:bookmarkStart w:id="465" w:name="_Toc151193778"/>
      <w:r/>
      <w:bookmarkStart w:id="466" w:name="_Toc151193634"/>
      <w:r/>
      <w:bookmarkStart w:id="467" w:name="_Toc264969226"/>
      <w:r/>
      <w:bookmarkStart w:id="468" w:name="_Toc164229231"/>
      <w:r/>
      <w:bookmarkStart w:id="469" w:name="_Toc150774636"/>
      <w:r/>
      <w:bookmarkStart w:id="470" w:name="_Toc305158804"/>
      <w:r/>
      <w:bookmarkStart w:id="471" w:name="_Toc128435113"/>
      <w:r>
        <w:rPr>
          <w:rStyle w:val="1151"/>
          <w:rFonts w:ascii="仿宋" w:hAnsi="仿宋" w:eastAsia="仿宋"/>
          <w:b/>
          <w:bCs/>
          <w:color w:val="000000"/>
          <w:sz w:val="21"/>
          <w:szCs w:val="21"/>
          <w:highlight w:val="none"/>
        </w:rPr>
        <w:t xml:space="preserve">15.响应文件截止</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Style w:val="1151"/>
          <w:rFonts w:ascii="仿宋" w:hAnsi="仿宋" w:eastAsia="仿宋"/>
          <w:b/>
          <w:bCs/>
          <w:color w:val="000000"/>
          <w:sz w:val="21"/>
          <w:szCs w:val="21"/>
          <w:highlight w:val="none"/>
        </w:rPr>
        <w:t xml:space="preserve">时间</w:t>
      </w:r>
      <w:bookmarkEnd w:id="471"/>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5.1供应商应在竞争性磋商文件要求提交响应文件截止时间前，将电子响应文件提交至“苏采云”系统。</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p>
    <w:p>
      <w:pPr>
        <w:contextualSpacing/>
        <w:ind w:firstLine="422"/>
        <w:spacing w:line="360" w:lineRule="auto"/>
        <w:rPr>
          <w:rStyle w:val="1151"/>
          <w:rFonts w:ascii="仿宋" w:hAnsi="仿宋" w:eastAsia="仿宋"/>
          <w:b/>
          <w:bCs/>
          <w:color w:val="000000"/>
          <w:sz w:val="21"/>
          <w:szCs w:val="21"/>
          <w:highlight w:val="none"/>
        </w:rPr>
      </w:pPr>
      <w:r/>
      <w:bookmarkStart w:id="472" w:name="_Toc128435114"/>
      <w:r>
        <w:rPr>
          <w:rStyle w:val="1151"/>
          <w:rFonts w:ascii="仿宋" w:hAnsi="仿宋" w:eastAsia="仿宋"/>
          <w:b/>
          <w:bCs/>
          <w:color w:val="000000"/>
          <w:sz w:val="21"/>
          <w:szCs w:val="21"/>
          <w:highlight w:val="none"/>
        </w:rPr>
        <w:t xml:space="preserve">16.响应文件的修改与撤回</w:t>
      </w:r>
      <w:bookmarkEnd w:id="472"/>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6.1提交响应文件截止时间前，供应商可以通过电子交易平台对所提交的响应文件进行补充、修改或者撤回。磋商保证金</w:t>
      </w:r>
      <w:r>
        <w:rPr>
          <w:rStyle w:val="1151"/>
          <w:rFonts w:hint="eastAsia" w:ascii="仿宋" w:hAnsi="仿宋" w:eastAsia="仿宋"/>
          <w:color w:val="000000"/>
          <w:sz w:val="21"/>
          <w:szCs w:val="21"/>
          <w:highlight w:val="none"/>
        </w:rPr>
        <w:t xml:space="preserve">的</w:t>
      </w:r>
      <w:r>
        <w:rPr>
          <w:rStyle w:val="1151"/>
          <w:rFonts w:ascii="仿宋" w:hAnsi="仿宋" w:eastAsia="仿宋"/>
          <w:color w:val="000000"/>
          <w:sz w:val="21"/>
          <w:szCs w:val="21"/>
          <w:highlight w:val="none"/>
        </w:rPr>
        <w:t xml:space="preserve">补充、修改或者撤回</w:t>
      </w:r>
      <w:r>
        <w:rPr>
          <w:rStyle w:val="1151"/>
          <w:rFonts w:hint="eastAsia" w:ascii="仿宋" w:hAnsi="仿宋" w:eastAsia="仿宋"/>
          <w:color w:val="000000"/>
          <w:sz w:val="21"/>
          <w:szCs w:val="21"/>
          <w:highlight w:val="none"/>
        </w:rPr>
        <w:t xml:space="preserve">无需</w:t>
      </w:r>
      <w:r>
        <w:rPr>
          <w:rStyle w:val="1151"/>
          <w:rFonts w:ascii="仿宋" w:hAnsi="仿宋" w:eastAsia="仿宋"/>
          <w:color w:val="000000"/>
          <w:sz w:val="21"/>
          <w:szCs w:val="21"/>
          <w:highlight w:val="none"/>
        </w:rPr>
        <w:t xml:space="preserve">通过电子交易平台</w:t>
      </w:r>
      <w:r>
        <w:rPr>
          <w:rStyle w:val="1151"/>
          <w:rFonts w:hint="eastAsia" w:ascii="仿宋" w:hAnsi="仿宋" w:eastAsia="仿宋"/>
          <w:color w:val="000000"/>
          <w:sz w:val="21"/>
          <w:szCs w:val="21"/>
          <w:highlight w:val="none"/>
        </w:rPr>
        <w:t xml:space="preserve">，</w:t>
      </w:r>
      <w:r>
        <w:rPr>
          <w:rStyle w:val="1151"/>
          <w:rFonts w:ascii="仿宋" w:hAnsi="仿宋" w:eastAsia="仿宋"/>
          <w:color w:val="000000"/>
          <w:sz w:val="21"/>
          <w:szCs w:val="21"/>
          <w:highlight w:val="none"/>
        </w:rPr>
        <w:t xml:space="preserve">但应</w:t>
      </w:r>
      <w:r>
        <w:rPr>
          <w:rStyle w:val="1151"/>
          <w:rFonts w:hint="eastAsia" w:ascii="仿宋" w:hAnsi="仿宋" w:eastAsia="仿宋"/>
          <w:color w:val="000000"/>
          <w:sz w:val="21"/>
          <w:szCs w:val="21"/>
          <w:highlight w:val="none"/>
        </w:rPr>
        <w:t xml:space="preserve">就其</w:t>
      </w:r>
      <w:r>
        <w:rPr>
          <w:rStyle w:val="1151"/>
          <w:rFonts w:ascii="仿宋" w:hAnsi="仿宋" w:eastAsia="仿宋"/>
          <w:color w:val="000000"/>
          <w:sz w:val="21"/>
          <w:szCs w:val="21"/>
          <w:highlight w:val="none"/>
        </w:rPr>
        <w:t xml:space="preserve">补充、修改或者撤回</w:t>
      </w:r>
      <w:r>
        <w:rPr>
          <w:rStyle w:val="1151"/>
          <w:rFonts w:hint="eastAsia" w:ascii="仿宋" w:hAnsi="仿宋" w:eastAsia="仿宋"/>
          <w:color w:val="000000"/>
          <w:sz w:val="21"/>
          <w:szCs w:val="21"/>
          <w:highlight w:val="none"/>
        </w:rPr>
        <w:t xml:space="preserve">通知</w:t>
      </w:r>
      <w:r>
        <w:rPr>
          <w:rStyle w:val="1151"/>
          <w:rFonts w:ascii="仿宋" w:hAnsi="仿宋" w:eastAsia="仿宋"/>
          <w:color w:val="000000"/>
          <w:sz w:val="21"/>
          <w:szCs w:val="21"/>
          <w:highlight w:val="none"/>
        </w:rPr>
        <w:t xml:space="preserve">采购人或采购代理机构。</w:t>
      </w:r>
      <w:r/>
    </w:p>
    <w:p>
      <w:pPr>
        <w:contextualSpacing/>
        <w:ind w:firstLine="420"/>
        <w:spacing w:line="360" w:lineRule="auto"/>
        <w:rPr>
          <w:rFonts w:ascii="仿宋" w:hAnsi="仿宋" w:eastAsia="仿宋"/>
          <w:color w:val="000000"/>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6.2供应商对响应文件的补充、修改的内容应当按照竞争性磋商文件要求签署、盖章，作为响应文件的组成部分。补充、修改的内容与响应文件不一致的，以补充、修改的内容为准。</w:t>
      </w:r>
      <w:r/>
    </w:p>
    <w:p>
      <w:pPr>
        <w:pStyle w:val="967"/>
        <w:spacing w:before="0" w:line="360" w:lineRule="auto"/>
        <w:rPr>
          <w:rFonts w:ascii="仿宋" w:hAnsi="仿宋" w:eastAsia="仿宋"/>
          <w:color w:val="000000"/>
          <w:sz w:val="28"/>
          <w:highlight w:val="none"/>
        </w:rPr>
      </w:pPr>
      <w:r/>
      <w:bookmarkStart w:id="473" w:name="_Toc305158806"/>
      <w:r/>
      <w:bookmarkStart w:id="474" w:name="_Toc151193708"/>
      <w:r/>
      <w:bookmarkStart w:id="475" w:name="_Toc151193636"/>
      <w:r/>
      <w:bookmarkStart w:id="476" w:name="_Toc150509289"/>
      <w:r/>
      <w:bookmarkStart w:id="477" w:name="_Toc142311040"/>
      <w:r/>
      <w:bookmarkStart w:id="478" w:name="_Toc226337234"/>
      <w:r/>
      <w:bookmarkStart w:id="479" w:name="_Toc226309782"/>
      <w:r/>
      <w:bookmarkStart w:id="480" w:name="_Toc226965728"/>
      <w:r/>
      <w:bookmarkStart w:id="481" w:name="_Toc520356163"/>
      <w:r/>
      <w:bookmarkStart w:id="482" w:name="_Toc151193926"/>
      <w:r/>
      <w:bookmarkStart w:id="483" w:name="_Toc195842903"/>
      <w:r/>
      <w:bookmarkStart w:id="484" w:name="_Toc264969228"/>
      <w:r/>
      <w:bookmarkStart w:id="485" w:name="_Toc150774638"/>
      <w:r/>
      <w:bookmarkStart w:id="486" w:name="_Toc150480776"/>
      <w:r/>
      <w:bookmarkStart w:id="487" w:name="_Toc305158880"/>
      <w:r/>
      <w:bookmarkStart w:id="488" w:name="_Toc151193780"/>
      <w:r/>
      <w:bookmarkStart w:id="489" w:name="_Toc151193852"/>
      <w:r/>
      <w:bookmarkStart w:id="490" w:name="_Toc226965811"/>
      <w:r/>
      <w:bookmarkStart w:id="491" w:name="_Toc150774743"/>
      <w:r/>
      <w:bookmarkStart w:id="492" w:name="_Toc151190165"/>
      <w:r/>
      <w:bookmarkStart w:id="493" w:name="_Toc127151538"/>
      <w:r/>
      <w:bookmarkStart w:id="494" w:name="_Toc265228376"/>
      <w:r/>
      <w:bookmarkStart w:id="495" w:name="_Toc107952828"/>
      <w:r/>
      <w:bookmarkStart w:id="496" w:name="_Toc128435115"/>
      <w:r/>
      <w:bookmarkStart w:id="497" w:name="_Toc140670463"/>
      <w:r/>
      <w:bookmarkStart w:id="498" w:name="_Toc3958"/>
      <w:r/>
      <w:bookmarkStart w:id="499" w:name="_Toc169226709"/>
      <w:r/>
      <w:bookmarkStart w:id="500" w:name="_Toc140670327"/>
      <w:r>
        <w:rPr>
          <w:rFonts w:ascii="仿宋" w:hAnsi="仿宋" w:eastAsia="仿宋"/>
          <w:color w:val="000000"/>
          <w:sz w:val="28"/>
          <w:highlight w:val="none"/>
        </w:rPr>
        <w:t xml:space="preserve">五   </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仿宋" w:hAnsi="仿宋" w:eastAsia="仿宋"/>
          <w:color w:val="000000"/>
          <w:sz w:val="28"/>
          <w:highlight w:val="none"/>
        </w:rPr>
        <w:t xml:space="preserve">评审</w:t>
      </w:r>
      <w:bookmarkEnd w:id="495"/>
      <w:r/>
      <w:bookmarkEnd w:id="496"/>
      <w:r/>
      <w:bookmarkEnd w:id="497"/>
      <w:r/>
      <w:bookmarkEnd w:id="498"/>
      <w:r/>
      <w:bookmarkEnd w:id="499"/>
      <w:r/>
      <w:bookmarkEnd w:id="500"/>
      <w:r/>
      <w:r/>
    </w:p>
    <w:p>
      <w:pPr>
        <w:contextualSpacing/>
        <w:ind w:firstLine="422"/>
        <w:spacing w:line="360" w:lineRule="auto"/>
        <w:rPr>
          <w:rStyle w:val="1151"/>
          <w:rFonts w:ascii="仿宋" w:hAnsi="仿宋" w:eastAsia="仿宋"/>
          <w:b/>
          <w:bCs/>
          <w:color w:val="000000"/>
          <w:sz w:val="21"/>
          <w:szCs w:val="21"/>
          <w:highlight w:val="none"/>
        </w:rPr>
      </w:pPr>
      <w:r/>
      <w:bookmarkStart w:id="501" w:name="_Toc128435116"/>
      <w:r/>
      <w:bookmarkStart w:id="502" w:name="_Toc520356165"/>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7.响应文件的</w:t>
      </w:r>
      <w:r>
        <w:rPr>
          <w:rStyle w:val="1151"/>
          <w:rFonts w:hint="eastAsia" w:ascii="仿宋" w:hAnsi="仿宋" w:eastAsia="仿宋"/>
          <w:b/>
          <w:bCs/>
          <w:color w:val="000000"/>
          <w:sz w:val="21"/>
          <w:szCs w:val="21"/>
          <w:highlight w:val="none"/>
        </w:rPr>
        <w:t xml:space="preserve">解密与</w:t>
      </w:r>
      <w:r>
        <w:rPr>
          <w:rStyle w:val="1151"/>
          <w:rFonts w:ascii="仿宋" w:hAnsi="仿宋" w:eastAsia="仿宋"/>
          <w:b/>
          <w:bCs/>
          <w:color w:val="000000"/>
          <w:sz w:val="21"/>
          <w:szCs w:val="21"/>
          <w:highlight w:val="none"/>
        </w:rPr>
        <w:t xml:space="preserve">开启</w:t>
      </w:r>
      <w:bookmarkEnd w:id="501"/>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7.1采购人或采购代理机构将按竞争性磋商文件的规定，在响应文件提交截止时间的同一时间和竞争性磋商文件预先确定的地点开启响应文件。</w:t>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7.2本项目采用不见面</w:t>
      </w:r>
      <w:r>
        <w:rPr>
          <w:rStyle w:val="1151"/>
          <w:rFonts w:hint="eastAsia" w:ascii="仿宋" w:hAnsi="仿宋" w:eastAsia="仿宋"/>
          <w:b w:val="0"/>
          <w:bCs w:val="0"/>
          <w:color w:val="000000"/>
          <w:sz w:val="21"/>
          <w:szCs w:val="21"/>
          <w:highlight w:val="none"/>
        </w:rPr>
        <w:t xml:space="preserve">交易</w:t>
      </w:r>
      <w:r>
        <w:rPr>
          <w:rStyle w:val="1151"/>
          <w:rFonts w:ascii="仿宋" w:hAnsi="仿宋" w:eastAsia="仿宋"/>
          <w:b w:val="0"/>
          <w:bCs w:val="0"/>
          <w:color w:val="000000"/>
          <w:sz w:val="21"/>
          <w:szCs w:val="21"/>
          <w:highlight w:val="none"/>
        </w:rPr>
        <w:t xml:space="preserve">模式</w:t>
      </w:r>
      <w:r>
        <w:rPr>
          <w:rStyle w:val="1151"/>
          <w:rFonts w:hint="eastAsia" w:ascii="仿宋" w:hAnsi="仿宋" w:eastAsia="仿宋"/>
          <w:b w:val="0"/>
          <w:bCs w:val="0"/>
          <w:color w:val="000000"/>
          <w:sz w:val="21"/>
          <w:szCs w:val="21"/>
          <w:highlight w:val="none"/>
        </w:rPr>
        <w:t xml:space="preserve">，</w:t>
      </w:r>
      <w:r>
        <w:rPr>
          <w:rStyle w:val="1151"/>
          <w:rFonts w:ascii="仿宋" w:hAnsi="仿宋" w:eastAsia="仿宋"/>
          <w:b w:val="0"/>
          <w:bCs w:val="0"/>
          <w:color w:val="000000"/>
          <w:sz w:val="21"/>
          <w:szCs w:val="21"/>
          <w:highlight w:val="none"/>
        </w:rPr>
        <w:t xml:space="preserve">使用“苏采云”系统</w:t>
      </w:r>
      <w:r>
        <w:rPr>
          <w:rStyle w:val="1151"/>
          <w:rFonts w:hint="eastAsia" w:ascii="仿宋" w:hAnsi="仿宋" w:eastAsia="仿宋"/>
          <w:b w:val="0"/>
          <w:bCs w:val="0"/>
          <w:color w:val="000000"/>
          <w:sz w:val="21"/>
          <w:szCs w:val="21"/>
          <w:highlight w:val="none"/>
        </w:rPr>
        <w:t xml:space="preserve">在线进行</w:t>
      </w:r>
      <w:r>
        <w:rPr>
          <w:rStyle w:val="1151"/>
          <w:rFonts w:ascii="仿宋" w:hAnsi="仿宋" w:eastAsia="仿宋"/>
          <w:b w:val="0"/>
          <w:bCs w:val="0"/>
          <w:color w:val="000000"/>
          <w:sz w:val="21"/>
          <w:szCs w:val="21"/>
          <w:highlight w:val="none"/>
        </w:rPr>
        <w:t xml:space="preserve">解密。供应商应在规定的时间内对</w:t>
      </w:r>
      <w:r>
        <w:rPr>
          <w:rStyle w:val="1151"/>
          <w:rFonts w:hint="eastAsia" w:ascii="仿宋" w:hAnsi="仿宋" w:eastAsia="仿宋"/>
          <w:b w:val="0"/>
          <w:bCs w:val="0"/>
          <w:color w:val="000000"/>
          <w:sz w:val="21"/>
          <w:szCs w:val="21"/>
          <w:highlight w:val="none"/>
        </w:rPr>
        <w:t xml:space="preserve">响应</w:t>
      </w:r>
      <w:r>
        <w:rPr>
          <w:rStyle w:val="1151"/>
          <w:rFonts w:ascii="仿宋" w:hAnsi="仿宋" w:eastAsia="仿宋"/>
          <w:b w:val="0"/>
          <w:bCs w:val="0"/>
          <w:color w:val="000000"/>
          <w:sz w:val="21"/>
          <w:szCs w:val="21"/>
          <w:highlight w:val="none"/>
        </w:rPr>
        <w:t xml:space="preserve">文件进行解密，因非系统原因导致的解密失败，视为响应无效。</w:t>
      </w:r>
      <w:r/>
    </w:p>
    <w:p>
      <w:pPr>
        <w:contextualSpacing/>
        <w:ind w:firstLine="420"/>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7.3供应商不足3家的，不予解密。</w:t>
      </w:r>
      <w:r/>
    </w:p>
    <w:p>
      <w:pPr>
        <w:contextualSpacing/>
        <w:ind w:firstLine="422"/>
        <w:spacing w:line="360" w:lineRule="auto"/>
        <w:rPr>
          <w:rStyle w:val="1151"/>
          <w:rFonts w:hint="eastAsia"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7.4本项目不公开报价。</w:t>
      </w:r>
      <w:r/>
    </w:p>
    <w:p>
      <w:pPr>
        <w:contextualSpacing/>
        <w:ind w:firstLine="422"/>
        <w:spacing w:line="360" w:lineRule="auto"/>
        <w:rPr>
          <w:rStyle w:val="1151"/>
          <w:rFonts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7.5供应商须在开标前使用“验证CA”功能验证本地计算机的控件环境是否正常，并且在</w:t>
      </w:r>
      <w:r>
        <w:rPr>
          <w:rStyle w:val="1151"/>
          <w:rFonts w:hint="eastAsia" w:ascii="仿宋" w:hAnsi="仿宋" w:eastAsia="仿宋"/>
          <w:b w:val="0"/>
          <w:bCs w:val="0"/>
          <w:color w:val="000000"/>
          <w:sz w:val="21"/>
          <w:szCs w:val="21"/>
          <w:highlight w:val="none"/>
        </w:rPr>
        <w:t xml:space="preserve">解密、评审</w:t>
      </w:r>
      <w:r>
        <w:rPr>
          <w:rStyle w:val="1151"/>
          <w:rFonts w:ascii="仿宋" w:hAnsi="仿宋" w:eastAsia="仿宋"/>
          <w:b w:val="0"/>
          <w:bCs w:val="0"/>
          <w:color w:val="000000"/>
          <w:sz w:val="21"/>
          <w:szCs w:val="21"/>
          <w:highlight w:val="none"/>
        </w:rPr>
        <w:t xml:space="preserve">过程中不可随意更换</w:t>
      </w:r>
      <w:r>
        <w:rPr>
          <w:rStyle w:val="1151"/>
          <w:rFonts w:hint="eastAsia" w:ascii="仿宋" w:hAnsi="仿宋" w:eastAsia="仿宋"/>
          <w:b w:val="0"/>
          <w:bCs w:val="0"/>
          <w:color w:val="000000"/>
          <w:sz w:val="21"/>
          <w:szCs w:val="21"/>
          <w:highlight w:val="none"/>
        </w:rPr>
        <w:t xml:space="preserve">计算机</w:t>
      </w:r>
      <w:r>
        <w:rPr>
          <w:rStyle w:val="1151"/>
          <w:rFonts w:ascii="仿宋" w:hAnsi="仿宋" w:eastAsia="仿宋"/>
          <w:b w:val="0"/>
          <w:bCs w:val="0"/>
          <w:color w:val="000000"/>
          <w:sz w:val="21"/>
          <w:szCs w:val="21"/>
          <w:highlight w:val="none"/>
        </w:rPr>
        <w:t xml:space="preserve">，必须使用验证成功的计算机进行操作，否则造成相应后果由供应商自行承担。本地计算机</w:t>
      </w:r>
      <w:r>
        <w:rPr>
          <w:rStyle w:val="1151"/>
          <w:rFonts w:hint="eastAsia" w:ascii="仿宋" w:hAnsi="仿宋" w:eastAsia="仿宋"/>
          <w:b w:val="0"/>
          <w:bCs w:val="0"/>
          <w:color w:val="000000"/>
          <w:sz w:val="21"/>
          <w:szCs w:val="21"/>
          <w:highlight w:val="none"/>
        </w:rPr>
        <w:t xml:space="preserve">要求安装摄像头、麦克风和音箱，保持网络通畅。</w:t>
      </w:r>
      <w:r/>
    </w:p>
    <w:p>
      <w:pPr>
        <w:contextualSpacing/>
        <w:ind w:firstLine="422"/>
        <w:spacing w:line="360" w:lineRule="auto"/>
        <w:rPr>
          <w:rStyle w:val="1151"/>
          <w:rFonts w:hint="eastAsia" w:ascii="仿宋" w:hAnsi="仿宋" w:eastAsia="仿宋"/>
          <w:b w:val="0"/>
          <w:bCs w:val="0"/>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7.6</w:t>
      </w:r>
      <w:r>
        <w:rPr>
          <w:rStyle w:val="1151"/>
          <w:rFonts w:hint="eastAsia" w:ascii="仿宋" w:hAnsi="仿宋" w:eastAsia="仿宋"/>
          <w:b w:val="0"/>
          <w:bCs w:val="0"/>
          <w:color w:val="000000"/>
          <w:sz w:val="21"/>
          <w:szCs w:val="21"/>
          <w:highlight w:val="none"/>
        </w:rPr>
        <w:t xml:space="preserve">因本项目</w:t>
      </w:r>
      <w:r>
        <w:rPr>
          <w:rStyle w:val="1151"/>
          <w:rFonts w:ascii="仿宋" w:hAnsi="仿宋" w:eastAsia="仿宋"/>
          <w:b w:val="0"/>
          <w:bCs w:val="0"/>
          <w:color w:val="000000"/>
          <w:sz w:val="21"/>
          <w:szCs w:val="21"/>
          <w:highlight w:val="none"/>
        </w:rPr>
        <w:t xml:space="preserve">采用不见面交易的</w:t>
      </w:r>
      <w:r>
        <w:rPr>
          <w:rStyle w:val="1151"/>
          <w:rFonts w:hint="eastAsia" w:ascii="仿宋" w:hAnsi="仿宋" w:eastAsia="仿宋"/>
          <w:b w:val="0"/>
          <w:bCs w:val="0"/>
          <w:color w:val="000000"/>
          <w:sz w:val="21"/>
          <w:szCs w:val="21"/>
          <w:highlight w:val="none"/>
        </w:rPr>
        <w:t xml:space="preserve">方式</w:t>
      </w:r>
      <w:r>
        <w:rPr>
          <w:rStyle w:val="1151"/>
          <w:rFonts w:ascii="仿宋" w:hAnsi="仿宋" w:eastAsia="仿宋"/>
          <w:b w:val="0"/>
          <w:bCs w:val="0"/>
          <w:color w:val="000000"/>
          <w:sz w:val="21"/>
          <w:szCs w:val="21"/>
          <w:highlight w:val="none"/>
        </w:rPr>
        <w:t xml:space="preserve">，在</w:t>
      </w:r>
      <w:r>
        <w:rPr>
          <w:rStyle w:val="1151"/>
          <w:rFonts w:hint="eastAsia" w:ascii="仿宋" w:hAnsi="仿宋" w:eastAsia="仿宋"/>
          <w:b w:val="0"/>
          <w:bCs w:val="0"/>
          <w:color w:val="000000"/>
          <w:sz w:val="21"/>
          <w:szCs w:val="21"/>
          <w:highlight w:val="none"/>
        </w:rPr>
        <w:t xml:space="preserve">解密、评审</w:t>
      </w:r>
      <w:r>
        <w:rPr>
          <w:rStyle w:val="1151"/>
          <w:rFonts w:ascii="仿宋" w:hAnsi="仿宋" w:eastAsia="仿宋"/>
          <w:b w:val="0"/>
          <w:bCs w:val="0"/>
          <w:color w:val="000000"/>
          <w:sz w:val="21"/>
          <w:szCs w:val="21"/>
          <w:highlight w:val="none"/>
        </w:rPr>
        <w:t xml:space="preserve">过程中，</w:t>
      </w:r>
      <w:r>
        <w:rPr>
          <w:rStyle w:val="1151"/>
          <w:rFonts w:hint="eastAsia" w:ascii="仿宋" w:hAnsi="仿宋" w:eastAsia="仿宋"/>
          <w:b w:val="0"/>
          <w:bCs w:val="0"/>
          <w:color w:val="000000"/>
          <w:sz w:val="21"/>
          <w:szCs w:val="21"/>
          <w:highlight w:val="none"/>
        </w:rPr>
        <w:t xml:space="preserve">供应商</w:t>
      </w:r>
      <w:r>
        <w:rPr>
          <w:rStyle w:val="1151"/>
          <w:rFonts w:ascii="仿宋" w:hAnsi="仿宋" w:eastAsia="仿宋"/>
          <w:b w:val="0"/>
          <w:bCs w:val="0"/>
          <w:color w:val="000000"/>
          <w:sz w:val="21"/>
          <w:szCs w:val="21"/>
          <w:highlight w:val="none"/>
        </w:rPr>
        <w:t xml:space="preserve">需</w:t>
      </w:r>
      <w:r>
        <w:rPr>
          <w:rStyle w:val="1151"/>
          <w:rFonts w:hint="eastAsia" w:ascii="仿宋" w:hAnsi="仿宋" w:eastAsia="仿宋"/>
          <w:b w:val="0"/>
          <w:bCs w:val="0"/>
          <w:color w:val="000000"/>
          <w:sz w:val="21"/>
          <w:szCs w:val="21"/>
          <w:highlight w:val="none"/>
        </w:rPr>
        <w:t xml:space="preserve">要</w:t>
      </w:r>
      <w:r>
        <w:rPr>
          <w:rStyle w:val="1151"/>
          <w:rFonts w:ascii="仿宋" w:hAnsi="仿宋" w:eastAsia="仿宋"/>
          <w:b w:val="0"/>
          <w:bCs w:val="0"/>
          <w:color w:val="000000"/>
          <w:sz w:val="21"/>
          <w:szCs w:val="21"/>
          <w:highlight w:val="none"/>
        </w:rPr>
        <w:t xml:space="preserve">保持操作计算机前有相关责任人</w:t>
      </w:r>
      <w:r>
        <w:rPr>
          <w:rStyle w:val="1151"/>
          <w:rFonts w:hint="eastAsia" w:ascii="仿宋" w:hAnsi="仿宋" w:eastAsia="仿宋"/>
          <w:b w:val="0"/>
          <w:bCs w:val="0"/>
          <w:color w:val="000000"/>
          <w:sz w:val="21"/>
          <w:szCs w:val="21"/>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Style w:val="1151"/>
          <w:rFonts w:ascii="仿宋" w:hAnsi="仿宋" w:eastAsia="仿宋"/>
          <w:b w:val="0"/>
          <w:bCs w:val="0"/>
          <w:color w:val="000000"/>
          <w:sz w:val="21"/>
          <w:szCs w:val="21"/>
          <w:highlight w:val="none"/>
        </w:rPr>
        <w:t xml:space="preserve">。</w:t>
      </w:r>
      <w:r/>
    </w:p>
    <w:p>
      <w:pPr>
        <w:contextualSpacing/>
        <w:ind w:firstLine="422"/>
        <w:spacing w:line="360" w:lineRule="auto"/>
        <w:rPr>
          <w:rStyle w:val="1151"/>
          <w:rFonts w:ascii="仿宋" w:hAnsi="仿宋" w:eastAsia="仿宋"/>
          <w:color w:val="000000"/>
          <w:sz w:val="21"/>
          <w:szCs w:val="21"/>
          <w:highlight w:val="none"/>
        </w:rPr>
      </w:pPr>
      <w:r>
        <w:rPr>
          <w:rStyle w:val="1151"/>
          <w:rFonts w:hint="eastAsia" w:ascii="仿宋" w:hAnsi="仿宋" w:eastAsia="仿宋"/>
          <w:b w:val="0"/>
          <w:bCs w:val="0"/>
          <w:color w:val="000000"/>
          <w:sz w:val="21"/>
          <w:szCs w:val="21"/>
          <w:highlight w:val="none"/>
        </w:rPr>
        <w:t xml:space="preserve">1</w:t>
      </w:r>
      <w:r>
        <w:rPr>
          <w:rStyle w:val="1151"/>
          <w:rFonts w:ascii="仿宋" w:hAnsi="仿宋" w:eastAsia="仿宋"/>
          <w:b w:val="0"/>
          <w:bCs w:val="0"/>
          <w:color w:val="000000"/>
          <w:sz w:val="21"/>
          <w:szCs w:val="21"/>
          <w:highlight w:val="none"/>
        </w:rPr>
        <w:t xml:space="preserve">7.7</w:t>
      </w:r>
      <w:r>
        <w:rPr>
          <w:rStyle w:val="1151"/>
          <w:rFonts w:hint="eastAsia" w:ascii="仿宋" w:hAnsi="仿宋" w:eastAsia="仿宋"/>
          <w:b w:val="0"/>
          <w:bCs w:val="0"/>
          <w:color w:val="000000"/>
          <w:sz w:val="21"/>
          <w:szCs w:val="21"/>
          <w:highlight w:val="none"/>
        </w:rPr>
        <w:t xml:space="preserve">如果在</w:t>
      </w:r>
      <w:r>
        <w:rPr>
          <w:rStyle w:val="1151"/>
          <w:rFonts w:ascii="仿宋" w:hAnsi="仿宋" w:eastAsia="仿宋"/>
          <w:b w:val="0"/>
          <w:bCs w:val="0"/>
          <w:color w:val="000000"/>
          <w:sz w:val="21"/>
          <w:szCs w:val="21"/>
          <w:highlight w:val="none"/>
        </w:rPr>
        <w:t xml:space="preserve">采购</w:t>
      </w:r>
      <w:r>
        <w:rPr>
          <w:rStyle w:val="1151"/>
          <w:rFonts w:hint="eastAsia" w:ascii="仿宋" w:hAnsi="仿宋" w:eastAsia="仿宋"/>
          <w:b w:val="0"/>
          <w:bCs w:val="0"/>
          <w:color w:val="000000"/>
          <w:sz w:val="21"/>
          <w:szCs w:val="21"/>
          <w:highlight w:val="none"/>
        </w:rPr>
        <w:t xml:space="preserve">活动</w:t>
      </w:r>
      <w:r>
        <w:rPr>
          <w:rStyle w:val="1151"/>
          <w:rFonts w:ascii="仿宋" w:hAnsi="仿宋" w:eastAsia="仿宋"/>
          <w:b w:val="0"/>
          <w:bCs w:val="0"/>
          <w:color w:val="000000"/>
          <w:sz w:val="21"/>
          <w:szCs w:val="21"/>
          <w:highlight w:val="none"/>
        </w:rPr>
        <w:t xml:space="preserve">过程中出现以下情形，导致</w:t>
      </w:r>
      <w:r>
        <w:rPr>
          <w:rStyle w:val="1151"/>
          <w:rFonts w:hint="eastAsia" w:ascii="仿宋" w:hAnsi="仿宋" w:eastAsia="仿宋"/>
          <w:b w:val="0"/>
          <w:bCs w:val="0"/>
          <w:color w:val="000000"/>
          <w:sz w:val="21"/>
          <w:szCs w:val="21"/>
          <w:highlight w:val="none"/>
        </w:rPr>
        <w:t xml:space="preserve">“</w:t>
      </w:r>
      <w:r>
        <w:rPr>
          <w:rStyle w:val="1151"/>
          <w:rFonts w:ascii="仿宋" w:hAnsi="仿宋" w:eastAsia="仿宋"/>
          <w:b w:val="0"/>
          <w:bCs w:val="0"/>
          <w:color w:val="000000"/>
          <w:sz w:val="21"/>
          <w:szCs w:val="21"/>
          <w:highlight w:val="none"/>
        </w:rPr>
        <w:t xml:space="preserve">苏采云”</w:t>
      </w:r>
      <w:r>
        <w:rPr>
          <w:rStyle w:val="1151"/>
          <w:rFonts w:hint="eastAsia" w:ascii="仿宋" w:hAnsi="仿宋" w:eastAsia="仿宋"/>
          <w:b w:val="0"/>
          <w:bCs w:val="0"/>
          <w:color w:val="000000"/>
          <w:sz w:val="21"/>
          <w:szCs w:val="21"/>
          <w:highlight w:val="none"/>
        </w:rPr>
        <w:t xml:space="preserve">系统</w:t>
      </w:r>
      <w:r>
        <w:rPr>
          <w:rStyle w:val="1151"/>
          <w:rFonts w:ascii="仿宋" w:hAnsi="仿宋" w:eastAsia="仿宋"/>
          <w:b w:val="0"/>
          <w:bCs w:val="0"/>
          <w:color w:val="000000"/>
          <w:sz w:val="21"/>
          <w:szCs w:val="21"/>
          <w:highlight w:val="none"/>
        </w:rPr>
        <w:t xml:space="preserve">无法正常运行，或者无法保证</w:t>
      </w:r>
      <w:r>
        <w:rPr>
          <w:rStyle w:val="1151"/>
          <w:rFonts w:hint="eastAsia" w:ascii="仿宋" w:hAnsi="仿宋" w:eastAsia="仿宋"/>
          <w:b w:val="0"/>
          <w:bCs w:val="0"/>
          <w:color w:val="000000"/>
          <w:sz w:val="21"/>
          <w:szCs w:val="21"/>
          <w:highlight w:val="none"/>
        </w:rPr>
        <w:t xml:space="preserve">本项目采购活动</w:t>
      </w:r>
      <w:r>
        <w:rPr>
          <w:rStyle w:val="1151"/>
          <w:rFonts w:ascii="仿宋" w:hAnsi="仿宋" w:eastAsia="仿宋"/>
          <w:b w:val="0"/>
          <w:bCs w:val="0"/>
          <w:color w:val="000000"/>
          <w:sz w:val="21"/>
          <w:szCs w:val="21"/>
          <w:highlight w:val="none"/>
        </w:rPr>
        <w:t xml:space="preserve">的公平、公正和安全时，</w:t>
      </w:r>
      <w:r>
        <w:rPr>
          <w:rStyle w:val="1151"/>
          <w:rFonts w:hint="eastAsia" w:ascii="仿宋" w:hAnsi="仿宋" w:eastAsia="仿宋"/>
          <w:b w:val="0"/>
          <w:bCs w:val="0"/>
          <w:color w:val="000000"/>
          <w:sz w:val="21"/>
          <w:szCs w:val="21"/>
          <w:highlight w:val="none"/>
        </w:rPr>
        <w:t xml:space="preserve">代理机构</w:t>
      </w:r>
      <w:r>
        <w:rPr>
          <w:rStyle w:val="1151"/>
          <w:rFonts w:ascii="仿宋" w:hAnsi="仿宋" w:eastAsia="仿宋"/>
          <w:b w:val="0"/>
          <w:bCs w:val="0"/>
          <w:color w:val="000000"/>
          <w:sz w:val="21"/>
          <w:szCs w:val="21"/>
          <w:highlight w:val="none"/>
        </w:rPr>
        <w:t xml:space="preserve">可</w:t>
      </w:r>
      <w:r>
        <w:rPr>
          <w:rStyle w:val="1151"/>
          <w:rFonts w:hint="eastAsia" w:ascii="仿宋" w:hAnsi="仿宋" w:eastAsia="仿宋"/>
          <w:b w:val="0"/>
          <w:bCs w:val="0"/>
          <w:color w:val="000000"/>
          <w:sz w:val="21"/>
          <w:szCs w:val="21"/>
          <w:highlight w:val="none"/>
        </w:rPr>
        <w:t xml:space="preserve">以延缓或者暂停采购活动，情况严重的可以终止采购</w:t>
      </w:r>
      <w:r>
        <w:rPr>
          <w:rStyle w:val="1151"/>
          <w:rFonts w:ascii="仿宋" w:hAnsi="仿宋" w:eastAsia="仿宋"/>
          <w:b w:val="0"/>
          <w:bCs w:val="0"/>
          <w:color w:val="000000"/>
          <w:sz w:val="21"/>
          <w:szCs w:val="21"/>
          <w:highlight w:val="none"/>
        </w:rPr>
        <w:t xml:space="preserve">活动：</w:t>
      </w:r>
      <w:r>
        <w:rPr>
          <w:rStyle w:val="1151"/>
          <w:rFonts w:ascii="仿宋" w:hAnsi="仿宋" w:eastAsia="仿宋"/>
          <w:b w:val="0"/>
          <w:bCs w:val="0"/>
          <w:color w:val="000000"/>
          <w:sz w:val="21"/>
          <w:szCs w:val="21"/>
          <w:highlight w:val="none"/>
        </w:rPr>
        <w:br w:type="textWrapping" w:clear="all"/>
      </w:r>
      <w:r>
        <w:rPr>
          <w:rStyle w:val="1151"/>
          <w:rFonts w:ascii="仿宋" w:hAnsi="仿宋" w:eastAsia="仿宋"/>
          <w:color w:val="000000"/>
          <w:sz w:val="21"/>
          <w:szCs w:val="21"/>
          <w:highlight w:val="none"/>
        </w:rPr>
        <w:t xml:space="preserve">   </w:t>
      </w:r>
      <w:r>
        <w:rPr>
          <w:rStyle w:val="1151"/>
          <w:rFonts w:hint="eastAsia" w:ascii="仿宋" w:hAnsi="仿宋" w:eastAsia="仿宋"/>
          <w:color w:val="000000"/>
          <w:sz w:val="21"/>
          <w:szCs w:val="21"/>
          <w:highlight w:val="none"/>
        </w:rPr>
        <w:t xml:space="preserve"> （1）</w:t>
      </w:r>
      <w:r>
        <w:rPr>
          <w:rStyle w:val="1151"/>
          <w:rFonts w:ascii="仿宋" w:hAnsi="仿宋" w:eastAsia="仿宋"/>
          <w:color w:val="000000"/>
          <w:sz w:val="21"/>
          <w:szCs w:val="21"/>
          <w:highlight w:val="none"/>
        </w:rPr>
        <w:t xml:space="preserve">平台</w:t>
      </w:r>
      <w:r>
        <w:rPr>
          <w:rStyle w:val="1151"/>
          <w:rFonts w:hint="eastAsia" w:ascii="仿宋" w:hAnsi="仿宋" w:eastAsia="仿宋"/>
          <w:color w:val="000000"/>
          <w:sz w:val="21"/>
          <w:szCs w:val="21"/>
          <w:highlight w:val="none"/>
        </w:rPr>
        <w:t xml:space="preserve">系统</w:t>
      </w:r>
      <w:r>
        <w:rPr>
          <w:rStyle w:val="1151"/>
          <w:rFonts w:ascii="仿宋" w:hAnsi="仿宋" w:eastAsia="仿宋"/>
          <w:color w:val="000000"/>
          <w:sz w:val="21"/>
          <w:szCs w:val="21"/>
          <w:highlight w:val="none"/>
        </w:rPr>
        <w:t xml:space="preserve">发生故障而无法登录访问的；</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平台</w:t>
      </w:r>
      <w:r>
        <w:rPr>
          <w:rStyle w:val="1151"/>
          <w:rFonts w:hint="eastAsia" w:ascii="仿宋" w:hAnsi="仿宋" w:eastAsia="仿宋"/>
          <w:color w:val="000000"/>
          <w:sz w:val="21"/>
          <w:szCs w:val="21"/>
          <w:highlight w:val="none"/>
        </w:rPr>
        <w:t xml:space="preserve">系统</w:t>
      </w:r>
      <w:r>
        <w:rPr>
          <w:rStyle w:val="1151"/>
          <w:rFonts w:ascii="仿宋" w:hAnsi="仿宋" w:eastAsia="仿宋"/>
          <w:color w:val="000000"/>
          <w:sz w:val="21"/>
          <w:szCs w:val="21"/>
          <w:highlight w:val="none"/>
        </w:rPr>
        <w:t xml:space="preserve">应用或数据库出现错误，不能进行正常操作的；</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平台</w:t>
      </w:r>
      <w:r>
        <w:rPr>
          <w:rStyle w:val="1151"/>
          <w:rFonts w:hint="eastAsia" w:ascii="仿宋" w:hAnsi="仿宋" w:eastAsia="仿宋"/>
          <w:color w:val="000000"/>
          <w:sz w:val="21"/>
          <w:szCs w:val="21"/>
          <w:highlight w:val="none"/>
        </w:rPr>
        <w:t xml:space="preserve">系统</w:t>
      </w:r>
      <w:r>
        <w:rPr>
          <w:rStyle w:val="1151"/>
          <w:rFonts w:ascii="仿宋" w:hAnsi="仿宋" w:eastAsia="仿宋"/>
          <w:color w:val="000000"/>
          <w:sz w:val="21"/>
          <w:szCs w:val="21"/>
          <w:highlight w:val="none"/>
        </w:rPr>
        <w:t xml:space="preserve">发现严重安全漏洞，有潜在泄密危险的；</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病毒发作导致平台</w:t>
      </w:r>
      <w:r>
        <w:rPr>
          <w:rStyle w:val="1151"/>
          <w:rFonts w:hint="eastAsia" w:ascii="仿宋" w:hAnsi="仿宋" w:eastAsia="仿宋"/>
          <w:color w:val="000000"/>
          <w:sz w:val="21"/>
          <w:szCs w:val="21"/>
          <w:highlight w:val="none"/>
        </w:rPr>
        <w:t xml:space="preserve">系统</w:t>
      </w:r>
      <w:r>
        <w:rPr>
          <w:rStyle w:val="1151"/>
          <w:rFonts w:ascii="仿宋" w:hAnsi="仿宋" w:eastAsia="仿宋"/>
          <w:color w:val="000000"/>
          <w:sz w:val="21"/>
          <w:szCs w:val="21"/>
          <w:highlight w:val="none"/>
        </w:rPr>
        <w:t xml:space="preserve">不能进行正常操作的；</w:t>
      </w:r>
      <w:r/>
    </w:p>
    <w:p>
      <w:pPr>
        <w:contextualSpacing/>
        <w:ind w:firstLine="420"/>
        <w:spacing w:line="360" w:lineRule="auto"/>
        <w:rPr>
          <w:rStyle w:val="1151"/>
          <w:rFonts w:hint="eastAsia"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其他无法保证</w:t>
      </w:r>
      <w:r>
        <w:rPr>
          <w:rStyle w:val="1151"/>
          <w:rFonts w:hint="eastAsia" w:ascii="仿宋" w:hAnsi="仿宋" w:eastAsia="仿宋"/>
          <w:color w:val="000000"/>
          <w:sz w:val="21"/>
          <w:szCs w:val="21"/>
          <w:highlight w:val="none"/>
        </w:rPr>
        <w:t xml:space="preserve">本次采购活动</w:t>
      </w:r>
      <w:r>
        <w:rPr>
          <w:rStyle w:val="1151"/>
          <w:rFonts w:ascii="仿宋" w:hAnsi="仿宋" w:eastAsia="仿宋"/>
          <w:color w:val="000000"/>
          <w:sz w:val="21"/>
          <w:szCs w:val="21"/>
          <w:highlight w:val="none"/>
        </w:rPr>
        <w:t xml:space="preserve">的公平、公正和安全的情况。</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出现</w:t>
      </w:r>
      <w:r>
        <w:rPr>
          <w:rStyle w:val="1151"/>
          <w:rFonts w:hint="eastAsia" w:ascii="仿宋" w:hAnsi="仿宋" w:eastAsia="仿宋"/>
          <w:color w:val="000000"/>
          <w:sz w:val="21"/>
          <w:szCs w:val="21"/>
          <w:highlight w:val="none"/>
        </w:rPr>
        <w:t xml:space="preserve">上述</w:t>
      </w:r>
      <w:r>
        <w:rPr>
          <w:rStyle w:val="1151"/>
          <w:rFonts w:ascii="仿宋" w:hAnsi="仿宋" w:eastAsia="仿宋"/>
          <w:color w:val="000000"/>
          <w:sz w:val="21"/>
          <w:szCs w:val="21"/>
          <w:highlight w:val="none"/>
        </w:rPr>
        <w:t xml:space="preserve">情形，不影响采购</w:t>
      </w:r>
      <w:r>
        <w:rPr>
          <w:rStyle w:val="1151"/>
          <w:rFonts w:hint="eastAsia" w:ascii="仿宋" w:hAnsi="仿宋" w:eastAsia="仿宋"/>
          <w:color w:val="000000"/>
          <w:sz w:val="21"/>
          <w:szCs w:val="21"/>
          <w:highlight w:val="none"/>
        </w:rPr>
        <w:t xml:space="preserve">活动</w:t>
      </w:r>
      <w:r>
        <w:rPr>
          <w:rStyle w:val="1151"/>
          <w:rFonts w:ascii="仿宋" w:hAnsi="仿宋" w:eastAsia="仿宋"/>
          <w:color w:val="000000"/>
          <w:sz w:val="21"/>
          <w:szCs w:val="21"/>
          <w:highlight w:val="none"/>
        </w:rPr>
        <w:t xml:space="preserve">公平、公正性的，</w:t>
      </w:r>
      <w:r>
        <w:rPr>
          <w:rStyle w:val="1151"/>
          <w:rFonts w:hint="eastAsia" w:ascii="仿宋" w:hAnsi="仿宋" w:eastAsia="仿宋"/>
          <w:color w:val="000000"/>
          <w:sz w:val="21"/>
          <w:szCs w:val="21"/>
          <w:highlight w:val="none"/>
        </w:rPr>
        <w:t xml:space="preserve">代理机构</w:t>
      </w:r>
      <w:r>
        <w:rPr>
          <w:rStyle w:val="1151"/>
          <w:rFonts w:ascii="仿宋" w:hAnsi="仿宋" w:eastAsia="仿宋"/>
          <w:color w:val="000000"/>
          <w:sz w:val="21"/>
          <w:szCs w:val="21"/>
          <w:highlight w:val="none"/>
        </w:rPr>
        <w:t xml:space="preserve">可以待上述情形消除后继续组织</w:t>
      </w:r>
      <w:r>
        <w:rPr>
          <w:rStyle w:val="1151"/>
          <w:rFonts w:hint="eastAsia" w:ascii="仿宋" w:hAnsi="仿宋" w:eastAsia="仿宋"/>
          <w:color w:val="000000"/>
          <w:sz w:val="21"/>
          <w:szCs w:val="21"/>
          <w:highlight w:val="none"/>
        </w:rPr>
        <w:t xml:space="preserve">不见面</w:t>
      </w:r>
      <w:r>
        <w:rPr>
          <w:rStyle w:val="1151"/>
          <w:rFonts w:ascii="仿宋" w:hAnsi="仿宋" w:eastAsia="仿宋"/>
          <w:color w:val="000000"/>
          <w:sz w:val="21"/>
          <w:szCs w:val="21"/>
          <w:highlight w:val="none"/>
        </w:rPr>
        <w:t xml:space="preserve">交易</w:t>
      </w:r>
      <w:r>
        <w:rPr>
          <w:rStyle w:val="1151"/>
          <w:rFonts w:hint="eastAsia" w:ascii="仿宋" w:hAnsi="仿宋" w:eastAsia="仿宋"/>
          <w:color w:val="000000"/>
          <w:sz w:val="21"/>
          <w:szCs w:val="21"/>
          <w:highlight w:val="none"/>
        </w:rPr>
        <w:t xml:space="preserve">采购</w:t>
      </w:r>
      <w:r>
        <w:rPr>
          <w:rStyle w:val="1151"/>
          <w:rFonts w:ascii="仿宋" w:hAnsi="仿宋" w:eastAsia="仿宋"/>
          <w:color w:val="000000"/>
          <w:sz w:val="21"/>
          <w:szCs w:val="21"/>
          <w:highlight w:val="none"/>
        </w:rPr>
        <w:t xml:space="preserve">活动，也可以决定某些环节以纸质形式进行；影响或可能影响采购</w:t>
      </w:r>
      <w:r>
        <w:rPr>
          <w:rStyle w:val="1151"/>
          <w:rFonts w:hint="eastAsia" w:ascii="仿宋" w:hAnsi="仿宋" w:eastAsia="仿宋"/>
          <w:color w:val="000000"/>
          <w:sz w:val="21"/>
          <w:szCs w:val="21"/>
          <w:highlight w:val="none"/>
        </w:rPr>
        <w:t xml:space="preserve">活动</w:t>
      </w:r>
      <w:r>
        <w:rPr>
          <w:rStyle w:val="1151"/>
          <w:rFonts w:ascii="仿宋" w:hAnsi="仿宋" w:eastAsia="仿宋"/>
          <w:color w:val="000000"/>
          <w:sz w:val="21"/>
          <w:szCs w:val="21"/>
          <w:highlight w:val="none"/>
        </w:rPr>
        <w:t xml:space="preserve">公平、公正性的，应当</w:t>
      </w:r>
      <w:r>
        <w:rPr>
          <w:rStyle w:val="1151"/>
          <w:rFonts w:hint="eastAsia" w:ascii="仿宋" w:hAnsi="仿宋" w:eastAsia="仿宋"/>
          <w:color w:val="000000"/>
          <w:sz w:val="21"/>
          <w:szCs w:val="21"/>
          <w:highlight w:val="none"/>
        </w:rPr>
        <w:t xml:space="preserve">终止本次项目，</w:t>
      </w:r>
      <w:r>
        <w:rPr>
          <w:rStyle w:val="1151"/>
          <w:rFonts w:ascii="仿宋" w:hAnsi="仿宋" w:eastAsia="仿宋"/>
          <w:color w:val="000000"/>
          <w:sz w:val="21"/>
          <w:szCs w:val="21"/>
          <w:highlight w:val="none"/>
        </w:rPr>
        <w:t xml:space="preserve">重新</w:t>
      </w:r>
      <w:r>
        <w:rPr>
          <w:rStyle w:val="1151"/>
          <w:rFonts w:hint="eastAsia" w:ascii="仿宋" w:hAnsi="仿宋" w:eastAsia="仿宋"/>
          <w:color w:val="000000"/>
          <w:sz w:val="21"/>
          <w:szCs w:val="21"/>
          <w:highlight w:val="none"/>
        </w:rPr>
        <w:t xml:space="preserve">组织</w:t>
      </w:r>
      <w:r>
        <w:rPr>
          <w:rStyle w:val="1151"/>
          <w:rFonts w:ascii="仿宋" w:hAnsi="仿宋" w:eastAsia="仿宋"/>
          <w:color w:val="000000"/>
          <w:sz w:val="21"/>
          <w:szCs w:val="21"/>
          <w:highlight w:val="none"/>
        </w:rPr>
        <w:t xml:space="preserve">采购。</w:t>
      </w:r>
      <w:bookmarkEnd w:id="502"/>
      <w:r/>
    </w:p>
    <w:p>
      <w:pPr>
        <w:contextualSpacing/>
        <w:ind w:firstLine="422"/>
        <w:spacing w:line="360" w:lineRule="auto"/>
        <w:rPr>
          <w:rStyle w:val="1151"/>
          <w:rFonts w:ascii="仿宋" w:hAnsi="仿宋" w:eastAsia="仿宋"/>
          <w:b/>
          <w:bCs/>
          <w:color w:val="000000"/>
          <w:sz w:val="21"/>
          <w:szCs w:val="21"/>
          <w:highlight w:val="none"/>
        </w:rPr>
      </w:pPr>
      <w:r/>
      <w:bookmarkStart w:id="503" w:name="_Toc128435117"/>
      <w:r/>
      <w:bookmarkStart w:id="504" w:name="_Toc107952830"/>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8.磋商小组</w:t>
      </w:r>
      <w:bookmarkEnd w:id="503"/>
      <w:r/>
      <w:bookmarkEnd w:id="504"/>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8.1磋商小组根据政府采购有关规定和本次采购项目的特点进行组建，并负责具体评审事务，独立履行职责。</w:t>
      </w:r>
      <w:bookmarkStart w:id="505" w:name="_Toc520356166"/>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18.2评审专家须符合</w:t>
      </w:r>
      <w:r>
        <w:rPr>
          <w:rStyle w:val="1151"/>
          <w:rFonts w:hint="eastAsia" w:ascii="仿宋" w:hAnsi="仿宋" w:eastAsia="仿宋"/>
          <w:color w:val="000000"/>
          <w:sz w:val="21"/>
          <w:szCs w:val="21"/>
          <w:highlight w:val="none"/>
        </w:rPr>
        <w:t xml:space="preserve">相关</w:t>
      </w:r>
      <w:r>
        <w:rPr>
          <w:rStyle w:val="1151"/>
          <w:rFonts w:ascii="仿宋" w:hAnsi="仿宋" w:eastAsia="仿宋"/>
          <w:color w:val="000000"/>
          <w:sz w:val="21"/>
          <w:szCs w:val="21"/>
          <w:highlight w:val="none"/>
        </w:rPr>
        <w:t xml:space="preserve">规定。依法自行选定评审专家的，采购人和采购代理机构将查询有关信用记录，对具有行贿、受贿、欺诈等不良信用记录的人员，拒绝其参与政府采购活动。</w:t>
      </w:r>
      <w:bookmarkEnd w:id="505"/>
      <w:r/>
      <w:bookmarkStart w:id="506" w:name="_Toc520356169"/>
      <w:r/>
      <w:r/>
    </w:p>
    <w:p>
      <w:pPr>
        <w:contextualSpacing/>
        <w:ind w:firstLine="422"/>
        <w:spacing w:line="360" w:lineRule="auto"/>
        <w:rPr>
          <w:rStyle w:val="1151"/>
          <w:rFonts w:ascii="仿宋" w:hAnsi="仿宋" w:eastAsia="仿宋"/>
          <w:b/>
          <w:bCs/>
          <w:color w:val="000000"/>
          <w:sz w:val="21"/>
          <w:szCs w:val="21"/>
          <w:highlight w:val="none"/>
        </w:rPr>
      </w:pPr>
      <w:r/>
      <w:bookmarkStart w:id="507" w:name="_Toc107952831"/>
      <w:r/>
      <w:bookmarkStart w:id="508" w:name="_Toc128435118"/>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9.评审方法和评审标准</w:t>
      </w:r>
      <w:bookmarkEnd w:id="507"/>
      <w:r/>
      <w:bookmarkEnd w:id="508"/>
      <w:r/>
      <w:r/>
    </w:p>
    <w:p>
      <w:pPr>
        <w:contextualSpacing/>
        <w:ind w:firstLine="420"/>
        <w:spacing w:line="360" w:lineRule="auto"/>
        <w:rPr>
          <w:rFonts w:ascii="仿宋" w:hAnsi="仿宋" w:eastAsia="仿宋"/>
          <w:color w:val="000000"/>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9.1见第三章《评审方法和评审标准》。</w:t>
      </w:r>
      <w:r/>
    </w:p>
    <w:p>
      <w:pPr>
        <w:pStyle w:val="967"/>
        <w:spacing w:before="0" w:line="360" w:lineRule="auto"/>
        <w:rPr>
          <w:rFonts w:ascii="仿宋" w:hAnsi="仿宋" w:eastAsia="仿宋"/>
          <w:color w:val="000000"/>
          <w:sz w:val="28"/>
          <w:highlight w:val="none"/>
        </w:rPr>
      </w:pPr>
      <w:r/>
      <w:bookmarkStart w:id="509" w:name="_Toc151193787"/>
      <w:r/>
      <w:bookmarkStart w:id="510" w:name="_Toc127151545"/>
      <w:r/>
      <w:bookmarkStart w:id="511" w:name="_Toc226965735"/>
      <w:r/>
      <w:bookmarkStart w:id="512" w:name="_Toc150480783"/>
      <w:r/>
      <w:bookmarkStart w:id="513" w:name="_Toc226309789"/>
      <w:r/>
      <w:bookmarkStart w:id="514" w:name="_Toc151193643"/>
      <w:r/>
      <w:bookmarkStart w:id="515" w:name="_Toc195842910"/>
      <w:r/>
      <w:bookmarkStart w:id="516" w:name="_Toc226965818"/>
      <w:r/>
      <w:bookmarkStart w:id="517" w:name="_Toc151193715"/>
      <w:r/>
      <w:bookmarkStart w:id="518" w:name="_Toc150774645"/>
      <w:r/>
      <w:bookmarkStart w:id="519" w:name="_Toc151190172"/>
      <w:r/>
      <w:bookmarkStart w:id="520" w:name="_Toc305158813"/>
      <w:r/>
      <w:bookmarkStart w:id="521" w:name="_Toc226337241"/>
      <w:r/>
      <w:bookmarkStart w:id="522" w:name="_Toc305158887"/>
      <w:r/>
      <w:bookmarkStart w:id="523" w:name="_Toc265228383"/>
      <w:r/>
      <w:bookmarkStart w:id="524" w:name="_Toc150774750"/>
      <w:r/>
      <w:bookmarkStart w:id="525" w:name="_Toc151193933"/>
      <w:r/>
      <w:bookmarkStart w:id="526" w:name="_Toc150509296"/>
      <w:r/>
      <w:bookmarkStart w:id="527" w:name="_Toc151193859"/>
      <w:r/>
      <w:bookmarkStart w:id="528" w:name="_Toc142311047"/>
      <w:r/>
      <w:bookmarkStart w:id="529" w:name="_Toc264969235"/>
      <w:r/>
      <w:bookmarkStart w:id="530" w:name="_Toc128435119"/>
      <w:r/>
      <w:bookmarkStart w:id="531" w:name="_Toc8649"/>
      <w:r/>
      <w:bookmarkStart w:id="532" w:name="_Toc169226710"/>
      <w:r/>
      <w:bookmarkStart w:id="533" w:name="_Toc140670328"/>
      <w:r/>
      <w:bookmarkStart w:id="534" w:name="_Toc107952832"/>
      <w:r/>
      <w:bookmarkStart w:id="535" w:name="_Toc140670464"/>
      <w:r>
        <w:rPr>
          <w:rFonts w:ascii="仿宋" w:hAnsi="仿宋" w:eastAsia="仿宋"/>
          <w:color w:val="000000"/>
          <w:sz w:val="28"/>
          <w:highlight w:val="none"/>
        </w:rPr>
        <w:t xml:space="preserve">六   </w:t>
      </w:r>
      <w:bookmarkEnd w:id="506"/>
      <w:r>
        <w:rPr>
          <w:rFonts w:ascii="仿宋" w:hAnsi="仿宋" w:eastAsia="仿宋"/>
          <w:color w:val="000000"/>
          <w:sz w:val="28"/>
          <w:highlight w:val="none"/>
        </w:rPr>
        <w:t xml:space="preserve">确定</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ascii="仿宋" w:hAnsi="仿宋" w:eastAsia="仿宋"/>
          <w:color w:val="000000"/>
          <w:sz w:val="28"/>
          <w:highlight w:val="none"/>
        </w:rPr>
        <w:t xml:space="preserve">成交</w:t>
      </w:r>
      <w:bookmarkEnd w:id="530"/>
      <w:r/>
      <w:bookmarkEnd w:id="531"/>
      <w:r/>
      <w:bookmarkEnd w:id="532"/>
      <w:r/>
      <w:bookmarkEnd w:id="533"/>
      <w:r/>
      <w:bookmarkEnd w:id="534"/>
      <w:r/>
      <w:bookmarkEnd w:id="535"/>
      <w:r/>
      <w:r/>
    </w:p>
    <w:p>
      <w:pPr>
        <w:contextualSpacing/>
        <w:ind w:firstLine="422"/>
        <w:spacing w:line="360" w:lineRule="auto"/>
        <w:rPr>
          <w:rStyle w:val="1151"/>
          <w:rFonts w:ascii="仿宋" w:hAnsi="仿宋" w:eastAsia="仿宋"/>
          <w:b/>
          <w:bCs/>
          <w:color w:val="000000"/>
          <w:sz w:val="21"/>
          <w:szCs w:val="21"/>
          <w:highlight w:val="none"/>
        </w:rPr>
      </w:pPr>
      <w:r/>
      <w:bookmarkStart w:id="536" w:name="_Toc305158815"/>
      <w:r/>
      <w:bookmarkStart w:id="537" w:name="_Toc149720840"/>
      <w:r/>
      <w:bookmarkStart w:id="538" w:name="_Toc151193717"/>
      <w:r/>
      <w:bookmarkStart w:id="539" w:name="_Toc127151547"/>
      <w:r/>
      <w:bookmarkStart w:id="540" w:name="_Toc150774647"/>
      <w:r/>
      <w:bookmarkStart w:id="541" w:name="_Toc164351641"/>
      <w:r/>
      <w:bookmarkStart w:id="542" w:name="_Toc226965820"/>
      <w:r/>
      <w:bookmarkStart w:id="543" w:name="_Toc150509298"/>
      <w:r/>
      <w:bookmarkStart w:id="544" w:name="_Toc226965737"/>
      <w:r/>
      <w:bookmarkStart w:id="545" w:name="_Toc128435120"/>
      <w:r/>
      <w:bookmarkStart w:id="546" w:name="_Toc265228385"/>
      <w:r/>
      <w:bookmarkStart w:id="547" w:name="_Toc151193861"/>
      <w:r/>
      <w:bookmarkStart w:id="548" w:name="_Toc164229388"/>
      <w:r/>
      <w:bookmarkStart w:id="549" w:name="_Toc127151748"/>
      <w:r/>
      <w:bookmarkStart w:id="550" w:name="_Toc305158889"/>
      <w:r/>
      <w:bookmarkStart w:id="551" w:name="_Toc226309791"/>
      <w:r/>
      <w:bookmarkStart w:id="552" w:name="_Toc164229242"/>
      <w:r/>
      <w:bookmarkStart w:id="553" w:name="_Toc151193789"/>
      <w:r/>
      <w:bookmarkStart w:id="554" w:name="_Toc127161461"/>
      <w:r/>
      <w:bookmarkStart w:id="555" w:name="_Toc264969237"/>
      <w:r/>
      <w:bookmarkStart w:id="556" w:name="_Toc151190174"/>
      <w:r/>
      <w:bookmarkStart w:id="557" w:name="_Toc107952833"/>
      <w:r/>
      <w:bookmarkStart w:id="558" w:name="_Toc164608661"/>
      <w:r/>
      <w:bookmarkStart w:id="559" w:name="_Toc150774752"/>
      <w:r/>
      <w:bookmarkStart w:id="560" w:name="_Toc151193935"/>
      <w:r/>
      <w:bookmarkStart w:id="561" w:name="_Toc150480785"/>
      <w:r/>
      <w:bookmarkStart w:id="562" w:name="_Toc195842912"/>
      <w:r/>
      <w:bookmarkStart w:id="563" w:name="_Toc226337243"/>
      <w:r/>
      <w:bookmarkStart w:id="564" w:name="_Toc142311049"/>
      <w:r/>
      <w:bookmarkStart w:id="565" w:name="_Toc151193645"/>
      <w:r/>
      <w:bookmarkStart w:id="566" w:name="_Toc164608816"/>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0.确定成交供应商</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0.1采购人将在收到评审报告后，从评审报告提出的成交候选供应商中，按照排序由高到低的原则确定成交供应商</w:t>
      </w:r>
      <w:r>
        <w:rPr>
          <w:rStyle w:val="1151"/>
          <w:rFonts w:hint="eastAsia" w:ascii="仿宋" w:hAnsi="仿宋" w:eastAsia="仿宋"/>
          <w:color w:val="000000"/>
          <w:sz w:val="21"/>
          <w:szCs w:val="21"/>
          <w:highlight w:val="none"/>
        </w:rPr>
        <w:t xml:space="preserve">。</w:t>
      </w:r>
      <w:r>
        <w:rPr>
          <w:rStyle w:val="1151"/>
          <w:rFonts w:ascii="仿宋" w:hAnsi="仿宋" w:eastAsia="仿宋"/>
          <w:color w:val="000000"/>
          <w:sz w:val="21"/>
          <w:szCs w:val="21"/>
          <w:highlight w:val="none"/>
        </w:rPr>
        <w:t xml:space="preserve">成交候选人并列的，由采购人</w:t>
      </w:r>
      <w:r>
        <w:rPr>
          <w:rStyle w:val="1151"/>
          <w:rFonts w:hint="eastAsia" w:ascii="仿宋" w:hAnsi="仿宋" w:eastAsia="仿宋"/>
          <w:color w:val="000000"/>
          <w:sz w:val="21"/>
          <w:szCs w:val="21"/>
          <w:highlight w:val="none"/>
        </w:rPr>
        <w:t xml:space="preserve">依法</w:t>
      </w:r>
      <w:r>
        <w:rPr>
          <w:rStyle w:val="1151"/>
          <w:rFonts w:ascii="仿宋" w:hAnsi="仿宋" w:eastAsia="仿宋"/>
          <w:color w:val="000000"/>
          <w:sz w:val="21"/>
          <w:szCs w:val="21"/>
          <w:highlight w:val="none"/>
        </w:rPr>
        <w:t xml:space="preserve">确定。</w:t>
      </w:r>
      <w:r/>
    </w:p>
    <w:p>
      <w:pPr>
        <w:contextualSpacing/>
        <w:ind w:firstLine="422"/>
        <w:spacing w:line="360" w:lineRule="auto"/>
        <w:rPr>
          <w:rStyle w:val="1151"/>
          <w:rFonts w:ascii="仿宋" w:hAnsi="仿宋" w:eastAsia="仿宋"/>
          <w:b/>
          <w:bCs/>
          <w:color w:val="000000"/>
          <w:sz w:val="21"/>
          <w:szCs w:val="21"/>
          <w:highlight w:val="none"/>
        </w:rPr>
      </w:pPr>
      <w:r/>
      <w:bookmarkStart w:id="567" w:name="_Toc107952834"/>
      <w:r/>
      <w:bookmarkStart w:id="568" w:name="_Toc128435121"/>
      <w:r/>
      <w:bookmarkStart w:id="569" w:name="_Toc305158817"/>
      <w:r/>
      <w:bookmarkStart w:id="570" w:name="_Toc305158891"/>
      <w:r/>
      <w:bookmarkStart w:id="571" w:name="_Toc151193863"/>
      <w:r/>
      <w:bookmarkStart w:id="572" w:name="_Toc151193719"/>
      <w:r/>
      <w:bookmarkStart w:id="573" w:name="_Toc164608818"/>
      <w:r/>
      <w:bookmarkStart w:id="574" w:name="_Toc264969239"/>
      <w:r/>
      <w:bookmarkStart w:id="575" w:name="_Toc151193791"/>
      <w:r/>
      <w:bookmarkStart w:id="576" w:name="_Toc127151750"/>
      <w:r/>
      <w:bookmarkStart w:id="577" w:name="_Toc149720842"/>
      <w:r/>
      <w:bookmarkStart w:id="578" w:name="_Toc164608663"/>
      <w:r/>
      <w:bookmarkStart w:id="579" w:name="_Toc151193937"/>
      <w:r/>
      <w:bookmarkStart w:id="580" w:name="_Toc226965822"/>
      <w:r/>
      <w:bookmarkStart w:id="581" w:name="_Toc150480787"/>
      <w:r/>
      <w:bookmarkStart w:id="582" w:name="_Toc164229390"/>
      <w:r/>
      <w:bookmarkStart w:id="583" w:name="_Toc195842914"/>
      <w:r/>
      <w:bookmarkStart w:id="584" w:name="_Toc150509300"/>
      <w:r/>
      <w:bookmarkStart w:id="585" w:name="_Toc226965739"/>
      <w:r/>
      <w:bookmarkStart w:id="586" w:name="_Toc150774649"/>
      <w:r/>
      <w:bookmarkStart w:id="587" w:name="_Toc150774754"/>
      <w:r/>
      <w:bookmarkStart w:id="588" w:name="_Toc226337245"/>
      <w:r/>
      <w:bookmarkStart w:id="589" w:name="_Toc164229244"/>
      <w:r/>
      <w:bookmarkStart w:id="590" w:name="_Toc226309793"/>
      <w:r/>
      <w:bookmarkStart w:id="591" w:name="_Toc127151549"/>
      <w:r/>
      <w:bookmarkStart w:id="592" w:name="_Toc127161463"/>
      <w:r/>
      <w:bookmarkStart w:id="593" w:name="_Toc151193647"/>
      <w:r/>
      <w:bookmarkStart w:id="594" w:name="_Toc164351643"/>
      <w:r/>
      <w:bookmarkStart w:id="595" w:name="_Toc142311051"/>
      <w:r/>
      <w:bookmarkStart w:id="596" w:name="_Toc265228387"/>
      <w:r/>
      <w:bookmarkStart w:id="597" w:name="_Toc151190176"/>
      <w:r/>
      <w:bookmarkStart w:id="598" w:name="_Ref467307090"/>
      <w:r/>
      <w:bookmarkStart w:id="599" w:name="_Ref467306425"/>
      <w:r/>
      <w:bookmarkStart w:id="600" w:name="_Toc520356176"/>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1.成交公告与成交通知书</w:t>
      </w:r>
      <w:bookmarkEnd w:id="567"/>
      <w:r/>
      <w:bookmarkEnd w:id="568"/>
      <w:r/>
      <w:bookmarkEnd w:id="569"/>
      <w:r/>
      <w:bookmarkEnd w:id="570"/>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1.1采购人或采购代理机构将在成交供应商确定后2个工作日内，在</w:t>
      </w:r>
      <w:r>
        <w:rPr>
          <w:rStyle w:val="1151"/>
          <w:rFonts w:hint="eastAsia" w:ascii="仿宋" w:hAnsi="仿宋" w:eastAsia="仿宋"/>
          <w:color w:val="000000"/>
          <w:sz w:val="21"/>
          <w:szCs w:val="21"/>
          <w:highlight w:val="none"/>
        </w:rPr>
        <w:t xml:space="preserve">常州市政府采购网等网站</w:t>
      </w:r>
      <w:r>
        <w:rPr>
          <w:rStyle w:val="1151"/>
          <w:rFonts w:ascii="仿宋" w:hAnsi="仿宋" w:eastAsia="仿宋"/>
          <w:color w:val="000000"/>
          <w:sz w:val="21"/>
          <w:szCs w:val="21"/>
          <w:highlight w:val="none"/>
        </w:rPr>
        <w:t xml:space="preserve">公告成交结果，同时向成交供应商发出成交通知书，成交公告期限为1个工作日。</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21.2成交通知书是合同的组成部分，对采购人和成交供应商具有同等法律效力。成交通知书发出后，采购人改变成交结果的，或者成交供应商放弃成交项目的，将依法承担法律责任</w:t>
      </w:r>
      <w:r>
        <w:rPr>
          <w:rStyle w:val="1151"/>
          <w:rFonts w:hint="eastAsia" w:ascii="仿宋" w:hAnsi="仿宋" w:eastAsia="仿宋"/>
          <w:color w:val="000000"/>
          <w:sz w:val="21"/>
          <w:szCs w:val="21"/>
          <w:highlight w:val="none"/>
        </w:rPr>
        <w:t xml:space="preserve">。</w:t>
      </w:r>
      <w:r/>
    </w:p>
    <w:p>
      <w:pPr>
        <w:contextualSpacing/>
        <w:ind w:firstLine="422"/>
        <w:spacing w:line="360" w:lineRule="auto"/>
        <w:rPr>
          <w:rStyle w:val="1151"/>
          <w:rFonts w:ascii="仿宋" w:hAnsi="仿宋" w:eastAsia="仿宋"/>
          <w:b/>
          <w:bCs/>
          <w:color w:val="000000"/>
          <w:sz w:val="21"/>
          <w:szCs w:val="21"/>
          <w:highlight w:val="none"/>
        </w:rPr>
      </w:pPr>
      <w:r/>
      <w:bookmarkStart w:id="601" w:name="_Toc128435122"/>
      <w:r/>
      <w:bookmarkStart w:id="602" w:name="_Toc107952835"/>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2.终止</w:t>
      </w:r>
      <w:bookmarkEnd w:id="601"/>
      <w:r/>
      <w:bookmarkEnd w:id="602"/>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2.1在采购中，出现下列情形之一的，采购人或采购代理机构将终止竞争性磋商采购活动，发布项目终止公告并说明原因，重新开展采购活动：</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22.1.1因情况变化，不再符合规定的竞争性磋商采购方式适用情形的；</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22.1.2出现影响采购公正的违法、违规行为的；</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contextualSpacing/>
        <w:ind w:firstLine="422"/>
        <w:spacing w:line="360" w:lineRule="auto"/>
        <w:rPr>
          <w:rStyle w:val="1151"/>
          <w:rFonts w:ascii="仿宋" w:hAnsi="仿宋" w:eastAsia="仿宋"/>
          <w:b/>
          <w:bCs/>
          <w:color w:val="000000"/>
          <w:sz w:val="21"/>
          <w:szCs w:val="21"/>
          <w:highlight w:val="none"/>
        </w:rPr>
      </w:pPr>
      <w:r>
        <w:rPr>
          <w:rStyle w:val="1151"/>
          <w:rFonts w:ascii="仿宋" w:hAnsi="仿宋" w:eastAsia="仿宋"/>
          <w:b/>
          <w:bCs/>
          <w:color w:val="000000"/>
          <w:sz w:val="21"/>
          <w:szCs w:val="21"/>
          <w:highlight w:val="none"/>
        </w:rPr>
        <w:t xml:space="preserve">22.1.4</w:t>
      </w:r>
      <w:r>
        <w:rPr>
          <w:rStyle w:val="1151"/>
          <w:rFonts w:hint="eastAsia" w:ascii="仿宋" w:hAnsi="仿宋" w:eastAsia="仿宋"/>
          <w:b/>
          <w:bCs/>
          <w:color w:val="000000"/>
          <w:sz w:val="21"/>
          <w:szCs w:val="21"/>
          <w:highlight w:val="none"/>
        </w:rPr>
        <w:t xml:space="preserve">平台系统</w:t>
      </w:r>
      <w:r>
        <w:rPr>
          <w:rStyle w:val="1151"/>
          <w:rFonts w:ascii="仿宋" w:hAnsi="仿宋" w:eastAsia="仿宋"/>
          <w:b/>
          <w:bCs/>
          <w:color w:val="000000"/>
          <w:sz w:val="21"/>
          <w:szCs w:val="21"/>
          <w:highlight w:val="none"/>
        </w:rPr>
        <w:t xml:space="preserve">出现</w:t>
      </w:r>
      <w:r>
        <w:rPr>
          <w:rStyle w:val="1151"/>
          <w:rFonts w:hint="eastAsia" w:ascii="仿宋" w:hAnsi="仿宋" w:eastAsia="仿宋"/>
          <w:b/>
          <w:bCs/>
          <w:color w:val="000000"/>
          <w:sz w:val="21"/>
          <w:szCs w:val="21"/>
          <w:highlight w:val="none"/>
        </w:rPr>
        <w:t xml:space="preserve">序号17.7的所述</w:t>
      </w:r>
      <w:r>
        <w:rPr>
          <w:rStyle w:val="1151"/>
          <w:rFonts w:ascii="仿宋" w:hAnsi="仿宋" w:eastAsia="仿宋"/>
          <w:b/>
          <w:bCs/>
          <w:color w:val="000000"/>
          <w:sz w:val="21"/>
          <w:szCs w:val="21"/>
          <w:highlight w:val="none"/>
        </w:rPr>
        <w:t xml:space="preserve">情形，</w:t>
      </w:r>
      <w:r>
        <w:rPr>
          <w:rStyle w:val="1151"/>
          <w:rFonts w:hint="eastAsia" w:ascii="仿宋" w:hAnsi="仿宋" w:eastAsia="仿宋"/>
          <w:b/>
          <w:bCs/>
          <w:color w:val="000000"/>
          <w:sz w:val="21"/>
          <w:szCs w:val="21"/>
          <w:highlight w:val="none"/>
        </w:rPr>
        <w:t xml:space="preserve">情况严重且</w:t>
      </w:r>
      <w:r>
        <w:rPr>
          <w:rStyle w:val="1151"/>
          <w:rFonts w:ascii="仿宋" w:hAnsi="仿宋" w:eastAsia="仿宋"/>
          <w:b/>
          <w:bCs/>
          <w:color w:val="000000"/>
          <w:sz w:val="21"/>
          <w:szCs w:val="21"/>
          <w:highlight w:val="none"/>
        </w:rPr>
        <w:t xml:space="preserve">影响采购</w:t>
      </w:r>
      <w:r>
        <w:rPr>
          <w:rStyle w:val="1151"/>
          <w:rFonts w:hint="eastAsia" w:ascii="仿宋" w:hAnsi="仿宋" w:eastAsia="仿宋"/>
          <w:b/>
          <w:bCs/>
          <w:color w:val="000000"/>
          <w:sz w:val="21"/>
          <w:szCs w:val="21"/>
          <w:highlight w:val="none"/>
        </w:rPr>
        <w:t xml:space="preserve">活动</w:t>
      </w:r>
      <w:r>
        <w:rPr>
          <w:rStyle w:val="1151"/>
          <w:rFonts w:ascii="仿宋" w:hAnsi="仿宋" w:eastAsia="仿宋"/>
          <w:b/>
          <w:bCs/>
          <w:color w:val="000000"/>
          <w:sz w:val="21"/>
          <w:szCs w:val="21"/>
          <w:highlight w:val="none"/>
        </w:rPr>
        <w:t xml:space="preserve">公平、公正性的</w:t>
      </w:r>
      <w:r>
        <w:rPr>
          <w:rStyle w:val="1151"/>
          <w:rFonts w:hint="eastAsia" w:ascii="仿宋" w:hAnsi="仿宋" w:eastAsia="仿宋"/>
          <w:b/>
          <w:bCs/>
          <w:color w:val="000000"/>
          <w:sz w:val="21"/>
          <w:szCs w:val="21"/>
          <w:highlight w:val="none"/>
        </w:rPr>
        <w:t xml:space="preserve">。</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p>
    <w:p>
      <w:pPr>
        <w:contextualSpacing/>
        <w:ind w:firstLine="422"/>
        <w:spacing w:line="360" w:lineRule="auto"/>
        <w:rPr>
          <w:rStyle w:val="1151"/>
          <w:rFonts w:ascii="仿宋" w:hAnsi="仿宋" w:eastAsia="仿宋"/>
          <w:b/>
          <w:bCs/>
          <w:color w:val="000000"/>
          <w:sz w:val="21"/>
          <w:szCs w:val="21"/>
          <w:highlight w:val="none"/>
        </w:rPr>
      </w:pPr>
      <w:r/>
      <w:bookmarkStart w:id="603" w:name="_Toc142311052"/>
      <w:r/>
      <w:bookmarkStart w:id="604" w:name="_Toc151193720"/>
      <w:r/>
      <w:bookmarkStart w:id="605" w:name="_Ref467306377"/>
      <w:r/>
      <w:bookmarkStart w:id="606" w:name="_Toc305158892"/>
      <w:r/>
      <w:bookmarkStart w:id="607" w:name="_Toc151193938"/>
      <w:r/>
      <w:bookmarkStart w:id="608" w:name="_Toc151193864"/>
      <w:r/>
      <w:bookmarkStart w:id="609" w:name="_Toc127161464"/>
      <w:r/>
      <w:bookmarkStart w:id="610" w:name="_Toc164608819"/>
      <w:r/>
      <w:bookmarkStart w:id="611" w:name="_Toc195842915"/>
      <w:r/>
      <w:bookmarkStart w:id="612" w:name="_Toc150774755"/>
      <w:r/>
      <w:bookmarkStart w:id="613" w:name="_Toc150509301"/>
      <w:r/>
      <w:bookmarkStart w:id="614" w:name="_Toc305158818"/>
      <w:r/>
      <w:bookmarkStart w:id="615" w:name="_Toc226309794"/>
      <w:r/>
      <w:bookmarkStart w:id="616" w:name="_Toc164608664"/>
      <w:r/>
      <w:bookmarkStart w:id="617" w:name="_Toc164351644"/>
      <w:r/>
      <w:bookmarkStart w:id="618" w:name="_Toc151193792"/>
      <w:r/>
      <w:bookmarkStart w:id="619" w:name="_Toc151193648"/>
      <w:r/>
      <w:bookmarkStart w:id="620" w:name="_Toc151190177"/>
      <w:r/>
      <w:bookmarkStart w:id="621" w:name="_Toc265228388"/>
      <w:r/>
      <w:bookmarkStart w:id="622" w:name="_Toc150480788"/>
      <w:r/>
      <w:bookmarkStart w:id="623" w:name="_Toc264969240"/>
      <w:r/>
      <w:bookmarkStart w:id="624" w:name="_Toc520356175"/>
      <w:r/>
      <w:bookmarkStart w:id="625" w:name="_Toc164229245"/>
      <w:r/>
      <w:bookmarkStart w:id="626" w:name="_Toc164229391"/>
      <w:r/>
      <w:bookmarkStart w:id="627" w:name="_Toc150774650"/>
      <w:r/>
      <w:bookmarkStart w:id="628" w:name="_Toc127151550"/>
      <w:r/>
      <w:bookmarkStart w:id="629" w:name="_Toc226337246"/>
      <w:r/>
      <w:bookmarkStart w:id="630" w:name="_Ref467307204"/>
      <w:r/>
      <w:bookmarkStart w:id="631" w:name="_Ref467306978"/>
      <w:r/>
      <w:bookmarkStart w:id="632" w:name="_Toc226965823"/>
      <w:r/>
      <w:bookmarkStart w:id="633" w:name="_Toc128435123"/>
      <w:r/>
      <w:bookmarkStart w:id="634" w:name="_Toc149720843"/>
      <w:r/>
      <w:bookmarkStart w:id="635" w:name="_Toc127151751"/>
      <w:r/>
      <w:bookmarkStart w:id="636" w:name="_Toc107952836"/>
      <w:r/>
      <w:bookmarkStart w:id="637" w:name="_Toc226965740"/>
      <w:r/>
      <w:bookmarkStart w:id="638" w:name="_Ref467307062"/>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3.签订合同</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3.1采购人与成交供应商将在成交通知书发出之日起30日内，按照磋商文件确定的合同文本以及采购标的、规格型号、采购金额、采购数量、技术和服务要求等事项签订政府采购合同。</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3.3联合体获得成交资格的，联合体各方应当共同与采购人签订合同，就成交项目向采购人承担连带责任。</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23.4政府采购合同不能转包。</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23.5采购人允许采用分包方式履行合同的，成交供应商可以依法采取分包方式履行合同。本项目</w:t>
      </w:r>
      <w:r>
        <w:rPr>
          <w:rStyle w:val="1151"/>
          <w:rFonts w:hint="eastAsia" w:ascii="仿宋" w:hAnsi="仿宋" w:eastAsia="仿宋"/>
          <w:color w:val="000000"/>
          <w:sz w:val="21"/>
          <w:szCs w:val="21"/>
          <w:highlight w:val="none"/>
        </w:rPr>
        <w:t xml:space="preserve">是</w:t>
      </w:r>
      <w:r>
        <w:rPr>
          <w:rStyle w:val="1151"/>
          <w:rFonts w:ascii="仿宋" w:hAnsi="仿宋" w:eastAsia="仿宋"/>
          <w:color w:val="000000"/>
          <w:sz w:val="21"/>
          <w:szCs w:val="21"/>
          <w:highlight w:val="none"/>
        </w:rPr>
        <w:t xml:space="preserve">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bookmarkEnd w:id="598"/>
      <w:bookmarkEnd w:id="599"/>
      <w:bookmarkEnd w:id="600"/>
      <w:r/>
    </w:p>
    <w:p>
      <w:pPr>
        <w:contextualSpacing/>
        <w:ind w:firstLine="422"/>
        <w:spacing w:line="360" w:lineRule="auto"/>
        <w:rPr>
          <w:rStyle w:val="1151"/>
          <w:rFonts w:ascii="仿宋" w:hAnsi="仿宋" w:eastAsia="仿宋"/>
          <w:b/>
          <w:bCs/>
          <w:color w:val="000000"/>
          <w:sz w:val="21"/>
          <w:szCs w:val="21"/>
          <w:highlight w:val="none"/>
        </w:rPr>
      </w:pPr>
      <w:r/>
      <w:bookmarkStart w:id="639" w:name="_Toc107952837"/>
      <w:r/>
      <w:bookmarkStart w:id="640" w:name="_Toc128435124"/>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4.询问与质疑</w:t>
      </w:r>
      <w:bookmarkEnd w:id="639"/>
      <w:r/>
      <w:bookmarkEnd w:id="640"/>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4.1询问</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4.1.1供应商对政府采购活动事项有疑问的，可依法提出询问，并按《供应商须知资料表》载明的形式送达采购人或采购代理机构。</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24.1.2采购人或采购代理机构对供应商依法提出的询问，在3个工作日内作出答复，但答复的内容不得涉及商业秘密。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24.2质疑</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4.2.2</w:t>
      </w:r>
      <w:r>
        <w:rPr>
          <w:rStyle w:val="1151"/>
          <w:rFonts w:hint="eastAsia" w:ascii="仿宋" w:hAnsi="仿宋" w:eastAsia="仿宋"/>
          <w:color w:val="000000"/>
          <w:sz w:val="21"/>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contextualSpacing/>
        <w:ind w:firstLine="420"/>
        <w:jc w:val="left"/>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24.2.3质疑函须使用财政部制定的范本文件。</w:t>
      </w:r>
      <w:r>
        <w:rPr>
          <w:rStyle w:val="1151"/>
          <w:rFonts w:hint="eastAsia" w:ascii="仿宋" w:hAnsi="仿宋" w:eastAsia="仿宋"/>
          <w:color w:val="000000"/>
          <w:sz w:val="21"/>
          <w:szCs w:val="21"/>
          <w:highlight w:val="none"/>
        </w:rPr>
        <w:t xml:space="preserve">（下载网址：</w:t>
      </w:r>
      <w:r>
        <w:rPr>
          <w:rStyle w:val="1151"/>
          <w:rFonts w:ascii="仿宋" w:hAnsi="仿宋" w:eastAsia="仿宋"/>
          <w:color w:val="000000"/>
          <w:sz w:val="21"/>
          <w:szCs w:val="21"/>
          <w:highlight w:val="none"/>
        </w:rPr>
        <w:fldChar w:fldCharType="begin"/>
      </w:r>
      <w:r>
        <w:rPr>
          <w:rStyle w:val="1151"/>
          <w:rFonts w:ascii="仿宋" w:hAnsi="仿宋" w:eastAsia="仿宋"/>
          <w:color w:val="000000"/>
          <w:sz w:val="21"/>
          <w:szCs w:val="21"/>
          <w:highlight w:val="none"/>
        </w:rPr>
        <w:instrText xml:space="preserve"> HYPERLINK "http://gks.mof.gov.cn/ztztz/zhengfucaigouguanli/201802/t20180201_2804589.htm" </w:instrText>
      </w:r>
      <w:r>
        <w:rPr>
          <w:rStyle w:val="1151"/>
          <w:rFonts w:ascii="仿宋" w:hAnsi="仿宋" w:eastAsia="仿宋"/>
          <w:color w:val="000000"/>
          <w:sz w:val="21"/>
          <w:szCs w:val="21"/>
          <w:highlight w:val="none"/>
        </w:rPr>
        <w:fldChar w:fldCharType="separate"/>
      </w:r>
      <w:r>
        <w:rPr>
          <w:rStyle w:val="1151"/>
          <w:rFonts w:ascii="仿宋" w:hAnsi="仿宋" w:eastAsia="仿宋"/>
          <w:color w:val="000000"/>
          <w:sz w:val="21"/>
          <w:szCs w:val="21"/>
          <w:highlight w:val="none"/>
        </w:rPr>
        <w:t xml:space="preserve">http://gk</w:t>
      </w:r>
      <w:bookmarkStart w:id="641" w:name="_Hlt100654014"/>
      <w:r>
        <w:rPr>
          <w:rStyle w:val="1151"/>
          <w:rFonts w:ascii="仿宋" w:hAnsi="仿宋" w:eastAsia="仿宋"/>
          <w:color w:val="000000"/>
          <w:sz w:val="21"/>
          <w:szCs w:val="21"/>
          <w:highlight w:val="none"/>
        </w:rPr>
        <w:t xml:space="preserve">s</w:t>
      </w:r>
      <w:bookmarkEnd w:id="641"/>
      <w:r>
        <w:rPr>
          <w:rStyle w:val="1151"/>
          <w:rFonts w:ascii="仿宋" w:hAnsi="仿宋" w:eastAsia="仿宋"/>
          <w:color w:val="000000"/>
          <w:sz w:val="21"/>
          <w:szCs w:val="21"/>
          <w:highlight w:val="none"/>
        </w:rPr>
        <w:t xml:space="preserve">.m</w:t>
      </w:r>
      <w:bookmarkStart w:id="642" w:name="_Hlt100653993"/>
      <w:r/>
      <w:bookmarkStart w:id="643" w:name="_Hlt100653994"/>
      <w:r>
        <w:rPr>
          <w:rStyle w:val="1151"/>
          <w:rFonts w:ascii="仿宋" w:hAnsi="仿宋" w:eastAsia="仿宋"/>
          <w:color w:val="000000"/>
          <w:sz w:val="21"/>
          <w:szCs w:val="21"/>
          <w:highlight w:val="none"/>
        </w:rPr>
        <w:t xml:space="preserve">o</w:t>
      </w:r>
      <w:bookmarkEnd w:id="642"/>
      <w:r/>
      <w:bookmarkEnd w:id="643"/>
      <w:r/>
      <w:bookmarkStart w:id="644" w:name="_Hlt101169156"/>
      <w:r>
        <w:rPr>
          <w:rStyle w:val="1151"/>
          <w:rFonts w:ascii="仿宋" w:hAnsi="仿宋" w:eastAsia="仿宋"/>
          <w:color w:val="000000"/>
          <w:sz w:val="21"/>
          <w:szCs w:val="21"/>
          <w:highlight w:val="none"/>
        </w:rPr>
        <w:t xml:space="preserve">f</w:t>
      </w:r>
      <w:bookmarkEnd w:id="644"/>
      <w:r>
        <w:rPr>
          <w:rStyle w:val="1151"/>
          <w:rFonts w:ascii="仿宋" w:hAnsi="仿宋" w:eastAsia="仿宋"/>
          <w:color w:val="000000"/>
          <w:sz w:val="21"/>
          <w:szCs w:val="21"/>
          <w:highlight w:val="none"/>
        </w:rPr>
        <w:t xml:space="preserve">.gov.cn/ztztz/zhengfucaigouguanli/201802/t20180201_2804589.htm</w:t>
      </w:r>
      <w:r>
        <w:rPr>
          <w:rStyle w:val="1151"/>
          <w:rFonts w:ascii="仿宋" w:hAnsi="仿宋" w:eastAsia="仿宋"/>
          <w:color w:val="000000"/>
          <w:sz w:val="21"/>
          <w:szCs w:val="21"/>
          <w:highlight w:val="none"/>
        </w:rPr>
        <w:fldChar w:fldCharType="end"/>
      </w:r>
      <w:r>
        <w:rPr>
          <w:rStyle w:val="1151"/>
          <w:rFonts w:hint="eastAsia" w:ascii="仿宋" w:hAnsi="仿宋" w:eastAsia="仿宋"/>
          <w:color w:val="000000"/>
          <w:sz w:val="21"/>
          <w:szCs w:val="21"/>
          <w:highlight w:val="none"/>
        </w:rPr>
        <w:t xml:space="preserve">）</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4.2.4供应商为自然人的，应当由本人签字；供应商为法人或者其他组织的，应当由法定代表人、主要负责人，或者其授权代表签字或者盖章，并加盖公章。</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4.2.5供应商应在法定质疑期内一次性提出针对同一采购程序环节的质疑，法定质疑期内针对同一采购程序环节再次提出的质疑，采购人、采购代理机构有权不予答复。</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24.3接收询问和质疑的联系部门、联系电话和通讯地址见《供应商须知资料表》</w:t>
      </w:r>
      <w:r>
        <w:rPr>
          <w:rStyle w:val="1151"/>
          <w:rFonts w:hint="eastAsia" w:ascii="仿宋" w:hAnsi="仿宋" w:eastAsia="仿宋"/>
          <w:color w:val="000000"/>
          <w:sz w:val="21"/>
          <w:szCs w:val="21"/>
          <w:highlight w:val="none"/>
        </w:rPr>
        <w:t xml:space="preserve">。</w:t>
      </w:r>
      <w:r/>
    </w:p>
    <w:p>
      <w:pPr>
        <w:contextualSpacing/>
        <w:ind w:firstLine="422"/>
        <w:spacing w:line="360" w:lineRule="auto"/>
        <w:rPr>
          <w:rStyle w:val="1151"/>
          <w:rFonts w:ascii="仿宋" w:hAnsi="仿宋" w:eastAsia="仿宋"/>
          <w:b/>
          <w:bCs/>
          <w:color w:val="000000"/>
          <w:sz w:val="21"/>
          <w:szCs w:val="21"/>
          <w:highlight w:val="none"/>
        </w:rPr>
      </w:pPr>
      <w:r/>
      <w:bookmarkStart w:id="645" w:name="_Toc128435125"/>
      <w:r/>
      <w:bookmarkStart w:id="646" w:name="_Toc107952838"/>
      <w:r>
        <w:rPr>
          <w:rStyle w:val="1151"/>
          <w:rFonts w:ascii="仿宋" w:hAnsi="仿宋" w:eastAsia="仿宋"/>
          <w:b/>
          <w:bCs/>
          <w:color w:val="000000"/>
          <w:sz w:val="21"/>
          <w:szCs w:val="21"/>
          <w:highlight w:val="none"/>
        </w:rPr>
        <w:t xml:space="preserve">25.代理费</w:t>
      </w:r>
      <w:bookmarkEnd w:id="645"/>
      <w:r/>
      <w:bookmarkEnd w:id="646"/>
      <w:r/>
      <w:r/>
    </w:p>
    <w:p>
      <w:pPr>
        <w:numPr>
          <w:ilvl w:val="1"/>
          <w:numId w:val="0"/>
        </w:numPr>
        <w:ind w:left="1077" w:hanging="720"/>
        <w:spacing w:line="360" w:lineRule="auto"/>
        <w:tabs>
          <w:tab w:val="left" w:pos="1080" w:leader="none"/>
          <w:tab w:val="left" w:pos="2014" w:leader="none"/>
        </w:tabs>
        <w:rPr>
          <w:rFonts w:hint="eastAsia" w:ascii="仿宋" w:hAnsi="仿宋" w:eastAsia="仿宋" w:cs="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5.1收费对象、收费标准及缴纳时间见《供应商须知资料表》。由成交供应商支付的，成交供应商须一次性向采购代理机构缴纳代理费，报价应包含代理费用。</w:t>
      </w:r>
      <w:r/>
    </w:p>
    <w:p>
      <w:pPr>
        <w:numPr>
          <w:ilvl w:val="1"/>
          <w:numId w:val="10"/>
        </w:numPr>
        <w:ind w:left="1077" w:hanging="720"/>
        <w:spacing w:line="360" w:lineRule="auto"/>
        <w:tabs>
          <w:tab w:val="left" w:pos="1080" w:leader="none"/>
          <w:tab w:val="left" w:pos="2014" w:leader="none"/>
        </w:tabs>
        <w:rPr>
          <w:rFonts w:hint="eastAsia" w:ascii="仿宋" w:hAnsi="仿宋" w:eastAsia="仿宋" w:cs="仿宋"/>
          <w:color w:val="000000"/>
          <w:sz w:val="21"/>
          <w:szCs w:val="21"/>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647" w:name="_Toc265228392"/>
      <w:r/>
      <w:bookmarkStart w:id="648" w:name="_Toc150774759"/>
      <w:r/>
      <w:bookmarkStart w:id="649" w:name="_Toc142311056"/>
      <w:r/>
      <w:bookmarkStart w:id="650" w:name="_Toc353825544"/>
      <w:r/>
      <w:bookmarkStart w:id="651" w:name="_Toc226965827"/>
      <w:r/>
      <w:bookmarkStart w:id="652" w:name="_Toc264969244"/>
      <w:r/>
      <w:bookmarkStart w:id="653" w:name="_Toc305158896"/>
      <w:r/>
      <w:bookmarkStart w:id="654" w:name="_Toc127151554"/>
      <w:r/>
      <w:bookmarkStart w:id="655" w:name="_Toc305158822"/>
      <w:r/>
      <w:bookmarkStart w:id="656" w:name="_Toc150480792"/>
      <w:r/>
      <w:bookmarkStart w:id="657" w:name="_Toc226337250"/>
      <w:r/>
      <w:bookmarkStart w:id="658" w:name="_Toc353873934"/>
      <w:r/>
      <w:bookmarkStart w:id="659" w:name="_Toc353873664"/>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647"/>
      <w:bookmarkEnd w:id="648"/>
      <w:bookmarkEnd w:id="649"/>
      <w:bookmarkEnd w:id="650"/>
      <w:bookmarkEnd w:id="651"/>
      <w:bookmarkEnd w:id="652"/>
      <w:bookmarkEnd w:id="653"/>
      <w:bookmarkEnd w:id="654"/>
      <w:bookmarkEnd w:id="655"/>
      <w:bookmarkEnd w:id="656"/>
      <w:bookmarkEnd w:id="657"/>
      <w:bookmarkEnd w:id="658"/>
      <w:bookmarkEnd w:id="659"/>
      <w:r/>
    </w:p>
    <w:p>
      <w:pPr>
        <w:jc w:val="center"/>
        <w:spacing w:line="360" w:lineRule="auto"/>
        <w:rPr>
          <w:rFonts w:ascii="仿宋" w:hAnsi="仿宋" w:eastAsia="仿宋"/>
          <w:b/>
          <w:color w:val="000000"/>
          <w:sz w:val="36"/>
          <w:szCs w:val="36"/>
          <w:highlight w:val="none"/>
        </w:rPr>
        <w:outlineLvl w:val="0"/>
      </w:pPr>
      <w:r/>
      <w:bookmarkStart w:id="660" w:name="_Toc26206"/>
      <w:r/>
      <w:bookmarkStart w:id="661" w:name="_Toc107952699"/>
      <w:r/>
      <w:bookmarkStart w:id="662" w:name="_Toc353825551"/>
      <w:r/>
      <w:bookmarkStart w:id="663" w:name="_Toc353873941"/>
      <w:r/>
      <w:bookmarkStart w:id="664" w:name="_Toc265228393"/>
      <w:r/>
      <w:bookmarkStart w:id="665" w:name="_Toc353825545"/>
      <w:r/>
      <w:bookmarkStart w:id="666" w:name="_Toc150774760"/>
      <w:r/>
      <w:bookmarkStart w:id="667" w:name="_Toc353873935"/>
      <w:r/>
      <w:bookmarkStart w:id="668" w:name="_Toc195842920"/>
      <w:r/>
      <w:bookmarkStart w:id="669" w:name="_Toc264969245"/>
      <w:r/>
      <w:bookmarkStart w:id="670" w:name="_Toc305158823"/>
      <w:r/>
      <w:bookmarkStart w:id="671" w:name="_Toc226965828"/>
      <w:r/>
      <w:bookmarkStart w:id="672" w:name="_Toc226337251"/>
      <w:r/>
      <w:bookmarkStart w:id="673" w:name="_Toc127151555"/>
      <w:r/>
      <w:bookmarkStart w:id="674" w:name="_Toc142311057"/>
      <w:r/>
      <w:bookmarkStart w:id="675" w:name="_Toc353873665"/>
      <w:r/>
      <w:bookmarkStart w:id="676" w:name="_Toc305158897"/>
      <w:r/>
      <w:bookmarkStart w:id="677" w:name="_Toc150480793"/>
      <w:r>
        <w:rPr>
          <w:rFonts w:ascii="仿宋" w:hAnsi="仿宋" w:eastAsia="仿宋"/>
          <w:b/>
          <w:color w:val="000000"/>
          <w:sz w:val="36"/>
          <w:szCs w:val="36"/>
          <w:highlight w:val="none"/>
        </w:rPr>
        <w:t xml:space="preserve">第三章   评审</w:t>
      </w:r>
      <w:r>
        <w:rPr>
          <w:rFonts w:hint="eastAsia" w:ascii="仿宋" w:hAnsi="仿宋" w:eastAsia="仿宋"/>
          <w:b/>
          <w:color w:val="000000"/>
          <w:sz w:val="36"/>
          <w:szCs w:val="36"/>
          <w:highlight w:val="none"/>
        </w:rPr>
        <w:t xml:space="preserve">程序、评审</w:t>
      </w:r>
      <w:r>
        <w:rPr>
          <w:rFonts w:ascii="仿宋" w:hAnsi="仿宋" w:eastAsia="仿宋"/>
          <w:b/>
          <w:color w:val="000000"/>
          <w:sz w:val="36"/>
          <w:szCs w:val="36"/>
          <w:highlight w:val="none"/>
        </w:rPr>
        <w:t xml:space="preserve">方法和评审标准</w:t>
      </w:r>
      <w:bookmarkEnd w:id="660"/>
      <w:r/>
      <w:bookmarkEnd w:id="661"/>
      <w:r/>
      <w:bookmarkStart w:id="678" w:name="_Toc487900382"/>
      <w:r/>
      <w:r/>
    </w:p>
    <w:p>
      <w:pPr>
        <w:pStyle w:val="967"/>
        <w:spacing w:before="0" w:line="360" w:lineRule="auto"/>
        <w:rPr>
          <w:rFonts w:ascii="仿宋" w:hAnsi="仿宋" w:eastAsia="仿宋"/>
          <w:color w:val="000000"/>
          <w:sz w:val="24"/>
          <w:szCs w:val="24"/>
          <w:highlight w:val="none"/>
        </w:rPr>
      </w:pPr>
      <w:r/>
      <w:bookmarkStart w:id="679" w:name="_Toc140670330"/>
      <w:r/>
      <w:bookmarkStart w:id="680" w:name="_Toc140670466"/>
      <w:r/>
      <w:bookmarkStart w:id="681" w:name="_Toc23394"/>
      <w:r/>
      <w:bookmarkStart w:id="682" w:name="_Toc169226712"/>
      <w:r/>
      <w:bookmarkStart w:id="683" w:name="_Toc107952840"/>
      <w:r/>
      <w:bookmarkStart w:id="684" w:name="_Toc128435127"/>
      <w:r>
        <w:rPr>
          <w:rFonts w:ascii="仿宋" w:hAnsi="仿宋" w:eastAsia="仿宋"/>
          <w:color w:val="000000"/>
          <w:sz w:val="24"/>
          <w:szCs w:val="24"/>
          <w:highlight w:val="none"/>
        </w:rPr>
        <w:t xml:space="preserve">一、</w:t>
      </w:r>
      <w:r>
        <w:rPr>
          <w:rFonts w:hint="eastAsia" w:ascii="仿宋" w:hAnsi="仿宋" w:eastAsia="仿宋"/>
          <w:color w:val="000000"/>
          <w:sz w:val="24"/>
          <w:szCs w:val="24"/>
          <w:highlight w:val="none"/>
        </w:rPr>
        <w:t xml:space="preserve">评审</w:t>
      </w:r>
      <w:r>
        <w:rPr>
          <w:rFonts w:ascii="仿宋" w:hAnsi="仿宋" w:eastAsia="仿宋"/>
          <w:color w:val="000000"/>
          <w:sz w:val="24"/>
          <w:szCs w:val="24"/>
          <w:highlight w:val="none"/>
        </w:rPr>
        <w:t xml:space="preserve">程序</w:t>
      </w:r>
      <w:bookmarkEnd w:id="679"/>
      <w:r/>
      <w:bookmarkEnd w:id="680"/>
      <w:r/>
      <w:bookmarkEnd w:id="681"/>
      <w:r/>
      <w:bookmarkEnd w:id="682"/>
      <w:r/>
      <w:bookmarkEnd w:id="683"/>
      <w:r/>
      <w:bookmarkEnd w:id="684"/>
      <w:r/>
      <w:r/>
    </w:p>
    <w:p>
      <w:pPr>
        <w:jc w:val="left"/>
        <w:tabs>
          <w:tab w:val="left" w:pos="1080" w:leader="none"/>
        </w:tabs>
        <w:rPr>
          <w:rFonts w:ascii="仿宋" w:hAnsi="仿宋" w:eastAsia="仿宋"/>
          <w:b/>
          <w:color w:val="000000"/>
          <w:sz w:val="24"/>
          <w:highlight w:val="none"/>
        </w:rPr>
      </w:pPr>
      <w:r>
        <w:rPr>
          <w:rFonts w:ascii="仿宋" w:hAnsi="仿宋" w:eastAsia="仿宋"/>
          <w:b/>
          <w:color w:val="000000"/>
          <w:sz w:val="24"/>
          <w:highlight w:val="none"/>
        </w:rPr>
        <w:tab/>
      </w:r>
      <w:bookmarkEnd w:id="678"/>
      <w:r/>
    </w:p>
    <w:p>
      <w:pPr>
        <w:contextualSpacing/>
        <w:ind w:firstLine="422"/>
        <w:spacing w:line="360" w:lineRule="auto"/>
        <w:rPr>
          <w:rStyle w:val="1151"/>
          <w:rFonts w:ascii="仿宋" w:hAnsi="仿宋" w:eastAsia="仿宋"/>
          <w:b/>
          <w:bCs/>
          <w:color w:val="000000"/>
          <w:sz w:val="21"/>
          <w:szCs w:val="21"/>
          <w:highlight w:val="none"/>
        </w:rPr>
      </w:pPr>
      <w:r/>
      <w:bookmarkStart w:id="685" w:name="_Toc150774746"/>
      <w:r/>
      <w:bookmarkStart w:id="686" w:name="_Toc164608655"/>
      <w:r/>
      <w:bookmarkStart w:id="687" w:name="_Toc264969231"/>
      <w:r/>
      <w:bookmarkStart w:id="688" w:name="_Toc164229382"/>
      <w:r/>
      <w:bookmarkStart w:id="689" w:name="_Toc226965731"/>
      <w:r/>
      <w:bookmarkStart w:id="690" w:name="_Toc164229236"/>
      <w:r/>
      <w:bookmarkStart w:id="691" w:name="_Toc226337237"/>
      <w:r/>
      <w:bookmarkStart w:id="692" w:name="_Toc151193639"/>
      <w:r/>
      <w:bookmarkStart w:id="693" w:name="_Toc226965814"/>
      <w:r/>
      <w:bookmarkStart w:id="694" w:name="_Toc305158883"/>
      <w:r/>
      <w:bookmarkStart w:id="695" w:name="_Toc151193711"/>
      <w:r/>
      <w:bookmarkStart w:id="696" w:name="_Toc151190168"/>
      <w:r/>
      <w:bookmarkStart w:id="697" w:name="_Toc151193929"/>
      <w:r/>
      <w:bookmarkStart w:id="698" w:name="_Toc150480779"/>
      <w:r/>
      <w:bookmarkStart w:id="699" w:name="_Toc142311043"/>
      <w:r/>
      <w:bookmarkStart w:id="700" w:name="_Toc265228379"/>
      <w:r/>
      <w:bookmarkStart w:id="701" w:name="_Toc127161455"/>
      <w:r/>
      <w:bookmarkStart w:id="702" w:name="_Toc305158809"/>
      <w:r/>
      <w:bookmarkStart w:id="703" w:name="_Toc226309785"/>
      <w:r/>
      <w:bookmarkStart w:id="704" w:name="_Toc151193783"/>
      <w:r/>
      <w:bookmarkStart w:id="705" w:name="_Toc164351635"/>
      <w:r/>
      <w:bookmarkStart w:id="706" w:name="_Toc151193855"/>
      <w:r/>
      <w:bookmarkStart w:id="707" w:name="_Toc195842906"/>
      <w:r/>
      <w:bookmarkStart w:id="708" w:name="_Toc149720834"/>
      <w:r/>
      <w:bookmarkStart w:id="709" w:name="_Toc127151541"/>
      <w:r/>
      <w:bookmarkStart w:id="710" w:name="_Toc150774641"/>
      <w:r/>
      <w:bookmarkStart w:id="711" w:name="_Toc150509292"/>
      <w:r/>
      <w:bookmarkStart w:id="712" w:name="_Toc127151742"/>
      <w:r/>
      <w:bookmarkStart w:id="713" w:name="_Toc164608810"/>
      <w:r/>
      <w:bookmarkStart w:id="714" w:name="_Toc128435128"/>
      <w:r/>
      <w:bookmarkStart w:id="715" w:name="_Toc107952841"/>
      <w:r>
        <w:rPr>
          <w:rStyle w:val="1151"/>
          <w:rFonts w:hint="eastAsia" w:ascii="仿宋" w:hAnsi="仿宋" w:eastAsia="仿宋"/>
          <w:b/>
          <w:bCs/>
          <w:color w:val="000000"/>
          <w:sz w:val="21"/>
          <w:szCs w:val="21"/>
          <w:highlight w:val="none"/>
        </w:rPr>
        <w:t xml:space="preserve">1</w:t>
      </w:r>
      <w:r>
        <w:rPr>
          <w:rStyle w:val="1151"/>
          <w:rFonts w:ascii="仿宋" w:hAnsi="仿宋" w:eastAsia="仿宋"/>
          <w:b/>
          <w:bCs/>
          <w:color w:val="000000"/>
          <w:sz w:val="21"/>
          <w:szCs w:val="21"/>
          <w:highlight w:val="none"/>
        </w:rPr>
        <w:t xml:space="preserve">.响应文件的</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Style w:val="1151"/>
          <w:rFonts w:ascii="仿宋" w:hAnsi="仿宋" w:eastAsia="仿宋"/>
          <w:b/>
          <w:bCs/>
          <w:color w:val="000000"/>
          <w:sz w:val="21"/>
          <w:szCs w:val="21"/>
          <w:highlight w:val="none"/>
        </w:rPr>
        <w:t xml:space="preserve">资格性检查和符合性审查</w:t>
      </w:r>
      <w:bookmarkEnd w:id="714"/>
      <w:r/>
      <w:bookmarkEnd w:id="715"/>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无效响应处理，磋商小组应当告知提交响应文件的供应商。</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1</w:t>
      </w:r>
      <w:r>
        <w:rPr>
          <w:rStyle w:val="1151"/>
          <w:rFonts w:ascii="仿宋" w:hAnsi="仿宋" w:eastAsia="仿宋"/>
          <w:color w:val="000000"/>
          <w:sz w:val="21"/>
          <w:szCs w:val="21"/>
          <w:highlight w:val="none"/>
        </w:rPr>
        <w:t xml:space="preserve">.2《资格性检查要求》中对格式有要求的，除竞争性磋商文件另有规定外，均为“实质性格式”文件。</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1.3《资格性检查要求》见下表：</w:t>
      </w:r>
      <w:r/>
    </w:p>
    <w:p>
      <w:pPr>
        <w:ind w:left="1077" w:firstLine="2650"/>
        <w:spacing w:line="360" w:lineRule="auto"/>
        <w:tabs>
          <w:tab w:val="left" w:pos="900" w:leader="none"/>
          <w:tab w:val="left" w:pos="1080" w:leader="none"/>
        </w:tabs>
        <w:rPr>
          <w:rFonts w:ascii="仿宋" w:hAnsi="仿宋" w:eastAsia="仿宋"/>
          <w:b/>
          <w:color w:val="000000"/>
          <w:sz w:val="24"/>
          <w:highlight w:val="none"/>
        </w:rPr>
      </w:pPr>
      <w:r>
        <w:rPr>
          <w:rFonts w:ascii="仿宋" w:hAnsi="仿宋" w:eastAsia="仿宋"/>
          <w:b/>
          <w:color w:val="000000"/>
          <w:sz w:val="24"/>
          <w:highlight w:val="none"/>
        </w:rPr>
        <w:t xml:space="preserve">资格性检查要求</w:t>
      </w:r>
      <w:r/>
    </w:p>
    <w:tbl>
      <w:tblPr>
        <w:tblStyle w:val="78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003"/>
        <w:gridCol w:w="5420"/>
        <w:gridCol w:w="1713"/>
      </w:tblGrid>
      <w:tr>
        <w:trPr>
          <w:cantSplit/>
          <w:trHeight w:val="20"/>
          <w:tblHeader/>
        </w:trPr>
        <w:tc>
          <w:tcPr>
            <w:tcW w:w="690" w:type="dxa"/>
            <w:vAlign w:val="center"/>
            <w:textDirection w:val="lrTb"/>
            <w:noWrap w:val="false"/>
          </w:tcPr>
          <w:p>
            <w:pPr>
              <w:jc w:val="center"/>
              <w:rPr>
                <w:rFonts w:ascii="仿宋" w:hAnsi="仿宋" w:eastAsia="仿宋"/>
                <w:color w:val="000000"/>
                <w:highlight w:val="none"/>
              </w:rPr>
            </w:pPr>
            <w:r/>
            <w:bookmarkStart w:id="716" w:name="_Hlt487972895"/>
            <w:r/>
            <w:bookmarkEnd w:id="716"/>
            <w:r>
              <w:rPr>
                <w:rFonts w:ascii="仿宋" w:hAnsi="仿宋" w:eastAsia="仿宋"/>
                <w:color w:val="000000"/>
                <w:highlight w:val="none"/>
              </w:rPr>
              <w:t xml:space="preserve">序号</w:t>
            </w:r>
            <w:r/>
          </w:p>
        </w:tc>
        <w:tc>
          <w:tcPr>
            <w:tcW w:w="1865"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审查因素</w:t>
            </w:r>
            <w:r/>
          </w:p>
        </w:tc>
        <w:tc>
          <w:tcPr>
            <w:tcW w:w="5047"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审查内容</w:t>
            </w:r>
            <w:r/>
          </w:p>
        </w:tc>
        <w:tc>
          <w:tcPr>
            <w:tcW w:w="1595"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格式要求</w:t>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1</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满足《中华人民共和国政府采购法》第二十二条规定及法律法规的其他规定</w:t>
            </w:r>
            <w:r/>
          </w:p>
        </w:tc>
        <w:tc>
          <w:tcPr>
            <w:tcW w:w="5047" w:type="dxa"/>
            <w:vAlign w:val="center"/>
            <w:textDirection w:val="lrTb"/>
            <w:noWrap w:val="false"/>
          </w:tcPr>
          <w:p>
            <w:pPr>
              <w:rPr>
                <w:rFonts w:hint="eastAsia" w:ascii="仿宋" w:hAnsi="仿宋" w:eastAsia="仿宋" w:cs="Times New Roman"/>
                <w:color w:val="000000"/>
                <w:highlight w:val="none"/>
                <w:lang w:eastAsia="zh-CN"/>
              </w:rPr>
            </w:pPr>
            <w:r>
              <w:rPr>
                <w:rFonts w:hint="eastAsia" w:ascii="仿宋" w:hAnsi="仿宋" w:eastAsia="仿宋" w:cs="Times New Roman"/>
                <w:color w:val="000000"/>
                <w:highlight w:val="none"/>
                <w:lang w:val="en-US" w:eastAsia="zh-CN"/>
              </w:rPr>
              <w:t xml:space="preserve">包含但不限于：</w:t>
            </w:r>
            <w:r>
              <w:rPr>
                <w:rFonts w:hint="eastAsia" w:ascii="仿宋" w:hAnsi="仿宋" w:eastAsia="仿宋" w:cs="Times New Roman"/>
                <w:color w:val="000000"/>
                <w:highlight w:val="none"/>
                <w:lang w:eastAsia="zh-CN"/>
              </w:rPr>
              <w:t xml:space="preserve">（</w:t>
            </w:r>
            <w:r>
              <w:rPr>
                <w:rFonts w:hint="eastAsia" w:ascii="仿宋" w:hAnsi="仿宋" w:eastAsia="仿宋" w:cs="Times New Roman"/>
                <w:color w:val="000000"/>
                <w:highlight w:val="none"/>
                <w:lang w:val="en-US" w:eastAsia="zh-CN"/>
              </w:rPr>
              <w:t xml:space="preserve">1）</w:t>
            </w:r>
            <w:r>
              <w:rPr>
                <w:rFonts w:hint="eastAsia" w:ascii="仿宋" w:hAnsi="仿宋" w:eastAsia="仿宋" w:cs="Times New Roman"/>
                <w:color w:val="000000"/>
                <w:highlight w:val="none"/>
              </w:rPr>
              <w:t xml:space="preserve">法人或者其他组织的营业执照等证明文件，自然人的身份证明</w:t>
            </w:r>
            <w:r>
              <w:rPr>
                <w:rFonts w:hint="eastAsia" w:ascii="仿宋" w:hAnsi="仿宋" w:eastAsia="仿宋" w:cs="Times New Roman"/>
                <w:color w:val="000000"/>
                <w:highlight w:val="none"/>
                <w:lang w:eastAsia="zh-CN"/>
              </w:rPr>
              <w:t xml:space="preserve">；</w:t>
            </w:r>
            <w:r/>
          </w:p>
          <w:p>
            <w:pPr>
              <w:rPr>
                <w:rFonts w:hint="eastAsia" w:ascii="仿宋" w:hAnsi="仿宋" w:eastAsia="仿宋" w:cs="Times New Roman"/>
                <w:color w:val="000000"/>
                <w:highlight w:val="none"/>
                <w:lang w:val="en-US" w:eastAsia="zh-CN"/>
              </w:rPr>
            </w:pPr>
            <w:r>
              <w:rPr>
                <w:rFonts w:hint="eastAsia" w:ascii="仿宋" w:hAnsi="仿宋" w:eastAsia="仿宋" w:cs="Times New Roman"/>
                <w:color w:val="000000"/>
                <w:highlight w:val="none"/>
                <w:lang w:eastAsia="zh-CN"/>
              </w:rPr>
              <w:t xml:space="preserve">（</w:t>
            </w:r>
            <w:r>
              <w:rPr>
                <w:rFonts w:hint="eastAsia" w:ascii="仿宋" w:hAnsi="仿宋" w:eastAsia="仿宋" w:cs="Times New Roman"/>
                <w:color w:val="000000"/>
                <w:highlight w:val="none"/>
                <w:lang w:val="en-US" w:eastAsia="zh-CN"/>
              </w:rPr>
              <w:t xml:space="preserve">2）</w:t>
            </w:r>
            <w:r>
              <w:rPr>
                <w:rFonts w:ascii="仿宋" w:hAnsi="仿宋" w:eastAsia="仿宋" w:cs="Times New Roman"/>
                <w:color w:val="000000"/>
                <w:highlight w:val="none"/>
              </w:rPr>
              <w:t xml:space="preserve">上一</w:t>
            </w:r>
            <w:r>
              <w:rPr>
                <w:rFonts w:hint="eastAsia" w:ascii="仿宋" w:hAnsi="仿宋" w:eastAsia="仿宋" w:cs="Times New Roman"/>
                <w:color w:val="000000"/>
                <w:highlight w:val="none"/>
                <w:lang w:val="en-US" w:eastAsia="zh-CN"/>
              </w:rPr>
              <w:t xml:space="preserve">年度的财务状况报告（成立不满一年不需提供），财务状况报告至少应包含资产负债表、利润表、现金流量表；</w:t>
            </w:r>
            <w:r/>
          </w:p>
          <w:p>
            <w:pPr>
              <w:rPr>
                <w:color w:val="000000"/>
                <w:highlight w:val="none"/>
                <w:lang w:val="en-US" w:eastAsia="zh-CN"/>
              </w:rPr>
            </w:pPr>
            <w:r>
              <w:rPr>
                <w:rFonts w:hint="eastAsia" w:ascii="仿宋" w:hAnsi="仿宋" w:eastAsia="仿宋" w:cs="Times New Roman"/>
                <w:color w:val="000000"/>
                <w:highlight w:val="none"/>
                <w:lang w:val="en-US" w:eastAsia="zh-CN"/>
              </w:rPr>
              <w:t xml:space="preserve">（3）依法缴纳税收和社会保障资金的相关材料；</w:t>
            </w:r>
            <w:r/>
          </w:p>
        </w:tc>
        <w:tc>
          <w:tcPr>
            <w:tcW w:w="1595" w:type="dxa"/>
            <w:vAlign w:val="center"/>
            <w:textDirection w:val="lrTb"/>
            <w:noWrap w:val="false"/>
          </w:tcPr>
          <w:p>
            <w:pPr>
              <w:rPr>
                <w:rFonts w:ascii="仿宋" w:hAnsi="仿宋" w:eastAsia="仿宋"/>
                <w:color w:val="000000"/>
                <w:highlight w:val="none"/>
                <w:lang w:val="en-US" w:eastAsia="zh-CN"/>
              </w:rPr>
            </w:pPr>
            <w:r>
              <w:rPr>
                <w:rFonts w:hint="eastAsia" w:ascii="仿宋" w:hAnsi="仿宋" w:eastAsia="仿宋"/>
                <w:color w:val="000000"/>
                <w:highlight w:val="none"/>
              </w:rPr>
              <w:t xml:space="preserve">提供证明文件的电子件</w:t>
            </w:r>
            <w:r>
              <w:rPr>
                <w:rFonts w:hint="eastAsia" w:ascii="仿宋" w:hAnsi="仿宋" w:eastAsia="仿宋"/>
                <w:color w:val="000000"/>
                <w:highlight w:val="none"/>
                <w:lang w:val="en-US" w:eastAsia="zh-CN"/>
              </w:rPr>
              <w:t xml:space="preserve">加盖供应商公章</w:t>
            </w:r>
            <w:r/>
          </w:p>
        </w:tc>
      </w:tr>
      <w:tr>
        <w:trPr>
          <w:cantSplit/>
          <w:trHeight w:val="468"/>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1-1</w:t>
            </w:r>
            <w:r/>
          </w:p>
        </w:tc>
        <w:tc>
          <w:tcPr>
            <w:tcW w:w="1865" w:type="dxa"/>
            <w:vAlign w:val="center"/>
            <w:textDirection w:val="lrTb"/>
            <w:noWrap w:val="false"/>
          </w:tcPr>
          <w:p>
            <w:pPr>
              <w:rPr>
                <w:rFonts w:ascii="仿宋" w:hAnsi="仿宋" w:eastAsia="仿宋"/>
                <w:color w:val="000000"/>
                <w:highlight w:val="none"/>
              </w:rPr>
            </w:pPr>
            <w:r>
              <w:rPr>
                <w:rFonts w:hint="eastAsia" w:ascii="仿宋" w:hAnsi="仿宋" w:eastAsia="仿宋"/>
                <w:color w:val="000000"/>
                <w:highlight w:val="none"/>
              </w:rPr>
              <w:t xml:space="preserve">供应商资格声明函</w:t>
            </w:r>
            <w:r/>
          </w:p>
        </w:tc>
        <w:tc>
          <w:tcPr>
            <w:tcW w:w="5047"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提供了符合</w:t>
            </w:r>
            <w:r>
              <w:rPr>
                <w:rFonts w:hint="eastAsia" w:ascii="仿宋" w:hAnsi="仿宋" w:eastAsia="仿宋"/>
                <w:color w:val="000000"/>
                <w:highlight w:val="none"/>
              </w:rPr>
              <w:t xml:space="preserve">采购</w:t>
            </w:r>
            <w:r>
              <w:rPr>
                <w:rFonts w:ascii="仿宋" w:hAnsi="仿宋" w:eastAsia="仿宋"/>
                <w:color w:val="000000"/>
                <w:highlight w:val="none"/>
              </w:rPr>
              <w:t xml:space="preserve">文件要求的《</w:t>
            </w:r>
            <w:r>
              <w:rPr>
                <w:rFonts w:hint="eastAsia" w:ascii="仿宋" w:hAnsi="仿宋" w:eastAsia="仿宋"/>
                <w:color w:val="000000"/>
                <w:highlight w:val="none"/>
              </w:rPr>
              <w:t xml:space="preserve">供应商资格声明函</w:t>
            </w:r>
            <w:r>
              <w:rPr>
                <w:rFonts w:ascii="仿宋" w:hAnsi="仿宋" w:eastAsia="仿宋"/>
                <w:color w:val="000000"/>
                <w:highlight w:val="none"/>
              </w:rPr>
              <w:t xml:space="preserve">》。</w:t>
            </w:r>
            <w:r/>
          </w:p>
        </w:tc>
        <w:tc>
          <w:tcPr>
            <w:tcW w:w="159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格式见《</w:t>
            </w:r>
            <w:r>
              <w:rPr>
                <w:rFonts w:hint="eastAsia" w:ascii="仿宋" w:hAnsi="仿宋" w:eastAsia="仿宋"/>
                <w:color w:val="000000"/>
                <w:highlight w:val="none"/>
              </w:rPr>
              <w:t xml:space="preserve">响应</w:t>
            </w:r>
            <w:r>
              <w:rPr>
                <w:rFonts w:ascii="仿宋" w:hAnsi="仿宋" w:eastAsia="仿宋"/>
                <w:color w:val="000000"/>
                <w:highlight w:val="none"/>
              </w:rPr>
              <w:t xml:space="preserve">文件格式》</w:t>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hint="eastAsia" w:ascii="仿宋" w:hAnsi="仿宋" w:eastAsia="仿宋"/>
                <w:color w:val="000000"/>
                <w:highlight w:val="none"/>
              </w:rPr>
              <w:t xml:space="preserve">1</w:t>
            </w:r>
            <w:r>
              <w:rPr>
                <w:rFonts w:ascii="仿宋" w:hAnsi="仿宋" w:eastAsia="仿宋"/>
                <w:color w:val="000000"/>
                <w:highlight w:val="none"/>
              </w:rPr>
              <w:t xml:space="preserve">-</w:t>
            </w:r>
            <w:r>
              <w:rPr>
                <w:rFonts w:hint="eastAsia" w:ascii="仿宋" w:hAnsi="仿宋" w:eastAsia="仿宋"/>
                <w:color w:val="000000"/>
                <w:highlight w:val="none"/>
              </w:rPr>
              <w:t xml:space="preserve">2</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供应商信用记录</w:t>
            </w:r>
            <w:r/>
          </w:p>
        </w:tc>
        <w:tc>
          <w:tcPr>
            <w:tcW w:w="5047"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查询渠道：信用中国网站和中国政府采购网</w:t>
            </w:r>
            <w:r>
              <w:rPr>
                <w:rFonts w:hint="eastAsia" w:ascii="仿宋" w:hAnsi="仿宋" w:eastAsia="仿宋"/>
                <w:color w:val="000000"/>
                <w:highlight w:val="none"/>
              </w:rPr>
              <w:t xml:space="preserve">（</w:t>
            </w:r>
            <w:r>
              <w:rPr>
                <w:rFonts w:ascii="仿宋" w:hAnsi="仿宋" w:eastAsia="仿宋"/>
                <w:color w:val="000000"/>
                <w:highlight w:val="none"/>
              </w:rPr>
              <w:t xml:space="preserve">www.creditchina.gov.cn、www.ccgp.gov.cn）；</w:t>
            </w:r>
            <w:r/>
          </w:p>
          <w:p>
            <w:pPr>
              <w:rPr>
                <w:rFonts w:ascii="仿宋" w:hAnsi="仿宋" w:eastAsia="仿宋"/>
                <w:color w:val="000000"/>
                <w:highlight w:val="none"/>
              </w:rPr>
            </w:pPr>
            <w:r>
              <w:rPr>
                <w:rFonts w:ascii="仿宋" w:hAnsi="仿宋" w:eastAsia="仿宋"/>
                <w:color w:val="000000"/>
                <w:highlight w:val="none"/>
              </w:rPr>
              <w:t xml:space="preserve">截止时点：提交响应文件截止时间以后、</w:t>
            </w:r>
            <w:r>
              <w:rPr>
                <w:rFonts w:hint="eastAsia" w:ascii="仿宋" w:hAnsi="仿宋" w:eastAsia="仿宋"/>
                <w:color w:val="000000"/>
                <w:highlight w:val="none"/>
              </w:rPr>
              <w:t xml:space="preserve">资格审查阶段采购人或采购代理机构</w:t>
            </w:r>
            <w:r>
              <w:rPr>
                <w:rFonts w:ascii="仿宋" w:hAnsi="仿宋" w:eastAsia="仿宋"/>
                <w:color w:val="000000"/>
                <w:highlight w:val="none"/>
              </w:rPr>
              <w:t xml:space="preserve">的实际查询时间；</w:t>
            </w:r>
            <w:r/>
          </w:p>
          <w:p>
            <w:pPr>
              <w:rPr>
                <w:rFonts w:ascii="仿宋" w:hAnsi="仿宋" w:eastAsia="仿宋"/>
                <w:color w:val="000000"/>
                <w:highlight w:val="none"/>
              </w:rPr>
            </w:pPr>
            <w:r>
              <w:rPr>
                <w:rFonts w:ascii="仿宋" w:hAnsi="仿宋" w:eastAsia="仿宋"/>
                <w:color w:val="000000"/>
                <w:highlight w:val="none"/>
              </w:rPr>
              <w:t xml:space="preserve">信用信息查询记录和证据留存具体方式：查询结果网页打印页作为查询记录和证据，与其他采购文件一并保存；</w:t>
            </w:r>
            <w:r/>
          </w:p>
          <w:p>
            <w:pPr>
              <w:rPr>
                <w:rFonts w:ascii="仿宋" w:hAnsi="仿宋" w:eastAsia="仿宋"/>
                <w:color w:val="000000"/>
                <w:highlight w:val="none"/>
              </w:rPr>
            </w:pPr>
            <w:r>
              <w:rPr>
                <w:rFonts w:ascii="仿宋" w:hAnsi="仿宋" w:eastAsia="仿宋"/>
                <w:color w:val="000000"/>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59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无须供应商提供，由采购人查询。</w:t>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2</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落实政府采购政策需满足的资格要求</w:t>
            </w:r>
            <w:r/>
          </w:p>
        </w:tc>
        <w:tc>
          <w:tcPr>
            <w:tcW w:w="5047"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具体要求见第一章《采购邀请》</w:t>
            </w:r>
            <w:r/>
          </w:p>
        </w:tc>
        <w:tc>
          <w:tcPr>
            <w:tcW w:w="159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2-1</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中小企业声明函</w:t>
            </w:r>
            <w:r/>
          </w:p>
        </w:tc>
        <w:tc>
          <w:tcPr>
            <w:tcW w:w="5047" w:type="dxa"/>
            <w:vAlign w:val="center"/>
            <w:textDirection w:val="lrTb"/>
            <w:noWrap w:val="false"/>
          </w:tcPr>
          <w:p>
            <w:pPr>
              <w:rPr>
                <w:rFonts w:ascii="仿宋" w:hAnsi="仿宋" w:eastAsia="仿宋"/>
                <w:bCs/>
                <w:color w:val="000000"/>
                <w:highlight w:val="none"/>
              </w:rPr>
            </w:pPr>
            <w:r>
              <w:rPr>
                <w:rFonts w:hint="eastAsia" w:ascii="仿宋" w:hAnsi="仿宋" w:eastAsia="仿宋"/>
                <w:bCs/>
                <w:color w:val="000000"/>
                <w:highlight w:val="none"/>
              </w:rPr>
              <w:t xml:space="preserve">1、供应商单独参与磋商的，应提供中小企业声明函；如为监狱企业或残疾人福利性单位，不必提供中小企业声明函，但须按注1或注2要求提供证明材料。</w:t>
            </w:r>
            <w:r/>
          </w:p>
          <w:p>
            <w:pPr>
              <w:rPr>
                <w:rFonts w:ascii="仿宋" w:hAnsi="仿宋" w:eastAsia="仿宋"/>
                <w:bCs/>
                <w:color w:val="000000"/>
                <w:highlight w:val="none"/>
              </w:rPr>
            </w:pPr>
            <w:r>
              <w:rPr>
                <w:rFonts w:hint="eastAsia" w:ascii="仿宋" w:hAnsi="仿宋" w:eastAsia="仿宋"/>
                <w:bCs/>
                <w:color w:val="000000"/>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rPr>
                <w:rFonts w:ascii="仿宋" w:hAnsi="仿宋" w:eastAsia="仿宋"/>
                <w:bCs/>
                <w:color w:val="000000"/>
                <w:highlight w:val="none"/>
              </w:rPr>
            </w:pPr>
            <w:r>
              <w:rPr>
                <w:rFonts w:hint="eastAsia" w:ascii="仿宋" w:hAnsi="仿宋" w:eastAsia="仿宋"/>
                <w:bCs/>
                <w:color w:val="000000"/>
                <w:highlight w:val="none"/>
              </w:rPr>
              <w:t xml:space="preserve">注1：监狱企业须提供由省级以上监狱管理局（常州市含教育矫治局）、戒毒管理局（含新疆生产建设兵团）出具的属于监狱企业的证明文件。</w:t>
            </w:r>
            <w:r/>
          </w:p>
          <w:p>
            <w:pPr>
              <w:rPr>
                <w:rFonts w:ascii="仿宋" w:hAnsi="仿宋" w:eastAsia="仿宋"/>
                <w:color w:val="000000"/>
                <w:highlight w:val="none"/>
              </w:rPr>
            </w:pPr>
            <w:r>
              <w:rPr>
                <w:rFonts w:hint="eastAsia" w:ascii="仿宋" w:hAnsi="仿宋" w:eastAsia="仿宋"/>
                <w:bCs/>
                <w:color w:val="000000"/>
                <w:highlight w:val="none"/>
              </w:rPr>
              <w:t xml:space="preserve">注2：残疾人福利性单位须按磋商文件要求提供《残疾人福利性单位声明函》。</w:t>
            </w:r>
            <w:r/>
          </w:p>
        </w:tc>
        <w:tc>
          <w:tcPr>
            <w:tcW w:w="159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格式见《响应文件格式》</w:t>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2-2</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其它落实政府采购政策的资格要求</w:t>
            </w:r>
            <w:r/>
          </w:p>
        </w:tc>
        <w:tc>
          <w:tcPr>
            <w:tcW w:w="5047"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如有，见第一章《采购邀请》</w:t>
            </w:r>
            <w:r/>
          </w:p>
        </w:tc>
        <w:tc>
          <w:tcPr>
            <w:tcW w:w="1595" w:type="dxa"/>
            <w:vAlign w:val="center"/>
            <w:textDirection w:val="lrTb"/>
            <w:noWrap w:val="false"/>
          </w:tcPr>
          <w:p>
            <w:pPr>
              <w:rPr>
                <w:rFonts w:ascii="仿宋" w:hAnsi="仿宋" w:eastAsia="仿宋"/>
                <w:color w:val="000000"/>
                <w:highlight w:val="none"/>
              </w:rPr>
            </w:pPr>
            <w:r>
              <w:rPr>
                <w:rFonts w:hint="eastAsia" w:ascii="仿宋" w:hAnsi="仿宋" w:eastAsia="仿宋"/>
                <w:color w:val="000000"/>
                <w:highlight w:val="none"/>
              </w:rPr>
              <w:t xml:space="preserve">提供证明文件的电子件或电子证照</w:t>
            </w:r>
            <w:r/>
          </w:p>
        </w:tc>
      </w:tr>
      <w:tr>
        <w:trPr>
          <w:cantSplit/>
          <w:trHeight w:val="20"/>
        </w:trPr>
        <w:tc>
          <w:tcPr>
            <w:tcW w:w="69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3</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本项目的特定资格要求</w:t>
            </w:r>
            <w:r/>
          </w:p>
        </w:tc>
        <w:tc>
          <w:tcPr>
            <w:tcW w:w="5047" w:type="dxa"/>
            <w:vAlign w:val="center"/>
            <w:textDirection w:val="lrTb"/>
            <w:noWrap w:val="false"/>
          </w:tcPr>
          <w:p>
            <w:pPr>
              <w:rPr>
                <w:rFonts w:ascii="仿宋" w:hAnsi="仿宋" w:eastAsia="仿宋"/>
                <w:color w:val="000000"/>
                <w:highlight w:val="none"/>
              </w:rPr>
            </w:pPr>
            <w:r>
              <w:rPr>
                <w:rFonts w:hint="eastAsia" w:ascii="仿宋" w:hAnsi="仿宋" w:eastAsia="仿宋"/>
                <w:color w:val="000000"/>
                <w:highlight w:val="none"/>
              </w:rPr>
              <w:t xml:space="preserve">如有，见第一章《采购邀请》</w:t>
            </w:r>
            <w:r/>
          </w:p>
        </w:tc>
        <w:tc>
          <w:tcPr>
            <w:tcW w:w="159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r>
            <w:r/>
          </w:p>
        </w:tc>
      </w:tr>
      <w:tr>
        <w:trPr>
          <w:cantSplit/>
          <w:trHeight w:val="20"/>
        </w:trPr>
        <w:tc>
          <w:tcPr>
            <w:tcW w:w="690" w:type="dxa"/>
            <w:vAlign w:val="center"/>
            <w:textDirection w:val="lrTb"/>
            <w:noWrap w:val="false"/>
          </w:tcPr>
          <w:p>
            <w:pPr>
              <w:jc w:val="center"/>
              <w:rPr>
                <w:rFonts w:hint="eastAsia" w:ascii="仿宋" w:hAnsi="仿宋" w:eastAsia="仿宋"/>
                <w:color w:val="000000"/>
                <w:highlight w:val="none"/>
                <w:lang w:eastAsia="zh-CN"/>
              </w:rPr>
            </w:pPr>
            <w:r>
              <w:rPr>
                <w:rFonts w:ascii="仿宋" w:hAnsi="仿宋" w:eastAsia="仿宋"/>
                <w:color w:val="000000"/>
                <w:highlight w:val="none"/>
              </w:rPr>
              <w:t xml:space="preserve">3-</w:t>
            </w:r>
            <w:r>
              <w:rPr>
                <w:rFonts w:hint="eastAsia" w:ascii="仿宋" w:hAnsi="仿宋" w:eastAsia="仿宋"/>
                <w:color w:val="000000"/>
                <w:highlight w:val="none"/>
                <w:lang w:val="en-US" w:eastAsia="zh-CN"/>
              </w:rPr>
              <w:t xml:space="preserve">1</w:t>
            </w:r>
            <w:r/>
          </w:p>
        </w:tc>
        <w:tc>
          <w:tcPr>
            <w:tcW w:w="1865"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其他特定资格要求</w:t>
            </w:r>
            <w:r/>
          </w:p>
        </w:tc>
        <w:tc>
          <w:tcPr>
            <w:tcW w:w="5047" w:type="dxa"/>
            <w:vAlign w:val="center"/>
            <w:textDirection w:val="lrTb"/>
            <w:noWrap w:val="false"/>
          </w:tcPr>
          <w:p>
            <w:pPr>
              <w:keepLines w:val="0"/>
              <w:keepNext w:val="0"/>
              <w:pageBreakBefore w:val="0"/>
              <w:spacing w:line="264" w:lineRule="auto"/>
              <w:widowControl w:val="off"/>
              <w:tabs>
                <w:tab w:val="left" w:pos="900" w:leader="none"/>
                <w:tab w:val="left" w:pos="1134" w:leader="none"/>
                <w:tab w:val="left" w:pos="1589" w:leader="none"/>
                <w:tab w:val="left" w:pos="5521" w:leader="none"/>
              </w:tabs>
              <w:rPr>
                <w:rFonts w:hint="eastAsia" w:ascii="仿宋" w:hAnsi="仿宋" w:eastAsia="仿宋" w:cs="仿宋"/>
                <w:b w:val="0"/>
                <w:bCs w:val="0"/>
                <w:szCs w:val="21"/>
                <w:highlight w:val="none"/>
                <w:lang w:val="en-US" w:eastAsia="zh-CN"/>
              </w:rPr>
            </w:pPr>
            <w:r>
              <w:rPr>
                <w:rFonts w:hint="eastAsia" w:ascii="仿宋" w:hAnsi="仿宋" w:eastAsia="仿宋" w:cs="仿宋"/>
                <w:b w:val="0"/>
                <w:bCs w:val="0"/>
                <w:szCs w:val="21"/>
                <w:highlight w:val="none"/>
                <w:lang w:val="en-US" w:eastAsia="zh-CN"/>
              </w:rPr>
              <w:t xml:space="preserve">（1）磋商供应商须具备电力工程施工总承包三级及以上资质或输变电工程专业承包三级及以上资质，并具有有效的安全生产许可证。</w:t>
            </w:r>
            <w:r/>
          </w:p>
          <w:p>
            <w:pPr>
              <w:keepLines w:val="0"/>
              <w:keepNext w:val="0"/>
              <w:pageBreakBefore w:val="0"/>
              <w:spacing w:line="264" w:lineRule="auto"/>
              <w:widowControl w:val="off"/>
              <w:tabs>
                <w:tab w:val="left" w:pos="900" w:leader="none"/>
                <w:tab w:val="left" w:pos="1134" w:leader="none"/>
                <w:tab w:val="left" w:pos="1589" w:leader="none"/>
                <w:tab w:val="left" w:pos="5521" w:leader="none"/>
              </w:tabs>
              <w:rPr>
                <w:rFonts w:hint="eastAsia" w:ascii="仿宋" w:hAnsi="仿宋" w:eastAsia="仿宋" w:cs="仿宋"/>
                <w:b w:val="0"/>
                <w:bCs w:val="0"/>
                <w:szCs w:val="21"/>
                <w:highlight w:val="none"/>
                <w:lang w:val="en-US" w:eastAsia="zh-CN"/>
              </w:rPr>
            </w:pPr>
            <w:r>
              <w:rPr>
                <w:rFonts w:hint="eastAsia" w:ascii="仿宋" w:hAnsi="仿宋" w:eastAsia="仿宋" w:cs="仿宋"/>
                <w:b w:val="0"/>
                <w:bCs w:val="0"/>
                <w:szCs w:val="21"/>
                <w:highlight w:val="none"/>
                <w:lang w:val="en-US" w:eastAsia="zh-CN"/>
              </w:rPr>
              <w:t xml:space="preserve">（2）磋商供应商须同时具备国家能源主管部门核发的承装类、承修类、承试类三级及以上电力设施许可证。</w:t>
            </w:r>
            <w:r/>
          </w:p>
          <w:p>
            <w:pPr>
              <w:keepLines w:val="0"/>
              <w:keepNext w:val="0"/>
              <w:pageBreakBefore w:val="0"/>
              <w:spacing w:line="264" w:lineRule="auto"/>
              <w:widowControl w:val="off"/>
              <w:tabs>
                <w:tab w:val="left" w:pos="900" w:leader="none"/>
                <w:tab w:val="left" w:pos="1134" w:leader="none"/>
                <w:tab w:val="left" w:pos="1589" w:leader="none"/>
                <w:tab w:val="left" w:pos="5521" w:leader="none"/>
              </w:tabs>
              <w:rPr>
                <w:rFonts w:hint="eastAsia" w:ascii="仿宋" w:hAnsi="仿宋" w:eastAsia="仿宋" w:cs="仿宋"/>
                <w:b w:val="0"/>
                <w:bCs w:val="0"/>
                <w:szCs w:val="21"/>
                <w:highlight w:val="none"/>
                <w:lang w:val="en-US" w:eastAsia="zh-CN"/>
              </w:rPr>
            </w:pPr>
            <w:r>
              <w:rPr>
                <w:rFonts w:hint="eastAsia" w:ascii="仿宋" w:hAnsi="仿宋" w:eastAsia="仿宋" w:cs="仿宋"/>
                <w:b w:val="0"/>
                <w:bCs w:val="0"/>
                <w:szCs w:val="21"/>
                <w:highlight w:val="none"/>
                <w:lang w:val="en-US" w:eastAsia="zh-CN"/>
              </w:rPr>
              <w:t xml:space="preserve">注：电力设施许可证执行《承装（修、试）电力设施许可证管理办法》（国家发展改革委令 2025 年第 30 号）。</w:t>
            </w:r>
            <w:r/>
          </w:p>
          <w:p>
            <w:pPr>
              <w:keepLines w:val="0"/>
              <w:keepNext w:val="0"/>
              <w:pageBreakBefore w:val="0"/>
              <w:spacing w:line="264" w:lineRule="auto"/>
              <w:widowControl w:val="off"/>
              <w:tabs>
                <w:tab w:val="left" w:pos="900" w:leader="none"/>
                <w:tab w:val="left" w:pos="1134" w:leader="none"/>
                <w:tab w:val="left" w:pos="1589" w:leader="none"/>
                <w:tab w:val="left" w:pos="5521" w:leader="none"/>
              </w:tabs>
              <w:rPr>
                <w:rFonts w:ascii="仿宋" w:hAnsi="仿宋" w:eastAsia="仿宋"/>
                <w:color w:val="000000"/>
                <w:highlight w:val="none"/>
              </w:rPr>
            </w:pPr>
            <w:r>
              <w:rPr>
                <w:rFonts w:hint="eastAsia" w:ascii="仿宋" w:hAnsi="仿宋" w:eastAsia="仿宋" w:cs="仿宋"/>
                <w:b w:val="0"/>
                <w:bCs w:val="0"/>
                <w:szCs w:val="21"/>
                <w:highlight w:val="none"/>
                <w:lang w:val="en-US" w:eastAsia="zh-CN"/>
              </w:rPr>
              <w:t xml:space="preserve">（3）拟派项目负责人须具备机电工程专业二级及以上注册建造师，并持有有效的安全生产考核合格证书（B 类）。</w:t>
            </w:r>
            <w:r/>
          </w:p>
        </w:tc>
        <w:tc>
          <w:tcPr>
            <w:tcW w:w="1595" w:type="dxa"/>
            <w:vAlign w:val="center"/>
            <w:textDirection w:val="lrTb"/>
            <w:noWrap w:val="false"/>
          </w:tcPr>
          <w:p>
            <w:pPr>
              <w:rPr>
                <w:rFonts w:ascii="仿宋" w:hAnsi="仿宋" w:eastAsia="仿宋"/>
                <w:color w:val="000000"/>
                <w:highlight w:val="none"/>
                <w:lang w:val="en-US" w:eastAsia="zh-CN"/>
              </w:rPr>
            </w:pPr>
            <w:r>
              <w:rPr>
                <w:rFonts w:hint="eastAsia" w:ascii="仿宋" w:hAnsi="仿宋" w:eastAsia="仿宋"/>
                <w:color w:val="000000"/>
                <w:highlight w:val="none"/>
              </w:rPr>
              <w:t xml:space="preserve">提供证明文件的电子件或电子证照</w:t>
            </w:r>
            <w:r>
              <w:rPr>
                <w:rFonts w:hint="eastAsia" w:ascii="仿宋" w:hAnsi="仿宋" w:eastAsia="仿宋"/>
                <w:color w:val="000000"/>
                <w:highlight w:val="none"/>
                <w:lang w:val="en-US" w:eastAsia="zh-CN"/>
              </w:rPr>
              <w:t xml:space="preserve">加盖供应商公章</w:t>
            </w:r>
            <w:r/>
          </w:p>
        </w:tc>
      </w:tr>
    </w:tbl>
    <w:p>
      <w:pPr>
        <w:jc w:val="left"/>
        <w:widowControl/>
        <w:rPr>
          <w:rFonts w:ascii="仿宋" w:hAnsi="仿宋" w:eastAsia="仿宋"/>
          <w:color w:val="000000"/>
          <w:sz w:val="24"/>
          <w:highlight w:val="none"/>
        </w:rPr>
      </w:pPr>
      <w:r>
        <w:rPr>
          <w:rFonts w:ascii="仿宋" w:hAnsi="仿宋" w:eastAsia="仿宋"/>
          <w:color w:val="000000"/>
          <w:sz w:val="24"/>
          <w:highlight w:val="none"/>
        </w:rPr>
      </w:r>
      <w:bookmarkEnd w:id="662"/>
      <w:bookmarkEnd w:id="663"/>
      <w:r/>
    </w:p>
    <w:p>
      <w:pPr>
        <w:spacing w:line="360" w:lineRule="auto"/>
        <w:tabs>
          <w:tab w:val="left" w:pos="1080" w:leader="none"/>
          <w:tab w:val="left" w:pos="1589" w:leader="none"/>
        </w:tabs>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.4《符合性审查要求》见下表：</w:t>
      </w:r>
      <w:r/>
    </w:p>
    <w:p>
      <w:pPr>
        <w:jc w:val="center"/>
        <w:spacing w:line="360" w:lineRule="auto"/>
        <w:widowControl/>
        <w:rPr>
          <w:rFonts w:ascii="仿宋" w:hAnsi="仿宋" w:eastAsia="仿宋"/>
          <w:b/>
          <w:color w:val="000000"/>
          <w:sz w:val="24"/>
          <w:highlight w:val="none"/>
        </w:rPr>
      </w:pPr>
      <w:r>
        <w:rPr>
          <w:rFonts w:ascii="仿宋" w:hAnsi="仿宋" w:eastAsia="仿宋"/>
          <w:b/>
          <w:color w:val="000000"/>
          <w:sz w:val="24"/>
          <w:highlight w:val="none"/>
        </w:rPr>
        <w:t xml:space="preserve">符合性审查要求</w:t>
      </w:r>
      <w:r/>
    </w:p>
    <w:tbl>
      <w:tblPr>
        <w:tblStyle w:val="7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919"/>
        <w:gridCol w:w="7118"/>
      </w:tblGrid>
      <w:tr>
        <w:trPr>
          <w:jc w:val="center"/>
          <w:trHeight w:val="300"/>
        </w:trPr>
        <w:tc>
          <w:tcPr>
            <w:tcW w:w="404" w:type="dxa"/>
            <w:vAlign w:val="center"/>
            <w:textDirection w:val="lrTb"/>
            <w:noWrap w:val="false"/>
          </w:tcPr>
          <w:p>
            <w:pPr>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序号</w:t>
            </w:r>
            <w:r/>
          </w:p>
        </w:tc>
        <w:tc>
          <w:tcPr>
            <w:tcW w:w="976" w:type="dxa"/>
            <w:vAlign w:val="center"/>
            <w:textDirection w:val="lrTb"/>
            <w:noWrap w:val="false"/>
          </w:tcPr>
          <w:p>
            <w:pPr>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审查因素</w:t>
            </w:r>
            <w:r/>
          </w:p>
        </w:tc>
        <w:tc>
          <w:tcPr>
            <w:tcW w:w="3620" w:type="dxa"/>
            <w:vAlign w:val="center"/>
            <w:textDirection w:val="lrTb"/>
            <w:noWrap w:val="false"/>
          </w:tcPr>
          <w:p>
            <w:pPr>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审查内容</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响应函、法定代表人资格证明书和政府采购供应商信用承诺书</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按磋商文件要求提供</w:t>
            </w:r>
            <w:r>
              <w:rPr>
                <w:rFonts w:hint="eastAsia" w:ascii="仿宋" w:hAnsi="仿宋" w:eastAsia="仿宋"/>
                <w:color w:val="000000"/>
                <w:szCs w:val="21"/>
                <w:highlight w:val="none"/>
              </w:rPr>
              <w:t xml:space="preserve">响应函、法定代表人资格证明书和政府采购供应商信用承诺书</w:t>
            </w:r>
            <w:r>
              <w:rPr>
                <w:rFonts w:ascii="仿宋" w:hAnsi="仿宋" w:eastAsia="仿宋"/>
                <w:color w:val="000000"/>
                <w:szCs w:val="21"/>
                <w:highlight w:val="none"/>
              </w:rPr>
              <w:t xml:space="preserve">；</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2</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响应完整性</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将一个采购包中的内容拆开响应；</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3</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响应报价</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响应报价</w:t>
            </w: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超过磋商文件中规定的项目/采购包预算金额或者项目/采购包最高限价；</w:t>
            </w:r>
            <w:r>
              <w:rPr>
                <w:rFonts w:hint="eastAsia" w:ascii="仿宋" w:hAnsi="仿宋" w:eastAsia="仿宋" w:cs="仿宋"/>
                <w:b/>
                <w:bCs/>
                <w:color w:val="000000"/>
                <w:sz w:val="21"/>
                <w:szCs w:val="21"/>
                <w:highlight w:val="none"/>
                <w:lang w:val="en-US" w:eastAsia="zh-CN"/>
              </w:rPr>
              <w:t xml:space="preserve">已标价工程量清单中任一分部分项工程和单价措施项目响应单价不得超过最高投标限价相对应分部分项工程和单价措施项目单价；必须按照采购文件提供的工程量清单进行报价格。项目编码、项目名称、项目特征、计量单位、工程量必须与采购文件的工程量清单一致。</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4</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报价唯一性</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w:t>
            </w:r>
            <w:r>
              <w:rPr>
                <w:rFonts w:hint="eastAsia" w:ascii="仿宋" w:hAnsi="仿宋" w:eastAsia="仿宋"/>
                <w:color w:val="000000"/>
                <w:szCs w:val="21"/>
                <w:highlight w:val="none"/>
              </w:rPr>
              <w:t xml:space="preserve">未出现可选择性或可调整的报价（磋商文件另有规定的除外）</w:t>
            </w:r>
            <w:r>
              <w:rPr>
                <w:rFonts w:ascii="仿宋" w:hAnsi="仿宋" w:eastAsia="仿宋"/>
                <w:color w:val="000000"/>
                <w:szCs w:val="21"/>
                <w:highlight w:val="none"/>
              </w:rPr>
              <w:t xml:space="preserve">；</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5</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响应有效期</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响应文件中承诺的响应有效期</w:t>
            </w:r>
            <w:r>
              <w:rPr>
                <w:rFonts w:hint="eastAsia" w:ascii="仿宋" w:hAnsi="仿宋" w:eastAsia="仿宋"/>
                <w:color w:val="000000"/>
                <w:szCs w:val="21"/>
                <w:highlight w:val="none"/>
              </w:rPr>
              <w:t xml:space="preserve">满足</w:t>
            </w:r>
            <w:r>
              <w:rPr>
                <w:rFonts w:ascii="仿宋" w:hAnsi="仿宋" w:eastAsia="仿宋"/>
                <w:color w:val="000000"/>
                <w:szCs w:val="21"/>
                <w:highlight w:val="none"/>
              </w:rPr>
              <w:t xml:space="preserve">磋商文件中载明的响应有效期的；</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6</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签署、加盖公章</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按照磋商文件要求签署、加盖公章的；</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hint="eastAsia" w:ascii="仿宋" w:hAnsi="仿宋" w:eastAsia="仿宋"/>
                <w:color w:val="000000"/>
                <w:szCs w:val="21"/>
                <w:highlight w:val="none"/>
              </w:rPr>
              <w:t xml:space="preserve">7</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实质性格式</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标记为</w:t>
            </w:r>
            <w:r>
              <w:rPr>
                <w:rFonts w:ascii="仿宋" w:hAnsi="仿宋" w:eastAsia="仿宋"/>
                <w:color w:val="000000"/>
                <w:szCs w:val="21"/>
                <w:highlight w:val="none"/>
              </w:rPr>
              <w:t xml:space="preserve">“实质性格式”的</w:t>
            </w:r>
            <w:r>
              <w:rPr>
                <w:rFonts w:hint="eastAsia" w:ascii="仿宋" w:hAnsi="仿宋" w:eastAsia="仿宋"/>
                <w:color w:val="000000"/>
                <w:szCs w:val="21"/>
                <w:highlight w:val="none"/>
              </w:rPr>
              <w:t xml:space="preserve">文件均按</w:t>
            </w:r>
            <w:r>
              <w:rPr>
                <w:rFonts w:ascii="仿宋" w:hAnsi="仿宋" w:eastAsia="仿宋"/>
                <w:color w:val="000000"/>
                <w:szCs w:val="21"/>
                <w:highlight w:val="none"/>
              </w:rPr>
              <w:t xml:space="preserve">磋商文件</w:t>
            </w:r>
            <w:r>
              <w:rPr>
                <w:rFonts w:hint="eastAsia" w:ascii="仿宋" w:hAnsi="仿宋" w:eastAsia="仿宋"/>
                <w:color w:val="000000"/>
                <w:szCs w:val="21"/>
                <w:highlight w:val="none"/>
              </w:rPr>
              <w:t xml:space="preserve">要求提供；</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8</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s="Segoe UI Symbol"/>
                <w:color w:val="000000"/>
                <w:szCs w:val="21"/>
                <w:highlight w:val="none"/>
              </w:rPr>
              <w:t xml:space="preserve">★</w:t>
            </w:r>
            <w:r>
              <w:rPr>
                <w:rFonts w:ascii="仿宋" w:hAnsi="仿宋" w:eastAsia="仿宋"/>
                <w:color w:val="000000"/>
                <w:szCs w:val="21"/>
                <w:highlight w:val="none"/>
              </w:rPr>
              <w:t xml:space="preserve">号条款响应</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响应文件满足磋商文件第</w:t>
            </w:r>
            <w:r>
              <w:rPr>
                <w:rFonts w:hint="eastAsia" w:ascii="仿宋" w:hAnsi="仿宋" w:eastAsia="仿宋"/>
                <w:color w:val="000000"/>
                <w:szCs w:val="21"/>
                <w:highlight w:val="none"/>
              </w:rPr>
              <w:t xml:space="preserve">四</w:t>
            </w:r>
            <w:r>
              <w:rPr>
                <w:rFonts w:ascii="仿宋" w:hAnsi="仿宋" w:eastAsia="仿宋"/>
                <w:color w:val="000000"/>
                <w:szCs w:val="21"/>
                <w:highlight w:val="none"/>
              </w:rPr>
              <w:t xml:space="preserve">章《采购需求》中</w:t>
            </w:r>
            <w:r>
              <w:rPr>
                <w:rFonts w:ascii="仿宋" w:hAnsi="仿宋" w:eastAsia="仿宋" w:cs="Segoe UI Symbol"/>
                <w:color w:val="000000"/>
                <w:szCs w:val="21"/>
                <w:highlight w:val="none"/>
              </w:rPr>
              <w:t xml:space="preserve">★</w:t>
            </w:r>
            <w:r>
              <w:rPr>
                <w:rFonts w:ascii="仿宋" w:hAnsi="仿宋" w:eastAsia="仿宋"/>
                <w:color w:val="000000"/>
                <w:szCs w:val="21"/>
                <w:highlight w:val="none"/>
              </w:rPr>
              <w:t xml:space="preserve">号条款要求的；</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9</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报价的修正（如有）</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不涉及报价修正</w:t>
            </w:r>
            <w:r>
              <w:rPr>
                <w:rFonts w:ascii="仿宋" w:hAnsi="仿宋" w:eastAsia="仿宋"/>
                <w:color w:val="000000"/>
                <w:szCs w:val="21"/>
                <w:highlight w:val="none"/>
              </w:rPr>
              <w:t xml:space="preserve">，或响应文件报价出现前后不一致</w:t>
            </w:r>
            <w:r>
              <w:rPr>
                <w:rFonts w:hint="eastAsia" w:ascii="仿宋" w:hAnsi="仿宋" w:eastAsia="仿宋"/>
                <w:color w:val="000000"/>
                <w:szCs w:val="21"/>
                <w:highlight w:val="none"/>
              </w:rPr>
              <w:t xml:space="preserve">时</w:t>
            </w:r>
            <w:r>
              <w:rPr>
                <w:rFonts w:ascii="仿宋" w:hAnsi="仿宋" w:eastAsia="仿宋"/>
                <w:color w:val="000000"/>
                <w:szCs w:val="21"/>
                <w:highlight w:val="none"/>
              </w:rPr>
              <w:t xml:space="preserve">，供应商对修正后的报价予</w:t>
            </w:r>
            <w:r>
              <w:rPr>
                <w:rFonts w:hint="eastAsia" w:ascii="仿宋" w:hAnsi="仿宋" w:eastAsia="仿宋"/>
                <w:color w:val="000000"/>
                <w:szCs w:val="21"/>
                <w:highlight w:val="none"/>
              </w:rPr>
              <w:t xml:space="preserve">以</w:t>
            </w:r>
            <w:r>
              <w:rPr>
                <w:rFonts w:ascii="仿宋" w:hAnsi="仿宋" w:eastAsia="仿宋"/>
                <w:color w:val="000000"/>
                <w:szCs w:val="21"/>
                <w:highlight w:val="none"/>
              </w:rPr>
              <w:t xml:space="preserve">确认；（如有）</w:t>
            </w:r>
            <w:r/>
          </w:p>
        </w:tc>
      </w:tr>
      <w:tr>
        <w:trPr>
          <w:jc w:val="center"/>
          <w:trHeight w:val="685"/>
        </w:trPr>
        <w:tc>
          <w:tcPr>
            <w:tcW w:w="404"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0</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s="仿宋"/>
                <w:color w:val="000000"/>
                <w:szCs w:val="21"/>
              </w:rPr>
              <w:t xml:space="preserve">报价合理性</w:t>
            </w:r>
            <w:r/>
          </w:p>
        </w:tc>
        <w:tc>
          <w:tcPr>
            <w:tcW w:w="3620" w:type="dxa"/>
            <w:vAlign w:val="center"/>
            <w:textDirection w:val="lrTb"/>
            <w:noWrap w:val="false"/>
          </w:tcPr>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（由评委审查，报价合理的予以通过。）根据财政部《关于推动解决政府采购异常低价问题的通知》财库〔2026〕2号文件之规定：当评审过程中出现下列情形之一的，评审委员会应当启 动异常低价投标（响应）审查程序： </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3.投标（响应）报价低于采购项目最高限价45%的，即投标（响应）报价&lt;采购项目最高限价×45%；</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4.评审委员会基于专业判断，认为供应商报价过低，有可能影响产品质量或者不能诚信履约的其他情形。</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仿宋" w:hAnsi="仿宋" w:eastAsia="仿宋"/>
                <w:color w:val="000000"/>
                <w:szCs w:val="21"/>
                <w:highlight w:val="none"/>
              </w:rPr>
            </w:pPr>
            <w:r>
              <w:rPr>
                <w:rFonts w:hint="eastAsia" w:ascii="仿宋" w:hAnsi="仿宋" w:eastAsia="仿宋" w:cs="仿宋"/>
                <w:color w:val="000000"/>
                <w:szCs w:val="21"/>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1</w:t>
            </w:r>
            <w:r>
              <w:rPr>
                <w:rFonts w:hint="eastAsia" w:ascii="仿宋" w:hAnsi="仿宋" w:eastAsia="仿宋"/>
                <w:color w:val="000000"/>
                <w:szCs w:val="21"/>
                <w:highlight w:val="none"/>
                <w:lang w:val="en-US" w:eastAsia="zh-CN"/>
              </w:rPr>
              <w:t xml:space="preserve">1</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进口产品</w:t>
            </w:r>
            <w:r/>
          </w:p>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（如有）</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磋商文件</w:t>
            </w:r>
            <w:r>
              <w:rPr>
                <w:rFonts w:ascii="仿宋" w:hAnsi="仿宋" w:eastAsia="仿宋"/>
                <w:color w:val="000000"/>
                <w:szCs w:val="21"/>
                <w:highlight w:val="none"/>
              </w:rPr>
              <w:t xml:space="preserve">不接受进口产品响应</w:t>
            </w:r>
            <w:r>
              <w:rPr>
                <w:rFonts w:hint="eastAsia" w:ascii="仿宋" w:hAnsi="仿宋" w:eastAsia="仿宋"/>
                <w:color w:val="000000"/>
                <w:szCs w:val="21"/>
                <w:highlight w:val="none"/>
              </w:rPr>
              <w:t xml:space="preserve">的内容时</w:t>
            </w:r>
            <w:r>
              <w:rPr>
                <w:rFonts w:ascii="仿宋" w:hAnsi="仿宋" w:eastAsia="仿宋"/>
                <w:color w:val="000000"/>
                <w:szCs w:val="21"/>
                <w:highlight w:val="none"/>
              </w:rPr>
              <w:t xml:space="preserve">，</w:t>
            </w:r>
            <w:r>
              <w:rPr>
                <w:rFonts w:hint="eastAsia" w:ascii="仿宋" w:hAnsi="仿宋" w:eastAsia="仿宋"/>
                <w:color w:val="000000"/>
                <w:szCs w:val="21"/>
                <w:highlight w:val="none"/>
              </w:rPr>
              <w:t xml:space="preserve">供应商所投产品非进口产品的；</w:t>
            </w:r>
            <w:r/>
          </w:p>
        </w:tc>
      </w:tr>
      <w:tr>
        <w:trPr>
          <w:jc w:val="center"/>
          <w:trHeight w:val="256"/>
        </w:trPr>
        <w:tc>
          <w:tcPr>
            <w:tcW w:w="404"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1</w:t>
            </w:r>
            <w:r>
              <w:rPr>
                <w:rFonts w:hint="eastAsia" w:ascii="仿宋" w:hAnsi="仿宋" w:eastAsia="仿宋"/>
                <w:color w:val="000000"/>
                <w:szCs w:val="21"/>
                <w:highlight w:val="none"/>
                <w:lang w:val="en-US" w:eastAsia="zh-CN"/>
              </w:rPr>
              <w:t xml:space="preserve">2</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国家有关部门对供应商的响应产品有强制性规定或要求的</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国家有关部门对供应商的响应产品有强制性规定或要求的（如相应技术、安全、节能和环保等），供应商的响应产品</w:t>
            </w:r>
            <w:r>
              <w:rPr>
                <w:rFonts w:hint="eastAsia" w:ascii="仿宋" w:hAnsi="仿宋" w:eastAsia="仿宋"/>
                <w:color w:val="000000"/>
                <w:szCs w:val="21"/>
                <w:highlight w:val="none"/>
              </w:rPr>
              <w:t xml:space="preserve">应</w:t>
            </w:r>
            <w:r>
              <w:rPr>
                <w:rFonts w:ascii="仿宋" w:hAnsi="仿宋" w:eastAsia="仿宋"/>
                <w:color w:val="000000"/>
                <w:szCs w:val="21"/>
                <w:highlight w:val="none"/>
              </w:rPr>
              <w:t xml:space="preserve">符合相应规定或要求</w:t>
            </w:r>
            <w:r>
              <w:rPr>
                <w:rFonts w:hint="eastAsia" w:ascii="仿宋" w:hAnsi="仿宋" w:eastAsia="仿宋"/>
                <w:color w:val="000000"/>
                <w:szCs w:val="21"/>
                <w:highlight w:val="none"/>
              </w:rPr>
              <w:t xml:space="preserve">，并提供证明文件电子件：</w:t>
            </w:r>
            <w:r/>
          </w:p>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1）</w:t>
            </w:r>
            <w:r>
              <w:rPr>
                <w:rFonts w:ascii="仿宋" w:hAnsi="仿宋" w:eastAsia="仿宋"/>
                <w:color w:val="000000"/>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2）</w:t>
            </w:r>
            <w:r>
              <w:rPr>
                <w:rFonts w:ascii="仿宋" w:hAnsi="仿宋" w:eastAsia="仿宋"/>
                <w:color w:val="000000"/>
                <w:szCs w:val="21"/>
                <w:highlight w:val="none"/>
              </w:rPr>
              <w:t xml:space="preserve">响应产品如涉及计算机信息系统安全专用产品的，须</w:t>
            </w:r>
            <w:r>
              <w:rPr>
                <w:rFonts w:hint="eastAsia" w:ascii="仿宋" w:hAnsi="仿宋" w:eastAsia="仿宋"/>
                <w:color w:val="000000"/>
                <w:szCs w:val="21"/>
                <w:highlight w:val="none"/>
              </w:rPr>
              <w:t xml:space="preserve">提供</w:t>
            </w:r>
            <w:r>
              <w:rPr>
                <w:rFonts w:ascii="仿宋" w:hAnsi="仿宋" w:eastAsia="仿宋"/>
                <w:color w:val="000000"/>
                <w:szCs w:val="21"/>
                <w:highlight w:val="none"/>
              </w:rPr>
              <w:t xml:space="preserve">公安部颁发的计算机信息系统安全专用产品销售许可证；</w:t>
            </w:r>
            <w:r/>
          </w:p>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3</w:t>
            </w:r>
            <w:r>
              <w:rPr>
                <w:rFonts w:hint="eastAsia" w:ascii="仿宋" w:hAnsi="仿宋" w:eastAsia="仿宋"/>
                <w:color w:val="000000"/>
                <w:szCs w:val="21"/>
                <w:highlight w:val="none"/>
              </w:rPr>
              <w:t xml:space="preserve">）</w:t>
            </w:r>
            <w:r>
              <w:rPr>
                <w:rFonts w:ascii="仿宋" w:hAnsi="仿宋" w:eastAsia="仿宋"/>
                <w:color w:val="000000"/>
                <w:szCs w:val="21"/>
                <w:highlight w:val="none"/>
              </w:rPr>
              <w:t xml:space="preserve">响应产品如有属于开展国家信息安全产品认证产品范围的，须</w:t>
            </w:r>
            <w:r>
              <w:rPr>
                <w:rFonts w:hint="eastAsia" w:ascii="仿宋" w:hAnsi="仿宋" w:eastAsia="仿宋"/>
                <w:color w:val="000000"/>
                <w:szCs w:val="21"/>
                <w:highlight w:val="none"/>
              </w:rPr>
              <w:t xml:space="preserve">提供</w:t>
            </w:r>
            <w:r>
              <w:rPr>
                <w:rFonts w:ascii="仿宋" w:hAnsi="仿宋" w:eastAsia="仿宋"/>
                <w:color w:val="000000"/>
                <w:szCs w:val="21"/>
                <w:highlight w:val="none"/>
              </w:rPr>
              <w:t xml:space="preserve">由中国网络安全审查技术与认证中心（原中国信息安全认证中心）按国家标准认证颁发的有效认证证书等）；</w:t>
            </w:r>
            <w:r/>
          </w:p>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4）</w:t>
            </w:r>
            <w:r>
              <w:rPr>
                <w:rFonts w:ascii="仿宋" w:hAnsi="仿宋" w:eastAsia="仿宋"/>
                <w:color w:val="000000"/>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1</w:t>
            </w:r>
            <w:r>
              <w:rPr>
                <w:rFonts w:hint="eastAsia" w:ascii="仿宋" w:hAnsi="仿宋" w:eastAsia="仿宋"/>
                <w:color w:val="000000"/>
                <w:szCs w:val="21"/>
                <w:highlight w:val="none"/>
                <w:lang w:val="en-US" w:eastAsia="zh-CN"/>
              </w:rPr>
              <w:t xml:space="preserve">3</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公平竞争</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1</w:t>
            </w:r>
            <w:r>
              <w:rPr>
                <w:rFonts w:hint="eastAsia" w:ascii="仿宋" w:hAnsi="仿宋" w:eastAsia="仿宋"/>
                <w:color w:val="000000"/>
                <w:szCs w:val="21"/>
                <w:highlight w:val="none"/>
                <w:lang w:val="en-US" w:eastAsia="zh-CN"/>
              </w:rPr>
              <w:t xml:space="preserve">4</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串通响应</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不存在《政府采购货物和服务招标响应管理办法》视为供应商串通响应的情形：（一）不同供应商的响应文件由同一单位或者个人编制（包含使用同一MAC地址的计算机制作文件的情形）；（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仿宋" w:hAnsi="仿宋" w:eastAsia="仿宋"/>
                <w:color w:val="000000"/>
                <w:szCs w:val="21"/>
                <w:highlight w:val="none"/>
              </w:rPr>
              <w:t xml:space="preserve">；</w:t>
            </w:r>
            <w:r/>
          </w:p>
        </w:tc>
      </w:tr>
      <w:tr>
        <w:trPr>
          <w:jc w:val="center"/>
          <w:trHeight w:val="46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15</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附加条件</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w:t>
            </w: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含有采购人不能接受的附加条件的；</w:t>
            </w:r>
            <w:r/>
          </w:p>
        </w:tc>
      </w:tr>
      <w:tr>
        <w:trPr>
          <w:jc w:val="center"/>
          <w:trHeight w:val="685"/>
        </w:trPr>
        <w:tc>
          <w:tcPr>
            <w:tcW w:w="404"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16</w:t>
            </w:r>
            <w:r/>
          </w:p>
        </w:tc>
        <w:tc>
          <w:tcPr>
            <w:tcW w:w="97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其他无效情形</w:t>
            </w:r>
            <w:r/>
          </w:p>
        </w:tc>
        <w:tc>
          <w:tcPr>
            <w:tcW w:w="3620"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供应商、响应文件</w:t>
            </w:r>
            <w:r>
              <w:rPr>
                <w:rFonts w:hint="eastAsia" w:ascii="仿宋" w:hAnsi="仿宋" w:eastAsia="仿宋"/>
                <w:color w:val="000000"/>
                <w:szCs w:val="21"/>
                <w:highlight w:val="none"/>
              </w:rPr>
              <w:t xml:space="preserve">不存在</w:t>
            </w:r>
            <w:r>
              <w:rPr>
                <w:rFonts w:ascii="仿宋" w:hAnsi="仿宋" w:eastAsia="仿宋"/>
                <w:color w:val="000000"/>
                <w:szCs w:val="21"/>
                <w:highlight w:val="none"/>
              </w:rPr>
              <w:t xml:space="preserve">不符合法律、法规和磋商文件规定的其他无效情形。</w:t>
            </w:r>
            <w:r/>
          </w:p>
        </w:tc>
      </w:tr>
    </w:tbl>
    <w:p>
      <w:pPr>
        <w:contextualSpacing/>
        <w:ind w:firstLine="422"/>
        <w:spacing w:line="360" w:lineRule="auto"/>
        <w:rPr>
          <w:rStyle w:val="1151"/>
          <w:rFonts w:ascii="仿宋" w:hAnsi="仿宋" w:eastAsia="仿宋"/>
          <w:b/>
          <w:bCs/>
          <w:color w:val="000000"/>
          <w:sz w:val="21"/>
          <w:szCs w:val="21"/>
          <w:highlight w:val="none"/>
        </w:rPr>
      </w:pPr>
      <w:r/>
      <w:bookmarkStart w:id="717" w:name="_Toc107952842"/>
      <w:r/>
      <w:bookmarkStart w:id="718" w:name="_Toc128435129"/>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.磋商、响应文件有关事项的澄清、说明或者更正和最终报价</w:t>
      </w:r>
      <w:bookmarkEnd w:id="717"/>
      <w:r/>
      <w:bookmarkEnd w:id="718"/>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.1磋商小组所有成员应当集中与单一供应商分别进行磋商，并给予所有参加磋商的供应商平等的磋商机会。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.3对磋商文件作出的实质性变动是磋商文件的有效组成部分，磋商小组应当及时</w:t>
      </w:r>
      <w:r>
        <w:rPr>
          <w:rStyle w:val="1151"/>
          <w:rFonts w:hint="eastAsia" w:ascii="仿宋" w:hAnsi="仿宋" w:eastAsia="仿宋"/>
          <w:color w:val="000000"/>
          <w:sz w:val="21"/>
          <w:szCs w:val="21"/>
          <w:highlight w:val="none"/>
        </w:rPr>
        <w:t xml:space="preserve">通过</w:t>
      </w:r>
      <w:r>
        <w:rPr>
          <w:rStyle w:val="1151"/>
          <w:rFonts w:ascii="仿宋" w:hAnsi="仿宋" w:eastAsia="仿宋"/>
          <w:color w:val="000000"/>
          <w:sz w:val="21"/>
          <w:szCs w:val="21"/>
          <w:highlight w:val="none"/>
        </w:rPr>
        <w:t xml:space="preserve">“苏采云”系统以书面形式同时通知所有参加磋商的供应商。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.5响应文件的澄清、说明或者更正</w:t>
      </w:r>
      <w:r>
        <w:rPr>
          <w:rStyle w:val="1151"/>
          <w:rFonts w:hint="eastAsia" w:ascii="仿宋" w:hAnsi="仿宋" w:eastAsia="仿宋"/>
          <w:color w:val="000000"/>
          <w:sz w:val="21"/>
          <w:szCs w:val="21"/>
          <w:highlight w:val="none"/>
        </w:rPr>
        <w:t xml:space="preserve">：</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评审</w:t>
      </w:r>
      <w:r>
        <w:rPr>
          <w:rStyle w:val="1151"/>
          <w:rFonts w:ascii="仿宋" w:hAnsi="仿宋" w:eastAsia="仿宋"/>
          <w:color w:val="000000"/>
          <w:sz w:val="21"/>
          <w:szCs w:val="21"/>
          <w:highlight w:val="none"/>
        </w:rPr>
        <w:t xml:space="preserve">过程中，</w:t>
      </w:r>
      <w:r>
        <w:rPr>
          <w:rStyle w:val="1151"/>
          <w:rFonts w:hint="eastAsia" w:ascii="仿宋" w:hAnsi="仿宋" w:eastAsia="仿宋"/>
          <w:color w:val="000000"/>
          <w:sz w:val="21"/>
          <w:szCs w:val="21"/>
          <w:highlight w:val="none"/>
        </w:rPr>
        <w:t xml:space="preserve">磋商小组</w:t>
      </w:r>
      <w:r>
        <w:rPr>
          <w:rStyle w:val="1151"/>
          <w:rFonts w:ascii="仿宋" w:hAnsi="仿宋" w:eastAsia="仿宋"/>
          <w:color w:val="000000"/>
          <w:sz w:val="21"/>
          <w:szCs w:val="21"/>
          <w:highlight w:val="none"/>
        </w:rPr>
        <w:t xml:space="preserve">会将</w:t>
      </w:r>
      <w:r>
        <w:rPr>
          <w:rStyle w:val="1151"/>
          <w:rFonts w:hint="eastAsia" w:ascii="仿宋" w:hAnsi="仿宋" w:eastAsia="仿宋"/>
          <w:color w:val="000000"/>
          <w:sz w:val="21"/>
          <w:szCs w:val="21"/>
          <w:highlight w:val="none"/>
        </w:rPr>
        <w:t xml:space="preserve">通过</w:t>
      </w:r>
      <w:r>
        <w:rPr>
          <w:rStyle w:val="1151"/>
          <w:rFonts w:ascii="仿宋" w:hAnsi="仿宋" w:eastAsia="仿宋"/>
          <w:color w:val="000000"/>
          <w:sz w:val="21"/>
          <w:szCs w:val="21"/>
          <w:highlight w:val="none"/>
        </w:rPr>
        <w:t xml:space="preserve">“苏采云”系统以书面形式要求</w:t>
      </w:r>
      <w:r>
        <w:rPr>
          <w:rStyle w:val="1151"/>
          <w:rFonts w:hint="eastAsia" w:ascii="仿宋" w:hAnsi="仿宋" w:eastAsia="仿宋"/>
          <w:color w:val="000000"/>
          <w:sz w:val="21"/>
          <w:szCs w:val="21"/>
          <w:highlight w:val="none"/>
        </w:rPr>
        <w:t xml:space="preserve">供应商</w:t>
      </w:r>
      <w:r>
        <w:rPr>
          <w:rStyle w:val="1151"/>
          <w:rFonts w:ascii="仿宋" w:hAnsi="仿宋" w:eastAsia="仿宋"/>
          <w:color w:val="000000"/>
          <w:sz w:val="21"/>
          <w:szCs w:val="21"/>
          <w:highlight w:val="none"/>
        </w:rPr>
        <w:t xml:space="preserve">对其</w:t>
      </w:r>
      <w:r>
        <w:rPr>
          <w:rStyle w:val="1151"/>
          <w:rFonts w:hint="eastAsia" w:ascii="仿宋" w:hAnsi="仿宋" w:eastAsia="仿宋"/>
          <w:color w:val="000000"/>
          <w:sz w:val="21"/>
          <w:szCs w:val="21"/>
          <w:highlight w:val="none"/>
        </w:rPr>
        <w:t xml:space="preserve">响应</w:t>
      </w:r>
      <w:r>
        <w:rPr>
          <w:rStyle w:val="1151"/>
          <w:rFonts w:ascii="仿宋" w:hAnsi="仿宋" w:eastAsia="仿宋"/>
          <w:color w:val="000000"/>
          <w:sz w:val="21"/>
          <w:szCs w:val="21"/>
          <w:highlight w:val="none"/>
        </w:rPr>
        <w:t xml:space="preserve">文件中含义不明确、同类问题表述不一致或者有明显文字和计算错误的内容，作出必要的澄清、说明或者补正。</w:t>
      </w:r>
      <w:r>
        <w:rPr>
          <w:rStyle w:val="1151"/>
          <w:rFonts w:hint="eastAsia" w:ascii="仿宋" w:hAnsi="仿宋" w:eastAsia="仿宋"/>
          <w:color w:val="000000"/>
          <w:sz w:val="21"/>
          <w:szCs w:val="21"/>
          <w:highlight w:val="none"/>
        </w:rPr>
        <w:t xml:space="preserve">供应商</w:t>
      </w:r>
      <w:r>
        <w:rPr>
          <w:rStyle w:val="1151"/>
          <w:rFonts w:ascii="仿宋" w:hAnsi="仿宋" w:eastAsia="仿宋"/>
          <w:color w:val="000000"/>
          <w:sz w:val="21"/>
          <w:szCs w:val="21"/>
          <w:highlight w:val="none"/>
        </w:rPr>
        <w:t xml:space="preserve">的澄清、说明或者补正应当采用书面形式，并加盖</w:t>
      </w:r>
      <w:r>
        <w:rPr>
          <w:rStyle w:val="1151"/>
          <w:rFonts w:hint="eastAsia" w:ascii="仿宋" w:hAnsi="仿宋" w:eastAsia="仿宋"/>
          <w:color w:val="000000"/>
          <w:sz w:val="21"/>
          <w:szCs w:val="21"/>
          <w:highlight w:val="none"/>
        </w:rPr>
        <w:t xml:space="preserve">电子</w:t>
      </w:r>
      <w:r>
        <w:rPr>
          <w:rStyle w:val="1151"/>
          <w:rFonts w:ascii="仿宋" w:hAnsi="仿宋" w:eastAsia="仿宋"/>
          <w:color w:val="000000"/>
          <w:sz w:val="21"/>
          <w:szCs w:val="21"/>
          <w:highlight w:val="none"/>
        </w:rPr>
        <w:t xml:space="preserve">公章。</w:t>
      </w:r>
      <w:r>
        <w:rPr>
          <w:rStyle w:val="1151"/>
          <w:rFonts w:hint="eastAsia" w:ascii="仿宋" w:hAnsi="仿宋" w:eastAsia="仿宋"/>
          <w:color w:val="000000"/>
          <w:sz w:val="21"/>
          <w:szCs w:val="21"/>
          <w:highlight w:val="none"/>
        </w:rPr>
        <w:t xml:space="preserve">供应商</w:t>
      </w:r>
      <w:r>
        <w:rPr>
          <w:rStyle w:val="1151"/>
          <w:rFonts w:ascii="仿宋" w:hAnsi="仿宋" w:eastAsia="仿宋"/>
          <w:color w:val="000000"/>
          <w:sz w:val="21"/>
          <w:szCs w:val="21"/>
          <w:highlight w:val="none"/>
        </w:rPr>
        <w:t xml:space="preserve">的澄清、说明或者补正不得超出</w:t>
      </w:r>
      <w:r>
        <w:rPr>
          <w:rStyle w:val="1151"/>
          <w:rFonts w:hint="eastAsia" w:ascii="仿宋" w:hAnsi="仿宋" w:eastAsia="仿宋"/>
          <w:color w:val="000000"/>
          <w:sz w:val="21"/>
          <w:szCs w:val="21"/>
          <w:highlight w:val="none"/>
        </w:rPr>
        <w:t xml:space="preserve">响应</w:t>
      </w:r>
      <w:r>
        <w:rPr>
          <w:rStyle w:val="1151"/>
          <w:rFonts w:ascii="仿宋" w:hAnsi="仿宋" w:eastAsia="仿宋"/>
          <w:color w:val="000000"/>
          <w:sz w:val="21"/>
          <w:szCs w:val="21"/>
          <w:highlight w:val="none"/>
        </w:rPr>
        <w:t xml:space="preserve">文件的范围或者改变</w:t>
      </w:r>
      <w:r>
        <w:rPr>
          <w:rStyle w:val="1151"/>
          <w:rFonts w:hint="eastAsia" w:ascii="仿宋" w:hAnsi="仿宋" w:eastAsia="仿宋"/>
          <w:color w:val="000000"/>
          <w:sz w:val="21"/>
          <w:szCs w:val="21"/>
          <w:highlight w:val="none"/>
        </w:rPr>
        <w:t xml:space="preserve">响应</w:t>
      </w:r>
      <w:r>
        <w:rPr>
          <w:rStyle w:val="1151"/>
          <w:rFonts w:ascii="仿宋" w:hAnsi="仿宋" w:eastAsia="仿宋"/>
          <w:color w:val="000000"/>
          <w:sz w:val="21"/>
          <w:szCs w:val="21"/>
          <w:highlight w:val="none"/>
        </w:rPr>
        <w:t xml:space="preserve">文件的实质性内容。澄清文件将作为</w:t>
      </w:r>
      <w:r>
        <w:rPr>
          <w:rStyle w:val="1151"/>
          <w:rFonts w:hint="eastAsia" w:ascii="仿宋" w:hAnsi="仿宋" w:eastAsia="仿宋"/>
          <w:color w:val="000000"/>
          <w:sz w:val="21"/>
          <w:szCs w:val="21"/>
          <w:highlight w:val="none"/>
        </w:rPr>
        <w:t xml:space="preserve">响应</w:t>
      </w:r>
      <w:r>
        <w:rPr>
          <w:rStyle w:val="1151"/>
          <w:rFonts w:ascii="仿宋" w:hAnsi="仿宋" w:eastAsia="仿宋"/>
          <w:color w:val="000000"/>
          <w:sz w:val="21"/>
          <w:szCs w:val="21"/>
          <w:highlight w:val="none"/>
        </w:rPr>
        <w:t xml:space="preserve">文件内容的一部分。</w:t>
      </w:r>
      <w:r/>
    </w:p>
    <w:p>
      <w:pPr>
        <w:contextualSpacing/>
        <w:ind w:firstLine="422"/>
        <w:spacing w:line="360" w:lineRule="auto"/>
        <w:rPr>
          <w:rStyle w:val="1151"/>
          <w:rFonts w:ascii="仿宋" w:hAnsi="仿宋" w:eastAsia="仿宋"/>
          <w:b/>
          <w:bCs/>
          <w:color w:val="000000"/>
          <w:sz w:val="21"/>
          <w:szCs w:val="21"/>
          <w:highlight w:val="none"/>
          <w:lang w:val="en-US"/>
        </w:rPr>
      </w:pPr>
      <w:r>
        <w:rPr>
          <w:rStyle w:val="1151"/>
          <w:rFonts w:hint="eastAsia" w:ascii="仿宋" w:hAnsi="仿宋" w:eastAsia="仿宋"/>
          <w:b/>
          <w:bCs/>
          <w:color w:val="000000"/>
          <w:sz w:val="21"/>
          <w:szCs w:val="21"/>
          <w:highlight w:val="none"/>
        </w:rPr>
        <w:t xml:space="preserve">2</w:t>
      </w:r>
      <w:r>
        <w:rPr>
          <w:rStyle w:val="1151"/>
          <w:rFonts w:ascii="仿宋" w:hAnsi="仿宋" w:eastAsia="仿宋"/>
          <w:b/>
          <w:bCs/>
          <w:color w:val="000000"/>
          <w:sz w:val="21"/>
          <w:szCs w:val="21"/>
          <w:highlight w:val="none"/>
        </w:rPr>
        <w:t xml:space="preserve">.6磋商结束后，磋商小组将要求所有实质性响应的供应商在规定时间内</w:t>
      </w:r>
      <w:r>
        <w:rPr>
          <w:rStyle w:val="1151"/>
          <w:rFonts w:hint="eastAsia" w:ascii="仿宋" w:hAnsi="仿宋" w:eastAsia="仿宋"/>
          <w:b/>
          <w:bCs/>
          <w:color w:val="000000"/>
          <w:sz w:val="21"/>
          <w:szCs w:val="21"/>
          <w:highlight w:val="none"/>
        </w:rPr>
        <w:t xml:space="preserve">通过</w:t>
      </w:r>
      <w:r>
        <w:rPr>
          <w:rStyle w:val="1151"/>
          <w:rFonts w:ascii="仿宋" w:hAnsi="仿宋" w:eastAsia="仿宋"/>
          <w:b/>
          <w:bCs/>
          <w:color w:val="000000"/>
          <w:sz w:val="21"/>
          <w:szCs w:val="21"/>
          <w:highlight w:val="none"/>
        </w:rPr>
        <w:t xml:space="preserve">“苏采云”系统提交最</w:t>
      </w:r>
      <w:r>
        <w:rPr>
          <w:rStyle w:val="1151"/>
          <w:rFonts w:hint="eastAsia" w:ascii="仿宋" w:hAnsi="仿宋" w:eastAsia="仿宋"/>
          <w:b/>
          <w:bCs/>
          <w:color w:val="000000"/>
          <w:sz w:val="21"/>
          <w:szCs w:val="21"/>
          <w:highlight w:val="none"/>
        </w:rPr>
        <w:t xml:space="preserve">终</w:t>
      </w:r>
      <w:r>
        <w:rPr>
          <w:rStyle w:val="1151"/>
          <w:rFonts w:ascii="仿宋" w:hAnsi="仿宋" w:eastAsia="仿宋"/>
          <w:b/>
          <w:bCs/>
          <w:color w:val="000000"/>
          <w:sz w:val="21"/>
          <w:szCs w:val="21"/>
          <w:highlight w:val="none"/>
        </w:rPr>
        <w:t xml:space="preserve">报价</w:t>
      </w:r>
      <w:r>
        <w:rPr>
          <w:rStyle w:val="1151"/>
          <w:rFonts w:hint="eastAsia" w:ascii="仿宋" w:hAnsi="仿宋" w:eastAsia="仿宋"/>
          <w:b/>
          <w:bCs/>
          <w:color w:val="000000"/>
          <w:sz w:val="21"/>
          <w:szCs w:val="21"/>
          <w:highlight w:val="none"/>
        </w:rPr>
        <w:t xml:space="preserve">。</w:t>
      </w:r>
      <w:r>
        <w:rPr>
          <w:rStyle w:val="1151"/>
          <w:rFonts w:hint="eastAsia" w:ascii="仿宋" w:hAnsi="仿宋" w:eastAsia="仿宋"/>
          <w:b/>
          <w:bCs/>
          <w:color w:val="000000"/>
          <w:sz w:val="21"/>
          <w:szCs w:val="21"/>
          <w:highlight w:val="none"/>
          <w:lang w:val="en-US"/>
        </w:rPr>
        <w:t xml:space="preserve">最终报价为总价，投标清单中除规费税金、不可竞争费等规定不可调整的费用外，其他价格根据最终报价与响应文件中报价的浮动比例同比例调整。</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.7磋商文件能够详细列明采购标的技术、服务要求的，磋商结束后，磋商小组应当要求所有实</w:t>
      </w:r>
      <w:r>
        <w:rPr>
          <w:rStyle w:val="1151"/>
          <w:rFonts w:ascii="仿宋" w:hAnsi="仿宋" w:eastAsia="仿宋"/>
          <w:color w:val="000000"/>
          <w:sz w:val="21"/>
          <w:szCs w:val="21"/>
          <w:highlight w:val="none"/>
        </w:rPr>
        <w:t xml:space="preserve">质性响应的供应商在规定时间内提交最终报价，提交最终报价的供应商不得少于3家。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2</w:t>
      </w:r>
      <w:r>
        <w:rPr>
          <w:rStyle w:val="1151"/>
          <w:rFonts w:ascii="仿宋" w:hAnsi="仿宋" w:eastAsia="仿宋"/>
          <w:color w:val="000000"/>
          <w:sz w:val="21"/>
          <w:szCs w:val="21"/>
          <w:highlight w:val="none"/>
        </w:rPr>
        <w:t xml:space="preserve">.8最终报价是供应商响应文件的有效组成部分。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2.9已提交响应文件的供应商，在提交最终报价之前，可以根据磋商情况退出磋商。</w:t>
      </w:r>
      <w:r/>
    </w:p>
    <w:p>
      <w:pPr>
        <w:contextualSpacing/>
        <w:ind w:firstLine="422"/>
        <w:spacing w:line="360" w:lineRule="auto"/>
        <w:rPr>
          <w:rStyle w:val="1151"/>
          <w:rFonts w:ascii="仿宋" w:hAnsi="仿宋" w:eastAsia="仿宋"/>
          <w:b/>
          <w:bCs/>
          <w:color w:val="000000"/>
          <w:sz w:val="21"/>
          <w:szCs w:val="21"/>
          <w:highlight w:val="none"/>
        </w:rPr>
      </w:pPr>
      <w:r/>
      <w:bookmarkStart w:id="719" w:name="_Toc128435130"/>
      <w:r/>
      <w:bookmarkStart w:id="720" w:name="_Toc107952843"/>
      <w:r>
        <w:rPr>
          <w:rStyle w:val="1151"/>
          <w:rFonts w:ascii="仿宋" w:hAnsi="仿宋" w:eastAsia="仿宋"/>
          <w:b/>
          <w:bCs/>
          <w:color w:val="000000"/>
          <w:sz w:val="21"/>
          <w:szCs w:val="21"/>
          <w:highlight w:val="none"/>
        </w:rPr>
        <w:t xml:space="preserve">3.最终报价的算术修正及政策调整</w:t>
      </w:r>
      <w:bookmarkEnd w:id="719"/>
      <w:r/>
      <w:bookmarkEnd w:id="720"/>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.1最终报价须包含竞争性磋商文件全部内容，如</w:t>
      </w:r>
      <w:r>
        <w:rPr>
          <w:rStyle w:val="1151"/>
          <w:rFonts w:hint="eastAsia" w:ascii="仿宋" w:hAnsi="仿宋" w:eastAsia="仿宋"/>
          <w:color w:val="000000"/>
          <w:sz w:val="21"/>
          <w:szCs w:val="21"/>
          <w:highlight w:val="none"/>
        </w:rPr>
        <w:t xml:space="preserve">最后</w:t>
      </w:r>
      <w:r>
        <w:rPr>
          <w:rStyle w:val="1151"/>
          <w:rFonts w:ascii="仿宋" w:hAnsi="仿宋" w:eastAsia="仿宋"/>
          <w:color w:val="000000"/>
          <w:sz w:val="21"/>
          <w:szCs w:val="21"/>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.2最终报价出现前后不一致的，按照下列规定修正：</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3.2.1竞争性磋商文件对于报价修正是否另有规定：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□有，具体规定为：___________</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■无，按下述3.2.2-3.2.5项规定修正。</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.2.2大写金额和小写金额不一致的，以大写金额为准；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3.2.3单价金额小数点或者百分比有明显错位的，以最终报价一览表的总价为准，并修改单价；</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3.2.4总价金额与按单价汇总金额不一致的，以单价金额计算结果为准。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3.2.5同时出现两种以上不一致的，按照前款规定的顺序修正。修正后的报价经供应商书面确认后产生约束力，供应商不确认的，其响应无效。</w:t>
      </w:r>
      <w:r/>
    </w:p>
    <w:p>
      <w:pPr>
        <w:contextualSpacing/>
        <w:ind w:firstLine="420"/>
        <w:spacing w:line="360" w:lineRule="auto"/>
        <w:rPr>
          <w:rStyle w:val="1151"/>
          <w:rFonts w:ascii="仿宋" w:hAnsi="仿宋" w:eastAsia="仿宋"/>
          <w:b/>
          <w:bCs/>
          <w:color w:val="000000"/>
          <w:sz w:val="21"/>
          <w:szCs w:val="21"/>
          <w:highlight w:val="none"/>
        </w:rPr>
      </w:pP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.3落实政府采购政策的价格调整：</w:t>
      </w:r>
      <w:r>
        <w:rPr>
          <w:rStyle w:val="1151"/>
          <w:rFonts w:ascii="仿宋" w:hAnsi="仿宋" w:eastAsia="仿宋"/>
          <w:b/>
          <w:bCs/>
          <w:color w:val="000000"/>
          <w:sz w:val="21"/>
          <w:szCs w:val="21"/>
          <w:highlight w:val="none"/>
        </w:rPr>
        <w:t xml:space="preserve">只有符合第二章《供应商须知》4.2条规定情形的，可以享受中小企业扶持政策，用扣除后的价格参加评审；否则，评审时价格不予扣除。</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3.3.1对于未预留份额专门面向中小企业采购的采购项目，以及预留份额项目中的非预留部分采购包，对小微企业报价给予</w:t>
      </w:r>
      <w:r>
        <w:rPr>
          <w:rStyle w:val="1151"/>
          <w:rFonts w:hint="eastAsia" w:ascii="仿宋" w:hAnsi="仿宋" w:eastAsia="仿宋"/>
          <w:color w:val="000000"/>
          <w:sz w:val="21"/>
          <w:szCs w:val="21"/>
          <w:highlight w:val="none"/>
        </w:rPr>
        <w:t xml:space="preserve">20</w:t>
      </w:r>
      <w:r>
        <w:rPr>
          <w:rStyle w:val="1151"/>
          <w:rFonts w:ascii="仿宋" w:hAnsi="仿宋" w:eastAsia="仿宋"/>
          <w:color w:val="000000"/>
          <w:sz w:val="21"/>
          <w:szCs w:val="21"/>
          <w:highlight w:val="none"/>
        </w:rPr>
        <w:t xml:space="preserve">%</w:t>
      </w:r>
      <w:r>
        <w:rPr>
          <w:rStyle w:val="1151"/>
          <w:rFonts w:hint="eastAsia" w:ascii="仿宋" w:hAnsi="仿宋" w:eastAsia="仿宋"/>
          <w:color w:val="000000"/>
          <w:sz w:val="21"/>
          <w:szCs w:val="21"/>
          <w:highlight w:val="none"/>
        </w:rPr>
        <w:t xml:space="preserve">（</w:t>
      </w:r>
      <w:r>
        <w:rPr>
          <w:rStyle w:val="1151"/>
          <w:rFonts w:hint="eastAsia" w:ascii="仿宋" w:hAnsi="仿宋" w:eastAsia="仿宋"/>
          <w:color w:val="000000"/>
          <w:sz w:val="21"/>
          <w:szCs w:val="21"/>
          <w:highlight w:val="none"/>
          <w:lang w:val="en-US"/>
        </w:rPr>
        <w:t xml:space="preserve">工程类5%）</w:t>
      </w:r>
      <w:r>
        <w:rPr>
          <w:rStyle w:val="1151"/>
          <w:rFonts w:ascii="仿宋" w:hAnsi="仿宋" w:eastAsia="仿宋"/>
          <w:color w:val="000000"/>
          <w:sz w:val="21"/>
          <w:szCs w:val="21"/>
          <w:highlight w:val="none"/>
        </w:rPr>
        <w:t xml:space="preserve">的扣除，用扣除后的价格参加评审。</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%的扣除，用扣除后的价格参加评审。</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3.3.3组成联合体或者接受分包的小微企业与联合体内其他企业、分包企业之间存在直接控股、管理关系的，不享受价格扣除优惠政策。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3.3.4价格扣除比例对小型企业和微型企业同等对待，不作区分。</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3.3.5中小企业参加政府采购活动，应当按照竞争性磋商文件给定的格式出具《中小企业声明函》，否则不得享受相关中小企业扶持政策。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3.3.6监狱企业提供了由省级以上监狱管理局（常州市含教育矫治局）、戒毒管理局（含新疆生产建设兵团）出具的属于监狱企业的证明文件的，视同小微企业。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3.3.7残疾人福利性单位按竞争性磋商文件要求提供了《残疾人福利性单位声明函》（见附件）的，视同小微企业。</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3.3.8若供应商同时属于小型或微型企业、监狱企业、残疾人福利性单位中的两种及以上，将不重复享受小微企业价格扣减的优惠政策。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3.3.9其他为落实政府采购政策实施的优先采购：</w:t>
      </w:r>
      <w:r>
        <w:rPr>
          <w:rStyle w:val="1151"/>
          <w:rFonts w:hint="eastAsia" w:ascii="仿宋" w:hAnsi="仿宋" w:eastAsia="仿宋"/>
          <w:color w:val="000000"/>
          <w:sz w:val="21"/>
          <w:szCs w:val="21"/>
          <w:highlight w:val="none"/>
        </w:rPr>
        <w:t xml:space="preserve">无</w:t>
      </w:r>
      <w:r>
        <w:rPr>
          <w:rStyle w:val="1151"/>
          <w:rFonts w:ascii="仿宋" w:hAnsi="仿宋" w:eastAsia="仿宋"/>
          <w:color w:val="000000"/>
          <w:sz w:val="21"/>
          <w:szCs w:val="21"/>
          <w:highlight w:val="none"/>
        </w:rPr>
        <w:t xml:space="preserve">。</w:t>
      </w:r>
      <w:r/>
    </w:p>
    <w:p>
      <w:pPr>
        <w:contextualSpacing/>
        <w:ind w:firstLine="422"/>
        <w:spacing w:line="360" w:lineRule="auto"/>
        <w:rPr>
          <w:rStyle w:val="1151"/>
          <w:rFonts w:ascii="仿宋" w:hAnsi="仿宋" w:eastAsia="仿宋"/>
          <w:b/>
          <w:bCs/>
          <w:color w:val="000000"/>
          <w:sz w:val="21"/>
          <w:szCs w:val="21"/>
          <w:highlight w:val="none"/>
        </w:rPr>
      </w:pPr>
      <w:r/>
      <w:bookmarkStart w:id="721" w:name="_Toc128435131"/>
      <w:r/>
      <w:bookmarkStart w:id="722" w:name="_Toc107952844"/>
      <w:r>
        <w:rPr>
          <w:rStyle w:val="1151"/>
          <w:rFonts w:ascii="仿宋" w:hAnsi="仿宋" w:eastAsia="仿宋"/>
          <w:b/>
          <w:bCs/>
          <w:color w:val="000000"/>
          <w:sz w:val="21"/>
          <w:szCs w:val="21"/>
          <w:highlight w:val="none"/>
        </w:rPr>
        <w:t xml:space="preserve">4.磋商环节及提交最终报价后如出现以下情况的，供应商的响应文件无效：</w:t>
      </w:r>
      <w:bookmarkEnd w:id="721"/>
      <w:r/>
      <w:bookmarkEnd w:id="722"/>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.1供应商对实质性变动不予确认的；</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4</w:t>
      </w:r>
      <w:r>
        <w:rPr>
          <w:rStyle w:val="1151"/>
          <w:rFonts w:ascii="仿宋" w:hAnsi="仿宋" w:eastAsia="仿宋"/>
          <w:color w:val="000000"/>
          <w:sz w:val="21"/>
          <w:szCs w:val="21"/>
          <w:highlight w:val="none"/>
        </w:rPr>
        <w:t xml:space="preserve">.2不满足磋商文件</w:t>
      </w:r>
      <w:r>
        <w:rPr>
          <w:rStyle w:val="1151"/>
          <w:rFonts w:ascii="仿宋" w:hAnsi="仿宋" w:eastAsia="仿宋" w:cs="Segoe UI Symbol"/>
          <w:color w:val="000000"/>
          <w:sz w:val="21"/>
          <w:szCs w:val="21"/>
          <w:highlight w:val="none"/>
        </w:rPr>
        <w:t xml:space="preserve">★</w:t>
      </w:r>
      <w:r>
        <w:rPr>
          <w:rStyle w:val="1151"/>
          <w:rFonts w:ascii="仿宋" w:hAnsi="仿宋" w:eastAsia="仿宋"/>
          <w:color w:val="000000"/>
          <w:sz w:val="21"/>
          <w:szCs w:val="21"/>
          <w:highlight w:val="none"/>
        </w:rPr>
        <w:t xml:space="preserve">号条款或磋商文件技术指标超出磋商文件</w:t>
      </w:r>
      <w:r>
        <w:rPr>
          <w:rStyle w:val="1151"/>
          <w:rFonts w:hint="eastAsia" w:ascii="仿宋" w:hAnsi="仿宋" w:eastAsia="仿宋"/>
          <w:color w:val="000000"/>
          <w:sz w:val="21"/>
          <w:szCs w:val="21"/>
          <w:highlight w:val="none"/>
        </w:rPr>
        <w:t xml:space="preserve">《</w:t>
      </w:r>
      <w:r>
        <w:rPr>
          <w:rStyle w:val="1151"/>
          <w:rFonts w:ascii="仿宋" w:hAnsi="仿宋" w:eastAsia="仿宋"/>
          <w:color w:val="000000"/>
          <w:sz w:val="21"/>
          <w:szCs w:val="21"/>
          <w:highlight w:val="none"/>
        </w:rPr>
        <w:t xml:space="preserve">采购需求</w:t>
      </w:r>
      <w:r>
        <w:rPr>
          <w:rStyle w:val="1151"/>
          <w:rFonts w:hint="eastAsia" w:ascii="仿宋" w:hAnsi="仿宋" w:eastAsia="仿宋"/>
          <w:color w:val="000000"/>
          <w:sz w:val="21"/>
          <w:szCs w:val="21"/>
          <w:highlight w:val="none"/>
        </w:rPr>
        <w:t xml:space="preserve">》</w:t>
      </w:r>
      <w:r>
        <w:rPr>
          <w:rStyle w:val="1151"/>
          <w:rFonts w:ascii="仿宋" w:hAnsi="仿宋" w:eastAsia="仿宋"/>
          <w:color w:val="000000"/>
          <w:sz w:val="21"/>
          <w:szCs w:val="21"/>
          <w:highlight w:val="none"/>
        </w:rPr>
        <w:t xml:space="preserve">中主要技术参数允许偏差的最大范围的（如有）；</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4.3未按照磋商小组规定的时间、逾期提交最终报价的；</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4.4如供应商的最终报价超过竞争性磋商文件中规定的项目/采购包预算金额或者项目/采购包最高限价的；</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4.5响应文件中出现可选择性或可调整的报价的（竞争性磋商文件另有规定的除外）；</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4.6最终报价出现前后不一致，供应商对修正后的报价不予确认的；</w:t>
      </w:r>
      <w:r/>
    </w:p>
    <w:p>
      <w:pPr>
        <w:contextualSpacing/>
        <w:ind w:firstLine="422"/>
        <w:spacing w:line="360" w:lineRule="auto"/>
        <w:rPr>
          <w:rStyle w:val="1151"/>
          <w:rFonts w:ascii="仿宋" w:hAnsi="仿宋" w:eastAsia="仿宋"/>
          <w:b/>
          <w:bCs/>
          <w:color w:val="000000"/>
          <w:sz w:val="21"/>
          <w:szCs w:val="21"/>
          <w:highlight w:val="none"/>
        </w:rPr>
      </w:pPr>
      <w:r/>
      <w:bookmarkStart w:id="723" w:name="_Toc128435132"/>
      <w:r/>
      <w:bookmarkStart w:id="724" w:name="_Toc107952845"/>
      <w:r>
        <w:rPr>
          <w:rStyle w:val="1151"/>
          <w:rFonts w:hint="eastAsia" w:ascii="仿宋" w:hAnsi="仿宋" w:eastAsia="仿宋"/>
          <w:b/>
          <w:bCs/>
          <w:color w:val="000000"/>
          <w:sz w:val="21"/>
          <w:szCs w:val="21"/>
          <w:highlight w:val="none"/>
        </w:rPr>
        <w:t xml:space="preserve">5</w:t>
      </w:r>
      <w:r>
        <w:rPr>
          <w:rStyle w:val="1151"/>
          <w:rFonts w:ascii="仿宋" w:hAnsi="仿宋" w:eastAsia="仿宋"/>
          <w:b/>
          <w:bCs/>
          <w:color w:val="000000"/>
          <w:sz w:val="21"/>
          <w:szCs w:val="21"/>
          <w:highlight w:val="none"/>
        </w:rPr>
        <w:t xml:space="preserve">.评审方法和评审标准</w:t>
      </w:r>
      <w:bookmarkEnd w:id="723"/>
      <w:r/>
      <w:bookmarkEnd w:id="724"/>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.1本项目采用的评审方法为：本项目的评审采用综合评分法。综合评分法，是指响应文件满足磋商文件全部实质性要求且按评审因素的量化指标评审得分最高的供应商为成交候选供应商的评审方法。  </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.2竞争性磋商文件中没有规定的评审标准不得作为评审依据。</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5.3非政府强制采购的节能产品或环境标志产品，依据品目清单和认证证书实施政府优先采购。优先采购的具体规定（如涉及）</w:t>
      </w:r>
      <w:r>
        <w:rPr>
          <w:rStyle w:val="1151"/>
          <w:rFonts w:hint="eastAsia" w:ascii="仿宋" w:hAnsi="仿宋" w:eastAsia="仿宋"/>
          <w:color w:val="000000"/>
          <w:sz w:val="21"/>
          <w:szCs w:val="21"/>
          <w:highlight w:val="none"/>
        </w:rPr>
        <w:t xml:space="preserve">无 </w:t>
      </w:r>
      <w:r>
        <w:rPr>
          <w:rStyle w:val="1151"/>
          <w:rFonts w:ascii="仿宋" w:hAnsi="仿宋" w:eastAsia="仿宋"/>
          <w:color w:val="000000"/>
          <w:sz w:val="21"/>
          <w:szCs w:val="21"/>
          <w:highlight w:val="none"/>
        </w:rPr>
        <w:t xml:space="preserve">。</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5</w:t>
      </w:r>
      <w:r>
        <w:rPr>
          <w:rStyle w:val="1151"/>
          <w:rFonts w:ascii="仿宋" w:hAnsi="仿宋" w:eastAsia="仿宋"/>
          <w:color w:val="000000"/>
          <w:sz w:val="21"/>
          <w:szCs w:val="21"/>
          <w:highlight w:val="none"/>
        </w:rPr>
        <w:t xml:space="preserve">.4关于无线局域网认证产品政府采购清单中的产品，优先采购的具体规定（如涉及）</w:t>
      </w:r>
      <w:r>
        <w:rPr>
          <w:rStyle w:val="1151"/>
          <w:rFonts w:hint="eastAsia" w:ascii="仿宋" w:hAnsi="仿宋" w:eastAsia="仿宋"/>
          <w:color w:val="000000"/>
          <w:sz w:val="21"/>
          <w:szCs w:val="21"/>
          <w:highlight w:val="none"/>
        </w:rPr>
        <w:t xml:space="preserve">无</w:t>
      </w:r>
      <w:r>
        <w:rPr>
          <w:rStyle w:val="1151"/>
          <w:rFonts w:ascii="仿宋" w:hAnsi="仿宋" w:eastAsia="仿宋"/>
          <w:color w:val="000000"/>
          <w:sz w:val="21"/>
          <w:szCs w:val="21"/>
          <w:highlight w:val="none"/>
        </w:rPr>
        <w:t xml:space="preserve">_。</w:t>
      </w:r>
      <w:r/>
    </w:p>
    <w:p>
      <w:pPr>
        <w:contextualSpacing/>
        <w:ind w:firstLine="422"/>
        <w:spacing w:line="360" w:lineRule="auto"/>
        <w:rPr>
          <w:rStyle w:val="1151"/>
          <w:rFonts w:ascii="仿宋" w:hAnsi="仿宋" w:eastAsia="仿宋"/>
          <w:b/>
          <w:bCs/>
          <w:color w:val="000000"/>
          <w:sz w:val="21"/>
          <w:szCs w:val="21"/>
          <w:highlight w:val="none"/>
        </w:rPr>
      </w:pPr>
      <w:r/>
      <w:bookmarkStart w:id="725" w:name="_Toc107952846"/>
      <w:r/>
      <w:bookmarkStart w:id="726" w:name="_Toc128435133"/>
      <w:r>
        <w:rPr>
          <w:rStyle w:val="1151"/>
          <w:rFonts w:ascii="仿宋" w:hAnsi="仿宋" w:eastAsia="仿宋"/>
          <w:b/>
          <w:bCs/>
          <w:color w:val="000000"/>
          <w:sz w:val="21"/>
          <w:szCs w:val="21"/>
          <w:highlight w:val="none"/>
        </w:rPr>
        <w:t xml:space="preserve">6.确定</w:t>
      </w:r>
      <w:bookmarkStart w:id="727" w:name="_Toc195842911"/>
      <w:r/>
      <w:bookmarkStart w:id="728" w:name="_Toc305158888"/>
      <w:r/>
      <w:bookmarkStart w:id="729" w:name="_Toc151193788"/>
      <w:r/>
      <w:bookmarkStart w:id="730" w:name="_Toc151193934"/>
      <w:r/>
      <w:bookmarkStart w:id="731" w:name="_Toc164608660"/>
      <w:r/>
      <w:bookmarkStart w:id="732" w:name="_Toc264969236"/>
      <w:r/>
      <w:bookmarkStart w:id="733" w:name="_Toc226965736"/>
      <w:r/>
      <w:bookmarkStart w:id="734" w:name="_Toc150480784"/>
      <w:r/>
      <w:bookmarkStart w:id="735" w:name="_Toc164229241"/>
      <w:r/>
      <w:bookmarkStart w:id="736" w:name="_Toc226337242"/>
      <w:r/>
      <w:bookmarkStart w:id="737" w:name="_Toc226309790"/>
      <w:r/>
      <w:bookmarkStart w:id="738" w:name="_Toc150509297"/>
      <w:r/>
      <w:bookmarkStart w:id="739" w:name="_Toc149720839"/>
      <w:r/>
      <w:bookmarkStart w:id="740" w:name="_Toc150774646"/>
      <w:r/>
      <w:bookmarkStart w:id="741" w:name="_Toc151190173"/>
      <w:r/>
      <w:bookmarkStart w:id="742" w:name="_Toc164608815"/>
      <w:r/>
      <w:bookmarkStart w:id="743" w:name="_Toc305158814"/>
      <w:r/>
      <w:bookmarkStart w:id="744" w:name="_Toc520356170"/>
      <w:r/>
      <w:bookmarkStart w:id="745" w:name="_Toc142311048"/>
      <w:r/>
      <w:bookmarkStart w:id="746" w:name="_Toc151193644"/>
      <w:r/>
      <w:bookmarkStart w:id="747" w:name="_Toc164229387"/>
      <w:r/>
      <w:bookmarkStart w:id="748" w:name="_Toc164351640"/>
      <w:r/>
      <w:bookmarkStart w:id="749" w:name="_Toc265228384"/>
      <w:r/>
      <w:bookmarkStart w:id="750" w:name="_Toc151193716"/>
      <w:r/>
      <w:bookmarkStart w:id="751" w:name="_Toc150774751"/>
      <w:r/>
      <w:bookmarkStart w:id="752" w:name="_Toc127151747"/>
      <w:r/>
      <w:bookmarkStart w:id="753" w:name="_Toc127161460"/>
      <w:r/>
      <w:bookmarkStart w:id="754" w:name="_Toc127151546"/>
      <w:r/>
      <w:bookmarkStart w:id="755" w:name="_Toc151193860"/>
      <w:r/>
      <w:bookmarkStart w:id="756" w:name="_Ref467307010"/>
      <w:r/>
      <w:bookmarkStart w:id="757" w:name="_Toc226965819"/>
      <w:r>
        <w:rPr>
          <w:rStyle w:val="1151"/>
          <w:rFonts w:ascii="仿宋" w:hAnsi="仿宋" w:eastAsia="仿宋"/>
          <w:b/>
          <w:bCs/>
          <w:color w:val="000000"/>
          <w:sz w:val="21"/>
          <w:szCs w:val="21"/>
          <w:highlight w:val="none"/>
        </w:rPr>
        <w:t xml:space="preserve">成交候选人名单</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6</w:t>
      </w:r>
      <w:r>
        <w:rPr>
          <w:rStyle w:val="1151"/>
          <w:rFonts w:ascii="仿宋" w:hAnsi="仿宋" w:eastAsia="仿宋"/>
          <w:color w:val="000000"/>
          <w:sz w:val="21"/>
          <w:szCs w:val="21"/>
          <w:highlight w:val="none"/>
        </w:rPr>
        <w:t xml:space="preserve">.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contextualSpacing/>
        <w:ind w:firstLine="420"/>
        <w:spacing w:line="360" w:lineRule="auto"/>
        <w:rPr>
          <w:rStyle w:val="1151"/>
          <w:rFonts w:ascii="仿宋" w:hAnsi="仿宋" w:eastAsia="仿宋"/>
          <w:color w:val="000000"/>
          <w:sz w:val="21"/>
          <w:szCs w:val="21"/>
          <w:highlight w:val="none"/>
        </w:rPr>
      </w:pPr>
      <w:r>
        <w:rPr>
          <w:rStyle w:val="1151"/>
          <w:rFonts w:hint="eastAsia" w:ascii="仿宋" w:hAnsi="仿宋" w:eastAsia="仿宋"/>
          <w:color w:val="000000"/>
          <w:sz w:val="21"/>
          <w:szCs w:val="21"/>
          <w:highlight w:val="none"/>
        </w:rPr>
        <w:t xml:space="preserve">6</w:t>
      </w:r>
      <w:r>
        <w:rPr>
          <w:rStyle w:val="1151"/>
          <w:rFonts w:ascii="仿宋" w:hAnsi="仿宋" w:eastAsia="仿宋"/>
          <w:color w:val="000000"/>
          <w:sz w:val="21"/>
          <w:szCs w:val="21"/>
          <w:highlight w:val="none"/>
        </w:rPr>
        <w:t xml:space="preserve">.2磋商小组根据上述供应商排序，依次推荐排序前</w:t>
      </w:r>
      <w:r>
        <w:rPr>
          <w:rStyle w:val="1151"/>
          <w:rFonts w:hint="eastAsia" w:ascii="仿宋" w:hAnsi="仿宋" w:eastAsia="仿宋"/>
          <w:color w:val="000000"/>
          <w:sz w:val="21"/>
          <w:szCs w:val="21"/>
          <w:highlight w:val="none"/>
        </w:rPr>
        <w:t xml:space="preserve">3</w:t>
      </w:r>
      <w:r>
        <w:rPr>
          <w:rStyle w:val="1151"/>
          <w:rFonts w:ascii="仿宋" w:hAnsi="仿宋" w:eastAsia="仿宋"/>
          <w:color w:val="000000"/>
          <w:sz w:val="21"/>
          <w:szCs w:val="21"/>
          <w:highlight w:val="none"/>
        </w:rPr>
        <w:t xml:space="preserve">名的供应商为成交候选供应商（若在磋商文件允许的情形下提交最终报价的供应商为二家，则依次推荐二名供应商为成交候选供应商），并编写评审报告。</w:t>
      </w:r>
      <w:r/>
    </w:p>
    <w:p>
      <w:pPr>
        <w:contextualSpacing/>
        <w:ind w:firstLine="420"/>
        <w:spacing w:line="360" w:lineRule="auto"/>
        <w:rPr>
          <w:rStyle w:val="1151"/>
          <w:rFonts w:ascii="仿宋" w:hAnsi="仿宋" w:eastAsia="仿宋"/>
          <w:color w:val="000000"/>
          <w:sz w:val="21"/>
          <w:szCs w:val="21"/>
          <w:highlight w:val="none"/>
        </w:rPr>
      </w:pPr>
      <w:r>
        <w:rPr>
          <w:rStyle w:val="1151"/>
          <w:rFonts w:ascii="仿宋" w:hAnsi="仿宋" w:eastAsia="仿宋"/>
          <w:color w:val="000000"/>
          <w:sz w:val="21"/>
          <w:szCs w:val="21"/>
          <w:highlight w:val="none"/>
        </w:rPr>
        <w:t xml:space="preserve">6.3磋商小组要对评分汇总情况进行复核，特别是对排名第一的、报价最低的、响应文件被认定为无效的情形进行重点复核。</w:t>
      </w:r>
      <w:r/>
    </w:p>
    <w:p>
      <w:pPr>
        <w:contextualSpacing/>
        <w:ind w:firstLine="422"/>
        <w:spacing w:line="360" w:lineRule="auto"/>
        <w:rPr>
          <w:rStyle w:val="1151"/>
          <w:rFonts w:ascii="仿宋" w:hAnsi="仿宋" w:eastAsia="仿宋"/>
          <w:b/>
          <w:bCs/>
          <w:color w:val="000000"/>
          <w:sz w:val="21"/>
          <w:szCs w:val="21"/>
          <w:highlight w:val="none"/>
        </w:rPr>
      </w:pPr>
      <w:r/>
      <w:bookmarkStart w:id="758" w:name="_Toc128435134"/>
      <w:r/>
      <w:bookmarkStart w:id="759" w:name="_Toc107952847"/>
      <w:r>
        <w:rPr>
          <w:rStyle w:val="1151"/>
          <w:rFonts w:ascii="仿宋" w:hAnsi="仿宋" w:eastAsia="仿宋"/>
          <w:b/>
          <w:bCs/>
          <w:color w:val="000000"/>
          <w:sz w:val="21"/>
          <w:szCs w:val="21"/>
          <w:highlight w:val="none"/>
        </w:rPr>
        <w:t xml:space="preserve">7.报告违法行为</w:t>
      </w:r>
      <w:bookmarkEnd w:id="758"/>
      <w:r/>
      <w:bookmarkEnd w:id="759"/>
      <w:r/>
      <w:r/>
    </w:p>
    <w:p>
      <w:pPr>
        <w:contextualSpacing/>
        <w:ind w:firstLine="420"/>
        <w:spacing w:line="360" w:lineRule="auto"/>
        <w:rPr>
          <w:rFonts w:hint="eastAsia" w:ascii="仿宋" w:hAnsi="仿宋" w:eastAsia="仿宋" w:cs="仿宋"/>
          <w:b/>
          <w:color w:val="000000"/>
          <w:sz w:val="21"/>
          <w:szCs w:val="21"/>
          <w:highlight w:val="none"/>
        </w:rPr>
      </w:pPr>
      <w:r>
        <w:rPr>
          <w:rStyle w:val="1151"/>
          <w:rFonts w:hint="eastAsia" w:ascii="仿宋" w:hAnsi="仿宋" w:eastAsia="仿宋"/>
          <w:color w:val="000000"/>
          <w:sz w:val="21"/>
          <w:szCs w:val="21"/>
          <w:highlight w:val="none"/>
        </w:rPr>
        <w:t xml:space="preserve">7</w:t>
      </w:r>
      <w:r>
        <w:rPr>
          <w:rStyle w:val="1151"/>
          <w:rFonts w:ascii="仿宋" w:hAnsi="仿宋" w:eastAsia="仿宋"/>
          <w:color w:val="000000"/>
          <w:sz w:val="21"/>
          <w:szCs w:val="21"/>
          <w:highlight w:val="none"/>
        </w:rPr>
        <w:t xml:space="preserve">.1磋商小组在评审过程中发现供应商有行贿、提供虚假材料或者串通等违法行为时，有向采购人、采购代理机构或者有关部门报告的职责。</w:t>
      </w:r>
      <w:r/>
    </w:p>
    <w:p>
      <w:pPr>
        <w:pStyle w:val="968"/>
        <w:jc w:val="center"/>
        <w:spacing w:line="360" w:lineRule="auto"/>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二、评审标准</w:t>
      </w:r>
      <w:r/>
    </w:p>
    <w:tbl>
      <w:tblPr>
        <w:tblStyle w:val="788"/>
        <w:tblW w:w="94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05"/>
        <w:gridCol w:w="814"/>
        <w:gridCol w:w="5126"/>
        <w:gridCol w:w="1659"/>
      </w:tblGrid>
      <w:tr>
        <w:trPr>
          <w:jc w:val="center"/>
          <w:trHeight w:val="483"/>
        </w:trPr>
        <w:tc>
          <w:tcPr>
            <w:tcW w:w="680"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p>
        </w:tc>
        <w:tc>
          <w:tcPr>
            <w:tcW w:w="1205"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评分因素</w:t>
            </w:r>
            <w:r/>
          </w:p>
        </w:tc>
        <w:tc>
          <w:tcPr>
            <w:tcW w:w="814"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分值</w:t>
            </w:r>
            <w:r/>
          </w:p>
        </w:tc>
        <w:tc>
          <w:tcPr>
            <w:tcW w:w="5126"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评分标准</w:t>
            </w:r>
            <w:r/>
          </w:p>
        </w:tc>
        <w:tc>
          <w:tcPr>
            <w:tcW w:w="1659" w:type="dxa"/>
            <w:vAlign w:val="center"/>
            <w:textDirection w:val="lrTb"/>
            <w:noWrap w:val="false"/>
          </w:tcPr>
          <w:p>
            <w:pPr>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说明</w:t>
            </w:r>
            <w:r/>
          </w:p>
        </w:tc>
      </w:tr>
      <w:tr>
        <w:trPr>
          <w:jc w:val="center"/>
          <w:trHeight w:val="631"/>
        </w:trPr>
        <w:tc>
          <w:tcPr>
            <w:tcW w:w="680"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w:t>
            </w:r>
            <w:r/>
          </w:p>
        </w:tc>
        <w:tc>
          <w:tcPr>
            <w:tcW w:w="1205"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价格分</w:t>
            </w:r>
            <w:r/>
          </w:p>
        </w:tc>
        <w:tc>
          <w:tcPr>
            <w:tcW w:w="814" w:type="dxa"/>
            <w:vAlign w:val="center"/>
            <w:textDirection w:val="lrTb"/>
            <w:noWrap w:val="false"/>
          </w:tcPr>
          <w:p>
            <w:pPr>
              <w:ind w:firstLine="28"/>
              <w:jc w:val="center"/>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30</w:t>
            </w:r>
            <w:r/>
          </w:p>
        </w:tc>
        <w:tc>
          <w:tcPr>
            <w:tcW w:w="5126"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满足磋商文件要求且最终报价最低的报价为评标基准价，其价格分为满分。其他供应商的价格分统一按照下列公式计算：</w:t>
            </w:r>
            <w:r/>
          </w:p>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价格分得分＝（评标基准价/最终报价）×分值。</w:t>
            </w:r>
            <w:r/>
          </w:p>
        </w:tc>
        <w:tc>
          <w:tcPr>
            <w:tcW w:w="1659" w:type="dxa"/>
            <w:vAlign w:val="center"/>
            <w:textDirection w:val="lrTb"/>
            <w:noWrap w:val="false"/>
          </w:tcPr>
          <w:p>
            <w:pPr>
              <w:ind w:left="-3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此处最终报价指经过报价修正，及因落实政府采购政策进行价格调整后的最终报价。</w:t>
            </w:r>
            <w:r/>
          </w:p>
        </w:tc>
      </w:tr>
      <w:tr>
        <w:trPr>
          <w:jc w:val="center"/>
          <w:trHeight w:val="348"/>
        </w:trPr>
        <w:tc>
          <w:tcPr>
            <w:tcW w:w="680"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2</w:t>
            </w:r>
            <w:r/>
          </w:p>
        </w:tc>
        <w:tc>
          <w:tcPr>
            <w:tcW w:w="1205"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主观分</w:t>
            </w:r>
            <w:r/>
          </w:p>
        </w:tc>
        <w:tc>
          <w:tcPr>
            <w:tcW w:w="814" w:type="dxa"/>
            <w:vAlign w:val="center"/>
            <w:textDirection w:val="lrTb"/>
            <w:noWrap w:val="false"/>
          </w:tcPr>
          <w:p>
            <w:pPr>
              <w:ind w:firstLine="28"/>
              <w:jc w:val="center"/>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41</w:t>
            </w:r>
            <w:r/>
          </w:p>
        </w:tc>
        <w:tc>
          <w:tcPr>
            <w:tcW w:w="5126" w:type="dxa"/>
            <w:vAlign w:val="center"/>
            <w:textDirection w:val="lrTb"/>
            <w:noWrap w:val="false"/>
          </w:tcPr>
          <w:p>
            <w:pP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659" w:type="dxa"/>
            <w:vAlign w:val="center"/>
            <w:textDirection w:val="lrTb"/>
            <w:noWrap w:val="false"/>
          </w:tcPr>
          <w:p>
            <w:pPr>
              <w:ind w:left="-3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rPr>
              <w:t xml:space="preserve">2.1</w:t>
            </w:r>
            <w:r/>
          </w:p>
        </w:tc>
        <w:tc>
          <w:tcPr>
            <w:tcW w:w="1205"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color w:val="000000"/>
                <w:szCs w:val="21"/>
              </w:rPr>
              <w:t xml:space="preserve">施工总体实施方案及项目重难点专项管控分析</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Cs w:val="21"/>
                <w:lang w:val="en-US" w:eastAsia="zh-CN"/>
              </w:rPr>
              <w:t xml:space="preserve">8</w:t>
            </w:r>
            <w:r/>
          </w:p>
        </w:tc>
        <w:tc>
          <w:tcPr>
            <w:tcW w:w="5126"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结合本院校 10kV 新建变电所施工场景、校园教学楼周边供电保障需求、变电设备采购安装、电缆敷设、配电系统调试、新旧供电衔接等工程全流程，评审供应商整体施工统筹规划、现场施工组织架构配置、施工全流程工序排布、项目核心施工重难点精准识别及专属针对性解决管控方案。</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方案切实可行、内容完整详实，完全满足本项目工程质量管控及验收规范全部要求的，得</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方案可行性较好、内容较完整详实，较满足招标文件质量管控及验收要求的，得</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方案可行性一般、内容基本完整详实，基本满足招标文件质量管控及验收要求的，得</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方案简单、内容完整性欠缺、质量管控针对性不足的，得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Cs w:val="21"/>
              </w:rPr>
              <w:t xml:space="preserve">未提供本项专项方案的，本项不得分。</w:t>
            </w:r>
            <w:r/>
          </w:p>
        </w:tc>
        <w:tc>
          <w:tcPr>
            <w:tcW w:w="1659" w:type="dxa"/>
            <w:vAlign w:val="center"/>
            <w:textDirection w:val="lrTb"/>
            <w:noWrap w:val="false"/>
          </w:tcPr>
          <w:p>
            <w:pPr>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2.2</w:t>
            </w:r>
            <w:r/>
          </w:p>
        </w:tc>
        <w:tc>
          <w:tcPr>
            <w:tcW w:w="1205"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color w:val="000000"/>
                <w:szCs w:val="21"/>
              </w:rPr>
              <w:t xml:space="preserve">施工进度专项安排及工期履约保障措施</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Cs w:val="21"/>
                <w:lang w:val="en-US" w:eastAsia="zh-CN"/>
              </w:rPr>
              <w:t xml:space="preserve">8</w:t>
            </w:r>
            <w:r/>
          </w:p>
        </w:tc>
        <w:tc>
          <w:tcPr>
            <w:tcW w:w="5126"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围绕本项目30个日历天完工验收的硬性标准，评审供应商工期履约专项保障内容，具体包括：整体施工进度分阶段细化计划（需严格按照30个日历天总工期制定，明确设备进场、土建施工、设备安装、试验调试、验收各关键节点，清晰界定各阶段工期节点并承诺提前报备采购人）、各施工节点时序排布的合理性、工期进度动态管控机制的完善性、工期滞后预警处置办法的可操作性、人力、机械、材料资源配套保障的充足性、校园施工错峰作业统筹的科学性（兼顾校园正常秩序，规避施工干扰）。</w:t>
            </w:r>
            <w:r/>
          </w:p>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方案切实可行、内容完整详实，完全满足本项目工程质量管控及验收规范全部要求的，得8分；</w:t>
            </w:r>
            <w:r/>
          </w:p>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方案可行性较好、内容较完整详实，较满足招标文件质量管控及验收要求的，得6分；</w:t>
            </w:r>
            <w:r/>
          </w:p>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方案可行性一般、内容基本完整详实，基本满足招标文件质量管控及验收要求的，得4分；</w:t>
            </w:r>
            <w:r/>
          </w:p>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方案简单、内容完整性欠缺、质量管控针对性不足的，得2分；</w:t>
            </w:r>
            <w:r/>
          </w:p>
          <w:p>
            <w:pPr>
              <w:jc w:val="left"/>
              <w:keepLines w:val="0"/>
              <w:keepNext w:val="0"/>
              <w:pageBreakBefore w:val="0"/>
              <w:spacing w:line="312"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未提供本项专项方案的，本项不得分。</w:t>
            </w:r>
            <w:r/>
          </w:p>
        </w:tc>
        <w:tc>
          <w:tcPr>
            <w:tcW w:w="1659" w:type="dxa"/>
            <w:vAlign w:val="center"/>
            <w:textDirection w:val="lrTb"/>
            <w:noWrap w:val="false"/>
          </w:tcPr>
          <w:p>
            <w:pPr>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lang w:val="en-US" w:eastAsia="zh-CN"/>
              </w:rPr>
              <w:t xml:space="preserve">2.3</w:t>
            </w:r>
            <w:r/>
          </w:p>
        </w:tc>
        <w:tc>
          <w:tcPr>
            <w:tcW w:w="1205"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color w:val="000000"/>
                <w:szCs w:val="21"/>
              </w:rPr>
              <w:t xml:space="preserve">安全文明施工及环境保护专项保障措施</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Cs w:val="21"/>
                <w:lang w:val="en-US" w:eastAsia="zh-CN"/>
              </w:rPr>
              <w:t xml:space="preserve">7</w:t>
            </w:r>
            <w:r/>
          </w:p>
        </w:tc>
        <w:tc>
          <w:tcPr>
            <w:tcW w:w="5126"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b/>
                <w:bCs/>
                <w:color w:val="000000"/>
                <w:szCs w:val="21"/>
              </w:rPr>
              <w:t xml:space="preserve">结合校园人员密集施工环境、电力施工高危作业特性，评审供应商电力施工安全管控体系、高空及带电作业安全防护、施工现场围挡隔离、施工防尘降噪、渣土运输处置、校园师生安全防护、消防安保、文明施工标准化建设、施工现场成品及原有电力设施保护等专项工作方案。</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方案切实可行、内容完整详实，完全满足本项目工程质量管控及验收规范全部要求的，得</w:t>
            </w:r>
            <w:r>
              <w:rPr>
                <w:rFonts w:hint="eastAsia" w:ascii="仿宋" w:hAnsi="仿宋" w:eastAsia="仿宋" w:cs="仿宋"/>
                <w:color w:val="000000"/>
                <w:szCs w:val="21"/>
                <w:lang w:val="en-US" w:eastAsia="zh-CN"/>
              </w:rPr>
              <w:t xml:space="preserve">7</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方案可行性较好、内容较完整详实，较满足招标文件质量管控及验收要求的，得</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方案可行性一般、内容基本完整详实，基本满足招标文件质量管控及验收要求的，得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方案简单、内容完整性欠缺、质量管控针对性不足的，得1分；</w:t>
            </w:r>
            <w:r/>
          </w:p>
          <w:p>
            <w:pPr>
              <w:jc w:val="left"/>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Cs w:val="21"/>
              </w:rPr>
              <w:t xml:space="preserve">未提供本项专项方案的，本项不得分。</w:t>
            </w:r>
            <w:r/>
          </w:p>
        </w:tc>
        <w:tc>
          <w:tcPr>
            <w:tcW w:w="1659" w:type="dxa"/>
            <w:vAlign w:val="center"/>
            <w:textDirection w:val="lrTb"/>
            <w:noWrap w:val="false"/>
          </w:tcPr>
          <w:p>
            <w:pPr>
              <w:ind w:left="-38"/>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671"/>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2.4</w:t>
            </w:r>
            <w:r/>
          </w:p>
        </w:tc>
        <w:tc>
          <w:tcPr>
            <w:tcW w:w="1205"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施工突发情况应急处置专项预案</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7</w:t>
            </w:r>
            <w:r/>
          </w:p>
        </w:tc>
        <w:tc>
          <w:tcPr>
            <w:tcW w:w="5126"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针对电力施工触电事故、设备安装故障、临时停电影响校园教学、施工安全事故、极端天气施工受阻、施工突发矛盾纠纷等各类突发状况，评审供应商专项应急组织架构、应急处置流程、应急物资人员配置、突发事故抢险抢修、应急善后协调、快速复工复产等全套应急处置预案。</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方案切实可行、内容完整详实，完全满足本项目工程质量管控及验收规范全部要求的，得 7分；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方案可行性较好、内容较完整详实，较满足招标文件质量管控及验收要求的，得 5分；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方案可行性一般、内容基本完整详实，基本满足招标文件质量管控及验收要求的，得 3 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方案简单、内容完整性欠缺、质量管控针对性不足的，得 1 分；</w:t>
            </w:r>
            <w:r/>
          </w:p>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未提供本项专项方案的，本项不得分。</w:t>
            </w:r>
            <w:r/>
          </w:p>
        </w:tc>
        <w:tc>
          <w:tcPr>
            <w:tcW w:w="1659" w:type="dxa"/>
            <w:vAlign w:val="center"/>
            <w:textDirection w:val="lrTb"/>
            <w:noWrap w:val="false"/>
          </w:tcPr>
          <w:p>
            <w:pPr>
              <w:ind w:left="-38"/>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671"/>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2.5</w:t>
            </w:r>
            <w:r/>
          </w:p>
        </w:tc>
        <w:tc>
          <w:tcPr>
            <w:tcW w:w="1205"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工程施工质量全过程管控及验收保障措施</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7</w:t>
            </w:r>
            <w:r/>
          </w:p>
        </w:tc>
        <w:tc>
          <w:tcPr>
            <w:tcW w:w="5126"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依据国家及江苏省变电施工验收规范、项目电器元件及设备质量要求，评审供应商原材料及设备进场核验、施工工序全过程质量巡检、隐蔽工程专项验收、施工质量瑕疵整改闭环、完工调试检测、竣工验收对接、质量终身责任管控等全流程质量保障工作措施。</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方案切实可行、内容完整详实，完全满足本项目工程质量管控及验收规范全部要求的，得7分；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方案可行性较好、内容较完整详实，较满足招标文件质量管控及验收要求的，得5分；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方案可行性一般、内容基本完整详实，基本满足招标文件质量管控及验收要求的，得3分；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方案简单、内容完整性欠缺、质量管控针对性不足的，得1分；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未提供本项专项方案的，本项不得分。</w:t>
            </w:r>
            <w:r/>
          </w:p>
        </w:tc>
        <w:tc>
          <w:tcPr>
            <w:tcW w:w="1659" w:type="dxa"/>
            <w:vAlign w:val="center"/>
            <w:textDirection w:val="lrTb"/>
            <w:noWrap w:val="false"/>
          </w:tcPr>
          <w:p>
            <w:pPr>
              <w:ind w:left="-38"/>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2056"/>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6</w:t>
            </w:r>
            <w:r/>
          </w:p>
        </w:tc>
        <w:tc>
          <w:tcPr>
            <w:tcW w:w="1205"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color w:val="000000"/>
                <w:szCs w:val="21"/>
                <w:lang w:val="en-US" w:eastAsia="zh-CN"/>
              </w:rPr>
              <w:t xml:space="preserve">售后服务</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Cs w:val="21"/>
                <w:lang w:val="en-US" w:eastAsia="zh-CN"/>
              </w:rPr>
              <w:t xml:space="preserve">4</w:t>
            </w:r>
            <w:r/>
          </w:p>
        </w:tc>
        <w:tc>
          <w:tcPr>
            <w:tcW w:w="5126"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评委根据投标人针对本项目特点制定的售后服务方案进行评审，包括但不限于服务体系、服务内容、故障解决方案、响应时间、专业技术人员保障及服务电话等。</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售后服务方案完整合理、可行性强的，得4分；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售后服务方案较为完整合理、可行性较高的，得3分；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售后服务方案不够完整合理、可行性较低的，得2分；</w:t>
            </w:r>
            <w:r/>
          </w:p>
          <w:p>
            <w:pPr>
              <w:jc w:val="left"/>
              <w:keepLines w:val="0"/>
              <w:keepNext w:val="0"/>
              <w:pageBreakBefore w:val="0"/>
              <w:spacing w:line="312" w:lineRule="auto"/>
              <w:widowControl w:val="off"/>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售后服务方案过于简单、可行性差的，得1分；</w:t>
            </w:r>
            <w:r/>
          </w:p>
          <w:p>
            <w:pPr>
              <w:jc w:val="left"/>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Cs w:val="21"/>
                <w:lang w:val="en-US" w:eastAsia="zh-CN"/>
              </w:rPr>
              <w:t xml:space="preserve">未提供售后服务方案的，本项不得分。</w:t>
            </w:r>
            <w:r/>
          </w:p>
        </w:tc>
        <w:tc>
          <w:tcPr>
            <w:tcW w:w="1659" w:type="dxa"/>
            <w:vAlign w:val="center"/>
            <w:textDirection w:val="lrTb"/>
            <w:noWrap w:val="false"/>
          </w:tcPr>
          <w:p>
            <w:pPr>
              <w:ind w:left="-38"/>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jc w:val="center"/>
          <w:trHeight w:val="356"/>
        </w:trPr>
        <w:tc>
          <w:tcPr>
            <w:tcW w:w="680" w:type="dxa"/>
            <w:vAlign w:val="center"/>
            <w:textDirection w:val="lrTb"/>
            <w:noWrap w:val="false"/>
          </w:tcPr>
          <w:p>
            <w:pPr>
              <w:ind w:firstLine="28"/>
              <w:jc w:val="center"/>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w:t>
            </w:r>
            <w:r/>
          </w:p>
        </w:tc>
        <w:tc>
          <w:tcPr>
            <w:tcW w:w="1205" w:type="dxa"/>
            <w:vAlign w:val="center"/>
            <w:textDirection w:val="lrTb"/>
            <w:noWrap w:val="false"/>
          </w:tcPr>
          <w:p>
            <w:pPr>
              <w:ind w:firstLine="28"/>
              <w:jc w:val="center"/>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客观分</w:t>
            </w:r>
            <w:r/>
          </w:p>
        </w:tc>
        <w:tc>
          <w:tcPr>
            <w:tcW w:w="814" w:type="dxa"/>
            <w:vAlign w:val="center"/>
            <w:textDirection w:val="lrTb"/>
            <w:noWrap w:val="false"/>
          </w:tcPr>
          <w:p>
            <w:pPr>
              <w:ind w:firstLine="28"/>
              <w:jc w:val="center"/>
              <w:spacing w:line="240" w:lineRule="auto"/>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29</w:t>
            </w:r>
            <w:r/>
          </w:p>
        </w:tc>
        <w:tc>
          <w:tcPr>
            <w:tcW w:w="5126" w:type="dxa"/>
            <w:vAlign w:val="center"/>
            <w:textDirection w:val="lrTb"/>
            <w:noWrap w:val="false"/>
          </w:tcPr>
          <w:p>
            <w:pP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659" w:type="dxa"/>
            <w:vAlign w:val="center"/>
            <w:textDirection w:val="lrTb"/>
            <w:noWrap w:val="false"/>
          </w:tcPr>
          <w:p>
            <w:pPr>
              <w:ind w:left="-38"/>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1059"/>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3.1</w:t>
            </w:r>
            <w:r/>
          </w:p>
        </w:tc>
        <w:tc>
          <w:tcPr>
            <w:tcW w:w="1205"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lang w:val="en-US" w:eastAsia="zh-CN"/>
              </w:rPr>
              <w:t xml:space="preserve">类似</w:t>
            </w:r>
            <w:r>
              <w:rPr>
                <w:rFonts w:hint="eastAsia" w:ascii="仿宋" w:hAnsi="仿宋" w:eastAsia="仿宋" w:cs="仿宋"/>
                <w:b w:val="0"/>
                <w:bCs/>
                <w:color w:val="000000"/>
                <w:sz w:val="21"/>
                <w:szCs w:val="21"/>
              </w:rPr>
              <w:t xml:space="preserve">业绩</w:t>
            </w:r>
            <w:r/>
          </w:p>
        </w:tc>
        <w:tc>
          <w:tcPr>
            <w:tcW w:w="814"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b/>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w:t>
            </w:r>
            <w:r/>
          </w:p>
        </w:tc>
        <w:tc>
          <w:tcPr>
            <w:tcW w:w="5126"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sz w:val="21"/>
                <w:szCs w:val="21"/>
                <w:highlight w:val="none"/>
                <w:lang w:val="en-US" w:eastAsia="zh-CN" w:bidi="ar"/>
              </w:rPr>
            </w:pPr>
            <w:r>
              <w:rPr>
                <w:rFonts w:hint="eastAsia" w:ascii="仿宋" w:hAnsi="仿宋" w:eastAsia="仿宋" w:cs="仿宋"/>
                <w:color w:val="000000"/>
                <w:szCs w:val="21"/>
                <w:lang w:val="en-US" w:eastAsia="zh-CN"/>
              </w:rPr>
              <w:t xml:space="preserve">供应商自2023年4月1日起至本项目磋商截止之日止（业绩时间以合同签订日</w:t>
            </w:r>
            <w:r>
              <w:rPr>
                <w:rFonts w:hint="eastAsia" w:ascii="仿宋" w:hAnsi="仿宋" w:eastAsia="仿宋" w:cs="仿宋"/>
                <w:color w:val="000000"/>
                <w:szCs w:val="21"/>
                <w:highlight w:val="none"/>
                <w:lang w:val="en-US" w:eastAsia="zh-CN"/>
              </w:rPr>
              <w:t xml:space="preserve">期为准），承担过变电所增容改造项目或电力工程施工总承包业绩的，每提供1个有效业绩得2分，本项最高得10分，未提供不得分。</w:t>
            </w:r>
            <w:r>
              <w:rPr>
                <w:rFonts w:hint="eastAsia" w:ascii="仿宋" w:hAnsi="仿宋" w:eastAsia="仿宋" w:cs="仿宋"/>
                <w:b/>
                <w:bCs/>
                <w:sz w:val="21"/>
                <w:szCs w:val="21"/>
                <w:highlight w:val="none"/>
                <w:lang w:val="en-US" w:eastAsia="zh-CN" w:bidi="ar"/>
              </w:rPr>
              <w:t xml:space="preserve"> </w:t>
            </w:r>
            <w:r/>
          </w:p>
          <w:p>
            <w:pPr>
              <w:keepLines w:val="0"/>
              <w:keepNext w:val="0"/>
              <w:pageBreakBefore w:val="0"/>
              <w:spacing w:line="312" w:lineRule="auto"/>
              <w:widowControl w:val="off"/>
              <w:rPr>
                <w:rFonts w:hint="eastAsia"/>
              </w:rPr>
            </w:pPr>
            <w:r>
              <w:rPr>
                <w:rFonts w:hint="eastAsia" w:ascii="仿宋" w:hAnsi="仿宋" w:eastAsia="仿宋" w:cs="仿宋"/>
                <w:b/>
                <w:bCs/>
                <w:sz w:val="21"/>
                <w:szCs w:val="21"/>
                <w:highlight w:val="none"/>
                <w:lang w:val="en-US" w:eastAsia="zh-CN" w:bidi="ar"/>
              </w:rPr>
              <w:t xml:space="preserve">注：响应文件中须提供完整有效业绩合同扫描件和竣工验收报告扫描件并加盖供应商电子公章（不含新能源项目），合同完整，包含首页、</w:t>
            </w:r>
            <w:r>
              <w:rPr>
                <w:rFonts w:hint="eastAsia" w:ascii="仿宋" w:hAnsi="仿宋" w:eastAsia="仿宋" w:cs="仿宋"/>
                <w:b/>
                <w:bCs/>
                <w:sz w:val="21"/>
                <w:szCs w:val="21"/>
                <w:lang w:val="en-US" w:eastAsia="zh-CN" w:bidi="ar"/>
              </w:rPr>
              <w:t xml:space="preserve">内容页和签字盖章页，未提供或提供无效的不得分。</w:t>
            </w:r>
            <w:r/>
          </w:p>
        </w:tc>
        <w:tc>
          <w:tcPr>
            <w:tcW w:w="1659"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3.2</w:t>
            </w:r>
            <w:r/>
          </w:p>
        </w:tc>
        <w:tc>
          <w:tcPr>
            <w:tcW w:w="1205"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rPr>
              <w:t xml:space="preserve">综合实力</w:t>
            </w:r>
            <w:r/>
          </w:p>
        </w:tc>
        <w:tc>
          <w:tcPr>
            <w:tcW w:w="814"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p>
        </w:tc>
        <w:tc>
          <w:tcPr>
            <w:tcW w:w="5126"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供应商具有有效的质量管理体系认证、环境管理体系认证、职业健康安全管理体系认证</w:t>
            </w:r>
            <w:r>
              <w:rPr>
                <w:rFonts w:hint="eastAsia" w:ascii="仿宋" w:hAnsi="仿宋" w:eastAsia="仿宋" w:cs="仿宋"/>
                <w:color w:val="auto"/>
                <w:sz w:val="21"/>
                <w:szCs w:val="21"/>
                <w:highlight w:val="none"/>
                <w:lang w:val="en-US" w:eastAsia="zh-CN" w:bidi="ar-SA"/>
              </w:rPr>
              <w:t xml:space="preserve">，每</w:t>
            </w:r>
            <w:r>
              <w:rPr>
                <w:rFonts w:hint="eastAsia" w:ascii="仿宋" w:hAnsi="仿宋" w:eastAsia="仿宋" w:cs="仿宋"/>
                <w:color w:val="auto"/>
                <w:sz w:val="21"/>
                <w:szCs w:val="21"/>
                <w:lang w:val="en-US" w:eastAsia="zh-CN" w:bidi="ar-SA"/>
              </w:rPr>
              <w:t xml:space="preserve">提供1项得1分，本项最高得3分。</w:t>
            </w:r>
            <w:r/>
          </w:p>
          <w:p>
            <w:pPr>
              <w:keepLines w:val="0"/>
              <w:keepNext w:val="0"/>
              <w:pageBreakBefore w:val="0"/>
              <w:spacing w:line="312" w:lineRule="auto"/>
              <w:widowControl w:val="off"/>
              <w:rPr>
                <w:rFonts w:hint="eastAsia" w:ascii="仿宋" w:hAnsi="仿宋" w:eastAsia="仿宋" w:cs="仿宋"/>
                <w:b/>
                <w:bCs/>
                <w:sz w:val="21"/>
                <w:szCs w:val="21"/>
                <w:lang w:val="en-US" w:eastAsia="zh-CN" w:bidi="ar"/>
              </w:rPr>
            </w:pPr>
            <w:r>
              <w:rPr>
                <w:rFonts w:hint="eastAsia" w:ascii="仿宋" w:hAnsi="仿宋" w:eastAsia="仿宋" w:cs="仿宋"/>
                <w:b/>
                <w:bCs/>
                <w:sz w:val="21"/>
                <w:szCs w:val="21"/>
                <w:lang w:val="en-US" w:eastAsia="zh-CN" w:bidi="ar"/>
              </w:rPr>
              <w:t xml:space="preserve">注:响应文件中须提供证书扫描件，并加盖供应商电子公章，同时附国家认监委官方网站的有效查询链接，否则本项不得分。</w:t>
            </w:r>
            <w:r/>
          </w:p>
          <w:p>
            <w:pP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b/>
                <w:bCs/>
                <w:sz w:val="21"/>
                <w:szCs w:val="21"/>
                <w:lang w:val="en-US" w:eastAsia="zh-CN" w:bidi="ar"/>
              </w:rPr>
              <w:t xml:space="preserve">（如经评标委员会查证证书与实际情况不符的，按无效投标文件处理。）</w:t>
            </w:r>
            <w:r/>
          </w:p>
        </w:tc>
        <w:tc>
          <w:tcPr>
            <w:tcW w:w="1659"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3.3</w:t>
            </w:r>
            <w:r/>
          </w:p>
        </w:tc>
        <w:tc>
          <w:tcPr>
            <w:tcW w:w="1205" w:type="dxa"/>
            <w:vAlign w:val="center"/>
            <w:textDirection w:val="lrTb"/>
            <w:noWrap w:val="false"/>
          </w:tcPr>
          <w:p>
            <w:pPr>
              <w:jc w:val="center"/>
              <w:keepLines w:val="0"/>
              <w:keepNext w:val="0"/>
              <w:pageBreakBefore w:val="0"/>
              <w:spacing w:line="288" w:lineRule="auto"/>
              <w:widowControl/>
              <w:rPr>
                <w:rFonts w:hint="eastAsia" w:ascii="仿宋" w:hAnsi="仿宋" w:eastAsia="仿宋" w:cs="仿宋"/>
                <w:b w:val="0"/>
                <w:bCs/>
                <w:color w:val="000000"/>
                <w:sz w:val="21"/>
                <w:szCs w:val="21"/>
                <w:highlight w:val="none"/>
              </w:rPr>
            </w:pPr>
            <w:r>
              <w:rPr>
                <w:rFonts w:hint="eastAsia" w:ascii="仿宋" w:hAnsi="仿宋" w:eastAsia="仿宋" w:cs="仿宋"/>
                <w:color w:val="auto"/>
                <w:sz w:val="21"/>
                <w:szCs w:val="21"/>
                <w:lang w:val="en-US" w:eastAsia="zh-CN" w:bidi="ar-SA"/>
              </w:rPr>
              <w:t xml:space="preserve">法定质保及配套服务承诺</w:t>
            </w:r>
            <w:r/>
          </w:p>
        </w:tc>
        <w:tc>
          <w:tcPr>
            <w:tcW w:w="814" w:type="dxa"/>
            <w:vAlign w:val="center"/>
            <w:textDirection w:val="lrTb"/>
            <w:noWrap w:val="false"/>
          </w:tcPr>
          <w:p>
            <w:pPr>
              <w:jc w:val="center"/>
              <w:keepLines w:val="0"/>
              <w:keepNext w:val="0"/>
              <w:pageBreakBefore w:val="0"/>
              <w:spacing w:line="288" w:lineRule="auto"/>
              <w:widowControl/>
              <w:rPr>
                <w:rFonts w:hint="eastAsia" w:ascii="仿宋" w:hAnsi="仿宋" w:eastAsia="仿宋" w:cs="仿宋"/>
                <w:b/>
                <w:color w:val="000000"/>
                <w:sz w:val="21"/>
                <w:szCs w:val="21"/>
                <w:highlight w:val="none"/>
                <w:lang w:val="en-US" w:eastAsia="zh-CN"/>
              </w:rPr>
            </w:pPr>
            <w:r>
              <w:rPr>
                <w:rFonts w:hint="eastAsia" w:ascii="仿宋" w:hAnsi="仿宋" w:eastAsia="仿宋" w:cs="仿宋"/>
                <w:color w:val="auto"/>
                <w:sz w:val="21"/>
                <w:szCs w:val="21"/>
                <w:lang w:val="en-US" w:eastAsia="zh-CN" w:bidi="ar-SA"/>
              </w:rPr>
              <w:t xml:space="preserve">6</w:t>
            </w:r>
            <w:r/>
          </w:p>
        </w:tc>
        <w:tc>
          <w:tcPr>
            <w:tcW w:w="5126" w:type="dxa"/>
            <w:vAlign w:val="center"/>
            <w:textDirection w:val="lrTb"/>
            <w:noWrap w:val="false"/>
          </w:tcPr>
          <w:p>
            <w:pPr>
              <w:numPr>
                <w:ilvl w:val="0"/>
                <w:numId w:val="0"/>
              </w:numPr>
              <w:keepLines w:val="0"/>
              <w:keepNext w:val="0"/>
              <w:pageBreakBefore w:val="0"/>
              <w:spacing w:line="288" w:lineRule="auto"/>
              <w:widowControl w:val="off"/>
              <w:rPr>
                <w:rFonts w:hint="eastAsia" w:ascii="仿宋" w:hAnsi="仿宋" w:eastAsia="仿宋" w:cs="仿宋"/>
                <w:b/>
                <w:bCs/>
                <w:color w:val="auto"/>
                <w:sz w:val="21"/>
                <w:szCs w:val="21"/>
                <w:lang w:val="en-US" w:eastAsia="zh-CN" w:bidi="ar-SA"/>
              </w:rPr>
            </w:pPr>
            <w:r>
              <w:rPr>
                <w:rFonts w:hint="eastAsia" w:ascii="仿宋" w:hAnsi="仿宋" w:eastAsia="仿宋" w:cs="仿宋"/>
                <w:b/>
                <w:bCs/>
                <w:color w:val="auto"/>
                <w:sz w:val="21"/>
                <w:szCs w:val="21"/>
                <w:lang w:val="en-US" w:eastAsia="zh-CN" w:bidi="ar-SA"/>
              </w:rPr>
              <w:t xml:space="preserve">一、质保履约承诺（3分）</w:t>
            </w:r>
            <w:r/>
          </w:p>
          <w:p>
            <w:pPr>
              <w:numPr>
                <w:ilvl w:val="0"/>
                <w:numId w:val="0"/>
              </w:numPr>
              <w:keepLines w:val="0"/>
              <w:keepNext w:val="0"/>
              <w:pageBreakBefore w:val="0"/>
              <w:spacing w:line="288" w:lineRule="auto"/>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供应商承诺在满足采购文件质保期基本要求及满足国家现行相关规范的基础上，整体每免费延长1年得1分，本项最高得3分。</w:t>
            </w:r>
            <w:r/>
          </w:p>
          <w:p>
            <w:pPr>
              <w:numPr>
                <w:ilvl w:val="0"/>
                <w:numId w:val="0"/>
              </w:numPr>
              <w:keepLines w:val="0"/>
              <w:keepNext w:val="0"/>
              <w:pageBreakBefore w:val="0"/>
              <w:spacing w:line="288"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二、增值服务承诺（3分）</w:t>
            </w:r>
            <w:r/>
          </w:p>
          <w:p>
            <w:pPr>
              <w:numPr>
                <w:ilvl w:val="0"/>
                <w:numId w:val="0"/>
              </w:numPr>
              <w:keepLines w:val="0"/>
              <w:keepNext w:val="0"/>
              <w:pageBreakBefore w:val="0"/>
              <w:spacing w:line="288"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1.承诺项目竣工验收送电完毕后，后期如需开展停电检修工作，免费为校方提供1次停电检修服务，得1 分。</w:t>
            </w:r>
            <w:r/>
          </w:p>
          <w:p>
            <w:pPr>
              <w:numPr>
                <w:ilvl w:val="0"/>
                <w:numId w:val="0"/>
              </w:numPr>
              <w:keepLines w:val="0"/>
              <w:keepNext w:val="0"/>
              <w:pageBreakBefore w:val="0"/>
              <w:spacing w:line="288"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2.承诺在采购文件约定标准质保期限内，每年免费开展不少于2次变电所全站常态化安全巡检，并据实出具完整巡检记录及台账资料，得1分。</w:t>
            </w:r>
            <w:r/>
          </w:p>
          <w:p>
            <w:pPr>
              <w:numPr>
                <w:ilvl w:val="0"/>
                <w:numId w:val="0"/>
              </w:numPr>
              <w:keepLines w:val="0"/>
              <w:keepNext w:val="0"/>
              <w:pageBreakBefore w:val="0"/>
              <w:spacing w:line="288"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3.承诺项目竣工验收送电后，免费为本变电站10kV分变做预防性试验一次，得1分。</w:t>
            </w:r>
            <w:r/>
          </w:p>
          <w:p>
            <w:pPr>
              <w:numPr>
                <w:ilvl w:val="0"/>
                <w:numId w:val="0"/>
              </w:numPr>
              <w:keepLines w:val="0"/>
              <w:keepNext w:val="0"/>
              <w:pageBreakBefore w:val="0"/>
              <w:spacing w:line="288" w:lineRule="auto"/>
              <w:widowControl w:val="off"/>
              <w:rPr>
                <w:rFonts w:hint="eastAsia" w:ascii="仿宋" w:hAnsi="仿宋" w:eastAsia="仿宋" w:cs="仿宋"/>
                <w:color w:val="000000"/>
                <w:sz w:val="21"/>
                <w:szCs w:val="21"/>
                <w:highlight w:val="none"/>
              </w:rPr>
            </w:pPr>
            <w:r>
              <w:rPr>
                <w:rFonts w:hint="eastAsia" w:ascii="仿宋" w:hAnsi="仿宋" w:eastAsia="仿宋" w:cs="仿宋"/>
                <w:b/>
                <w:bCs/>
                <w:sz w:val="21"/>
                <w:szCs w:val="21"/>
                <w:lang w:val="en-US" w:eastAsia="zh-CN" w:bidi="ar"/>
              </w:rPr>
              <w:t xml:space="preserve">注：响应文件中须提供承诺函并加盖供应商电子公章，未提供不得分。</w:t>
            </w:r>
            <w:r/>
          </w:p>
        </w:tc>
        <w:tc>
          <w:tcPr>
            <w:tcW w:w="1659"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3.4</w:t>
            </w:r>
            <w:r/>
          </w:p>
        </w:tc>
        <w:tc>
          <w:tcPr>
            <w:tcW w:w="1205" w:type="dxa"/>
            <w:vAlign w:val="center"/>
            <w:textDirection w:val="lrTb"/>
            <w:noWrap w:val="false"/>
          </w:tcPr>
          <w:p>
            <w:pPr>
              <w:jc w:val="center"/>
              <w:keepLines w:val="0"/>
              <w:keepNext w:val="0"/>
              <w:pageBreakBefore w:val="0"/>
              <w:spacing w:line="288" w:lineRule="auto"/>
              <w:widowControl/>
              <w:rPr>
                <w:rFonts w:hint="eastAsia" w:ascii="仿宋" w:hAnsi="仿宋" w:eastAsia="仿宋" w:cs="仿宋"/>
                <w:b w:val="0"/>
                <w:bCs/>
                <w:color w:val="000000"/>
                <w:sz w:val="21"/>
                <w:szCs w:val="21"/>
                <w:highlight w:val="none"/>
              </w:rPr>
            </w:pPr>
            <w:r>
              <w:rPr>
                <w:rFonts w:hint="eastAsia" w:ascii="仿宋" w:hAnsi="仿宋" w:eastAsia="仿宋" w:cs="仿宋"/>
                <w:color w:val="auto"/>
                <w:sz w:val="21"/>
                <w:szCs w:val="21"/>
                <w:lang w:val="en-US" w:eastAsia="zh-CN" w:bidi="ar-SA"/>
              </w:rPr>
              <w:t xml:space="preserve">个性化额外增值服务</w:t>
            </w:r>
            <w:r/>
          </w:p>
        </w:tc>
        <w:tc>
          <w:tcPr>
            <w:tcW w:w="814" w:type="dxa"/>
            <w:vAlign w:val="center"/>
            <w:textDirection w:val="lrTb"/>
            <w:noWrap w:val="false"/>
          </w:tcPr>
          <w:p>
            <w:pPr>
              <w:jc w:val="center"/>
              <w:keepLines w:val="0"/>
              <w:keepNext w:val="0"/>
              <w:pageBreakBefore w:val="0"/>
              <w:spacing w:line="288" w:lineRule="auto"/>
              <w:widowControl/>
              <w:rPr>
                <w:rFonts w:hint="eastAsia" w:ascii="仿宋" w:hAnsi="仿宋" w:eastAsia="仿宋" w:cs="仿宋"/>
                <w:b/>
                <w:color w:val="000000"/>
                <w:sz w:val="21"/>
                <w:szCs w:val="21"/>
                <w:highlight w:val="none"/>
                <w:lang w:val="en-US" w:eastAsia="zh-CN"/>
              </w:rPr>
            </w:pPr>
            <w:r>
              <w:rPr>
                <w:rFonts w:hint="eastAsia" w:ascii="仿宋" w:hAnsi="仿宋" w:eastAsia="仿宋" w:cs="仿宋"/>
                <w:color w:val="auto"/>
                <w:sz w:val="21"/>
                <w:szCs w:val="21"/>
                <w:lang w:val="en-US" w:eastAsia="zh-CN" w:bidi="ar-SA"/>
              </w:rPr>
              <w:t xml:space="preserve">2</w:t>
            </w:r>
            <w:r/>
          </w:p>
        </w:tc>
        <w:tc>
          <w:tcPr>
            <w:tcW w:w="5126" w:type="dxa"/>
            <w:vAlign w:val="center"/>
            <w:textDirection w:val="lrTb"/>
            <w:noWrap w:val="false"/>
          </w:tcPr>
          <w:p>
            <w:pPr>
              <w:numPr>
                <w:ilvl w:val="0"/>
                <w:numId w:val="0"/>
              </w:numPr>
              <w:keepLines w:val="0"/>
              <w:keepNext w:val="0"/>
              <w:pageBreakBefore w:val="0"/>
              <w:spacing w:line="288"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供应商结合本项目建设内容、校园实际使用场景、日常管理需求及现场现状，主动提出合理化改进建议、优化实施方案及配套保障措施等实质性服务内容，经磋商小组评审一致认定，每采纳1项完整可行、贴合项目实际的有效建议或措施得1分，本项最高得2分；未提供相关建议及措施的，本项不得分。</w:t>
            </w:r>
            <w:r/>
          </w:p>
          <w:p>
            <w:pPr>
              <w:pStyle w:val="818"/>
              <w:keepLines w:val="0"/>
              <w:keepNext w:val="0"/>
              <w:pageBreakBefore w:val="0"/>
              <w:spacing w:line="288" w:lineRule="auto"/>
              <w:widowControl w:val="off"/>
              <w:rPr>
                <w:rFonts w:hint="eastAsia"/>
              </w:rPr>
            </w:pPr>
            <w:r>
              <w:rPr>
                <w:rFonts w:hint="eastAsia" w:ascii="仿宋" w:hAnsi="仿宋" w:eastAsia="仿宋" w:cs="仿宋"/>
                <w:b/>
                <w:bCs/>
                <w:color w:val="auto"/>
                <w:sz w:val="21"/>
                <w:szCs w:val="21"/>
                <w:lang w:val="en-US" w:eastAsia="zh-CN" w:bidi="ar"/>
              </w:rPr>
              <w:t xml:space="preserve">注：响应文件中须提供承诺函并加盖供应商电子公章，未提供不得分。</w:t>
            </w:r>
            <w:r/>
          </w:p>
        </w:tc>
        <w:tc>
          <w:tcPr>
            <w:tcW w:w="1659"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3.5</w:t>
            </w:r>
            <w:r/>
          </w:p>
        </w:tc>
        <w:tc>
          <w:tcPr>
            <w:tcW w:w="1205"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 xml:space="preserve">项目组成员</w:t>
            </w:r>
            <w:r/>
          </w:p>
        </w:tc>
        <w:tc>
          <w:tcPr>
            <w:tcW w:w="814" w:type="dxa"/>
            <w:vAlign w:val="center"/>
            <w:textDirection w:val="lrTb"/>
            <w:noWrap w:val="false"/>
          </w:tcPr>
          <w:p>
            <w:pPr>
              <w:jc w:val="center"/>
              <w:keepLines w:val="0"/>
              <w:keepNext w:val="0"/>
              <w:pageBreakBefore w:val="0"/>
              <w:spacing w:line="288" w:lineRule="auto"/>
              <w:widowControl/>
              <w:rPr>
                <w:rFonts w:hint="default" w:ascii="仿宋" w:hAnsi="仿宋" w:eastAsia="仿宋" w:cs="仿宋"/>
                <w:color w:val="000000"/>
                <w:sz w:val="21"/>
                <w:szCs w:val="21"/>
                <w:lang w:val="en-US" w:eastAsia="zh-CN"/>
              </w:rPr>
            </w:pPr>
            <w:r>
              <w:rPr>
                <w:rFonts w:hint="eastAsia" w:ascii="仿宋" w:hAnsi="仿宋" w:eastAsia="仿宋" w:cs="仿宋"/>
                <w:color w:val="auto"/>
                <w:sz w:val="21"/>
                <w:szCs w:val="21"/>
                <w:lang w:val="en-US" w:eastAsia="zh-CN" w:bidi="ar-SA"/>
              </w:rPr>
              <w:t xml:space="preserve">8</w:t>
            </w:r>
            <w:r/>
          </w:p>
        </w:tc>
        <w:tc>
          <w:tcPr>
            <w:tcW w:w="5126" w:type="dxa"/>
            <w:vAlign w:val="center"/>
            <w:textDirection w:val="lrTb"/>
            <w:noWrap w:val="false"/>
          </w:tcPr>
          <w:p>
            <w:pPr>
              <w:jc w:val="left"/>
              <w:keepLines w:val="0"/>
              <w:keepNext w:val="0"/>
              <w:pageBreakBefore w:val="0"/>
              <w:spacing w:line="288" w:lineRule="auto"/>
              <w:widowControl/>
              <w:rPr>
                <w:rFonts w:hint="eastAsia" w:ascii="仿宋" w:hAnsi="仿宋" w:eastAsia="仿宋" w:cs="仿宋"/>
                <w:b/>
                <w:bCs/>
                <w:color w:val="auto"/>
                <w:sz w:val="21"/>
                <w:szCs w:val="21"/>
                <w:lang w:val="en-US" w:eastAsia="zh-CN" w:bidi="ar-SA"/>
              </w:rPr>
            </w:pPr>
            <w:r>
              <w:rPr>
                <w:rFonts w:hint="eastAsia" w:ascii="仿宋" w:hAnsi="仿宋" w:eastAsia="仿宋" w:cs="仿宋"/>
                <w:b/>
                <w:bCs/>
                <w:color w:val="auto"/>
                <w:sz w:val="21"/>
                <w:szCs w:val="21"/>
                <w:lang w:val="en-US" w:eastAsia="zh-CN" w:bidi="ar-SA"/>
              </w:rPr>
              <w:t xml:space="preserve">项目负责人（1分）</w:t>
            </w:r>
            <w:r/>
          </w:p>
          <w:p>
            <w:pPr>
              <w:jc w:val="left"/>
              <w:keepLines w:val="0"/>
              <w:keepNext w:val="0"/>
              <w:pageBreakBefore w:val="0"/>
              <w:spacing w:line="288" w:lineRule="auto"/>
              <w:widowControl/>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具备建筑工程专业中级及以上工程师职称的，得1分；不满足本项要求不得分。</w:t>
            </w:r>
            <w:r/>
          </w:p>
          <w:p>
            <w:pPr>
              <w:jc w:val="left"/>
              <w:keepLines w:val="0"/>
              <w:keepNext w:val="0"/>
              <w:pageBreakBefore w:val="0"/>
              <w:spacing w:line="288" w:lineRule="auto"/>
              <w:widowControl/>
              <w:rPr>
                <w:rFonts w:hint="eastAsia" w:ascii="仿宋" w:hAnsi="仿宋" w:eastAsia="仿宋" w:cs="仿宋"/>
                <w:b/>
                <w:bCs/>
                <w:color w:val="auto"/>
                <w:sz w:val="21"/>
                <w:szCs w:val="21"/>
                <w:lang w:val="en-US" w:eastAsia="zh-CN" w:bidi="ar-SA"/>
              </w:rPr>
            </w:pPr>
            <w:r>
              <w:rPr>
                <w:rFonts w:hint="eastAsia" w:ascii="仿宋" w:hAnsi="仿宋" w:eastAsia="仿宋" w:cs="仿宋"/>
                <w:b/>
                <w:bCs/>
                <w:color w:val="auto"/>
                <w:sz w:val="21"/>
                <w:szCs w:val="21"/>
                <w:lang w:val="en-US" w:eastAsia="zh-CN" w:bidi="ar-SA"/>
              </w:rPr>
              <w:t xml:space="preserve">项目组成员（项目负责人除外）（7分）</w:t>
            </w:r>
            <w:r/>
          </w:p>
          <w:p>
            <w:pPr>
              <w:jc w:val="left"/>
              <w:keepLines w:val="0"/>
              <w:keepNext w:val="0"/>
              <w:pageBreakBefore w:val="0"/>
              <w:spacing w:line="288" w:lineRule="auto"/>
              <w:widowControl/>
              <w:rPr>
                <w:rFonts w:hint="default" w:ascii="仿宋" w:hAnsi="仿宋" w:eastAsia="仿宋" w:cs="仿宋"/>
                <w:color w:val="auto"/>
                <w:sz w:val="21"/>
                <w:szCs w:val="21"/>
                <w:lang w:val="en-US" w:eastAsia="zh-CN" w:bidi="ar-SA"/>
              </w:rPr>
            </w:pPr>
            <w:r>
              <w:rPr>
                <w:rFonts w:hint="default" w:ascii="仿宋" w:hAnsi="仿宋" w:eastAsia="仿宋" w:cs="仿宋"/>
                <w:color w:val="auto"/>
                <w:sz w:val="21"/>
                <w:szCs w:val="21"/>
                <w:lang w:val="en-US" w:eastAsia="zh-CN" w:bidi="ar-SA"/>
              </w:rPr>
              <w:t xml:space="preserve">项目成员中具有特种作业（高压电工）证的，每1人得1分，本项最高得3分。</w:t>
            </w:r>
            <w:r/>
          </w:p>
          <w:p>
            <w:pPr>
              <w:jc w:val="left"/>
              <w:keepLines w:val="0"/>
              <w:keepNext w:val="0"/>
              <w:pageBreakBefore w:val="0"/>
              <w:spacing w:line="288" w:lineRule="auto"/>
              <w:widowControl/>
              <w:rPr>
                <w:rFonts w:hint="default" w:ascii="仿宋" w:hAnsi="仿宋" w:eastAsia="仿宋" w:cs="仿宋"/>
                <w:color w:val="auto"/>
                <w:sz w:val="21"/>
                <w:szCs w:val="21"/>
                <w:lang w:val="en-US" w:eastAsia="zh-CN" w:bidi="ar-SA"/>
              </w:rPr>
            </w:pPr>
            <w:r>
              <w:rPr>
                <w:rFonts w:hint="default" w:ascii="仿宋" w:hAnsi="仿宋" w:eastAsia="仿宋" w:cs="仿宋"/>
                <w:color w:val="auto"/>
                <w:sz w:val="21"/>
                <w:szCs w:val="21"/>
                <w:lang w:val="en-US" w:eastAsia="zh-CN" w:bidi="ar-SA"/>
              </w:rPr>
              <w:t xml:space="preserve">项目成员中具有工程师及以上职称的，每1人得</w:t>
            </w:r>
            <w:r>
              <w:rPr>
                <w:rFonts w:hint="eastAsia" w:ascii="仿宋" w:hAnsi="仿宋" w:eastAsia="仿宋" w:cs="仿宋"/>
                <w:color w:val="auto"/>
                <w:sz w:val="21"/>
                <w:szCs w:val="21"/>
                <w:lang w:val="en-US" w:eastAsia="zh-CN" w:bidi="ar-SA"/>
              </w:rPr>
              <w:t xml:space="preserve">1</w:t>
            </w:r>
            <w:r>
              <w:rPr>
                <w:rFonts w:hint="default" w:ascii="仿宋" w:hAnsi="仿宋" w:eastAsia="仿宋" w:cs="仿宋"/>
                <w:color w:val="auto"/>
                <w:sz w:val="21"/>
                <w:szCs w:val="21"/>
                <w:lang w:val="en-US" w:eastAsia="zh-CN" w:bidi="ar-SA"/>
              </w:rPr>
              <w:t xml:space="preserve">分，本项最高得</w:t>
            </w:r>
            <w:r>
              <w:rPr>
                <w:rFonts w:hint="eastAsia" w:ascii="仿宋" w:hAnsi="仿宋" w:eastAsia="仿宋" w:cs="仿宋"/>
                <w:color w:val="auto"/>
                <w:sz w:val="21"/>
                <w:szCs w:val="21"/>
                <w:lang w:val="en-US" w:eastAsia="zh-CN" w:bidi="ar-SA"/>
              </w:rPr>
              <w:t xml:space="preserve">3</w:t>
            </w:r>
            <w:r>
              <w:rPr>
                <w:rFonts w:hint="default" w:ascii="仿宋" w:hAnsi="仿宋" w:eastAsia="仿宋" w:cs="仿宋"/>
                <w:color w:val="auto"/>
                <w:sz w:val="21"/>
                <w:szCs w:val="21"/>
                <w:lang w:val="en-US" w:eastAsia="zh-CN" w:bidi="ar-SA"/>
              </w:rPr>
              <w:t xml:space="preserve">分。</w:t>
            </w:r>
            <w:r/>
          </w:p>
          <w:p>
            <w:pPr>
              <w:jc w:val="left"/>
              <w:keepLines w:val="0"/>
              <w:keepNext w:val="0"/>
              <w:pageBreakBefore w:val="0"/>
              <w:spacing w:line="288" w:lineRule="auto"/>
              <w:widowControl/>
              <w:rPr>
                <w:rFonts w:hint="default"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项目组成员中有特种电工作业证(电试），得1分，最高得1</w:t>
            </w:r>
            <w:r>
              <w:rPr>
                <w:rFonts w:hint="default" w:ascii="仿宋" w:hAnsi="仿宋" w:eastAsia="仿宋" w:cs="仿宋"/>
                <w:color w:val="auto"/>
                <w:sz w:val="21"/>
                <w:szCs w:val="21"/>
                <w:lang w:val="en-US" w:eastAsia="zh-CN" w:bidi="ar-SA"/>
              </w:rPr>
              <w:t xml:space="preserve">分。</w:t>
            </w:r>
            <w:r/>
          </w:p>
          <w:p>
            <w:pPr>
              <w:jc w:val="left"/>
              <w:keepLines w:val="0"/>
              <w:keepNext w:val="0"/>
              <w:pageBreakBefore w:val="0"/>
              <w:spacing w:line="288" w:lineRule="auto"/>
              <w:widowControl/>
              <w:rPr>
                <w:rFonts w:hint="eastAsia" w:ascii="仿宋" w:hAnsi="仿宋" w:eastAsia="仿宋" w:cs="仿宋"/>
                <w:color w:val="000000"/>
                <w:sz w:val="21"/>
                <w:szCs w:val="21"/>
              </w:rPr>
            </w:pPr>
            <w:r>
              <w:rPr>
                <w:rFonts w:hint="eastAsia" w:ascii="仿宋" w:hAnsi="仿宋" w:eastAsia="仿宋" w:cs="仿宋"/>
                <w:b/>
                <w:bCs/>
                <w:color w:val="auto"/>
                <w:sz w:val="21"/>
                <w:szCs w:val="21"/>
                <w:lang w:val="en-US" w:eastAsia="zh-CN" w:bidi="ar-SA"/>
              </w:rPr>
              <w:t xml:space="preserve">注：响应文件中须提供上述人员有效证书扫描件，以及供应商为其缴纳的2026年2月-4月任意一个月社保缴费证明，所有材料均需加盖供应商电子公章，未提供或提供材料不符合要求、无效的，对应评分项不得分。</w:t>
            </w:r>
            <w:r/>
          </w:p>
        </w:tc>
        <w:tc>
          <w:tcPr>
            <w:tcW w:w="1659"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437"/>
        </w:trPr>
        <w:tc>
          <w:tcPr>
            <w:gridSpan w:val="2"/>
            <w:tcW w:w="1885" w:type="dxa"/>
            <w:vAlign w:val="center"/>
            <w:textDirection w:val="lrTb"/>
            <w:noWrap w:val="false"/>
          </w:tcPr>
          <w:p>
            <w:pPr>
              <w:ind w:firstLine="28"/>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合计</w:t>
            </w:r>
            <w:r/>
          </w:p>
        </w:tc>
        <w:tc>
          <w:tcPr>
            <w:tcW w:w="814" w:type="dxa"/>
            <w:vAlign w:val="center"/>
            <w:textDirection w:val="lrTb"/>
            <w:noWrap w:val="false"/>
          </w:tcPr>
          <w:p>
            <w:pPr>
              <w:ind w:firstLine="28"/>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100</w:t>
            </w:r>
            <w:r/>
          </w:p>
        </w:tc>
        <w:tc>
          <w:tcPr>
            <w:gridSpan w:val="2"/>
            <w:tcW w:w="6785" w:type="dxa"/>
            <w:vAlign w:val="center"/>
            <w:textDirection w:val="lrTb"/>
            <w:noWrap w:val="false"/>
          </w:tcPr>
          <w:p>
            <w:pP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contextualSpacing/>
        <w:ind w:firstLine="420"/>
        <w:spacing w:line="360" w:lineRule="auto"/>
        <w:rPr>
          <w:rStyle w:val="1151"/>
          <w:rFonts w:hint="eastAsia" w:ascii="仿宋" w:hAnsi="仿宋" w:eastAsia="仿宋" w:cs="Times New Roman"/>
          <w:color w:val="000000"/>
          <w:sz w:val="21"/>
          <w:szCs w:val="21"/>
          <w:highlight w:val="none"/>
        </w:rPr>
      </w:pPr>
      <w:r>
        <w:rPr>
          <w:rStyle w:val="1151"/>
          <w:rFonts w:hint="eastAsia" w:ascii="仿宋" w:hAnsi="仿宋" w:eastAsia="仿宋" w:cs="Times New Roman"/>
          <w:color w:val="000000"/>
          <w:sz w:val="21"/>
          <w:szCs w:val="21"/>
          <w:highlight w:val="none"/>
        </w:rPr>
        <w:t xml:space="preserve">注：1.评标标准中要求提供的证明文件及资料等按要求在响应文件中提供扫描件或复印件；所有资料内容、印章必须完整、清晰可辨且在有效期内。磋商小组成员半数以上认定模糊无法辨认的不得分。</w:t>
      </w:r>
      <w:r/>
    </w:p>
    <w:p>
      <w:pPr>
        <w:contextualSpacing/>
        <w:ind w:firstLine="420"/>
        <w:spacing w:line="360" w:lineRule="auto"/>
        <w:rPr>
          <w:rStyle w:val="1151"/>
          <w:rFonts w:hint="eastAsia" w:ascii="仿宋" w:hAnsi="仿宋" w:eastAsia="仿宋" w:cs="Times New Roman"/>
          <w:color w:val="000000"/>
          <w:sz w:val="21"/>
          <w:szCs w:val="21"/>
          <w:highlight w:val="none"/>
        </w:rPr>
      </w:pPr>
      <w:r>
        <w:rPr>
          <w:rStyle w:val="1151"/>
          <w:rFonts w:hint="eastAsia" w:ascii="仿宋" w:hAnsi="仿宋" w:eastAsia="仿宋" w:cs="Times New Roman"/>
          <w:color w:val="000000"/>
          <w:sz w:val="21"/>
          <w:szCs w:val="21"/>
          <w:highlight w:val="none"/>
        </w:rPr>
        <w:t xml:space="preserve">2.评审时，未能按以上要求提供相应证明的，不作为评标依据，不得分。</w:t>
      </w:r>
      <w:r/>
    </w:p>
    <w:p>
      <w:pPr>
        <w:contextualSpacing/>
        <w:ind w:firstLine="420"/>
        <w:spacing w:line="360" w:lineRule="auto"/>
        <w:rPr>
          <w:rStyle w:val="1151"/>
          <w:rFonts w:hint="eastAsia" w:ascii="仿宋" w:hAnsi="仿宋" w:eastAsia="仿宋" w:cs="Times New Roman"/>
          <w:color w:val="000000"/>
          <w:sz w:val="21"/>
          <w:szCs w:val="21"/>
          <w:highlight w:val="none"/>
        </w:rPr>
      </w:pPr>
      <w:r>
        <w:rPr>
          <w:rStyle w:val="1151"/>
          <w:rFonts w:hint="eastAsia" w:ascii="仿宋" w:hAnsi="仿宋" w:eastAsia="仿宋" w:cs="Times New Roman"/>
          <w:color w:val="000000"/>
          <w:sz w:val="21"/>
          <w:szCs w:val="21"/>
          <w:highlight w:val="none"/>
        </w:rPr>
        <w:t xml:space="preserve">3.扫描件必须直接用原件扫描，要求字迹清晰，确保文字内容能看清无变形。</w:t>
      </w:r>
      <w:r/>
    </w:p>
    <w:p>
      <w:pPr>
        <w:contextualSpacing/>
        <w:ind w:firstLine="420"/>
        <w:spacing w:line="360" w:lineRule="auto"/>
        <w:rPr>
          <w:rStyle w:val="1151"/>
          <w:rFonts w:hint="eastAsia" w:ascii="仿宋" w:hAnsi="仿宋" w:eastAsia="仿宋" w:cs="Times New Roman"/>
          <w:color w:val="000000"/>
          <w:sz w:val="21"/>
          <w:szCs w:val="21"/>
          <w:highlight w:val="none"/>
        </w:rPr>
      </w:pPr>
      <w:r>
        <w:rPr>
          <w:rStyle w:val="1151"/>
          <w:rFonts w:hint="eastAsia" w:ascii="仿宋" w:hAnsi="仿宋" w:eastAsia="仿宋" w:cs="Times New Roman"/>
          <w:color w:val="000000"/>
          <w:sz w:val="21"/>
          <w:szCs w:val="21"/>
          <w:highlight w:val="none"/>
        </w:rPr>
        <w:t xml:space="preserve">4.采用电子证书或者网络截图，必须使用经过备案的政府官方网站截图，且必须是可供任何人查询的公开信息，截图必须包含网址和网站名称，保证他人能够通过网址再次查询到。</w:t>
      </w:r>
      <w:r/>
    </w:p>
    <w:p>
      <w:pPr>
        <w:contextualSpacing/>
        <w:ind w:firstLine="420"/>
        <w:spacing w:line="360" w:lineRule="auto"/>
        <w:rPr>
          <w:rStyle w:val="1151"/>
          <w:rFonts w:hint="eastAsia" w:ascii="仿宋" w:hAnsi="仿宋" w:eastAsia="仿宋" w:cs="Times New Roman"/>
          <w:color w:val="000000"/>
          <w:sz w:val="21"/>
          <w:szCs w:val="21"/>
          <w:highlight w:val="none"/>
        </w:rPr>
      </w:pPr>
      <w:r>
        <w:rPr>
          <w:rStyle w:val="1151"/>
          <w:rFonts w:hint="eastAsia" w:ascii="仿宋" w:hAnsi="仿宋" w:eastAsia="仿宋" w:cs="Times New Roman"/>
          <w:color w:val="000000"/>
          <w:sz w:val="21"/>
          <w:szCs w:val="21"/>
          <w:highlight w:val="none"/>
        </w:rPr>
        <w:t xml:space="preserve">5.供应商按评分细则所有得分项目均视为对本次磋商的承诺，成交后均作为合同的组成部分。</w:t>
      </w:r>
      <w:r/>
    </w:p>
    <w:p>
      <w:pPr>
        <w:contextualSpacing/>
        <w:ind w:firstLine="420"/>
        <w:jc w:val="center"/>
        <w:spacing w:line="360" w:lineRule="auto"/>
        <w:rPr>
          <w:rFonts w:hint="eastAsia" w:ascii="仿宋" w:hAnsi="仿宋" w:eastAsia="仿宋" w:cs="仿宋"/>
          <w:b/>
          <w:color w:val="000000"/>
          <w:sz w:val="36"/>
          <w:szCs w:val="36"/>
          <w:highlight w:val="none"/>
        </w:rPr>
      </w:pPr>
      <w:r>
        <w:rPr>
          <w:rStyle w:val="1151"/>
          <w:rFonts w:hint="eastAsia" w:ascii="仿宋" w:hAnsi="仿宋" w:eastAsia="仿宋" w:cs="Times New Roman"/>
          <w:color w:val="000000"/>
          <w:sz w:val="21"/>
          <w:szCs w:val="21"/>
          <w:highlight w:val="none"/>
        </w:rPr>
        <w:br w:type="page" w:clear="all"/>
      </w:r>
      <w:bookmarkStart w:id="760" w:name="_Toc151381411"/>
      <w:r>
        <w:rPr>
          <w:rFonts w:hint="eastAsia" w:ascii="仿宋" w:hAnsi="仿宋" w:eastAsia="仿宋" w:cs="仿宋"/>
          <w:b/>
          <w:color w:val="000000"/>
          <w:sz w:val="36"/>
          <w:szCs w:val="36"/>
          <w:highlight w:val="none"/>
        </w:rPr>
        <w:t xml:space="preserve">第四章   采购需求</w:t>
      </w:r>
      <w:bookmarkEnd w:id="760"/>
      <w:r/>
      <w:r/>
    </w:p>
    <w:p>
      <w:pPr>
        <w:pStyle w:val="829"/>
        <w:numPr>
          <w:ilvl w:val="0"/>
          <w:numId w:val="0"/>
        </w:numPr>
        <w:contextualSpacing/>
        <w:ind w:firstLine="422"/>
        <w:spacing w:line="360" w:lineRule="auto"/>
        <w:rPr>
          <w:rFonts w:hint="eastAsia" w:ascii="仿宋" w:hAnsi="仿宋" w:eastAsia="仿宋" w:cs="仿宋"/>
          <w:b/>
          <w:color w:val="000000"/>
          <w:sz w:val="21"/>
          <w:szCs w:val="21"/>
          <w:highlight w:val="none"/>
          <w:lang w:val="en-US" w:eastAsia="zh-CN"/>
        </w:rPr>
      </w:pPr>
      <w:r/>
      <w:bookmarkStart w:id="761" w:name="_Toc104818929"/>
      <w:r>
        <w:rPr>
          <w:rFonts w:hint="eastAsia" w:ascii="仿宋" w:hAnsi="仿宋" w:eastAsia="仿宋" w:cs="仿宋"/>
          <w:b/>
          <w:color w:val="000000"/>
          <w:sz w:val="21"/>
          <w:szCs w:val="21"/>
          <w:highlight w:val="none"/>
          <w:lang w:val="en-US" w:eastAsia="zh-CN"/>
        </w:rPr>
        <w:t xml:space="preserve">一、项目概况</w:t>
      </w:r>
      <w:r/>
    </w:p>
    <w:p>
      <w:pPr>
        <w:ind w:firstLine="480"/>
        <w:spacing w:line="360" w:lineRule="auto"/>
        <w:rPr>
          <w:rFonts w:hint="eastAsia" w:ascii="仿宋_GB2312" w:hAnsi="仿宋" w:eastAsia="仿宋_GB2312" w:cs="宋体"/>
          <w:b w:val="0"/>
          <w:bCs w:val="0"/>
          <w:color w:val="auto"/>
          <w:spacing w:val="8"/>
          <w:sz w:val="21"/>
          <w:szCs w:val="21"/>
          <w:u w:val="none"/>
          <w:lang w:val="en-US"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.项目名称：</w:t>
      </w:r>
      <w:r>
        <w:rPr>
          <w:rFonts w:hint="eastAsia" w:ascii="仿宋_GB2312" w:hAnsi="仿宋" w:eastAsia="仿宋_GB2312" w:cs="宋体"/>
          <w:b w:val="0"/>
          <w:bCs w:val="0"/>
          <w:color w:val="auto"/>
          <w:spacing w:val="8"/>
          <w:sz w:val="21"/>
          <w:szCs w:val="21"/>
          <w:u w:val="none"/>
          <w:lang w:val="en-US" w:eastAsia="zh-CN"/>
        </w:rPr>
        <w:t xml:space="preserve">常州机电职业技术学院教学楼变电所增容项目</w:t>
      </w:r>
      <w:r/>
    </w:p>
    <w:p>
      <w:pPr>
        <w:ind w:left="1529" w:hanging="1050"/>
        <w:jc w:val="left"/>
        <w:spacing w:line="360" w:lineRule="auto"/>
        <w:rPr>
          <w:rFonts w:hint="default" w:ascii="仿宋_GB2312" w:hAnsi="仿宋" w:eastAsia="仿宋_GB2312" w:cs="宋体"/>
          <w:b w:val="0"/>
          <w:bCs w:val="0"/>
          <w:color w:val="auto"/>
          <w:spacing w:val="8"/>
          <w:sz w:val="21"/>
          <w:szCs w:val="21"/>
          <w:u w:val="none"/>
          <w:lang w:val="en-US" w:eastAsia="zh-CN"/>
        </w:rPr>
        <w:outlineLvl w:val="0"/>
      </w:pPr>
      <w:r>
        <w:rPr>
          <w:rFonts w:hint="eastAsia" w:ascii="仿宋" w:hAnsi="仿宋" w:eastAsia="仿宋" w:cs="仿宋"/>
          <w:color w:val="000000"/>
          <w:sz w:val="21"/>
          <w:szCs w:val="21"/>
          <w:highlight w:val="none"/>
          <w:lang w:val="en-US" w:eastAsia="zh-CN"/>
        </w:rPr>
        <w:t xml:space="preserve">2.项目地点：</w:t>
      </w:r>
      <w:r>
        <w:rPr>
          <w:rFonts w:hint="eastAsia" w:ascii="仿宋" w:hAnsi="仿宋" w:eastAsia="仿宋" w:cs="仿宋"/>
          <w:szCs w:val="21"/>
          <w:highlight w:val="none"/>
          <w:lang w:val="en-US" w:eastAsia="zh-CN"/>
        </w:rPr>
        <w:t xml:space="preserve">常州机电职业技术学院（武进校区）</w:t>
      </w:r>
      <w:r/>
    </w:p>
    <w:p>
      <w:pPr>
        <w:ind w:firstLine="480"/>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3.项目预算金额：人民币2840000元</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color w:val="000000"/>
          <w:szCs w:val="21"/>
          <w:lang w:val="en-US" w:eastAsia="zh-CN"/>
        </w:rPr>
        <w:t xml:space="preserve">4.项目最高限价：人民币2828432.26元，磋商供应商的响应报价不得低于工程成本且不得高于最高投标限价</w:t>
      </w:r>
      <w:r>
        <w:rPr>
          <w:rFonts w:hint="eastAsia" w:ascii="仿宋" w:hAnsi="仿宋" w:eastAsia="仿宋" w:cs="仿宋"/>
          <w:szCs w:val="21"/>
          <w:highlight w:val="none"/>
          <w:lang w:val="en-US" w:eastAsia="zh-CN"/>
        </w:rPr>
        <w:t xml:space="preserve">，已标价工程量清单中任一分部分项工程和单价措施项目响应单价不得超过最高投标限价相对应分部分项工程和单价措施项目单价，否则作无效响应处理。</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5.采购需求：本项目为新建10kV变电所工程，核心目的是解决学校善思楼、善学楼空调</w:t>
      </w:r>
      <w:r>
        <w:rPr>
          <w:rFonts w:hint="eastAsia" w:ascii="仿宋" w:hAnsi="仿宋" w:eastAsia="仿宋" w:cs="仿宋"/>
          <w:szCs w:val="21"/>
          <w:highlight w:val="none"/>
          <w:lang w:val="en-US" w:eastAsia="zh-CN"/>
        </w:rPr>
        <w:t xml:space="preserve">系统新增负荷的供电需求（善思楼空调功率454kW，善学楼空调功率497.41kW，合计总功率951.41kW），保障空调系统及相关教学、办公设施正常供电。本工程为交钥匙工程，范围包含但不限于：变电所土建施工、设备采购与安装、电气线路铺设、试验调试、验收投运、后期维保及相关技术服务等全部工作内容。成交单位须对本项目技术标准、工程质量、施工安全、建设进度、全部费用（含设备购置费、建安施工费、供电综合服务费、质保期服务费等）全权负责，最终向采购人交付功能完善、运行达标、验收合格并具备正常使用条件的完整变电所工程。</w:t>
      </w:r>
      <w:r/>
    </w:p>
    <w:p>
      <w:pPr>
        <w:numPr>
          <w:ilvl w:val="0"/>
          <w:numId w:val="0"/>
        </w:num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6.合同履行期限：本工程开工日期以采购人发出的开工通知为准，须在30个日历天内完工并通过全部验收，工期必须严格服从采购人的安排，满足项目进度的要求。</w:t>
      </w:r>
      <w:r/>
    </w:p>
    <w:p>
      <w:pPr>
        <w:pStyle w:val="1242"/>
        <w:contextualSpacing/>
        <w:ind w:firstLine="422"/>
        <w:spacing w:before="0" w:beforeAutospacing="0" w:after="0" w:afterAutospacing="0" w:line="360" w:lineRule="auto"/>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二、工程清单及要求（另附）</w:t>
      </w:r>
      <w:r/>
    </w:p>
    <w:p>
      <w:pPr>
        <w:ind w:firstLine="480"/>
        <w:spacing w:line="360"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详见编制说明、工程量清单及控制价文件要求（另附）。成交单位须严格按照清单内容、施工图纸及本采购需求要求组织施工，不得擅自更改工程范围、施工内容及施工标准，如需变更，须经采购人书面确认。</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三、工程执行标准及规范</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成交单位须全面遵照国家、行业及江苏省现行有效的相关法律、法规、管理条例及施工建设、设计验收标准规范组织施工，确保工程质量、安全、进度符合要求，主要包含但不限于以下现行有效规范标准：</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（1）《35kV及以下电力用户变电所建设规范》(DL/T 5725-2015)</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（2）《供配电系统设计规范》(GB50052-2023)</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（3）《电气装置安装工程低压电器施工及验收规范》(GB50254-2014)</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（4）《10kV及以下变电所设计规范》(GB 50053-2013)</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（5）《电力工程电缆设计标准》(GB50217-2018)</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（6）《电气装置安装工程施工及验收规范》(GB50254-2014)</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（7）国家、江苏省现行电力工程施工、安全文明、消防及竣工验收相关规范标准。</w:t>
      </w:r>
      <w:r/>
    </w:p>
    <w:p>
      <w:pPr>
        <w:ind w:firstLine="480"/>
        <w:spacing w:line="360" w:lineRule="auto"/>
        <w:rPr>
          <w:rFonts w:hint="default"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四、工程施工管控要求</w:t>
      </w:r>
      <w:r/>
    </w:p>
    <w:p>
      <w:p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成交单位须严格遵照执行，确保工程施工质量、安全、进度符合要求，全面落实工程实施全流程责任。</w:t>
      </w:r>
      <w:r/>
    </w:p>
    <w:p>
      <w:pPr>
        <w:numPr>
          <w:ilvl w:val="0"/>
          <w:numId w:val="0"/>
        </w:numPr>
        <w:ind w:firstLine="480"/>
        <w:spacing w:line="360" w:lineRule="auto"/>
        <w:rPr>
          <w:rFonts w:hint="eastAsia" w:ascii="仿宋" w:hAnsi="仿宋" w:eastAsia="仿宋" w:cs="仿宋"/>
          <w:szCs w:val="21"/>
          <w:highlight w:val="none"/>
          <w:lang w:val="en-US" w:eastAsia="zh-CN"/>
        </w:rPr>
      </w:pPr>
      <w:r>
        <w:rPr>
          <w:rFonts w:hint="eastAsia" w:ascii="仿宋" w:hAnsi="仿宋" w:eastAsia="仿宋" w:cs="仿宋"/>
          <w:sz w:val="21"/>
          <w:szCs w:val="21"/>
          <w:lang w:val="en-US" w:eastAsia="zh-CN" w:bidi="ar-SA"/>
        </w:rPr>
        <w:t xml:space="preserve">1.</w:t>
      </w:r>
      <w:r>
        <w:rPr>
          <w:rFonts w:hint="eastAsia" w:ascii="仿宋" w:hAnsi="仿宋" w:eastAsia="仿宋" w:cs="仿宋"/>
          <w:szCs w:val="21"/>
          <w:highlight w:val="none"/>
          <w:lang w:val="en-US" w:eastAsia="zh-CN"/>
        </w:rPr>
        <w:t xml:space="preserve">施工工艺标准：严格按照施工图纸、工程量清单及本采购需求要求施工，遵循国家及行业电气安装施工规范，所有施工工序须符合《电气装置安装工程施工及验收规范》（GB50254-2014）及江苏省相关地方标准；设备安装须符合设备技术参数要求及施工规范，做好设备安装后的固定、密封、接线等收尾工作，保障设备与工程施工衔接顺畅，确保工程整体质量达标。</w:t>
      </w:r>
      <w:r/>
    </w:p>
    <w:p>
      <w:pPr>
        <w:numPr>
          <w:ilvl w:val="0"/>
          <w:numId w:val="0"/>
        </w:numPr>
        <w:ind w:firstLine="480"/>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w:t>
      </w:r>
      <w:r>
        <w:rPr>
          <w:rFonts w:hint="default" w:ascii="仿宋" w:hAnsi="仿宋" w:eastAsia="仿宋" w:cs="仿宋"/>
          <w:szCs w:val="21"/>
          <w:highlight w:val="none"/>
          <w:lang w:val="en-US" w:eastAsia="zh-CN"/>
        </w:rPr>
        <w:t xml:space="preserve">.施工安全管理：成交单位须建立完善的施工现场安全管理制度，配备专职安全员，落实安全防护措施，设置安全警示标识，严格遵守安全生产相关规定，杜绝安全事故发生；施工过程中发生的安全事故，由成交单位承担全部责任及相关费用，采购人不承担任何安全责任。</w:t>
      </w:r>
      <w:r/>
    </w:p>
    <w:p>
      <w:pPr>
        <w:numPr>
          <w:ilvl w:val="0"/>
          <w:numId w:val="0"/>
        </w:numPr>
        <w:ind w:firstLine="480"/>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w:t>
      </w:r>
      <w:r>
        <w:rPr>
          <w:rFonts w:hint="default" w:ascii="仿宋" w:hAnsi="仿宋" w:eastAsia="仿宋" w:cs="仿宋"/>
          <w:szCs w:val="21"/>
          <w:highlight w:val="none"/>
          <w:lang w:val="en-US" w:eastAsia="zh-CN"/>
        </w:rPr>
        <w:t xml:space="preserve">.工期管控细节：严格按照30个日历天的总工期要求，制定详细的施工进度计划（含设备进场、土建施工、设备安装、试验调试、验收各节点），明确各阶段工期节点，提前报备采购人；若因成交单位自身原因导致工期延误，</w:t>
      </w:r>
      <w:r>
        <w:rPr>
          <w:rFonts w:hint="eastAsia" w:ascii="仿宋" w:hAnsi="仿宋" w:eastAsia="仿宋" w:cs="仿宋"/>
          <w:szCs w:val="21"/>
          <w:highlight w:val="none"/>
          <w:lang w:val="en-US" w:eastAsia="zh-CN"/>
        </w:rPr>
        <w:t xml:space="preserve">相关违约责任按合同约定条款执行。</w:t>
      </w:r>
      <w:r/>
    </w:p>
    <w:p>
      <w:pPr>
        <w:numPr>
          <w:ilvl w:val="0"/>
          <w:numId w:val="0"/>
        </w:numPr>
        <w:ind w:firstLine="480"/>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w:t>
      </w:r>
      <w:r>
        <w:rPr>
          <w:rFonts w:hint="default" w:ascii="仿宋" w:hAnsi="仿宋" w:eastAsia="仿宋" w:cs="仿宋"/>
          <w:szCs w:val="21"/>
          <w:highlight w:val="none"/>
          <w:lang w:val="en-US" w:eastAsia="zh-CN"/>
        </w:rPr>
        <w:t xml:space="preserve">现场协调与技术交底：成交单位须在开工前3个工作日内完成施工技术交底，配合采购人、监理单位、跟踪审计单位开展现场勘查、进度核对等工作，及时协调解决施工过程中的各类问题，确保施工顺利推进；施工过程中如需调整施工方案，须提前书面报备采购人，经审核同意后方可实施。</w:t>
      </w:r>
      <w:r/>
    </w:p>
    <w:p>
      <w:pPr>
        <w:numPr>
          <w:ilvl w:val="0"/>
          <w:numId w:val="0"/>
        </w:numPr>
        <w:ind w:firstLine="480"/>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w:t>
      </w:r>
      <w:r>
        <w:rPr>
          <w:rFonts w:hint="default" w:ascii="仿宋" w:hAnsi="仿宋" w:eastAsia="仿宋" w:cs="仿宋"/>
          <w:szCs w:val="21"/>
          <w:highlight w:val="none"/>
          <w:lang w:val="en-US" w:eastAsia="zh-CN"/>
        </w:rPr>
        <w:t xml:space="preserve">.隐蔽工程与中间工程验收：施工过程中，中间工程及隐蔽工程（如电缆沟铺设、接地装置安装、电气线路预埋等），须提前24小时通知采购人、监理单位及跟踪审计单位到场验收，验收合格后方可进行下道工序施工，验收记录须留存归档，作为工程竣工验收的依据。</w:t>
      </w:r>
      <w:r/>
    </w:p>
    <w:p>
      <w:pPr>
        <w:numPr>
          <w:ilvl w:val="0"/>
          <w:numId w:val="0"/>
        </w:numPr>
        <w:ind w:firstLine="480"/>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w:t>
      </w:r>
      <w:r>
        <w:rPr>
          <w:rFonts w:hint="default" w:ascii="仿宋" w:hAnsi="仿宋" w:eastAsia="仿宋" w:cs="仿宋"/>
          <w:szCs w:val="21"/>
          <w:highlight w:val="none"/>
          <w:lang w:val="en-US" w:eastAsia="zh-CN"/>
        </w:rPr>
        <w:t xml:space="preserve">.施工收尾与清理：工程完工后，成交单位须负责施工现场清理、建筑垃圾清运，做到工完场清，恢复现场原貌，确保不影响学校正常教学、办公秩序。</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五、主要电气设备及元器件参考品牌（配合工程施工需求）</w:t>
      </w:r>
      <w:r/>
    </w:p>
    <w:tbl>
      <w:tblPr>
        <w:tblStyle w:val="813"/>
        <w:tblW w:w="9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2646"/>
        <w:gridCol w:w="5723"/>
      </w:tblGrid>
      <w:tr>
        <w:trPr>
          <w:jc w:val="center"/>
          <w:trHeight w:val="454"/>
        </w:trPr>
        <w:tc>
          <w:tcPr>
            <w:shd w:val="clear" w:color="auto" w:fill="d7d7d7" w:themeFill="background1" w:themeFillShade="D8"/>
            <w:tcW w:w="998" w:type="dxa"/>
            <w:vAlign w:val="center"/>
            <w:textDirection w:val="lrTb"/>
            <w:noWrap w:val="false"/>
          </w:tcPr>
          <w:p>
            <w:pPr>
              <w:contextualSpacing/>
              <w:jc w:val="center"/>
              <w:spacing w:after="0" w:line="360" w:lineRule="auto"/>
              <w:rPr>
                <w:rFonts w:hint="default"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序号</w:t>
            </w:r>
            <w:r/>
          </w:p>
        </w:tc>
        <w:tc>
          <w:tcPr>
            <w:shd w:val="clear" w:color="auto" w:fill="d7d7d7" w:themeFill="background1" w:themeFillShade="D8"/>
            <w:tcW w:w="2646"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主要元器件名称</w:t>
            </w:r>
            <w:r/>
          </w:p>
        </w:tc>
        <w:tc>
          <w:tcPr>
            <w:shd w:val="clear" w:color="auto" w:fill="d7d7d7" w:themeFill="background1" w:themeFillShade="D8"/>
            <w:tcW w:w="5723"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参考品牌及系列</w:t>
            </w:r>
            <w:r/>
          </w:p>
        </w:tc>
      </w:tr>
      <w:tr>
        <w:trPr>
          <w:jc w:val="center"/>
          <w:trHeight w:val="454"/>
        </w:trPr>
        <w:tc>
          <w:tcPr>
            <w:tcW w:w="998" w:type="dxa"/>
            <w:vAlign w:val="center"/>
            <w:textDirection w:val="lrTb"/>
            <w:noWrap w:val="false"/>
          </w:tcPr>
          <w:p>
            <w:pPr>
              <w:contextualSpacing/>
              <w:jc w:val="center"/>
              <w:spacing w:after="0" w:line="360" w:lineRule="auto"/>
              <w:rPr>
                <w:rFonts w:hint="default"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1</w:t>
            </w:r>
            <w:r/>
          </w:p>
        </w:tc>
        <w:tc>
          <w:tcPr>
            <w:tcW w:w="2646" w:type="dxa"/>
            <w:vAlign w:val="center"/>
            <w:textDirection w:val="lrTb"/>
            <w:noWrap w:val="false"/>
          </w:tcPr>
          <w:p>
            <w:pPr>
              <w:contextualSpacing/>
              <w:jc w:val="center"/>
              <w:spacing w:after="0" w:line="24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框架断路器</w:t>
            </w:r>
            <w:r/>
          </w:p>
        </w:tc>
        <w:tc>
          <w:tcPr>
            <w:tcW w:w="5723"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常熟CW3系列,上海良信NDW3系列,纳图智能6NTAU系列</w:t>
            </w:r>
            <w:r/>
          </w:p>
        </w:tc>
      </w:tr>
      <w:tr>
        <w:trPr>
          <w:jc w:val="center"/>
          <w:trHeight w:val="90"/>
        </w:trPr>
        <w:tc>
          <w:tcPr>
            <w:tcW w:w="998" w:type="dxa"/>
            <w:vAlign w:val="center"/>
            <w:textDirection w:val="lrTb"/>
            <w:noWrap w:val="false"/>
          </w:tcPr>
          <w:p>
            <w:pPr>
              <w:contextualSpacing/>
              <w:jc w:val="center"/>
              <w:spacing w:after="0" w:line="360" w:lineRule="auto"/>
              <w:rPr>
                <w:rFonts w:hint="default"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2</w:t>
            </w:r>
            <w:r/>
          </w:p>
        </w:tc>
        <w:tc>
          <w:tcPr>
            <w:tcW w:w="2646" w:type="dxa"/>
            <w:vAlign w:val="center"/>
            <w:textDirection w:val="lrTb"/>
            <w:noWrap w:val="false"/>
          </w:tcPr>
          <w:p>
            <w:pPr>
              <w:contextualSpacing/>
              <w:jc w:val="center"/>
              <w:spacing w:after="0" w:line="24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变压器</w:t>
            </w:r>
            <w:r/>
          </w:p>
        </w:tc>
        <w:tc>
          <w:tcPr>
            <w:tcW w:w="5723"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天津通安,江苏上能,南京大全</w:t>
            </w:r>
            <w:r/>
          </w:p>
        </w:tc>
      </w:tr>
      <w:tr>
        <w:trPr>
          <w:jc w:val="center"/>
          <w:trHeight w:val="454"/>
        </w:trPr>
        <w:tc>
          <w:tcPr>
            <w:tcW w:w="998" w:type="dxa"/>
            <w:vAlign w:val="center"/>
            <w:textDirection w:val="lrTb"/>
            <w:noWrap w:val="false"/>
          </w:tcPr>
          <w:p>
            <w:pPr>
              <w:contextualSpacing/>
              <w:jc w:val="center"/>
              <w:spacing w:after="0" w:line="360" w:lineRule="auto"/>
              <w:rPr>
                <w:rFonts w:hint="default"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3</w:t>
            </w:r>
            <w:r/>
          </w:p>
        </w:tc>
        <w:tc>
          <w:tcPr>
            <w:tcW w:w="2646" w:type="dxa"/>
            <w:vAlign w:val="center"/>
            <w:textDirection w:val="lrTb"/>
            <w:noWrap w:val="false"/>
          </w:tcPr>
          <w:p>
            <w:pPr>
              <w:contextualSpacing/>
              <w:jc w:val="center"/>
              <w:spacing w:after="0" w:line="24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高压电流互感器</w:t>
            </w:r>
            <w:r/>
          </w:p>
        </w:tc>
        <w:tc>
          <w:tcPr>
            <w:tcW w:w="5723"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欧瑞，靖江，大连北互，大连一互</w:t>
            </w:r>
            <w:r/>
          </w:p>
        </w:tc>
      </w:tr>
      <w:tr>
        <w:trPr>
          <w:jc w:val="center"/>
          <w:trHeight w:val="454"/>
        </w:trPr>
        <w:tc>
          <w:tcPr>
            <w:tcW w:w="998" w:type="dxa"/>
            <w:vAlign w:val="center"/>
            <w:textDirection w:val="lrTb"/>
            <w:noWrap w:val="false"/>
          </w:tcPr>
          <w:p>
            <w:pPr>
              <w:contextualSpacing/>
              <w:jc w:val="center"/>
              <w:spacing w:after="0" w:line="360" w:lineRule="auto"/>
              <w:rPr>
                <w:rFonts w:hint="default"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Cs w:val="21"/>
                <w:vertAlign w:val="baseline"/>
                <w:lang w:val="en-US" w:eastAsia="zh-CN"/>
              </w:rPr>
              <w:t xml:space="preserve">4</w:t>
            </w:r>
            <w:r/>
          </w:p>
        </w:tc>
        <w:tc>
          <w:tcPr>
            <w:tcW w:w="2646" w:type="dxa"/>
            <w:vAlign w:val="center"/>
            <w:textDirection w:val="lrTb"/>
            <w:noWrap w:val="false"/>
          </w:tcPr>
          <w:p>
            <w:pPr>
              <w:contextualSpacing/>
              <w:jc w:val="center"/>
              <w:spacing w:after="0" w:line="24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电缆</w:t>
            </w:r>
            <w:r/>
          </w:p>
        </w:tc>
        <w:tc>
          <w:tcPr>
            <w:tcW w:w="5723" w:type="dxa"/>
            <w:vAlign w:val="center"/>
            <w:textDirection w:val="lrTb"/>
            <w:noWrap w:val="false"/>
          </w:tcPr>
          <w:p>
            <w:pPr>
              <w:contextualSpacing/>
              <w:jc w:val="center"/>
              <w:spacing w:after="0" w:line="360" w:lineRule="auto"/>
              <w:rPr>
                <w:rFonts w:hint="eastAsia" w:ascii="仿宋" w:hAnsi="仿宋" w:eastAsia="仿宋" w:cs="Times New Roman"/>
                <w:caps/>
                <w:color w:val="000000"/>
                <w:szCs w:val="21"/>
                <w:vertAlign w:val="baseline"/>
                <w:lang w:val="en-US" w:eastAsia="zh-CN"/>
              </w:rPr>
            </w:pPr>
            <w:r>
              <w:rPr>
                <w:rFonts w:hint="eastAsia" w:ascii="仿宋" w:hAnsi="仿宋" w:eastAsia="仿宋" w:cs="Times New Roman"/>
                <w:caps/>
                <w:color w:val="000000"/>
                <w:sz w:val="21"/>
                <w:szCs w:val="21"/>
                <w:lang w:val="en-US" w:eastAsia="zh-CN"/>
              </w:rPr>
              <w:t xml:space="preserve">上上,江南,远东</w:t>
            </w:r>
            <w:r/>
          </w:p>
        </w:tc>
      </w:tr>
    </w:tbl>
    <w:p>
      <w:pPr>
        <w:ind w:firstLine="480"/>
        <w:spacing w:line="360" w:lineRule="auto"/>
        <w:rPr>
          <w:rFonts w:hint="eastAsia" w:ascii="仿宋" w:hAnsi="仿宋" w:eastAsia="仿宋" w:cs="Times New Roman"/>
          <w:b w:val="0"/>
          <w:bCs w:val="0"/>
          <w:caps/>
          <w:color w:val="000000"/>
          <w:szCs w:val="21"/>
          <w:lang w:val="en-US" w:eastAsia="zh-CN"/>
        </w:rPr>
      </w:pPr>
      <w:r>
        <w:rPr>
          <w:rFonts w:hint="eastAsia" w:ascii="仿宋" w:hAnsi="仿宋" w:eastAsia="仿宋" w:cs="Times New Roman"/>
          <w:b w:val="0"/>
          <w:bCs w:val="0"/>
          <w:caps/>
          <w:color w:val="000000"/>
          <w:szCs w:val="21"/>
          <w:lang w:val="en-US" w:eastAsia="zh-CN"/>
        </w:rPr>
        <w:t xml:space="preserve">1.本工程工程量清单及编制说明中所列材料（设备）仅为参考品牌及系列，不构成指定或限定。成交单位应在满足本采购需求技术要求、工程验收标准及供电部门验收标准的前提下，选用性能可靠、参数达标、质量稳定且与本工程施工适配的产品，并在材料品牌选用承诺表中注明承诺品牌、系列及关键参数。</w:t>
      </w:r>
      <w:r/>
    </w:p>
    <w:p>
      <w:pPr>
        <w:ind w:firstLine="480"/>
        <w:spacing w:line="360" w:lineRule="auto"/>
        <w:rPr>
          <w:rFonts w:hint="eastAsia" w:ascii="仿宋" w:hAnsi="仿宋" w:eastAsia="仿宋" w:cs="Times New Roman"/>
          <w:b/>
          <w:bCs/>
          <w:caps/>
          <w:color w:val="000000"/>
          <w:szCs w:val="21"/>
          <w:highlight w:val="none"/>
          <w:lang w:val="en-US" w:eastAsia="zh-CN"/>
        </w:rPr>
      </w:pPr>
      <w:r>
        <w:rPr>
          <w:rFonts w:hint="eastAsia" w:ascii="仿宋" w:hAnsi="仿宋" w:eastAsia="仿宋" w:cs="Times New Roman"/>
          <w:b w:val="0"/>
          <w:bCs w:val="0"/>
          <w:caps/>
          <w:color w:val="000000"/>
          <w:szCs w:val="21"/>
          <w:lang w:val="en-US" w:eastAsia="zh-CN"/>
        </w:rPr>
        <w:t xml:space="preserve">2.成交单位可选用参考品牌或性能、参数、质量、使用寿命不低于参考品牌的其他同档次及以上产品；选用参考品牌外其他品牌的，</w:t>
      </w:r>
      <w:r>
        <w:rPr>
          <w:rFonts w:hint="eastAsia" w:ascii="仿宋" w:hAnsi="仿宋" w:eastAsia="仿宋" w:cs="Times New Roman"/>
          <w:b/>
          <w:bCs/>
          <w:caps/>
          <w:color w:val="000000"/>
          <w:szCs w:val="21"/>
          <w:highlight w:val="none"/>
          <w:lang w:val="en-US" w:eastAsia="zh-CN"/>
        </w:rPr>
        <w:t xml:space="preserve">须提供产品选型证明、技术参数对比表、质量承诺等佐证材料，经评标委员会认可后方可使用。</w:t>
      </w:r>
      <w:r/>
    </w:p>
    <w:p>
      <w:pPr>
        <w:ind w:firstLine="480"/>
        <w:spacing w:line="360" w:lineRule="auto"/>
        <w:rPr>
          <w:rFonts w:hint="eastAsia" w:ascii="仿宋" w:hAnsi="仿宋" w:eastAsia="仿宋" w:cs="Times New Roman"/>
          <w:b w:val="0"/>
          <w:bCs w:val="0"/>
          <w:caps/>
          <w:color w:val="000000"/>
          <w:szCs w:val="21"/>
          <w:lang w:val="en-US" w:eastAsia="zh-CN"/>
        </w:rPr>
      </w:pPr>
      <w:r>
        <w:rPr>
          <w:rFonts w:hint="eastAsia" w:ascii="仿宋" w:hAnsi="仿宋" w:eastAsia="仿宋" w:cs="Times New Roman"/>
          <w:b w:val="0"/>
          <w:bCs w:val="0"/>
          <w:caps/>
          <w:color w:val="000000"/>
          <w:szCs w:val="21"/>
          <w:lang w:val="en-US" w:eastAsia="zh-CN"/>
        </w:rPr>
        <w:t xml:space="preserve">3.为保证本工程整体质量与统一管理，采购人可在不降低技术标准、不改变核心功能、不影响安全运行的前提下，对部分材料的品牌、规格、型号进行统一调整，成交单位应予以配合，合同价格不作调整，成交单位报价时应综合考虑此因素。</w:t>
      </w:r>
      <w:r/>
    </w:p>
    <w:p>
      <w:pPr>
        <w:ind w:firstLine="480"/>
        <w:spacing w:line="360" w:lineRule="auto"/>
        <w:rPr>
          <w:rFonts w:hint="eastAsia" w:ascii="仿宋" w:hAnsi="仿宋" w:eastAsia="仿宋" w:cs="Times New Roman"/>
          <w:b w:val="0"/>
          <w:bCs w:val="0"/>
          <w:caps/>
          <w:color w:val="000000"/>
          <w:szCs w:val="21"/>
          <w:lang w:val="en-US" w:eastAsia="zh-CN"/>
        </w:rPr>
      </w:pPr>
      <w:r>
        <w:rPr>
          <w:rFonts w:hint="eastAsia" w:ascii="仿宋" w:hAnsi="仿宋" w:eastAsia="仿宋" w:cs="Times New Roman"/>
          <w:b w:val="0"/>
          <w:bCs w:val="0"/>
          <w:caps/>
          <w:color w:val="000000"/>
          <w:szCs w:val="21"/>
          <w:lang w:val="en-US" w:eastAsia="zh-CN"/>
        </w:rPr>
        <w:t xml:space="preserve">4.所有进场材料（设备）的品牌、型号、系列须与投标承诺一致，并经采购人书面确认后方可使用，严禁擅自更换材料（设备）品牌、规格，否则视为违约，采购人有权要求整改、退货，产生的一切费用由成交单位承担。</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六、工程配套设备技术参数（适配工程施工需求）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设备参数为工程施工配套要求，核心是保障设备与工程施工适配，确保变电所工程整体运行达标，且须符合工程施工及验收标准，与施工工艺、验收要求衔接一致。</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（一）、干式变压器SCB14-1600kVA（工程核心配套设备）</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1、产品应符合下列现行IEC标准及现行国家标准：</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 GB/T 16927.1-2011《高电压试验技术  第1部分：一般定义及试验要求》； </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1.2 GB/T 16927.2-2013《高电压试验技术第2部分：测量系统》；</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1.3 GB 311.1-2012《绝缘配合 第1部分：定义、原则和规则》；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1.4 GB/T 1094.11-2022《电力变压器 第11部分干式变压器》；</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1.5 GB 1094.2-2013《电力变压器 第2部分：液浸式变压器的温升》；</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1.6 GB/T 1094.3-2017《电力变压器 第3部分:绝缘水平、绝缘试验和外绝缘空气间隙》；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1.7 GB 1094.4—85《电力变压器 第四部分 分接和联结方法》；</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1.8 GB/T 1094.5-2008《电力变压器 第5部分：承受短路的能力》；</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1.9 GB/T 10228-2023《干式电力变压器技术参数和要求》；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1.10 GB/T 1094.4-2005 《电力变压器 第4部分：电力变压器和电抗器的雷电冲击和操作冲击试验导则》；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1.11 DL/T 417—2019《电力设备局部放电现场测量导则》；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1.12 GB/T 7328《变压器和电抗器的声级测定》；</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1.13 GB/T 26218.2-2010 《污秽条件下使用的高压绝缘子的选择和尺寸确定 第2部分:交流系统用瓷和玻璃绝缘子》；</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1.14 GB 20052-2020 《三相配电变压器能效限定值及能效等级》；</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1.15 CQC3137-2012 《三相配电变压器节能认证技术规范》；</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1.16 GB/T 50150—2024《电气装置安装工程电气设备交接试验标准》；</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1.17 GB/T 13499-2002</w:t>
      </w:r>
      <w:r>
        <w:rPr>
          <w:rFonts w:hint="eastAsia" w:ascii="仿宋" w:hAnsi="仿宋" w:eastAsia="仿宋" w:cs="仿宋"/>
          <w:b w:val="0"/>
          <w:bCs w:val="0"/>
          <w:szCs w:val="21"/>
          <w:highlight w:val="none"/>
          <w:u w:val="none"/>
          <w:lang w:val="en-US" w:eastAsia="zh-CN"/>
        </w:rPr>
        <w:tab/>
      </w:r>
      <w:r>
        <w:rPr>
          <w:rFonts w:hint="eastAsia" w:ascii="仿宋" w:hAnsi="仿宋" w:eastAsia="仿宋" w:cs="仿宋"/>
          <w:b w:val="0"/>
          <w:bCs w:val="0"/>
          <w:szCs w:val="21"/>
          <w:highlight w:val="none"/>
          <w:u w:val="none"/>
          <w:lang w:val="en-US" w:eastAsia="zh-CN"/>
        </w:rPr>
        <w:t xml:space="preserve">《电力变压器应用导则》；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1.18 DL/T 911-2016《电力变压器绕组变形的频率响应分析法》；</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1.19 DL/T 1093-2018《电力变压器绕组变形的电抗法检测判断导则》；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1.20 DL/T2485-2022《电力变压器用无励磁分接开关选用导则》；</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2、一般使用条件：</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2.1 海拔高度：≤1000m</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2.2月平均最高相对湿度：≤90%，日相对湿度平均值≤95%</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2.3最高温度：+40℃</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2.4最低温度：-25℃</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2.5离地面高10m处，维持10min的平均最大风速（m/s）：35m/s</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2.6地震烈度：Ⅲ，</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耐受地震能力（对应水平加速度，安全系数不小于1.67）：0.2m/s</w:t>
      </w:r>
      <w:r>
        <w:rPr>
          <w:rFonts w:hint="eastAsia" w:ascii="仿宋" w:hAnsi="仿宋" w:eastAsia="仿宋" w:cs="仿宋"/>
          <w:b w:val="0"/>
          <w:bCs w:val="0"/>
          <w:szCs w:val="21"/>
          <w:highlight w:val="none"/>
          <w:u w:val="none"/>
          <w:lang w:val="en-US" w:eastAsia="zh-CN"/>
        </w:rPr>
        <w:t xml:space="preserve">2</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2.7 系统额定频率：50Hz</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2.8 系统额定电压10kV</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3、技术参数：</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产品型号：SCB14-1600kVA</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额定容量：1600kVA</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  额定电压：10±2×2.5%/0.4 kV</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额定频率：50 HZ    </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相数： 3 相</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分接范围：±2×2.5%</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联接组编号：D、yn11</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冷却方式： AN/AF，强迫风冷时的容量不小于额定容量的150%。</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4、保证性能</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4.1变压器绝缘耐热等级为F级及以上</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4.2 噪音水平：≤55dB (距外壳1m处)</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4.3变压器绝缘水平</w:t>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3"/>
        <w:gridCol w:w="1772"/>
        <w:gridCol w:w="1288"/>
        <w:gridCol w:w="1183"/>
        <w:gridCol w:w="2669"/>
      </w:tblGrid>
      <w:tr>
        <w:trPr>
          <w:cantSplit/>
          <w:jc w:val="center"/>
          <w:trHeight w:val="608"/>
        </w:trPr>
        <w:tc>
          <w:tcPr>
            <w:tcBorders>
              <w:top w:val="single" w:color="auto" w:sz="4" w:space="0"/>
              <w:left w:val="single" w:color="auto" w:sz="4" w:space="0"/>
              <w:bottom w:val="single" w:color="auto" w:sz="4" w:space="0"/>
              <w:right w:val="single" w:color="auto" w:sz="4" w:space="0"/>
            </w:tcBorders>
            <w:tcW w:w="1783" w:type="dxa"/>
            <w:vAlign w:val="center"/>
            <w:vMerge w:val="restart"/>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额定电压</w:t>
            </w:r>
            <w:r/>
          </w:p>
          <w:p>
            <w:pP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（有效值，kV）</w:t>
            </w:r>
            <w:r/>
          </w:p>
        </w:tc>
        <w:tc>
          <w:tcPr>
            <w:tcBorders>
              <w:top w:val="single" w:color="auto" w:sz="4" w:space="0"/>
              <w:left w:val="none" w:color="000000" w:sz="4" w:space="0"/>
              <w:bottom w:val="single" w:color="auto" w:sz="4" w:space="0"/>
              <w:right w:val="single" w:color="auto" w:sz="4" w:space="0"/>
            </w:tcBorders>
            <w:tcW w:w="1772" w:type="dxa"/>
            <w:vAlign w:val="center"/>
            <w:vMerge w:val="restart"/>
            <w:textDirection w:val="lrTb"/>
            <w:noWrap w:val="false"/>
          </w:tcPr>
          <w:p>
            <w:pPr>
              <w:ind w:firstLine="105"/>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设备最高电压（有效值，kV）</w:t>
            </w:r>
            <w:r/>
          </w:p>
        </w:tc>
        <w:tc>
          <w:tcPr>
            <w:gridSpan w:val="2"/>
            <w:tcBorders>
              <w:top w:val="single" w:color="auto" w:sz="4" w:space="0"/>
              <w:left w:val="none" w:color="000000" w:sz="4" w:space="0"/>
              <w:bottom w:val="single" w:color="auto" w:sz="4" w:space="0"/>
              <w:right w:val="single" w:color="auto" w:sz="4" w:space="0"/>
            </w:tcBorders>
            <w:tcW w:w="2471" w:type="dxa"/>
            <w:vAlign w:val="center"/>
            <w:textDirection w:val="lrTb"/>
            <w:noWrap w:val="false"/>
          </w:tcPr>
          <w:p>
            <w:pP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额定雷电冲击耐受电压（峰值，kV）</w:t>
            </w:r>
            <w:r/>
          </w:p>
        </w:tc>
        <w:tc>
          <w:tcPr>
            <w:tcBorders>
              <w:top w:val="single" w:color="auto" w:sz="4" w:space="0"/>
              <w:left w:val="none" w:color="000000" w:sz="4" w:space="0"/>
              <w:bottom w:val="single" w:color="auto" w:sz="4" w:space="0"/>
              <w:right w:val="single" w:color="auto" w:sz="4" w:space="0"/>
            </w:tcBorders>
            <w:tcW w:w="2669" w:type="dxa"/>
            <w:vAlign w:val="center"/>
            <w:vMerge w:val="restart"/>
            <w:textDirection w:val="lrTb"/>
            <w:noWrap w:val="false"/>
          </w:tcPr>
          <w:p>
            <w:pP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额定短时工频耐受电压（1min，有效值，kV高压/低压）</w:t>
            </w:r>
            <w:r/>
          </w:p>
        </w:tc>
      </w:tr>
      <w:tr>
        <w:trPr>
          <w:cantSplit/>
          <w:jc w:val="center"/>
          <w:trHeight w:val="305"/>
        </w:trPr>
        <w:tc>
          <w:tcPr>
            <w:tcBorders>
              <w:top w:val="single" w:color="auto" w:sz="4" w:space="0"/>
              <w:left w:val="single" w:color="auto" w:sz="4" w:space="0"/>
              <w:bottom w:val="single" w:color="auto" w:sz="4" w:space="0"/>
              <w:right w:val="single" w:color="auto" w:sz="4" w:space="0"/>
            </w:tcBorders>
            <w:tcW w:w="1783" w:type="dxa"/>
            <w:vAlign w:val="center"/>
            <w:vMerge w:val="continue"/>
            <w:textDirection w:val="lrTb"/>
            <w:noWrap w:val="false"/>
          </w:tcPr>
          <w:p>
            <w:pPr>
              <w:jc w:val="left"/>
              <w:keepLines w:val="0"/>
              <w:keepNext w:val="0"/>
              <w:pageBreakBefore w:val="0"/>
              <w:spacing w:line="288" w:lineRule="auto"/>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1772" w:type="dxa"/>
            <w:vAlign w:val="center"/>
            <w:vMerge w:val="continue"/>
            <w:textDirection w:val="lrTb"/>
            <w:noWrap w:val="false"/>
          </w:tcPr>
          <w:p>
            <w:pPr>
              <w:jc w:val="left"/>
              <w:keepLines w:val="0"/>
              <w:keepNext w:val="0"/>
              <w:pageBreakBefore w:val="0"/>
              <w:spacing w:line="288" w:lineRule="auto"/>
              <w:widowControl/>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1288"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全波</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截波</w:t>
            </w:r>
            <w:r/>
          </w:p>
        </w:tc>
        <w:tc>
          <w:tcPr>
            <w:tcBorders>
              <w:top w:val="single" w:color="auto" w:sz="4" w:space="0"/>
              <w:left w:val="none" w:color="000000" w:sz="4" w:space="0"/>
              <w:bottom w:val="single" w:color="auto" w:sz="4" w:space="0"/>
              <w:right w:val="single" w:color="auto" w:sz="4" w:space="0"/>
            </w:tcBorders>
            <w:tcW w:w="2669" w:type="dxa"/>
            <w:vAlign w:val="center"/>
            <w:vMerge w:val="continue"/>
            <w:textDirection w:val="lrTb"/>
            <w:noWrap w:val="false"/>
          </w:tcPr>
          <w:p>
            <w:pPr>
              <w:jc w:val="left"/>
              <w:keepLines w:val="0"/>
              <w:keepNext w:val="0"/>
              <w:pageBreakBefore w:val="0"/>
              <w:spacing w:line="288" w:lineRule="auto"/>
              <w:widowControl/>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10.5/0.4</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12</w:t>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75</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keepLines w:val="0"/>
              <w:keepNext w:val="0"/>
              <w:pageBreakBefore w:val="0"/>
              <w:spacing w:line="288" w:lineRule="auto"/>
              <w:rPr>
                <w:rFonts w:hint="eastAsia" w:ascii="仿宋" w:hAnsi="仿宋" w:eastAsia="仿宋" w:cs="仿宋"/>
                <w:sz w:val="21"/>
                <w:szCs w:val="21"/>
              </w:rPr>
            </w:pPr>
            <w:r>
              <w:rPr>
                <w:rFonts w:hint="eastAsia" w:ascii="仿宋" w:hAnsi="仿宋" w:eastAsia="仿宋" w:cs="仿宋"/>
                <w:sz w:val="21"/>
                <w:szCs w:val="21"/>
              </w:rPr>
              <w:t xml:space="preserve">  35/3</w:t>
            </w:r>
            <w:r/>
          </w:p>
        </w:tc>
      </w:tr>
    </w:tbl>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变压器抗短路能力：按现行国标执行，投标方提供承受短路能力的校核计算保证书。其它参数如额定短路耐受电流、额定峰值耐受电流、温升等均按现行国家标准执行。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4.4 温控温显系统：变压器要求安装带通讯接口（RS485）的温控温显系统。</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4.5铭牌要求：</w:t>
      </w:r>
      <w:r/>
    </w:p>
    <w:p>
      <w:pPr>
        <w:ind w:firstLine="688"/>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4.5.1铭牌应包括：制造厂名（包括国名）和商标；变压器名称、产品代号和出厂序号；标准代号；防护等级等；出厂日期。</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 4.5.2铭牌应用中文并按国际规定格式书写。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 4.5.3变压器内所安装的风冷、温控、温显等系统均应具有耐久而清晰的铭牌。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4.6附件：所提供的电力变压器应有完整的全部附件，该附件可以直接用于安装、联结和立即使用。</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干式变压器附件说明：变压器内应配有风冷、温控、温显等装置；这些装置并应符合它们各自的技术标准，提供附件出厂合格证、安装使用说明书。</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4.7变压器的寿命</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   当变压器在本文所述的一般使用条件和负荷条件下运行，并按照卖方的说明书进行维护，应有30年或以上的寿命。</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4.8变压器线圈应采用非纸包绝缘工艺或箔式工艺生产；铜线、钢材和硅钢片应注明生产厂家，环氧树脂应说明原产地，并说明浇铸变压器所使用的主要生产设备及其产地。</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4.9损耗</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变压器的空载损耗和负载损耗实测值不超过GB 20052-2020《三相配电变压器能效限定值及能效等级》一级能效相应标准要求值，不允许有正偏差。</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4.10带外壳运行时变压器额定容量不降低，应带100%额定负荷长期运行。</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5、设备试验要求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5.1变压器试验符合IEC标准和国家标准（GB）中有关试验部分的最新有效版本及用户的指定要求。根据GB6450规定，提供本规范书要求产品相近规格的试验报告。</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5.2试验前通知用户到场监造。</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5.3变压器试验根据招标文件要求的项目进行试验。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5.4工厂试验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a、变比试验及接线组别核对及极性试验。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b、阻抗及负载损耗测量。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c、空载损耗和空载电流测量。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d、绝缘电阻测量。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e、变压器变比测量。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f、绕组直流电阻测量。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g、外施耐压试验。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h、感应耐压试验。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i、局部放电试验。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j、声级测量试验。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5.5出厂试验情况应填写在报告中，随产品移交用户。</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5.6变压器中的配件，应随出厂试验报告一并提交给用户。</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6、设备监造要求：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6.1主要监造点：变压器进行出厂试验时。</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6.2要求在以上项目开始前七天通知买方参加。</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（二）、框架断路器MNS 口-3200/3 3200A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断路器的技术参数：</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安装方式                  固定式</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额定电压：                380V</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壳架电流：                3200A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额定电流：                3200A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额定极限短路分断能力：    85kA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额定运行短路分段能力：    85kA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额定短时耐受电流：        85kA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全分段时间：              ＜30ms</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合闸时间：                ＜70ms</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电气寿命：                5000次</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机械寿命：                20000次</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断路器可实现速断、过流、单相接地等保护功能。其分合闸状态和故障跳闸状态应有信号上传，并提供2对（其中2常开，2常闭）辅助触头接点。断路器脱扣线圈和合闸线圈应预留供远程控制用的接口。断路器应有无源加热低温试验报告，其它技术特性应符合国标要求。</w:t>
      </w:r>
      <w:r/>
    </w:p>
    <w:p>
      <w:pPr>
        <w:ind w:firstLine="480"/>
        <w:spacing w:line="360" w:lineRule="auto"/>
        <w:rPr>
          <w:rFonts w:hint="eastAsia" w:ascii="仿宋" w:hAnsi="仿宋" w:eastAsia="仿宋" w:cs="仿宋"/>
          <w:b/>
          <w:bCs/>
          <w:color w:val="auto"/>
          <w:szCs w:val="21"/>
          <w:highlight w:val="none"/>
          <w:u w:val="none"/>
          <w:lang w:val="en-US" w:eastAsia="zh-CN"/>
        </w:rPr>
      </w:pPr>
      <w:r>
        <w:rPr>
          <w:rFonts w:hint="eastAsia" w:ascii="仿宋" w:hAnsi="仿宋" w:eastAsia="仿宋" w:cs="仿宋"/>
          <w:b/>
          <w:bCs/>
          <w:color w:val="auto"/>
          <w:szCs w:val="21"/>
          <w:highlight w:val="none"/>
          <w:u w:val="none"/>
          <w:lang w:val="en-US" w:eastAsia="zh-CN"/>
        </w:rPr>
        <w:t xml:space="preserve">（三）、高压电流互感器</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1. 电流互感器：</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1.1 电流互感器应满足参数要求。每个CT的二次绕组一点接地。应提供每种形式各参数的CT磁化特性曲线和10%误差特性曲线。每个CT应单独标号并提供接线图。</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1.2 电流互感器的技术参数：</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类型LZZBJ9-12        树脂浇铸</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局部放电量            ≤10PC</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额定短时耐受电流      25kA（4s）</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额定峰值耐受电流      63kA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2. 避雷器：</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类型                  金属氧化物型</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额定电压              10kV</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持续工作电压          8.0kV</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2ms方波电流          150A</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直流1mA参考电压      15kV</w:t>
      </w:r>
      <w:r/>
    </w:p>
    <w:p>
      <w:pPr>
        <w:ind w:firstLine="480"/>
        <w:spacing w:line="360" w:lineRule="auto"/>
        <w:rPr>
          <w:rFonts w:hint="eastAsia" w:ascii="仿宋" w:hAnsi="仿宋" w:eastAsia="仿宋" w:cs="仿宋"/>
          <w:b w:val="0"/>
          <w:bCs w:val="0"/>
          <w:color w:val="auto"/>
          <w:szCs w:val="21"/>
          <w:highlight w:val="none"/>
          <w:u w:val="none"/>
          <w:lang w:val="en-US" w:eastAsia="zh-CN"/>
        </w:rPr>
      </w:pPr>
      <w:r>
        <w:rPr>
          <w:rFonts w:hint="eastAsia" w:ascii="仿宋" w:hAnsi="仿宋" w:eastAsia="仿宋" w:cs="仿宋"/>
          <w:b w:val="0"/>
          <w:bCs w:val="0"/>
          <w:color w:val="auto"/>
          <w:szCs w:val="21"/>
          <w:highlight w:val="none"/>
          <w:u w:val="none"/>
          <w:lang w:val="en-US" w:eastAsia="zh-CN"/>
        </w:rPr>
        <w:t xml:space="preserve">外绝缘材质            硅聚合物</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（四）、母线</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4.1 主母线及引线，应全部做绝缘处理，可用热缩绝缘护套进行绝缘，也可以采用硫化绝缘母线，所有母线均为优质进口电解铜板，具有高导电率和良好的延展性，以避免折弯时产生裂痕，采用螺栓连接。</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4.2 母线及引线连接处应加阻燃型的绝缘盒。</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4.3 母线为电解铜板，装在单独的母线室内，母线排列A、B、C相顺序应为从上到下，或从左到右，或从里到外（从柜前观察），并标注相色，即：</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第一相A    黄色</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第二相B    绿色</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第三相C    红色</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（五）、技术资料的要求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5.1本协议及合同签定后，乙方在一星期内提供详细的生产计划进度表，并提前一周将有关图纸及技术资料（包括电子文本）寄交买方。</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5.2出厂技术文件，应一式三份。</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（六）运输、安装及运行维护</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制造厂应在安装、使用说明书中给出下列说明：</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6.1安装</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制造厂提供的说明书至少包括以下内容：</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开箱和吊运所用的专用工具、工作程序及方法；</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变压器的安装、使用说明书中，应包括产品的布置和对基础的要求（包括动、静载荷），要求说明高低压引出线的接线方式；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风冷、温控、温显等系统的接线图和信号等回路的要求；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应给出变压器安装完毕和全部接线完成后的检查试验项目和要求。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6.2运行维护</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制造厂应提供维护工作内容的说明和注意事项。</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6.3运输</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a、变压器及风冷、温控、温显等系统在运输过程中不应有损伤、变形等现象，凡由于运输原因损坏，应由制造厂负责赔偿。</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b、技术文件应随变压器一并提交给用户：</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1）装箱清单；</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2）产品使用说明书；</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3）产品安装使用说明书；</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4）备品备件清单；</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5）设备明细表。</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七.工程服务要求（工程核心服务）</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为保障工程施工、调试、验收、运维全环节顺畅衔接，确保各项工程服务与施工管控、设备安装工作同频同步，全面支撑工程质量与进度管控。</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1.售前服务：成交单位须及时提供施工图纸、详细施工方案及施工进度安排，派出工程技术人员配合采购人做好变电所工程前期准备工作，参与技术交底，配合现场勘查，保证工程按期开工。</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施工期服务：成交单位须配备专职技术人员驻场，负责施工过程中的技术指导、现场协调，及时解决施工过程中的设备安装、线路铺设等技术问题；配合采购人、监理单位、跟踪审计单位开展进度核对、质量检查、隐蔽工程验收等工作，及时上报施工进度及存在的问题。</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3.安装调试服务：负责设备采购、运输、安装、调试的全流程衔接，严格按照施工规范及设备参数要求完成安装调试，做好设备与工程施工的配合，确保设备正常运行、工程达标；安装调试时的水、电费用已包含在合同价中，采购人不另行支付。</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4.质保期服务：</w:t>
      </w:r>
      <w:r>
        <w:rPr>
          <w:rFonts w:hint="eastAsia" w:ascii="仿宋" w:hAnsi="仿宋" w:eastAsia="仿宋" w:cs="仿宋"/>
          <w:b/>
          <w:bCs/>
          <w:szCs w:val="21"/>
          <w:highlight w:val="none"/>
          <w:u w:val="none"/>
          <w:lang w:val="en-US" w:eastAsia="zh-CN"/>
        </w:rPr>
        <w:t xml:space="preserve">质保期为二年，自安装调试并验收合格、正式送电使用之日起计算，</w:t>
      </w:r>
      <w:r>
        <w:rPr>
          <w:rFonts w:hint="eastAsia" w:ascii="仿宋" w:hAnsi="仿宋" w:eastAsia="仿宋" w:cs="仿宋"/>
          <w:b w:val="0"/>
          <w:bCs w:val="0"/>
          <w:szCs w:val="21"/>
          <w:highlight w:val="none"/>
          <w:u w:val="none"/>
          <w:lang w:val="en-US" w:eastAsia="zh-CN"/>
        </w:rPr>
        <w:t xml:space="preserve">质保期内无偿更换非人为损坏的零部件及设备，负责免费维修、调试，确保工程正常运行；质保期内接到用户报修电话1小时内响应，2小时内维修人员赶到现场检修处理。</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5.质保期后服务：质保期满后实行终身有偿维修保养，提供优惠的零部件供应及维修服务，确保变电所工程长期稳定运行。</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6.工程资料归档服务：成交单位负责施工图纸、施工方案、工程量清单、竣工验收单、质保承诺、设备试验报告、监造报告、主材合格证明书等工程资料的整理、归档，提供施工图纸、施工方案、工程量清单、竣工验收单和质保承诺各叁份，及审计处复核的审计报告一份（含详细设备清单），适配工程验收及资料归档要求。</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八、工程验收方式及验收标准</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（一）验收组织及方式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1.验收方式：工程完工后，由成交供应商提出验收申请，采购人后勤服务部组织监理单位、跟踪审计单位及成交单位开展验收工作，确保工程质量、设备运行符合要求。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2.过程验收：施工过程中，中间工程及隐蔽工程，需经监理单位、跟踪审计单位及采购人验收合格后，方可进行下道工序施工，验收记录留存归档，作为工程整体验收的依据。</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（二）验收执行标准</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本工程验收以工程施工质量、整体运行效果为核心，结合设备运行情况，严格按照以下标准执行，确保工程符合交钥匙要求。</w:t>
      </w:r>
      <w:r/>
    </w:p>
    <w:p>
      <w:pPr>
        <w:numPr>
          <w:ilvl w:val="0"/>
          <w:numId w:val="0"/>
        </w:num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 w:val="21"/>
          <w:szCs w:val="21"/>
          <w:lang w:val="en-US" w:eastAsia="zh-CN" w:bidi="ar-SA"/>
        </w:rPr>
        <w:t xml:space="preserve">1.</w:t>
      </w:r>
      <w:r>
        <w:rPr>
          <w:rFonts w:hint="eastAsia" w:ascii="仿宋" w:hAnsi="仿宋" w:eastAsia="仿宋" w:cs="仿宋"/>
          <w:b w:val="0"/>
          <w:bCs w:val="0"/>
          <w:szCs w:val="21"/>
          <w:highlight w:val="none"/>
          <w:u w:val="none"/>
          <w:lang w:val="en-US" w:eastAsia="zh-CN"/>
        </w:rPr>
        <w:t xml:space="preserve">工程验收：严格依据《35kV及以下电力用户变电所建设规范》(DL/T 5725-2015)、《供配电系统设计规范》(GB50052-2023)、《电气装置安装工程低压电器施工及验收规范》(GB50254-2014)等现行有效规范标准实施验收，分项工程、隐蔽工程须验收合格后方可进入下一道施工工序，工程整体竣工后，须满足安全稳定、正常可靠供电使用标准。</w:t>
      </w:r>
      <w:r/>
    </w:p>
    <w:p>
      <w:pPr>
        <w:numPr>
          <w:ilvl w:val="0"/>
          <w:numId w:val="0"/>
        </w:num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 w:val="21"/>
          <w:szCs w:val="21"/>
          <w:lang w:val="en-US" w:eastAsia="zh-CN" w:bidi="ar-SA"/>
        </w:rPr>
        <w:t xml:space="preserve">2.</w:t>
      </w:r>
      <w:r>
        <w:rPr>
          <w:rFonts w:hint="eastAsia" w:ascii="仿宋" w:hAnsi="仿宋" w:eastAsia="仿宋" w:cs="仿宋"/>
          <w:b w:val="0"/>
          <w:bCs w:val="0"/>
          <w:szCs w:val="21"/>
          <w:highlight w:val="none"/>
          <w:u w:val="none"/>
          <w:lang w:val="en-US" w:eastAsia="zh-CN"/>
        </w:rPr>
        <w:t xml:space="preserve">设备验收：设备须符合本项目采购需求及国家现行相关技术标准，须提供完整的试验报告、出厂合格证、监造报告等资料，确保设备性能达标、与工程施工适配，设备运行正常，满足工程供电需求。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3.资料验收：成交供应商须提供完整的工程资料、设备资料，经采购人、监理单位、跟踪审计单位审核通过后，方可视为资料验收合格。</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九、付款方式</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bCs/>
          <w:szCs w:val="21"/>
          <w:highlight w:val="none"/>
          <w:u w:val="none"/>
          <w:lang w:val="en-US" w:eastAsia="zh-CN"/>
        </w:rPr>
        <w:t xml:space="preserve">1.付款方式</w:t>
      </w:r>
      <w:r>
        <w:rPr>
          <w:rFonts w:hint="eastAsia" w:ascii="仿宋" w:hAnsi="仿宋" w:eastAsia="仿宋" w:cs="仿宋"/>
          <w:b w:val="0"/>
          <w:bCs w:val="0"/>
          <w:szCs w:val="21"/>
          <w:highlight w:val="none"/>
          <w:u w:val="none"/>
          <w:lang w:val="en-US" w:eastAsia="zh-CN"/>
        </w:rPr>
        <w:t xml:space="preserve">：合同签订后，一周内支付合同价款的30% 作为预付款；设备到现场安装完成，并调试完毕经学校后勤服务部验收合格，出具项目结算审核表，支付至审核总价的70%；由学校审计部门出具项目结算审计报告，根据审定价格支付所有余款。</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bCs/>
          <w:szCs w:val="21"/>
          <w:highlight w:val="none"/>
          <w:u w:val="none"/>
          <w:lang w:val="en-US" w:eastAsia="zh-CN"/>
        </w:rPr>
        <w:t xml:space="preserve">2.项目结算：</w:t>
      </w:r>
      <w:r>
        <w:rPr>
          <w:rFonts w:hint="eastAsia" w:ascii="仿宋" w:hAnsi="仿宋" w:eastAsia="仿宋" w:cs="仿宋"/>
          <w:b w:val="0"/>
          <w:bCs w:val="0"/>
          <w:szCs w:val="21"/>
          <w:highlight w:val="none"/>
          <w:u w:val="none"/>
          <w:lang w:val="en-US" w:eastAsia="zh-CN"/>
        </w:rPr>
        <w:t xml:space="preserve">项目竣工验收合格并交付使用后，中标人须在两个月内，依据招投标文件约定编制完整工程竣工结算书，结算基准价按中标投标报价执行。投标报价中未列明、但实际施工必需发生的工作内容及费用，均视为已综合包含在现有报价内，不再另行计价；因甲方书面变更签证产生的新增项目除外。</w:t>
      </w:r>
      <w:r/>
    </w:p>
    <w:p>
      <w:pPr>
        <w:ind w:firstLine="480"/>
        <w:spacing w:line="360" w:lineRule="auto"/>
        <w:rPr>
          <w:rFonts w:hint="eastAsia"/>
          <w:lang w:val="en-US" w:eastAsia="zh-CN"/>
        </w:rPr>
      </w:pPr>
      <w:r>
        <w:rPr>
          <w:rFonts w:hint="eastAsia" w:ascii="仿宋" w:hAnsi="仿宋" w:eastAsia="仿宋" w:cs="仿宋"/>
          <w:b/>
          <w:bCs/>
          <w:szCs w:val="21"/>
          <w:highlight w:val="none"/>
          <w:u w:val="none"/>
          <w:lang w:val="en-US" w:eastAsia="zh-CN"/>
        </w:rPr>
        <w:t xml:space="preserve">3.履约保证金：</w:t>
      </w:r>
      <w:r>
        <w:rPr>
          <w:rFonts w:hint="eastAsia" w:ascii="仿宋" w:hAnsi="仿宋" w:eastAsia="仿宋" w:cs="仿宋"/>
          <w:b w:val="0"/>
          <w:bCs w:val="0"/>
          <w:szCs w:val="21"/>
          <w:highlight w:val="none"/>
          <w:u w:val="none"/>
          <w:lang w:val="en-US" w:eastAsia="zh-CN"/>
        </w:rPr>
        <w:t xml:space="preserve">合同签订前，中标人须按合同总额的 5% 缴纳履约保证金；项目合同义务全部履行完毕后，无息原路退还。</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工程项目结算审计完成后，审计相关费用按以下核减率标准划分承担责任：项目结算审计核减率超过5%的，本次项目结算审核及结算审计产生的全部费用均由中标施工单位全额承担；项目结算审计核减率在5%（含5%）及以下的，本次项目结算审核及结算审计产生的全部费用均由采购人（学校）全额承担。</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核算计算公式如下：</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核减率=全部审计核减额÷施工单位上报竣工结算申报总金额</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全部审计核减额=结算审核阶段核减金额+全过程阶段审计核减金额</w:t>
      </w:r>
      <w:r/>
    </w:p>
    <w:p>
      <w:pPr>
        <w:ind w:firstLine="480"/>
        <w:spacing w:line="360" w:lineRule="auto"/>
        <w:rPr>
          <w:rFonts w:hint="eastAsia" w:ascii="仿宋" w:hAnsi="仿宋" w:eastAsia="仿宋" w:cs="仿宋"/>
          <w:b/>
          <w:bCs/>
          <w:szCs w:val="21"/>
          <w:highlight w:val="none"/>
          <w:u w:val="none"/>
          <w:lang w:val="en-US" w:eastAsia="zh-CN"/>
        </w:rPr>
      </w:pPr>
      <w:r>
        <w:rPr>
          <w:rFonts w:hint="eastAsia" w:ascii="仿宋" w:hAnsi="仿宋" w:eastAsia="仿宋" w:cs="仿宋"/>
          <w:b/>
          <w:bCs/>
          <w:szCs w:val="21"/>
          <w:highlight w:val="none"/>
          <w:u w:val="none"/>
          <w:lang w:val="en-US" w:eastAsia="zh-CN"/>
        </w:rPr>
        <w:t xml:space="preserve">十、其他工程要求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1.成交单位须按施工现场实际情况，结合工程量清单完成设备的采购、运输、安装、调试等项目，严格遵守施工安全规范，承担施工过程中的全部安全责任。</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2.成交单位保证提供的变压器、断路器及其附件是全新的、先进的、成熟的、完整的和安全可靠的，且设备的性能和技术参数必须符合本采购需求及工程施工、验收标准，适配工程整体需求。</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3.成交单位须按规范要求提供各项电气设备交接试验报告，作为工程验收的重要佐证材料。</w:t>
      </w:r>
      <w:r/>
    </w:p>
    <w:p>
      <w:pPr>
        <w:ind w:firstLine="480"/>
        <w:spacing w:line="360" w:lineRule="auto"/>
        <w:rPr>
          <w:rFonts w:hint="eastAsia" w:ascii="仿宋" w:hAnsi="仿宋" w:eastAsia="仿宋" w:cs="仿宋"/>
          <w:b w:val="0"/>
          <w:bCs w:val="0"/>
          <w:szCs w:val="21"/>
          <w:highlight w:val="none"/>
          <w:u w:val="none"/>
          <w:lang w:val="en-US" w:eastAsia="zh-CN"/>
        </w:rPr>
      </w:pPr>
      <w:r>
        <w:rPr>
          <w:rFonts w:hint="eastAsia" w:ascii="仿宋" w:hAnsi="仿宋" w:eastAsia="仿宋" w:cs="仿宋"/>
          <w:b w:val="0"/>
          <w:bCs w:val="0"/>
          <w:szCs w:val="21"/>
          <w:highlight w:val="none"/>
          <w:u w:val="none"/>
          <w:lang w:val="en-US" w:eastAsia="zh-CN"/>
        </w:rPr>
        <w:t xml:space="preserve">4.施工过程中，成交单位须服从采购人的现场管理，配合学校的教学、办公安排，避免施工影响学校正常教学秩序，如需占用教学相关区域，须提前书面报备采购人，经同意后方可实施。</w:t>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1163"/>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1163"/>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1242"/>
        <w:jc w:val="center"/>
        <w:spacing w:before="0" w:beforeAutospacing="0" w:after="0" w:afterAutospacing="0" w:line="360" w:lineRule="auto"/>
        <w:rPr>
          <w:rFonts w:hint="eastAsia" w:ascii="仿宋" w:hAnsi="仿宋" w:eastAsia="仿宋" w:cs="仿宋"/>
          <w:color w:val="000000"/>
          <w:sz w:val="21"/>
          <w:szCs w:val="21"/>
        </w:rPr>
      </w:pPr>
      <w:r/>
      <w:bookmarkStart w:id="762" w:name="_Toc151381413"/>
      <w:r>
        <w:rPr>
          <w:rStyle w:val="1183"/>
          <w:rFonts w:hint="eastAsia" w:ascii="仿宋" w:hAnsi="仿宋" w:eastAsia="仿宋" w:cs="仿宋"/>
          <w:color w:val="000000"/>
          <w:sz w:val="36"/>
          <w:szCs w:val="36"/>
        </w:rPr>
        <w:t xml:space="preserve">第</w:t>
      </w:r>
      <w:r>
        <w:rPr>
          <w:rStyle w:val="1183"/>
          <w:rFonts w:hint="eastAsia" w:ascii="仿宋" w:hAnsi="仿宋" w:eastAsia="仿宋" w:cs="仿宋"/>
          <w:color w:val="000000"/>
          <w:sz w:val="36"/>
          <w:szCs w:val="36"/>
          <w:lang w:val="en-US" w:eastAsia="zh-CN"/>
        </w:rPr>
        <w:t xml:space="preserve">五</w:t>
      </w:r>
      <w:r>
        <w:rPr>
          <w:rStyle w:val="1183"/>
          <w:rFonts w:hint="eastAsia" w:ascii="仿宋" w:hAnsi="仿宋" w:eastAsia="仿宋" w:cs="仿宋"/>
          <w:color w:val="000000"/>
          <w:sz w:val="36"/>
          <w:szCs w:val="36"/>
        </w:rPr>
        <w:t xml:space="preserve">章   拟签订的合同文本</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26" w:hanging="6"/>
        <w:jc w:val="center"/>
        <w:spacing w:line="900" w:lineRule="exact"/>
        <w:rPr>
          <w:rFonts w:hint="eastAsia" w:ascii="仿宋" w:hAnsi="仿宋" w:eastAsia="仿宋" w:cs="仿宋"/>
          <w:b/>
          <w:color w:val="000000"/>
          <w:sz w:val="52"/>
          <w:szCs w:val="52"/>
        </w:rPr>
      </w:pPr>
      <w:r>
        <w:rPr>
          <w:rFonts w:hint="eastAsia" w:ascii="仿宋" w:hAnsi="仿宋" w:eastAsia="仿宋" w:cs="仿宋"/>
          <w:b/>
          <w:color w:val="000000"/>
          <w:sz w:val="52"/>
          <w:szCs w:val="52"/>
        </w:rPr>
        <w:t xml:space="preserve">常州机电职业技术学院教学楼</w:t>
      </w:r>
      <w:r/>
    </w:p>
    <w:p>
      <w:pPr>
        <w:ind w:left="426" w:hanging="6"/>
        <w:jc w:val="center"/>
        <w:spacing w:line="900" w:lineRule="exact"/>
        <w:rPr>
          <w:rFonts w:hint="eastAsia" w:ascii="仿宋" w:hAnsi="仿宋" w:eastAsia="仿宋" w:cs="仿宋"/>
          <w:b/>
          <w:color w:val="000000"/>
          <w:sz w:val="52"/>
          <w:szCs w:val="52"/>
        </w:rPr>
      </w:pPr>
      <w:r>
        <w:rPr>
          <w:rFonts w:hint="eastAsia" w:ascii="仿宋" w:hAnsi="仿宋" w:eastAsia="仿宋" w:cs="仿宋"/>
          <w:b/>
          <w:color w:val="000000"/>
          <w:sz w:val="52"/>
          <w:szCs w:val="52"/>
        </w:rPr>
        <w:t xml:space="preserve">变电所</w:t>
      </w:r>
      <w:r>
        <w:rPr>
          <w:rFonts w:hint="eastAsia" w:ascii="仿宋" w:hAnsi="仿宋" w:eastAsia="仿宋" w:cs="仿宋"/>
          <w:b/>
          <w:color w:val="000000"/>
          <w:sz w:val="52"/>
          <w:szCs w:val="52"/>
          <w:lang w:val="en-US" w:eastAsia="zh-CN"/>
        </w:rPr>
        <w:t xml:space="preserve">增容</w:t>
      </w:r>
      <w:r>
        <w:rPr>
          <w:rFonts w:hint="eastAsia" w:ascii="仿宋" w:hAnsi="仿宋" w:eastAsia="仿宋" w:cs="仿宋"/>
          <w:b/>
          <w:color w:val="000000"/>
          <w:sz w:val="52"/>
          <w:szCs w:val="52"/>
        </w:rPr>
        <w:t xml:space="preserve">项目</w:t>
      </w:r>
      <w:r/>
    </w:p>
    <w:p>
      <w:pPr>
        <w:ind w:left="426" w:hanging="6"/>
        <w:jc w:val="center"/>
        <w:keepLines w:val="0"/>
        <w:keepNext w:val="0"/>
        <w:pageBreakBefore w:val="0"/>
        <w:spacing w:line="168" w:lineRule="auto"/>
        <w:widowControl w:val="off"/>
        <w:rPr>
          <w:rFonts w:hint="eastAsia" w:ascii="仿宋" w:hAnsi="仿宋" w:eastAsia="仿宋" w:cs="仿宋"/>
          <w:b/>
          <w:color w:val="000000"/>
          <w:sz w:val="52"/>
          <w:szCs w:val="52"/>
        </w:rPr>
      </w:pPr>
      <w:r>
        <w:rPr>
          <w:rFonts w:hint="eastAsia" w:ascii="仿宋" w:hAnsi="仿宋" w:eastAsia="仿宋" w:cs="仿宋"/>
          <w:b/>
          <w:color w:val="000000"/>
          <w:sz w:val="52"/>
          <w:szCs w:val="52"/>
        </w:rPr>
      </w:r>
      <w:r/>
    </w:p>
    <w:p>
      <w:pPr>
        <w:jc w:val="both"/>
        <w:keepLines w:val="0"/>
        <w:keepNext w:val="0"/>
        <w:pageBreakBefore w:val="0"/>
        <w:spacing w:line="168" w:lineRule="auto"/>
        <w:widowControl w:val="off"/>
        <w:rPr>
          <w:rFonts w:hint="eastAsia" w:ascii="仿宋" w:hAnsi="仿宋" w:eastAsia="仿宋" w:cs="仿宋"/>
          <w:b/>
          <w:color w:val="000000"/>
          <w:sz w:val="84"/>
          <w:szCs w:val="84"/>
        </w:rPr>
      </w:pPr>
      <w:r>
        <w:rPr>
          <w:rFonts w:hint="eastAsia" w:ascii="仿宋" w:hAnsi="仿宋" w:eastAsia="仿宋" w:cs="仿宋"/>
          <w:b/>
          <w:color w:val="000000"/>
          <w:sz w:val="84"/>
          <w:szCs w:val="84"/>
        </w:rPr>
      </w:r>
      <w:r/>
    </w:p>
    <w:p>
      <w:pPr>
        <w:ind w:left="426" w:hanging="6"/>
        <w:jc w:val="center"/>
        <w:spacing w:line="900" w:lineRule="exact"/>
        <w:rPr>
          <w:rFonts w:hint="eastAsia" w:ascii="仿宋" w:hAnsi="仿宋" w:eastAsia="仿宋" w:cs="仿宋"/>
          <w:b/>
          <w:color w:val="000000"/>
          <w:sz w:val="84"/>
          <w:szCs w:val="84"/>
        </w:rPr>
      </w:pPr>
      <w:r>
        <w:rPr>
          <w:rFonts w:hint="eastAsia" w:ascii="仿宋" w:hAnsi="仿宋" w:eastAsia="仿宋" w:cs="仿宋"/>
          <w:b/>
          <w:color w:val="000000"/>
          <w:sz w:val="84"/>
          <w:szCs w:val="84"/>
        </w:rPr>
        <w:t xml:space="preserve">合 同 书</w:t>
      </w:r>
      <w:r/>
    </w:p>
    <w:p>
      <w:pPr>
        <w:ind w:left="1542" w:hanging="1120"/>
        <w:spacing w:line="7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7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909" w:firstLine="28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 方（全 称）：</w:t>
      </w:r>
      <w:r>
        <w:rPr>
          <w:rFonts w:hint="eastAsia" w:ascii="仿宋" w:hAnsi="仿宋" w:eastAsia="仿宋" w:cs="仿宋"/>
          <w:color w:val="000000"/>
          <w:sz w:val="28"/>
          <w:szCs w:val="28"/>
          <w:u w:val="single"/>
        </w:rPr>
        <w:t xml:space="preserve">  常州机电职业技术学院   </w:t>
      </w:r>
      <w:r>
        <w:rPr>
          <w:rFonts w:hint="eastAsia" w:ascii="仿宋" w:hAnsi="仿宋" w:eastAsia="仿宋" w:cs="仿宋"/>
          <w:color w:val="000000"/>
          <w:sz w:val="28"/>
          <w:szCs w:val="28"/>
        </w:rPr>
        <w:t xml:space="preserve">（建设单位）</w:t>
      </w:r>
      <w:r/>
    </w:p>
    <w:p>
      <w:pPr>
        <w:ind w:left="1274" w:hanging="854"/>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1050" w:firstLine="84"/>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 方（全 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(施工单位)</w:t>
      </w:r>
      <w:r/>
    </w:p>
    <w:p>
      <w:pPr>
        <w:ind w:left="1274" w:hanging="854"/>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112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工程名称：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教学楼</w:t>
      </w:r>
      <w:r>
        <w:rPr>
          <w:rFonts w:hint="eastAsia" w:ascii="仿宋" w:hAnsi="仿宋" w:eastAsia="仿宋" w:cs="仿宋"/>
          <w:color w:val="000000"/>
          <w:sz w:val="28"/>
          <w:szCs w:val="28"/>
          <w:u w:val="single"/>
        </w:rPr>
        <w:t xml:space="preserve">变电所增容项目</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p>
    <w:p>
      <w:pPr>
        <w:ind w:left="1274" w:hanging="854"/>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112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工程地点：</w:t>
      </w:r>
      <w:r>
        <w:rPr>
          <w:rFonts w:hint="eastAsia" w:ascii="仿宋" w:hAnsi="仿宋" w:eastAsia="仿宋" w:cs="仿宋"/>
          <w:color w:val="000000"/>
          <w:sz w:val="28"/>
          <w:szCs w:val="28"/>
          <w:u w:val="single"/>
        </w:rPr>
        <w:t xml:space="preserve">     常州市武进区鸣新中路26号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p>
    <w:p>
      <w:pPr>
        <w:ind w:left="1274" w:hanging="854"/>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112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签约地点：</w:t>
      </w:r>
      <w:r>
        <w:rPr>
          <w:rFonts w:hint="eastAsia" w:ascii="仿宋" w:hAnsi="仿宋" w:eastAsia="仿宋" w:cs="仿宋"/>
          <w:color w:val="000000"/>
          <w:sz w:val="28"/>
          <w:szCs w:val="28"/>
          <w:u w:val="single"/>
        </w:rPr>
        <w:t xml:space="preserve">     常州机电职业技术学院                </w:t>
      </w:r>
      <w:r/>
    </w:p>
    <w:p>
      <w:pPr>
        <w:ind w:left="1274" w:hanging="854"/>
        <w:jc w:val="cente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1120"/>
        <w:jc w:val="left"/>
        <w:spacing w:after="120" w:line="240" w:lineRule="auto"/>
        <w:rPr>
          <w:rFonts w:hint="eastAsia" w:ascii="仿宋" w:hAnsi="仿宋" w:eastAsia="仿宋" w:cs="仿宋"/>
          <w:b/>
          <w:bCs/>
          <w:color w:val="auto"/>
          <w:sz w:val="24"/>
          <w:highlight w:val="none"/>
        </w:rPr>
      </w:pPr>
      <w:r>
        <w:rPr>
          <w:rFonts w:hint="eastAsia" w:ascii="仿宋" w:hAnsi="仿宋" w:eastAsia="仿宋" w:cs="仿宋"/>
          <w:color w:val="000000"/>
          <w:sz w:val="28"/>
          <w:szCs w:val="28"/>
        </w:rPr>
        <w:t xml:space="preserve">签订日期：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left"/>
        <w:spacing w:after="1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jc w:val="center"/>
        <w:spacing w:after="12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合同主要条款</w:t>
      </w:r>
      <w:r/>
    </w:p>
    <w:p>
      <w:pPr>
        <w:ind w:firstLine="422"/>
        <w:jc w:val="left"/>
        <w:spacing w:after="120" w:line="360" w:lineRule="auto"/>
        <w:rPr>
          <w:rFonts w:hint="eastAsia" w:ascii="仿宋" w:hAnsi="仿宋" w:eastAsia="仿宋" w:cs="仿宋"/>
          <w:b w:val="0"/>
          <w:bCs w:val="0"/>
          <w:color w:val="auto"/>
          <w:sz w:val="21"/>
          <w:szCs w:val="21"/>
          <w:highlight w:val="none"/>
        </w:rPr>
      </w:pPr>
      <w:r>
        <w:rPr>
          <w:rFonts w:hint="eastAsia" w:ascii="仿宋" w:hAnsi="仿宋" w:eastAsia="仿宋" w:cs="仿宋"/>
          <w:b/>
          <w:bCs/>
          <w:color w:val="auto"/>
          <w:sz w:val="21"/>
          <w:szCs w:val="21"/>
          <w:highlight w:val="none"/>
        </w:rPr>
        <w:t xml:space="preserve">甲 方（全 称）：</w:t>
      </w:r>
      <w:r>
        <w:rPr>
          <w:rFonts w:hint="eastAsia" w:ascii="仿宋" w:hAnsi="仿宋" w:eastAsia="仿宋" w:cs="仿宋"/>
          <w:b w:val="0"/>
          <w:bCs w:val="0"/>
          <w:color w:val="auto"/>
          <w:sz w:val="21"/>
          <w:szCs w:val="21"/>
          <w:highlight w:val="none"/>
          <w:u w:val="single"/>
        </w:rPr>
        <w:t xml:space="preserve">  常州机电职业技术学院 </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（建设单位）</w:t>
      </w:r>
      <w:r/>
    </w:p>
    <w:p>
      <w:pPr>
        <w:ind w:firstLine="422"/>
        <w:jc w:val="left"/>
        <w:spacing w:after="120" w:line="360" w:lineRule="auto"/>
        <w:rPr>
          <w:rFonts w:hint="eastAsia" w:ascii="仿宋" w:hAnsi="仿宋" w:eastAsia="仿宋" w:cs="仿宋"/>
          <w:b w:val="0"/>
          <w:bCs w:val="0"/>
          <w:color w:val="auto"/>
          <w:sz w:val="21"/>
          <w:szCs w:val="21"/>
          <w:highlight w:val="none"/>
        </w:rPr>
      </w:pPr>
      <w:r>
        <w:rPr>
          <w:rFonts w:hint="eastAsia" w:ascii="仿宋" w:hAnsi="仿宋" w:eastAsia="仿宋" w:cs="仿宋"/>
          <w:b/>
          <w:bCs/>
          <w:color w:val="auto"/>
          <w:sz w:val="21"/>
          <w:szCs w:val="21"/>
          <w:highlight w:val="none"/>
        </w:rPr>
        <w:t xml:space="preserve">乙 方（全 称）：</w:t>
      </w:r>
      <w:r>
        <w:rPr>
          <w:rFonts w:hint="eastAsia" w:ascii="仿宋" w:hAnsi="仿宋" w:eastAsia="仿宋" w:cs="仿宋"/>
          <w:b w:val="0"/>
          <w:bCs w:val="0"/>
          <w:color w:val="auto"/>
          <w:sz w:val="21"/>
          <w:szCs w:val="21"/>
          <w:highlight w:val="none"/>
        </w:rPr>
        <w:t xml:space="preserve"> </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(施工单位)</w:t>
      </w:r>
      <w:r/>
    </w:p>
    <w:p>
      <w:pPr>
        <w:ind w:firstLine="420"/>
        <w:jc w:val="left"/>
        <w:spacing w:after="120"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依照《中华人民共和国民法典》、《中华人民共和国建筑法》及其他有关法律、行政法规，遵循平等、自愿、公平和诚实信用的原则，甲方、乙方双方就工程施工事项经协商达成一致。</w:t>
      </w:r>
      <w:r/>
    </w:p>
    <w:p>
      <w:pPr>
        <w:ind w:firstLine="316"/>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 一、工程概况</w:t>
      </w:r>
      <w:r/>
    </w:p>
    <w:p>
      <w:pPr>
        <w:ind w:left="1768" w:hanging="1050"/>
        <w:jc w:val="left"/>
        <w:spacing w:line="360" w:lineRule="auto"/>
        <w:widowControl/>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工程名称：</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教学楼</w:t>
      </w:r>
      <w:r>
        <w:rPr>
          <w:rFonts w:hint="eastAsia" w:ascii="仿宋" w:hAnsi="仿宋" w:eastAsia="仿宋" w:cs="仿宋"/>
          <w:color w:val="000000"/>
          <w:sz w:val="21"/>
          <w:szCs w:val="21"/>
          <w:u w:val="single"/>
        </w:rPr>
        <w:t xml:space="preserve">变电所</w:t>
      </w:r>
      <w:r>
        <w:rPr>
          <w:rFonts w:hint="eastAsia" w:ascii="仿宋" w:hAnsi="仿宋" w:eastAsia="仿宋" w:cs="仿宋"/>
          <w:color w:val="000000"/>
          <w:sz w:val="21"/>
          <w:szCs w:val="21"/>
          <w:u w:val="single"/>
          <w:lang w:val="en-US" w:eastAsia="zh-CN"/>
        </w:rPr>
        <w:t xml:space="preserve">增容</w:t>
      </w:r>
      <w:r>
        <w:rPr>
          <w:rFonts w:hint="eastAsia" w:ascii="仿宋" w:hAnsi="仿宋" w:eastAsia="仿宋" w:cs="仿宋"/>
          <w:color w:val="000000"/>
          <w:sz w:val="21"/>
          <w:szCs w:val="21"/>
          <w:u w:val="single"/>
        </w:rPr>
        <w:t xml:space="preserve">项目</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rPr>
        <w:t xml:space="preserve">       </w:t>
      </w:r>
      <w:r/>
    </w:p>
    <w:p>
      <w:pPr>
        <w:ind w:left="1768" w:hanging="1050"/>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工程地点：</w:t>
      </w:r>
      <w:r>
        <w:rPr>
          <w:rFonts w:hint="eastAsia" w:ascii="仿宋" w:hAnsi="仿宋" w:eastAsia="仿宋" w:cs="仿宋"/>
          <w:color w:val="000000"/>
          <w:sz w:val="21"/>
          <w:szCs w:val="21"/>
          <w:u w:val="single"/>
        </w:rPr>
        <w:t xml:space="preserve"> 常州机电职业技术学院学院内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p>
    <w:p>
      <w:pPr>
        <w:ind w:firstLine="316"/>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二、工程承包范围与承包方式</w:t>
      </w:r>
      <w:r/>
    </w:p>
    <w:p>
      <w:pPr>
        <w:ind w:left="2274" w:hanging="1705"/>
        <w:jc w:val="left"/>
        <w:spacing w:line="360" w:lineRule="auto"/>
        <w:widowControl/>
        <w:tabs>
          <w:tab w:val="left" w:pos="1680" w:leader="none"/>
        </w:tabs>
        <w:rPr>
          <w:rFonts w:hint="default" w:ascii="仿宋" w:hAnsi="仿宋" w:eastAsia="仿宋" w:cs="仿宋"/>
          <w:color w:val="000000"/>
          <w:sz w:val="21"/>
          <w:szCs w:val="21"/>
          <w:lang w:val="en-US"/>
        </w:rPr>
      </w:pPr>
      <w:r>
        <w:rPr>
          <w:rFonts w:hint="eastAsia" w:ascii="仿宋" w:hAnsi="仿宋" w:eastAsia="仿宋" w:cs="仿宋"/>
          <w:color w:val="000000"/>
          <w:sz w:val="21"/>
          <w:szCs w:val="21"/>
        </w:rPr>
        <w:t xml:space="preserve">      承包范围：</w:t>
      </w:r>
      <w:r>
        <w:rPr>
          <w:rFonts w:hint="eastAsia" w:ascii="仿宋" w:hAnsi="仿宋" w:eastAsia="仿宋" w:cs="仿宋"/>
          <w:color w:val="000000"/>
          <w:sz w:val="21"/>
          <w:szCs w:val="21"/>
          <w:u w:val="single"/>
        </w:rPr>
        <w:t xml:space="preserve"> </w:t>
      </w:r>
      <w:r>
        <w:rPr>
          <w:rFonts w:hint="eastAsia" w:ascii="仿宋" w:hAnsi="仿宋" w:eastAsia="仿宋" w:cs="仿宋"/>
          <w:color w:val="auto"/>
          <w:sz w:val="21"/>
          <w:szCs w:val="21"/>
          <w:u w:val="single"/>
        </w:rPr>
        <w:t xml:space="preserve">清单内包含的所有内容</w:t>
      </w:r>
      <w:r>
        <w:rPr>
          <w:rFonts w:hint="eastAsia" w:ascii="仿宋" w:hAnsi="仿宋" w:eastAsia="仿宋" w:cs="仿宋"/>
          <w:color w:val="000000"/>
          <w:sz w:val="21"/>
          <w:szCs w:val="21"/>
          <w:u w:val="single"/>
          <w:lang w:val="en-US" w:eastAsia="zh-CN"/>
        </w:rPr>
        <w:t xml:space="preserve"> </w:t>
      </w:r>
      <w:r/>
    </w:p>
    <w:p>
      <w:pPr>
        <w:ind w:left="1737" w:hanging="945"/>
        <w:spacing w:line="360" w:lineRule="auto"/>
        <w:widowControl/>
        <w:tabs>
          <w:tab w:val="left" w:pos="1680" w:leader="none"/>
        </w:tabs>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承包方式：</w:t>
      </w:r>
      <w:r>
        <w:rPr>
          <w:rFonts w:hint="eastAsia" w:ascii="仿宋" w:hAnsi="仿宋" w:eastAsia="仿宋" w:cs="仿宋"/>
          <w:color w:val="000000"/>
          <w:sz w:val="21"/>
          <w:szCs w:val="21"/>
          <w:u w:val="single"/>
        </w:rPr>
        <w:t xml:space="preserve"> 包工包料</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p>
    <w:p>
      <w:pPr>
        <w:ind w:left="1737" w:hanging="945"/>
        <w:spacing w:line="360" w:lineRule="auto"/>
        <w:widowControl/>
        <w:tabs>
          <w:tab w:val="left" w:pos="1680" w:leader="none"/>
        </w:tabs>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结算方式：</w:t>
      </w:r>
      <w:r>
        <w:rPr>
          <w:rFonts w:hint="eastAsia" w:ascii="仿宋" w:hAnsi="仿宋" w:eastAsia="仿宋" w:cs="仿宋"/>
          <w:color w:val="0000ff"/>
          <w:sz w:val="21"/>
          <w:szCs w:val="21"/>
          <w:u w:val="single"/>
        </w:rPr>
        <w:t xml:space="preserve"> </w:t>
      </w:r>
      <w:r>
        <w:rPr>
          <w:rFonts w:hint="eastAsia" w:ascii="仿宋" w:hAnsi="仿宋" w:eastAsia="仿宋" w:cs="仿宋"/>
          <w:b w:val="0"/>
          <w:bCs w:val="0"/>
          <w:color w:val="000000"/>
          <w:sz w:val="21"/>
          <w:szCs w:val="21"/>
          <w:u w:val="single"/>
        </w:rPr>
        <w:t xml:space="preserve">固定</w:t>
      </w:r>
      <w:r>
        <w:rPr>
          <w:rFonts w:hint="eastAsia" w:ascii="仿宋" w:hAnsi="仿宋" w:eastAsia="仿宋" w:cs="仿宋"/>
          <w:b w:val="0"/>
          <w:bCs w:val="0"/>
          <w:color w:val="000000"/>
          <w:sz w:val="21"/>
          <w:szCs w:val="21"/>
          <w:u w:val="single"/>
          <w:lang w:eastAsia="zh-CN"/>
        </w:rPr>
        <w:t xml:space="preserve">单价、按实结算</w:t>
      </w:r>
      <w:r>
        <w:rPr>
          <w:rFonts w:hint="eastAsia" w:ascii="仿宋" w:hAnsi="仿宋" w:eastAsia="仿宋" w:cs="仿宋"/>
          <w:b w:val="0"/>
          <w:bCs w:val="0"/>
          <w:color w:val="000000"/>
          <w:sz w:val="21"/>
          <w:szCs w:val="21"/>
          <w:u w:val="single"/>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p>
    <w:p>
      <w:pPr>
        <w:jc w:val="left"/>
        <w:spacing w:line="360" w:lineRule="auto"/>
        <w:widowControl/>
        <w:rPr>
          <w:rFonts w:hint="eastAsia" w:ascii="仿宋" w:hAnsi="仿宋" w:eastAsia="仿宋" w:cs="仿宋"/>
          <w:b/>
          <w:color w:val="000000"/>
          <w:sz w:val="21"/>
          <w:szCs w:val="21"/>
        </w:rPr>
      </w:pPr>
      <w:r>
        <w:rPr>
          <w:rFonts w:hint="eastAsia" w:ascii="仿宋" w:hAnsi="仿宋" w:eastAsia="仿宋" w:cs="仿宋"/>
          <w:bCs/>
          <w:color w:val="000000"/>
          <w:sz w:val="21"/>
          <w:szCs w:val="21"/>
        </w:rPr>
        <w:t xml:space="preserve">　 </w:t>
      </w:r>
      <w:r>
        <w:rPr>
          <w:rFonts w:hint="eastAsia" w:ascii="仿宋" w:hAnsi="仿宋" w:eastAsia="仿宋" w:cs="仿宋"/>
          <w:bCs/>
          <w:color w:val="000000"/>
          <w:sz w:val="21"/>
          <w:szCs w:val="21"/>
          <w:lang w:val="en-US" w:eastAsia="zh-CN"/>
        </w:rPr>
        <w:t xml:space="preserve"> </w:t>
      </w:r>
      <w:r>
        <w:rPr>
          <w:rFonts w:hint="eastAsia" w:ascii="仿宋" w:hAnsi="仿宋" w:eastAsia="仿宋" w:cs="仿宋"/>
          <w:b/>
          <w:color w:val="000000"/>
          <w:sz w:val="21"/>
          <w:szCs w:val="21"/>
        </w:rPr>
        <w:t xml:space="preserve">三、合同工期</w:t>
      </w:r>
      <w:r/>
    </w:p>
    <w:p>
      <w:pPr>
        <w:ind w:firstLine="495"/>
        <w:spacing w:line="360" w:lineRule="auto"/>
        <w:rPr>
          <w:rFonts w:hint="eastAsia" w:ascii="仿宋" w:hAnsi="仿宋" w:eastAsia="仿宋" w:cs="仿宋"/>
          <w:b/>
          <w:color w:val="000000"/>
          <w:sz w:val="21"/>
          <w:szCs w:val="21"/>
        </w:rPr>
      </w:pPr>
      <w:r>
        <w:rPr>
          <w:rFonts w:hint="eastAsia" w:ascii="仿宋" w:hAnsi="仿宋" w:eastAsia="仿宋" w:cs="仿宋"/>
          <w:color w:val="000000"/>
          <w:sz w:val="21"/>
          <w:szCs w:val="21"/>
        </w:rPr>
        <w:t xml:space="preserve">1、总工期</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30</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天，开工日期开工日期</w:t>
      </w:r>
      <w:r>
        <w:rPr>
          <w:rFonts w:hint="eastAsia" w:ascii="仿宋" w:hAnsi="仿宋" w:eastAsia="仿宋" w:cs="仿宋"/>
          <w:color w:val="000000"/>
          <w:sz w:val="21"/>
          <w:szCs w:val="21"/>
          <w:lang w:eastAsia="zh-CN"/>
        </w:rPr>
        <w:t xml:space="preserve">以甲方书面通知为准，</w:t>
      </w:r>
      <w:r>
        <w:rPr>
          <w:rFonts w:hint="eastAsia" w:ascii="仿宋" w:hAnsi="仿宋" w:eastAsia="仿宋" w:cs="仿宋"/>
          <w:color w:val="000000"/>
          <w:sz w:val="21"/>
          <w:szCs w:val="21"/>
          <w:u w:val="single"/>
        </w:rPr>
        <w:t xml:space="preserve"> 202</w:t>
      </w:r>
      <w:r>
        <w:rPr>
          <w:rFonts w:hint="eastAsia" w:ascii="仿宋" w:hAnsi="仿宋" w:eastAsia="仿宋" w:cs="仿宋"/>
          <w:color w:val="000000"/>
          <w:sz w:val="21"/>
          <w:szCs w:val="21"/>
          <w:u w:val="single"/>
          <w:lang w:val="en-US" w:eastAsia="zh-CN"/>
        </w:rPr>
        <w:t xml:space="preserve">6</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年</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月</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日，竣工日期为</w:t>
      </w:r>
      <w:r>
        <w:rPr>
          <w:rFonts w:hint="eastAsia" w:ascii="仿宋" w:hAnsi="仿宋" w:eastAsia="仿宋" w:cs="仿宋"/>
          <w:i/>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rPr>
        <w:t xml:space="preserve">年</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月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日。</w:t>
      </w:r>
      <w:r/>
    </w:p>
    <w:p>
      <w:pPr>
        <w:ind w:left="97" w:firstLine="420"/>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2、因不可抗力或发包人的原因引起的工期延误，需办理签证，方可在合同工期中扣除相应的工期。</w:t>
      </w:r>
      <w:r/>
    </w:p>
    <w:p>
      <w:pPr>
        <w:ind w:firstLine="525"/>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3、工期延误：每天按合同价的</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rPr>
        <w:t xml:space="preserve">2% </w:t>
      </w:r>
      <w:r>
        <w:rPr>
          <w:rFonts w:hint="eastAsia" w:ascii="仿宋" w:hAnsi="仿宋" w:eastAsia="仿宋" w:cs="仿宋"/>
          <w:color w:val="000000"/>
          <w:sz w:val="21"/>
          <w:szCs w:val="21"/>
        </w:rPr>
        <w:t xml:space="preserve">进行处罚。</w:t>
      </w:r>
      <w:r/>
    </w:p>
    <w:p>
      <w:pPr>
        <w:ind w:firstLine="472"/>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四、合同价款及结算条件</w:t>
      </w:r>
      <w:r/>
    </w:p>
    <w:p>
      <w:pPr>
        <w:ind w:firstLine="525"/>
        <w:jc w:val="left"/>
        <w:spacing w:line="360" w:lineRule="auto"/>
        <w:rPr>
          <w:rFonts w:hint="eastAsia" w:ascii="仿宋" w:hAnsi="仿宋" w:eastAsia="仿宋" w:cs="仿宋"/>
          <w:bCs/>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bCs/>
          <w:color w:val="000000"/>
          <w:sz w:val="21"/>
          <w:szCs w:val="21"/>
        </w:rPr>
        <w:t xml:space="preserve">本合同总造价为人民币</w:t>
      </w:r>
      <w:r>
        <w:rPr>
          <w:rFonts w:hint="eastAsia" w:ascii="仿宋" w:hAnsi="仿宋" w:eastAsia="仿宋" w:cs="仿宋"/>
          <w:bCs/>
          <w:color w:val="000000"/>
          <w:sz w:val="21"/>
          <w:szCs w:val="21"/>
          <w:u w:val="single"/>
        </w:rPr>
        <w:t xml:space="preserve"> </w:t>
      </w:r>
      <w:r>
        <w:rPr>
          <w:rFonts w:hint="eastAsia" w:ascii="仿宋" w:hAnsi="仿宋" w:eastAsia="仿宋" w:cs="仿宋"/>
          <w:bCs/>
          <w:color w:val="000000"/>
          <w:sz w:val="21"/>
          <w:szCs w:val="21"/>
          <w:u w:val="single"/>
          <w:lang w:val="en-US" w:eastAsia="zh-CN"/>
        </w:rPr>
        <w:t xml:space="preserve">       </w:t>
      </w:r>
      <w:r>
        <w:rPr>
          <w:rFonts w:hint="eastAsia" w:ascii="仿宋" w:hAnsi="仿宋" w:eastAsia="仿宋" w:cs="仿宋"/>
          <w:bCs/>
          <w:color w:val="000000"/>
          <w:sz w:val="21"/>
          <w:szCs w:val="21"/>
          <w:u w:val="single"/>
        </w:rPr>
        <w:t xml:space="preserve"> </w:t>
      </w:r>
      <w:r>
        <w:rPr>
          <w:rFonts w:hint="eastAsia" w:ascii="仿宋" w:hAnsi="仿宋" w:eastAsia="仿宋" w:cs="仿宋"/>
          <w:bCs/>
          <w:color w:val="000000"/>
          <w:sz w:val="21"/>
          <w:szCs w:val="21"/>
        </w:rPr>
        <w:t xml:space="preserve">元整（大写：</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bCs/>
          <w:color w:val="000000"/>
          <w:sz w:val="21"/>
          <w:szCs w:val="21"/>
        </w:rPr>
        <w:t xml:space="preserve">），工程量清单报价表（详见附件）。</w:t>
      </w:r>
      <w:r/>
    </w:p>
    <w:p>
      <w:pPr>
        <w:ind w:firstLine="525"/>
        <w:jc w:val="left"/>
        <w:spacing w:line="360" w:lineRule="auto"/>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2.工程量清单为准。</w:t>
      </w:r>
      <w:r/>
    </w:p>
    <w:p>
      <w:pPr>
        <w:ind w:firstLine="527"/>
        <w:jc w:val="left"/>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五、双方的责任与义务</w:t>
      </w:r>
      <w:r/>
    </w:p>
    <w:p>
      <w:pPr>
        <w:ind w:firstLine="31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1、乙方采购材料、设备（附清单）必须符合有关规范和施工要求规定的质量要求，有质量保证书及材质试验单等相关质保文件，且经甲方认可。</w:t>
      </w:r>
      <w:r/>
    </w:p>
    <w:p>
      <w:pPr>
        <w:ind w:firstLine="43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2、乙方应保证周围建筑物安全不受施工影响，施工过程中如发现地下管线及其他设施，在甲方代表下达指令前予以保护好。若有损坏，乙方必须无条件及时修复并承担由此发生的各种费用。</w:t>
      </w:r>
      <w:r/>
    </w:p>
    <w:p>
      <w:pPr>
        <w:ind w:firstLine="43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3、如涉及隐蔽工程，必须由甲方相关同志到场验收后方可进行下一步施工。</w:t>
      </w:r>
      <w:r/>
    </w:p>
    <w:p>
      <w:pPr>
        <w:ind w:firstLine="43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文明施工：乙方对工程的安全文明负责，如需现场加工，需配备相应的消防设备或其它相关保护措施，并承担工程建设过程中的所有人身和财产安全责任，一旦发生安全事故，乙方必须承担由此产生的全部经济和社会责任。乙方应做好职工工资发放工作，如有因乙方工资发放原因而引起职工投诉，经核实后甲方有权从乙方工程款中扣除，直接发放给职工，并对乙方处于投诉工资相同数额的罚款。</w:t>
      </w:r>
      <w:r/>
    </w:p>
    <w:p>
      <w:pPr>
        <w:ind w:left="479"/>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val="en-US" w:eastAsia="zh-CN"/>
        </w:rPr>
        <w:t xml:space="preserve">六</w:t>
      </w:r>
      <w:r>
        <w:rPr>
          <w:rFonts w:hint="eastAsia" w:ascii="仿宋" w:hAnsi="仿宋" w:eastAsia="仿宋" w:cs="仿宋"/>
          <w:b/>
          <w:color w:val="000000"/>
          <w:sz w:val="21"/>
          <w:szCs w:val="21"/>
        </w:rPr>
        <w:t xml:space="preserve">、工程管理人员要求</w:t>
      </w:r>
      <w:r/>
    </w:p>
    <w:p>
      <w:pPr>
        <w:ind w:firstLine="420"/>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甲方指派</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rPr>
        <w:t xml:space="preserve">为驻工地代表，负责报验手续对接工作，同时对工程质量、进度进行监督检查，办理验收及其他事宜。</w:t>
      </w:r>
      <w:r/>
    </w:p>
    <w:p>
      <w:pPr>
        <w:ind w:firstLine="420"/>
        <w:jc w:val="left"/>
        <w:spacing w:line="36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乙方指派</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为驻工地代表，组织施工，解决由乙方负责的各项事宜。</w:t>
      </w:r>
      <w:r/>
    </w:p>
    <w:p>
      <w:pPr>
        <w:ind w:firstLine="413"/>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val="en-US" w:eastAsia="zh-CN"/>
        </w:rPr>
        <w:t xml:space="preserve">七</w:t>
      </w:r>
      <w:r>
        <w:rPr>
          <w:rFonts w:hint="eastAsia" w:ascii="仿宋" w:hAnsi="仿宋" w:eastAsia="仿宋" w:cs="仿宋"/>
          <w:b/>
          <w:color w:val="000000"/>
          <w:sz w:val="21"/>
          <w:szCs w:val="21"/>
        </w:rPr>
        <w:t xml:space="preserve">、组成合同的文件</w:t>
      </w:r>
      <w:r>
        <w:rPr>
          <w:rFonts w:hint="eastAsia" w:ascii="仿宋" w:hAnsi="仿宋" w:eastAsia="仿宋" w:cs="仿宋"/>
          <w:b/>
          <w:color w:val="000000"/>
          <w:sz w:val="21"/>
          <w:szCs w:val="21"/>
        </w:rPr>
        <w:tab/>
      </w:r>
      <w:r/>
    </w:p>
    <w:p>
      <w:pPr>
        <w:ind w:firstLine="525"/>
        <w:spacing w:line="360" w:lineRule="auto"/>
        <w:tabs>
          <w:tab w:val="left" w:pos="315"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组成本合同的文件包括：</w:t>
      </w:r>
      <w:r/>
    </w:p>
    <w:p>
      <w:pPr>
        <w:numPr>
          <w:ilvl w:val="0"/>
          <w:numId w:val="0"/>
        </w:numPr>
        <w:ind w:left="1410" w:hanging="720"/>
        <w:spacing w:line="360" w:lineRule="auto"/>
        <w:rPr>
          <w:rFonts w:hint="eastAsia" w:ascii="仿宋" w:hAnsi="仿宋" w:eastAsia="仿宋" w:cs="仿宋"/>
          <w:color w:val="000000"/>
          <w:sz w:val="21"/>
          <w:szCs w:val="21"/>
        </w:rPr>
      </w:pPr>
      <w:r>
        <w:rPr>
          <w:rFonts w:hint="default" w:ascii="仿宋" w:hAnsi="仿宋" w:eastAsia="仿宋" w:cs="Times New Roman"/>
          <w:color w:val="000000"/>
          <w:sz w:val="21"/>
          <w:szCs w:val="21"/>
          <w:lang w:val="en-US" w:eastAsia="zh-CN" w:bidi="ar-SA"/>
        </w:rPr>
        <w:t xml:space="preserve">1、</w:t>
      </w:r>
      <w:r>
        <w:rPr>
          <w:rFonts w:hint="eastAsia" w:ascii="仿宋" w:hAnsi="仿宋" w:eastAsia="仿宋" w:cs="仿宋"/>
          <w:color w:val="000000"/>
          <w:sz w:val="21"/>
          <w:szCs w:val="21"/>
        </w:rPr>
        <w:t xml:space="preserve">本合同书</w:t>
      </w:r>
      <w:r/>
    </w:p>
    <w:p>
      <w:pPr>
        <w:numPr>
          <w:ilvl w:val="0"/>
          <w:numId w:val="0"/>
        </w:numPr>
        <w:ind w:left="1410" w:hanging="720"/>
        <w:spacing w:line="360" w:lineRule="auto"/>
        <w:rPr>
          <w:rFonts w:hint="eastAsia" w:ascii="仿宋" w:hAnsi="仿宋" w:eastAsia="仿宋" w:cs="仿宋"/>
          <w:color w:val="auto"/>
          <w:sz w:val="21"/>
          <w:szCs w:val="21"/>
        </w:rPr>
      </w:pPr>
      <w:r>
        <w:rPr>
          <w:rFonts w:hint="default" w:ascii="仿宋" w:hAnsi="仿宋" w:eastAsia="仿宋" w:cs="Times New Roman"/>
          <w:color w:val="auto"/>
          <w:sz w:val="21"/>
          <w:szCs w:val="21"/>
          <w:lang w:val="en-US" w:eastAsia="zh-CN" w:bidi="ar-SA"/>
        </w:rPr>
        <w:t xml:space="preserve">2、</w:t>
      </w:r>
      <w:r>
        <w:rPr>
          <w:rFonts w:hint="eastAsia" w:ascii="仿宋" w:hAnsi="仿宋" w:eastAsia="仿宋" w:cs="仿宋"/>
          <w:bCs/>
          <w:color w:val="auto"/>
          <w:sz w:val="21"/>
          <w:szCs w:val="21"/>
        </w:rPr>
        <w:t xml:space="preserve">工程量清单</w:t>
      </w:r>
      <w:r/>
    </w:p>
    <w:p>
      <w:pPr>
        <w:numPr>
          <w:ilvl w:val="0"/>
          <w:numId w:val="0"/>
        </w:numPr>
        <w:ind w:left="1410" w:hanging="720"/>
        <w:spacing w:line="360" w:lineRule="auto"/>
        <w:rPr>
          <w:rFonts w:hint="eastAsia" w:ascii="仿宋" w:hAnsi="仿宋" w:eastAsia="仿宋" w:cs="仿宋"/>
          <w:color w:val="000000"/>
          <w:sz w:val="21"/>
          <w:szCs w:val="21"/>
        </w:rPr>
      </w:pPr>
      <w:r>
        <w:rPr>
          <w:rFonts w:hint="default" w:ascii="仿宋" w:hAnsi="仿宋" w:eastAsia="仿宋" w:cs="Times New Roman"/>
          <w:color w:val="000000"/>
          <w:sz w:val="21"/>
          <w:szCs w:val="21"/>
          <w:lang w:val="en-US" w:eastAsia="zh-CN" w:bidi="ar-SA"/>
        </w:rPr>
        <w:t xml:space="preserve">3、</w:t>
      </w:r>
      <w:r>
        <w:rPr>
          <w:rFonts w:hint="eastAsia" w:ascii="仿宋" w:hAnsi="仿宋" w:eastAsia="仿宋" w:cs="仿宋"/>
          <w:color w:val="000000"/>
          <w:sz w:val="21"/>
          <w:szCs w:val="21"/>
        </w:rPr>
        <w:t xml:space="preserve">招、投标文件</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双方有关工程的洽商、变更等书面协议或文件视为本合同的组成部分。上述文件是相互说明、相互解释的，如出现不一致时，上述的排列顺序就是合同的优先解释顺序。</w:t>
      </w:r>
      <w:r/>
    </w:p>
    <w:p>
      <w:pPr>
        <w:ind w:firstLine="413"/>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lang w:val="en-US" w:eastAsia="zh-CN"/>
        </w:rPr>
        <w:t xml:space="preserve">八</w:t>
      </w:r>
      <w:r>
        <w:rPr>
          <w:rFonts w:hint="eastAsia" w:ascii="仿宋" w:hAnsi="仿宋" w:eastAsia="仿宋" w:cs="仿宋"/>
          <w:b/>
          <w:color w:val="000000"/>
          <w:sz w:val="21"/>
          <w:szCs w:val="21"/>
        </w:rPr>
        <w:t xml:space="preserve">、工程款支付</w:t>
      </w:r>
      <w:r/>
    </w:p>
    <w:p>
      <w:pPr>
        <w:ind w:firstLine="525"/>
        <w:spacing w:line="360" w:lineRule="auto"/>
        <w:rPr>
          <w:rFonts w:hint="eastAsia" w:ascii="仿宋" w:hAnsi="仿宋" w:eastAsia="仿宋" w:cs="仿宋"/>
          <w:b w:val="0"/>
          <w:bCs w:val="0"/>
          <w:color w:val="000000"/>
          <w:sz w:val="21"/>
          <w:szCs w:val="21"/>
          <w:u w:val="single"/>
        </w:rPr>
      </w:pPr>
      <w:r>
        <w:rPr>
          <w:rFonts w:hint="eastAsia" w:ascii="仿宋" w:hAnsi="仿宋" w:eastAsia="仿宋" w:cs="仿宋"/>
          <w:b w:val="0"/>
          <w:bCs w:val="0"/>
          <w:color w:val="000000"/>
          <w:sz w:val="21"/>
          <w:szCs w:val="21"/>
        </w:rPr>
        <w:t xml:space="preserve">1</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rPr>
        <w:t xml:space="preserve">付款方式：</w:t>
      </w:r>
      <w:r>
        <w:rPr>
          <w:rFonts w:hint="eastAsia" w:ascii="仿宋" w:hAnsi="仿宋" w:eastAsia="仿宋" w:cs="仿宋"/>
          <w:b w:val="0"/>
          <w:bCs w:val="0"/>
          <w:color w:val="000000"/>
          <w:sz w:val="21"/>
          <w:szCs w:val="21"/>
          <w:u w:val="single"/>
        </w:rPr>
        <w:t xml:space="preserve">合同签订后，一周内支付合同价款的30% 作为预付款；设备到现场安装完成，并调试完毕经学校后勤服务部验收合格，出具项目结算审核表，支付至审核总价的70%；由学校审计部门出具项目结算审计报告，根据审定价格支付所有余款。</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2</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rPr>
        <w:t xml:space="preserve">项目结算：项目竣工验收合格并交付使用后，</w:t>
      </w:r>
      <w:r>
        <w:rPr>
          <w:rFonts w:hint="eastAsia" w:ascii="仿宋" w:hAnsi="仿宋" w:eastAsia="仿宋" w:cs="仿宋"/>
          <w:b w:val="0"/>
          <w:bCs w:val="0"/>
          <w:color w:val="000000"/>
          <w:sz w:val="21"/>
          <w:szCs w:val="21"/>
          <w:lang w:val="en-US" w:eastAsia="zh-CN"/>
        </w:rPr>
        <w:t xml:space="preserve">乙方</w:t>
      </w:r>
      <w:r>
        <w:rPr>
          <w:rFonts w:hint="eastAsia" w:ascii="仿宋" w:hAnsi="仿宋" w:eastAsia="仿宋" w:cs="仿宋"/>
          <w:b w:val="0"/>
          <w:bCs w:val="0"/>
          <w:color w:val="000000"/>
          <w:sz w:val="21"/>
          <w:szCs w:val="21"/>
        </w:rPr>
        <w:t xml:space="preserve">须在两个月内，依据招投标文件约定编制完整工程竣工结算书，结算基准价按中标投标报价执行。投标报价中未列明、但实际施工必需发生的工作内容及费用，均视为已综合包含在现有报价内，不再另行计价；因甲方书面变更签证产生的新增项目除外。</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3</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rPr>
        <w:t xml:space="preserve">履约保证金：合同签订前，</w:t>
      </w:r>
      <w:r>
        <w:rPr>
          <w:rFonts w:hint="eastAsia" w:ascii="仿宋" w:hAnsi="仿宋" w:eastAsia="仿宋" w:cs="仿宋"/>
          <w:b w:val="0"/>
          <w:bCs w:val="0"/>
          <w:color w:val="000000"/>
          <w:sz w:val="21"/>
          <w:szCs w:val="21"/>
          <w:lang w:val="en-US" w:eastAsia="zh-CN"/>
        </w:rPr>
        <w:t xml:space="preserve">乙方</w:t>
      </w:r>
      <w:r>
        <w:rPr>
          <w:rFonts w:hint="eastAsia" w:ascii="仿宋" w:hAnsi="仿宋" w:eastAsia="仿宋" w:cs="仿宋"/>
          <w:b w:val="0"/>
          <w:bCs w:val="0"/>
          <w:color w:val="000000"/>
          <w:sz w:val="21"/>
          <w:szCs w:val="21"/>
        </w:rPr>
        <w:t xml:space="preserve">须按合同总额的5%缴纳履约保证金；项目合同义务全部履行完毕后，无息原路退还。</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工程项目结算审计完成后，审计相关费用按以下核减率标准划分承担责任：项目结算审计核减率超过5%的，本次项目结算审核及结算审计产生的全部费用均由</w:t>
      </w:r>
      <w:r>
        <w:rPr>
          <w:rFonts w:hint="eastAsia" w:ascii="仿宋" w:hAnsi="仿宋" w:eastAsia="仿宋" w:cs="仿宋"/>
          <w:color w:val="000000"/>
          <w:sz w:val="21"/>
          <w:szCs w:val="21"/>
          <w:lang w:val="en-US" w:eastAsia="zh-CN"/>
        </w:rPr>
        <w:t xml:space="preserve">乙方</w:t>
      </w:r>
      <w:r>
        <w:rPr>
          <w:rFonts w:hint="eastAsia" w:ascii="仿宋" w:hAnsi="仿宋" w:eastAsia="仿宋" w:cs="仿宋"/>
          <w:color w:val="000000"/>
          <w:sz w:val="21"/>
          <w:szCs w:val="21"/>
        </w:rPr>
        <w:t xml:space="preserve">全额承担；项目结算审计核减率在5%（含5%）及以下的，本次项目结算审核及结算审计产生的全部费用均由</w:t>
      </w:r>
      <w:r>
        <w:rPr>
          <w:rFonts w:hint="eastAsia" w:ascii="仿宋" w:hAnsi="仿宋" w:eastAsia="仿宋" w:cs="仿宋"/>
          <w:color w:val="000000"/>
          <w:sz w:val="21"/>
          <w:szCs w:val="21"/>
          <w:lang w:val="en-US" w:eastAsia="zh-CN"/>
        </w:rPr>
        <w:t xml:space="preserve">甲方</w:t>
      </w:r>
      <w:r>
        <w:rPr>
          <w:rFonts w:hint="eastAsia" w:ascii="仿宋" w:hAnsi="仿宋" w:eastAsia="仿宋" w:cs="仿宋"/>
          <w:color w:val="000000"/>
          <w:sz w:val="21"/>
          <w:szCs w:val="21"/>
        </w:rPr>
        <w:t xml:space="preserve">全额承担。</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核算计算公式如下：</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核减率=全部审计核减额÷施工单位上报竣工结算申报总金额</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全部审计核减额=结算审核阶段核减金额+全过程阶段审计核减金额</w:t>
      </w:r>
      <w:r/>
    </w:p>
    <w:p>
      <w:pPr>
        <w:ind w:firstLine="316"/>
        <w:spacing w:line="360" w:lineRule="auto"/>
        <w:rPr>
          <w:rFonts w:hint="eastAsia" w:ascii="仿宋" w:hAnsi="仿宋" w:eastAsia="仿宋" w:cs="仿宋"/>
          <w:b/>
          <w:color w:val="000000"/>
          <w:sz w:val="21"/>
          <w:szCs w:val="21"/>
          <w:lang w:eastAsia="zh-CN"/>
        </w:rPr>
      </w:pPr>
      <w:r>
        <w:rPr>
          <w:rFonts w:hint="eastAsia" w:ascii="仿宋" w:hAnsi="仿宋" w:eastAsia="仿宋" w:cs="仿宋"/>
          <w:b/>
          <w:color w:val="000000"/>
          <w:sz w:val="21"/>
          <w:szCs w:val="21"/>
          <w:lang w:val="en-US" w:eastAsia="zh-CN"/>
        </w:rPr>
        <w:t xml:space="preserve">九</w:t>
      </w:r>
      <w:r>
        <w:rPr>
          <w:rFonts w:hint="eastAsia" w:ascii="仿宋" w:hAnsi="仿宋" w:eastAsia="仿宋" w:cs="仿宋"/>
          <w:b/>
          <w:color w:val="000000"/>
          <w:sz w:val="21"/>
          <w:szCs w:val="21"/>
        </w:rPr>
        <w:t xml:space="preserve">、验收</w:t>
      </w:r>
      <w:r>
        <w:rPr>
          <w:rFonts w:hint="eastAsia" w:ascii="仿宋" w:hAnsi="仿宋" w:eastAsia="仿宋" w:cs="仿宋"/>
          <w:b/>
          <w:color w:val="000000"/>
          <w:sz w:val="21"/>
          <w:szCs w:val="21"/>
          <w:lang w:val="en-US" w:eastAsia="zh-CN"/>
        </w:rPr>
        <w:t xml:space="preserve">方式</w:t>
      </w:r>
      <w:r>
        <w:rPr>
          <w:rFonts w:hint="eastAsia" w:ascii="仿宋" w:hAnsi="仿宋" w:eastAsia="仿宋" w:cs="仿宋"/>
          <w:b/>
          <w:color w:val="000000"/>
          <w:sz w:val="21"/>
          <w:szCs w:val="21"/>
        </w:rPr>
        <w:t xml:space="preserve">及</w:t>
      </w:r>
      <w:r>
        <w:rPr>
          <w:rFonts w:hint="eastAsia" w:ascii="仿宋" w:hAnsi="仿宋" w:eastAsia="仿宋" w:cs="仿宋"/>
          <w:b/>
          <w:color w:val="000000"/>
          <w:sz w:val="21"/>
          <w:szCs w:val="21"/>
          <w:lang w:val="en-US" w:eastAsia="zh-CN"/>
        </w:rPr>
        <w:t xml:space="preserve">标准</w:t>
      </w:r>
      <w:r/>
    </w:p>
    <w:p>
      <w:pPr>
        <w:ind w:firstLine="422"/>
        <w:spacing w:line="360" w:lineRule="auto"/>
        <w:rPr>
          <w:rFonts w:hint="eastAsia" w:ascii="仿宋" w:hAnsi="仿宋" w:eastAsia="仿宋" w:cs="仿宋"/>
          <w:bCs/>
          <w:sz w:val="21"/>
          <w:szCs w:val="21"/>
          <w:lang w:val="en-US" w:eastAsia="zh-CN"/>
        </w:rPr>
      </w:pPr>
      <w:r>
        <w:rPr>
          <w:rFonts w:hint="eastAsia" w:ascii="仿宋" w:hAnsi="仿宋" w:eastAsia="仿宋" w:cs="仿宋"/>
          <w:b/>
          <w:bCs w:val="0"/>
          <w:sz w:val="21"/>
          <w:szCs w:val="21"/>
          <w:lang w:val="en-US" w:eastAsia="zh-CN"/>
        </w:rPr>
        <w:t xml:space="preserve">（一）验收组织及方式</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1、验收方式：工程完工后，由成交供应商提出验收申请，采购人后勤服务部组织监理单位、跟踪审计单位及成交单位开展验收工作，确保工程质量、设备运行符合要求。</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2、过程验收：施工过程中，中间工程及隐蔽工程，需经监理单位、跟踪审计单位及采购人验收合格后，方可进行下道工序施工，验收记录留存归档，作为工程整体验收的依据。</w:t>
      </w:r>
      <w:r/>
    </w:p>
    <w:p>
      <w:pPr>
        <w:ind w:firstLine="422"/>
        <w:spacing w:line="360" w:lineRule="auto"/>
        <w:rPr>
          <w:rFonts w:hint="eastAsia" w:ascii="仿宋" w:hAnsi="仿宋" w:eastAsia="仿宋" w:cs="仿宋"/>
          <w:b/>
          <w:bCs w:val="0"/>
          <w:sz w:val="21"/>
          <w:szCs w:val="21"/>
          <w:lang w:val="en-US" w:eastAsia="zh-CN"/>
        </w:rPr>
      </w:pPr>
      <w:r>
        <w:rPr>
          <w:rFonts w:hint="eastAsia" w:ascii="仿宋" w:hAnsi="仿宋" w:eastAsia="仿宋" w:cs="仿宋"/>
          <w:b/>
          <w:bCs w:val="0"/>
          <w:sz w:val="21"/>
          <w:szCs w:val="21"/>
          <w:lang w:val="en-US" w:eastAsia="zh-CN"/>
        </w:rPr>
        <w:t xml:space="preserve">（二）验收执行标准</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本工程验收以工程施工质量、整体运行效果为核心，结合设备运行情况，严格按照以下标准执行，确保工程符合交钥匙要求。</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1、工程验收：严格依据《35kV及以下电力用户变电所建设规范》(DL/T 5725-2015)、《供配电系统设计规范》(GB50052-2023)、《电气装置安装工程低压电器施工及验收规范》(GB50254-2014)等现行有效规范标准实施验收，分项工程、隐蔽工程须验收合格后方可进入下一道施工工序，工程整体竣工后，须满足安全稳定、正常可靠供电使用标准。</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2、设备验收：设备须符合本项目采购需求及国家现行相关技术标准，须提供完整的试验报告、出厂合格证、监造报告等资料，确保设备性能达标、与工程施工适配，设备运行正常，满足工程供电需求。</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3、资料验收：成交供应商须提供完整的工程资料、设备资料，经采购人、监理单位、跟踪审计单位审核通过后，方可视为资料验收合格。</w:t>
      </w:r>
      <w:r/>
    </w:p>
    <w:p>
      <w:pPr>
        <w:ind w:firstLine="422"/>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十、工程质量及保修</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1、</w:t>
      </w:r>
      <w:r>
        <w:rPr>
          <w:rFonts w:hint="eastAsia" w:ascii="仿宋" w:hAnsi="仿宋" w:eastAsia="仿宋" w:cs="仿宋"/>
          <w:b w:val="0"/>
          <w:bCs w:val="0"/>
          <w:color w:val="000000"/>
          <w:sz w:val="21"/>
          <w:szCs w:val="21"/>
        </w:rPr>
        <w:t xml:space="preserve">质量要求：本工程须严格按照国家、行业现行规范标准、设计图纸及工程量清单要求组织施工，工程质量确保一次性验收合格。若因成交供应商自身原因未能达到一次性验收合格，采购人将按分部分项工程费的 10% 予以处罚。</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2、</w:t>
      </w:r>
      <w:r>
        <w:rPr>
          <w:rFonts w:hint="eastAsia" w:ascii="仿宋" w:hAnsi="仿宋" w:eastAsia="仿宋" w:cs="仿宋"/>
          <w:b w:val="0"/>
          <w:bCs w:val="0"/>
          <w:color w:val="000000"/>
          <w:sz w:val="21"/>
          <w:szCs w:val="21"/>
        </w:rPr>
        <w:t xml:space="preserve">所有材料均应经过甲方验收并签字确认后方能进场；未经验收的材料一律不得使用，否则甲方有权要求返工，由此引起的一切损失（包括工期）均有乙方承担。材料验收记录做为结算附件资料，在报工程结算书时一并提供。</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3、</w:t>
      </w:r>
      <w:r>
        <w:rPr>
          <w:rFonts w:hint="eastAsia" w:ascii="仿宋" w:hAnsi="仿宋" w:eastAsia="仿宋" w:cs="仿宋"/>
          <w:b w:val="0"/>
          <w:bCs w:val="0"/>
          <w:color w:val="000000"/>
          <w:sz w:val="21"/>
          <w:szCs w:val="21"/>
        </w:rPr>
        <w:t xml:space="preserve">质保期服务：质保期为二年，自安装调试并验收合格、正式送电使用之日起计算，质保期内无偿更换非人为损坏的零部件及设备，负责免费维修、调试，确保工程正常运行；质保期内接到用户报修电话1小时内响应，2小时内维修人员赶到现场检修处理。</w:t>
      </w:r>
      <w:r/>
    </w:p>
    <w:p>
      <w:pPr>
        <w:ind w:firstLine="525"/>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4、</w:t>
      </w:r>
      <w:r>
        <w:rPr>
          <w:rFonts w:hint="eastAsia" w:ascii="仿宋" w:hAnsi="仿宋" w:eastAsia="仿宋" w:cs="仿宋"/>
          <w:b w:val="0"/>
          <w:bCs w:val="0"/>
          <w:color w:val="000000"/>
          <w:sz w:val="21"/>
          <w:szCs w:val="21"/>
        </w:rPr>
        <w:t xml:space="preserve">质保期后服务：质保期满后实行终身有偿维修保养，提供优惠的零部件供应及维修服务，确保变电所工程长期稳定运行。</w:t>
      </w:r>
      <w:r/>
    </w:p>
    <w:p>
      <w:pPr>
        <w:pStyle w:val="829"/>
        <w:ind w:left="357" w:firstLine="210"/>
        <w:spacing w:line="360" w:lineRule="auto"/>
        <w:rPr>
          <w:rFonts w:hint="eastAsia" w:ascii="仿宋" w:hAnsi="仿宋" w:eastAsia="仿宋" w:cs="仿宋"/>
          <w:color w:val="auto"/>
          <w:sz w:val="21"/>
          <w:szCs w:val="21"/>
          <w:shd w:val="clear" w:color="auto" w:fill="ffffff"/>
        </w:rPr>
      </w:pPr>
      <w:r>
        <w:rPr>
          <w:rFonts w:hint="eastAsia" w:ascii="仿宋" w:hAnsi="仿宋" w:eastAsia="仿宋" w:cs="仿宋"/>
          <w:color w:val="auto"/>
          <w:sz w:val="21"/>
          <w:szCs w:val="21"/>
          <w:shd w:val="clear" w:color="auto" w:fill="ffffff"/>
          <w:lang w:val="en-US" w:eastAsia="zh-CN"/>
        </w:rPr>
        <w:t xml:space="preserve">5、</w:t>
      </w:r>
      <w:r>
        <w:rPr>
          <w:rFonts w:hint="eastAsia" w:ascii="仿宋" w:hAnsi="仿宋" w:eastAsia="仿宋" w:cs="仿宋"/>
          <w:color w:val="auto"/>
          <w:sz w:val="21"/>
          <w:szCs w:val="21"/>
          <w:shd w:val="clear" w:color="auto" w:fill="ffffff"/>
        </w:rPr>
        <w:t xml:space="preserve">工程资料归档服务：</w:t>
      </w:r>
      <w:r>
        <w:rPr>
          <w:rFonts w:hint="eastAsia" w:ascii="仿宋" w:hAnsi="仿宋" w:eastAsia="仿宋" w:cs="仿宋"/>
          <w:color w:val="auto"/>
          <w:sz w:val="21"/>
          <w:szCs w:val="21"/>
          <w:shd w:val="clear" w:color="auto" w:fill="ffffff"/>
          <w:lang w:val="en-US" w:eastAsia="zh-CN"/>
        </w:rPr>
        <w:t xml:space="preserve">乙方</w:t>
      </w:r>
      <w:r>
        <w:rPr>
          <w:rFonts w:hint="eastAsia" w:ascii="仿宋" w:hAnsi="仿宋" w:eastAsia="仿宋" w:cs="仿宋"/>
          <w:color w:val="auto"/>
          <w:sz w:val="21"/>
          <w:szCs w:val="21"/>
          <w:shd w:val="clear" w:color="auto" w:fill="ffffff"/>
        </w:rPr>
        <w:t xml:space="preserve">负责施工图纸、施工方案、工程量清单、竣工验收单、质保承诺、设备试验报告、监造报告、主材合格证明书等工程资料的整理、归档，提供施工图纸、施工方案、工程量清单、竣工验收单和质保承诺各叁份，及审计处复核的审计报告一份（含详细设备清单），适配工程验收及资料归档要求。</w:t>
      </w:r>
      <w:r/>
    </w:p>
    <w:p>
      <w:pPr>
        <w:ind w:firstLine="310"/>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十</w:t>
      </w:r>
      <w:r>
        <w:rPr>
          <w:rFonts w:hint="eastAsia" w:ascii="仿宋" w:hAnsi="仿宋" w:eastAsia="仿宋" w:cs="仿宋"/>
          <w:b/>
          <w:color w:val="000000"/>
          <w:sz w:val="21"/>
          <w:szCs w:val="21"/>
          <w:lang w:val="en-US" w:eastAsia="zh-CN"/>
        </w:rPr>
        <w:t xml:space="preserve">一</w:t>
      </w:r>
      <w:r>
        <w:rPr>
          <w:rFonts w:hint="eastAsia" w:ascii="仿宋" w:hAnsi="仿宋" w:eastAsia="仿宋" w:cs="仿宋"/>
          <w:b/>
          <w:color w:val="000000"/>
          <w:sz w:val="21"/>
          <w:szCs w:val="21"/>
        </w:rPr>
        <w:t xml:space="preserve">、违约责任</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1、合同生效后，任何一方不得单方中止合同，中止合同方要支付给对方本合同价的20%的违约金。</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2、甲乙双方如有任何争议，本着友好协商的原则，共同商议解决，协商不成，则提交常州仲裁委员会仲裁。</w:t>
      </w:r>
      <w:r/>
    </w:p>
    <w:p>
      <w:pPr>
        <w:ind w:firstLine="310"/>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十</w:t>
      </w:r>
      <w:r>
        <w:rPr>
          <w:rFonts w:hint="eastAsia" w:ascii="仿宋" w:hAnsi="仿宋" w:eastAsia="仿宋" w:cs="仿宋"/>
          <w:b/>
          <w:color w:val="000000"/>
          <w:sz w:val="21"/>
          <w:szCs w:val="21"/>
          <w:lang w:val="en-US" w:eastAsia="zh-CN"/>
        </w:rPr>
        <w:t xml:space="preserve">二</w:t>
      </w:r>
      <w:r>
        <w:rPr>
          <w:rFonts w:hint="eastAsia" w:ascii="仿宋" w:hAnsi="仿宋" w:eastAsia="仿宋" w:cs="仿宋"/>
          <w:b/>
          <w:color w:val="000000"/>
          <w:sz w:val="21"/>
          <w:szCs w:val="21"/>
        </w:rPr>
        <w:t xml:space="preserve">、合同生效</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本合同双方约定法定代表人（或法定代表人委托人）签字盖章后生效。</w:t>
      </w:r>
      <w:r/>
    </w:p>
    <w:p>
      <w:pPr>
        <w:ind w:firstLine="310"/>
        <w:jc w:val="left"/>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十</w:t>
      </w:r>
      <w:r>
        <w:rPr>
          <w:rFonts w:hint="eastAsia" w:ascii="仿宋" w:hAnsi="仿宋" w:eastAsia="仿宋" w:cs="仿宋"/>
          <w:b/>
          <w:color w:val="000000"/>
          <w:sz w:val="21"/>
          <w:szCs w:val="21"/>
          <w:lang w:val="en-US" w:eastAsia="zh-CN"/>
        </w:rPr>
        <w:t xml:space="preserve">三</w:t>
      </w:r>
      <w:r>
        <w:rPr>
          <w:rFonts w:hint="eastAsia" w:ascii="仿宋" w:hAnsi="仿宋" w:eastAsia="仿宋" w:cs="仿宋"/>
          <w:b/>
          <w:color w:val="000000"/>
          <w:sz w:val="21"/>
          <w:szCs w:val="21"/>
        </w:rPr>
        <w:t xml:space="preserve">、其他事项</w:t>
      </w:r>
      <w:r/>
    </w:p>
    <w:p>
      <w:pPr>
        <w:ind w:firstLine="64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1、甲、乙双方履行合同全部义务，工程款全部结清后，本合同即终止；</w:t>
      </w:r>
      <w:r/>
    </w:p>
    <w:p>
      <w:pPr>
        <w:ind w:firstLine="64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、报价含本工程完成所需的一切费用，报价外不再产生任何费用（由甲方以工程联系单除外），乙方自行勘察现场。本工程由</w:t>
      </w:r>
      <w:r>
        <w:rPr>
          <w:rFonts w:hint="eastAsia" w:ascii="仿宋" w:hAnsi="仿宋" w:eastAsia="仿宋" w:cs="仿宋"/>
          <w:color w:val="000000"/>
          <w:sz w:val="21"/>
          <w:szCs w:val="21"/>
          <w:lang w:eastAsia="zh-CN"/>
        </w:rPr>
        <w:t xml:space="preserve">综合评分最高者中标</w:t>
      </w:r>
      <w:r>
        <w:rPr>
          <w:rFonts w:hint="eastAsia" w:ascii="仿宋" w:hAnsi="仿宋" w:eastAsia="仿宋" w:cs="仿宋"/>
          <w:color w:val="000000"/>
          <w:sz w:val="21"/>
          <w:szCs w:val="21"/>
        </w:rPr>
        <w:t xml:space="preserve">。乙方在施工过程中应做好各项安全措施（包括人员、设备、车辆等项目），如发生安全责任事故，由乙方全部承担责任，甲方不承担由此引起的任何责任与纠纷。</w:t>
      </w:r>
      <w:r/>
    </w:p>
    <w:p>
      <w:pPr>
        <w:ind w:firstLine="54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lang w:val="en-US" w:eastAsia="zh-CN"/>
        </w:rPr>
        <w:t xml:space="preserve">3</w:t>
      </w:r>
      <w:r>
        <w:rPr>
          <w:rFonts w:hint="eastAsia" w:ascii="仿宋" w:hAnsi="仿宋" w:eastAsia="仿宋" w:cs="仿宋"/>
          <w:b/>
          <w:bCs/>
          <w:color w:val="000000"/>
          <w:sz w:val="21"/>
          <w:szCs w:val="21"/>
        </w:rPr>
        <w:t xml:space="preserve">、工程分包必须经甲方同意，否则不得分包给任何个人或单位，若分包被甲方发现，一律取消其承包资格。</w:t>
      </w:r>
      <w:r/>
    </w:p>
    <w:p>
      <w:pPr>
        <w:ind w:firstLine="525"/>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、本合同未尽事宜以招、投标文件为准。</w:t>
      </w:r>
      <w:r/>
    </w:p>
    <w:p>
      <w:pPr>
        <w:ind w:firstLine="525"/>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、本合同一式</w:t>
      </w:r>
      <w:r>
        <w:rPr>
          <w:rFonts w:hint="eastAsia" w:ascii="仿宋" w:hAnsi="仿宋" w:eastAsia="仿宋" w:cs="仿宋"/>
          <w:color w:val="auto"/>
          <w:sz w:val="21"/>
          <w:szCs w:val="21"/>
          <w:u w:val="single"/>
        </w:rPr>
        <w:t xml:space="preserve"> 伍 </w:t>
      </w:r>
      <w:r>
        <w:rPr>
          <w:rFonts w:hint="eastAsia" w:ascii="仿宋" w:hAnsi="仿宋" w:eastAsia="仿宋" w:cs="仿宋"/>
          <w:color w:val="auto"/>
          <w:sz w:val="21"/>
          <w:szCs w:val="21"/>
        </w:rPr>
        <w:t xml:space="preserve">份，甲方保存</w:t>
      </w:r>
      <w:r>
        <w:rPr>
          <w:rFonts w:hint="eastAsia" w:ascii="仿宋" w:hAnsi="仿宋" w:eastAsia="仿宋" w:cs="仿宋"/>
          <w:color w:val="auto"/>
          <w:sz w:val="21"/>
          <w:szCs w:val="21"/>
          <w:u w:val="single"/>
        </w:rPr>
        <w:t xml:space="preserve"> 三 </w:t>
      </w:r>
      <w:r>
        <w:rPr>
          <w:rFonts w:hint="eastAsia" w:ascii="仿宋" w:hAnsi="仿宋" w:eastAsia="仿宋" w:cs="仿宋"/>
          <w:color w:val="auto"/>
          <w:sz w:val="21"/>
          <w:szCs w:val="21"/>
        </w:rPr>
        <w:t xml:space="preserve">份，乙方保存</w:t>
      </w:r>
      <w:r>
        <w:rPr>
          <w:rFonts w:hint="eastAsia" w:ascii="仿宋" w:hAnsi="仿宋" w:eastAsia="仿宋" w:cs="仿宋"/>
          <w:color w:val="auto"/>
          <w:sz w:val="21"/>
          <w:szCs w:val="21"/>
          <w:u w:val="single"/>
        </w:rPr>
        <w:t xml:space="preserve"> 一 </w:t>
      </w:r>
      <w:r>
        <w:rPr>
          <w:rFonts w:hint="eastAsia" w:ascii="仿宋" w:hAnsi="仿宋" w:eastAsia="仿宋" w:cs="仿宋"/>
          <w:color w:val="auto"/>
          <w:sz w:val="21"/>
          <w:szCs w:val="21"/>
        </w:rPr>
        <w:t xml:space="preserve">份，见证方</w:t>
      </w:r>
      <w:r>
        <w:rPr>
          <w:rFonts w:hint="eastAsia" w:ascii="仿宋" w:hAnsi="仿宋" w:eastAsia="仿宋" w:cs="仿宋"/>
          <w:color w:val="auto"/>
          <w:sz w:val="21"/>
          <w:szCs w:val="21"/>
          <w:u w:val="single"/>
        </w:rPr>
        <w:t xml:space="preserve">一</w:t>
      </w:r>
      <w:r>
        <w:rPr>
          <w:rFonts w:hint="eastAsia" w:ascii="仿宋" w:hAnsi="仿宋" w:eastAsia="仿宋" w:cs="仿宋"/>
          <w:color w:val="auto"/>
          <w:sz w:val="21"/>
          <w:szCs w:val="21"/>
        </w:rPr>
        <w:t xml:space="preserve">份。</w:t>
      </w:r>
      <w:r/>
    </w:p>
    <w:p>
      <w:pPr>
        <w:ind w:firstLine="525"/>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r>
      <w:r/>
    </w:p>
    <w:tbl>
      <w:tblPr>
        <w:tblStyle w:val="788"/>
        <w:tblW w:w="88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430"/>
        <w:gridCol w:w="4427"/>
      </w:tblGrid>
      <w:tr>
        <w:trPr>
          <w:cantSplit/>
          <w:jc w:val="center"/>
          <w:trHeight w:val="598"/>
        </w:trPr>
        <w:tc>
          <w:tcPr>
            <w:tcW w:w="4430" w:type="dxa"/>
            <w:vAlign w:val="center"/>
            <w:textDirection w:val="lrTb"/>
            <w:noWrap w:val="false"/>
          </w:tcPr>
          <w:p>
            <w:pPr>
              <w:jc w:val="cente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甲    方</w:t>
            </w:r>
            <w:r/>
          </w:p>
        </w:tc>
        <w:tc>
          <w:tcPr>
            <w:tcW w:w="4427" w:type="dxa"/>
            <w:vAlign w:val="center"/>
            <w:textDirection w:val="lrTb"/>
            <w:noWrap w:val="false"/>
          </w:tcPr>
          <w:p>
            <w:pPr>
              <w:jc w:val="cente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乙    方</w:t>
            </w:r>
            <w:r/>
          </w:p>
        </w:tc>
      </w:tr>
      <w:tr>
        <w:trPr>
          <w:cantSplit/>
          <w:jc w:val="center"/>
          <w:trHeight w:val="6081"/>
        </w:trPr>
        <w:tc>
          <w:tcPr>
            <w:tcW w:w="4430" w:type="dxa"/>
            <w:vAlign w:val="center"/>
            <w:textDirection w:val="lrTb"/>
            <w:noWrap w:val="false"/>
          </w:tcPr>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单位（章）：常州机电职业技术学院</w:t>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法定代表人： </w:t>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委托代理人： </w:t>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项目负责人：</w:t>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电话：0519-86331076</w:t>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开户银行：农业银行常州聚湖路支行</w:t>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银行账号：10605701040004030</w:t>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r>
            <w:r/>
          </w:p>
        </w:tc>
        <w:tc>
          <w:tcPr>
            <w:tcW w:w="4427" w:type="dxa"/>
            <w:vAlign w:val="top"/>
            <w:textDirection w:val="lrTb"/>
            <w:noWrap w:val="false"/>
          </w:tcPr>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单位（章）</w:t>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法定代表人： </w:t>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委托代理人： </w:t>
            </w:r>
            <w:r/>
          </w:p>
          <w:p>
            <w:pP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r>
            <w:r/>
          </w:p>
          <w:p>
            <w:pPr>
              <w:spacing w:line="360" w:lineRule="auto"/>
              <w:widowControl/>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rPr>
              <w:t xml:space="preserve">电  话：</w:t>
            </w:r>
            <w:r>
              <w:rPr>
                <w:rFonts w:hint="eastAsia" w:ascii="仿宋" w:hAnsi="仿宋" w:eastAsia="仿宋" w:cs="仿宋"/>
                <w:b/>
                <w:color w:val="000000"/>
                <w:sz w:val="21"/>
                <w:szCs w:val="21"/>
                <w:lang w:val="en-US" w:eastAsia="zh-CN"/>
              </w:rPr>
              <w:t xml:space="preserve"> </w:t>
            </w:r>
            <w:r/>
          </w:p>
          <w:p>
            <w:pPr>
              <w:spacing w:line="360" w:lineRule="auto"/>
              <w:widowControl/>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lang w:val="en-US" w:eastAsia="zh-CN"/>
              </w:rPr>
            </w:r>
            <w:r/>
          </w:p>
          <w:p>
            <w:pPr>
              <w:spacing w:line="360" w:lineRule="auto"/>
              <w:widowControl/>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rPr>
              <w:t xml:space="preserve">开户银行：</w:t>
            </w:r>
            <w:r>
              <w:rPr>
                <w:rFonts w:hint="eastAsia" w:ascii="仿宋" w:hAnsi="仿宋" w:eastAsia="仿宋" w:cs="仿宋"/>
                <w:b/>
                <w:color w:val="000000"/>
                <w:sz w:val="21"/>
                <w:szCs w:val="21"/>
                <w:lang w:val="en-US" w:eastAsia="zh-CN"/>
              </w:rPr>
              <w:t xml:space="preserve"> </w:t>
            </w:r>
            <w:r/>
          </w:p>
          <w:p>
            <w:pPr>
              <w:spacing w:line="360" w:lineRule="auto"/>
              <w:widowControl/>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lang w:val="en-US" w:eastAsia="zh-CN"/>
              </w:rPr>
            </w:r>
            <w:r/>
          </w:p>
          <w:p>
            <w:pPr>
              <w:spacing w:line="360" w:lineRule="auto"/>
              <w:widowControl/>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银行账号：</w:t>
            </w:r>
            <w:r/>
          </w:p>
        </w:tc>
      </w:tr>
    </w:tbl>
    <w:p>
      <w:pPr>
        <w:ind w:firstLine="482"/>
        <w:jc w:val="left"/>
        <w:spacing w:after="12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22"/>
        <w:jc w:val="left"/>
        <w:spacing w:after="120"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w:t>
      </w:r>
      <w:r>
        <w:rPr>
          <w:rFonts w:hint="eastAsia" w:ascii="仿宋" w:hAnsi="仿宋" w:eastAsia="仿宋" w:cs="仿宋"/>
          <w:color w:val="auto"/>
          <w:sz w:val="21"/>
          <w:szCs w:val="21"/>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both"/>
        <w:spacing w:before="240" w:after="240"/>
        <w:rPr>
          <w:rFonts w:hint="eastAsia" w:ascii="仿宋" w:hAnsi="仿宋" w:eastAsia="仿宋" w:cs="仿宋"/>
          <w:b/>
          <w:bCs/>
          <w:color w:val="auto"/>
          <w:sz w:val="21"/>
          <w:szCs w:val="21"/>
          <w:highlight w:val="none"/>
          <w:lang w:val="en-US" w:eastAsia="zh-CN" w:bidi="ar-SA"/>
        </w:rPr>
        <w:outlineLvl w:val="9"/>
      </w:pPr>
      <w:r>
        <w:rPr>
          <w:rFonts w:hint="eastAsia" w:ascii="仿宋" w:hAnsi="仿宋" w:eastAsia="仿宋" w:cs="仿宋"/>
          <w:b/>
          <w:bCs/>
          <w:color w:val="auto"/>
          <w:sz w:val="21"/>
          <w:szCs w:val="21"/>
          <w:highlight w:val="none"/>
          <w:lang w:val="en-US" w:eastAsia="zh-CN" w:bidi="ar-SA"/>
        </w:rPr>
      </w:r>
      <w:r/>
    </w:p>
    <w:p>
      <w:pPr>
        <w:jc w:val="both"/>
        <w:spacing w:before="240" w:after="240"/>
        <w:rPr>
          <w:rFonts w:hint="eastAsia" w:ascii="仿宋" w:hAnsi="仿宋" w:eastAsia="仿宋" w:cs="仿宋"/>
          <w:b/>
          <w:bCs/>
          <w:color w:val="auto"/>
          <w:sz w:val="21"/>
          <w:szCs w:val="21"/>
          <w:highlight w:val="none"/>
          <w:lang w:val="en-US" w:eastAsia="zh-CN" w:bidi="ar-SA"/>
        </w:rPr>
        <w:outlineLvl w:val="9"/>
      </w:pPr>
      <w:r>
        <w:rPr>
          <w:rFonts w:hint="eastAsia" w:ascii="仿宋" w:hAnsi="仿宋" w:eastAsia="仿宋" w:cs="仿宋"/>
          <w:b/>
          <w:bCs/>
          <w:color w:val="auto"/>
          <w:sz w:val="21"/>
          <w:szCs w:val="21"/>
          <w:highlight w:val="none"/>
          <w:lang w:val="en-US" w:eastAsia="zh-CN" w:bidi="ar-SA"/>
        </w:rPr>
      </w:r>
      <w:r/>
    </w:p>
    <w:p>
      <w:pPr>
        <w:jc w:val="both"/>
        <w:spacing w:before="240" w:after="240"/>
        <w:rPr>
          <w:rFonts w:hint="eastAsia" w:ascii="仿宋" w:hAnsi="仿宋" w:eastAsia="仿宋" w:cs="仿宋"/>
          <w:b/>
          <w:bCs/>
          <w:color w:val="auto"/>
          <w:sz w:val="21"/>
          <w:szCs w:val="21"/>
          <w:highlight w:val="none"/>
          <w:lang w:val="en-US" w:eastAsia="zh-CN" w:bidi="ar-SA"/>
        </w:rPr>
        <w:outlineLvl w:val="9"/>
      </w:pPr>
      <w:r>
        <w:rPr>
          <w:rFonts w:hint="eastAsia" w:ascii="仿宋" w:hAnsi="仿宋" w:eastAsia="仿宋" w:cs="仿宋"/>
          <w:b/>
          <w:bCs/>
          <w:color w:val="auto"/>
          <w:sz w:val="21"/>
          <w:szCs w:val="21"/>
          <w:highlight w:val="none"/>
          <w:lang w:val="en-US" w:eastAsia="zh-CN" w:bidi="ar-SA"/>
        </w:rPr>
        <w:t xml:space="preserve">附件1：</w:t>
      </w:r>
      <w:r/>
    </w:p>
    <w:p>
      <w:pPr>
        <w:jc w:val="center"/>
        <w:spacing w:before="240" w:after="240"/>
        <w:rPr>
          <w:rFonts w:hint="eastAsia" w:ascii="仿宋" w:hAnsi="仿宋" w:eastAsia="仿宋" w:cs="仿宋"/>
          <w:b/>
          <w:bCs/>
          <w:color w:val="auto"/>
          <w:sz w:val="28"/>
          <w:szCs w:val="28"/>
          <w:highlight w:val="none"/>
          <w:lang w:val="en-US" w:eastAsia="zh-CN" w:bidi="ar-SA"/>
        </w:rPr>
        <w:outlineLvl w:val="9"/>
      </w:pPr>
      <w:r>
        <w:rPr>
          <w:rFonts w:hint="eastAsia" w:ascii="仿宋" w:hAnsi="仿宋" w:eastAsia="仿宋" w:cs="仿宋"/>
          <w:b/>
          <w:bCs/>
          <w:color w:val="auto"/>
          <w:sz w:val="28"/>
          <w:szCs w:val="28"/>
          <w:highlight w:val="none"/>
          <w:lang w:val="en-US" w:eastAsia="zh-CN" w:bidi="ar-SA"/>
        </w:rPr>
        <w:t xml:space="preserve">廉政责任书</w:t>
      </w:r>
      <w:r/>
    </w:p>
    <w:p>
      <w:pPr>
        <w:ind w:firstLine="420"/>
        <w:jc w:val="left"/>
        <w:spacing w:line="420" w:lineRule="exact"/>
        <w:widowControl/>
        <w:rPr>
          <w:rFonts w:hint="eastAsia" w:ascii="仿宋" w:hAnsi="仿宋" w:eastAsia="仿宋" w:cs="仿宋"/>
          <w:bCs/>
          <w:color w:val="auto"/>
          <w:sz w:val="21"/>
          <w:szCs w:val="21"/>
          <w:highlight w:val="none"/>
          <w:u w:val="single"/>
          <w:lang w:val="en-US" w:eastAsia="zh-CN" w:bidi="ar-SA"/>
        </w:rPr>
      </w:pPr>
      <w:r>
        <w:rPr>
          <w:rFonts w:hint="eastAsia" w:ascii="仿宋" w:hAnsi="仿宋" w:eastAsia="仿宋" w:cs="仿宋"/>
          <w:bCs/>
          <w:color w:val="auto"/>
          <w:sz w:val="21"/>
          <w:szCs w:val="21"/>
          <w:highlight w:val="none"/>
          <w:lang w:val="en-US" w:eastAsia="zh-CN" w:bidi="ar-SA"/>
        </w:rPr>
        <w:t xml:space="preserve">建设单位（甲方）：</w:t>
      </w:r>
      <w:r>
        <w:rPr>
          <w:rFonts w:hint="eastAsia" w:ascii="仿宋" w:hAnsi="仿宋" w:eastAsia="仿宋" w:cs="仿宋"/>
          <w:bCs/>
          <w:color w:val="auto"/>
          <w:sz w:val="21"/>
          <w:szCs w:val="21"/>
          <w:highlight w:val="none"/>
          <w:u w:val="single"/>
          <w:lang w:val="en-US" w:eastAsia="zh-CN" w:bidi="ar-SA"/>
        </w:rPr>
        <w:t xml:space="preserve">常州机电职业技术学院</w:t>
      </w:r>
      <w:r/>
    </w:p>
    <w:p>
      <w:pPr>
        <w:ind w:firstLine="420"/>
        <w:jc w:val="left"/>
        <w:spacing w:line="420" w:lineRule="exact"/>
        <w:widowControl/>
        <w:rPr>
          <w:rFonts w:hint="eastAsia" w:ascii="仿宋" w:hAnsi="仿宋" w:eastAsia="仿宋" w:cs="仿宋"/>
          <w:b/>
          <w:color w:val="auto"/>
          <w:sz w:val="21"/>
          <w:szCs w:val="21"/>
          <w:highlight w:val="none"/>
          <w:u w:val="single"/>
        </w:rPr>
      </w:pPr>
      <w:r>
        <w:rPr>
          <w:rFonts w:hint="eastAsia" w:ascii="仿宋" w:hAnsi="仿宋" w:eastAsia="仿宋" w:cs="仿宋"/>
          <w:bCs/>
          <w:color w:val="auto"/>
          <w:sz w:val="21"/>
          <w:szCs w:val="21"/>
          <w:highlight w:val="none"/>
          <w:lang w:val="en-US" w:eastAsia="zh-CN" w:bidi="ar-SA"/>
        </w:rPr>
        <w:t xml:space="preserve">施工单位（乙方）：</w:t>
      </w:r>
      <w:r>
        <w:rPr>
          <w:rFonts w:hint="eastAsia" w:ascii="仿宋" w:hAnsi="仿宋" w:eastAsia="仿宋" w:cs="仿宋"/>
          <w:bCs/>
          <w:color w:val="auto"/>
          <w:sz w:val="21"/>
          <w:szCs w:val="21"/>
          <w:highlight w:val="none"/>
          <w:u w:val="single"/>
          <w:lang w:val="en-US" w:eastAsia="zh-CN" w:bidi="ar-SA"/>
        </w:rPr>
        <w:t xml:space="preserve">                                </w:t>
      </w:r>
      <w:r>
        <w:rPr>
          <w:rFonts w:hint="eastAsia" w:ascii="仿宋" w:hAnsi="仿宋" w:eastAsia="仿宋" w:cs="仿宋"/>
          <w:bCs/>
          <w:color w:val="auto"/>
          <w:sz w:val="21"/>
          <w:szCs w:val="21"/>
          <w:highlight w:val="none"/>
          <w:u w:val="none"/>
          <w:lang w:val="en-US" w:eastAsia="zh-CN" w:bidi="ar-SA"/>
        </w:rPr>
        <w:t xml:space="preserve"> </w:t>
      </w:r>
      <w:r>
        <w:rPr>
          <w:rFonts w:hint="eastAsia" w:ascii="仿宋" w:hAnsi="仿宋" w:eastAsia="仿宋" w:cs="仿宋"/>
          <w:b/>
          <w:color w:val="auto"/>
          <w:sz w:val="21"/>
          <w:szCs w:val="21"/>
          <w:highlight w:val="none"/>
          <w:u w:val="none"/>
        </w:rPr>
        <w:t xml:space="preserve"> </w:t>
      </w:r>
      <w:r/>
    </w:p>
    <w:p>
      <w:pPr>
        <w:ind w:firstLine="420"/>
        <w:jc w:val="left"/>
        <w:spacing w:line="420" w:lineRule="exact"/>
        <w:widowControl/>
        <w:rPr>
          <w:rFonts w:hint="eastAsia" w:ascii="仿宋" w:hAnsi="仿宋" w:eastAsia="仿宋" w:cs="仿宋"/>
          <w:bCs/>
          <w:color w:val="auto"/>
          <w:sz w:val="21"/>
          <w:szCs w:val="21"/>
          <w:highlight w:val="none"/>
          <w:u w:val="single"/>
          <w:lang w:val="en-US" w:eastAsia="zh-CN" w:bidi="ar-SA"/>
        </w:rPr>
      </w:pPr>
      <w:r>
        <w:rPr>
          <w:rFonts w:hint="eastAsia" w:ascii="仿宋" w:hAnsi="仿宋" w:eastAsia="仿宋" w:cs="仿宋"/>
          <w:bCs/>
          <w:color w:val="auto"/>
          <w:sz w:val="21"/>
          <w:szCs w:val="21"/>
          <w:highlight w:val="none"/>
          <w:lang w:val="en-US" w:eastAsia="zh-CN" w:bidi="ar-SA"/>
        </w:rPr>
        <w:t xml:space="preserve">项目名称：</w:t>
      </w:r>
      <w:r>
        <w:rPr>
          <w:rFonts w:hint="eastAsia" w:ascii="仿宋" w:hAnsi="仿宋" w:eastAsia="仿宋" w:cs="仿宋"/>
          <w:bCs/>
          <w:color w:val="auto"/>
          <w:sz w:val="21"/>
          <w:szCs w:val="21"/>
          <w:highlight w:val="none"/>
          <w:u w:val="single"/>
          <w:lang w:val="en-US" w:eastAsia="zh-CN" w:bidi="ar-SA"/>
        </w:rPr>
        <w:t xml:space="preserve">                                        </w:t>
      </w:r>
      <w:r>
        <w:rPr>
          <w:rFonts w:hint="eastAsia" w:ascii="仿宋" w:hAnsi="仿宋" w:eastAsia="仿宋" w:cs="仿宋"/>
          <w:bCs/>
          <w:color w:val="auto"/>
          <w:sz w:val="21"/>
          <w:szCs w:val="21"/>
          <w:highlight w:val="none"/>
          <w:u w:val="none"/>
          <w:lang w:val="en-US" w:eastAsia="zh-CN" w:bidi="ar-SA"/>
        </w:rPr>
        <w:t xml:space="preserve">          </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为加强项目廉政建设，规范项目各项活动中甲、乙双方的行为，防止谋取不正当利益的违法违纪现象的发生，保护国家、集体和当事人的合法权益，根据国家有关法律法规和廉政建设的有关规定，订立本廉政责任书。</w:t>
      </w:r>
      <w:r/>
    </w:p>
    <w:p>
      <w:pPr>
        <w:ind w:firstLine="315"/>
        <w:jc w:val="left"/>
        <w:spacing w:line="420" w:lineRule="exact"/>
        <w:widowControl/>
        <w:rPr>
          <w:rFonts w:hint="eastAsia" w:ascii="仿宋" w:hAnsi="仿宋" w:eastAsia="仿宋" w:cs="仿宋"/>
          <w:color w:val="auto"/>
          <w:sz w:val="21"/>
          <w:szCs w:val="21"/>
          <w:highlight w:val="none"/>
          <w:lang w:val="en-US" w:eastAsia="zh-CN" w:bidi="ar-SA"/>
        </w:rPr>
      </w:pPr>
      <w:r/>
      <w:bookmarkStart w:id="763" w:name="_Toc352237870"/>
      <w:r/>
      <w:bookmarkStart w:id="764" w:name="_Toc362274938"/>
      <w:r>
        <w:rPr>
          <w:rFonts w:hint="eastAsia" w:ascii="仿宋" w:hAnsi="仿宋" w:eastAsia="仿宋" w:cs="仿宋"/>
          <w:color w:val="auto"/>
          <w:sz w:val="21"/>
          <w:szCs w:val="21"/>
          <w:highlight w:val="none"/>
          <w:lang w:val="en-US" w:eastAsia="zh-CN" w:bidi="ar-SA"/>
        </w:rPr>
        <w:t xml:space="preserve">一、双方的责任</w:t>
      </w:r>
      <w:bookmarkEnd w:id="763"/>
      <w:r/>
      <w:bookmarkEnd w:id="764"/>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1.1应严格遵守国家关于廉政建设的有关法律、法规，相关政策，以及各项规定。</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1.2严格执行项目合同文件，自觉按合同办事。</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1.3各项活动必须坚持公开、公平、公正、诚信、透明的原则(除法律法规另有规定者外)，不得为获取不正当的利益，损害国家、集体和对方利益，不得违反相关规章制度。</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1.4发现对方在业务活动中有违规、违纪、违法行为的，应及时提醒对方，情节严重的，应向其上级主管部门或纪检监察、司法等有关机关举报。</w:t>
      </w:r>
      <w:r/>
    </w:p>
    <w:p>
      <w:pPr>
        <w:ind w:firstLine="315"/>
        <w:jc w:val="left"/>
        <w:spacing w:line="420" w:lineRule="exact"/>
        <w:widowControl/>
        <w:rPr>
          <w:rFonts w:hint="eastAsia" w:ascii="仿宋" w:hAnsi="仿宋" w:eastAsia="仿宋" w:cs="仿宋"/>
          <w:color w:val="auto"/>
          <w:sz w:val="21"/>
          <w:szCs w:val="21"/>
          <w:highlight w:val="none"/>
          <w:lang w:val="en-US" w:eastAsia="zh-CN" w:bidi="ar-SA"/>
        </w:rPr>
      </w:pPr>
      <w:r/>
      <w:bookmarkStart w:id="765" w:name="_Toc362274939"/>
      <w:r/>
      <w:bookmarkStart w:id="766" w:name="_Toc352237871"/>
      <w:r>
        <w:rPr>
          <w:rFonts w:hint="eastAsia" w:ascii="仿宋" w:hAnsi="仿宋" w:eastAsia="仿宋" w:cs="仿宋"/>
          <w:color w:val="auto"/>
          <w:sz w:val="21"/>
          <w:szCs w:val="21"/>
          <w:highlight w:val="none"/>
          <w:lang w:val="en-US" w:eastAsia="zh-CN" w:bidi="ar-SA"/>
        </w:rPr>
        <w:t xml:space="preserve">二、甲方责任</w:t>
      </w:r>
      <w:bookmarkEnd w:id="765"/>
      <w:r/>
      <w:bookmarkEnd w:id="766"/>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甲方的领导和从事该项目的工作人员，应遵守以下规定：</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2.1不得向乙方和相关单位索要或接受回扣、礼金、有价证券、贵重物品和好处费、感谢费等。</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2.2不得在乙方和相关单位报销任何应由甲方或个人支付的费用。</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2.3不得要求、暗示或接受乙方和相关单位为个人装修住房、婚丧嫁娶、配偶子女的工作安排以及出国(境)、旅游等提供方便。</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2.4不得参加有可能影响公正执行公务的乙方和相关单位的宴请、健身、娱乐等活动。</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2.5不得向乙方和相关单位介绍或为配偶、子女、亲属参与同甲方项目有关的业务活动；不得以任何理由要求乙方和相关单位使用某种产品、材料和设备。</w:t>
      </w:r>
      <w:r/>
    </w:p>
    <w:p>
      <w:pPr>
        <w:ind w:firstLine="315"/>
        <w:jc w:val="left"/>
        <w:spacing w:line="420" w:lineRule="exact"/>
        <w:widowControl/>
        <w:rPr>
          <w:rFonts w:hint="eastAsia" w:ascii="仿宋" w:hAnsi="仿宋" w:eastAsia="仿宋" w:cs="仿宋"/>
          <w:color w:val="auto"/>
          <w:sz w:val="21"/>
          <w:szCs w:val="21"/>
          <w:highlight w:val="none"/>
          <w:lang w:val="en-US" w:eastAsia="zh-CN" w:bidi="ar-SA"/>
        </w:rPr>
      </w:pPr>
      <w:r/>
      <w:bookmarkStart w:id="767" w:name="_Toc362274940"/>
      <w:r/>
      <w:bookmarkStart w:id="768" w:name="_Toc352237872"/>
      <w:r>
        <w:rPr>
          <w:rFonts w:hint="eastAsia" w:ascii="仿宋" w:hAnsi="仿宋" w:eastAsia="仿宋" w:cs="仿宋"/>
          <w:color w:val="auto"/>
          <w:sz w:val="21"/>
          <w:szCs w:val="21"/>
          <w:highlight w:val="none"/>
          <w:lang w:val="en-US" w:eastAsia="zh-CN" w:bidi="ar-SA"/>
        </w:rPr>
        <w:t xml:space="preserve">三、乙方责任</w:t>
      </w:r>
      <w:bookmarkEnd w:id="767"/>
      <w:r/>
      <w:bookmarkEnd w:id="768"/>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应与甲方保持正常的业务交往，按照有关法律法规和程序开展业务工作，并遵守以下规定：</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3.1不得以任何理由向甲方及其工作人员索要、接受或赠送礼金、有价证券、贵重物品及回扣、好处费、感谢费等。</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3.2不得以任何理由为甲方和相关单位报销应由对方或个人支付的费用。</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3.3不得接受或暗示为甲方、相关单位或个人装修住房、婚丧嫁娶、配偶子女的工作安排以及出国(境)、旅游等提供方便。</w:t>
      </w:r>
      <w:r/>
    </w:p>
    <w:p>
      <w:pPr>
        <w:ind w:firstLine="420"/>
        <w:jc w:val="left"/>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3.4不得以任何理由为甲方、相关单位或个人组织有可能影响公正执行公务的宴请、健身、娱乐等活动。</w:t>
      </w:r>
      <w:r/>
    </w:p>
    <w:p>
      <w:pPr>
        <w:ind w:firstLine="315"/>
        <w:jc w:val="both"/>
        <w:spacing w:line="420" w:lineRule="exact"/>
        <w:widowControl/>
        <w:rPr>
          <w:rFonts w:hint="eastAsia" w:ascii="仿宋" w:hAnsi="仿宋" w:eastAsia="仿宋" w:cs="仿宋"/>
          <w:color w:val="auto"/>
          <w:sz w:val="21"/>
          <w:szCs w:val="21"/>
          <w:highlight w:val="none"/>
          <w:lang w:val="en-US" w:eastAsia="zh-CN" w:bidi="ar-SA"/>
        </w:rPr>
      </w:pPr>
      <w:r/>
      <w:bookmarkStart w:id="769" w:name="_Toc362274941"/>
      <w:r/>
      <w:bookmarkStart w:id="770" w:name="_Toc352237873"/>
      <w:r>
        <w:rPr>
          <w:rFonts w:hint="eastAsia" w:ascii="仿宋" w:hAnsi="仿宋" w:eastAsia="仿宋" w:cs="仿宋"/>
          <w:color w:val="auto"/>
          <w:sz w:val="21"/>
          <w:szCs w:val="21"/>
          <w:highlight w:val="none"/>
          <w:lang w:val="en-US" w:eastAsia="zh-CN" w:bidi="ar-SA"/>
        </w:rPr>
        <w:t xml:space="preserve">四、违约责任</w:t>
      </w:r>
      <w:bookmarkEnd w:id="769"/>
      <w:r/>
      <w:bookmarkEnd w:id="770"/>
      <w:r/>
      <w:r/>
    </w:p>
    <w:p>
      <w:pPr>
        <w:ind w:firstLine="420"/>
        <w:jc w:val="both"/>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4.1甲方工作人员有违反本责任书第一、二条责任行为的，依据有关法律、法规给予处理；涉嫌犯罪的，移交司法机关追究刑事责任；给乙方单位造成经济损失的，应予以赔偿。</w:t>
      </w:r>
      <w:r/>
    </w:p>
    <w:p>
      <w:pPr>
        <w:ind w:firstLine="420"/>
        <w:jc w:val="both"/>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4.2乙方工作人员有违反本责任书第一、三条责任行为的，依据有关法律法规处理；涉嫌犯罪的，移交司法机关追究刑事责任；给甲方单位造成经济损失的，应予以赔偿。</w:t>
      </w:r>
      <w:r/>
    </w:p>
    <w:p>
      <w:pPr>
        <w:ind w:firstLine="420"/>
        <w:jc w:val="both"/>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4.3本责任书作为服务合同的组成部分，与服务合同具有同等法律效力。经双方签署后立即生效。</w:t>
      </w:r>
      <w:r/>
    </w:p>
    <w:p>
      <w:pPr>
        <w:ind w:firstLine="315"/>
        <w:jc w:val="both"/>
        <w:spacing w:line="420" w:lineRule="exact"/>
        <w:widowControl/>
        <w:rPr>
          <w:rFonts w:hint="eastAsia" w:ascii="仿宋" w:hAnsi="仿宋" w:eastAsia="仿宋" w:cs="仿宋"/>
          <w:color w:val="auto"/>
          <w:sz w:val="21"/>
          <w:szCs w:val="21"/>
          <w:highlight w:val="none"/>
          <w:lang w:val="en-US" w:eastAsia="zh-CN" w:bidi="ar-SA"/>
        </w:rPr>
      </w:pPr>
      <w:r/>
      <w:bookmarkStart w:id="771" w:name="_Toc362274942"/>
      <w:r/>
      <w:bookmarkStart w:id="772" w:name="_Toc352237874"/>
      <w:r>
        <w:rPr>
          <w:rFonts w:hint="eastAsia" w:ascii="仿宋" w:hAnsi="仿宋" w:eastAsia="仿宋" w:cs="仿宋"/>
          <w:color w:val="auto"/>
          <w:sz w:val="21"/>
          <w:szCs w:val="21"/>
          <w:highlight w:val="none"/>
          <w:lang w:val="en-US" w:eastAsia="zh-CN" w:bidi="ar-SA"/>
        </w:rPr>
        <w:t xml:space="preserve">五、责任书有效期</w:t>
      </w:r>
      <w:bookmarkEnd w:id="771"/>
      <w:r/>
      <w:bookmarkEnd w:id="772"/>
      <w:r/>
      <w:r/>
    </w:p>
    <w:p>
      <w:pPr>
        <w:ind w:firstLine="420"/>
        <w:jc w:val="both"/>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本责任书的有效期为双方签署之日起至该项目实施完成时止。</w:t>
      </w:r>
      <w:r/>
    </w:p>
    <w:p>
      <w:pPr>
        <w:ind w:firstLine="315"/>
        <w:jc w:val="both"/>
        <w:spacing w:line="420" w:lineRule="exact"/>
        <w:widowControl/>
        <w:rPr>
          <w:rFonts w:hint="eastAsia" w:ascii="仿宋" w:hAnsi="仿宋" w:eastAsia="仿宋" w:cs="仿宋"/>
          <w:color w:val="auto"/>
          <w:sz w:val="21"/>
          <w:szCs w:val="21"/>
          <w:highlight w:val="none"/>
          <w:lang w:val="en-US" w:eastAsia="zh-CN" w:bidi="ar-SA"/>
        </w:rPr>
      </w:pPr>
      <w:r/>
      <w:bookmarkStart w:id="773" w:name="_Toc352237875"/>
      <w:r/>
      <w:bookmarkStart w:id="774" w:name="_Toc362274943"/>
      <w:r>
        <w:rPr>
          <w:rFonts w:hint="eastAsia" w:ascii="仿宋" w:hAnsi="仿宋" w:eastAsia="仿宋" w:cs="仿宋"/>
          <w:color w:val="auto"/>
          <w:sz w:val="21"/>
          <w:szCs w:val="21"/>
          <w:highlight w:val="none"/>
          <w:lang w:val="en-US" w:eastAsia="zh-CN" w:bidi="ar-SA"/>
        </w:rPr>
        <w:t xml:space="preserve">六、责任书份数</w:t>
      </w:r>
      <w:bookmarkEnd w:id="773"/>
      <w:r/>
      <w:bookmarkEnd w:id="774"/>
      <w:r/>
      <w:r/>
    </w:p>
    <w:p>
      <w:pPr>
        <w:ind w:firstLine="420"/>
        <w:jc w:val="both"/>
        <w:spacing w:line="42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本责任书一式捌份，甲方肆份，乙方肆份，具有同等效力。</w:t>
      </w:r>
      <w:r/>
    </w:p>
    <w:p>
      <w:pPr>
        <w:ind w:firstLine="420"/>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4195"/>
        <w:gridCol w:w="4169"/>
      </w:tblGrid>
      <w:tr>
        <w:trPr>
          <w:jc w:val="center"/>
        </w:trPr>
        <w:tc>
          <w:tcPr>
            <w:tcW w:w="4195" w:type="dxa"/>
            <w:vAlign w:val="top"/>
            <w:textDirection w:val="lrTb"/>
            <w:noWrap w:val="false"/>
          </w:tcPr>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甲方(公章)：  </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法定地址：</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法定代表人或其</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委托代理人(签字)：</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电话：</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传真：</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电子邮箱：</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开户银行：</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帐号：</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邮政编码：</w:t>
            </w:r>
            <w:r/>
          </w:p>
        </w:tc>
        <w:tc>
          <w:tcPr>
            <w:tcW w:w="4169" w:type="dxa"/>
            <w:vAlign w:val="top"/>
            <w:textDirection w:val="lrTb"/>
            <w:noWrap w:val="false"/>
          </w:tcPr>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乙方(公章)：   </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法定地址：</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法定代表人或其</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委托代理人(签字)：</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电话：</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传真：</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电子邮箱：</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开户银行：</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帐号：</w:t>
            </w:r>
            <w:r/>
          </w:p>
          <w:p>
            <w:pPr>
              <w:jc w:val="left"/>
              <w:spacing w:line="40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邮政编码：</w:t>
            </w:r>
            <w:r/>
          </w:p>
        </w:tc>
      </w:tr>
    </w:tbl>
    <w:p>
      <w:pPr>
        <w:jc w:val="left"/>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r>
      <w:r/>
    </w:p>
    <w:p>
      <w:pPr>
        <w:jc w:val="left"/>
        <w:widowControl/>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br w:type="page" w:clear="all"/>
      </w:r>
      <w:r>
        <w:rPr>
          <w:rFonts w:hint="eastAsia" w:ascii="仿宋" w:hAnsi="仿宋" w:eastAsia="仿宋" w:cs="仿宋"/>
          <w:b/>
          <w:bCs/>
          <w:color w:val="auto"/>
          <w:sz w:val="21"/>
          <w:szCs w:val="21"/>
          <w:highlight w:val="none"/>
          <w:lang w:val="en-US" w:eastAsia="zh-CN" w:bidi="ar-SA"/>
        </w:rPr>
        <w:t xml:space="preserve">附件2： </w:t>
      </w:r>
      <w:r/>
    </w:p>
    <w:p>
      <w:pPr>
        <w:jc w:val="center"/>
        <w:spacing w:before="240" w:after="240"/>
        <w:rPr>
          <w:rFonts w:hint="eastAsia" w:ascii="仿宋" w:hAnsi="仿宋" w:eastAsia="仿宋" w:cs="仿宋"/>
          <w:b/>
          <w:bCs/>
          <w:color w:val="auto"/>
          <w:sz w:val="28"/>
          <w:szCs w:val="28"/>
          <w:highlight w:val="none"/>
          <w:lang w:val="en-US" w:eastAsia="zh-CN" w:bidi="ar-SA"/>
        </w:rPr>
        <w:outlineLvl w:val="9"/>
      </w:pPr>
      <w:r/>
      <w:bookmarkStart w:id="775" w:name="_Toc72278419"/>
      <w:r>
        <w:rPr>
          <w:rFonts w:hint="eastAsia" w:ascii="仿宋" w:hAnsi="仿宋" w:eastAsia="仿宋" w:cs="仿宋"/>
          <w:b/>
          <w:bCs/>
          <w:color w:val="auto"/>
          <w:sz w:val="28"/>
          <w:szCs w:val="28"/>
          <w:highlight w:val="none"/>
          <w:lang w:val="en-US" w:eastAsia="zh-CN" w:bidi="ar-SA"/>
        </w:rPr>
        <w:t xml:space="preserve">建筑施工安全生产协议</w:t>
      </w:r>
      <w:bookmarkEnd w:id="775"/>
      <w:r/>
      <w:r/>
    </w:p>
    <w:p>
      <w:pPr>
        <w:jc w:val="left"/>
        <w:spacing w:line="360" w:lineRule="auto"/>
        <w:widowControl/>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建设单位：</w:t>
      </w:r>
      <w:r>
        <w:rPr>
          <w:rFonts w:hint="eastAsia" w:ascii="仿宋" w:hAnsi="仿宋" w:eastAsia="仿宋" w:cs="仿宋"/>
          <w:color w:val="auto"/>
          <w:sz w:val="21"/>
          <w:szCs w:val="21"/>
          <w:highlight w:val="none"/>
          <w:u w:val="single"/>
          <w:lang w:val="en-US" w:eastAsia="zh-CN" w:bidi="ar-SA"/>
        </w:rPr>
        <w:t xml:space="preserve">常州机电职业技术学院 </w:t>
      </w:r>
      <w:r/>
    </w:p>
    <w:p>
      <w:pPr>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施工单位：</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u w:val="none"/>
          <w:lang w:val="en-US" w:eastAsia="zh-CN" w:bidi="ar-SA"/>
        </w:rPr>
        <w:t xml:space="preserve">                    </w:t>
      </w:r>
      <w:r>
        <w:rPr>
          <w:rFonts w:hint="eastAsia" w:ascii="仿宋" w:hAnsi="仿宋" w:eastAsia="仿宋" w:cs="仿宋"/>
          <w:color w:val="auto"/>
          <w:sz w:val="21"/>
          <w:szCs w:val="21"/>
          <w:highlight w:val="none"/>
          <w:lang w:val="en-US" w:eastAsia="zh-CN" w:bidi="ar-SA"/>
        </w:rPr>
        <w:t xml:space="preserve">        </w:t>
      </w:r>
      <w:r/>
    </w:p>
    <w:p>
      <w:pPr>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    为保障施工安全、顺利完成上述建筑工程项目施工，建设单位将建筑工程项目委托施工单位进行施工，为了明确三方的安全生产责任，确保施工安全，在签订建筑工程合同的同时，签订本协议，三方必须严格执行。</w:t>
      </w:r>
      <w:r/>
    </w:p>
    <w:p>
      <w:pPr>
        <w:ind w:firstLine="415"/>
        <w:jc w:val="left"/>
        <w:spacing w:line="360" w:lineRule="auto"/>
        <w:widowControl/>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t xml:space="preserve">建设单位责任：</w:t>
      </w:r>
      <w:r/>
    </w:p>
    <w:p>
      <w:pPr>
        <w:ind w:firstLine="422"/>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第一条　</w:t>
      </w:r>
      <w:r>
        <w:rPr>
          <w:rFonts w:hint="eastAsia" w:ascii="仿宋" w:hAnsi="仿宋" w:eastAsia="仿宋" w:cs="仿宋"/>
          <w:color w:val="auto"/>
          <w:sz w:val="21"/>
          <w:szCs w:val="21"/>
          <w:highlight w:val="none"/>
          <w:lang w:val="en-US" w:eastAsia="zh-CN" w:bidi="ar-SA"/>
        </w:rPr>
        <w:t xml:space="preserve">建设单位应当向施工单位提供施工现场及毗邻区域内供水、排水、供电、供气、供热、通信、广播电视等地下管线资料，气象和水文观测资料，相邻建筑物和构筑物、地下工程的有关资料，并保证资料的真实、准确、完整。</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建设单位因建设工程需要，向有关部门或者单位查询前款规定的资料时，有关部门或者单位应当及时提供。</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第二条</w:t>
      </w:r>
      <w:r>
        <w:rPr>
          <w:rFonts w:hint="eastAsia" w:ascii="仿宋" w:hAnsi="仿宋" w:eastAsia="仿宋" w:cs="仿宋"/>
          <w:color w:val="auto"/>
          <w:sz w:val="21"/>
          <w:szCs w:val="21"/>
          <w:highlight w:val="none"/>
          <w:lang w:val="en-US" w:eastAsia="zh-CN" w:bidi="ar-SA"/>
        </w:rPr>
        <w:t xml:space="preserve">　建设单位不得对勘察、设计、施工、工程监理等单位提出不符合建设工程安全生产法律、法规和强制性标准规定的要求，不得压缩合同约定的工期。</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第三条</w:t>
      </w:r>
      <w:r>
        <w:rPr>
          <w:rFonts w:hint="eastAsia" w:ascii="仿宋" w:hAnsi="仿宋" w:eastAsia="仿宋" w:cs="仿宋"/>
          <w:color w:val="auto"/>
          <w:sz w:val="21"/>
          <w:szCs w:val="21"/>
          <w:highlight w:val="none"/>
          <w:lang w:val="en-US" w:eastAsia="zh-CN" w:bidi="ar-SA"/>
        </w:rPr>
        <w:t xml:space="preserve">　建设单位在编制工程概算时，应当确定建设工程安全作业环境及安全施工措施所需费用。</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第四条</w:t>
      </w:r>
      <w:r>
        <w:rPr>
          <w:rFonts w:hint="eastAsia" w:ascii="仿宋" w:hAnsi="仿宋" w:eastAsia="仿宋" w:cs="仿宋"/>
          <w:color w:val="auto"/>
          <w:sz w:val="21"/>
          <w:szCs w:val="21"/>
          <w:highlight w:val="none"/>
          <w:lang w:val="en-US" w:eastAsia="zh-CN" w:bidi="ar-SA"/>
        </w:rPr>
        <w:t xml:space="preserve">　建设单位不得明示或者暗示施工单位购买、租赁、使用不符合安全施工要求的安全防护用具、机械设备、施工机具及配件、消防设施和器材。</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color w:val="auto"/>
          <w:sz w:val="21"/>
          <w:szCs w:val="21"/>
          <w:highlight w:val="none"/>
          <w:lang w:val="en-US" w:eastAsia="zh-CN" w:bidi="ar-SA"/>
        </w:rPr>
        <w:t xml:space="preserve">施工单位责任：</w:t>
      </w:r>
      <w:r/>
    </w:p>
    <w:p>
      <w:pPr>
        <w:ind w:firstLine="413"/>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第一条</w:t>
      </w:r>
      <w:r>
        <w:rPr>
          <w:rFonts w:hint="eastAsia" w:ascii="仿宋" w:hAnsi="仿宋" w:eastAsia="仿宋" w:cs="仿宋"/>
          <w:color w:val="auto"/>
          <w:sz w:val="21"/>
          <w:szCs w:val="21"/>
          <w:highlight w:val="none"/>
          <w:lang w:val="en-US" w:eastAsia="zh-CN" w:bidi="ar-SA"/>
        </w:rPr>
        <w:t xml:space="preserve">　施工单位从事建设工程的新建、扩建、改建和拆除等活动，应当具备国家规定的注册资本、专业技术人员、技术装备和安全生产等条件，依法取得相应等级的资质证书，并在其资质等级许可的范围内承揽工程。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第二条</w:t>
      </w:r>
      <w:r>
        <w:rPr>
          <w:rFonts w:hint="eastAsia" w:ascii="仿宋" w:hAnsi="仿宋" w:eastAsia="仿宋" w:cs="仿宋"/>
          <w:color w:val="auto"/>
          <w:sz w:val="21"/>
          <w:szCs w:val="21"/>
          <w:highlight w:val="none"/>
          <w:lang w:val="en-US" w:eastAsia="zh-CN" w:bidi="ar-SA"/>
        </w:rPr>
        <w:t xml:space="preserve">　施工单位主要负责人依法对本单位的安全生产工作全面负责。施工单位应当建立健全安全生产责任制度和安全生产教育培训制度，制定安全生产规章制度和操作规程，保证本单位安全生产条件所需资金的投入，对所承担的建设工程进行定期和专项安全检查，并做好安全检查记录。</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及时、如实报告生产安全事故。</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第三条</w:t>
      </w:r>
      <w:r>
        <w:rPr>
          <w:rFonts w:hint="eastAsia" w:ascii="仿宋" w:hAnsi="仿宋" w:eastAsia="仿宋" w:cs="仿宋"/>
          <w:color w:val="auto"/>
          <w:sz w:val="21"/>
          <w:szCs w:val="21"/>
          <w:highlight w:val="none"/>
          <w:lang w:val="en-US" w:eastAsia="zh-CN" w:bidi="ar-SA"/>
        </w:rPr>
        <w:t xml:space="preserve">　施工单位对列入建设工程概算的安全作业环境及安全施工措施所需费用，应当用于施工安全防护用具及设施的采购和更新、安全施工措施的落实、安全生产条件的改善，不得挪作他用。</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第四条</w:t>
      </w:r>
      <w:r>
        <w:rPr>
          <w:rFonts w:hint="eastAsia" w:ascii="仿宋" w:hAnsi="仿宋" w:eastAsia="仿宋" w:cs="仿宋"/>
          <w:color w:val="auto"/>
          <w:sz w:val="21"/>
          <w:szCs w:val="21"/>
          <w:highlight w:val="none"/>
          <w:lang w:val="en-US" w:eastAsia="zh-CN" w:bidi="ar-SA"/>
        </w:rPr>
        <w:t xml:space="preserve">　施工单位应当设立安全生产管理机构，配备专职安全生产管理人员。</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专职安全生产管理人员负责对安全生产进行现场监督检查。发现安全事故隐患，应当及时向项目负责人和安全生产管理机构报告；对违章指挥、违章操作的，应当立即制止。</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专职安全生产管理人员的配备办法由国务院建设行政主管部门会同国务院其他有关部门制定。</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第五条</w:t>
      </w:r>
      <w:r>
        <w:rPr>
          <w:rFonts w:hint="eastAsia" w:ascii="仿宋" w:hAnsi="仿宋" w:eastAsia="仿宋" w:cs="仿宋"/>
          <w:color w:val="auto"/>
          <w:sz w:val="21"/>
          <w:szCs w:val="21"/>
          <w:highlight w:val="none"/>
          <w:lang w:val="en-US" w:eastAsia="zh-CN" w:bidi="ar-SA"/>
        </w:rPr>
        <w:t xml:space="preserve">　建设工程实行施工总承包的，由总承包单位对施工现场的安全生产负总责。</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总承包单位应当自行完成建设工程主体结构的施工。</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总承包单位依法将建设工程分包给其他单位的，分包合同中应当明确各自的安全生产方面的权利、义务。总承包单位和分包单位对分包工程的安全生产承担连带责任。</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分包单位应当服从总承包单位的安全生产管理，分包单位不服从管理导致生产安全事故的，由分包单位承担主要责任。</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第六条</w:t>
      </w:r>
      <w:r>
        <w:rPr>
          <w:rFonts w:hint="eastAsia" w:ascii="仿宋" w:hAnsi="仿宋" w:eastAsia="仿宋" w:cs="仿宋"/>
          <w:color w:val="auto"/>
          <w:sz w:val="21"/>
          <w:szCs w:val="21"/>
          <w:highlight w:val="none"/>
          <w:lang w:val="en-US" w:eastAsia="zh-CN" w:bidi="ar-SA"/>
        </w:rPr>
        <w:t xml:space="preserve">　垂直运输机械作业人员、安装拆卸工、爆破作业人员、起重信号工、登高架设作业人员等特种作业人员，必须按照国家有关规定经过专门的安全作业培训，并取得特种作业操作资格证书后，方可上岗作业。</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第七条</w:t>
      </w:r>
      <w:r>
        <w:rPr>
          <w:rFonts w:hint="eastAsia" w:ascii="仿宋" w:hAnsi="仿宋" w:eastAsia="仿宋" w:cs="仿宋"/>
          <w:color w:val="auto"/>
          <w:sz w:val="21"/>
          <w:szCs w:val="21"/>
          <w:highlight w:val="none"/>
          <w:lang w:val="en-US" w:eastAsia="zh-CN" w:bidi="ar-SA"/>
        </w:rPr>
        <w:t xml:space="preserve">　施工单位应当在施工组织设计中编制安全技术措施和施工现场临时用电方案，对下列达到一定规模的危险性较大的分部分项工程编制专项施工方案，并附具安全验算结果，经施工单位技术负责人、总监理工程师签字后实施，由专职安全生产管理人员进行现场监督：</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(一)基坑支护与降水工程；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(二)土方开挖工程；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(三)模板工程；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(四)起重吊装工程；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(五)脚手架工程；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(六)拆除、爆破工程；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(七)国务院建设行政主管部门或者其他有关部门规定的其他危险性较大的工程。</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对前款所列工程中涉及深基坑、地下暗挖工程、高大模板工程的专项施工方案，施工单位还应当组织专家进行论证、审查。</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本条第一款规定的达到一定规模的危险性较大工程的标准，由国务院建设行政主管部门会同国务院其他有关部门制定。</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第八条</w:t>
      </w:r>
      <w:r>
        <w:rPr>
          <w:rFonts w:hint="eastAsia" w:ascii="仿宋" w:hAnsi="仿宋" w:eastAsia="仿宋" w:cs="仿宋"/>
          <w:color w:val="auto"/>
          <w:sz w:val="21"/>
          <w:szCs w:val="21"/>
          <w:highlight w:val="none"/>
          <w:lang w:val="en-US" w:eastAsia="zh-CN" w:bidi="ar-SA"/>
        </w:rPr>
        <w:t xml:space="preserve">　建设工程施工前，施工单位负责项目管理的技术人员应当对有关安全施工的技术要求向施工作业班组、作业人员作出详细说明，并由双方签字确认。</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第九条</w:t>
      </w:r>
      <w:r>
        <w:rPr>
          <w:rFonts w:hint="eastAsia" w:ascii="仿宋" w:hAnsi="仿宋" w:eastAsia="仿宋" w:cs="仿宋"/>
          <w:color w:val="auto"/>
          <w:sz w:val="21"/>
          <w:szCs w:val="21"/>
          <w:highlight w:val="none"/>
          <w:lang w:val="en-US" w:eastAsia="zh-CN" w:bidi="ar-SA"/>
        </w:rPr>
        <w:t xml:space="preserve">　施工单位应当在施工现场入口处、施工起重机械、临时用电设施、脚手架、出入通道口、楼梯口、电梯井口、孔洞口、桥梁口、隧道口、基坑边沿、爆破物及有害危险气体和液体存放处等危险部位，设置明显的安全警示标志。安全警示标志必须符合国家标准。</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施工单位应当根据不同施工阶段和周围环境及季节、气候的变化，在施工现场采取相应的安全施工措施。施工现场暂时停止施工的，施工单位应当做好现场防护，所需费用由责任方承担，或者按照合同约定执行。</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第十条</w:t>
      </w:r>
      <w:r>
        <w:rPr>
          <w:rFonts w:hint="eastAsia" w:ascii="仿宋" w:hAnsi="仿宋" w:eastAsia="仿宋" w:cs="仿宋"/>
          <w:color w:val="auto"/>
          <w:sz w:val="21"/>
          <w:szCs w:val="21"/>
          <w:highlight w:val="none"/>
          <w:lang w:val="en-US" w:eastAsia="zh-CN" w:bidi="ar-SA"/>
        </w:rPr>
        <w:t xml:space="preserve">　施工单位应当将施工现场的办公、生活区与作业区分开设置，并保持安全距离；办公、生活区的选址应当符合安全性要求。职工的膳食、饮水、休息场所等应当符合卫生标准。施工单位不得在尚未竣工的建筑物内设置员工集体宿舍。</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施工现场临时搭建的建筑物应当符合安全使用要求。施工现场使用的装配式活动房屋应当具有产品合格证。</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第十一条</w:t>
      </w:r>
      <w:r>
        <w:rPr>
          <w:rFonts w:hint="eastAsia" w:ascii="仿宋" w:hAnsi="仿宋" w:eastAsia="仿宋" w:cs="仿宋"/>
          <w:color w:val="auto"/>
          <w:sz w:val="21"/>
          <w:szCs w:val="21"/>
          <w:highlight w:val="none"/>
          <w:lang w:val="en-US" w:eastAsia="zh-CN" w:bidi="ar-SA"/>
        </w:rPr>
        <w:t xml:space="preserve">　施工单位对因建设工程施工可能造成损害的毗邻建筑物、构筑物和地下管线等，应当采取专项防护措施。</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施工单位应当遵守有关环境保护法律、法规的规定，在施工现场采取措施，防止或者减少粉尘、废气、废水、固体废物、噪声、振动和施工照明对人和环境的危害和污染。</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在城市市区内的建设工程，施工单位应当对施工现场实行封闭围挡。</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第十二条</w:t>
      </w:r>
      <w:r>
        <w:rPr>
          <w:rFonts w:hint="eastAsia" w:ascii="仿宋" w:hAnsi="仿宋" w:eastAsia="仿宋" w:cs="仿宋"/>
          <w:color w:val="auto"/>
          <w:sz w:val="21"/>
          <w:szCs w:val="21"/>
          <w:highlight w:val="none"/>
          <w:lang w:val="en-US" w:eastAsia="zh-CN" w:bidi="ar-SA"/>
        </w:rPr>
        <w:t xml:space="preserve">　施工单位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第十三条</w:t>
      </w:r>
      <w:r>
        <w:rPr>
          <w:rFonts w:hint="eastAsia" w:ascii="仿宋" w:hAnsi="仿宋" w:eastAsia="仿宋" w:cs="仿宋"/>
          <w:color w:val="auto"/>
          <w:sz w:val="21"/>
          <w:szCs w:val="21"/>
          <w:highlight w:val="none"/>
          <w:lang w:val="en-US" w:eastAsia="zh-CN" w:bidi="ar-SA"/>
        </w:rPr>
        <w:t xml:space="preserve">　施工单位应当向作业人员提供安全防护用具和安全防护服装，并书面告知危险岗位的操作规程和违章操作的危害。</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作业人员有权对施工现场的作业条件、作业程序和作业方式中存在的安全问题提出批评、检举和控告，有权拒绝违章指挥和强令冒险作业。</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在施工中发生危及人身安全的紧急情况时，作业人员有权立即停止作业或者在采取必要的应急措施后撤离危险区域。</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第十四条</w:t>
      </w:r>
      <w:r>
        <w:rPr>
          <w:rFonts w:hint="eastAsia" w:ascii="仿宋" w:hAnsi="仿宋" w:eastAsia="仿宋" w:cs="仿宋"/>
          <w:color w:val="auto"/>
          <w:sz w:val="21"/>
          <w:szCs w:val="21"/>
          <w:highlight w:val="none"/>
          <w:lang w:val="en-US" w:eastAsia="zh-CN" w:bidi="ar-SA"/>
        </w:rPr>
        <w:t xml:space="preserve">　作业人员应当遵守安全施工的强制性标准、规章制度和操作规程，正确使用安全防护用具、机械设备等。</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第十五条</w:t>
      </w:r>
      <w:r>
        <w:rPr>
          <w:rFonts w:hint="eastAsia" w:ascii="仿宋" w:hAnsi="仿宋" w:eastAsia="仿宋" w:cs="仿宋"/>
          <w:color w:val="auto"/>
          <w:sz w:val="21"/>
          <w:szCs w:val="21"/>
          <w:highlight w:val="none"/>
          <w:lang w:val="en-US" w:eastAsia="zh-CN" w:bidi="ar-SA"/>
        </w:rPr>
        <w:t xml:space="preserve">　施工单位采购、租赁的安全防护用具、机械设备、施工机具及配件，应当具有生产(制造)许可证、产品合格证，并在进入施工现场前进行查验。</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施工现场的安全防护用具、机械设备、施工机具及配件必须由专人管理，定期进行检查、维修和保养，建立相应的资料档案，并按照国家有关规定及时报废。</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第十六条</w:t>
      </w:r>
      <w:r>
        <w:rPr>
          <w:rFonts w:hint="eastAsia" w:ascii="仿宋" w:hAnsi="仿宋" w:eastAsia="仿宋" w:cs="仿宋"/>
          <w:color w:val="auto"/>
          <w:sz w:val="21"/>
          <w:szCs w:val="21"/>
          <w:highlight w:val="none"/>
          <w:lang w:val="en-US" w:eastAsia="zh-CN" w:bidi="ar-SA"/>
        </w:rPr>
        <w:t xml:space="preserve">　施工单位在使用施工起重机械和整体提升脚手架、模板等自升式架设设施前，应当组织有关单位进行验收，也可以委托具有相应资质的检验检测机构进行验收；使用承租的机械设备和施工机具及配件的，由施工总承包单位、分包单位、出租单位和安装单位共同进行验收。验收合格的方可使用。</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《特种设备安全监察条例》规定的施工起重机械，在验收前应当经有相应资质的检验检测机构监督检验合格。</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施工单位应当自施工起重机械和整体提升脚手架、模板等自升式架设设施验收合格之日起30日内，向建设行政主管部门或者其他有关部门登记。登记标志应当置于或者附着于该设备的显著位置。</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第十七条</w:t>
      </w:r>
      <w:r>
        <w:rPr>
          <w:rFonts w:hint="eastAsia" w:ascii="仿宋" w:hAnsi="仿宋" w:eastAsia="仿宋" w:cs="仿宋"/>
          <w:color w:val="auto"/>
          <w:sz w:val="21"/>
          <w:szCs w:val="21"/>
          <w:highlight w:val="none"/>
          <w:lang w:val="en-US" w:eastAsia="zh-CN" w:bidi="ar-SA"/>
        </w:rPr>
        <w:t xml:space="preserve">　施工单位的主要负责人、项目负责人、专职安全生产管理人员应当经建设行政主管部门或者其他有关部门考核合格后方可任职。</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施工单位应当对管理人员和作业人员每年至少进行一次安全生产教育培训，其教育培训情况记入个人工作档案。安全生产教育培训考核不合格的人员，不得上岗。</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第十八条</w:t>
      </w:r>
      <w:r>
        <w:rPr>
          <w:rFonts w:hint="eastAsia" w:ascii="仿宋" w:hAnsi="仿宋" w:eastAsia="仿宋" w:cs="仿宋"/>
          <w:color w:val="auto"/>
          <w:sz w:val="21"/>
          <w:szCs w:val="21"/>
          <w:highlight w:val="none"/>
          <w:lang w:val="en-US" w:eastAsia="zh-CN" w:bidi="ar-SA"/>
        </w:rPr>
        <w:t xml:space="preserve">　作业人员进入新的岗位或者新的施工现场前，应当接受安全生产教育培训。未经教育培训或者教育培训考核不合格的人员，不得上岗作业。</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施工单位在采用新技术、新工艺、新设备、新材料时，应当对作业人员进行相应的安全生产教育培训。</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第十九条</w:t>
      </w:r>
      <w:r>
        <w:rPr>
          <w:rFonts w:hint="eastAsia" w:ascii="仿宋" w:hAnsi="仿宋" w:eastAsia="仿宋" w:cs="仿宋"/>
          <w:color w:val="auto"/>
          <w:sz w:val="21"/>
          <w:szCs w:val="21"/>
          <w:highlight w:val="none"/>
          <w:lang w:val="en-US" w:eastAsia="zh-CN" w:bidi="ar-SA"/>
        </w:rPr>
        <w:t xml:space="preserve">　施工单位应当为施工现场从事危险作业的人员办理意外伤害保险。</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意外伤害保险费由施工单位支付。实行施工总承包的，由总承包单位支付意外伤害保险费。意外伤害保险期限自建设工程开工之日起至竣工验收合格止。</w:t>
      </w:r>
      <w:r/>
    </w:p>
    <w:p>
      <w:pPr>
        <w:ind w:firstLine="415"/>
        <w:jc w:val="left"/>
        <w:spacing w:line="360" w:lineRule="auto"/>
        <w:widowControl/>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t xml:space="preserve">监理单位责任：</w:t>
      </w:r>
      <w:r/>
    </w:p>
    <w:p>
      <w:pPr>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　  工程监理单位应当审查施工组织设计中的安全技术措施或者专项施工方案是否符合工程建设强制性标准。</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工程监理单位在实施监理过程中，发现存在安全事故隐患的，应当要求施工单位整改；情况严重的，应当要求施工单位暂时停止施工，并及时报告建设单位。施工单位拒不整改或者不停止施工的，工程监理单位应当及时向有关主管部门报告。</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工程监理单位和监理工程师应当按照法律、法规和工程建设强制性标准实施监理，并对建设工程安全生产承担监理责任。</w:t>
      </w:r>
      <w:r/>
    </w:p>
    <w:p>
      <w:pPr>
        <w:ind w:firstLine="415"/>
        <w:jc w:val="left"/>
        <w:spacing w:line="360" w:lineRule="auto"/>
        <w:widowControl/>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t xml:space="preserve">事故调查：</w:t>
      </w:r>
      <w:r/>
    </w:p>
    <w:p>
      <w:pPr>
        <w:ind w:firstLine="600"/>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第一条</w:t>
      </w:r>
      <w:r>
        <w:rPr>
          <w:rFonts w:hint="eastAsia" w:ascii="仿宋" w:hAnsi="仿宋" w:eastAsia="仿宋" w:cs="仿宋"/>
          <w:color w:val="auto"/>
          <w:sz w:val="21"/>
          <w:szCs w:val="21"/>
          <w:highlight w:val="none"/>
          <w:lang w:val="en-US" w:eastAsia="zh-CN" w:bidi="ar-SA"/>
        </w:rPr>
        <w:t xml:space="preserve">　施工单位应当根据建设工程施工的特点、范围，对施工现场易发生重大事故的部位、环节进行监控，制定施工现场生产安全事故应急救援预案。实行施工总承包的，由总承包单位统一组织编制建设工程生产安全事故应急救援预案，工程总承包单位和分包单位按照应急救援预案，各自建立应急救援组织或者配备应急救援人员，配备救援器材、设备，并定期组织演练。</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第二条</w:t>
      </w:r>
      <w:r>
        <w:rPr>
          <w:rFonts w:hint="eastAsia" w:ascii="仿宋" w:hAnsi="仿宋" w:eastAsia="仿宋" w:cs="仿宋"/>
          <w:color w:val="auto"/>
          <w:sz w:val="21"/>
          <w:szCs w:val="21"/>
          <w:highlight w:val="none"/>
          <w:lang w:val="en-US" w:eastAsia="zh-CN" w:bidi="ar-SA"/>
        </w:rPr>
        <w:t xml:space="preserve">　施工单位发生生产安全事故，应当按照国家有关伤亡事故报告和调查处理的规定，及时、如实地向负责安全生产监督管理的部门、建设行政主管部门或者其他有关部门报告；特种设备发生事故的，还应当同时向特种设备安全监督管理部门报告。接到报告的部门应当按照国家有关规定，如实上报。</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实行施工总承包的建设工程，由总承包单位负责上报事故。</w:t>
      </w:r>
      <w:r>
        <w:rPr>
          <w:rFonts w:hint="eastAsia" w:ascii="仿宋" w:hAnsi="仿宋" w:eastAsia="仿宋" w:cs="仿宋"/>
          <w:color w:val="auto"/>
          <w:sz w:val="21"/>
          <w:szCs w:val="21"/>
          <w:highlight w:val="none"/>
          <w:lang w:val="en-US" w:eastAsia="zh-CN" w:bidi="ar-SA"/>
        </w:rPr>
        <w:br/>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b/>
          <w:bCs/>
          <w:color w:val="auto"/>
          <w:sz w:val="21"/>
          <w:szCs w:val="21"/>
          <w:highlight w:val="none"/>
          <w:lang w:val="en-US" w:eastAsia="zh-CN" w:bidi="ar-SA"/>
        </w:rPr>
        <w:t xml:space="preserve">第三条</w:t>
      </w:r>
      <w:r>
        <w:rPr>
          <w:rFonts w:hint="eastAsia" w:ascii="仿宋" w:hAnsi="仿宋" w:eastAsia="仿宋" w:cs="仿宋"/>
          <w:color w:val="auto"/>
          <w:sz w:val="21"/>
          <w:szCs w:val="21"/>
          <w:highlight w:val="none"/>
          <w:lang w:val="en-US" w:eastAsia="zh-CN" w:bidi="ar-SA"/>
        </w:rPr>
        <w:t xml:space="preserve">　发生生产安全事故后，施工单位应当采取措施防止事故扩大，保护事故现场。需要移动现场物品时，应当做出标记和书面记录，妥善保管有关证物。</w:t>
      </w:r>
      <w:r/>
    </w:p>
    <w:p>
      <w:pPr>
        <w:ind w:firstLine="422"/>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第四条</w:t>
      </w:r>
      <w:r>
        <w:rPr>
          <w:rFonts w:hint="eastAsia" w:ascii="仿宋" w:hAnsi="仿宋" w:eastAsia="仿宋" w:cs="仿宋"/>
          <w:color w:val="auto"/>
          <w:sz w:val="21"/>
          <w:szCs w:val="21"/>
          <w:highlight w:val="none"/>
          <w:lang w:val="en-US" w:eastAsia="zh-CN" w:bidi="ar-SA"/>
        </w:rPr>
        <w:t xml:space="preserve">　本协议未尽事宜，参照相关安全生产法律法规规定执行。</w:t>
      </w:r>
      <w:r/>
    </w:p>
    <w:p>
      <w:pPr>
        <w:ind w:firstLine="600"/>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本协议一式三份，建设单位、施工单位、监理单位各执一份。本协议自签订之日起生效，项目验收合格交付使用，协议自行终止。</w:t>
      </w:r>
      <w:r/>
    </w:p>
    <w:p>
      <w:pPr>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jc w:val="left"/>
        <w:spacing w:line="360" w:lineRule="auto"/>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建设单位（公章）：                      施工单位（公章）：</w:t>
      </w:r>
      <w:r/>
    </w:p>
    <w:p>
      <w:pPr>
        <w:jc w:val="left"/>
        <w:spacing w:line="360" w:lineRule="auto"/>
        <w:widowControl/>
        <w:tabs>
          <w:tab w:val="left" w:pos="0" w:leader="none"/>
          <w:tab w:val="left" w:pos="993" w:leader="none"/>
          <w:tab w:val="left" w:pos="1134" w:leader="none"/>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法定代表人或委托代理人（签字）</w:t>
      </w: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color w:val="auto"/>
          <w:sz w:val="21"/>
          <w:szCs w:val="21"/>
          <w:highlight w:val="none"/>
          <w:lang w:val="en-US" w:eastAsia="zh-CN" w:bidi="ar-SA"/>
        </w:rPr>
        <w:t xml:space="preserve">法定代表人或委托代理人（签字）</w:t>
      </w:r>
      <w:r/>
    </w:p>
    <w:p>
      <w:pPr>
        <w:jc w:val="left"/>
        <w:spacing w:line="360" w:lineRule="auto"/>
        <w:widowControl/>
        <w:tabs>
          <w:tab w:val="left" w:pos="0" w:leader="none"/>
          <w:tab w:val="left" w:pos="993" w:leader="none"/>
          <w:tab w:val="left" w:pos="1134" w:leader="none"/>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               </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年</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月</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日                                  </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年</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月</w:t>
      </w:r>
      <w:r>
        <w:rPr>
          <w:rFonts w:hint="eastAsia" w:ascii="仿宋" w:hAnsi="仿宋" w:eastAsia="仿宋" w:cs="仿宋"/>
          <w:color w:val="auto"/>
          <w:sz w:val="21"/>
          <w:szCs w:val="21"/>
          <w:highlight w:val="none"/>
          <w:u w:val="single"/>
          <w:lang w:val="en-US" w:eastAsia="zh-CN" w:bidi="ar-SA"/>
        </w:rPr>
        <w:t xml:space="preserve">   </w:t>
      </w:r>
      <w:r>
        <w:rPr>
          <w:rFonts w:hint="eastAsia" w:ascii="仿宋" w:hAnsi="仿宋" w:eastAsia="仿宋" w:cs="仿宋"/>
          <w:color w:val="auto"/>
          <w:sz w:val="21"/>
          <w:szCs w:val="21"/>
          <w:highlight w:val="none"/>
          <w:lang w:val="en-US" w:eastAsia="zh-CN" w:bidi="ar-SA"/>
        </w:rPr>
        <w:t xml:space="preserve">日</w:t>
      </w:r>
      <w:r/>
    </w:p>
    <w:p>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t xml:space="preserve">第六章   响应文件格式</w:t>
      </w:r>
      <w:bookmarkEnd w:id="762"/>
      <w:r/>
      <w:r/>
    </w:p>
    <w:p>
      <w:pPr>
        <w:ind w:left="142"/>
        <w:spacing w:line="360" w:lineRule="auto"/>
        <w:tabs>
          <w:tab w:val="left" w:pos="900" w:leader="none"/>
          <w:tab w:val="left" w:pos="19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ind w:left="142"/>
        <w:spacing w:line="360" w:lineRule="auto"/>
        <w:tabs>
          <w:tab w:val="left" w:pos="900" w:leader="none"/>
          <w:tab w:val="left" w:pos="198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供应商编制文件须知</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b/>
          <w:color w:val="000000"/>
          <w:sz w:val="24"/>
          <w:szCs w:val="24"/>
          <w:highlight w:val="none"/>
        </w:rPr>
        <w:t xml:space="preserve">否则响应无效</w:t>
      </w:r>
      <w:r>
        <w:rPr>
          <w:rFonts w:hint="eastAsia" w:ascii="仿宋" w:hAnsi="仿宋" w:eastAsia="仿宋" w:cs="仿宋"/>
          <w:color w:val="000000"/>
          <w:sz w:val="24"/>
          <w:szCs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widowControl/>
        <w:rPr>
          <w:rFonts w:hint="eastAsia" w:ascii="仿宋" w:hAnsi="仿宋" w:eastAsia="仿宋" w:cs="仿宋"/>
          <w:b/>
          <w:color w:val="000000"/>
          <w:spacing w:val="20"/>
          <w:szCs w:val="21"/>
          <w:highlight w:val="none"/>
        </w:rPr>
      </w:pPr>
      <w:r>
        <w:rPr>
          <w:rFonts w:hint="eastAsia" w:ascii="仿宋" w:hAnsi="仿宋" w:eastAsia="仿宋" w:cs="仿宋"/>
          <w:color w:val="000000"/>
          <w:sz w:val="24"/>
          <w:highlight w:val="none"/>
        </w:rPr>
        <w:br w:type="page" w:clear="all"/>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
    </w:p>
    <w:p>
      <w:pPr>
        <w:rPr>
          <w:rFonts w:hint="eastAsia" w:ascii="仿宋" w:hAnsi="仿宋" w:eastAsia="仿宋" w:cs="仿宋"/>
          <w:b/>
          <w:color w:val="000000"/>
          <w:sz w:val="24"/>
          <w:highlight w:val="none"/>
        </w:rPr>
      </w:pPr>
      <w:r>
        <w:rPr>
          <w:rFonts w:hint="eastAsia" w:ascii="仿宋" w:hAnsi="仿宋" w:eastAsia="仿宋" w:cs="仿宋"/>
          <w:b/>
          <w:color w:val="000000"/>
          <w:spacing w:val="20"/>
          <w:sz w:val="24"/>
          <w:highlight w:val="none"/>
        </w:rPr>
        <w:t xml:space="preserve">响应文件</w:t>
      </w:r>
      <w:r>
        <w:rPr>
          <w:rFonts w:hint="eastAsia" w:ascii="仿宋" w:hAnsi="仿宋" w:eastAsia="仿宋" w:cs="仿宋"/>
          <w:b/>
          <w:color w:val="000000"/>
          <w:sz w:val="24"/>
          <w:highlight w:val="none"/>
        </w:rPr>
        <w:t xml:space="preserve">封面（非实质性格式）</w:t>
      </w:r>
      <w:r/>
    </w:p>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793"/>
        <w:rPr>
          <w:rFonts w:hint="eastAsia"/>
        </w:rPr>
      </w:pPr>
      <w:r>
        <w:rPr>
          <w:rFonts w:hint="eastAsia"/>
        </w:rPr>
      </w:r>
      <w:r/>
    </w:p>
    <w:p>
      <w:pPr>
        <w:pStyle w:val="793"/>
        <w:rPr>
          <w:rFonts w:hint="eastAsia"/>
        </w:rPr>
      </w:pPr>
      <w:r>
        <w:rPr>
          <w:rFonts w:hint="eastAsia"/>
        </w:rPr>
      </w:r>
      <w:r/>
    </w:p>
    <w:p>
      <w:pPr>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响 应 文 件</w:t>
      </w:r>
      <w:r/>
    </w:p>
    <w:p>
      <w:pPr>
        <w:jc w:val="center"/>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79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供应商名称 ：</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highlight w:val="none"/>
        </w:rPr>
      </w:pPr>
      <w:r>
        <w:rPr>
          <w:rFonts w:hint="eastAsia" w:ascii="仿宋" w:hAnsi="仿宋" w:eastAsia="仿宋" w:cs="仿宋"/>
          <w:b/>
          <w:color w:val="000000"/>
          <w:spacing w:val="20"/>
          <w:sz w:val="32"/>
          <w:szCs w:val="32"/>
          <w:highlight w:val="none"/>
        </w:rPr>
        <w:br w:type="page" w:clear="all"/>
      </w:r>
      <w:r/>
    </w:p>
    <w:p>
      <w:pPr>
        <w:spacing w:line="360" w:lineRule="auto"/>
        <w:rPr>
          <w:rFonts w:hint="eastAsia" w:ascii="仿宋" w:hAnsi="仿宋" w:eastAsia="仿宋" w:cs="仿宋"/>
          <w:b/>
          <w:bCs/>
          <w:color w:val="000000"/>
          <w:sz w:val="24"/>
        </w:rPr>
        <w:outlineLvl w:val="2"/>
      </w:pPr>
      <w:r>
        <w:rPr>
          <w:rFonts w:hint="eastAsia" w:ascii="仿宋" w:hAnsi="仿宋" w:eastAsia="仿宋" w:cs="仿宋"/>
          <w:b/>
          <w:bCs/>
          <w:color w:val="000000"/>
          <w:sz w:val="24"/>
          <w:szCs w:val="20"/>
        </w:rPr>
        <w:t xml:space="preserve">1 </w:t>
      </w:r>
      <w:r>
        <w:rPr>
          <w:rFonts w:hint="eastAsia" w:ascii="仿宋" w:hAnsi="仿宋" w:eastAsia="仿宋" w:cs="仿宋"/>
          <w:b/>
          <w:bCs/>
          <w:color w:val="000000"/>
          <w:sz w:val="24"/>
        </w:rPr>
        <w:t xml:space="preserve">满足《中华人民共和国政府采购法》第二十二条规定及法律法规的其他规定</w:t>
      </w:r>
      <w:r/>
    </w:p>
    <w:p>
      <w:pPr>
        <w:pStyle w:val="1393"/>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包含但不限于：</w:t>
      </w:r>
      <w:r/>
    </w:p>
    <w:p>
      <w:pPr>
        <w:pStyle w:val="1393"/>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（1）法人或者其他组织的营业执照等证明文件，自然人的身份证明；</w:t>
      </w:r>
      <w:r/>
    </w:p>
    <w:p>
      <w:pPr>
        <w:pStyle w:val="1393"/>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（2）上一年度的财务状况报告（成立不满一年不需提供），财务状况报告至少应包含资产负债表、利润表、现金流量表；</w:t>
      </w:r>
      <w:r/>
    </w:p>
    <w:p>
      <w:pPr>
        <w:pStyle w:val="1393"/>
        <w:spacing w:line="48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（3）依法缴纳税收和社会保障资金的相关材料(如纳税证明、社保缴费证明等)；</w:t>
      </w:r>
      <w:r/>
    </w:p>
    <w:p>
      <w:pPr>
        <w:pStyle w:val="1393"/>
        <w:spacing w:line="48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1-1 供应商资格声明函（实质性格式）</w:t>
      </w:r>
      <w:r/>
    </w:p>
    <w:p>
      <w:pPr>
        <w:jc w:val="center"/>
        <w:spacing w:before="120"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center"/>
        <w:spacing w:before="120" w:line="360" w:lineRule="auto"/>
        <w:widowControl/>
        <w:rPr>
          <w:rFonts w:hint="eastAsia" w:ascii="仿宋" w:hAnsi="仿宋" w:eastAsia="仿宋" w:cs="仿宋"/>
          <w:color w:val="000000"/>
          <w:sz w:val="32"/>
          <w:szCs w:val="32"/>
          <w:highlight w:val="none"/>
        </w:rPr>
      </w:pPr>
      <w:r>
        <w:rPr>
          <w:rFonts w:hint="eastAsia" w:ascii="仿宋" w:hAnsi="仿宋" w:eastAsia="仿宋" w:cs="仿宋"/>
          <w:b/>
          <w:color w:val="000000"/>
          <w:sz w:val="32"/>
          <w:szCs w:val="32"/>
          <w:highlight w:val="none"/>
        </w:rPr>
        <w:t xml:space="preserve">供应商资格声明函</w:t>
      </w:r>
      <w:r/>
    </w:p>
    <w:p>
      <w:pPr>
        <w:pStyle w:val="968"/>
        <w:ind w:firstLine="480"/>
        <w:spacing w:line="4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u w:val="single"/>
          <w:lang w:val="zh-TW" w:eastAsia="zh-CN" w:bidi="ar"/>
        </w:rPr>
        <w:t xml:space="preserve">（</w:t>
      </w:r>
      <w:r>
        <w:rPr>
          <w:rFonts w:hint="eastAsia" w:ascii="仿宋" w:hAnsi="仿宋" w:eastAsia="仿宋" w:cs="仿宋"/>
          <w:color w:val="000000"/>
          <w:sz w:val="24"/>
          <w:szCs w:val="24"/>
          <w:u w:val="single"/>
          <w:lang w:val="en-US" w:eastAsia="zh-CN" w:bidi="ar"/>
        </w:rPr>
        <w:t xml:space="preserve">采购人</w:t>
      </w:r>
      <w:r>
        <w:rPr>
          <w:rFonts w:hint="eastAsia" w:ascii="仿宋" w:hAnsi="仿宋" w:eastAsia="仿宋" w:cs="仿宋"/>
          <w:color w:val="000000"/>
          <w:sz w:val="24"/>
          <w:szCs w:val="24"/>
          <w:u w:val="single"/>
          <w:lang w:val="zh-TW" w:eastAsia="zh-CN" w:bidi="ar"/>
        </w:rPr>
        <w:t xml:space="preserve">）</w:t>
      </w:r>
      <w:r>
        <w:rPr>
          <w:rFonts w:hint="eastAsia" w:ascii="仿宋" w:hAnsi="仿宋" w:eastAsia="仿宋" w:cs="仿宋"/>
          <w:color w:val="000000"/>
          <w:sz w:val="24"/>
          <w:szCs w:val="24"/>
          <w:u w:val="single"/>
          <w:lang w:val="en-US" w:eastAsia="zh-CN" w:bidi="ar"/>
        </w:rPr>
        <w:t xml:space="preserve">  </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按照《中华人民共和国政府采购法》第二十二条和磋商文件的规定，我单位郑重声明如下：</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一、我单位是按照中华人民共和国法律规定登记注册的，注册地点为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，全称为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，统一社会信用代码为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，法定代表人（单位负责人）为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，具有独立承担民事责任的能力</w:t>
      </w:r>
      <w:r>
        <w:rPr>
          <w:rFonts w:hint="eastAsia" w:ascii="仿宋" w:hAnsi="仿宋" w:eastAsia="仿宋" w:cs="仿宋"/>
          <w:b/>
          <w:color w:val="000000"/>
          <w:sz w:val="24"/>
          <w:szCs w:val="24"/>
          <w:highlight w:val="none"/>
        </w:rPr>
        <w:t xml:space="preserve">（如属于分公司经总公司授权参与项目，由总公司承担民事责任的，需提供总公司项目授权书）</w:t>
      </w:r>
      <w:r>
        <w:rPr>
          <w:rFonts w:hint="eastAsia" w:ascii="仿宋" w:hAnsi="仿宋" w:eastAsia="仿宋" w:cs="仿宋"/>
          <w:color w:val="000000"/>
          <w:sz w:val="24"/>
          <w:szCs w:val="24"/>
          <w:highlight w:val="none"/>
        </w:rPr>
        <w:t xml:space="preserve">。</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二、我单位未被“国家企业信用信息系统”列入经营异常名录或者严重违法企业名单。</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三、我单位具有良好的商业信誉（指供应商经营状况良好，无本资格声明第十条情形）和健全的财务会计制度。</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四、我单位依法进行纳税和社会保险申报并实际履行了义务。</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主要设备有：</w:t>
      </w:r>
      <w:r>
        <w:rPr>
          <w:rFonts w:hint="eastAsia" w:ascii="仿宋" w:hAnsi="仿宋" w:eastAsia="仿宋" w:cs="仿宋"/>
          <w:color w:val="000000"/>
          <w:sz w:val="24"/>
          <w:szCs w:val="24"/>
          <w:highlight w:val="none"/>
          <w:u w:val="single"/>
        </w:rPr>
        <w:t xml:space="preserve">            </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主要专业技术能力有</w:t>
      </w:r>
      <w:r>
        <w:rPr>
          <w:rFonts w:hint="eastAsia" w:ascii="仿宋" w:hAnsi="仿宋" w:eastAsia="仿宋" w:cs="仿宋"/>
          <w:color w:val="000000"/>
          <w:sz w:val="24"/>
          <w:szCs w:val="24"/>
          <w:highlight w:val="none"/>
          <w:u w:val="single"/>
        </w:rPr>
        <w:t xml:space="preserve">                 </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七、我单位具备法律、行政法规规定的其他条件。</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八、与我单位存在“单位负责人为同一人或者存在直接控股、管理关系”的其他单位信息如下（如无此情形的，填写“无”）：</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1、与我单位的法定代表人（单位负责人）为同一人的其他单位如下：</w:t>
      </w:r>
      <w:r>
        <w:rPr>
          <w:rFonts w:hint="eastAsia" w:ascii="仿宋" w:hAnsi="仿宋" w:eastAsia="仿宋" w:cs="仿宋"/>
          <w:color w:val="000000"/>
          <w:sz w:val="24"/>
          <w:szCs w:val="24"/>
          <w:highlight w:val="none"/>
          <w:u w:val="single"/>
        </w:rPr>
        <w:t xml:space="preserve">         </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2、我单位直接控股的其他单位如下：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3、与我单位存在管理关系的其他单位如下：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pStyle w:val="968"/>
        <w:ind w:firstLine="480"/>
        <w:spacing w:line="4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九、我单位不属于为本项目提供整体设计、规范编制或者项目管理、监理、检测等服务的供应商。</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十、我单位无以下不良信用记录情形：</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1、在“信用中国”网站被列入失信被执行人和重大税收违法案件当事人名单；</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2、在“中国政府采购网”网站被列入政府采购严重违法失信行为记录名单；</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3、不符合《政府采购法》第二十二条规定的条件。</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我单位保证上述声明的事项都是真实的，如有虚假，我单位愿意承担相应的法律责任，并承担因此所造成的一切损失。</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w:t>
      </w:r>
      <w:r>
        <w:rPr>
          <w:rFonts w:hint="eastAsia" w:ascii="仿宋" w:hAnsi="仿宋" w:eastAsia="仿宋" w:cs="仿宋"/>
          <w:color w:val="000000"/>
          <w:sz w:val="24"/>
          <w:szCs w:val="24"/>
          <w:highlight w:val="none"/>
          <w:lang w:val="en-US" w:eastAsia="zh-CN"/>
        </w:rPr>
        <w:t xml:space="preserve">名称</w:t>
      </w:r>
      <w:r>
        <w:rPr>
          <w:rFonts w:hint="eastAsia" w:ascii="仿宋" w:hAnsi="仿宋" w:eastAsia="仿宋" w:cs="仿宋"/>
          <w:color w:val="000000"/>
          <w:sz w:val="24"/>
          <w:szCs w:val="24"/>
          <w:highlight w:val="none"/>
        </w:rPr>
        <w:t xml:space="preserve">：（加盖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p>
    <w:p>
      <w:pPr>
        <w:pStyle w:val="968"/>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法定代表人（或单位负责人）签字或盖章：</w:t>
      </w:r>
      <w:r/>
    </w:p>
    <w:p>
      <w:pPr>
        <w:pStyle w:val="968"/>
        <w:ind w:firstLine="4560"/>
        <w:spacing w:line="460" w:lineRule="exact"/>
        <w:tabs>
          <w:tab w:val="left" w:pos="477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说明：供应商承诺不实的，依据《政府采购法》第七十七条“提供虚假材料谋取成交的”有关规定予以处理。</w:t>
      </w:r>
      <w:r/>
    </w:p>
    <w:p>
      <w:pPr>
        <w:spacing w:line="360" w:lineRule="auto"/>
        <w:tabs>
          <w:tab w:val="left" w:pos="5580" w:leader="none"/>
        </w:tabs>
        <w:rPr>
          <w:rFonts w:hint="eastAsia" w:ascii="仿宋" w:hAnsi="仿宋" w:eastAsia="仿宋" w:cs="仿宋"/>
          <w:color w:val="000000"/>
          <w:sz w:val="24"/>
          <w:szCs w:val="24"/>
          <w:highlight w:val="none"/>
        </w:rPr>
        <w:sectPr>
          <w:footnotePr/>
          <w:endnotePr/>
          <w:type w:val="nextPage"/>
          <w:pgSz w:w="11907" w:h="16840" w:orient="portrait"/>
          <w:pgMar w:top="1440" w:right="1123" w:bottom="1440" w:left="1123" w:header="851" w:footer="851" w:gutter="0"/>
          <w:cols w:num="1" w:sep="0" w:space="1701" w:equalWidth="1"/>
          <w:docGrid w:linePitch="360"/>
        </w:sect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t xml:space="preserve">2 落实政府采购政策需满足的资格要求</w:t>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rPr>
        <w:t xml:space="preserve">2-1 中小企业声明函</w:t>
      </w:r>
      <w:r>
        <w:rPr>
          <w:rFonts w:hint="eastAsia" w:ascii="仿宋" w:hAnsi="仿宋" w:eastAsia="仿宋" w:cs="仿宋"/>
          <w:b/>
          <w:color w:val="000000"/>
          <w:sz w:val="24"/>
          <w:szCs w:val="24"/>
          <w:highlight w:val="none"/>
        </w:rPr>
        <w:t xml:space="preserve">（实质性格式）</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（2）如本项目（包）专门面向中小/小微企业采购，须提供《中小企业声明函》（实质性格式）。</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（4）其它</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pStyle w:val="1390"/>
        <w:ind w:firstLine="480"/>
        <w:jc w:val="center"/>
        <w:spacing w:line="570" w:lineRule="exact"/>
        <w:rPr>
          <w:rFonts w:hint="eastAsia" w:ascii="仿宋" w:hAnsi="仿宋" w:eastAsia="仿宋" w:cs="仿宋"/>
          <w:b/>
          <w:bCs/>
          <w:sz w:val="32"/>
          <w:szCs w:val="32"/>
        </w:rPr>
        <w:outlineLvl w:val="3"/>
      </w:pPr>
      <w:r/>
      <w:bookmarkStart w:id="776" w:name="_Hlk145586641"/>
      <w:r>
        <w:rPr>
          <w:rFonts w:hint="eastAsia" w:ascii="仿宋" w:hAnsi="仿宋" w:eastAsia="仿宋" w:cs="仿宋"/>
          <w:b/>
          <w:bCs/>
          <w:sz w:val="32"/>
          <w:szCs w:val="32"/>
        </w:rPr>
        <w:t xml:space="preserve">中小企业声明函（工程类）</w:t>
      </w:r>
      <w:r/>
    </w:p>
    <w:p>
      <w:pPr>
        <w:ind w:firstLine="360"/>
        <w:spacing w:line="57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本公司（联合体）郑重声明，根据《政府采购促进中小企业发展管理办法》(财库[2020]46号)的规定，本公司（联合体）参加常州市政府采购中心组织的</w:t>
      </w:r>
      <w:r>
        <w:rPr>
          <w:rFonts w:hint="eastAsia" w:ascii="仿宋" w:hAnsi="仿宋" w:eastAsia="仿宋" w:cs="仿宋"/>
          <w:sz w:val="24"/>
          <w:szCs w:val="24"/>
          <w:u w:val="single"/>
        </w:rPr>
        <w:t xml:space="preserve">（采购单位名</w:t>
      </w:r>
      <w:r>
        <w:rPr>
          <w:rFonts w:hint="eastAsia" w:ascii="仿宋" w:hAnsi="仿宋" w:eastAsia="仿宋" w:cs="仿宋"/>
          <w:sz w:val="24"/>
          <w:szCs w:val="24"/>
          <w:highlight w:val="none"/>
          <w:u w:val="single"/>
        </w:rPr>
        <w:t xml:space="preserve">称①）</w:t>
      </w:r>
      <w:r>
        <w:rPr>
          <w:rFonts w:hint="eastAsia" w:ascii="仿宋" w:hAnsi="仿宋" w:eastAsia="仿宋" w:cs="仿宋"/>
          <w:sz w:val="24"/>
          <w:szCs w:val="24"/>
          <w:highlight w:val="none"/>
        </w:rPr>
        <w:t xml:space="preserve">采购编号为</w:t>
      </w:r>
      <w:r>
        <w:rPr>
          <w:rFonts w:hint="eastAsia" w:ascii="仿宋" w:hAnsi="仿宋" w:eastAsia="仿宋" w:cs="仿宋"/>
          <w:sz w:val="24"/>
          <w:szCs w:val="24"/>
          <w:highlight w:val="none"/>
          <w:u w:val="single"/>
        </w:rPr>
        <w:t xml:space="preserve">②</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（项目名称③）（分包号：④）</w:t>
      </w:r>
      <w:r>
        <w:rPr>
          <w:rFonts w:hint="eastAsia" w:ascii="仿宋" w:hAnsi="仿宋" w:eastAsia="仿宋" w:cs="仿宋"/>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（标的名称⑤）</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color w:val="000000"/>
          <w:sz w:val="24"/>
          <w:szCs w:val="24"/>
          <w:highlight w:val="none"/>
          <w:u w:val="single"/>
        </w:rPr>
        <w:t xml:space="preserve">⑥</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行业；承接（承建）企业为</w:t>
      </w:r>
      <w:r>
        <w:rPr>
          <w:rFonts w:hint="eastAsia" w:ascii="仿宋" w:hAnsi="仿宋" w:eastAsia="仿宋" w:cs="仿宋"/>
          <w:sz w:val="24"/>
          <w:szCs w:val="24"/>
          <w:highlight w:val="none"/>
          <w:u w:val="single"/>
        </w:rPr>
        <w:t xml:space="preserve">（企业名称⑦）</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⑧</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⑨</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⑩</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（中型企业、小型企业、微型企业⑪）；</w:t>
      </w:r>
      <w:r/>
    </w:p>
    <w:p>
      <w:pPr>
        <w:ind w:firstLine="360"/>
        <w:spacing w:line="57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行业；承接（承建）企业为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180" w:firstLine="360"/>
        <w:jc w:val="center"/>
        <w:spacing w:line="57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企业名称（加盖CA电子公章</w:t>
      </w:r>
      <w:r>
        <w:rPr>
          <w:rFonts w:hint="eastAsia" w:ascii="仿宋" w:hAnsi="仿宋" w:eastAsia="仿宋" w:cs="仿宋"/>
          <w:sz w:val="24"/>
          <w:szCs w:val="24"/>
          <w:highlight w:val="none"/>
        </w:rPr>
        <w:t xml:space="preserve">）⑫：</w:t>
      </w:r>
      <w:r/>
    </w:p>
    <w:p>
      <w:pPr>
        <w:ind w:right="480" w:firstLine="5400"/>
        <w:spacing w:line="57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spacing w:line="570" w:lineRule="exact"/>
        <w:rPr>
          <w:rFonts w:hint="eastAsia" w:ascii="仿宋" w:hAnsi="仿宋" w:eastAsia="仿宋" w:cs="仿宋"/>
          <w:sz w:val="32"/>
          <w:szCs w:val="32"/>
        </w:rPr>
      </w:pPr>
      <w:r>
        <w:rPr>
          <w:rFonts w:hint="eastAsia" w:ascii="仿宋" w:hAnsi="仿宋" w:eastAsia="仿宋" w:cs="仿宋"/>
          <w:sz w:val="32"/>
          <w:szCs w:val="32"/>
        </w:rPr>
      </w:r>
      <w:r/>
    </w:p>
    <w:p>
      <w:pPr>
        <w:jc w:val="cente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cente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cente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填写说明：</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1.（采购单位名称①）：填写本项目采购人单位名称，如常州市XXX局。</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2.采购编号为②：填写本项目编号，如JSZC-3204XX-JZCG-G20XX-XX。</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3.（项目名称③）：填写本项目名称，如常州市XXX项目。</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4.（分包号：</w:t>
      </w:r>
      <w:r>
        <w:rPr>
          <w:rFonts w:hint="eastAsia" w:ascii="仿宋" w:hAnsi="仿宋" w:eastAsia="仿宋" w:cs="仿宋"/>
          <w:color w:val="000000"/>
          <w:sz w:val="24"/>
          <w:szCs w:val="24"/>
        </w:rPr>
        <w:t xml:space="preserve">④</w:t>
      </w:r>
      <w:r>
        <w:rPr>
          <w:rFonts w:hint="eastAsia" w:ascii="仿宋" w:hAnsi="仿宋" w:eastAsia="仿宋" w:cs="仿宋"/>
          <w:sz w:val="24"/>
          <w:szCs w:val="24"/>
        </w:rPr>
        <w:t xml:space="preserve">）：填写分包编号，如有分包的，分别填写分包号，没有的填“无”。</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5.（标的名称</w:t>
      </w:r>
      <w:r>
        <w:rPr>
          <w:rFonts w:hint="eastAsia" w:ascii="仿宋" w:hAnsi="仿宋" w:eastAsia="仿宋" w:cs="仿宋"/>
          <w:color w:val="000000"/>
          <w:sz w:val="24"/>
          <w:szCs w:val="24"/>
        </w:rPr>
        <w:t xml:space="preserve">⑤</w:t>
      </w:r>
      <w:r>
        <w:rPr>
          <w:rFonts w:hint="eastAsia" w:ascii="仿宋" w:hAnsi="仿宋" w:eastAsia="仿宋" w:cs="仿宋"/>
          <w:sz w:val="24"/>
          <w:szCs w:val="24"/>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7.（企业名称</w:t>
      </w:r>
      <w:r>
        <w:rPr>
          <w:rFonts w:hint="eastAsia" w:ascii="仿宋" w:hAnsi="仿宋" w:eastAsia="仿宋" w:cs="仿宋"/>
          <w:color w:val="000000"/>
          <w:sz w:val="24"/>
          <w:szCs w:val="24"/>
        </w:rPr>
        <w:t xml:space="preserve">⑦</w:t>
      </w:r>
      <w:r>
        <w:rPr>
          <w:rFonts w:hint="eastAsia" w:ascii="仿宋" w:hAnsi="仿宋" w:eastAsia="仿宋" w:cs="仿宋"/>
          <w:sz w:val="24"/>
          <w:szCs w:val="24"/>
        </w:rPr>
        <w:t xml:space="preserve">）：填写</w:t>
      </w:r>
      <w:r>
        <w:rPr>
          <w:rFonts w:hint="eastAsia" w:ascii="仿宋" w:hAnsi="仿宋" w:eastAsia="仿宋" w:cs="仿宋"/>
          <w:b/>
          <w:bCs/>
          <w:sz w:val="24"/>
          <w:szCs w:val="24"/>
        </w:rPr>
        <w:t xml:space="preserve">投标人或供应商的名称</w:t>
      </w:r>
      <w:r>
        <w:rPr>
          <w:rFonts w:hint="eastAsia" w:ascii="仿宋" w:hAnsi="仿宋" w:eastAsia="仿宋" w:cs="仿宋"/>
          <w:sz w:val="24"/>
          <w:szCs w:val="24"/>
        </w:rPr>
        <w:t xml:space="preserve">，如XXX公司。</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8.从业人员</w:t>
      </w:r>
      <w:r>
        <w:rPr>
          <w:rFonts w:hint="eastAsia" w:ascii="仿宋" w:hAnsi="仿宋" w:eastAsia="仿宋" w:cs="仿宋"/>
          <w:color w:val="000000"/>
          <w:sz w:val="24"/>
          <w:szCs w:val="24"/>
        </w:rPr>
        <w:t xml:space="preserve">⑧</w:t>
      </w:r>
      <w:r>
        <w:rPr>
          <w:rFonts w:hint="eastAsia" w:ascii="仿宋" w:hAnsi="仿宋" w:eastAsia="仿宋" w:cs="仿宋"/>
          <w:sz w:val="24"/>
          <w:szCs w:val="24"/>
        </w:rPr>
        <w:t xml:space="preserve">人，营业收入为⑨万元，资产总额为⑩万元：填报</w:t>
      </w:r>
      <w:r>
        <w:rPr>
          <w:rFonts w:hint="eastAsia" w:ascii="仿宋" w:hAnsi="仿宋" w:eastAsia="仿宋" w:cs="仿宋"/>
          <w:b/>
          <w:bCs/>
          <w:sz w:val="24"/>
          <w:szCs w:val="24"/>
        </w:rPr>
        <w:t xml:space="preserve">投标人或供应商</w:t>
      </w:r>
      <w:r>
        <w:rPr>
          <w:rFonts w:hint="eastAsia" w:ascii="仿宋" w:hAnsi="仿宋" w:eastAsia="仿宋" w:cs="仿宋"/>
          <w:sz w:val="24"/>
          <w:szCs w:val="24"/>
        </w:rPr>
        <w:t xml:space="preserve">的从业人员、营业收入、资产总额上一年度数据，无上一年度数据的新成立企业可不填报。</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9.（中型企业、小型企业、微型企业</w:t>
      </w:r>
      <w:r>
        <w:rPr>
          <w:rFonts w:hint="eastAsia" w:ascii="仿宋" w:hAnsi="仿宋" w:eastAsia="仿宋" w:cs="仿宋"/>
          <w:sz w:val="24"/>
          <w:szCs w:val="24"/>
          <w:u w:val="single"/>
        </w:rPr>
        <w:t xml:space="preserve">⑪</w:t>
      </w:r>
      <w:r>
        <w:rPr>
          <w:rFonts w:hint="eastAsia" w:ascii="仿宋" w:hAnsi="仿宋" w:eastAsia="仿宋" w:cs="仿宋"/>
          <w:sz w:val="24"/>
          <w:szCs w:val="24"/>
        </w:rPr>
        <w:t xml:space="preserve">）：根据</w:t>
      </w:r>
      <w:r>
        <w:rPr>
          <w:rFonts w:hint="eastAsia" w:ascii="仿宋" w:hAnsi="仿宋" w:eastAsia="仿宋" w:cs="仿宋"/>
          <w:b/>
          <w:bCs/>
          <w:sz w:val="24"/>
          <w:szCs w:val="24"/>
        </w:rPr>
        <w:t xml:space="preserve">投标人或供应商</w:t>
      </w:r>
      <w:r>
        <w:rPr>
          <w:rFonts w:hint="eastAsia" w:ascii="仿宋" w:hAnsi="仿宋" w:eastAsia="仿宋" w:cs="仿宋"/>
          <w:sz w:val="24"/>
          <w:szCs w:val="24"/>
        </w:rPr>
        <w:t xml:space="preserve">的企业规模情况填写中型企业、小型企业或微型企业</w:t>
      </w:r>
      <w:r>
        <w:rPr>
          <w:rFonts w:hint="eastAsia" w:ascii="仿宋" w:hAnsi="仿宋" w:eastAsia="仿宋" w:cs="仿宋"/>
          <w:b/>
          <w:bCs/>
          <w:sz w:val="24"/>
          <w:szCs w:val="24"/>
        </w:rPr>
        <w:t xml:space="preserve">（只能填写三种其中的一种）</w:t>
      </w:r>
      <w:r>
        <w:rPr>
          <w:rFonts w:hint="eastAsia" w:ascii="仿宋" w:hAnsi="仿宋" w:eastAsia="仿宋" w:cs="仿宋"/>
          <w:sz w:val="24"/>
          <w:szCs w:val="24"/>
        </w:rPr>
        <w:t xml:space="preserve">。中小企业划分见《关于印发中小企业划型标准规定的通知》（工信部联企业〔2011〕300号) 。</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10.企业名称（盖章）⑫：加盖</w:t>
      </w:r>
      <w:r>
        <w:rPr>
          <w:rFonts w:hint="eastAsia" w:ascii="仿宋" w:hAnsi="仿宋" w:eastAsia="仿宋" w:cs="仿宋"/>
          <w:b/>
          <w:bCs/>
          <w:sz w:val="24"/>
          <w:szCs w:val="24"/>
        </w:rPr>
        <w:t xml:space="preserve">投标人或供应商</w:t>
      </w:r>
      <w:r>
        <w:rPr>
          <w:rFonts w:hint="eastAsia" w:ascii="仿宋" w:hAnsi="仿宋" w:eastAsia="仿宋" w:cs="仿宋"/>
          <w:sz w:val="24"/>
          <w:szCs w:val="24"/>
        </w:rPr>
        <w:t xml:space="preserve">CA电子公章。</w:t>
      </w:r>
      <w:r/>
    </w:p>
    <w:p>
      <w:pPr>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11.如是</w:t>
      </w:r>
      <w:r>
        <w:rPr>
          <w:rFonts w:hint="eastAsia" w:ascii="仿宋" w:hAnsi="仿宋" w:eastAsia="仿宋" w:cs="仿宋"/>
          <w:b/>
          <w:sz w:val="24"/>
          <w:szCs w:val="24"/>
        </w:rPr>
        <w:t xml:space="preserve">专门面向中小企业预留份额</w:t>
      </w:r>
      <w:r>
        <w:rPr>
          <w:rFonts w:hint="eastAsia" w:ascii="仿宋" w:hAnsi="仿宋" w:eastAsia="仿宋" w:cs="仿宋"/>
          <w:sz w:val="24"/>
          <w:szCs w:val="24"/>
        </w:rPr>
        <w:t xml:space="preserve">的采购项目，供应商未提供此声明函的，资格审查不予通过，作为</w:t>
      </w:r>
      <w:r>
        <w:rPr>
          <w:rFonts w:hint="eastAsia" w:ascii="仿宋" w:hAnsi="仿宋" w:eastAsia="仿宋" w:cs="仿宋"/>
          <w:b/>
          <w:sz w:val="24"/>
          <w:szCs w:val="24"/>
        </w:rPr>
        <w:t xml:space="preserve">无效投标（响应）</w:t>
      </w:r>
      <w:r>
        <w:rPr>
          <w:rFonts w:hint="eastAsia" w:ascii="仿宋" w:hAnsi="仿宋" w:eastAsia="仿宋" w:cs="仿宋"/>
          <w:sz w:val="24"/>
          <w:szCs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90"/>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12.温馨提示</w:t>
      </w:r>
      <w:r/>
    </w:p>
    <w:p>
      <w:pPr>
        <w:pStyle w:val="1390"/>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（1）对于已纳入统计部门统计范围的企业，所属行业、从业人员、营业收入、资产总额、规模类型应与统计部门报表保持一致。</w:t>
      </w:r>
      <w:r/>
    </w:p>
    <w:p>
      <w:pPr>
        <w:pStyle w:val="1390"/>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90"/>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90"/>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90"/>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90"/>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390"/>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pStyle w:val="1390"/>
        <w:ind w:firstLine="480"/>
        <w:keepLines w:val="0"/>
        <w:keepNext w:val="0"/>
        <w:pageBreakBefore w:val="0"/>
        <w:spacing w:line="336" w:lineRule="auto"/>
        <w:rPr>
          <w:rFonts w:hint="eastAsia" w:ascii="仿宋" w:hAnsi="仿宋" w:eastAsia="仿宋" w:cs="仿宋"/>
          <w:sz w:val="24"/>
          <w:szCs w:val="24"/>
        </w:rPr>
      </w:pPr>
      <w:r>
        <w:rPr>
          <w:rFonts w:hint="eastAsia" w:ascii="仿宋" w:hAnsi="仿宋" w:eastAsia="仿宋" w:cs="仿宋"/>
          <w:sz w:val="24"/>
          <w:szCs w:val="24"/>
        </w:rPr>
      </w:r>
      <w:r/>
    </w:p>
    <w:p>
      <w:pPr>
        <w:spacing w:line="570" w:lineRule="exact"/>
        <w:rPr>
          <w:rFonts w:hint="eastAsia" w:ascii="仿宋" w:hAnsi="仿宋" w:eastAsia="仿宋" w:cs="仿宋"/>
          <w:sz w:val="24"/>
          <w:szCs w:val="24"/>
        </w:rPr>
      </w:pPr>
      <w:r>
        <w:rPr>
          <w:rFonts w:hint="eastAsia" w:ascii="仿宋" w:hAnsi="仿宋" w:eastAsia="仿宋" w:cs="仿宋"/>
          <w:sz w:val="24"/>
          <w:szCs w:val="24"/>
        </w:rPr>
      </w:r>
      <w:r/>
    </w:p>
    <w:p>
      <w:pPr>
        <w:jc w:val="both"/>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both"/>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both"/>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both"/>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both"/>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both"/>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both"/>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both"/>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both"/>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center"/>
        <w:spacing w:before="240" w:after="240" w:line="360" w:lineRule="auto"/>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残疾人福利性单位声明函格式</w:t>
      </w:r>
      <w:r/>
    </w:p>
    <w:p>
      <w:pPr>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szCs w:val="24"/>
          <w:highlight w:val="none"/>
        </w:rPr>
        <w:t xml:space="preserve">〔2017〕 141</w:t>
      </w:r>
      <w:r>
        <w:rPr>
          <w:rFonts w:hint="eastAsia" w:ascii="仿宋" w:hAnsi="仿宋" w:eastAsia="仿宋" w:cs="仿宋"/>
          <w:color w:val="000000"/>
          <w:spacing w:val="6"/>
          <w:sz w:val="24"/>
          <w:szCs w:val="24"/>
          <w:highlight w:val="none"/>
        </w:rPr>
        <w:t xml:space="preserve">号）的规定，本单位</w:t>
      </w:r>
      <w:r>
        <w:rPr>
          <w:rFonts w:hint="eastAsia" w:ascii="仿宋" w:hAnsi="仿宋" w:eastAsia="仿宋" w:cs="仿宋"/>
          <w:b/>
          <w:color w:val="000000"/>
          <w:sz w:val="24"/>
          <w:szCs w:val="24"/>
          <w:highlight w:val="none"/>
        </w:rPr>
        <w:t xml:space="preserve">（请进行勾选）</w:t>
      </w:r>
      <w:r>
        <w:rPr>
          <w:rFonts w:hint="eastAsia" w:ascii="仿宋" w:hAnsi="仿宋" w:eastAsia="仿宋" w:cs="仿宋"/>
          <w:color w:val="000000"/>
          <w:spacing w:val="6"/>
          <w:sz w:val="24"/>
          <w:szCs w:val="24"/>
          <w:highlight w:val="none"/>
        </w:rPr>
        <w:t xml:space="preserve">：</w:t>
      </w:r>
      <w:r/>
    </w:p>
    <w:p>
      <w:pPr>
        <w:ind w:firstLine="482"/>
        <w:spacing w:line="588" w:lineRule="exact"/>
        <w:rPr>
          <w:rFonts w:hint="eastAsia" w:ascii="仿宋" w:hAnsi="仿宋" w:eastAsia="仿宋" w:cs="仿宋"/>
          <w:b/>
          <w:color w:val="000000"/>
          <w:spacing w:val="6"/>
          <w:sz w:val="24"/>
          <w:szCs w:val="24"/>
          <w:highlight w:val="none"/>
        </w:rPr>
      </w:pP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pacing w:val="6"/>
          <w:sz w:val="24"/>
          <w:szCs w:val="24"/>
          <w:highlight w:val="none"/>
        </w:rPr>
        <w:t xml:space="preserve">不属于符合条件的残疾人福利性单位。</w:t>
      </w:r>
      <w:r/>
    </w:p>
    <w:p>
      <w:pPr>
        <w:ind w:firstLine="482"/>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pacing w:val="6"/>
          <w:sz w:val="24"/>
          <w:szCs w:val="24"/>
          <w:highlight w:val="none"/>
        </w:rPr>
        <w:t xml:space="preserve">属于符合条件的残疾人福利性单位，</w:t>
      </w:r>
      <w:r>
        <w:rPr>
          <w:rFonts w:hint="eastAsia" w:ascii="仿宋" w:hAnsi="仿宋" w:eastAsia="仿宋" w:cs="仿宋"/>
          <w:color w:val="000000"/>
          <w:spacing w:val="6"/>
          <w:sz w:val="24"/>
          <w:szCs w:val="24"/>
          <w:highlight w:val="none"/>
        </w:rPr>
        <w:t xml:space="preserve">且本单位参加______单位的______项目采购活动提供本单位制造的货物（由本单位提供服务），或者提供其他残疾人福利性单位制造的货物（不包括使用非残疾人福利性单位注册商标的货物）。</w:t>
      </w:r>
      <w:r/>
    </w:p>
    <w:p>
      <w:pPr>
        <w:ind w:firstLine="506"/>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b/>
          <w:color w:val="000000"/>
          <w:spacing w:val="6"/>
          <w:sz w:val="24"/>
          <w:szCs w:val="24"/>
          <w:highlight w:val="none"/>
        </w:rPr>
        <w:t xml:space="preserve">本单位对上述声明的真实性负责。如有虚假，将依法承担相应责任。</w:t>
      </w:r>
      <w:r/>
    </w:p>
    <w:p>
      <w:pPr>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r>
      <w:r/>
    </w:p>
    <w:p>
      <w:pPr>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r>
      <w:r/>
    </w:p>
    <w:p>
      <w:pPr>
        <w:jc w:val="left"/>
        <w:spacing w:before="240" w:after="240"/>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pacing w:val="6"/>
          <w:sz w:val="24"/>
          <w:szCs w:val="24"/>
          <w:highlight w:val="none"/>
          <w:lang w:val="en-US" w:eastAsia="zh-CN"/>
        </w:rPr>
        <w:t xml:space="preserve">            </w:t>
      </w:r>
      <w:r>
        <w:rPr>
          <w:rFonts w:hint="eastAsia" w:ascii="仿宋" w:hAnsi="仿宋" w:eastAsia="仿宋" w:cs="仿宋"/>
          <w:color w:val="000000"/>
          <w:spacing w:val="6"/>
          <w:sz w:val="24"/>
          <w:szCs w:val="24"/>
          <w:highlight w:val="none"/>
        </w:rPr>
        <w:t xml:space="preserve">单位名称</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rPr>
          <w:rFonts w:hint="eastAsia" w:ascii="仿宋" w:hAnsi="仿宋" w:eastAsia="仿宋" w:cs="仿宋"/>
          <w:color w:val="000000"/>
          <w:spacing w:val="6"/>
          <w:sz w:val="24"/>
          <w:szCs w:val="24"/>
          <w:highlight w:val="none"/>
        </w:rPr>
        <w:t xml:space="preserve">：</w:t>
      </w:r>
      <w:r/>
    </w:p>
    <w:p>
      <w:pPr>
        <w:ind w:right="1560" w:firstLine="504"/>
        <w:jc w:val="center"/>
        <w:spacing w:line="588" w:lineRule="exact"/>
        <w:tabs>
          <w:tab w:val="left" w:pos="4860" w:leader="none"/>
        </w:tabs>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pacing w:val="6"/>
          <w:sz w:val="24"/>
          <w:szCs w:val="24"/>
          <w:highlight w:val="none"/>
          <w:lang w:val="en-US" w:eastAsia="zh-CN"/>
        </w:rPr>
        <w:t xml:space="preserve">                        </w:t>
      </w:r>
      <w:r>
        <w:rPr>
          <w:rFonts w:hint="eastAsia" w:ascii="仿宋" w:hAnsi="仿宋" w:eastAsia="仿宋" w:cs="仿宋"/>
          <w:color w:val="000000"/>
          <w:spacing w:val="6"/>
          <w:sz w:val="24"/>
          <w:szCs w:val="24"/>
          <w:highlight w:val="none"/>
        </w:rPr>
        <w:t xml:space="preserve">日  期：</w:t>
      </w:r>
      <w:r/>
    </w:p>
    <w:p>
      <w:pPr>
        <w:jc w:val="left"/>
        <w:spacing w:line="360" w:lineRule="auto"/>
        <w:widowControl/>
        <w:rPr>
          <w:rFonts w:hint="eastAsia" w:ascii="仿宋" w:hAnsi="仿宋" w:eastAsia="仿宋" w:cs="仿宋"/>
          <w:color w:val="000000"/>
          <w:sz w:val="24"/>
          <w:szCs w:val="24"/>
          <w:highlight w:val="none"/>
          <w:lang w:val="en-US" w:eastAsia="zh-CN"/>
        </w:rPr>
        <w:outlineLvl w:val="2"/>
      </w:pPr>
      <w:r>
        <w:rPr>
          <w:rFonts w:hint="eastAsia" w:ascii="仿宋" w:hAnsi="仿宋" w:eastAsia="仿宋" w:cs="仿宋"/>
          <w:color w:val="000000"/>
          <w:sz w:val="21"/>
          <w:szCs w:val="21"/>
          <w:highlight w:val="none"/>
        </w:rPr>
        <w:br w:type="page" w:clear="all"/>
      </w:r>
      <w:bookmarkEnd w:id="776"/>
      <w:r>
        <w:rPr>
          <w:rFonts w:hint="eastAsia" w:ascii="仿宋" w:hAnsi="仿宋" w:eastAsia="仿宋" w:cs="仿宋"/>
          <w:color w:val="000000"/>
          <w:sz w:val="24"/>
          <w:szCs w:val="24"/>
          <w:highlight w:val="none"/>
        </w:rPr>
        <w:t xml:space="preserve">2-2其它落实政府采购政策的资格要求</w:t>
      </w:r>
      <w:r>
        <w:rPr>
          <w:rFonts w:hint="eastAsia" w:ascii="仿宋" w:hAnsi="仿宋" w:eastAsia="仿宋" w:cs="仿宋"/>
          <w:color w:val="000000"/>
          <w:sz w:val="24"/>
          <w:szCs w:val="24"/>
          <w:highlight w:val="none"/>
          <w:lang w:val="en-US" w:eastAsia="zh-CN"/>
        </w:rPr>
        <w:t xml:space="preserve">/</w:t>
      </w:r>
      <w:r/>
    </w:p>
    <w:p>
      <w:pPr>
        <w:spacing w:line="360" w:lineRule="auto"/>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rPr>
        <w:t xml:space="preserve">3 本项目的特定资格要求</w:t>
      </w:r>
      <w:r>
        <w:rPr>
          <w:rFonts w:hint="eastAsia" w:ascii="仿宋" w:hAnsi="仿宋" w:eastAsia="仿宋" w:cs="仿宋"/>
          <w:b/>
          <w:bCs/>
          <w:color w:val="000000"/>
          <w:sz w:val="24"/>
          <w:szCs w:val="24"/>
          <w:highlight w:val="none"/>
          <w:lang w:eastAsia="zh-CN"/>
        </w:rPr>
        <w:t xml:space="preserve">：</w:t>
      </w:r>
      <w:r/>
    </w:p>
    <w:p>
      <w:pPr>
        <w:jc w:val="left"/>
        <w:spacing w:line="360" w:lineRule="auto"/>
        <w:widowControl/>
        <w:rPr>
          <w:rFonts w:hint="eastAsia" w:ascii="仿宋" w:hAnsi="仿宋" w:eastAsia="仿宋" w:cs="仿宋"/>
          <w:color w:val="000000"/>
          <w:sz w:val="24"/>
          <w:szCs w:val="24"/>
          <w:highlight w:val="none"/>
          <w:lang w:val="en-US" w:eastAsia="zh-CN"/>
        </w:rPr>
        <w:outlineLvl w:val="2"/>
      </w:pPr>
      <w:r>
        <w:rPr>
          <w:rFonts w:hint="eastAsia" w:ascii="仿宋" w:hAnsi="仿宋" w:eastAsia="仿宋" w:cs="仿宋"/>
          <w:color w:val="000000"/>
          <w:sz w:val="24"/>
          <w:szCs w:val="24"/>
          <w:highlight w:val="none"/>
          <w:lang w:val="en-US" w:eastAsia="zh-CN"/>
        </w:rPr>
        <w:t xml:space="preserve">（1）磋商供应商须具备电力工程施工总承包三级及以上资质或输变电工程专业承包三级及以上资质，并具有有效的安全生产许可证。</w:t>
      </w:r>
      <w:r/>
    </w:p>
    <w:p>
      <w:pPr>
        <w:jc w:val="left"/>
        <w:spacing w:line="360" w:lineRule="auto"/>
        <w:widowControl/>
        <w:rPr>
          <w:rFonts w:hint="eastAsia" w:ascii="仿宋" w:hAnsi="仿宋" w:eastAsia="仿宋" w:cs="仿宋"/>
          <w:color w:val="000000"/>
          <w:sz w:val="24"/>
          <w:szCs w:val="24"/>
          <w:highlight w:val="none"/>
          <w:lang w:val="en-US" w:eastAsia="zh-CN"/>
        </w:rPr>
        <w:outlineLvl w:val="2"/>
      </w:pPr>
      <w:r>
        <w:rPr>
          <w:rFonts w:hint="eastAsia" w:ascii="仿宋" w:hAnsi="仿宋" w:eastAsia="仿宋" w:cs="仿宋"/>
          <w:color w:val="000000"/>
          <w:sz w:val="24"/>
          <w:szCs w:val="24"/>
          <w:highlight w:val="none"/>
          <w:lang w:val="en-US" w:eastAsia="zh-CN"/>
        </w:rPr>
        <w:t xml:space="preserve">（2）磋商供应商须同时具备国家能源主管部门核发的承装类、承修类、承试类三级及以上电力设施许可证。</w:t>
      </w:r>
      <w:r/>
    </w:p>
    <w:p>
      <w:pPr>
        <w:jc w:val="left"/>
        <w:spacing w:line="360" w:lineRule="auto"/>
        <w:widowControl/>
        <w:rPr>
          <w:rFonts w:hint="eastAsia" w:ascii="仿宋" w:hAnsi="仿宋" w:eastAsia="仿宋" w:cs="仿宋"/>
          <w:color w:val="000000"/>
          <w:sz w:val="24"/>
          <w:szCs w:val="24"/>
          <w:highlight w:val="none"/>
          <w:lang w:val="en-US" w:eastAsia="zh-CN"/>
        </w:rPr>
        <w:outlineLvl w:val="2"/>
      </w:pPr>
      <w:r>
        <w:rPr>
          <w:rFonts w:hint="eastAsia" w:ascii="仿宋" w:hAnsi="仿宋" w:eastAsia="仿宋" w:cs="仿宋"/>
          <w:color w:val="000000"/>
          <w:sz w:val="24"/>
          <w:szCs w:val="24"/>
          <w:highlight w:val="none"/>
          <w:lang w:val="en-US" w:eastAsia="zh-CN"/>
        </w:rPr>
        <w:t xml:space="preserve">注：电力设施许可证执行《承装（修、试）电力设施许可证管理办法》（国家发展改革委令 2025 年第 30 号）。</w:t>
      </w:r>
      <w:r/>
    </w:p>
    <w:p>
      <w:pPr>
        <w:jc w:val="left"/>
        <w:spacing w:line="360" w:lineRule="auto"/>
        <w:widowControl/>
        <w:rPr>
          <w:rFonts w:hint="eastAsia" w:ascii="仿宋" w:hAnsi="仿宋" w:eastAsia="仿宋" w:cs="仿宋"/>
          <w:b/>
          <w:color w:val="000000"/>
          <w:sz w:val="24"/>
          <w:highlight w:val="none"/>
        </w:rPr>
        <w:outlineLvl w:val="2"/>
      </w:pPr>
      <w:r>
        <w:rPr>
          <w:rFonts w:hint="eastAsia" w:ascii="仿宋" w:hAnsi="仿宋" w:eastAsia="仿宋" w:cs="仿宋"/>
          <w:color w:val="000000"/>
          <w:sz w:val="24"/>
          <w:szCs w:val="24"/>
          <w:highlight w:val="none"/>
          <w:lang w:val="en-US" w:eastAsia="zh-CN"/>
        </w:rPr>
        <w:t xml:space="preserve">（3）拟派项目负责人须具备机电工程专业二级及以上注册建造师，并持有有效的安全生产考核合格证书（B 类）。</w:t>
      </w:r>
      <w:r>
        <w:rPr>
          <w:rFonts w:hint="eastAsia" w:ascii="仿宋" w:hAnsi="仿宋" w:eastAsia="仿宋" w:cs="仿宋"/>
          <w:b/>
          <w:color w:val="000000"/>
          <w:sz w:val="24"/>
          <w:highlight w:val="none"/>
        </w:rPr>
        <w:br w:type="page" w:clear="all"/>
      </w:r>
      <w:bookmarkStart w:id="777" w:name="_Ref467988705"/>
      <w:r/>
      <w:bookmarkStart w:id="778" w:name="_Toc226309801"/>
      <w:r/>
      <w:bookmarkStart w:id="779" w:name="_Toc264969247"/>
      <w:r/>
      <w:bookmarkStart w:id="780" w:name="_Toc150774762"/>
      <w:r/>
      <w:bookmarkStart w:id="781" w:name="_Toc195842922"/>
      <w:r/>
      <w:bookmarkStart w:id="782" w:name="_Toc305158825"/>
      <w:r/>
      <w:bookmarkStart w:id="783" w:name="_Toc265228395"/>
      <w:r/>
      <w:bookmarkStart w:id="784" w:name="_Toc226337253"/>
      <w:r/>
      <w:bookmarkStart w:id="785" w:name="_Toc480942350"/>
      <w:r/>
      <w:bookmarkStart w:id="786" w:name="_Toc520356218"/>
      <w:r/>
      <w:bookmarkStart w:id="787" w:name="_Toc150480795"/>
      <w:r/>
      <w:bookmarkStart w:id="788" w:name="_Toc226965830"/>
      <w:r/>
      <w:bookmarkStart w:id="789" w:name="_Toc142311059"/>
      <w:r/>
      <w:bookmarkStart w:id="790" w:name="_Toc305158899"/>
      <w:r/>
      <w:bookmarkStart w:id="791" w:name="_Toc226965747"/>
      <w:r/>
      <w:bookmarkStart w:id="792" w:name="_Toc127151557"/>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b/>
          <w:bCs/>
          <w:color w:val="000000"/>
          <w:sz w:val="24"/>
          <w:szCs w:val="24"/>
          <w:highlight w:val="none"/>
        </w:rPr>
        <w:t xml:space="preserve">4  响应函</w:t>
      </w:r>
      <w:r>
        <w:rPr>
          <w:rFonts w:hint="eastAsia" w:ascii="仿宋" w:hAnsi="仿宋" w:eastAsia="仿宋" w:cs="仿宋"/>
          <w:b/>
          <w:color w:val="000000"/>
          <w:sz w:val="24"/>
          <w:szCs w:val="24"/>
          <w:highlight w:val="none"/>
        </w:rPr>
        <w:t xml:space="preserve">（实质性格式）</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spacing w:line="360" w:lineRule="auto"/>
        <w:rPr>
          <w:rFonts w:hint="eastAsia" w:ascii="仿宋" w:hAnsi="仿宋" w:eastAsia="仿宋" w:cs="仿宋"/>
          <w:b/>
          <w:color w:val="000000"/>
          <w:sz w:val="36"/>
          <w:szCs w:val="36"/>
          <w:highlight w:val="none"/>
        </w:rPr>
      </w:pPr>
      <w:r/>
      <w:bookmarkStart w:id="793" w:name="_Hlk145586327"/>
      <w:r>
        <w:rPr>
          <w:rFonts w:hint="eastAsia" w:ascii="仿宋" w:hAnsi="仿宋" w:eastAsia="仿宋" w:cs="仿宋"/>
          <w:b/>
          <w:color w:val="000000"/>
          <w:sz w:val="36"/>
          <w:szCs w:val="36"/>
          <w:highlight w:val="none"/>
        </w:rPr>
        <w:t xml:space="preserve">响应函</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rPr>
        <w:t xml:space="preserve">（采购人或采购代理机构）</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08"/>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我方参加你方就___________（项目名称，项目编号）组织的政府采购活动，并对此项目进行响应。</w:t>
      </w:r>
      <w:r/>
    </w:p>
    <w:p>
      <w:pPr>
        <w:ind w:firstLine="408"/>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 我方已详细审查全部磋商文件，自愿参与响应并承诺如下：</w:t>
      </w:r>
      <w:r/>
    </w:p>
    <w:p>
      <w:pPr>
        <w:ind w:left="360" w:firstLine="72"/>
        <w:spacing w:line="360" w:lineRule="auto"/>
        <w:tabs>
          <w:tab w:val="left" w:pos="720"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（1）本响应有效期为自提交响应文件的截止之日起60个日历日。</w:t>
      </w:r>
      <w:r/>
    </w:p>
    <w:p>
      <w:pPr>
        <w:ind w:left="360" w:firstLine="72"/>
        <w:spacing w:line="360" w:lineRule="auto"/>
        <w:tabs>
          <w:tab w:val="left" w:pos="720"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（2）除合同条款及采购需求偏离表列出的偏离外，我方响应磋商文件的全部要求。</w:t>
      </w:r>
      <w:r/>
    </w:p>
    <w:p>
      <w:pPr>
        <w:ind w:firstLine="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 其他补充条款（如有）：___________。</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与本响应有关的一切正式往来信函请寄：</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地址_________________________     传真____________________________</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电话_________________________     电子函件________________________</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供应商名称（加盖公章） ___________</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日期：_____年______月______日</w:t>
      </w:r>
      <w:bookmarkEnd w:id="793"/>
      <w:r/>
    </w:p>
    <w:p>
      <w:pPr>
        <w:jc w:val="left"/>
        <w:widowControl/>
        <w:rPr>
          <w:rFonts w:hint="eastAsia" w:ascii="仿宋" w:hAnsi="仿宋" w:eastAsia="仿宋" w:cs="仿宋"/>
          <w:color w:val="000000"/>
          <w:sz w:val="24"/>
          <w:szCs w:val="24"/>
          <w:highlight w:val="none"/>
        </w:rPr>
      </w:pPr>
      <w:r/>
      <w:bookmarkStart w:id="794" w:name="_Hlt520355938"/>
      <w:r/>
      <w:bookmarkEnd w:id="794"/>
      <w:r/>
      <w:bookmarkStart w:id="795" w:name="_Hlt520356243"/>
      <w:r/>
      <w:bookmarkEnd w:id="795"/>
      <w:r>
        <w:rPr>
          <w:rFonts w:hint="eastAsia" w:ascii="仿宋" w:hAnsi="仿宋" w:eastAsia="仿宋" w:cs="仿宋"/>
          <w:color w:val="000000"/>
          <w:sz w:val="24"/>
          <w:szCs w:val="24"/>
          <w:highlight w:val="none"/>
        </w:rPr>
        <w:br w:type="page" w:clear="all"/>
      </w:r>
      <w:r/>
    </w:p>
    <w:p>
      <w:pPr>
        <w:jc w:val="left"/>
        <w:widowControl/>
        <w:rPr>
          <w:rFonts w:ascii="仿宋" w:hAnsi="仿宋" w:eastAsia="仿宋" w:cs="仿宋"/>
          <w:b/>
          <w:bCs/>
          <w:color w:val="000000"/>
          <w:sz w:val="24"/>
        </w:rPr>
      </w:pPr>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rPr>
        <w:t xml:space="preserve"> 法定代表人（或负责人）资格证明书</w:t>
      </w:r>
      <w:r>
        <w:rPr>
          <w:rFonts w:hint="eastAsia" w:ascii="仿宋" w:hAnsi="仿宋" w:eastAsia="仿宋" w:cs="仿宋"/>
          <w:b/>
          <w:bCs/>
          <w:color w:val="000000"/>
          <w:sz w:val="24"/>
          <w:szCs w:val="20"/>
        </w:rPr>
        <w:t xml:space="preserve">（实质性格式）</w:t>
      </w:r>
      <w:r/>
    </w:p>
    <w:p>
      <w:pPr>
        <w:jc w:val="center"/>
        <w:spacing w:line="360" w:lineRule="auto"/>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法定代表人（或负责人）资格证明书</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地址:</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姓名:     性别:       年龄:      职务:</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系</w:t>
      </w:r>
      <w:r>
        <w:rPr>
          <w:rFonts w:hint="eastAsia" w:ascii="仿宋" w:hAnsi="仿宋" w:eastAsia="仿宋" w:cs="仿宋"/>
          <w:color w:val="000000"/>
          <w:sz w:val="24"/>
          <w:u w:val="single"/>
        </w:rPr>
        <w:t xml:space="preserve">（供应商名称）</w:t>
      </w:r>
      <w:r>
        <w:rPr>
          <w:rFonts w:hint="eastAsia" w:ascii="仿宋" w:hAnsi="仿宋" w:eastAsia="仿宋" w:cs="仿宋"/>
          <w:color w:val="000000"/>
          <w:sz w:val="24"/>
        </w:rPr>
        <w:t xml:space="preserve">的法定代表人。为参与</w:t>
      </w:r>
      <w:r>
        <w:rPr>
          <w:rFonts w:hint="eastAsia" w:ascii="仿宋" w:hAnsi="仿宋" w:eastAsia="仿宋" w:cs="仿宋"/>
          <w:color w:val="000000"/>
          <w:sz w:val="24"/>
          <w:u w:val="single"/>
        </w:rPr>
        <w:t xml:space="preserve">（项目名称）</w:t>
      </w:r>
      <w:r>
        <w:rPr>
          <w:rFonts w:hint="eastAsia" w:ascii="仿宋" w:hAnsi="仿宋" w:eastAsia="仿宋" w:cs="仿宋"/>
          <w:color w:val="000000"/>
          <w:sz w:val="24"/>
        </w:rPr>
        <w:t xml:space="preserve">的政府采购活动，签署、澄清确认、递交、撤回、修改上述项目的响应文件、进行合同磋商、签署合同和处理与之有关的一切事务。</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特此证明。</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19"/>
        <w:ind w:right="-46"/>
        <w:spacing w:line="583" w:lineRule="auto"/>
        <w:rPr>
          <w:rFonts w:ascii="仿宋" w:hAnsi="仿宋" w:eastAsia="仿宋" w:cs="仿宋"/>
          <w:color w:val="000000"/>
          <w:spacing w:val="-3"/>
        </w:rPr>
      </w:pPr>
      <w:r>
        <w:rPr>
          <w:rFonts w:ascii="仿宋" w:hAnsi="仿宋" w:eastAsia="仿宋" w:cs="仿宋"/>
          <w:color w:val="000000"/>
        </w:rPr>
        <w:t xml:space="preserve">附：</w:t>
      </w:r>
      <w:r>
        <w:rPr>
          <w:rFonts w:ascii="仿宋" w:hAnsi="仿宋" w:eastAsia="仿宋" w:cs="仿宋"/>
          <w:color w:val="000000"/>
          <w:spacing w:val="-3"/>
        </w:rPr>
        <w:t xml:space="preserve">法</w:t>
      </w:r>
      <w:r>
        <w:rPr>
          <w:rFonts w:ascii="仿宋" w:hAnsi="仿宋" w:eastAsia="仿宋" w:cs="仿宋"/>
          <w:color w:val="000000"/>
        </w:rPr>
        <w:t xml:space="preserve">定</w:t>
      </w:r>
      <w:r>
        <w:rPr>
          <w:rFonts w:ascii="仿宋" w:hAnsi="仿宋" w:eastAsia="仿宋" w:cs="仿宋"/>
          <w:color w:val="000000"/>
          <w:spacing w:val="-3"/>
        </w:rPr>
        <w:t xml:space="preserve">代</w:t>
      </w:r>
      <w:r>
        <w:rPr>
          <w:rFonts w:ascii="仿宋" w:hAnsi="仿宋" w:eastAsia="仿宋" w:cs="仿宋"/>
          <w:color w:val="000000"/>
        </w:rPr>
        <w:t xml:space="preserve">表</w:t>
      </w:r>
      <w:r>
        <w:rPr>
          <w:rFonts w:ascii="仿宋" w:hAnsi="仿宋" w:eastAsia="仿宋" w:cs="仿宋"/>
          <w:color w:val="000000"/>
          <w:spacing w:val="-3"/>
        </w:rPr>
        <w:t xml:space="preserve">人</w:t>
      </w:r>
      <w:r>
        <w:rPr>
          <w:rFonts w:ascii="仿宋" w:hAnsi="仿宋" w:eastAsia="仿宋" w:cs="仿宋"/>
          <w:color w:val="000000"/>
        </w:rPr>
        <w:t xml:space="preserve">（</w:t>
      </w:r>
      <w:r>
        <w:rPr>
          <w:rFonts w:ascii="仿宋" w:hAnsi="仿宋" w:eastAsia="仿宋" w:cs="仿宋"/>
          <w:color w:val="000000"/>
          <w:spacing w:val="-3"/>
        </w:rPr>
        <w:t xml:space="preserve">负</w:t>
      </w:r>
      <w:r>
        <w:rPr>
          <w:rFonts w:ascii="仿宋" w:hAnsi="仿宋" w:eastAsia="仿宋" w:cs="仿宋"/>
          <w:color w:val="000000"/>
        </w:rPr>
        <w:t xml:space="preserve">责人</w:t>
      </w:r>
      <w:r>
        <w:rPr>
          <w:rFonts w:ascii="仿宋" w:hAnsi="仿宋" w:eastAsia="仿宋" w:cs="仿宋"/>
          <w:color w:val="000000"/>
          <w:spacing w:val="-3"/>
        </w:rPr>
        <w:t xml:space="preserve">）有效期内的身</w:t>
      </w:r>
      <w:r>
        <w:rPr>
          <w:rFonts w:hint="eastAsia" w:ascii="仿宋" w:hAnsi="仿宋" w:eastAsia="仿宋" w:cs="仿宋"/>
          <w:color w:val="000000"/>
          <w:spacing w:val="-3"/>
        </w:rPr>
        <w:t xml:space="preserve">份</w:t>
      </w:r>
      <w:r>
        <w:rPr>
          <w:rFonts w:ascii="仿宋" w:hAnsi="仿宋" w:eastAsia="仿宋" w:cs="仿宋"/>
          <w:color w:val="000000"/>
          <w:spacing w:val="-3"/>
        </w:rPr>
        <w:t xml:space="preserve">证正反面</w:t>
      </w:r>
      <w:r>
        <w:rPr>
          <w:rFonts w:hint="eastAsia" w:ascii="仿宋" w:hAnsi="仿宋" w:eastAsia="仿宋" w:cs="仿宋"/>
          <w:color w:val="000000"/>
          <w:spacing w:val="-3"/>
        </w:rPr>
        <w:t xml:space="preserve">电子</w:t>
      </w:r>
      <w:r>
        <w:rPr>
          <w:rFonts w:ascii="仿宋" w:hAnsi="仿宋" w:eastAsia="仿宋" w:cs="仿宋"/>
          <w:color w:val="000000"/>
          <w:spacing w:val="-3"/>
        </w:rPr>
        <w:t xml:space="preserve">件</w:t>
      </w:r>
      <w:r>
        <w:rPr>
          <w:rFonts w:hint="eastAsia" w:ascii="仿宋" w:hAnsi="仿宋" w:eastAsia="仿宋" w:cs="仿宋"/>
          <w:color w:val="000000"/>
          <w:spacing w:val="-3"/>
        </w:rPr>
        <w:t xml:space="preserve">。</w:t>
      </w:r>
      <w:r/>
    </w:p>
    <w:tbl>
      <w:tblPr>
        <w:tblStyle w:val="78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r>
    </w:tbl>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供应商名称</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eastAsia="zh-CN"/>
        </w:rPr>
        <w:t xml:space="preserve">法定代表人（或负责人）</w:t>
      </w:r>
      <w:r>
        <w:rPr>
          <w:rFonts w:hint="eastAsia" w:ascii="仿宋" w:hAnsi="仿宋" w:eastAsia="仿宋" w:cs="仿宋"/>
          <w:color w:val="000000"/>
          <w:sz w:val="24"/>
          <w:szCs w:val="20"/>
        </w:rPr>
        <w:t xml:space="preserve">签字或</w:t>
      </w:r>
      <w:r>
        <w:rPr>
          <w:rFonts w:hint="eastAsia" w:ascii="仿宋" w:hAnsi="仿宋" w:eastAsia="仿宋" w:cs="仿宋"/>
          <w:color w:val="000000"/>
          <w:sz w:val="24"/>
          <w:szCs w:val="20"/>
          <w:lang w:val="en-US" w:eastAsia="zh-CN"/>
        </w:rPr>
        <w:t xml:space="preserve">盖章</w:t>
      </w:r>
      <w:r>
        <w:rPr>
          <w:rFonts w:hint="eastAsia" w:ascii="仿宋" w:hAnsi="仿宋" w:eastAsia="仿宋" w:cs="仿宋"/>
          <w:color w:val="000000"/>
          <w:sz w:val="24"/>
        </w:rPr>
        <w:t xml:space="preserve">：</w:t>
      </w:r>
      <w:r/>
    </w:p>
    <w:p>
      <w:pPr>
        <w:ind w:firstLine="432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说明：</w:t>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1.若供应商为事业单位或其他组织或分支机构（仅当招标文件注明允许分支机构投标的），则法定代表人</w:t>
      </w:r>
      <w:r>
        <w:rPr>
          <w:rFonts w:hint="eastAsia" w:ascii="仿宋" w:hAnsi="仿宋" w:eastAsia="仿宋" w:cs="仿宋"/>
          <w:color w:val="000000"/>
          <w:sz w:val="24"/>
          <w:lang w:eastAsia="zh-CN"/>
        </w:rPr>
        <w:t xml:space="preserve">（或</w:t>
      </w:r>
      <w:r>
        <w:rPr>
          <w:rFonts w:hint="eastAsia" w:ascii="仿宋" w:hAnsi="仿宋" w:eastAsia="仿宋" w:cs="仿宋"/>
          <w:color w:val="000000"/>
          <w:sz w:val="24"/>
          <w:szCs w:val="20"/>
        </w:rPr>
        <w:t xml:space="preserve">负责人）处的签署人可为单位负责人。</w:t>
      </w:r>
      <w:r/>
    </w:p>
    <w:p>
      <w:pPr>
        <w:jc w:val="left"/>
        <w:spacing w:line="360" w:lineRule="auto"/>
        <w:tabs>
          <w:tab w:val="left" w:pos="5580" w:leader="none"/>
        </w:tabs>
        <w:rPr>
          <w:rFonts w:hint="eastAsia" w:ascii="仿宋" w:hAnsi="仿宋" w:eastAsia="仿宋" w:cs="仿宋"/>
          <w:i/>
          <w:color w:val="000000"/>
          <w:sz w:val="24"/>
          <w:szCs w:val="20"/>
          <w:u w:val="single"/>
        </w:rPr>
      </w:pPr>
      <w:r>
        <w:rPr>
          <w:rFonts w:hint="eastAsia" w:ascii="仿宋" w:hAnsi="仿宋" w:eastAsia="仿宋" w:cs="仿宋"/>
          <w:color w:val="000000"/>
          <w:sz w:val="24"/>
          <w:szCs w:val="20"/>
        </w:rPr>
        <w:t xml:space="preserve">2.供应商为自然人的情形，可不提供《授权委托书》。</w:t>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spacing w:line="240" w:lineRule="auto"/>
        <w:widowControl/>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 </w:t>
      </w:r>
      <w:r/>
    </w:p>
    <w:p>
      <w:pPr>
        <w:jc w:val="left"/>
        <w:spacing w:line="240" w:lineRule="auto"/>
        <w:widowControl/>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r>
      <w:r/>
    </w:p>
    <w:p>
      <w:pPr>
        <w:jc w:val="left"/>
        <w:spacing w:line="240" w:lineRule="auto"/>
        <w:widowControl/>
        <w:rPr>
          <w:rFonts w:hint="eastAsia" w:ascii="仿宋" w:hAnsi="仿宋" w:eastAsia="仿宋" w:cs="仿宋"/>
          <w:b w:val="0"/>
          <w:bCs w:val="0"/>
          <w:color w:val="000000"/>
          <w:sz w:val="24"/>
        </w:rPr>
      </w:pPr>
      <w:r>
        <w:rPr>
          <w:rFonts w:hint="eastAsia" w:ascii="仿宋" w:hAnsi="仿宋" w:eastAsia="仿宋" w:cs="仿宋"/>
          <w:b w:val="0"/>
          <w:bCs w:val="0"/>
          <w:color w:val="000000"/>
          <w:sz w:val="24"/>
        </w:rPr>
        <w:t xml:space="preserve">授权委托书</w:t>
      </w:r>
      <w:r/>
    </w:p>
    <w:p>
      <w:pPr>
        <w:pStyle w:val="1283"/>
        <w:jc w:val="center"/>
        <w:spacing w:line="480" w:lineRule="auto"/>
        <w:rPr>
          <w:rFonts w:hint="eastAsia" w:ascii="仿宋" w:hAnsi="仿宋" w:eastAsia="仿宋" w:cs="仿宋"/>
          <w:color w:val="000000"/>
          <w:sz w:val="24"/>
        </w:rPr>
      </w:pPr>
      <w:r>
        <w:rPr>
          <w:rFonts w:hint="eastAsia" w:ascii="仿宋" w:hAnsi="仿宋" w:eastAsia="仿宋" w:cs="仿宋"/>
          <w:b/>
          <w:color w:val="000000"/>
          <w:sz w:val="36"/>
          <w:szCs w:val="36"/>
        </w:rPr>
        <w:t xml:space="preserve">授权委托书</w:t>
      </w:r>
      <w:r/>
    </w:p>
    <w:p>
      <w:pPr>
        <w:ind w:firstLine="516"/>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本授权委托书声明：我 ___________(姓名)（身份证号码：________________）系_________________（</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名称）的</w:t>
      </w:r>
      <w:r>
        <w:rPr>
          <w:rFonts w:hint="eastAsia" w:ascii="仿宋" w:hAnsi="仿宋" w:eastAsia="仿宋" w:cs="仿宋"/>
          <w:color w:val="000000"/>
          <w:sz w:val="24"/>
          <w:lang w:eastAsia="zh-CN"/>
        </w:rPr>
        <w:t xml:space="preserve">法定代表人（或负责人）</w:t>
      </w:r>
      <w:r>
        <w:rPr>
          <w:rFonts w:hint="eastAsia" w:ascii="仿宋" w:hAnsi="仿宋" w:eastAsia="仿宋" w:cs="仿宋"/>
          <w:color w:val="000000"/>
          <w:sz w:val="24"/>
        </w:rPr>
        <w:t xml:space="preserve">，现授权委托__________________（被授权人的姓名、职务）（身份证号码：___________）（联系电话：___________）为本次磋商活动中我单位的合法代理人，全权负责参加本次项目的磋商响应、澄清答疑、谈判、签订合同以及与之相关的各项事务工作。本供应商对被授权人的签字及代理行为承担全部法律责任。</w:t>
      </w:r>
      <w:r/>
    </w:p>
    <w:p>
      <w:pPr>
        <w:ind w:firstLine="516"/>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本授权书于__________年_______月________日签字或盖章生效，特此声明。</w:t>
      </w:r>
      <w:r/>
    </w:p>
    <w:p>
      <w:pPr>
        <w:spacing w:line="400" w:lineRule="exact"/>
        <w:rPr>
          <w:rFonts w:hint="eastAsia" w:ascii="仿宋" w:hAnsi="仿宋" w:eastAsia="仿宋" w:cs="仿宋"/>
          <w:color w:val="000000"/>
          <w:szCs w:val="21"/>
        </w:rPr>
      </w:pPr>
      <w:r>
        <w:rPr>
          <w:rFonts w:hint="eastAsia" w:ascii="仿宋" w:hAnsi="仿宋" w:eastAsia="仿宋" w:cs="仿宋"/>
          <w:color w:val="000000"/>
          <w:szCs w:val="21"/>
        </w:rPr>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 </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eastAsia="zh-CN"/>
        </w:rPr>
        <w:t xml:space="preserve">法定代表人（或负责人）</w:t>
      </w:r>
      <w:r>
        <w:rPr>
          <w:rFonts w:hint="eastAsia" w:ascii="仿宋" w:hAnsi="仿宋" w:eastAsia="仿宋" w:cs="仿宋"/>
          <w:color w:val="000000"/>
          <w:sz w:val="24"/>
          <w:szCs w:val="20"/>
        </w:rPr>
        <w:t xml:space="preserve">、签</w:t>
      </w:r>
      <w:r>
        <w:rPr>
          <w:rFonts w:hint="eastAsia" w:ascii="仿宋" w:hAnsi="仿宋" w:eastAsia="仿宋" w:cs="仿宋"/>
          <w:color w:val="000000"/>
          <w:sz w:val="24"/>
          <w:szCs w:val="20"/>
          <w:lang w:val="en-US" w:eastAsia="zh-CN"/>
        </w:rPr>
        <w:t xml:space="preserve">字</w:t>
      </w:r>
      <w:r>
        <w:rPr>
          <w:rFonts w:hint="eastAsia" w:ascii="仿宋" w:hAnsi="仿宋" w:eastAsia="仿宋" w:cs="仿宋"/>
          <w:color w:val="000000"/>
          <w:sz w:val="24"/>
          <w:szCs w:val="20"/>
        </w:rPr>
        <w:t xml:space="preserve">或</w:t>
      </w:r>
      <w:r>
        <w:rPr>
          <w:rFonts w:hint="eastAsia" w:ascii="仿宋" w:hAnsi="仿宋" w:eastAsia="仿宋" w:cs="仿宋"/>
          <w:color w:val="000000"/>
          <w:sz w:val="24"/>
          <w:szCs w:val="20"/>
          <w:lang w:val="en-US" w:eastAsia="zh-CN"/>
        </w:rPr>
        <w:t xml:space="preserve">盖章</w:t>
      </w:r>
      <w:r>
        <w:rPr>
          <w:rFonts w:hint="eastAsia" w:ascii="仿宋" w:hAnsi="仿宋" w:eastAsia="仿宋" w:cs="仿宋"/>
          <w:color w:val="000000"/>
          <w:sz w:val="24"/>
        </w:rPr>
        <w:t xml:space="preserve">：                  联系电话：</w:t>
      </w:r>
      <w:r/>
    </w:p>
    <w:p>
      <w:pPr>
        <w:pStyle w:val="818"/>
        <w:spacing w:line="360" w:lineRule="auto"/>
        <w:rPr>
          <w:rFonts w:hint="eastAsia" w:ascii="仿宋" w:hAnsi="仿宋" w:eastAsia="仿宋" w:cs="仿宋"/>
          <w:color w:val="000000"/>
        </w:rPr>
      </w:pPr>
      <w:r>
        <w:rPr>
          <w:rFonts w:hint="eastAsia" w:ascii="仿宋" w:hAnsi="仿宋" w:eastAsia="仿宋" w:cs="仿宋"/>
          <w:color w:val="000000"/>
        </w:rPr>
        <w:t xml:space="preserve">日期：</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19"/>
        <w:ind w:right="-46"/>
        <w:spacing w:line="583" w:lineRule="auto"/>
        <w:rPr>
          <w:rFonts w:ascii="仿宋" w:hAnsi="仿宋" w:eastAsia="仿宋" w:cs="仿宋"/>
          <w:b/>
          <w:bCs/>
          <w:color w:val="000000"/>
          <w:spacing w:val="-3"/>
        </w:rPr>
      </w:pPr>
      <w:r>
        <w:rPr>
          <w:rFonts w:ascii="仿宋" w:hAnsi="仿宋" w:eastAsia="仿宋" w:cs="仿宋"/>
          <w:b/>
          <w:bCs/>
          <w:color w:val="000000"/>
        </w:rPr>
        <w:t xml:space="preserve">附：</w:t>
      </w:r>
      <w:r>
        <w:rPr>
          <w:rFonts w:hint="eastAsia" w:ascii="仿宋" w:hAnsi="仿宋" w:eastAsia="仿宋" w:cs="仿宋"/>
          <w:b/>
          <w:bCs/>
          <w:color w:val="000000"/>
        </w:rPr>
        <w:t xml:space="preserve">委托代理人（被授权人）</w:t>
      </w:r>
      <w:r>
        <w:rPr>
          <w:rFonts w:ascii="仿宋" w:hAnsi="仿宋" w:eastAsia="仿宋" w:cs="仿宋"/>
          <w:b/>
          <w:bCs/>
          <w:color w:val="000000"/>
          <w:spacing w:val="-3"/>
        </w:rPr>
        <w:t xml:space="preserve">有效期内的身</w:t>
      </w:r>
      <w:r>
        <w:rPr>
          <w:rFonts w:hint="eastAsia" w:ascii="仿宋" w:hAnsi="仿宋" w:eastAsia="仿宋" w:cs="仿宋"/>
          <w:b/>
          <w:bCs/>
          <w:color w:val="000000"/>
          <w:spacing w:val="-3"/>
        </w:rPr>
        <w:t xml:space="preserve">份</w:t>
      </w:r>
      <w:r>
        <w:rPr>
          <w:rFonts w:ascii="仿宋" w:hAnsi="仿宋" w:eastAsia="仿宋" w:cs="仿宋"/>
          <w:b/>
          <w:bCs/>
          <w:color w:val="000000"/>
          <w:spacing w:val="-3"/>
        </w:rPr>
        <w:t xml:space="preserve">证正反面</w:t>
      </w:r>
      <w:r>
        <w:rPr>
          <w:rFonts w:hint="eastAsia" w:ascii="仿宋" w:hAnsi="仿宋" w:eastAsia="仿宋" w:cs="仿宋"/>
          <w:b/>
          <w:bCs/>
          <w:color w:val="000000"/>
          <w:spacing w:val="-3"/>
        </w:rPr>
        <w:t xml:space="preserve">。</w:t>
      </w:r>
      <w:r/>
    </w:p>
    <w:tbl>
      <w:tblPr>
        <w:tblStyle w:val="78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429"/>
        </w:trPr>
        <w:tc>
          <w:tcPr>
            <w:tcW w:w="4673" w:type="dxa"/>
            <w:vAlign w:val="top"/>
            <w:textDirection w:val="lrTb"/>
            <w:noWrap w:val="false"/>
          </w:tcPr>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tc>
        <w:tc>
          <w:tcPr>
            <w:tcW w:w="4536" w:type="dxa"/>
            <w:vAlign w:val="top"/>
            <w:textDirection w:val="lrTb"/>
            <w:noWrap w:val="false"/>
          </w:tcPr>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819"/>
        <w:ind w:right="-46"/>
        <w:spacing w:line="360" w:lineRule="auto"/>
        <w:rPr>
          <w:rFonts w:hint="eastAsia" w:ascii="仿宋" w:hAnsi="仿宋" w:eastAsia="仿宋" w:cs="仿宋"/>
          <w:color w:val="000000"/>
          <w:szCs w:val="21"/>
        </w:rPr>
      </w:pPr>
      <w:r>
        <w:rPr>
          <w:rFonts w:hint="eastAsia" w:ascii="仿宋" w:hAnsi="仿宋" w:eastAsia="仿宋" w:cs="仿宋"/>
          <w:b/>
          <w:bCs/>
          <w:color w:val="000000"/>
          <w:lang w:val="en-US" w:eastAsia="zh-CN"/>
        </w:rPr>
        <w:t xml:space="preserve">须同时提供社保机构出具的社保证明，为磋商截止时间前3个月内任意一个月、供应商为被授权人缴纳的社保凭证</w:t>
      </w:r>
      <w:r>
        <w:rPr>
          <w:rFonts w:hint="eastAsia" w:ascii="仿宋" w:hAnsi="仿宋" w:eastAsia="仿宋" w:cs="仿宋"/>
          <w:b/>
          <w:bCs/>
          <w:color w:val="000000"/>
          <w:lang w:eastAsia="zh-CN"/>
        </w:rPr>
        <w:t xml:space="preserve">。</w:t>
      </w:r>
      <w:r/>
    </w:p>
    <w:p>
      <w:pPr>
        <w:rPr>
          <w:rFonts w:hint="eastAsia"/>
        </w:rPr>
      </w:pPr>
      <w:r>
        <w:rPr>
          <w:rFonts w:hint="eastAsia"/>
        </w:rPr>
      </w:r>
      <w:r/>
    </w:p>
    <w:p>
      <w:pPr>
        <w:pStyle w:val="1163"/>
        <w:rPr>
          <w:rFonts w:hint="eastAsia"/>
        </w:rPr>
      </w:pPr>
      <w:r>
        <w:rPr>
          <w:rFonts w:hint="eastAsia"/>
        </w:rPr>
      </w:r>
      <w:r/>
    </w:p>
    <w:p>
      <w:pPr>
        <w:rPr>
          <w:rFonts w:hint="eastAsia"/>
        </w:rPr>
      </w:pPr>
      <w:r>
        <w:rPr>
          <w:rFonts w:hint="eastAsia"/>
        </w:rPr>
      </w:r>
      <w:r/>
    </w:p>
    <w:p>
      <w:pPr>
        <w:pStyle w:val="818"/>
        <w:rPr>
          <w:rFonts w:hint="eastAsia"/>
        </w:rPr>
      </w:pPr>
      <w:r>
        <w:rPr>
          <w:rFonts w:hint="eastAsia"/>
        </w:rPr>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t xml:space="preserve">6  政府采购供应商信用承诺书（实质性格式）</w:t>
      </w:r>
      <w:bookmarkStart w:id="796" w:name="_Hlk145586411"/>
      <w:r/>
      <w:r/>
    </w:p>
    <w:p>
      <w:pPr>
        <w:spacing w:line="360" w:lineRule="auto"/>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32"/>
          <w:szCs w:val="32"/>
          <w:highlight w:val="none"/>
        </w:rPr>
        <w:t xml:space="preserve">政府采购供应商信用承诺书</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五、承诺本单位自觉接受行政管理部门、行业组织、社会公众、新闻舆论的监督。</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七、承诺本单位在信用中国（江苏）网站中无违法违规、较重或严重失信记录。</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八、承诺本单位提出政府采购质疑和投诉坚持依法依规、诚实信用原则。</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九、根据政府采购相关法律法规的规定需要作出的其他承诺。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十一、承诺本单位同意将以上承诺事项上网公示，违背承诺约定行为将作为失信信息，记录到常州市公共信用信息系统，并予以公开。</w:t>
      </w:r>
      <w:r/>
    </w:p>
    <w:p>
      <w:pPr>
        <w:pStyle w:val="1018"/>
        <w:ind w:right="1050" w:firstLine="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：____________</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796"/>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
        <w:rPr>
          <w:rFonts w:hint="eastAsia" w:ascii="仿宋" w:hAnsi="仿宋" w:eastAsia="仿宋" w:cs="仿宋"/>
          <w:b/>
          <w:bCs/>
          <w:color w:val="000000"/>
          <w:sz w:val="24"/>
          <w:szCs w:val="24"/>
          <w:highlight w:val="none"/>
        </w:rPr>
        <w:t xml:space="preserve">7  报价一览表</w:t>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ascii="仿宋" w:hAnsi="仿宋" w:eastAsia="仿宋" w:cs="仿宋"/>
          <w:b/>
          <w:color w:val="000000"/>
          <w:sz w:val="24"/>
          <w:szCs w:val="24"/>
          <w:highlight w:val="none"/>
        </w:rPr>
        <w:t xml:space="preserve">（实质性格式）</w:t>
      </w:r>
      <w:r/>
      <w:r>
        <w:rPr>
          <w:rFonts w:hint="eastAsia" w:ascii="仿宋" w:hAnsi="仿宋" w:eastAsia="仿宋" w:cs="仿宋"/>
          <w:color w:val="000000"/>
          <w:sz w:val="24"/>
          <w:szCs w:val="24"/>
          <w:highlight w:val="none"/>
        </w:rPr>
      </w:r>
    </w:p>
    <w:p>
      <w:pPr>
        <w:jc w:val="center"/>
        <w:rPr>
          <w:rFonts w:hint="eastAsia" w:ascii="仿宋" w:hAnsi="仿宋" w:eastAsia="仿宋" w:cs="仿宋"/>
          <w:b/>
          <w:color w:val="000000"/>
          <w:sz w:val="24"/>
          <w:szCs w:val="24"/>
          <w:highlight w:val="none"/>
        </w:rPr>
      </w:pPr>
      <w:r/>
      <w:bookmarkStart w:id="797" w:name="_Toc226965748"/>
      <w:r/>
      <w:bookmarkStart w:id="798" w:name="_Toc195842923"/>
      <w:r/>
      <w:bookmarkStart w:id="799" w:name="_Toc226965831"/>
      <w:r/>
      <w:bookmarkStart w:id="800" w:name="_Toc305158826"/>
      <w:r/>
      <w:bookmarkStart w:id="801" w:name="_Toc305158900"/>
      <w:r/>
      <w:bookmarkStart w:id="802" w:name="_Toc264969248"/>
      <w:r/>
      <w:bookmarkStart w:id="803" w:name="_Toc226309802"/>
      <w:r/>
      <w:bookmarkStart w:id="804" w:name="_Toc226337254"/>
      <w:r/>
      <w:bookmarkStart w:id="805" w:name="_Toc164608827"/>
      <w:r/>
      <w:bookmarkStart w:id="806" w:name="_Toc265228396"/>
      <w:r/>
      <w:bookmarkStart w:id="807" w:name="_Toc164608672"/>
      <w:r/>
      <w:bookmarkStart w:id="808" w:name="_Hlk145586432"/>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报价一览表</w:t>
      </w:r>
      <w:bookmarkEnd w:id="797"/>
      <w:r/>
      <w:bookmarkEnd w:id="798"/>
      <w:r/>
      <w:bookmarkEnd w:id="799"/>
      <w:r/>
      <w:bookmarkEnd w:id="800"/>
      <w:r/>
      <w:bookmarkEnd w:id="801"/>
      <w:r/>
      <w:bookmarkEnd w:id="802"/>
      <w:r/>
      <w:bookmarkEnd w:id="803"/>
      <w:r/>
      <w:bookmarkEnd w:id="804"/>
      <w:r/>
      <w:bookmarkEnd w:id="805"/>
      <w:r/>
      <w:bookmarkEnd w:id="806"/>
      <w:r/>
      <w:bookmarkEnd w:id="807"/>
      <w:r/>
      <w:r/>
    </w:p>
    <w:p>
      <w:pPr>
        <w:jc w:val="left"/>
        <w:spacing w:line="360" w:lineRule="auto"/>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240"/>
        <w:jc w:val="left"/>
        <w:spacing w:line="360" w:lineRule="auto"/>
        <w:tabs>
          <w:tab w:val="left" w:pos="1800" w:leader="none"/>
          <w:tab w:val="left" w:pos="5580" w:leader="none"/>
        </w:tabs>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p>
    <w:tbl>
      <w:tblPr>
        <w:tblStyle w:val="788"/>
        <w:tblW w:w="49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46"/>
        <w:gridCol w:w="3349"/>
        <w:gridCol w:w="2584"/>
        <w:gridCol w:w="2249"/>
      </w:tblGrid>
      <w:tr>
        <w:trPr>
          <w:jc w:val="center"/>
          <w:trHeight w:val="377"/>
        </w:trPr>
        <w:tc>
          <w:tcPr>
            <w:tcW w:w="922" w:type="dxa"/>
            <w:vAlign w:val="center"/>
            <w:vMerge w:val="restart"/>
            <w:textDirection w:val="lrTb"/>
            <w:noWrap w:val="false"/>
          </w:tcPr>
          <w:p>
            <w:pPr>
              <w:jc w:val="center"/>
              <w:tabs>
                <w:tab w:val="left" w:pos="558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p>
        </w:tc>
        <w:tc>
          <w:tcPr>
            <w:tcW w:w="3264" w:type="dxa"/>
            <w:vAlign w:val="center"/>
            <w:vMerge w:val="restart"/>
            <w:textDirection w:val="lrTb"/>
            <w:noWrap w:val="false"/>
          </w:tcPr>
          <w:p>
            <w:pPr>
              <w:jc w:val="center"/>
              <w:tabs>
                <w:tab w:val="left" w:pos="5580" w:leader="none"/>
              </w:tabs>
              <w:rPr>
                <w:rFonts w:hint="default"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供应商名称</w:t>
            </w:r>
            <w:r/>
          </w:p>
        </w:tc>
        <w:tc>
          <w:tcPr>
            <w:gridSpan w:val="2"/>
            <w:tcW w:w="4711" w:type="dxa"/>
            <w:vAlign w:val="center"/>
            <w:textDirection w:val="lrTb"/>
            <w:noWrap w:val="false"/>
          </w:tcPr>
          <w:p>
            <w:pPr>
              <w:jc w:val="center"/>
              <w:tabs>
                <w:tab w:val="left" w:pos="5580" w:leader="none"/>
              </w:tabs>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val="en-US" w:eastAsia="zh-CN"/>
              </w:rPr>
              <w:t xml:space="preserve">投标</w:t>
            </w:r>
            <w:r>
              <w:rPr>
                <w:rFonts w:hint="eastAsia" w:ascii="仿宋" w:hAnsi="仿宋" w:eastAsia="仿宋" w:cs="仿宋"/>
                <w:b/>
                <w:color w:val="000000"/>
                <w:sz w:val="24"/>
                <w:szCs w:val="24"/>
                <w:highlight w:val="none"/>
              </w:rPr>
              <w:t xml:space="preserve">报价</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元</w:t>
            </w:r>
            <w:r>
              <w:rPr>
                <w:rFonts w:hint="eastAsia" w:ascii="仿宋" w:hAnsi="仿宋" w:eastAsia="仿宋" w:cs="仿宋"/>
                <w:b/>
                <w:color w:val="000000"/>
                <w:sz w:val="24"/>
                <w:szCs w:val="24"/>
                <w:highlight w:val="none"/>
                <w:lang w:eastAsia="zh-CN"/>
              </w:rPr>
              <w:t xml:space="preserve">）</w:t>
            </w:r>
            <w:r/>
          </w:p>
        </w:tc>
      </w:tr>
      <w:tr>
        <w:trPr>
          <w:jc w:val="center"/>
          <w:trHeight w:val="396"/>
        </w:trPr>
        <w:tc>
          <w:tcPr>
            <w:tcW w:w="922" w:type="dxa"/>
            <w:vAlign w:val="center"/>
            <w:vMerge w:val="continue"/>
            <w:textDirection w:val="lrTb"/>
            <w:noWrap w:val="false"/>
          </w:tcPr>
          <w:p>
            <w:pPr>
              <w:jc w:val="lef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3264" w:type="dxa"/>
            <w:vAlign w:val="center"/>
            <w:vMerge w:val="continue"/>
            <w:textDirection w:val="lrTb"/>
            <w:noWrap w:val="false"/>
          </w:tcPr>
          <w:p>
            <w:pPr>
              <w:jc w:val="lef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2519" w:type="dxa"/>
            <w:vAlign w:val="center"/>
            <w:textDirection w:val="lrTb"/>
            <w:noWrap w:val="false"/>
          </w:tcPr>
          <w:p>
            <w:pPr>
              <w:jc w:val="center"/>
              <w:tabs>
                <w:tab w:val="left" w:pos="558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大写</w:t>
            </w:r>
            <w:r/>
          </w:p>
        </w:tc>
        <w:tc>
          <w:tcPr>
            <w:tcW w:w="2192" w:type="dxa"/>
            <w:vAlign w:val="center"/>
            <w:textDirection w:val="lrTb"/>
            <w:noWrap w:val="false"/>
          </w:tcPr>
          <w:p>
            <w:pPr>
              <w:jc w:val="center"/>
              <w:tabs>
                <w:tab w:val="left" w:pos="558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小写</w:t>
            </w:r>
            <w:r/>
          </w:p>
        </w:tc>
      </w:tr>
      <w:tr>
        <w:trPr>
          <w:jc w:val="center"/>
          <w:trHeight w:val="1168"/>
        </w:trPr>
        <w:tc>
          <w:tcPr>
            <w:tcW w:w="922" w:type="dxa"/>
            <w:vAlign w:val="center"/>
            <w:textDirection w:val="lrTb"/>
            <w:noWrap w:val="false"/>
          </w:tcPr>
          <w:p>
            <w:pPr>
              <w:jc w:val="center"/>
              <w:tabs>
                <w:tab w:val="left" w:pos="5580" w:leader="none"/>
              </w:tabs>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W w:w="3264" w:type="dxa"/>
            <w:vAlign w:val="center"/>
            <w:textDirection w:val="lrTb"/>
            <w:noWrap w:val="false"/>
          </w:tcPr>
          <w:p>
            <w:pPr>
              <w:jc w:val="center"/>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19" w:type="dxa"/>
            <w:vAlign w:val="center"/>
            <w:textDirection w:val="lrTb"/>
            <w:noWrap w:val="false"/>
          </w:tcPr>
          <w:p>
            <w:pPr>
              <w:jc w:val="center"/>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92" w:type="dxa"/>
            <w:vAlign w:val="center"/>
            <w:textDirection w:val="lrTb"/>
            <w:noWrap w:val="false"/>
          </w:tcPr>
          <w:p>
            <w:pPr>
              <w:jc w:val="center"/>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注：此表中，</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报价应和《</w:t>
      </w:r>
      <w:r>
        <w:rPr>
          <w:rFonts w:hint="eastAsia" w:ascii="仿宋" w:hAnsi="仿宋" w:eastAsia="仿宋" w:cs="仿宋"/>
          <w:color w:val="000000"/>
          <w:sz w:val="24"/>
          <w:szCs w:val="24"/>
          <w:highlight w:val="none"/>
          <w:lang w:val="en-US" w:eastAsia="zh-CN"/>
        </w:rPr>
        <w:t xml:space="preserve">分项工程量清单报价表</w:t>
      </w:r>
      <w:r>
        <w:rPr>
          <w:rFonts w:hint="eastAsia" w:ascii="仿宋" w:hAnsi="仿宋" w:eastAsia="仿宋" w:cs="仿宋"/>
          <w:color w:val="000000"/>
          <w:sz w:val="24"/>
          <w:szCs w:val="24"/>
          <w:highlight w:val="none"/>
        </w:rPr>
        <w:t xml:space="preserve">》中的总价相一致。</w:t>
      </w:r>
      <w:r/>
    </w:p>
    <w:p>
      <w:pPr>
        <w:ind w:firstLine="48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spacing w:before="25" w:after="25"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spacing w:before="25" w:after="25"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jc w:val="left"/>
        <w:spacing w:before="240" w:after="24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rPr>
          <w:rFonts w:hint="eastAsia" w:ascii="仿宋" w:hAnsi="仿宋" w:eastAsia="仿宋" w:cs="仿宋"/>
          <w:color w:val="000000"/>
          <w:sz w:val="24"/>
          <w:szCs w:val="24"/>
          <w:highlight w:val="none"/>
          <w:lang w:val="zh-CN"/>
        </w:rPr>
        <w:t xml:space="preserve">：____________</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808"/>
      <w:r/>
    </w:p>
    <w:p>
      <w:pPr>
        <w:jc w:val="left"/>
        <w:spacing w:line="360" w:lineRule="auto"/>
        <w:widowControl/>
        <w:rPr>
          <w:rFonts w:hint="eastAsia" w:ascii="仿宋" w:hAnsi="仿宋" w:eastAsia="仿宋" w:cs="仿宋"/>
          <w:color w:val="000000"/>
          <w:sz w:val="24"/>
          <w:szCs w:val="24"/>
          <w:highlight w:val="none"/>
        </w:rPr>
      </w:pPr>
      <w:r/>
      <w:bookmarkStart w:id="809" w:name="_Toc264969249"/>
      <w:r/>
      <w:bookmarkStart w:id="810" w:name="_Toc195842924"/>
      <w:r/>
      <w:bookmarkStart w:id="811" w:name="_Toc142311060"/>
      <w:r/>
      <w:bookmarkStart w:id="812" w:name="_Toc226965749"/>
      <w:r/>
      <w:bookmarkStart w:id="813" w:name="_Toc305158827"/>
      <w:r/>
      <w:bookmarkStart w:id="814" w:name="_Toc226337255"/>
      <w:r/>
      <w:bookmarkStart w:id="815" w:name="_Toc265228397"/>
      <w:r/>
      <w:bookmarkStart w:id="816" w:name="_Toc226965832"/>
      <w:r/>
      <w:bookmarkStart w:id="817" w:name="_Toc150480796"/>
      <w:r/>
      <w:bookmarkStart w:id="818" w:name="_Toc150774763"/>
      <w:r/>
      <w:bookmarkStart w:id="819" w:name="_Toc226309803"/>
      <w:r/>
      <w:bookmarkStart w:id="820" w:name="_Toc127151558"/>
      <w:r/>
      <w:bookmarkStart w:id="821" w:name="_Toc305158901"/>
      <w:r>
        <w:rPr>
          <w:rFonts w:hint="eastAsia" w:ascii="仿宋" w:hAnsi="仿宋" w:eastAsia="仿宋" w:cs="仿宋"/>
          <w:color w:val="000000"/>
          <w:sz w:val="24"/>
          <w:szCs w:val="24"/>
          <w:highlight w:val="none"/>
        </w:rPr>
        <w:br w:type="page" w:clear="all"/>
      </w:r>
      <w:bookmarkEnd w:id="809"/>
      <w:bookmarkEnd w:id="810"/>
      <w:bookmarkEnd w:id="811"/>
      <w:bookmarkEnd w:id="812"/>
      <w:bookmarkEnd w:id="813"/>
      <w:bookmarkEnd w:id="814"/>
      <w:bookmarkEnd w:id="815"/>
      <w:bookmarkEnd w:id="816"/>
      <w:bookmarkEnd w:id="817"/>
      <w:bookmarkEnd w:id="818"/>
      <w:bookmarkEnd w:id="819"/>
      <w:bookmarkEnd w:id="820"/>
      <w:bookmarkEnd w:id="821"/>
      <w:r/>
    </w:p>
    <w:p>
      <w:pPr>
        <w:spacing w:before="78" w:line="218" w:lineRule="auto"/>
        <w:rPr>
          <w:rFonts w:hint="eastAsia" w:ascii="仿宋" w:hAnsi="仿宋" w:eastAsia="仿宋" w:cs="仿宋"/>
          <w:b/>
          <w:bCs/>
          <w:spacing w:val="-4"/>
          <w:sz w:val="24"/>
          <w:szCs w:val="24"/>
          <w:lang w:val="en-US" w:eastAsia="zh-CN"/>
        </w:rPr>
      </w:pPr>
      <w:r/>
      <w:bookmarkStart w:id="822" w:name="_Toc142311062"/>
      <w:r/>
      <w:bookmarkStart w:id="823" w:name="_Toc195842927"/>
      <w:r/>
      <w:bookmarkStart w:id="824" w:name="_Toc264969252"/>
      <w:r/>
      <w:bookmarkStart w:id="825" w:name="_Toc150774765"/>
      <w:r/>
      <w:bookmarkStart w:id="826" w:name="_Toc226309806"/>
      <w:r/>
      <w:bookmarkStart w:id="827" w:name="_Toc305158830"/>
      <w:r/>
      <w:bookmarkStart w:id="828" w:name="_Toc127151562"/>
      <w:r/>
      <w:bookmarkStart w:id="829" w:name="_Toc226965752"/>
      <w:r/>
      <w:bookmarkStart w:id="830" w:name="_Toc226337258"/>
      <w:r/>
      <w:bookmarkStart w:id="831" w:name="_Toc265228400"/>
      <w:r/>
      <w:bookmarkStart w:id="832" w:name="_Toc150480798"/>
      <w:r/>
      <w:bookmarkStart w:id="833" w:name="_Toc226965835"/>
      <w:r/>
      <w:bookmarkStart w:id="834" w:name="_Toc305158904"/>
      <w:r/>
      <w:bookmarkStart w:id="835" w:name="_Toc127151561"/>
      <w:r/>
      <w:bookmarkStart w:id="836" w:name="_Toc305158903"/>
      <w:r/>
      <w:bookmarkStart w:id="837" w:name="_Toc265228399"/>
      <w:r/>
      <w:bookmarkStart w:id="838" w:name="_Toc226965834"/>
      <w:r/>
      <w:bookmarkStart w:id="839" w:name="_Toc142311061"/>
      <w:r/>
      <w:bookmarkStart w:id="840" w:name="_Toc305158829"/>
      <w:r/>
      <w:bookmarkStart w:id="841" w:name="_Toc226337257"/>
      <w:r/>
      <w:bookmarkStart w:id="842" w:name="_Toc150480797"/>
      <w:r/>
      <w:bookmarkStart w:id="843" w:name="_Toc195842926"/>
      <w:r/>
      <w:bookmarkStart w:id="844" w:name="_Toc264969251"/>
      <w:r/>
      <w:bookmarkStart w:id="845" w:name="_Toc150774764"/>
      <w:r/>
      <w:bookmarkStart w:id="846" w:name="_Toc226309805"/>
      <w:r/>
      <w:bookmarkStart w:id="847" w:name="_Toc226965751"/>
      <w:r>
        <w:rPr>
          <w:rFonts w:hint="eastAsia" w:ascii="仿宋" w:hAnsi="仿宋" w:eastAsia="仿宋" w:cs="仿宋"/>
          <w:b/>
          <w:bCs/>
          <w:spacing w:val="-4"/>
          <w:sz w:val="24"/>
          <w:szCs w:val="24"/>
          <w:lang w:val="en-US" w:eastAsia="zh-CN"/>
        </w:rPr>
        <w:t xml:space="preserve">8</w:t>
      </w:r>
      <w:r>
        <w:rPr>
          <w:rFonts w:hint="eastAsia" w:ascii="仿宋" w:hAnsi="仿宋" w:eastAsia="仿宋" w:cs="仿宋"/>
          <w:b/>
          <w:bCs/>
          <w:spacing w:val="6"/>
          <w:sz w:val="24"/>
          <w:szCs w:val="24"/>
        </w:rPr>
        <w:t xml:space="preserve"> </w:t>
      </w:r>
      <w:r>
        <w:rPr>
          <w:rFonts w:hint="eastAsia" w:ascii="仿宋" w:hAnsi="仿宋" w:eastAsia="仿宋" w:cs="仿宋"/>
          <w:b/>
          <w:bCs/>
          <w:spacing w:val="-4"/>
          <w:sz w:val="24"/>
          <w:szCs w:val="24"/>
          <w:lang w:val="en-US" w:eastAsia="zh-CN"/>
        </w:rPr>
        <w:t xml:space="preserve">分项工程量清单报价表（实质性格式）</w:t>
      </w:r>
      <w:r/>
    </w:p>
    <w:p>
      <w:pPr>
        <w:pStyle w:val="818"/>
        <w:rPr>
          <w:rFonts w:hint="eastAsia"/>
        </w:rPr>
      </w:pPr>
      <w:r>
        <w:rPr>
          <w:rFonts w:hint="eastAsia"/>
        </w:rPr>
      </w:r>
      <w:r/>
    </w:p>
    <w:p>
      <w:pPr>
        <w:spacing w:before="114" w:line="360" w:lineRule="auto"/>
        <w:rPr>
          <w:rFonts w:hint="eastAsia" w:ascii="仿宋" w:hAnsi="仿宋" w:eastAsia="仿宋" w:cs="仿宋"/>
          <w:spacing w:val="7"/>
          <w:sz w:val="24"/>
          <w:szCs w:val="24"/>
          <w14:textOutline w14:w="6537" w14:cap="sq" w14:cmpd="sng">
            <w14:solidFill>
              <w14:srgbClr w14:val="000000"/>
            </w14:solidFill>
            <w14:prstDash w14:val="solid"/>
            <w14:bevel/>
          </w14:textOutline>
        </w:rPr>
        <w:outlineLvl w:val="2"/>
      </w:pPr>
      <w:r>
        <w:rPr>
          <w:rFonts w:hint="eastAsia" w:ascii="仿宋" w:hAnsi="仿宋" w:eastAsia="仿宋" w:cs="仿宋"/>
          <w:spacing w:val="7"/>
          <w:sz w:val="24"/>
          <w:szCs w:val="24"/>
          <w14:textOutline w14:w="6537" w14:cap="sq" w14:cmpd="sng">
            <w14:solidFill>
              <w14:srgbClr w14:val="000000"/>
            </w14:solidFill>
            <w14:prstDash w14:val="solid"/>
            <w14:bevel/>
          </w14:textOutline>
        </w:rPr>
      </w:r>
      <w:r/>
    </w:p>
    <w:p>
      <w:pPr>
        <w:pStyle w:val="818"/>
        <w:rPr>
          <w:rFonts w:hint="eastAsia"/>
        </w:rPr>
      </w:pPr>
      <w:r>
        <w:rPr>
          <w:rFonts w:hint="eastAsia"/>
        </w:rPr>
      </w:r>
      <w:r/>
    </w:p>
    <w:p>
      <w:pPr>
        <w:jc w:val="center"/>
        <w:spacing w:before="91" w:line="360" w:lineRule="auto"/>
        <w:rPr>
          <w:rFonts w:hint="eastAsia" w:ascii="仿宋" w:hAnsi="仿宋" w:eastAsia="仿宋" w:cs="仿宋"/>
          <w:spacing w:val="-1"/>
          <w:sz w:val="28"/>
          <w:szCs w:val="28"/>
          <w14:textOutline w14:w="5103" w14:cap="sq" w14:cmpd="sng">
            <w14:solidFill>
              <w14:srgbClr w14:val="000000"/>
            </w14:solidFill>
            <w14:prstDash w14:val="solid"/>
            <w14:bevel/>
          </w14:textOutline>
        </w:rPr>
        <w:outlineLvl w:val="1"/>
      </w:pPr>
      <w:r>
        <w:rPr>
          <w:rFonts w:hint="eastAsia" w:ascii="仿宋" w:hAnsi="仿宋" w:eastAsia="仿宋" w:cs="仿宋"/>
          <w:spacing w:val="-1"/>
          <w:sz w:val="28"/>
          <w:szCs w:val="28"/>
          <w14:textOutline w14:w="5103" w14:cap="sq" w14:cmpd="sng">
            <w14:solidFill>
              <w14:srgbClr w14:val="000000"/>
            </w14:solidFill>
            <w14:prstDash w14:val="solid"/>
            <w14:bevel/>
          </w14:textOutline>
        </w:rPr>
        <w:t xml:space="preserve">分项</w:t>
      </w:r>
      <w:r>
        <w:rPr>
          <w:rFonts w:hint="eastAsia" w:ascii="仿宋" w:hAnsi="仿宋" w:eastAsia="仿宋" w:cs="仿宋"/>
          <w:spacing w:val="-1"/>
          <w:sz w:val="28"/>
          <w:szCs w:val="28"/>
          <w:lang w:val="en-US" w:eastAsia="zh-CN"/>
          <w14:textOutline w14:w="5103" w14:cap="sq" w14:cmpd="sng">
            <w14:solidFill>
              <w14:srgbClr w14:val="000000"/>
            </w14:solidFill>
            <w14:prstDash w14:val="solid"/>
            <w14:bevel/>
          </w14:textOutline>
        </w:rPr>
        <w:t xml:space="preserve">工程量</w:t>
      </w:r>
      <w:r>
        <w:rPr>
          <w:rFonts w:hint="eastAsia" w:ascii="仿宋" w:hAnsi="仿宋" w:eastAsia="仿宋" w:cs="仿宋"/>
          <w:spacing w:val="-1"/>
          <w:sz w:val="28"/>
          <w:szCs w:val="28"/>
          <w14:textOutline w14:w="5103" w14:cap="sq" w14:cmpd="sng">
            <w14:solidFill>
              <w14:srgbClr w14:val="000000"/>
            </w14:solidFill>
            <w14:prstDash w14:val="solid"/>
            <w14:bevel/>
          </w14:textOutline>
        </w:rPr>
        <w:t xml:space="preserve">清单报价表</w:t>
      </w:r>
      <w:r/>
    </w:p>
    <w:p>
      <w:pPr>
        <w:jc w:val="center"/>
        <w:spacing w:before="91" w:line="360" w:lineRule="auto"/>
        <w:rPr>
          <w:rFonts w:hint="eastAsia" w:ascii="仿宋" w:hAnsi="仿宋" w:eastAsia="仿宋" w:cs="仿宋"/>
          <w:spacing w:val="-1"/>
          <w:sz w:val="28"/>
          <w:szCs w:val="28"/>
          <w:lang w:eastAsia="zh-CN"/>
          <w14:textOutline w14:w="5103" w14:cap="sq" w14:cmpd="sng">
            <w14:solidFill>
              <w14:srgbClr w14:val="000000"/>
            </w14:solidFill>
            <w14:prstDash w14:val="solid"/>
            <w14:bevel/>
          </w14:textOutline>
        </w:rPr>
        <w:outlineLvl w:val="1"/>
      </w:pPr>
      <w:r>
        <w:rPr>
          <w:rFonts w:hint="eastAsia" w:ascii="仿宋" w:hAnsi="仿宋" w:eastAsia="仿宋" w:cs="仿宋"/>
          <w:spacing w:val="-1"/>
          <w:sz w:val="28"/>
          <w:szCs w:val="28"/>
          <w:lang w:eastAsia="zh-CN"/>
          <w14:textOutline w14:w="5103" w14:cap="sq" w14:cmpd="sng">
            <w14:solidFill>
              <w14:srgbClr w14:val="000000"/>
            </w14:solidFill>
            <w14:prstDash w14:val="solid"/>
            <w14:bevel/>
          </w14:textOutline>
        </w:rPr>
        <w:t xml:space="preserve">（</w:t>
      </w:r>
      <w:r>
        <w:rPr>
          <w:rFonts w:hint="eastAsia" w:ascii="仿宋" w:hAnsi="仿宋" w:eastAsia="仿宋" w:cs="仿宋"/>
          <w:spacing w:val="-1"/>
          <w:sz w:val="28"/>
          <w:szCs w:val="28"/>
          <w14:textOutline w14:w="5103" w14:cap="sq" w14:cmpd="sng">
            <w14:solidFill>
              <w14:srgbClr w14:val="000000"/>
            </w14:solidFill>
            <w14:prstDash w14:val="solid"/>
            <w14:bevel/>
          </w14:textOutline>
        </w:rPr>
        <w:t xml:space="preserve">详见</w:t>
      </w:r>
      <w:r>
        <w:rPr>
          <w:rFonts w:hint="eastAsia" w:ascii="仿宋" w:hAnsi="仿宋" w:eastAsia="仿宋" w:cs="仿宋"/>
          <w:spacing w:val="-1"/>
          <w:sz w:val="28"/>
          <w:szCs w:val="28"/>
          <w:lang w:val="en-US" w:eastAsia="zh-CN"/>
          <w14:textOutline w14:w="5103" w14:cap="sq" w14:cmpd="sng">
            <w14:solidFill>
              <w14:srgbClr w14:val="000000"/>
            </w14:solidFill>
            <w14:prstDash w14:val="solid"/>
            <w14:bevel/>
          </w14:textOutline>
        </w:rPr>
        <w:t xml:space="preserve">工程量</w:t>
      </w:r>
      <w:r>
        <w:rPr>
          <w:rFonts w:hint="eastAsia" w:ascii="仿宋" w:hAnsi="仿宋" w:eastAsia="仿宋" w:cs="仿宋"/>
          <w:spacing w:val="-1"/>
          <w:sz w:val="28"/>
          <w:szCs w:val="28"/>
          <w14:textOutline w14:w="5103" w14:cap="sq" w14:cmpd="sng">
            <w14:solidFill>
              <w14:srgbClr w14:val="000000"/>
            </w14:solidFill>
            <w14:prstDash w14:val="solid"/>
            <w14:bevel/>
          </w14:textOutline>
        </w:rPr>
        <w:t xml:space="preserve">清单</w:t>
      </w:r>
      <w:r>
        <w:rPr>
          <w:rFonts w:hint="eastAsia" w:ascii="仿宋" w:hAnsi="仿宋" w:eastAsia="仿宋" w:cs="仿宋"/>
          <w:spacing w:val="-1"/>
          <w:sz w:val="28"/>
          <w:szCs w:val="28"/>
          <w:lang w:val="en-US" w:eastAsia="zh-CN"/>
          <w14:textOutline w14:w="5103" w14:cap="sq" w14:cmpd="sng">
            <w14:solidFill>
              <w14:srgbClr w14:val="000000"/>
            </w14:solidFill>
            <w14:prstDash w14:val="solid"/>
            <w14:bevel/>
          </w14:textOutline>
        </w:rPr>
        <w:t xml:space="preserve">明细表，另附</w:t>
      </w:r>
      <w:r>
        <w:rPr>
          <w:rFonts w:hint="eastAsia" w:ascii="仿宋" w:hAnsi="仿宋" w:eastAsia="仿宋" w:cs="仿宋"/>
          <w:spacing w:val="-1"/>
          <w:sz w:val="28"/>
          <w:szCs w:val="28"/>
          <w:lang w:eastAsia="zh-CN"/>
          <w14:textOutline w14:w="5103" w14:cap="sq" w14:cmpd="sng">
            <w14:solidFill>
              <w14:srgbClr w14:val="000000"/>
            </w14:solidFill>
            <w14:prstDash w14:val="solid"/>
            <w14:bevel/>
          </w14:textOutline>
        </w:rPr>
        <w:t xml:space="preserve">）</w:t>
      </w:r>
      <w:r/>
    </w:p>
    <w:p>
      <w:pPr>
        <w:ind w:firstLine="3336"/>
        <w:spacing w:before="91" w:line="360" w:lineRule="auto"/>
        <w:rPr>
          <w:rFonts w:hint="eastAsia" w:ascii="仿宋" w:hAnsi="仿宋" w:eastAsia="仿宋" w:cs="仿宋"/>
          <w:spacing w:val="-1"/>
          <w:sz w:val="28"/>
          <w:szCs w:val="28"/>
          <w:lang w:eastAsia="zh-CN"/>
          <w14:textOutline w14:w="5103" w14:cap="sq" w14:cmpd="sng">
            <w14:solidFill>
              <w14:srgbClr w14:val="000000"/>
            </w14:solidFill>
            <w14:prstDash w14:val="solid"/>
            <w14:bevel/>
          </w14:textOutline>
        </w:rPr>
        <w:outlineLvl w:val="1"/>
      </w:pPr>
      <w:r>
        <w:rPr>
          <w:rFonts w:hint="eastAsia" w:ascii="仿宋" w:hAnsi="仿宋" w:eastAsia="仿宋" w:cs="仿宋"/>
          <w:spacing w:val="-1"/>
          <w:sz w:val="28"/>
          <w:szCs w:val="28"/>
          <w:lang w:eastAsia="zh-CN"/>
          <w14:textOutline w14:w="5103" w14:cap="sq" w14:cmpd="sng">
            <w14:solidFill>
              <w14:srgbClr w14:val="000000"/>
            </w14:solidFill>
            <w14:prstDash w14:val="solid"/>
            <w14:bevel/>
          </w14:textOutline>
        </w:rPr>
      </w:r>
      <w:r/>
    </w:p>
    <w:p>
      <w:pPr>
        <w:rPr>
          <w:rFonts w:hint="eastAsia"/>
          <w:sz w:val="24"/>
          <w:szCs w:val="24"/>
        </w:rPr>
      </w:pPr>
      <w:r>
        <w:rPr>
          <w:rFonts w:hint="eastAsia"/>
          <w:sz w:val="24"/>
          <w:szCs w:val="24"/>
        </w:rPr>
      </w:r>
      <w:r/>
    </w:p>
    <w:p>
      <w:pPr>
        <w:jc w:val="left"/>
        <w:spacing w:line="312" w:lineRule="auto"/>
        <w:tabs>
          <w:tab w:val="left" w:pos="1800" w:leader="none"/>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注：“分部分项综合单价分析表”、“单价措施项目综合单价分析表”须制作在响应文件中。</w:t>
      </w:r>
      <w:r/>
    </w:p>
    <w:p>
      <w:pPr>
        <w:pStyle w:val="793"/>
        <w:spacing w:line="2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spacing w:line="360" w:lineRule="auto"/>
        <w:rPr>
          <w:rFonts w:hint="eastAsia" w:ascii="仿宋" w:hAnsi="仿宋" w:eastAsia="仿宋" w:cs="仿宋"/>
          <w:color w:val="000000"/>
          <w:sz w:val="21"/>
          <w:szCs w:val="21"/>
          <w:highlight w:val="none"/>
        </w:rPr>
        <w:outlineLvl w:val="2"/>
      </w:pPr>
      <w:r>
        <w:rPr>
          <w:rFonts w:hint="eastAsia" w:ascii="仿宋" w:hAnsi="仿宋" w:eastAsia="仿宋" w:cs="仿宋"/>
          <w:color w:val="000000"/>
          <w:sz w:val="21"/>
          <w:szCs w:val="21"/>
          <w:highlight w:val="none"/>
        </w:rPr>
      </w:r>
      <w:r/>
    </w:p>
    <w:p>
      <w:pPr>
        <w:jc w:val="both"/>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9</w:t>
      </w:r>
      <w:r>
        <w:rPr>
          <w:rFonts w:hint="eastAsia" w:ascii="仿宋" w:hAnsi="仿宋" w:eastAsia="仿宋" w:cs="仿宋"/>
          <w:color w:val="000000"/>
          <w:sz w:val="24"/>
          <w:szCs w:val="20"/>
          <w:highlight w:val="none"/>
        </w:rPr>
        <w:t xml:space="preserve"> 材料品牌选用承诺表</w:t>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材料品牌选用承诺表</w:t>
      </w:r>
      <w:r/>
    </w:p>
    <w:tbl>
      <w:tblPr>
        <w:tblStyle w:val="788"/>
        <w:tblW w:w="10075" w:type="dxa"/>
        <w:jc w:val="center"/>
        <w:tblLayout w:type="fixed"/>
        <w:tblCellMar>
          <w:left w:w="108" w:type="dxa"/>
          <w:top w:w="0" w:type="dxa"/>
          <w:right w:w="108" w:type="dxa"/>
          <w:bottom w:w="0" w:type="dxa"/>
        </w:tblCellMar>
        <w:tblLook w:val="04A0" w:firstRow="1" w:lastRow="0" w:firstColumn="1" w:lastColumn="0" w:noHBand="0" w:noVBand="1"/>
      </w:tblPr>
      <w:tblGrid>
        <w:gridCol w:w="443"/>
        <w:gridCol w:w="1112"/>
        <w:gridCol w:w="1431"/>
        <w:gridCol w:w="1117"/>
        <w:gridCol w:w="1144"/>
        <w:gridCol w:w="988"/>
        <w:gridCol w:w="951"/>
        <w:gridCol w:w="947"/>
        <w:gridCol w:w="748"/>
        <w:gridCol w:w="748"/>
        <w:gridCol w:w="446"/>
      </w:tblGrid>
      <w:tr>
        <w:trPr>
          <w:jc w:val="center"/>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112"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材料/设备名称</w:t>
            </w:r>
            <w:r/>
          </w:p>
        </w:tc>
        <w:tc>
          <w:tcPr>
            <w:tcBorders>
              <w:top w:val="single" w:color="000000" w:sz="4" w:space="0"/>
              <w:left w:val="none" w:color="000000" w:sz="4" w:space="0"/>
              <w:bottom w:val="single" w:color="000000" w:sz="4" w:space="0"/>
              <w:right w:val="single" w:color="000000" w:sz="4" w:space="0"/>
            </w:tcBorders>
            <w:tcW w:w="143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参考</w:t>
            </w:r>
            <w:r>
              <w:rPr>
                <w:rFonts w:hint="eastAsia" w:ascii="仿宋" w:hAnsi="仿宋" w:eastAsia="仿宋" w:cs="仿宋"/>
                <w:b/>
                <w:bCs/>
                <w:color w:val="000000"/>
                <w:sz w:val="21"/>
                <w:szCs w:val="21"/>
                <w:highlight w:val="none"/>
              </w:rPr>
              <w:t xml:space="preserve">品牌</w:t>
            </w:r>
            <w:r>
              <w:rPr>
                <w:rFonts w:hint="eastAsia" w:ascii="仿宋" w:hAnsi="仿宋" w:eastAsia="仿宋" w:cs="仿宋"/>
                <w:b/>
                <w:bCs/>
                <w:color w:val="000000"/>
                <w:sz w:val="21"/>
                <w:szCs w:val="21"/>
                <w:highlight w:val="none"/>
                <w:lang w:val="en-US" w:eastAsia="zh-CN"/>
              </w:rPr>
              <w:t xml:space="preserve">及系列、规格（如有）</w:t>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投标</w:t>
            </w:r>
            <w:r>
              <w:rPr>
                <w:rFonts w:hint="eastAsia" w:ascii="仿宋" w:hAnsi="仿宋" w:eastAsia="仿宋" w:cs="仿宋"/>
                <w:b/>
                <w:bCs/>
                <w:color w:val="000000"/>
                <w:sz w:val="21"/>
                <w:szCs w:val="21"/>
                <w:highlight w:val="none"/>
              </w:rPr>
              <w:t xml:space="preserve">承诺品牌</w:t>
            </w:r>
            <w:r/>
          </w:p>
        </w:tc>
        <w:tc>
          <w:tcPr>
            <w:tcBorders>
              <w:top w:val="singl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eastAsia="zh-CN"/>
              </w:rPr>
              <w:t xml:space="preserve">系列</w:t>
            </w:r>
            <w:r>
              <w:rPr>
                <w:rFonts w:hint="eastAsia" w:ascii="仿宋" w:hAnsi="仿宋" w:eastAsia="仿宋" w:cs="仿宋"/>
                <w:b/>
                <w:bCs/>
                <w:color w:val="000000"/>
                <w:sz w:val="21"/>
                <w:szCs w:val="21"/>
                <w:highlight w:val="none"/>
                <w:lang w:val="en-US" w:eastAsia="zh-CN"/>
              </w:rPr>
              <w:t xml:space="preserve">型号</w:t>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1"/>
                <w:szCs w:val="21"/>
                <w:highlight w:val="none"/>
                <w:lang w:eastAsia="zh-CN"/>
              </w:rPr>
            </w:pPr>
            <w:r>
              <w:rPr>
                <w:rFonts w:hint="eastAsia" w:ascii="仿宋" w:hAnsi="仿宋" w:eastAsia="仿宋" w:cs="仿宋"/>
                <w:b/>
                <w:bCs/>
                <w:sz w:val="21"/>
                <w:szCs w:val="21"/>
              </w:rPr>
              <w:t xml:space="preserve">关键技术参数</w:t>
            </w:r>
            <w:r/>
          </w:p>
        </w:tc>
        <w:tc>
          <w:tcPr>
            <w:tcBorders>
              <w:top w:val="single" w:color="000000" w:sz="4" w:space="0"/>
              <w:left w:val="none" w:color="000000" w:sz="4" w:space="0"/>
              <w:bottom w:val="single" w:color="000000" w:sz="4" w:space="0"/>
              <w:right w:val="single" w:color="000000" w:sz="4" w:space="0"/>
            </w:tcBorders>
            <w:tcW w:w="95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sz w:val="21"/>
                <w:szCs w:val="21"/>
              </w:rPr>
            </w:pPr>
            <w:r>
              <w:rPr>
                <w:rFonts w:hint="eastAsia" w:ascii="仿宋" w:hAnsi="仿宋" w:eastAsia="仿宋" w:cs="仿宋"/>
                <w:b/>
                <w:bCs/>
                <w:sz w:val="21"/>
                <w:szCs w:val="21"/>
              </w:rPr>
              <w:t xml:space="preserve">参数对比说明</w:t>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sz w:val="21"/>
                <w:szCs w:val="21"/>
                <w:lang w:eastAsia="zh-CN"/>
              </w:rPr>
            </w:pPr>
            <w:r>
              <w:rPr>
                <w:rFonts w:hint="eastAsia" w:ascii="仿宋" w:hAnsi="仿宋" w:eastAsia="仿宋" w:cs="仿宋"/>
                <w:b/>
                <w:bCs/>
                <w:sz w:val="21"/>
                <w:szCs w:val="21"/>
              </w:rPr>
              <w:t xml:space="preserve">选型佐证材料清单</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1163"/>
              <w:ind w:left="0" w:firstLine="0"/>
              <w:jc w:val="center"/>
              <w:spacing w:line="240" w:lineRule="auto"/>
              <w:rPr>
                <w:rFonts w:hint="eastAsia" w:ascii="仿宋" w:hAnsi="仿宋" w:eastAsia="仿宋" w:cs="仿宋"/>
                <w:b/>
                <w:bCs/>
                <w:sz w:val="21"/>
                <w:szCs w:val="21"/>
              </w:rPr>
            </w:pPr>
            <w:r>
              <w:rPr>
                <w:rFonts w:hint="eastAsia" w:ascii="仿宋" w:hAnsi="仿宋" w:eastAsia="仿宋" w:cs="仿宋"/>
                <w:b/>
                <w:bCs/>
                <w:sz w:val="21"/>
                <w:szCs w:val="21"/>
              </w:rPr>
              <w:t xml:space="preserve">对应材料页码</w:t>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1163"/>
              <w:ind w:left="0" w:firstLine="0"/>
              <w:jc w:val="center"/>
              <w:spacing w:line="240" w:lineRule="auto"/>
              <w:rPr>
                <w:rFonts w:hint="default" w:ascii="仿宋" w:hAnsi="仿宋" w:eastAsia="仿宋" w:cs="仿宋"/>
                <w:b/>
                <w:bCs/>
                <w:sz w:val="21"/>
                <w:szCs w:val="21"/>
                <w:lang w:val="en-US" w:eastAsia="zh-CN"/>
              </w:rPr>
            </w:pPr>
            <w:r>
              <w:rPr>
                <w:rFonts w:hint="eastAsia" w:ascii="仿宋" w:hAnsi="仿宋" w:eastAsia="仿宋" w:cs="仿宋"/>
                <w:b/>
                <w:bCs/>
                <w:sz w:val="21"/>
                <w:szCs w:val="21"/>
              </w:rPr>
              <w:t xml:space="preserve">质量承诺</w:t>
            </w:r>
            <w:r/>
          </w:p>
        </w:tc>
        <w:tc>
          <w:tcPr>
            <w:tcBorders>
              <w:top w:val="single" w:color="000000" w:sz="4" w:space="0"/>
              <w:left w:val="none" w:color="000000" w:sz="4" w:space="0"/>
              <w:bottom w:val="single" w:color="000000" w:sz="4" w:space="0"/>
              <w:right w:val="single" w:color="000000" w:sz="4" w:space="0"/>
            </w:tcBorders>
            <w:tcW w:w="446" w:type="dxa"/>
            <w:vAlign w:val="center"/>
            <w:textDirection w:val="lrTb"/>
            <w:noWrap w:val="false"/>
          </w:tcPr>
          <w:p>
            <w:pPr>
              <w:pStyle w:val="1163"/>
              <w:ind w:left="0" w:firstLine="0"/>
              <w:jc w:val="center"/>
              <w:spacing w:line="240" w:lineRule="auto"/>
              <w:rPr>
                <w:rFonts w:hint="default"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备注</w:t>
            </w:r>
            <w:r/>
          </w:p>
        </w:tc>
      </w:tr>
      <w:tr>
        <w:trPr>
          <w:jc w:val="center"/>
          <w:trHeight w:val="454"/>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contextualSpacing/>
              <w:jc w:val="center"/>
              <w:spacing w:line="240" w:lineRule="auto"/>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3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pStyle w:val="1163"/>
              <w:ind w:left="0" w:firstLine="0"/>
              <w:jc w:val="center"/>
              <w:spacing w:line="240" w:lineRule="auto"/>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pStyle w:val="1163"/>
              <w:ind w:left="0" w:firstLine="0"/>
              <w:jc w:val="center"/>
              <w:spacing w:line="240" w:lineRule="auto"/>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val="false"/>
          </w:tcPr>
          <w:p>
            <w:pPr>
              <w:pStyle w:val="1163"/>
              <w:ind w:left="0" w:firstLine="0"/>
              <w:jc w:val="center"/>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jc w:val="center"/>
          <w:trHeight w:val="454"/>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contextualSpacing/>
              <w:jc w:val="center"/>
              <w:spacing w:line="240" w:lineRule="auto"/>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3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454"/>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contextualSpacing/>
              <w:jc w:val="center"/>
              <w:spacing w:line="240" w:lineRule="auto"/>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3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r>
      <w:tr>
        <w:trPr>
          <w:jc w:val="center"/>
          <w:trHeight w:val="454"/>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contextualSpacing/>
              <w:jc w:val="center"/>
              <w:spacing w:line="240" w:lineRule="auto"/>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3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r>
      <w:tr>
        <w:trPr>
          <w:jc w:val="center"/>
          <w:trHeight w:val="454"/>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contextualSpacing/>
              <w:jc w:val="center"/>
              <w:spacing w:line="240" w:lineRule="auto"/>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3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r>
      <w:tr>
        <w:trPr>
          <w:jc w:val="center"/>
          <w:trHeight w:val="454"/>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contextualSpacing/>
              <w:jc w:val="center"/>
              <w:spacing w:line="240" w:lineRule="auto"/>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3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r>
      <w:tr>
        <w:trPr>
          <w:jc w:val="center"/>
          <w:trHeight w:val="454"/>
        </w:trPr>
        <w:tc>
          <w:tcPr>
            <w:tcBorders>
              <w:top w:val="none" w:color="000000" w:sz="4" w:space="0"/>
              <w:left w:val="single" w:color="000000" w:sz="4" w:space="0"/>
              <w:bottom w:val="single" w:color="000000" w:sz="4" w:space="0"/>
              <w:right w:val="single" w:color="000000" w:sz="4" w:space="0"/>
            </w:tcBorders>
            <w:tcW w:w="443"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2"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31"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44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r>
            <w:r/>
          </w:p>
        </w:tc>
      </w:tr>
    </w:tbl>
    <w:p>
      <w:pPr>
        <w:pStyle w:val="1392"/>
        <w:rPr>
          <w:rFonts w:hint="eastAsia" w:ascii="宋体" w:hAnsi="宋体" w:eastAsia="宋体" w:cs="宋体"/>
          <w:b w:val="0"/>
          <w:bCs w:val="0"/>
          <w:color w:val="000000"/>
          <w:sz w:val="24"/>
          <w:highlight w:val="none"/>
          <w:u w:val="single"/>
          <w:lang w:eastAsia="zh-CN"/>
        </w:rPr>
      </w:pPr>
      <w:r>
        <w:rPr>
          <w:rFonts w:hint="eastAsia" w:ascii="宋体" w:hAnsi="宋体" w:eastAsia="宋体" w:cs="宋体"/>
          <w:b w:val="0"/>
          <w:bCs w:val="0"/>
          <w:color w:val="000000"/>
          <w:sz w:val="24"/>
          <w:highlight w:val="none"/>
          <w:u w:val="single"/>
          <w:lang w:eastAsia="zh-CN"/>
        </w:rPr>
      </w:r>
      <w:r/>
    </w:p>
    <w:p>
      <w:pPr>
        <w:pStyle w:val="1392"/>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注：</w:t>
      </w:r>
      <w:r>
        <w:rPr>
          <w:rFonts w:hint="eastAsia" w:ascii="仿宋" w:hAnsi="仿宋" w:eastAsia="仿宋" w:cs="仿宋"/>
          <w:color w:val="000000"/>
          <w:sz w:val="21"/>
          <w:szCs w:val="21"/>
          <w:highlight w:val="none"/>
          <w:lang w:val="en-US" w:eastAsia="zh-CN"/>
        </w:rPr>
        <w:t xml:space="preserve">1.参考品牌列：严格按本项目工程量清单及编制说明中所列的参考品牌、系列填写，本列仅为招标参考，不构成品牌指定或限定。</w:t>
      </w:r>
      <w:r/>
    </w:p>
    <w:p>
      <w:pPr>
        <w:pStyle w:val="1392"/>
        <w:ind w:firstLine="21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投标承诺品牌列、型号列：可填写参考品牌同系列产品，或性能、参数、质量、使用寿命不低于参考品牌的同档次及以上产品；所有进场材料/设备的品牌、型号、系列必须与本表承诺完全一致，严禁擅自更换，否则视为违约，采购人有权要求整改、退货，产生的一切费用由成交供应商承担。</w:t>
      </w:r>
      <w:r/>
    </w:p>
    <w:p>
      <w:pPr>
        <w:pStyle w:val="1392"/>
        <w:ind w:firstLine="21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3.关键技术参数、参数对比说明列：须详细填写投标产品的核心技术参数，明确标注与参考品牌产品的参数对标情况，确保投标产品参数不低于参考品牌及本项目技术要求。</w:t>
      </w:r>
      <w:r/>
    </w:p>
    <w:p>
      <w:pPr>
        <w:pStyle w:val="1392"/>
        <w:ind w:firstLine="21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选用参考品牌外其他品牌的，必须在此列完整说明参数对标情况，作为评标委员会评审核心依据。</w:t>
      </w:r>
      <w:r/>
    </w:p>
    <w:p>
      <w:pPr>
        <w:pStyle w:val="1392"/>
        <w:ind w:firstLine="21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选型佐证材料清单、对应材料页码列：选用参考品牌外其他品牌的，须在此列列明佐证材料清单，包括但不限于：产品选型证明、技术参数对比表、产品型式试验报告、厂家授权书、产品合格证等；须准确填写对应佐证材料在投标文件中的页码，便于查阅，最终由磋商小组评审确认。</w:t>
      </w:r>
      <w:r/>
    </w:p>
    <w:p>
      <w:pPr>
        <w:pStyle w:val="1392"/>
        <w:ind w:firstLine="21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5.质量承诺列：须填写投标产品的质量保障承诺，包括但不限于：产品符合国家及行业现行标准、与本工程施工适配、满足供电部门验收要求、质保期内免费维修更换等内容。</w:t>
      </w:r>
      <w:r/>
    </w:p>
    <w:p>
      <w:pPr>
        <w:pStyle w:val="1392"/>
        <w:ind w:firstLine="21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6.其他要求：采购人可在不降低技术标准、不改变核心功能、不影响安全运行的前提下，对部分材料的品牌、规格、型号进行统一调整，投标单位报价时须综合考虑此因素，合同价格不作调整。</w:t>
      </w:r>
      <w:r/>
    </w:p>
    <w:p>
      <w:pPr>
        <w:jc w:val="left"/>
        <w:spacing w:before="240" w:after="240"/>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p>
      <w:pPr>
        <w:jc w:val="left"/>
        <w:spacing w:before="240" w:after="240"/>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供应商名称</w:t>
      </w:r>
      <w:r>
        <w:rPr>
          <w:rFonts w:hint="eastAsia" w:ascii="仿宋" w:hAnsi="仿宋" w:eastAsia="仿宋" w:cs="仿宋"/>
          <w:color w:val="000000"/>
          <w:sz w:val="21"/>
          <w:szCs w:val="21"/>
        </w:rPr>
        <w:t xml:space="preserve">：（加盖</w:t>
      </w:r>
      <w:r>
        <w:rPr>
          <w:rFonts w:hint="eastAsia" w:ascii="仿宋" w:hAnsi="仿宋" w:eastAsia="仿宋" w:cs="仿宋"/>
          <w:color w:val="000000"/>
          <w:sz w:val="21"/>
          <w:szCs w:val="21"/>
          <w:lang w:val="en-US" w:eastAsia="zh-CN"/>
        </w:rPr>
        <w:t xml:space="preserve">电子</w:t>
      </w:r>
      <w:r>
        <w:rPr>
          <w:rFonts w:hint="eastAsia" w:ascii="仿宋" w:hAnsi="仿宋" w:eastAsia="仿宋" w:cs="仿宋"/>
          <w:color w:val="000000"/>
          <w:sz w:val="21"/>
          <w:szCs w:val="21"/>
        </w:rPr>
        <w:t xml:space="preserve">公章）</w:t>
      </w:r>
      <w:r/>
    </w:p>
    <w:p>
      <w:pPr>
        <w:jc w:val="left"/>
        <w:spacing w:before="240" w:after="240"/>
        <w:rPr>
          <w:rFonts w:hint="eastAsia" w:ascii="仿宋" w:hAnsi="仿宋" w:eastAsia="仿宋" w:cs="仿宋"/>
          <w:b/>
          <w:i/>
          <w:color w:val="000000"/>
          <w:sz w:val="21"/>
          <w:szCs w:val="21"/>
        </w:rPr>
      </w:pPr>
      <w:r>
        <w:rPr>
          <w:rFonts w:hint="eastAsia" w:ascii="仿宋" w:hAnsi="仿宋" w:eastAsia="仿宋" w:cs="仿宋"/>
          <w:color w:val="000000"/>
          <w:sz w:val="21"/>
          <w:szCs w:val="21"/>
        </w:rPr>
        <w:t xml:space="preserve">日期： </w:t>
      </w:r>
      <w:r>
        <w:rPr>
          <w:rFonts w:ascii="Calibri" w:hAnsi="Calibri" w:eastAsia="仿宋" w:cs="Calibri"/>
          <w:color w:val="000000"/>
          <w:sz w:val="21"/>
          <w:szCs w:val="21"/>
        </w:rPr>
        <w:t xml:space="preserve">   </w:t>
      </w:r>
      <w:r>
        <w:rPr>
          <w:rFonts w:hint="eastAsia" w:ascii="仿宋" w:hAnsi="仿宋" w:eastAsia="仿宋" w:cs="仿宋"/>
          <w:color w:val="000000"/>
          <w:sz w:val="21"/>
          <w:szCs w:val="21"/>
        </w:rPr>
        <w:t xml:space="preserve">年 </w:t>
      </w:r>
      <w:r>
        <w:rPr>
          <w:rFonts w:ascii="Calibri" w:hAnsi="Calibri" w:eastAsia="仿宋" w:cs="Calibri"/>
          <w:color w:val="000000"/>
          <w:sz w:val="21"/>
          <w:szCs w:val="21"/>
        </w:rPr>
        <w:t xml:space="preserve">   </w:t>
      </w:r>
      <w:r>
        <w:rPr>
          <w:rFonts w:hint="eastAsia" w:ascii="仿宋" w:hAnsi="仿宋" w:eastAsia="仿宋" w:cs="仿宋"/>
          <w:color w:val="000000"/>
          <w:sz w:val="21"/>
          <w:szCs w:val="21"/>
        </w:rPr>
        <w:t xml:space="preserve">月 </w:t>
      </w:r>
      <w:r>
        <w:rPr>
          <w:rFonts w:ascii="Calibri" w:hAnsi="Calibri" w:eastAsia="仿宋" w:cs="Calibri"/>
          <w:color w:val="000000"/>
          <w:sz w:val="21"/>
          <w:szCs w:val="21"/>
        </w:rPr>
        <w:t xml:space="preserve">   </w:t>
      </w:r>
      <w:r>
        <w:rPr>
          <w:rFonts w:hint="eastAsia" w:ascii="仿宋" w:hAnsi="仿宋" w:eastAsia="仿宋" w:cs="仿宋"/>
          <w:color w:val="000000"/>
          <w:sz w:val="21"/>
          <w:szCs w:val="21"/>
        </w:rPr>
        <w:t xml:space="preserve">日</w:t>
      </w:r>
      <w:r/>
    </w:p>
    <w:p>
      <w:pPr>
        <w:pStyle w:val="819"/>
        <w:rPr>
          <w:rFonts w:hint="eastAsia" w:hAnsi="宋体" w:cs="宋体"/>
          <w:color w:val="000000"/>
          <w:sz w:val="24"/>
          <w:szCs w:val="20"/>
          <w:highlight w:val="none"/>
        </w:rPr>
      </w:pPr>
      <w:r>
        <w:rPr>
          <w:rFonts w:hint="eastAsia" w:hAnsi="宋体" w:cs="宋体"/>
          <w:color w:val="000000"/>
          <w:sz w:val="24"/>
          <w:szCs w:val="20"/>
          <w:highlight w:val="none"/>
        </w:rPr>
        <w:br w:type="page" w:clear="all"/>
      </w:r>
      <w:r/>
    </w:p>
    <w:p>
      <w:pPr>
        <w:jc w:val="both"/>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lang w:val="en-US" w:eastAsia="zh-CN"/>
        </w:rPr>
        <w:t xml:space="preserve">10</w:t>
      </w:r>
      <w:r>
        <w:rPr>
          <w:rFonts w:hint="eastAsia" w:ascii="仿宋" w:hAnsi="仿宋" w:eastAsia="仿宋" w:cs="仿宋"/>
          <w:color w:val="000000"/>
          <w:sz w:val="24"/>
          <w:szCs w:val="20"/>
          <w:highlight w:val="none"/>
        </w:rPr>
        <w:t xml:space="preserve"> 备品备件选用表</w:t>
      </w:r>
      <w:r/>
    </w:p>
    <w:p>
      <w:pPr>
        <w:jc w:val="center"/>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 xml:space="preserve">备品备件选用表</w:t>
      </w:r>
      <w:r/>
    </w:p>
    <w:p>
      <w:pPr>
        <w:jc w:val="center"/>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tbl>
      <w:tblPr>
        <w:tblStyle w:val="788"/>
        <w:tblW w:w="0" w:type="auto"/>
        <w:tblInd w:w="-23" w:type="dxa"/>
        <w:tblLayout w:type="autofit"/>
        <w:tblCellMar>
          <w:left w:w="108" w:type="dxa"/>
          <w:top w:w="0" w:type="dxa"/>
          <w:right w:w="108" w:type="dxa"/>
          <w:bottom w:w="0" w:type="dxa"/>
        </w:tblCellMar>
        <w:tblLook w:val="04A0" w:firstRow="1" w:lastRow="0" w:firstColumn="1" w:lastColumn="0" w:noHBand="0" w:noVBand="1"/>
      </w:tblPr>
      <w:tblGrid>
        <w:gridCol w:w="970"/>
        <w:gridCol w:w="2270"/>
        <w:gridCol w:w="2100"/>
        <w:gridCol w:w="1420"/>
        <w:gridCol w:w="1426"/>
        <w:gridCol w:w="1144"/>
      </w:tblGrid>
      <w:tr>
        <w:trPr>
          <w:trHeight w:val="397"/>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rPr>
            </w:pPr>
            <w:r>
              <w:rPr>
                <w:rFonts w:hint="eastAsia" w:ascii="仿宋" w:hAnsi="仿宋" w:eastAsia="仿宋" w:cs="仿宋"/>
                <w:b/>
                <w:color w:val="000000"/>
                <w:sz w:val="24"/>
                <w:szCs w:val="24"/>
                <w:highlight w:val="none"/>
                <w:lang w:val="en-US" w:eastAsia="zh-CN"/>
              </w:rPr>
              <w:t xml:space="preserve">备品备件名称</w:t>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使用要求</w:t>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数量</w:t>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价格</w:t>
            </w:r>
            <w:r/>
          </w:p>
        </w:tc>
        <w:tc>
          <w:tcPr>
            <w:tcBorders>
              <w:top w:val="singl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备注</w:t>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left"/>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7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keepLines w:val="0"/>
              <w:keepNext w:val="0"/>
              <w:pageBreakBefore w:val="0"/>
              <w:spacing w:line="360" w:lineRule="exact"/>
              <w:widowControl w:val="off"/>
              <w:rPr>
                <w:rFonts w:hint="eastAsia" w:ascii="仿宋" w:hAnsi="仿宋" w:eastAsia="仿宋" w:cs="仿宋"/>
                <w:bCs/>
                <w:color w:val="000000"/>
                <w:sz w:val="18"/>
                <w:szCs w:val="18"/>
                <w:highlight w:val="none"/>
                <w:lang w:val="en-US" w:eastAsia="zh-CN" w:bidi="ar-SA"/>
              </w:rPr>
            </w:pPr>
            <w:r>
              <w:rPr>
                <w:rFonts w:hint="eastAsia" w:ascii="仿宋" w:hAnsi="仿宋" w:eastAsia="仿宋" w:cs="仿宋"/>
                <w:bCs/>
                <w:color w:val="000000"/>
                <w:sz w:val="18"/>
                <w:szCs w:val="18"/>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bl>
    <w:p>
      <w:pPr>
        <w:pStyle w:val="1392"/>
        <w:rPr>
          <w:rFonts w:hint="eastAsia" w:ascii="宋体" w:hAnsi="宋体" w:eastAsia="宋体" w:cs="宋体"/>
          <w:b w:val="0"/>
          <w:bCs w:val="0"/>
          <w:color w:val="000000"/>
          <w:sz w:val="24"/>
          <w:highlight w:val="none"/>
          <w:u w:val="single"/>
          <w:lang w:eastAsia="zh-CN"/>
        </w:rPr>
      </w:pPr>
      <w:r>
        <w:rPr>
          <w:rFonts w:hint="eastAsia" w:ascii="宋体" w:hAnsi="宋体" w:eastAsia="宋体" w:cs="宋体"/>
          <w:b w:val="0"/>
          <w:bCs w:val="0"/>
          <w:color w:val="000000"/>
          <w:sz w:val="24"/>
          <w:highlight w:val="none"/>
          <w:u w:val="single"/>
          <w:lang w:eastAsia="zh-CN"/>
        </w:rPr>
      </w:r>
      <w:r/>
    </w:p>
    <w:p>
      <w:pPr>
        <w:pStyle w:val="1392"/>
        <w:ind w:firstLine="480"/>
        <w:rPr>
          <w:rFonts w:hint="eastAsia" w:hAnsi="宋体" w:cs="宋体"/>
          <w:color w:val="000000"/>
          <w:sz w:val="24"/>
          <w:szCs w:val="20"/>
          <w:highlight w:val="none"/>
        </w:rPr>
      </w:pPr>
      <w:r>
        <w:rPr>
          <w:rFonts w:hint="eastAsia" w:hAnsi="宋体" w:cs="宋体"/>
          <w:color w:val="000000"/>
          <w:sz w:val="24"/>
          <w:szCs w:val="20"/>
          <w:highlight w:val="none"/>
        </w:rPr>
      </w:r>
      <w:r/>
    </w:p>
    <w:p>
      <w:pPr>
        <w:jc w:val="left"/>
        <w:spacing w:before="240" w:after="240"/>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供应商名称</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p>
    <w:p>
      <w:pPr>
        <w:jc w:val="left"/>
        <w:spacing w:before="240" w:after="240"/>
        <w:rPr>
          <w:rFonts w:hint="eastAsia" w:ascii="仿宋" w:hAnsi="仿宋" w:eastAsia="仿宋" w:cs="仿宋"/>
          <w:b/>
          <w:i/>
          <w:color w:val="000000"/>
          <w:sz w:val="24"/>
        </w:rPr>
      </w:pPr>
      <w:r>
        <w:rPr>
          <w:rFonts w:hint="eastAsia" w:ascii="仿宋" w:hAnsi="仿宋" w:eastAsia="仿宋" w:cs="仿宋"/>
          <w:color w:val="000000"/>
          <w:sz w:val="24"/>
        </w:rPr>
        <w:t xml:space="preserve">日期： </w:t>
      </w:r>
      <w:r>
        <w:rPr>
          <w:rFonts w:ascii="Calibri" w:hAnsi="Calibri" w:eastAsia="仿宋" w:cs="Calibri"/>
          <w:color w:val="000000"/>
          <w:sz w:val="24"/>
        </w:rPr>
        <w:t xml:space="preserve">   </w:t>
      </w:r>
      <w:r>
        <w:rPr>
          <w:rFonts w:hint="eastAsia" w:ascii="仿宋" w:hAnsi="仿宋" w:eastAsia="仿宋" w:cs="仿宋"/>
          <w:color w:val="000000"/>
          <w:sz w:val="24"/>
        </w:rPr>
        <w:t xml:space="preserve">年 </w:t>
      </w:r>
      <w:r>
        <w:rPr>
          <w:rFonts w:ascii="Calibri" w:hAnsi="Calibri" w:eastAsia="仿宋" w:cs="Calibri"/>
          <w:color w:val="000000"/>
          <w:sz w:val="24"/>
        </w:rPr>
        <w:t xml:space="preserve">   </w:t>
      </w:r>
      <w:r>
        <w:rPr>
          <w:rFonts w:hint="eastAsia" w:ascii="仿宋" w:hAnsi="仿宋" w:eastAsia="仿宋" w:cs="仿宋"/>
          <w:color w:val="000000"/>
          <w:sz w:val="24"/>
        </w:rPr>
        <w:t xml:space="preserve">月 </w:t>
      </w:r>
      <w:r>
        <w:rPr>
          <w:rFonts w:ascii="Calibri" w:hAnsi="Calibri" w:eastAsia="仿宋" w:cs="Calibri"/>
          <w:color w:val="000000"/>
          <w:sz w:val="24"/>
        </w:rPr>
        <w:t xml:space="preserve">   </w:t>
      </w:r>
      <w:r>
        <w:rPr>
          <w:rFonts w:hint="eastAsia" w:ascii="仿宋" w:hAnsi="仿宋" w:eastAsia="仿宋" w:cs="仿宋"/>
          <w:color w:val="000000"/>
          <w:sz w:val="24"/>
        </w:rPr>
        <w:t xml:space="preserve">日</w:t>
      </w:r>
      <w:r/>
    </w:p>
    <w:p>
      <w:pPr>
        <w:pStyle w:val="1392"/>
        <w:ind w:firstLine="0"/>
        <w:rPr>
          <w:rFonts w:hint="eastAsia" w:hAnsi="宋体" w:cs="宋体"/>
          <w:color w:val="000000"/>
          <w:sz w:val="24"/>
          <w:szCs w:val="20"/>
          <w:highlight w:val="none"/>
          <w:lang w:val="en-US" w:eastAsia="zh-CN"/>
        </w:rPr>
      </w:pPr>
      <w:r>
        <w:rPr>
          <w:rFonts w:hint="eastAsia" w:hAnsi="宋体" w:cs="宋体"/>
          <w:color w:val="000000"/>
          <w:sz w:val="24"/>
          <w:szCs w:val="20"/>
          <w:highlight w:val="none"/>
        </w:rPr>
        <w:br w:type="page" w:clear="all"/>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b/>
          <w:bCs/>
          <w:color w:val="000000"/>
          <w:sz w:val="24"/>
          <w:szCs w:val="24"/>
          <w:highlight w:val="none"/>
          <w:lang w:val="en-US" w:eastAsia="zh-CN"/>
        </w:rPr>
        <w:t xml:space="preserve">11</w:t>
      </w:r>
      <w:r>
        <w:rPr>
          <w:rFonts w:hint="eastAsia" w:ascii="仿宋" w:hAnsi="仿宋" w:eastAsia="仿宋" w:cs="仿宋"/>
          <w:b/>
          <w:bCs/>
          <w:color w:val="000000"/>
          <w:sz w:val="24"/>
          <w:szCs w:val="24"/>
          <w:highlight w:val="none"/>
        </w:rPr>
        <w:t xml:space="preserve">  合同条款偏离表</w:t>
      </w:r>
      <w:bookmarkEnd w:id="822"/>
      <w:r>
        <w:rPr>
          <w:b/>
          <w:bCs/>
        </w:rPr>
      </w:r>
      <w:bookmarkEnd w:id="823"/>
      <w:r>
        <w:rPr>
          <w:b/>
          <w:bCs/>
        </w:rPr>
      </w:r>
      <w:bookmarkEnd w:id="824"/>
      <w:r>
        <w:rPr>
          <w:b/>
          <w:bCs/>
        </w:rPr>
      </w:r>
      <w:bookmarkEnd w:id="825"/>
      <w:r>
        <w:rPr>
          <w:b/>
          <w:bCs/>
        </w:rPr>
      </w:r>
      <w:bookmarkEnd w:id="826"/>
      <w:r>
        <w:rPr>
          <w:b/>
          <w:bCs/>
        </w:rPr>
      </w:r>
      <w:bookmarkEnd w:id="827"/>
      <w:r>
        <w:rPr>
          <w:b/>
          <w:bCs/>
        </w:rPr>
      </w:r>
      <w:bookmarkEnd w:id="828"/>
      <w:r>
        <w:rPr>
          <w:b/>
          <w:bCs/>
        </w:rPr>
      </w:r>
      <w:bookmarkEnd w:id="829"/>
      <w:r>
        <w:rPr>
          <w:b/>
          <w:bCs/>
        </w:rPr>
      </w:r>
      <w:bookmarkEnd w:id="830"/>
      <w:r>
        <w:rPr>
          <w:b/>
          <w:bCs/>
        </w:rPr>
      </w:r>
      <w:bookmarkEnd w:id="831"/>
      <w:r>
        <w:rPr>
          <w:b/>
          <w:bCs/>
        </w:rPr>
      </w:r>
      <w:bookmarkEnd w:id="832"/>
      <w:r>
        <w:rPr>
          <w:b/>
          <w:bCs/>
        </w:rPr>
      </w:r>
      <w:bookmarkEnd w:id="833"/>
      <w:r>
        <w:rPr>
          <w:b/>
          <w:bCs/>
        </w:rPr>
      </w:r>
      <w:bookmarkEnd w:id="834"/>
      <w:r>
        <w:rPr>
          <w:rFonts w:hint="eastAsia" w:ascii="仿宋" w:hAnsi="仿宋" w:eastAsia="仿宋" w:cs="仿宋"/>
          <w:b/>
          <w:bCs/>
          <w:color w:val="000000"/>
          <w:sz w:val="24"/>
          <w:szCs w:val="24"/>
          <w:highlight w:val="none"/>
        </w:rPr>
        <w:t xml:space="preserve">（实</w:t>
      </w:r>
      <w:r>
        <w:rPr>
          <w:rFonts w:hint="eastAsia" w:ascii="仿宋" w:hAnsi="仿宋" w:eastAsia="仿宋" w:cs="仿宋"/>
          <w:b/>
          <w:color w:val="000000"/>
          <w:sz w:val="24"/>
          <w:szCs w:val="24"/>
          <w:highlight w:val="none"/>
        </w:rPr>
        <w:t xml:space="preserve">质性格式）</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b/>
          <w:color w:val="000000"/>
          <w:sz w:val="32"/>
          <w:szCs w:val="32"/>
          <w:highlight w:val="none"/>
        </w:rPr>
      </w:pPr>
      <w:r/>
      <w:bookmarkStart w:id="848" w:name="_Hlk145586489"/>
      <w:r/>
      <w:bookmarkStart w:id="849" w:name="_Hlk145586831"/>
      <w:r>
        <w:rPr>
          <w:rFonts w:hint="eastAsia" w:ascii="仿宋" w:hAnsi="仿宋" w:eastAsia="仿宋" w:cs="仿宋"/>
          <w:b/>
          <w:color w:val="000000"/>
          <w:sz w:val="32"/>
          <w:szCs w:val="32"/>
          <w:highlight w:val="none"/>
        </w:rPr>
        <w:t xml:space="preserve">合同条款偏离表</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360"/>
        <w:jc w:val="left"/>
        <w:spacing w:line="360" w:lineRule="auto"/>
        <w:tabs>
          <w:tab w:val="left" w:pos="1800" w:leader="none"/>
          <w:tab w:val="left" w:pos="5580" w:leader="none"/>
        </w:tabs>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288" w:type="dxa"/>
            <w:vAlign w:val="center"/>
            <w:textDirection w:val="lrTb"/>
            <w:noWrap w:val="false"/>
          </w:tcPr>
          <w:p>
            <w:pPr>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对本项目合同条款的偏离情况（请进行勾选）：</w:t>
            </w:r>
            <w:r/>
          </w:p>
          <w:p>
            <w:pPr>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□无偏离</w:t>
            </w:r>
            <w:r>
              <w:rPr>
                <w:rFonts w:hint="eastAsia" w:ascii="仿宋" w:hAnsi="仿宋" w:eastAsia="仿宋" w:cs="仿宋"/>
                <w:color w:val="000000"/>
                <w:sz w:val="24"/>
                <w:szCs w:val="24"/>
                <w:highlight w:val="none"/>
              </w:rPr>
              <w:t xml:space="preserve">（如无偏离，仅勾选无偏离即可）</w:t>
            </w:r>
            <w:r/>
          </w:p>
          <w:p>
            <w:pPr>
              <w:jc w:val="lef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□有偏离</w:t>
            </w:r>
            <w:r>
              <w:rPr>
                <w:rFonts w:hint="eastAsia" w:ascii="仿宋" w:hAnsi="仿宋" w:eastAsia="仿宋" w:cs="仿宋"/>
                <w:color w:val="000000"/>
                <w:sz w:val="24"/>
                <w:szCs w:val="24"/>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磋商文件条目号（页码）</w:t>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响应文件内容</w:t>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偏离情况</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（据实填写）</w:t>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jc w:val="left"/>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spacing w:line="360" w:lineRule="auto"/>
        <w:tabs>
          <w:tab w:val="left" w:pos="1800" w:leader="none"/>
          <w:tab w:val="left" w:pos="558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注：</w:t>
      </w:r>
      <w:r/>
    </w:p>
    <w:p>
      <w:pPr>
        <w:jc w:val="left"/>
        <w:spacing w:line="360" w:lineRule="auto"/>
        <w:tabs>
          <w:tab w:val="left" w:pos="1800" w:leader="none"/>
          <w:tab w:val="left" w:pos="5580" w:leader="none"/>
        </w:tabs>
        <w:rPr>
          <w:rFonts w:ascii="仿宋" w:hAnsi="仿宋" w:eastAsia="仿宋"/>
          <w:color w:val="000000"/>
          <w:sz w:val="24"/>
          <w:szCs w:val="24"/>
          <w:highlight w:val="none"/>
        </w:rPr>
      </w:pPr>
      <w:r>
        <w:rPr>
          <w:rFonts w:ascii="仿宋" w:hAnsi="仿宋" w:eastAsia="仿宋"/>
          <w:color w:val="000000"/>
          <w:sz w:val="24"/>
          <w:szCs w:val="24"/>
          <w:highlight w:val="none"/>
        </w:rPr>
        <w:t xml:space="preserve">1. </w:t>
      </w:r>
      <w:r>
        <w:rPr>
          <w:rFonts w:hint="eastAsia" w:ascii="仿宋" w:hAnsi="仿宋" w:eastAsia="仿宋"/>
          <w:color w:val="000000"/>
          <w:sz w:val="24"/>
          <w:szCs w:val="24"/>
          <w:highlight w:val="none"/>
        </w:rPr>
        <w:t xml:space="preserve">对合同条款中的所有要求，除本表所列明的所有偏离外，均视作供应商已对之理解和响应。</w:t>
      </w:r>
      <w:r/>
    </w:p>
    <w:p>
      <w:pPr>
        <w:spacing w:before="25" w:after="25" w:line="360" w:lineRule="auto"/>
        <w:rPr>
          <w:rFonts w:hint="eastAsia" w:ascii="仿宋" w:hAnsi="仿宋" w:eastAsia="仿宋" w:cs="仿宋"/>
          <w:color w:val="000000"/>
          <w:sz w:val="24"/>
          <w:szCs w:val="24"/>
          <w:highlight w:val="none"/>
        </w:rPr>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“偏离情况”列应据实填写“正偏离”或“负偏离”。</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818"/>
        <w:rPr>
          <w:rFonts w:hint="eastAsia"/>
          <w:sz w:val="24"/>
          <w:szCs w:val="24"/>
          <w:lang w:val="zh-CN"/>
        </w:rPr>
      </w:pPr>
      <w:r>
        <w:rPr>
          <w:rFonts w:hint="eastAsia"/>
          <w:sz w:val="24"/>
          <w:szCs w:val="24"/>
          <w:lang w:val="zh-CN"/>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日期：_____年____月____日</w:t>
      </w:r>
      <w:bookmarkEnd w:id="848"/>
      <w:r/>
    </w:p>
    <w:p>
      <w:pPr>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b/>
          <w:bCs/>
          <w:color w:val="000000"/>
          <w:sz w:val="24"/>
          <w:szCs w:val="24"/>
          <w:highlight w:val="none"/>
          <w:lang w:val="en-US" w:eastAsia="zh-CN"/>
        </w:rPr>
        <w:t xml:space="preserve">12</w:t>
      </w:r>
      <w:r>
        <w:rPr>
          <w:rFonts w:hint="eastAsia" w:ascii="仿宋" w:hAnsi="仿宋" w:eastAsia="仿宋" w:cs="仿宋"/>
          <w:b/>
          <w:bCs/>
          <w:color w:val="000000"/>
          <w:sz w:val="24"/>
          <w:szCs w:val="24"/>
          <w:highlight w:val="none"/>
        </w:rPr>
        <w:t xml:space="preserve">  </w:t>
      </w:r>
      <w:bookmarkEnd w:id="835"/>
      <w:r>
        <w:rPr>
          <w:b/>
          <w:bCs/>
        </w:rPr>
      </w:r>
      <w:bookmarkEnd w:id="836"/>
      <w:r>
        <w:rPr>
          <w:b/>
          <w:bCs/>
        </w:rPr>
      </w:r>
      <w:bookmarkEnd w:id="837"/>
      <w:r>
        <w:rPr>
          <w:b/>
          <w:bCs/>
        </w:rPr>
      </w:r>
      <w:bookmarkEnd w:id="838"/>
      <w:r>
        <w:rPr>
          <w:b/>
          <w:bCs/>
        </w:rPr>
      </w:r>
      <w:bookmarkEnd w:id="839"/>
      <w:r>
        <w:rPr>
          <w:b/>
          <w:bCs/>
        </w:rPr>
      </w:r>
      <w:bookmarkEnd w:id="840"/>
      <w:r>
        <w:rPr>
          <w:b/>
          <w:bCs/>
        </w:rPr>
      </w:r>
      <w:bookmarkEnd w:id="841"/>
      <w:r>
        <w:rPr>
          <w:b/>
          <w:bCs/>
        </w:rPr>
      </w:r>
      <w:bookmarkEnd w:id="842"/>
      <w:r>
        <w:rPr>
          <w:b/>
          <w:bCs/>
        </w:rPr>
      </w:r>
      <w:bookmarkEnd w:id="843"/>
      <w:r>
        <w:rPr>
          <w:b/>
          <w:bCs/>
        </w:rPr>
      </w:r>
      <w:bookmarkEnd w:id="844"/>
      <w:r>
        <w:rPr>
          <w:b/>
          <w:bCs/>
        </w:rPr>
      </w:r>
      <w:bookmarkEnd w:id="845"/>
      <w:r>
        <w:rPr>
          <w:b/>
          <w:bCs/>
        </w:rPr>
      </w:r>
      <w:bookmarkEnd w:id="846"/>
      <w:r>
        <w:rPr>
          <w:b/>
          <w:bCs/>
        </w:rPr>
      </w:r>
      <w:bookmarkEnd w:id="847"/>
      <w:r>
        <w:rPr>
          <w:rFonts w:hint="eastAsia" w:ascii="仿宋" w:hAnsi="仿宋" w:eastAsia="仿宋" w:cs="仿宋"/>
          <w:b/>
          <w:bCs/>
          <w:color w:val="000000"/>
          <w:sz w:val="24"/>
          <w:szCs w:val="24"/>
          <w:highlight w:val="none"/>
        </w:rPr>
        <w:t xml:space="preserve">采购需求偏离表</w:t>
      </w:r>
      <w:r>
        <w:rPr>
          <w:rFonts w:hint="eastAsia" w:ascii="仿宋" w:hAnsi="仿宋" w:eastAsia="仿宋" w:cs="仿宋"/>
          <w:b/>
          <w:color w:val="000000"/>
          <w:sz w:val="24"/>
          <w:szCs w:val="24"/>
          <w:highlight w:val="none"/>
        </w:rPr>
        <w:t xml:space="preserve">（实质性格式）</w:t>
      </w:r>
      <w:r/>
    </w:p>
    <w:p>
      <w:pPr>
        <w:jc w:val="center"/>
        <w:rPr>
          <w:rFonts w:hint="eastAsia" w:ascii="仿宋" w:hAnsi="仿宋" w:eastAsia="仿宋" w:cs="仿宋"/>
          <w:b/>
          <w:color w:val="000000"/>
          <w:sz w:val="24"/>
          <w:szCs w:val="24"/>
          <w:highlight w:val="none"/>
        </w:rPr>
      </w:pPr>
      <w:r/>
      <w:bookmarkStart w:id="850" w:name="_Hlk145586512"/>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采购需求偏离表</w:t>
      </w:r>
      <w:r/>
    </w:p>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ind w:firstLine="360"/>
        <w:jc w:val="left"/>
        <w:spacing w:line="360" w:lineRule="auto"/>
        <w:tabs>
          <w:tab w:val="left" w:pos="1800" w:leader="none"/>
          <w:tab w:val="left" w:pos="5580" w:leader="none"/>
        </w:tabs>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8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磋商文件条目号(页码)</w:t>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响应内容</w:t>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偏离情况</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（据实填写）</w:t>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jc w:val="left"/>
        <w:spacing w:line="360" w:lineRule="auto"/>
        <w:tabs>
          <w:tab w:val="left" w:pos="1800" w:leader="none"/>
          <w:tab w:val="left" w:pos="5580" w:leader="none"/>
        </w:tabs>
        <w:rPr>
          <w:rFonts w:ascii="仿宋" w:hAnsi="仿宋" w:eastAsia="仿宋"/>
          <w:color w:val="000000"/>
          <w:sz w:val="24"/>
          <w:szCs w:val="24"/>
          <w:highlight w:val="none"/>
        </w:rPr>
      </w:pPr>
      <w:r>
        <w:rPr>
          <w:rFonts w:ascii="仿宋" w:hAnsi="仿宋" w:eastAsia="仿宋"/>
          <w:color w:val="000000"/>
          <w:sz w:val="24"/>
          <w:szCs w:val="24"/>
          <w:highlight w:val="none"/>
        </w:rPr>
        <w:t xml:space="preserve">注：</w:t>
      </w:r>
      <w:r/>
    </w:p>
    <w:p>
      <w:pPr>
        <w:jc w:val="left"/>
        <w:spacing w:line="360" w:lineRule="auto"/>
        <w:tabs>
          <w:tab w:val="left" w:pos="1800" w:leader="none"/>
          <w:tab w:val="left" w:pos="5580" w:leader="none"/>
        </w:tabs>
        <w:rPr>
          <w:rFonts w:ascii="仿宋" w:hAnsi="仿宋" w:eastAsia="仿宋"/>
          <w:b/>
          <w:bCs/>
          <w:color w:val="000000"/>
          <w:sz w:val="24"/>
          <w:szCs w:val="24"/>
          <w:highlight w:val="none"/>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 对磋商文件中的所有商务、技术要求，除本表所列明的所有偏离外，均视作供应商已对之理解和</w:t>
      </w:r>
      <w:r>
        <w:rPr>
          <w:rFonts w:hint="eastAsia" w:ascii="仿宋" w:hAnsi="仿宋" w:eastAsia="仿宋"/>
          <w:color w:val="000000"/>
          <w:sz w:val="24"/>
          <w:szCs w:val="24"/>
          <w:highlight w:val="none"/>
        </w:rPr>
        <w:t xml:space="preserve">响应</w:t>
      </w:r>
      <w:r>
        <w:rPr>
          <w:rFonts w:ascii="仿宋" w:hAnsi="仿宋" w:eastAsia="仿宋"/>
          <w:color w:val="000000"/>
          <w:sz w:val="24"/>
          <w:szCs w:val="24"/>
          <w:highlight w:val="none"/>
        </w:rPr>
        <w:t xml:space="preserve">。</w:t>
      </w:r>
      <w:r>
        <w:rPr>
          <w:rFonts w:hint="eastAsia" w:ascii="仿宋" w:hAnsi="仿宋" w:eastAsia="仿宋"/>
          <w:b/>
          <w:bCs/>
          <w:color w:val="000000"/>
          <w:sz w:val="24"/>
          <w:szCs w:val="24"/>
          <w:highlight w:val="none"/>
        </w:rPr>
        <w:t xml:space="preserve">此表中若无任何文字说明，内容为空白，则响应无效。</w:t>
      </w:r>
      <w:r/>
    </w:p>
    <w:p>
      <w:pPr>
        <w:jc w:val="left"/>
        <w:spacing w:line="360" w:lineRule="auto"/>
        <w:tabs>
          <w:tab w:val="left" w:pos="1800" w:leader="none"/>
          <w:tab w:val="left" w:pos="5580" w:leader="none"/>
        </w:tabs>
        <w:rPr>
          <w:rFonts w:ascii="仿宋" w:hAnsi="仿宋" w:eastAsia="仿宋"/>
          <w:color w:val="000000"/>
          <w:sz w:val="24"/>
          <w:szCs w:val="24"/>
          <w:highlight w:val="none"/>
          <w:lang w:val="zh-CN"/>
        </w:rPr>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“偏离情况”列应据实填写“正偏离”或“负偏离”、“无偏离”。</w:t>
      </w:r>
      <w:r/>
    </w:p>
    <w:p>
      <w:pPr>
        <w:jc w:val="left"/>
        <w:keepLines w:val="0"/>
        <w:keepNext w:val="0"/>
        <w:pageBreakBefore w:val="0"/>
        <w:spacing w:line="312" w:lineRule="auto"/>
        <w:widowControl w:val="off"/>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____________</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日期：_____年____月____日</w:t>
      </w:r>
      <w:bookmarkEnd w:id="850"/>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bookmarkEnd w:id="849"/>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  项目实施方案等，包括但不限于如下主题：</w:t>
      </w:r>
      <w:r/>
    </w:p>
    <w:p>
      <w:pPr>
        <w:ind w:firstLine="480"/>
        <w:spacing w:line="360" w:lineRule="auto"/>
        <w:rPr>
          <w:rFonts w:hint="eastAsia" w:ascii="仿宋" w:hAnsi="仿宋" w:eastAsia="仿宋" w:cs="仿宋"/>
          <w:color w:val="000000"/>
          <w:sz w:val="24"/>
          <w:szCs w:val="24"/>
          <w:highlight w:val="none"/>
          <w:lang w:val="en-US" w:eastAsia="zh-CN"/>
        </w:rPr>
      </w:pPr>
      <w:r/>
      <w:bookmarkStart w:id="851" w:name="_Hlk145586664"/>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）施工总体实施方案及项目重难点专项管控分析</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）施工进度专项安排及工期履约保障措施</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）安全文明施工及环境保护专项保障措施</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sz w:val="24"/>
          <w:szCs w:val="24"/>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）施工突发情况应急处置专项预案</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）工程施工质量全过程管控及验收保障措施</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）售后服务</w:t>
      </w:r>
      <w:r>
        <w:rPr>
          <w:rFonts w:hint="eastAsia" w:ascii="仿宋" w:hAnsi="仿宋" w:eastAsia="仿宋" w:cs="仿宋"/>
          <w:color w:val="000000"/>
          <w:sz w:val="24"/>
          <w:szCs w:val="24"/>
          <w:highlight w:val="none"/>
          <w:lang w:val="en-US" w:eastAsia="zh-CN"/>
        </w:rPr>
        <w:t xml:space="preserve">；</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7)其他。</w:t>
      </w:r>
      <w:r>
        <w:rPr>
          <w:rFonts w:hint="eastAsia" w:ascii="仿宋" w:hAnsi="仿宋" w:eastAsia="仿宋" w:cs="仿宋"/>
          <w:color w:val="000000"/>
          <w:sz w:val="24"/>
          <w:szCs w:val="24"/>
          <w:highlight w:val="none"/>
          <w:lang w:val="en-US" w:eastAsia="zh-CN"/>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rPr>
          <w:rFonts w:hint="eastAsia" w:ascii="仿宋" w:hAnsi="仿宋" w:eastAsia="仿宋" w:cs="仿宋"/>
          <w:color w:val="000000"/>
          <w:sz w:val="24"/>
          <w:szCs w:val="24"/>
          <w:highlight w:val="none"/>
        </w:rPr>
      </w:r>
    </w:p>
    <w:p>
      <w:pPr>
        <w:spacing w:line="360" w:lineRule="auto"/>
        <w:rPr>
          <w:rFonts w:hint="eastAsia" w:ascii="仿宋" w:hAnsi="仿宋" w:eastAsia="仿宋" w:cs="仿宋"/>
          <w:color w:val="000000"/>
          <w:highlight w:val="none"/>
        </w:rPr>
        <w:outlineLvl w:val="2"/>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  参加本项目人员一览表</w:t>
      </w:r>
      <w:r>
        <w:rPr>
          <w:rFonts w:hint="eastAsia" w:ascii="仿宋" w:hAnsi="仿宋" w:eastAsia="仿宋" w:cs="仿宋"/>
          <w:color w:val="000000"/>
          <w:sz w:val="24"/>
          <w:szCs w:val="24"/>
          <w:highlight w:val="none"/>
        </w:rPr>
      </w:r>
      <w:r/>
    </w:p>
    <w:p>
      <w:pPr>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jc w:val="center"/>
        <w:spacing w:line="360" w:lineRule="auto"/>
        <w:rPr>
          <w:rFonts w:hint="eastAsia" w:ascii="仿宋" w:hAnsi="仿宋" w:eastAsia="仿宋" w:cs="仿宋"/>
          <w:b/>
          <w:color w:val="000000"/>
          <w:sz w:val="30"/>
          <w:szCs w:val="30"/>
          <w:highlight w:val="none"/>
        </w:rPr>
      </w:pPr>
      <w:r/>
      <w:bookmarkStart w:id="852" w:name="_Hlk145586542"/>
      <w:r>
        <w:rPr>
          <w:rFonts w:hint="eastAsia" w:ascii="仿宋" w:hAnsi="仿宋" w:eastAsia="仿宋" w:cs="仿宋"/>
          <w:b/>
          <w:color w:val="000000"/>
          <w:sz w:val="30"/>
          <w:szCs w:val="30"/>
          <w:highlight w:val="none"/>
        </w:rPr>
        <w:t xml:space="preserve">参加本项目人员一览表</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spacing w:line="360" w:lineRule="auto"/>
        <w:tabs>
          <w:tab w:val="left" w:pos="1800" w:leader="none"/>
          <w:tab w:val="left" w:pos="558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8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责任</w:t>
            </w:r>
            <w:r/>
          </w:p>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项目经历或主要工作</w:t>
            </w:r>
            <w:r/>
          </w:p>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tabs>
          <w:tab w:val="left" w:pos="9765" w:leader="none"/>
        </w:tabs>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r>
      <w:r/>
    </w:p>
    <w:p>
      <w:pPr>
        <w:spacing w:line="360" w:lineRule="auto"/>
        <w:tabs>
          <w:tab w:val="left" w:pos="9765"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注：参加本项目人员须是供应商正式职工。</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852"/>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bookmarkStart w:id="853" w:name="_Toc288738397"/>
      <w:r/>
      <w:bookmarkStart w:id="854" w:name="_Toc288738839"/>
      <w:r/>
      <w:r/>
    </w:p>
    <w:p>
      <w:pPr>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 </w:t>
      </w:r>
      <w:r>
        <w:rPr>
          <w:rFonts w:hint="eastAsia" w:ascii="仿宋" w:hAnsi="仿宋" w:eastAsia="仿宋" w:cs="仿宋"/>
          <w:color w:val="000000"/>
          <w:sz w:val="24"/>
          <w:szCs w:val="24"/>
          <w:highlight w:val="none"/>
        </w:rPr>
        <w:t xml:space="preserve"> 相关业绩案例一览表</w:t>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center"/>
        <w:rPr>
          <w:rFonts w:hint="eastAsia" w:ascii="仿宋" w:hAnsi="仿宋" w:eastAsia="仿宋" w:cs="仿宋"/>
          <w:b/>
          <w:color w:val="000000"/>
          <w:sz w:val="30"/>
          <w:szCs w:val="30"/>
          <w:highlight w:val="none"/>
        </w:rPr>
      </w:pPr>
      <w:r/>
      <w:bookmarkStart w:id="855" w:name="_Hlk145586552"/>
      <w:r>
        <w:rPr>
          <w:rFonts w:hint="eastAsia" w:ascii="仿宋" w:hAnsi="仿宋" w:eastAsia="仿宋" w:cs="仿宋"/>
          <w:b/>
          <w:color w:val="000000"/>
          <w:sz w:val="30"/>
          <w:szCs w:val="30"/>
          <w:highlight w:val="none"/>
        </w:rPr>
        <w:t xml:space="preserve">相关业绩案例一览表</w:t>
      </w:r>
      <w:bookmarkEnd w:id="853"/>
      <w:r/>
      <w:bookmarkEnd w:id="854"/>
      <w:r/>
      <w:r/>
    </w:p>
    <w:p>
      <w:pPr>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ind w:firstLine="360"/>
        <w:jc w:val="left"/>
        <w:spacing w:line="360" w:lineRule="auto"/>
        <w:tabs>
          <w:tab w:val="left" w:pos="1800" w:leader="none"/>
          <w:tab w:val="left" w:pos="558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8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zh-CN"/>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855"/>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column"/>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磋商文件要求提供或供应商认为应附的其他材料</w:t>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采购文件的最终解释权归常州筠诚工程咨询有限公司所有。</w:t>
      </w:r>
      <w:r/>
    </w:p>
    <w:p>
      <w:pPr>
        <w:jc w:val="center"/>
        <w:spacing w:line="360" w:lineRule="auto"/>
        <w:rPr>
          <w:rFonts w:hint="eastAsia" w:ascii="仿宋" w:hAnsi="仿宋" w:eastAsia="仿宋" w:cs="仿宋"/>
          <w:sz w:val="28"/>
          <w:szCs w:val="28"/>
        </w:rPr>
      </w:pPr>
      <w:r>
        <w:rPr>
          <w:rFonts w:hint="eastAsia" w:ascii="仿宋" w:hAnsi="仿宋" w:eastAsia="仿宋" w:cs="仿宋"/>
          <w:b/>
          <w:sz w:val="28"/>
          <w:szCs w:val="28"/>
        </w:rPr>
        <w:t xml:space="preserve">（全文完）</w:t>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81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sectPr>
      <w:headerReference w:type="even" r:id="rId11"/>
      <w:headerReference w:type="first" r:id="rId12"/>
      <w:footerReference w:type="even" r:id="rId19"/>
      <w:footerReference w:type="first" r:id="rId20"/>
      <w:footnotePr/>
      <w:endnotePr/>
      <w:type w:val="nextPage"/>
      <w:pgSz w:w="11907" w:h="16840" w:orient="portrait"/>
      <w:pgMar w:top="1418" w:right="1304" w:bottom="1418"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Tahoma">
    <w:panose1 w:val="020B0604030504040204"/>
  </w:font>
  <w:font w:name="Calibri">
    <w:panose1 w:val="020F0502020204030204"/>
  </w:font>
  <w:font w:name="楷体_GB2312">
    <w:panose1 w:val="02010609060101010101"/>
  </w:font>
  <w:font w:name="ˎ̥">
    <w:panose1 w:val="020B0503020202020204"/>
  </w:font>
  <w:font w:name="Menlo">
    <w:panose1 w:val="020B0503020202020204"/>
  </w:font>
  <w:font w:name="Cambria">
    <w:panose1 w:val="0204050305040603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Symbol">
    <w:panose1 w:val="05050102010706020507"/>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979"/>
      </w:rPr>
      <w:framePr w:wrap="around" w:vAnchor="text" w:hAnchor="margin" w:xAlign="center" w:y="1"/>
    </w:pPr>
    <w:r>
      <w:fldChar w:fldCharType="begin"/>
    </w:r>
    <w:r>
      <w:rPr>
        <w:rStyle w:val="979"/>
      </w:rPr>
      <w:instrText xml:space="preserve">PAGE  </w:instrText>
    </w:r>
    <w:r>
      <w:fldChar w:fldCharType="end"/>
    </w:r>
    <w:r/>
  </w:p>
  <w:p>
    <w:pPr>
      <w:pStyle w:val="119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p>
  <w:p>
    <w:pPr>
      <w:pStyle w:val="119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p>
  <w:p>
    <w:pPr>
      <w:pStyle w:val="1190"/>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right"/>
    </w:pPr>
    <w:r>
      <w:rPr>
        <w:rFonts w:hint="eastAsia" w:ascii="仿宋" w:hAnsi="仿宋" w:eastAsia="仿宋" w:cs="仿宋"/>
        <w:sz w:val="21"/>
        <w:szCs w:val="21"/>
        <w:lang w:val="en-US" w:eastAsia="zh-CN"/>
      </w:rPr>
      <w:t xml:space="preserve">常州筠诚工程咨询有限公司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right"/>
      <w:rPr>
        <w:rFonts w:hint="eastAsia" w:ascii="仿宋" w:hAnsi="仿宋" w:eastAsia="仿宋" w:cs="仿宋"/>
        <w:sz w:val="21"/>
        <w:szCs w:val="21"/>
      </w:rPr>
    </w:pPr>
    <w:r>
      <w:rPr>
        <w:rFonts w:hint="eastAsia" w:ascii="仿宋" w:hAnsi="仿宋" w:eastAsia="仿宋" w:cs="仿宋"/>
        <w:sz w:val="21"/>
        <w:szCs w:val="21"/>
        <w:lang w:val="en-US" w:eastAsia="zh-CN"/>
      </w:rPr>
      <w:t xml:space="preserve">常州筠诚工程咨询有限公司</w:t>
    </w:r>
    <w:r>
      <w:rPr>
        <w:rFonts w:hint="eastAsia" w:ascii="仿宋" w:hAnsi="仿宋" w:eastAsia="仿宋" w:cs="仿宋"/>
        <w:sz w:val="21"/>
        <w:szCs w:val="21"/>
      </w:rPr>
      <w:t xml:space="preserve">   </w:t>
    </w:r>
    <w:r/>
  </w:p>
  <w:p>
    <w:pPr>
      <w:pStyle w:val="802"/>
    </w:pP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bullet"/>
      <w:pStyle w:val="1289"/>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2">
    <w:multiLevelType w:val="hybridMultilevel"/>
    <w:lvl w:ilvl="0">
      <w:start w:val="1"/>
      <w:numFmt w:val="decimal"/>
      <w:pStyle w:val="127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4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57"/>
      <w:isLgl w:val="false"/>
      <w:suff w:val="nothing"/>
      <w:lvlText w:val="%1.%2.%3.%4.%5.%6　"/>
      <w:lvlJc w:val="left"/>
      <w:pPr>
        <w:ind w:left="-25" w:firstLine="0"/>
      </w:pPr>
      <w:rPr>
        <w:rFonts w:ascii="Times New Roman" w:hAnsi="Times New Roman" w:eastAsia="宋体"/>
        <w:b/>
        <w:i w:val="0"/>
        <w:sz w:val="28"/>
      </w:rPr>
    </w:lvl>
    <w:lvl w:ilvl="6">
      <w:start w:val="1"/>
      <w:numFmt w:val="lowerLetter"/>
      <w:pStyle w:val="128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3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lowerLetter"/>
      <w:pStyle w:val="136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304"/>
      <w:isLgl w:val="false"/>
      <w:suff w:val="tab"/>
      <w:lvlText w:val="%1"/>
      <w:lvlJc w:val="left"/>
      <w:pPr>
        <w:ind w:left="680" w:hanging="680"/>
      </w:pPr>
      <w:rPr>
        <w:rFonts w:hint="eastAsia" w:ascii="宋体" w:hAnsi="宋体" w:eastAsia="宋体"/>
      </w:rPr>
    </w:lvl>
    <w:lvl w:ilvl="1">
      <w:start w:val="1"/>
      <w:numFmt w:val="decimal"/>
      <w:pStyle w:val="1358"/>
      <w:isLgl w:val="false"/>
      <w:suff w:val="tab"/>
      <w:lvlText w:val="%1.%2"/>
      <w:lvlJc w:val="left"/>
      <w:pPr>
        <w:ind w:left="851" w:hanging="851"/>
      </w:pPr>
      <w:rPr>
        <w:rFonts w:hint="eastAsia" w:ascii="宋体" w:hAnsi="宋体" w:eastAsia="宋体"/>
        <w:color w:val="000000"/>
      </w:rPr>
    </w:lvl>
    <w:lvl w:ilvl="2">
      <w:start w:val="1"/>
      <w:numFmt w:val="decimal"/>
      <w:pStyle w:val="134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30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6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51"/>
      <w:isLgl w:val="false"/>
      <w:suff w:val="tab"/>
      <w:lvlText w:val=""/>
      <w:lvlJc w:val="left"/>
      <w:pPr>
        <w:ind w:left="902"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link w:val="12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name w:val="Heading 1"/>
    <w:basedOn w:val="777"/>
    <w:next w:val="777"/>
    <w:link w:val="820"/>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21"/>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22"/>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23"/>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24"/>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25"/>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7"/>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8"/>
    <w:uiPriority w:val="9"/>
    <w:unhideWhenUsed/>
    <w:qFormat/>
    <w:pPr>
      <w:keepLines/>
      <w:keepNext/>
      <w:spacing w:before="320" w:after="200"/>
      <w:outlineLvl w:val="8"/>
    </w:pPr>
    <w:rPr>
      <w:rFonts w:ascii="Arial" w:hAnsi="Arial" w:eastAsia="Arial" w:cs="Arial"/>
      <w:i/>
      <w:iCs/>
      <w:sz w:val="21"/>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39"/>
    <w:unhideWhenUsed/>
    <w:qFormat/>
    <w:pPr>
      <w:ind w:left="1701" w:right="0" w:firstLine="0"/>
      <w:spacing w:after="57"/>
    </w:pPr>
  </w:style>
  <w:style w:type="paragraph" w:styleId="790">
    <w:name w:val="Normal Indent"/>
    <w:basedOn w:val="777"/>
    <w:uiPriority w:val="0"/>
    <w:unhideWhenUsed/>
    <w:qFormat/>
    <w:pPr>
      <w:ind w:firstLine="420"/>
    </w:pPr>
  </w:style>
  <w:style w:type="paragraph" w:styleId="791">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annotation text"/>
    <w:basedOn w:val="777"/>
    <w:uiPriority w:val="99"/>
    <w:semiHidden/>
    <w:unhideWhenUsed/>
    <w:qFormat/>
    <w:pPr>
      <w:jc w:val="left"/>
    </w:pPr>
  </w:style>
  <w:style w:type="paragraph" w:styleId="793">
    <w:name w:val="Body Text"/>
    <w:basedOn w:val="777"/>
    <w:next w:val="777"/>
    <w:uiPriority w:val="99"/>
    <w:semiHidden/>
    <w:unhideWhenUsed/>
    <w:qFormat/>
    <w:pPr>
      <w:spacing w:after="120"/>
    </w:pPr>
  </w:style>
  <w:style w:type="paragraph" w:styleId="794">
    <w:name w:val="Body Text Indent"/>
    <w:basedOn w:val="777"/>
    <w:next w:val="795"/>
    <w:uiPriority w:val="0"/>
    <w:qFormat/>
    <w:pPr>
      <w:ind w:firstLine="570"/>
      <w:spacing w:line="360" w:lineRule="auto"/>
    </w:pPr>
    <w:rPr>
      <w:sz w:val="24"/>
    </w:rPr>
  </w:style>
  <w:style w:type="paragraph" w:styleId="795">
    <w:name w:val="envelope return"/>
    <w:basedOn w:val="777"/>
    <w:uiPriority w:val="99"/>
    <w:unhideWhenUsed/>
    <w:qFormat/>
    <w:rPr>
      <w:rFonts w:ascii="Arial" w:hAnsi="Arial"/>
    </w:rPr>
  </w:style>
  <w:style w:type="paragraph" w:styleId="796">
    <w:name w:val="toc 5"/>
    <w:basedOn w:val="777"/>
    <w:next w:val="777"/>
    <w:uiPriority w:val="39"/>
    <w:unhideWhenUsed/>
    <w:qFormat/>
    <w:pPr>
      <w:ind w:left="1134" w:right="0" w:firstLine="0"/>
      <w:spacing w:after="57"/>
    </w:pPr>
  </w:style>
  <w:style w:type="paragraph" w:styleId="797">
    <w:name w:val="toc 3"/>
    <w:basedOn w:val="777"/>
    <w:next w:val="777"/>
    <w:uiPriority w:val="39"/>
    <w:unhideWhenUsed/>
    <w:qFormat/>
    <w:pPr>
      <w:ind w:left="567" w:right="0" w:firstLine="0"/>
      <w:spacing w:after="57"/>
    </w:pPr>
  </w:style>
  <w:style w:type="paragraph" w:styleId="798">
    <w:name w:val="Plain Text"/>
    <w:basedOn w:val="777"/>
    <w:next w:val="790"/>
    <w:uiPriority w:val="99"/>
    <w:qFormat/>
    <w:rPr>
      <w:rFonts w:ascii="宋体" w:hAnsi="Courier New"/>
      <w:szCs w:val="20"/>
    </w:rPr>
  </w:style>
  <w:style w:type="paragraph" w:styleId="799">
    <w:name w:val="toc 8"/>
    <w:basedOn w:val="777"/>
    <w:next w:val="777"/>
    <w:uiPriority w:val="39"/>
    <w:unhideWhenUsed/>
    <w:qFormat/>
    <w:pPr>
      <w:ind w:left="1984" w:right="0" w:firstLine="0"/>
      <w:spacing w:after="57"/>
    </w:pPr>
  </w:style>
  <w:style w:type="paragraph" w:styleId="800">
    <w:name w:val="endnote text"/>
    <w:basedOn w:val="777"/>
    <w:link w:val="964"/>
    <w:uiPriority w:val="99"/>
    <w:semiHidden/>
    <w:unhideWhenUsed/>
    <w:qFormat/>
    <w:pPr>
      <w:spacing w:after="0" w:line="240" w:lineRule="auto"/>
    </w:pPr>
    <w:rPr>
      <w:sz w:val="20"/>
    </w:rPr>
  </w:style>
  <w:style w:type="paragraph" w:styleId="801">
    <w:name w:val="Footer"/>
    <w:basedOn w:val="777"/>
    <w:link w:val="837"/>
    <w:uiPriority w:val="99"/>
    <w:unhideWhenUsed/>
    <w:qFormat/>
    <w:pPr>
      <w:spacing w:after="0" w:line="240" w:lineRule="auto"/>
      <w:tabs>
        <w:tab w:val="center" w:pos="7143" w:leader="none"/>
        <w:tab w:val="right" w:pos="14287" w:leader="none"/>
      </w:tabs>
    </w:pPr>
  </w:style>
  <w:style w:type="paragraph" w:styleId="802">
    <w:name w:val="Header"/>
    <w:basedOn w:val="777"/>
    <w:uiPriority w:val="99"/>
    <w:unhideWhenUsed/>
    <w:qFormat/>
    <w:pPr>
      <w:spacing w:after="0" w:line="240" w:lineRule="auto"/>
      <w:tabs>
        <w:tab w:val="center" w:pos="7143" w:leader="none"/>
        <w:tab w:val="right" w:pos="14287" w:leader="none"/>
      </w:tabs>
    </w:pPr>
  </w:style>
  <w:style w:type="paragraph" w:styleId="803">
    <w:name w:val="toc 1"/>
    <w:basedOn w:val="777"/>
    <w:next w:val="777"/>
    <w:uiPriority w:val="39"/>
    <w:unhideWhenUsed/>
    <w:qFormat/>
    <w:pPr>
      <w:ind w:left="0" w:right="0" w:firstLine="0"/>
      <w:spacing w:after="57"/>
    </w:pPr>
  </w:style>
  <w:style w:type="paragraph" w:styleId="804">
    <w:name w:val="toc 4"/>
    <w:basedOn w:val="777"/>
    <w:next w:val="777"/>
    <w:uiPriority w:val="39"/>
    <w:unhideWhenUsed/>
    <w:qFormat/>
    <w:pPr>
      <w:ind w:left="850" w:right="0" w:firstLine="0"/>
      <w:spacing w:after="57"/>
    </w:pPr>
  </w:style>
  <w:style w:type="paragraph" w:styleId="805">
    <w:name w:val="Subtitle"/>
    <w:basedOn w:val="777"/>
    <w:next w:val="777"/>
    <w:link w:val="832"/>
    <w:uiPriority w:val="11"/>
    <w:qFormat/>
    <w:pPr>
      <w:spacing w:before="200" w:after="200"/>
    </w:pPr>
    <w:rPr>
      <w:sz w:val="24"/>
      <w:szCs w:val="24"/>
    </w:rPr>
  </w:style>
  <w:style w:type="paragraph" w:styleId="806">
    <w:name w:val="footnote text"/>
    <w:basedOn w:val="777"/>
    <w:link w:val="963"/>
    <w:uiPriority w:val="99"/>
    <w:semiHidden/>
    <w:unhideWhenUsed/>
    <w:qFormat/>
    <w:pPr>
      <w:spacing w:after="40" w:line="240" w:lineRule="auto"/>
    </w:pPr>
    <w:rPr>
      <w:sz w:val="18"/>
    </w:rPr>
  </w:style>
  <w:style w:type="paragraph" w:styleId="807">
    <w:name w:val="toc 6"/>
    <w:basedOn w:val="777"/>
    <w:next w:val="777"/>
    <w:uiPriority w:val="39"/>
    <w:unhideWhenUsed/>
    <w:qFormat/>
    <w:pPr>
      <w:ind w:left="1417" w:right="0" w:firstLine="0"/>
      <w:spacing w:after="57"/>
    </w:pPr>
  </w:style>
  <w:style w:type="paragraph" w:styleId="808">
    <w:name w:val="table of figures"/>
    <w:basedOn w:val="777"/>
    <w:next w:val="777"/>
    <w:uiPriority w:val="99"/>
    <w:unhideWhenUsed/>
    <w:qFormat/>
    <w:pPr>
      <w:spacing w:after="0" w:afterAutospacing="0"/>
    </w:pPr>
  </w:style>
  <w:style w:type="paragraph" w:styleId="809">
    <w:name w:val="toc 2"/>
    <w:basedOn w:val="777"/>
    <w:next w:val="777"/>
    <w:uiPriority w:val="39"/>
    <w:unhideWhenUsed/>
    <w:qFormat/>
    <w:pPr>
      <w:ind w:left="283" w:right="0" w:firstLine="0"/>
      <w:spacing w:after="57"/>
    </w:pPr>
  </w:style>
  <w:style w:type="paragraph" w:styleId="810">
    <w:name w:val="toc 9"/>
    <w:basedOn w:val="777"/>
    <w:next w:val="777"/>
    <w:uiPriority w:val="39"/>
    <w:unhideWhenUsed/>
    <w:qFormat/>
    <w:pPr>
      <w:ind w:left="2268" w:right="0" w:firstLine="0"/>
      <w:spacing w:after="57"/>
    </w:pPr>
  </w:style>
  <w:style w:type="paragraph" w:styleId="811">
    <w:name w:val="Normal (Web)"/>
    <w:basedOn w:val="777"/>
    <w:uiPriority w:val="99"/>
    <w:unhideWhenUsed/>
    <w:qFormat/>
    <w:pPr>
      <w:jc w:val="left"/>
      <w:spacing w:before="100" w:beforeAutospacing="1" w:after="100" w:afterAutospacing="1"/>
      <w:widowControl/>
    </w:pPr>
    <w:rPr>
      <w:rFonts w:ascii="宋体" w:hAnsi="宋体" w:cs="宋体"/>
      <w:sz w:val="24"/>
    </w:rPr>
  </w:style>
  <w:style w:type="paragraph" w:styleId="812">
    <w:name w:val="Title"/>
    <w:basedOn w:val="777"/>
    <w:next w:val="777"/>
    <w:link w:val="831"/>
    <w:uiPriority w:val="10"/>
    <w:qFormat/>
    <w:pPr>
      <w:contextualSpacing/>
      <w:spacing w:before="300" w:after="200"/>
    </w:pPr>
    <w:rPr>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basedOn w:val="787"/>
    <w:uiPriority w:val="22"/>
    <w:qFormat/>
    <w:rPr>
      <w:b/>
    </w:r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819" w:customStyle="1">
    <w:name w:val="正文文本1"/>
    <w:basedOn w:val="777"/>
    <w:next w:val="777"/>
    <w:link w:val="1164"/>
    <w:uiPriority w:val="0"/>
    <w:qFormat/>
    <w:pPr>
      <w:spacing w:before="120" w:line="22" w:lineRule="atLeast"/>
      <w:tabs>
        <w:tab w:val="left" w:pos="567" w:leader="none"/>
      </w:tabs>
    </w:pPr>
    <w:rPr>
      <w:rFonts w:ascii="宋体" w:hAnsi="宋体"/>
      <w:sz w:val="24"/>
    </w:rPr>
  </w:style>
  <w:style w:type="character" w:styleId="820" w:customStyle="1">
    <w:name w:val="Heading 1 Char"/>
    <w:link w:val="778"/>
    <w:uiPriority w:val="9"/>
    <w:qFormat/>
    <w:rPr>
      <w:rFonts w:ascii="Arial" w:hAnsi="Arial" w:eastAsia="Arial" w:cs="Arial"/>
      <w:sz w:val="40"/>
      <w:szCs w:val="40"/>
    </w:rPr>
  </w:style>
  <w:style w:type="character" w:styleId="821" w:customStyle="1">
    <w:name w:val="Heading 2 Char"/>
    <w:link w:val="779"/>
    <w:uiPriority w:val="9"/>
    <w:qFormat/>
    <w:rPr>
      <w:rFonts w:ascii="Arial" w:hAnsi="Arial" w:eastAsia="Arial" w:cs="Arial"/>
      <w:sz w:val="34"/>
    </w:rPr>
  </w:style>
  <w:style w:type="character" w:styleId="822" w:customStyle="1">
    <w:name w:val="Heading 3 Char"/>
    <w:link w:val="780"/>
    <w:uiPriority w:val="9"/>
    <w:qFormat/>
    <w:rPr>
      <w:rFonts w:ascii="Arial" w:hAnsi="Arial" w:eastAsia="Arial" w:cs="Arial"/>
      <w:sz w:val="30"/>
      <w:szCs w:val="30"/>
    </w:rPr>
  </w:style>
  <w:style w:type="character" w:styleId="823" w:customStyle="1">
    <w:name w:val="Heading 4 Char"/>
    <w:link w:val="781"/>
    <w:uiPriority w:val="9"/>
    <w:qFormat/>
    <w:rPr>
      <w:rFonts w:ascii="Arial" w:hAnsi="Arial" w:eastAsia="Arial" w:cs="Arial"/>
      <w:b/>
      <w:bCs/>
      <w:sz w:val="26"/>
      <w:szCs w:val="26"/>
    </w:rPr>
  </w:style>
  <w:style w:type="character" w:styleId="824" w:customStyle="1">
    <w:name w:val="Heading 5 Char"/>
    <w:link w:val="782"/>
    <w:uiPriority w:val="9"/>
    <w:qFormat/>
    <w:rPr>
      <w:rFonts w:ascii="Arial" w:hAnsi="Arial" w:eastAsia="Arial" w:cs="Arial"/>
      <w:b/>
      <w:bCs/>
      <w:sz w:val="24"/>
      <w:szCs w:val="24"/>
    </w:rPr>
  </w:style>
  <w:style w:type="character" w:styleId="825" w:customStyle="1">
    <w:name w:val="Heading 6 Char"/>
    <w:link w:val="783"/>
    <w:uiPriority w:val="9"/>
    <w:qFormat/>
    <w:rPr>
      <w:rFonts w:ascii="Arial" w:hAnsi="Arial" w:eastAsia="Arial" w:cs="Arial"/>
      <w:b/>
      <w:bCs/>
      <w:sz w:val="22"/>
      <w:szCs w:val="22"/>
    </w:rPr>
  </w:style>
  <w:style w:type="character" w:styleId="826" w:customStyle="1">
    <w:name w:val="Heading 7 Char"/>
    <w:link w:val="784"/>
    <w:uiPriority w:val="9"/>
    <w:qFormat/>
    <w:rPr>
      <w:rFonts w:ascii="Arial" w:hAnsi="Arial" w:eastAsia="Arial" w:cs="Arial"/>
      <w:b/>
      <w:bCs/>
      <w:i/>
      <w:iCs/>
      <w:sz w:val="22"/>
      <w:szCs w:val="22"/>
    </w:rPr>
  </w:style>
  <w:style w:type="character" w:styleId="827" w:customStyle="1">
    <w:name w:val="Heading 8 Char"/>
    <w:link w:val="785"/>
    <w:uiPriority w:val="9"/>
    <w:qFormat/>
    <w:rPr>
      <w:rFonts w:ascii="Arial" w:hAnsi="Arial" w:eastAsia="Arial" w:cs="Arial"/>
      <w:i/>
      <w:iCs/>
      <w:sz w:val="22"/>
      <w:szCs w:val="22"/>
    </w:rPr>
  </w:style>
  <w:style w:type="character" w:styleId="828" w:customStyle="1">
    <w:name w:val="Heading 9 Char"/>
    <w:link w:val="786"/>
    <w:uiPriority w:val="9"/>
    <w:qFormat/>
    <w:rPr>
      <w:rFonts w:ascii="Arial" w:hAnsi="Arial" w:eastAsia="Arial" w:cs="Arial"/>
      <w:i/>
      <w:iCs/>
      <w:sz w:val="21"/>
      <w:szCs w:val="21"/>
    </w:rPr>
  </w:style>
  <w:style w:type="paragraph" w:styleId="829">
    <w:name w:val="List Paragraph"/>
    <w:basedOn w:val="777"/>
    <w:uiPriority w:val="34"/>
    <w:qFormat/>
    <w:pPr>
      <w:contextualSpacing/>
      <w:ind w:left="720"/>
    </w:pPr>
  </w:style>
  <w:style w:type="paragraph" w:styleId="830">
    <w:name w:val="No Spacing"/>
    <w:uiPriority w:val="1"/>
    <w:qFormat/>
    <w:pPr>
      <w:spacing w:before="0" w:after="0" w:line="240" w:lineRule="auto"/>
    </w:pPr>
    <w:rPr>
      <w:rFonts w:hint="default" w:ascii="Times New Roman" w:hAnsi="Times New Roman" w:eastAsia="宋体" w:cs="Times New Roman"/>
    </w:rPr>
  </w:style>
  <w:style w:type="character" w:styleId="831" w:customStyle="1">
    <w:name w:val="Title Char"/>
    <w:link w:val="812"/>
    <w:uiPriority w:val="10"/>
    <w:qFormat/>
    <w:rPr>
      <w:sz w:val="48"/>
      <w:szCs w:val="48"/>
    </w:rPr>
  </w:style>
  <w:style w:type="character" w:styleId="832" w:customStyle="1">
    <w:name w:val="Subtitle Char"/>
    <w:link w:val="805"/>
    <w:uiPriority w:val="11"/>
    <w:qFormat/>
    <w:rPr>
      <w:sz w:val="24"/>
      <w:szCs w:val="24"/>
    </w:rPr>
  </w:style>
  <w:style w:type="paragraph" w:styleId="833">
    <w:name w:val="Quote"/>
    <w:basedOn w:val="777"/>
    <w:next w:val="777"/>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77"/>
    <w:next w:val="777"/>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Caption Char"/>
    <w:link w:val="801"/>
    <w:uiPriority w:val="99"/>
    <w:qFormat/>
  </w:style>
  <w:style w:type="table" w:styleId="8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link w:val="806"/>
    <w:uiPriority w:val="99"/>
    <w:qFormat/>
    <w:rPr>
      <w:sz w:val="18"/>
    </w:rPr>
  </w:style>
  <w:style w:type="character" w:styleId="964" w:customStyle="1">
    <w:name w:val="Endnote Text Char"/>
    <w:link w:val="800"/>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标题 11"/>
    <w:basedOn w:val="777"/>
    <w:next w:val="777"/>
    <w:link w:val="1183"/>
    <w:uiPriority w:val="0"/>
    <w:qFormat/>
    <w:pPr>
      <w:jc w:val="center"/>
      <w:keepLines/>
      <w:keepNext/>
      <w:spacing w:before="240" w:after="120" w:line="300" w:lineRule="auto"/>
      <w:outlineLvl w:val="0"/>
    </w:pPr>
    <w:rPr>
      <w:rFonts w:ascii="宋体"/>
      <w:b/>
      <w:sz w:val="32"/>
      <w:szCs w:val="20"/>
    </w:rPr>
  </w:style>
  <w:style w:type="paragraph" w:styleId="967" w:customStyle="1">
    <w:name w:val="标题 21"/>
    <w:basedOn w:val="777"/>
    <w:next w:val="968"/>
    <w:link w:val="1205"/>
    <w:uiPriority w:val="0"/>
    <w:qFormat/>
    <w:pPr>
      <w:jc w:val="center"/>
      <w:keepLines/>
      <w:keepNext/>
      <w:spacing w:before="120" w:line="300" w:lineRule="auto"/>
      <w:outlineLvl w:val="1"/>
    </w:pPr>
    <w:rPr>
      <w:rFonts w:ascii="Arial" w:hAnsi="Arial" w:eastAsia="黑体"/>
      <w:b/>
      <w:sz w:val="30"/>
      <w:szCs w:val="20"/>
    </w:rPr>
  </w:style>
  <w:style w:type="paragraph" w:styleId="968" w:customStyle="1">
    <w:name w:val="正文缩进11"/>
    <w:basedOn w:val="777"/>
    <w:link w:val="1176"/>
    <w:uiPriority w:val="0"/>
    <w:qFormat/>
    <w:pPr>
      <w:ind w:firstLine="420"/>
      <w:jc w:val="left"/>
    </w:pPr>
    <w:rPr>
      <w:rFonts w:ascii="宋体"/>
      <w:sz w:val="24"/>
    </w:rPr>
  </w:style>
  <w:style w:type="paragraph" w:styleId="969" w:customStyle="1">
    <w:name w:val="标题 31"/>
    <w:basedOn w:val="777"/>
    <w:next w:val="777"/>
    <w:link w:val="1170"/>
    <w:uiPriority w:val="0"/>
    <w:qFormat/>
    <w:pPr>
      <w:jc w:val="left"/>
      <w:keepLines/>
      <w:keepNext/>
      <w:spacing w:before="360" w:after="120"/>
      <w:outlineLvl w:val="2"/>
    </w:pPr>
    <w:rPr>
      <w:rFonts w:ascii="宋体"/>
      <w:b/>
      <w:sz w:val="24"/>
      <w:szCs w:val="20"/>
      <w:u w:val="single"/>
    </w:rPr>
  </w:style>
  <w:style w:type="paragraph" w:styleId="970" w:customStyle="1">
    <w:name w:val="标题 41"/>
    <w:basedOn w:val="777"/>
    <w:next w:val="777"/>
    <w:link w:val="1129"/>
    <w:uiPriority w:val="0"/>
    <w:qFormat/>
    <w:pPr>
      <w:keepLines/>
      <w:keepNext/>
      <w:spacing w:before="280" w:after="290" w:line="376" w:lineRule="atLeast"/>
      <w:outlineLvl w:val="3"/>
    </w:pPr>
    <w:rPr>
      <w:rFonts w:ascii="Arial" w:hAnsi="Arial" w:eastAsia="黑体"/>
      <w:b/>
      <w:sz w:val="28"/>
      <w:szCs w:val="20"/>
    </w:rPr>
  </w:style>
  <w:style w:type="paragraph" w:styleId="971" w:customStyle="1">
    <w:name w:val="标题 51"/>
    <w:basedOn w:val="777"/>
    <w:next w:val="777"/>
    <w:link w:val="1045"/>
    <w:uiPriority w:val="0"/>
    <w:qFormat/>
    <w:pPr>
      <w:keepLines/>
      <w:keepNext/>
      <w:spacing w:before="280" w:after="290" w:line="376" w:lineRule="atLeast"/>
      <w:outlineLvl w:val="4"/>
    </w:pPr>
    <w:rPr>
      <w:b/>
      <w:sz w:val="28"/>
      <w:szCs w:val="20"/>
    </w:rPr>
  </w:style>
  <w:style w:type="paragraph" w:styleId="972" w:customStyle="1">
    <w:name w:val="标题 61"/>
    <w:basedOn w:val="777"/>
    <w:next w:val="777"/>
    <w:link w:val="1188"/>
    <w:uiPriority w:val="0"/>
    <w:qFormat/>
    <w:pPr>
      <w:keepLines/>
      <w:keepNext/>
      <w:spacing w:before="240" w:after="64" w:line="320" w:lineRule="atLeast"/>
      <w:outlineLvl w:val="5"/>
    </w:pPr>
    <w:rPr>
      <w:rFonts w:ascii="Arial" w:hAnsi="Arial" w:eastAsia="黑体"/>
      <w:b/>
      <w:sz w:val="24"/>
      <w:szCs w:val="20"/>
    </w:rPr>
  </w:style>
  <w:style w:type="paragraph" w:styleId="973" w:customStyle="1">
    <w:name w:val="标题 71"/>
    <w:basedOn w:val="777"/>
    <w:next w:val="777"/>
    <w:link w:val="1031"/>
    <w:uiPriority w:val="0"/>
    <w:qFormat/>
    <w:pPr>
      <w:keepLines/>
      <w:keepNext/>
      <w:spacing w:before="240" w:after="64" w:line="320" w:lineRule="atLeast"/>
      <w:outlineLvl w:val="6"/>
    </w:pPr>
    <w:rPr>
      <w:b/>
      <w:sz w:val="24"/>
      <w:szCs w:val="20"/>
    </w:rPr>
  </w:style>
  <w:style w:type="paragraph" w:styleId="974" w:customStyle="1">
    <w:name w:val="标题 81"/>
    <w:basedOn w:val="777"/>
    <w:next w:val="777"/>
    <w:link w:val="1061"/>
    <w:uiPriority w:val="0"/>
    <w:qFormat/>
    <w:pPr>
      <w:keepLines/>
      <w:keepNext/>
      <w:spacing w:before="240" w:after="64" w:line="320" w:lineRule="atLeast"/>
      <w:outlineLvl w:val="7"/>
    </w:pPr>
    <w:rPr>
      <w:rFonts w:ascii="Arial" w:hAnsi="Arial" w:eastAsia="黑体"/>
      <w:sz w:val="24"/>
      <w:szCs w:val="20"/>
    </w:rPr>
  </w:style>
  <w:style w:type="paragraph" w:styleId="975" w:customStyle="1">
    <w:name w:val="标题 91"/>
    <w:basedOn w:val="777"/>
    <w:next w:val="777"/>
    <w:link w:val="1215"/>
    <w:uiPriority w:val="0"/>
    <w:qFormat/>
    <w:pPr>
      <w:keepLines/>
      <w:keepNext/>
      <w:spacing w:before="240" w:after="64" w:line="320" w:lineRule="atLeast"/>
      <w:outlineLvl w:val="8"/>
    </w:pPr>
    <w:rPr>
      <w:rFonts w:ascii="Arial" w:hAnsi="Arial" w:eastAsia="黑体"/>
      <w:szCs w:val="20"/>
    </w:rPr>
  </w:style>
  <w:style w:type="character" w:styleId="976" w:customStyle="1">
    <w:name w:val="默认段落字体1"/>
    <w:link w:val="777"/>
    <w:uiPriority w:val="1"/>
    <w:unhideWhenUsed/>
    <w:qFormat/>
  </w:style>
  <w:style w:type="table" w:styleId="977" w:customStyle="1">
    <w:name w:val="普通表格1"/>
    <w:uiPriority w:val="99"/>
    <w:unhideWhenUsed/>
    <w:qFormat/>
    <w:tblPr/>
  </w:style>
  <w:style w:type="character" w:styleId="978" w:customStyle="1">
    <w:name w:val="HTML 引文1"/>
    <w:link w:val="777"/>
    <w:uiPriority w:val="0"/>
    <w:qFormat/>
    <w:rPr>
      <w:i/>
      <w:iCs/>
    </w:rPr>
  </w:style>
  <w:style w:type="character" w:styleId="979" w:customStyle="1">
    <w:name w:val="页码1"/>
    <w:link w:val="777"/>
    <w:uiPriority w:val="0"/>
    <w:qFormat/>
  </w:style>
  <w:style w:type="character" w:styleId="980" w:customStyle="1">
    <w:name w:val="已访问的超链接1"/>
    <w:link w:val="777"/>
    <w:uiPriority w:val="99"/>
    <w:qFormat/>
    <w:rPr>
      <w:color w:val="800080"/>
      <w:u w:val="single"/>
    </w:rPr>
  </w:style>
  <w:style w:type="character" w:styleId="981" w:customStyle="1">
    <w:name w:val="HTML 键盘1"/>
    <w:link w:val="777"/>
    <w:uiPriority w:val="99"/>
    <w:unhideWhenUsed/>
    <w:qFormat/>
    <w:rPr>
      <w:rFonts w:ascii="Menlo" w:hAnsi="Menlo" w:eastAsia="Menlo" w:cs="Menlo"/>
      <w:color w:val="ffffff"/>
      <w:sz w:val="21"/>
      <w:szCs w:val="21"/>
      <w:shd w:val="clear" w:color="auto" w:fill="333333"/>
    </w:rPr>
  </w:style>
  <w:style w:type="character" w:styleId="982" w:customStyle="1">
    <w:name w:val="强调1"/>
    <w:link w:val="777"/>
    <w:uiPriority w:val="0"/>
    <w:qFormat/>
    <w:rPr>
      <w:color w:val="cc0033"/>
    </w:rPr>
  </w:style>
  <w:style w:type="character" w:styleId="983" w:customStyle="1">
    <w:name w:val="要点1"/>
    <w:link w:val="777"/>
    <w:uiPriority w:val="99"/>
    <w:qFormat/>
    <w:rPr>
      <w:b/>
      <w:bCs/>
    </w:rPr>
  </w:style>
  <w:style w:type="character" w:styleId="984" w:customStyle="1">
    <w:name w:val="HTML 样本1"/>
    <w:link w:val="777"/>
    <w:uiPriority w:val="99"/>
    <w:unhideWhenUsed/>
    <w:qFormat/>
    <w:rPr>
      <w:rFonts w:ascii="Menlo" w:hAnsi="Menlo" w:eastAsia="Menlo" w:cs="Menlo"/>
      <w:sz w:val="21"/>
      <w:szCs w:val="21"/>
    </w:rPr>
  </w:style>
  <w:style w:type="character" w:styleId="985" w:customStyle="1">
    <w:name w:val="超链接1"/>
    <w:link w:val="777"/>
    <w:uiPriority w:val="99"/>
    <w:qFormat/>
    <w:rPr>
      <w:color w:val="0000ff"/>
      <w:u w:val="single"/>
    </w:rPr>
  </w:style>
  <w:style w:type="character" w:styleId="986" w:customStyle="1">
    <w:name w:val="批注引用1"/>
    <w:link w:val="777"/>
    <w:uiPriority w:val="0"/>
    <w:qFormat/>
    <w:rPr>
      <w:sz w:val="21"/>
      <w:szCs w:val="21"/>
    </w:rPr>
  </w:style>
  <w:style w:type="character" w:styleId="987" w:customStyle="1">
    <w:name w:val="HTML 代码1"/>
    <w:link w:val="777"/>
    <w:uiPriority w:val="99"/>
    <w:unhideWhenUsed/>
    <w:qFormat/>
    <w:rPr>
      <w:rFonts w:ascii="Menlo" w:hAnsi="Menlo" w:eastAsia="Menlo" w:cs="Menlo"/>
      <w:color w:val="c7254e"/>
      <w:sz w:val="21"/>
      <w:szCs w:val="21"/>
      <w:shd w:val="clear" w:color="auto" w:fill="f9f2f4"/>
    </w:rPr>
  </w:style>
  <w:style w:type="character" w:styleId="988" w:customStyle="1">
    <w:name w:val="HTML 定义1"/>
    <w:link w:val="777"/>
    <w:uiPriority w:val="99"/>
    <w:unhideWhenUsed/>
    <w:qFormat/>
    <w:rPr>
      <w:i/>
    </w:rPr>
  </w:style>
  <w:style w:type="character" w:styleId="989" w:customStyle="1">
    <w:name w:val="明显引用 字符1"/>
    <w:link w:val="777"/>
    <w:uiPriority w:val="30"/>
    <w:qFormat/>
    <w:rPr>
      <w:i/>
      <w:iCs/>
      <w:color w:val="5b9bd5"/>
      <w:sz w:val="21"/>
      <w:szCs w:val="24"/>
    </w:rPr>
  </w:style>
  <w:style w:type="character" w:styleId="990" w:customStyle="1">
    <w:name w:val="日期 Char"/>
    <w:link w:val="991"/>
    <w:uiPriority w:val="0"/>
    <w:qFormat/>
    <w:rPr>
      <w:rFonts w:ascii="仿宋_GB2312" w:hAnsi="宋体" w:eastAsia="仿宋_GB2312"/>
      <w:color w:val="000000"/>
      <w:sz w:val="24"/>
      <w:szCs w:val="24"/>
    </w:rPr>
  </w:style>
  <w:style w:type="paragraph" w:styleId="991" w:customStyle="1">
    <w:name w:val="日期1"/>
    <w:basedOn w:val="777"/>
    <w:next w:val="777"/>
    <w:link w:val="990"/>
    <w:uiPriority w:val="0"/>
    <w:qFormat/>
    <w:pPr>
      <w:ind w:left="100"/>
    </w:pPr>
    <w:rPr>
      <w:rFonts w:ascii="仿宋_GB2312" w:hAnsi="宋体" w:eastAsia="仿宋_GB2312"/>
      <w:color w:val="000000"/>
      <w:sz w:val="24"/>
    </w:rPr>
  </w:style>
  <w:style w:type="character" w:styleId="992" w:customStyle="1">
    <w:name w:val="Char Char111"/>
    <w:link w:val="777"/>
    <w:uiPriority w:val="0"/>
    <w:qFormat/>
    <w:rPr>
      <w:rFonts w:ascii="宋体" w:eastAsia="宋体"/>
      <w:b/>
      <w:sz w:val="24"/>
      <w:u w:val="single"/>
      <w:lang w:val="en-US" w:eastAsia="zh-CN" w:bidi="ar-SA"/>
    </w:rPr>
  </w:style>
  <w:style w:type="character" w:styleId="993" w:customStyle="1">
    <w:name w:val="副标题 Char"/>
    <w:link w:val="994"/>
    <w:uiPriority w:val="11"/>
    <w:qFormat/>
    <w:rPr>
      <w:rFonts w:ascii="Cambria" w:hAnsi="Cambria"/>
      <w:b/>
      <w:bCs/>
      <w:sz w:val="32"/>
      <w:szCs w:val="32"/>
    </w:rPr>
  </w:style>
  <w:style w:type="paragraph" w:styleId="994" w:customStyle="1">
    <w:name w:val="副标题1"/>
    <w:basedOn w:val="777"/>
    <w:next w:val="777"/>
    <w:link w:val="993"/>
    <w:uiPriority w:val="11"/>
    <w:qFormat/>
    <w:pPr>
      <w:jc w:val="center"/>
      <w:spacing w:before="240" w:after="60" w:line="312" w:lineRule="auto"/>
      <w:outlineLvl w:val="1"/>
    </w:pPr>
    <w:rPr>
      <w:rFonts w:ascii="Cambria" w:hAnsi="Cambria"/>
      <w:b/>
      <w:bCs/>
      <w:sz w:val="32"/>
      <w:szCs w:val="32"/>
    </w:rPr>
  </w:style>
  <w:style w:type="character" w:styleId="995" w:customStyle="1">
    <w:name w:val="正文重点 Char"/>
    <w:link w:val="996"/>
    <w:uiPriority w:val="0"/>
    <w:qFormat/>
    <w:rPr>
      <w:b/>
      <w:sz w:val="24"/>
    </w:rPr>
  </w:style>
  <w:style w:type="paragraph" w:styleId="996" w:customStyle="1">
    <w:name w:val="正文重点"/>
    <w:basedOn w:val="777"/>
    <w:link w:val="995"/>
    <w:uiPriority w:val="0"/>
    <w:qFormat/>
    <w:pPr>
      <w:ind w:firstLine="482"/>
      <w:jc w:val="left"/>
      <w:spacing w:line="360" w:lineRule="auto"/>
    </w:pPr>
    <w:rPr>
      <w:b/>
      <w:sz w:val="24"/>
      <w:szCs w:val="20"/>
    </w:rPr>
  </w:style>
  <w:style w:type="character" w:styleId="997" w:customStyle="1">
    <w:name w:val="正文格式 Char"/>
    <w:link w:val="998"/>
    <w:uiPriority w:val="0"/>
    <w:qFormat/>
    <w:rPr>
      <w:rFonts w:ascii="宋体" w:hAnsi="宋体"/>
      <w:sz w:val="24"/>
      <w:szCs w:val="24"/>
      <w:lang w:val="en-GB"/>
    </w:rPr>
  </w:style>
  <w:style w:type="paragraph" w:styleId="998" w:customStyle="1">
    <w:name w:val="正文格式"/>
    <w:basedOn w:val="777"/>
    <w:link w:val="997"/>
    <w:uiPriority w:val="0"/>
    <w:qFormat/>
    <w:pPr>
      <w:ind w:firstLine="480"/>
      <w:spacing w:line="360" w:lineRule="auto"/>
    </w:pPr>
    <w:rPr>
      <w:rFonts w:ascii="宋体" w:hAnsi="宋体"/>
      <w:sz w:val="24"/>
      <w:lang w:val="en-GB"/>
    </w:rPr>
  </w:style>
  <w:style w:type="character" w:styleId="999" w:customStyle="1">
    <w:name w:val="font51"/>
    <w:link w:val="777"/>
    <w:uiPriority w:val="0"/>
    <w:qFormat/>
    <w:rPr>
      <w:rFonts w:hint="eastAsia" w:ascii="宋体" w:hAnsi="宋体" w:eastAsia="宋体" w:cs="宋体"/>
      <w:color w:val="000000"/>
      <w:sz w:val="18"/>
      <w:szCs w:val="18"/>
      <w:u w:val="none"/>
    </w:rPr>
  </w:style>
  <w:style w:type="character" w:styleId="1000" w:customStyle="1">
    <w:name w:val="无间隔 Char"/>
    <w:link w:val="1001"/>
    <w:uiPriority w:val="1"/>
    <w:qFormat/>
    <w:rPr>
      <w:sz w:val="21"/>
      <w:szCs w:val="24"/>
      <w:lang w:val="en-US" w:eastAsia="zh-CN" w:bidi="ar-SA"/>
    </w:rPr>
  </w:style>
  <w:style w:type="paragraph" w:styleId="1001" w:customStyle="1">
    <w:name w:val="无间隔"/>
    <w:link w:val="1000"/>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1002" w:customStyle="1">
    <w:name w:val="页眉 字符"/>
    <w:link w:val="777"/>
    <w:uiPriority w:val="99"/>
    <w:qFormat/>
    <w:rPr>
      <w:rFonts w:ascii="Times New Roman" w:hAnsi="Times New Roman" w:eastAsia="宋体" w:cs="Times New Roman"/>
      <w:sz w:val="18"/>
      <w:szCs w:val="18"/>
    </w:rPr>
  </w:style>
  <w:style w:type="character" w:styleId="1003" w:customStyle="1">
    <w:name w:val="Table Text Char"/>
    <w:link w:val="1004"/>
    <w:uiPriority w:val="0"/>
    <w:qFormat/>
    <w:rPr>
      <w:rFonts w:ascii="Arial" w:hAnsi="Arial"/>
      <w:sz w:val="18"/>
      <w:szCs w:val="24"/>
    </w:rPr>
  </w:style>
  <w:style w:type="paragraph" w:styleId="1004" w:customStyle="1">
    <w:name w:val="Table Text"/>
    <w:basedOn w:val="777"/>
    <w:link w:val="1003"/>
    <w:uiPriority w:val="0"/>
    <w:qFormat/>
    <w:pPr>
      <w:spacing w:before="80" w:after="80"/>
      <w:widowControl/>
      <w:tabs>
        <w:tab w:val="decimal" w:pos="0" w:leader="none"/>
      </w:tabs>
    </w:pPr>
    <w:rPr>
      <w:rFonts w:ascii="Arial" w:hAnsi="Arial"/>
      <w:sz w:val="18"/>
    </w:rPr>
  </w:style>
  <w:style w:type="character" w:styleId="1005" w:customStyle="1">
    <w:name w:val="页脚 字符"/>
    <w:link w:val="777"/>
    <w:uiPriority w:val="99"/>
    <w:qFormat/>
    <w:rPr>
      <w:rFonts w:ascii="Times New Roman" w:hAnsi="Times New Roman" w:eastAsia="楷体_GB2312" w:cs="Times New Roman"/>
      <w:sz w:val="18"/>
      <w:szCs w:val="18"/>
    </w:rPr>
  </w:style>
  <w:style w:type="character" w:styleId="1006" w:customStyle="1">
    <w:name w:val="正文文本缩进 Char2"/>
    <w:link w:val="1007"/>
    <w:uiPriority w:val="0"/>
    <w:qFormat/>
    <w:rPr>
      <w:rFonts w:eastAsia="宋体"/>
      <w:sz w:val="24"/>
      <w:szCs w:val="24"/>
      <w:lang w:val="en-US" w:eastAsia="zh-CN" w:bidi="ar-SA"/>
    </w:rPr>
  </w:style>
  <w:style w:type="paragraph" w:styleId="1007" w:customStyle="1">
    <w:name w:val="正文文本缩进11"/>
    <w:basedOn w:val="777"/>
    <w:link w:val="1006"/>
    <w:uiPriority w:val="0"/>
    <w:qFormat/>
    <w:pPr>
      <w:ind w:firstLine="570"/>
      <w:spacing w:line="360" w:lineRule="auto"/>
    </w:pPr>
    <w:rPr>
      <w:sz w:val="24"/>
    </w:rPr>
  </w:style>
  <w:style w:type="character" w:styleId="1008" w:customStyle="1">
    <w:name w:val="fonta1"/>
    <w:link w:val="777"/>
    <w:uiPriority w:val="0"/>
    <w:qFormat/>
    <w:rPr>
      <w:sz w:val="30"/>
    </w:rPr>
  </w:style>
  <w:style w:type="character" w:styleId="1009" w:customStyle="1">
    <w:name w:val="正文文本 3 字符"/>
    <w:link w:val="777"/>
    <w:uiPriority w:val="0"/>
    <w:qFormat/>
    <w:rPr>
      <w:b/>
      <w:color w:val="000000"/>
      <w:sz w:val="32"/>
      <w:szCs w:val="28"/>
      <w:u w:val="single"/>
    </w:rPr>
  </w:style>
  <w:style w:type="character" w:styleId="1010" w:customStyle="1">
    <w:name w:val="文字 Char Char"/>
    <w:link w:val="1011"/>
    <w:uiPriority w:val="0"/>
    <w:qFormat/>
    <w:rPr>
      <w:rFonts w:ascii="宋体" w:hAnsi="宋体"/>
      <w:sz w:val="28"/>
    </w:rPr>
  </w:style>
  <w:style w:type="paragraph" w:styleId="1011" w:customStyle="1">
    <w:name w:val="文字"/>
    <w:basedOn w:val="777"/>
    <w:link w:val="1010"/>
    <w:uiPriority w:val="0"/>
    <w:qFormat/>
    <w:pPr>
      <w:ind w:right="-210" w:firstLine="556"/>
      <w:spacing w:line="312" w:lineRule="auto"/>
      <w:tabs>
        <w:tab w:val="left" w:pos="8520" w:leader="none"/>
      </w:tabs>
    </w:pPr>
    <w:rPr>
      <w:rFonts w:ascii="宋体" w:hAnsi="宋体"/>
      <w:sz w:val="28"/>
      <w:szCs w:val="20"/>
    </w:rPr>
  </w:style>
  <w:style w:type="character" w:styleId="1012" w:customStyle="1">
    <w:name w:val="日期 字符1"/>
    <w:link w:val="777"/>
    <w:uiPriority w:val="0"/>
    <w:qFormat/>
    <w:rPr>
      <w:rFonts w:ascii="仿宋_GB2312" w:hAnsi="宋体" w:eastAsia="仿宋_GB2312"/>
      <w:color w:val="000000"/>
      <w:sz w:val="24"/>
      <w:szCs w:val="24"/>
    </w:rPr>
  </w:style>
  <w:style w:type="character" w:styleId="1013" w:customStyle="1">
    <w:name w:val="标题 1 Char"/>
    <w:link w:val="966"/>
    <w:uiPriority w:val="0"/>
    <w:qFormat/>
    <w:rPr>
      <w:rFonts w:ascii="宋体"/>
      <w:b/>
      <w:sz w:val="32"/>
    </w:rPr>
  </w:style>
  <w:style w:type="character" w:styleId="1014" w:customStyle="1">
    <w:name w:val="txt"/>
    <w:link w:val="777"/>
    <w:uiPriority w:val="0"/>
    <w:qFormat/>
  </w:style>
  <w:style w:type="character" w:styleId="1015" w:customStyle="1">
    <w:name w:val="标题 5 字符"/>
    <w:link w:val="777"/>
    <w:uiPriority w:val="0"/>
    <w:qFormat/>
    <w:rPr>
      <w:rFonts w:ascii="宋体" w:hAnsi="宋体" w:eastAsia="宋体" w:cs="Times New Roman"/>
      <w:color w:val="000000"/>
      <w:sz w:val="28"/>
      <w:szCs w:val="20"/>
    </w:rPr>
  </w:style>
  <w:style w:type="character" w:styleId="1016" w:customStyle="1">
    <w:name w:val="引用 字符1"/>
    <w:link w:val="777"/>
    <w:uiPriority w:val="29"/>
    <w:qFormat/>
    <w:rPr>
      <w:i/>
      <w:iCs/>
      <w:color w:val="404040"/>
      <w:sz w:val="21"/>
      <w:szCs w:val="24"/>
    </w:rPr>
  </w:style>
  <w:style w:type="character" w:styleId="1017" w:customStyle="1">
    <w:name w:val="成文日期 Char"/>
    <w:link w:val="1018"/>
    <w:uiPriority w:val="0"/>
    <w:qFormat/>
    <w:rPr>
      <w:rFonts w:ascii="仿宋_GB2312" w:eastAsia="仿宋_GB2312"/>
      <w:sz w:val="32"/>
    </w:rPr>
  </w:style>
  <w:style w:type="paragraph" w:styleId="1018" w:customStyle="1">
    <w:name w:val="成文日期"/>
    <w:basedOn w:val="777"/>
    <w:link w:val="1017"/>
    <w:uiPriority w:val="0"/>
    <w:qFormat/>
    <w:pPr>
      <w:ind w:right="400" w:firstLine="200"/>
      <w:jc w:val="right"/>
      <w:spacing w:line="570" w:lineRule="exact"/>
    </w:pPr>
    <w:rPr>
      <w:rFonts w:ascii="仿宋_GB2312" w:eastAsia="仿宋_GB2312"/>
      <w:sz w:val="32"/>
      <w:szCs w:val="20"/>
    </w:rPr>
  </w:style>
  <w:style w:type="character" w:styleId="1019" w:customStyle="1">
    <w:name w:val="正文new Char Char"/>
    <w:link w:val="1020"/>
    <w:uiPriority w:val="0"/>
    <w:qFormat/>
    <w:rPr>
      <w:rFonts w:cs="宋体"/>
      <w:sz w:val="24"/>
    </w:rPr>
  </w:style>
  <w:style w:type="paragraph" w:styleId="1020" w:customStyle="1">
    <w:name w:val="正文new"/>
    <w:basedOn w:val="777"/>
    <w:link w:val="1019"/>
    <w:uiPriority w:val="0"/>
    <w:qFormat/>
    <w:pPr>
      <w:ind w:firstLine="200"/>
      <w:spacing w:line="300" w:lineRule="auto"/>
    </w:pPr>
    <w:rPr>
      <w:sz w:val="24"/>
      <w:szCs w:val="20"/>
    </w:rPr>
  </w:style>
  <w:style w:type="character" w:styleId="1021" w:customStyle="1">
    <w:name w:val="small"/>
    <w:link w:val="777"/>
    <w:uiPriority w:val="0"/>
    <w:qFormat/>
  </w:style>
  <w:style w:type="character" w:styleId="1022" w:customStyle="1">
    <w:name w:val="style21"/>
    <w:link w:val="777"/>
    <w:uiPriority w:val="99"/>
    <w:qFormat/>
    <w:rPr>
      <w:color w:val="0000a0"/>
      <w:sz w:val="33"/>
      <w:szCs w:val="33"/>
    </w:rPr>
  </w:style>
  <w:style w:type="character" w:styleId="1023" w:customStyle="1">
    <w:name w:val="页脚 Char"/>
    <w:link w:val="777"/>
    <w:uiPriority w:val="0"/>
    <w:qFormat/>
    <w:rPr>
      <w:rFonts w:ascii="宋体" w:eastAsia="宋体"/>
      <w:sz w:val="18"/>
      <w:lang w:val="en-US" w:eastAsia="zh-CN" w:bidi="ar-SA"/>
    </w:rPr>
  </w:style>
  <w:style w:type="character" w:styleId="1024" w:customStyle="1">
    <w:name w:val="正文首行缩进 2 Char1"/>
    <w:link w:val="777"/>
    <w:uiPriority w:val="99"/>
    <w:qFormat/>
  </w:style>
  <w:style w:type="character" w:styleId="1025" w:customStyle="1">
    <w:name w:val="正文文本缩进 2 Char"/>
    <w:link w:val="1026"/>
    <w:uiPriority w:val="0"/>
    <w:qFormat/>
    <w:rPr>
      <w:rFonts w:ascii="仿宋_GB2312" w:eastAsia="仿宋_GB2312"/>
      <w:sz w:val="24"/>
      <w:szCs w:val="24"/>
    </w:rPr>
  </w:style>
  <w:style w:type="paragraph" w:styleId="1026" w:customStyle="1">
    <w:name w:val="正文文本缩进 21"/>
    <w:basedOn w:val="777"/>
    <w:link w:val="1025"/>
    <w:uiPriority w:val="0"/>
    <w:qFormat/>
    <w:pPr>
      <w:ind w:firstLine="480"/>
    </w:pPr>
    <w:rPr>
      <w:rFonts w:ascii="仿宋_GB2312" w:eastAsia="仿宋_GB2312"/>
      <w:sz w:val="24"/>
    </w:rPr>
  </w:style>
  <w:style w:type="character" w:styleId="1027" w:customStyle="1">
    <w:name w:val="正文首行缩进2字 Char Char"/>
    <w:link w:val="777"/>
    <w:uiPriority w:val="0"/>
    <w:qFormat/>
    <w:rPr>
      <w:rFonts w:eastAsia="楷体_GB2312"/>
      <w:sz w:val="28"/>
      <w:szCs w:val="24"/>
      <w:lang w:val="en-US" w:eastAsia="zh-CN" w:bidi="ar-SA"/>
    </w:rPr>
  </w:style>
  <w:style w:type="character" w:styleId="1028" w:customStyle="1">
    <w:name w:val="unnamed21"/>
    <w:link w:val="777"/>
    <w:uiPriority w:val="0"/>
    <w:qFormat/>
    <w:rPr>
      <w:rFonts w:hint="eastAsia" w:ascii="宋体" w:hAnsi="宋体" w:eastAsia="宋体"/>
      <w:sz w:val="24"/>
      <w:szCs w:val="24"/>
    </w:rPr>
  </w:style>
  <w:style w:type="character" w:styleId="1029" w:customStyle="1">
    <w:name w:val="正文文本 3 Char"/>
    <w:link w:val="1030"/>
    <w:uiPriority w:val="0"/>
    <w:qFormat/>
    <w:rPr>
      <w:sz w:val="16"/>
      <w:szCs w:val="16"/>
    </w:rPr>
  </w:style>
  <w:style w:type="paragraph" w:styleId="1030" w:customStyle="1">
    <w:name w:val="正文文本 31"/>
    <w:basedOn w:val="777"/>
    <w:link w:val="1029"/>
    <w:uiPriority w:val="0"/>
    <w:qFormat/>
    <w:pPr>
      <w:spacing w:after="120"/>
    </w:pPr>
    <w:rPr>
      <w:sz w:val="16"/>
      <w:szCs w:val="16"/>
    </w:rPr>
  </w:style>
  <w:style w:type="character" w:styleId="1031" w:customStyle="1">
    <w:name w:val="标题 7 Char"/>
    <w:link w:val="973"/>
    <w:uiPriority w:val="0"/>
    <w:qFormat/>
    <w:rPr>
      <w:b/>
      <w:sz w:val="24"/>
    </w:rPr>
  </w:style>
  <w:style w:type="character" w:styleId="1032" w:customStyle="1">
    <w:name w:val="正文首行缩进2字 Char"/>
    <w:link w:val="1033"/>
    <w:uiPriority w:val="0"/>
    <w:qFormat/>
    <w:rPr>
      <w:rFonts w:eastAsia="楷体_GB2312"/>
      <w:sz w:val="28"/>
      <w:szCs w:val="24"/>
    </w:rPr>
  </w:style>
  <w:style w:type="paragraph" w:styleId="1033" w:customStyle="1">
    <w:name w:val="正文首行缩进2字"/>
    <w:basedOn w:val="777"/>
    <w:link w:val="1032"/>
    <w:uiPriority w:val="0"/>
    <w:qFormat/>
    <w:pPr>
      <w:ind w:firstLine="560"/>
    </w:pPr>
    <w:rPr>
      <w:rFonts w:eastAsia="楷体_GB2312"/>
      <w:sz w:val="28"/>
    </w:rPr>
  </w:style>
  <w:style w:type="character" w:styleId="1034" w:customStyle="1">
    <w:name w:val="正文符号1 Char Char"/>
    <w:link w:val="777"/>
    <w:uiPriority w:val="0"/>
    <w:qFormat/>
    <w:rPr>
      <w:rFonts w:eastAsia="楷体_GB2312"/>
      <w:sz w:val="28"/>
      <w:szCs w:val="24"/>
      <w:lang w:val="en-US" w:eastAsia="zh-CN" w:bidi="ar-SA"/>
    </w:rPr>
  </w:style>
  <w:style w:type="character" w:styleId="1035" w:customStyle="1">
    <w:name w:val="标题 2 Char"/>
    <w:link w:val="777"/>
    <w:uiPriority w:val="0"/>
    <w:qFormat/>
    <w:rPr>
      <w:rFonts w:ascii="Arial" w:hAnsi="Arial" w:eastAsia="黑体"/>
      <w:b/>
      <w:sz w:val="30"/>
      <w:lang w:val="en-US" w:eastAsia="zh-CN" w:bidi="ar-SA"/>
    </w:rPr>
  </w:style>
  <w:style w:type="character" w:styleId="1036" w:customStyle="1">
    <w:name w:val="正文文本缩进 Char"/>
    <w:link w:val="777"/>
    <w:uiPriority w:val="99"/>
    <w:qFormat/>
    <w:rPr>
      <w:rFonts w:eastAsia="宋体"/>
      <w:sz w:val="24"/>
      <w:szCs w:val="24"/>
      <w:lang w:val="en-US" w:eastAsia="zh-CN" w:bidi="ar-SA"/>
    </w:rPr>
  </w:style>
  <w:style w:type="character" w:styleId="1037" w:customStyle="1">
    <w:name w:val="标题 5 字符1"/>
    <w:link w:val="777"/>
    <w:uiPriority w:val="0"/>
    <w:qFormat/>
    <w:rPr>
      <w:b/>
      <w:sz w:val="28"/>
    </w:rPr>
  </w:style>
  <w:style w:type="character" w:styleId="1038" w:customStyle="1">
    <w:name w:val="批注主题 Char"/>
    <w:link w:val="1039"/>
    <w:uiPriority w:val="0"/>
    <w:qFormat/>
    <w:rPr>
      <w:rFonts w:ascii="Times New Roman" w:hAnsi="Times New Roman" w:eastAsia="宋体" w:cs="Times New Roman"/>
      <w:b/>
      <w:bCs/>
      <w:sz w:val="21"/>
      <w:szCs w:val="24"/>
      <w:lang w:val="en-US" w:eastAsia="zh-CN" w:bidi="ar-SA"/>
    </w:rPr>
  </w:style>
  <w:style w:type="paragraph" w:styleId="1039" w:customStyle="1">
    <w:name w:val="批注主题1"/>
    <w:basedOn w:val="1040"/>
    <w:next w:val="1040"/>
    <w:link w:val="1038"/>
    <w:uiPriority w:val="0"/>
    <w:qFormat/>
    <w:rPr>
      <w:b/>
      <w:bCs/>
      <w:lang w:val="en-US" w:eastAsia="zh-CN"/>
    </w:rPr>
  </w:style>
  <w:style w:type="paragraph" w:styleId="1040" w:customStyle="1">
    <w:name w:val="批注文字1"/>
    <w:basedOn w:val="777"/>
    <w:link w:val="1044"/>
    <w:uiPriority w:val="99"/>
    <w:qFormat/>
    <w:pPr>
      <w:jc w:val="left"/>
    </w:pPr>
  </w:style>
  <w:style w:type="character" w:styleId="1041" w:customStyle="1">
    <w:name w:val="标题 9 字符1"/>
    <w:link w:val="777"/>
    <w:uiPriority w:val="0"/>
    <w:qFormat/>
    <w:rPr>
      <w:rFonts w:ascii="Arial" w:hAnsi="Arial" w:eastAsia="黑体"/>
      <w:sz w:val="21"/>
    </w:rPr>
  </w:style>
  <w:style w:type="character" w:styleId="1042" w:customStyle="1">
    <w:name w:val="中等深浅网格 1 - 强调文字颜色 2 Char"/>
    <w:link w:val="1043"/>
    <w:uiPriority w:val="0"/>
    <w:qFormat/>
    <w:rPr>
      <w:sz w:val="21"/>
      <w:szCs w:val="24"/>
      <w:lang w:val="zh-CN" w:eastAsia="zh-CN" w:bidi="ar-SA"/>
    </w:rPr>
  </w:style>
  <w:style w:type="paragraph" w:styleId="1043" w:customStyle="1">
    <w:name w:val="1"/>
    <w:link w:val="1042"/>
    <w:uiPriority w:val="0"/>
    <w:qFormat/>
    <w:rPr>
      <w:rFonts w:hint="default" w:ascii="Times New Roman" w:hAnsi="Times New Roman" w:eastAsia="宋体" w:cs="Times New Roman"/>
      <w:sz w:val="21"/>
      <w:szCs w:val="24"/>
      <w:lang w:val="zh-CN" w:eastAsia="zh-CN" w:bidi="ar-SA"/>
    </w:rPr>
  </w:style>
  <w:style w:type="character" w:styleId="1044" w:customStyle="1">
    <w:name w:val="批注文字 Char1"/>
    <w:link w:val="1040"/>
    <w:uiPriority w:val="99"/>
    <w:qFormat/>
    <w:rPr>
      <w:sz w:val="21"/>
      <w:szCs w:val="24"/>
    </w:rPr>
  </w:style>
  <w:style w:type="character" w:styleId="1045" w:customStyle="1">
    <w:name w:val="标题 5 Char"/>
    <w:link w:val="971"/>
    <w:uiPriority w:val="0"/>
    <w:qFormat/>
    <w:rPr>
      <w:b/>
      <w:sz w:val="28"/>
    </w:rPr>
  </w:style>
  <w:style w:type="character" w:styleId="1046" w:customStyle="1">
    <w:name w:val="正文首行缩进 2 字符2"/>
    <w:link w:val="777"/>
    <w:uiPriority w:val="0"/>
    <w:qFormat/>
    <w:rPr>
      <w:rFonts w:eastAsia="宋体"/>
      <w:sz w:val="24"/>
      <w:szCs w:val="24"/>
      <w:lang w:val="en-US" w:eastAsia="zh-CN" w:bidi="ar-SA"/>
    </w:rPr>
  </w:style>
  <w:style w:type="character" w:styleId="1047" w:customStyle="1">
    <w:name w:val="正文首行缩进 Char1"/>
    <w:link w:val="777"/>
    <w:uiPriority w:val="99"/>
    <w:qFormat/>
  </w:style>
  <w:style w:type="character" w:styleId="1048" w:customStyle="1">
    <w:name w:val="明显引用 Char"/>
    <w:link w:val="1049"/>
    <w:uiPriority w:val="30"/>
    <w:qFormat/>
    <w:rPr>
      <w:b/>
      <w:bCs/>
      <w:i/>
      <w:iCs/>
      <w:color w:val="4f81bd"/>
      <w:szCs w:val="24"/>
    </w:rPr>
  </w:style>
  <w:style w:type="paragraph" w:styleId="1049" w:customStyle="1">
    <w:name w:val="明显引用"/>
    <w:basedOn w:val="777"/>
    <w:next w:val="777"/>
    <w:link w:val="1048"/>
    <w:uiPriority w:val="30"/>
    <w:qFormat/>
    <w:pPr>
      <w:ind w:left="936" w:right="936"/>
      <w:spacing w:before="200" w:after="280"/>
      <w:pBdr>
        <w:bottom w:val="single" w:color="4F81BD" w:sz="4" w:space="4"/>
      </w:pBdr>
    </w:pPr>
    <w:rPr>
      <w:b/>
      <w:bCs/>
      <w:i/>
      <w:iCs/>
      <w:color w:val="4f81bd"/>
      <w:sz w:val="20"/>
    </w:rPr>
  </w:style>
  <w:style w:type="character" w:styleId="1050" w:customStyle="1">
    <w:name w:val="+正文 Char"/>
    <w:link w:val="1051"/>
    <w:uiPriority w:val="0"/>
    <w:qFormat/>
    <w:rPr>
      <w:sz w:val="24"/>
      <w:szCs w:val="28"/>
    </w:rPr>
  </w:style>
  <w:style w:type="paragraph" w:styleId="1051" w:customStyle="1">
    <w:name w:val="+正文"/>
    <w:basedOn w:val="777"/>
    <w:link w:val="1050"/>
    <w:uiPriority w:val="0"/>
    <w:qFormat/>
    <w:pPr>
      <w:ind w:firstLine="200"/>
      <w:spacing w:line="360" w:lineRule="auto"/>
    </w:pPr>
    <w:rPr>
      <w:sz w:val="24"/>
      <w:szCs w:val="28"/>
    </w:rPr>
  </w:style>
  <w:style w:type="character" w:styleId="1052" w:customStyle="1">
    <w:name w:val="reg"/>
    <w:link w:val="777"/>
    <w:uiPriority w:val="0"/>
    <w:qFormat/>
  </w:style>
  <w:style w:type="character" w:styleId="1053" w:customStyle="1">
    <w:name w:val="普通文字1 Char1"/>
    <w:link w:val="777"/>
    <w:uiPriority w:val="0"/>
    <w:qFormat/>
    <w:rPr>
      <w:rFonts w:ascii="宋体" w:hAnsi="Courier New" w:eastAsia="宋体"/>
      <w:sz w:val="21"/>
      <w:lang w:val="en-US" w:eastAsia="zh-CN" w:bidi="ar-SA"/>
    </w:rPr>
  </w:style>
  <w:style w:type="character" w:styleId="1054" w:customStyle="1">
    <w:name w:val="正文文本缩进 字符"/>
    <w:link w:val="777"/>
    <w:uiPriority w:val="99"/>
    <w:qFormat/>
    <w:rPr>
      <w:rFonts w:ascii="Times New Roman" w:hAnsi="Times New Roman" w:eastAsia="宋体" w:cs="Times New Roman"/>
      <w:szCs w:val="20"/>
    </w:rPr>
  </w:style>
  <w:style w:type="character" w:styleId="1055" w:customStyle="1">
    <w:name w:val="签名 Char1"/>
    <w:link w:val="777"/>
    <w:uiPriority w:val="0"/>
    <w:qFormat/>
  </w:style>
  <w:style w:type="character" w:styleId="1056" w:customStyle="1">
    <w:name w:val="title4"/>
    <w:link w:val="777"/>
    <w:uiPriority w:val="0"/>
    <w:qFormat/>
    <w:rPr>
      <w:b/>
      <w:bCs/>
      <w:color w:val="1d87b3"/>
      <w:sz w:val="15"/>
      <w:szCs w:val="15"/>
    </w:rPr>
  </w:style>
  <w:style w:type="character" w:styleId="1057" w:customStyle="1">
    <w:name w:val="正文首行缩进 Char"/>
    <w:link w:val="1058"/>
    <w:uiPriority w:val="0"/>
    <w:qFormat/>
    <w:rPr>
      <w:rFonts w:ascii="Calibri" w:hAnsi="Calibri" w:eastAsia="仿宋_GB2312"/>
      <w:sz w:val="24"/>
      <w:szCs w:val="24"/>
    </w:rPr>
  </w:style>
  <w:style w:type="paragraph" w:styleId="1058" w:customStyle="1">
    <w:name w:val="正文首行缩进1"/>
    <w:basedOn w:val="819"/>
    <w:link w:val="1057"/>
    <w:uiPriority w:val="0"/>
    <w:qFormat/>
    <w:pPr>
      <w:ind w:firstLine="200"/>
      <w:spacing w:before="0" w:line="360" w:lineRule="auto"/>
    </w:pPr>
    <w:rPr>
      <w:rFonts w:ascii="Calibri" w:hAnsi="Calibri" w:eastAsia="仿宋_GB2312"/>
    </w:rPr>
  </w:style>
  <w:style w:type="character" w:styleId="1059" w:customStyle="1">
    <w:name w:val="unnamed1"/>
    <w:link w:val="777"/>
    <w:uiPriority w:val="0"/>
    <w:qFormat/>
  </w:style>
  <w:style w:type="character" w:styleId="1060" w:customStyle="1">
    <w:name w:val="明显强调1"/>
    <w:link w:val="777"/>
    <w:uiPriority w:val="21"/>
    <w:qFormat/>
    <w:rPr>
      <w:b/>
      <w:bCs/>
      <w:i/>
      <w:iCs/>
      <w:color w:val="4f81bd"/>
    </w:rPr>
  </w:style>
  <w:style w:type="character" w:styleId="1061" w:customStyle="1">
    <w:name w:val="标题 8 Char"/>
    <w:link w:val="974"/>
    <w:uiPriority w:val="0"/>
    <w:qFormat/>
    <w:rPr>
      <w:rFonts w:ascii="Arial" w:hAnsi="Arial" w:eastAsia="黑体"/>
      <w:sz w:val="24"/>
    </w:rPr>
  </w:style>
  <w:style w:type="character" w:styleId="1062" w:customStyle="1">
    <w:name w:val="z-窗体顶端 Char"/>
    <w:link w:val="1063"/>
    <w:uiPriority w:val="0"/>
    <w:qFormat/>
    <w:rPr>
      <w:rFonts w:ascii="Arial"/>
      <w:vanish/>
      <w:sz w:val="16"/>
      <w:szCs w:val="24"/>
    </w:rPr>
  </w:style>
  <w:style w:type="paragraph" w:styleId="1063" w:customStyle="1">
    <w:name w:val="z-窗体顶端1"/>
    <w:basedOn w:val="777"/>
    <w:next w:val="777"/>
    <w:link w:val="1062"/>
    <w:uiPriority w:val="0"/>
    <w:qFormat/>
    <w:pPr>
      <w:jc w:val="center"/>
      <w:pBdr>
        <w:bottom w:val="single" w:color="000000" w:sz="6" w:space="1"/>
      </w:pBdr>
    </w:pPr>
    <w:rPr>
      <w:rFonts w:ascii="Arial"/>
      <w:vanish/>
      <w:sz w:val="16"/>
    </w:rPr>
  </w:style>
  <w:style w:type="character" w:styleId="1064" w:customStyle="1">
    <w:name w:val="批注框文本 字符1"/>
    <w:link w:val="777"/>
    <w:uiPriority w:val="0"/>
    <w:qFormat/>
    <w:rPr>
      <w:sz w:val="18"/>
      <w:szCs w:val="18"/>
    </w:rPr>
  </w:style>
  <w:style w:type="character" w:styleId="1065" w:customStyle="1">
    <w:name w:val="副标题 Char1"/>
    <w:link w:val="777"/>
    <w:uiPriority w:val="11"/>
    <w:qFormat/>
    <w:rPr>
      <w:rFonts w:ascii="Cambria" w:hAnsi="Cambria" w:eastAsia="宋体" w:cs="Times New Roman"/>
      <w:b/>
      <w:bCs/>
      <w:sz w:val="32"/>
      <w:szCs w:val="32"/>
    </w:rPr>
  </w:style>
  <w:style w:type="character" w:styleId="1066" w:customStyle="1">
    <w:name w:val="Plain Text Char"/>
    <w:link w:val="777"/>
    <w:uiPriority w:val="99"/>
    <w:qFormat/>
    <w:rPr>
      <w:rFonts w:ascii="宋体" w:hAnsi="Courier New" w:cs="宋体"/>
      <w:sz w:val="21"/>
      <w:szCs w:val="21"/>
    </w:rPr>
  </w:style>
  <w:style w:type="character" w:styleId="1067" w:customStyle="1">
    <w:name w:val="apple-style-span"/>
    <w:link w:val="777"/>
    <w:uiPriority w:val="0"/>
    <w:qFormat/>
    <w:rPr>
      <w:rFonts w:cs="Times New Roman"/>
    </w:rPr>
  </w:style>
  <w:style w:type="character" w:styleId="1068" w:customStyle="1">
    <w:name w:val="段1 Char"/>
    <w:link w:val="777"/>
    <w:uiPriority w:val="0"/>
    <w:qFormat/>
    <w:rPr>
      <w:rFonts w:ascii="宋体" w:eastAsia="宋体"/>
      <w:sz w:val="24"/>
      <w:lang w:val="en-US" w:eastAsia="zh-CN" w:bidi="ar-SA"/>
    </w:rPr>
  </w:style>
  <w:style w:type="character" w:styleId="1069" w:customStyle="1">
    <w:name w:val="标题 7 字符"/>
    <w:link w:val="777"/>
    <w:uiPriority w:val="0"/>
    <w:qFormat/>
    <w:rPr>
      <w:rFonts w:ascii="Times New Roman" w:hAnsi="Times New Roman" w:eastAsia="宋体" w:cs="Times New Roman"/>
      <w:b/>
      <w:bCs/>
      <w:sz w:val="24"/>
      <w:szCs w:val="24"/>
    </w:rPr>
  </w:style>
  <w:style w:type="character" w:styleId="1070" w:customStyle="1">
    <w:name w:val="纯文本 Char1"/>
    <w:link w:val="777"/>
    <w:uiPriority w:val="99"/>
    <w:qFormat/>
    <w:rPr>
      <w:rFonts w:ascii="宋体" w:hAnsi="Courier New" w:eastAsia="宋体"/>
      <w:sz w:val="21"/>
      <w:lang w:val="en-US" w:eastAsia="zh-CN" w:bidi="ar-SA"/>
    </w:rPr>
  </w:style>
  <w:style w:type="character" w:styleId="1071" w:customStyle="1">
    <w:name w:val="页眉 Char"/>
    <w:link w:val="777"/>
    <w:uiPriority w:val="99"/>
    <w:qFormat/>
    <w:rPr>
      <w:rFonts w:eastAsia="宋体"/>
      <w:sz w:val="18"/>
      <w:szCs w:val="18"/>
      <w:lang w:val="en-US" w:eastAsia="zh-CN" w:bidi="ar-SA"/>
    </w:rPr>
  </w:style>
  <w:style w:type="character" w:styleId="1072" w:customStyle="1">
    <w:name w:val="st1"/>
    <w:link w:val="777"/>
    <w:uiPriority w:val="0"/>
    <w:qFormat/>
  </w:style>
  <w:style w:type="character" w:styleId="1073" w:customStyle="1">
    <w:name w:val="批注主题 字符"/>
    <w:link w:val="777"/>
    <w:uiPriority w:val="0"/>
    <w:qFormat/>
    <w:rPr>
      <w:rFonts w:ascii="Times New Roman" w:hAnsi="Times New Roman" w:eastAsia="宋体" w:cs="Times New Roman"/>
      <w:b/>
      <w:bCs/>
      <w:sz w:val="20"/>
      <w:szCs w:val="20"/>
      <w:lang w:val="en-US" w:eastAsia="zh-CN" w:bidi="ar-SA"/>
    </w:rPr>
  </w:style>
  <w:style w:type="character" w:styleId="1074" w:customStyle="1">
    <w:name w:val="正文文本 2 Char"/>
    <w:link w:val="1075"/>
    <w:uiPriority w:val="0"/>
    <w:qFormat/>
    <w:rPr>
      <w:rFonts w:ascii="宋体" w:hAnsi="宋体"/>
      <w:color w:val="0000ff"/>
      <w:sz w:val="24"/>
      <w:szCs w:val="24"/>
    </w:rPr>
  </w:style>
  <w:style w:type="paragraph" w:styleId="1075" w:customStyle="1">
    <w:name w:val="正文文本 21"/>
    <w:basedOn w:val="777"/>
    <w:link w:val="1074"/>
    <w:uiPriority w:val="0"/>
    <w:qFormat/>
    <w:pPr>
      <w:spacing w:line="360" w:lineRule="auto"/>
    </w:pPr>
    <w:rPr>
      <w:rFonts w:ascii="宋体" w:hAnsi="宋体"/>
      <w:color w:val="0000ff"/>
      <w:sz w:val="24"/>
    </w:rPr>
  </w:style>
  <w:style w:type="character" w:styleId="1076" w:customStyle="1">
    <w:name w:val="标题 7 字符1"/>
    <w:link w:val="777"/>
    <w:uiPriority w:val="0"/>
    <w:qFormat/>
    <w:rPr>
      <w:b/>
      <w:sz w:val="24"/>
    </w:rPr>
  </w:style>
  <w:style w:type="character" w:styleId="1077" w:customStyle="1">
    <w:name w:val="标题 3 Char"/>
    <w:link w:val="777"/>
    <w:uiPriority w:val="0"/>
    <w:qFormat/>
    <w:rPr>
      <w:rFonts w:ascii="宋体" w:eastAsia="宋体"/>
      <w:b/>
      <w:sz w:val="24"/>
      <w:u w:val="single"/>
      <w:lang w:val="en-US" w:eastAsia="zh-CN" w:bidi="ar-SA"/>
    </w:rPr>
  </w:style>
  <w:style w:type="character" w:styleId="1078" w:customStyle="1">
    <w:name w:val="批注文字 字符"/>
    <w:link w:val="777"/>
    <w:uiPriority w:val="0"/>
    <w:qFormat/>
    <w:rPr>
      <w:rFonts w:ascii="Times New Roman" w:hAnsi="Times New Roman" w:eastAsia="宋体" w:cs="Times New Roman"/>
      <w:sz w:val="24"/>
      <w:lang w:val="en-US" w:eastAsia="zh-CN" w:bidi="ar-SA"/>
    </w:rPr>
  </w:style>
  <w:style w:type="character" w:styleId="1079" w:customStyle="1">
    <w:name w:val="标题 2 字符1"/>
    <w:link w:val="777"/>
    <w:uiPriority w:val="0"/>
    <w:qFormat/>
    <w:rPr>
      <w:rFonts w:ascii="Arial" w:hAnsi="Arial" w:eastAsia="黑体"/>
      <w:b/>
      <w:sz w:val="30"/>
      <w:lang w:val="en-US" w:eastAsia="zh-CN" w:bidi="ar-SA"/>
    </w:rPr>
  </w:style>
  <w:style w:type="character" w:styleId="1080" w:customStyle="1">
    <w:name w:val="HTML 预设格式 Char"/>
    <w:link w:val="1081"/>
    <w:uiPriority w:val="0"/>
    <w:qFormat/>
    <w:rPr>
      <w:rFonts w:ascii="宋体" w:hAnsi="宋体" w:cs="宋体"/>
      <w:sz w:val="24"/>
      <w:szCs w:val="24"/>
    </w:rPr>
  </w:style>
  <w:style w:type="paragraph" w:styleId="1081" w:customStyle="1">
    <w:name w:val="HTML 预设格式1"/>
    <w:basedOn w:val="777"/>
    <w:link w:val="10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2" w:customStyle="1">
    <w:name w:val="标题 6 字符1"/>
    <w:link w:val="777"/>
    <w:uiPriority w:val="0"/>
    <w:qFormat/>
    <w:rPr>
      <w:rFonts w:ascii="Arial" w:hAnsi="Arial" w:eastAsia="黑体"/>
      <w:b/>
      <w:sz w:val="24"/>
    </w:rPr>
  </w:style>
  <w:style w:type="character" w:styleId="1083" w:customStyle="1">
    <w:name w:val="项目编号（2） Char Char"/>
    <w:link w:val="1084"/>
    <w:uiPriority w:val="0"/>
    <w:qFormat/>
    <w:rPr>
      <w:rFonts w:cs="宋体"/>
      <w:sz w:val="24"/>
    </w:rPr>
  </w:style>
  <w:style w:type="paragraph" w:styleId="1084" w:customStyle="1">
    <w:name w:val="项目编号（2）"/>
    <w:basedOn w:val="777"/>
    <w:link w:val="1083"/>
    <w:uiPriority w:val="0"/>
    <w:qFormat/>
    <w:pPr>
      <w:ind w:left="960" w:hanging="420"/>
      <w:spacing w:line="300" w:lineRule="auto"/>
      <w:tabs>
        <w:tab w:val="left" w:pos="960" w:leader="none"/>
      </w:tabs>
    </w:pPr>
    <w:rPr>
      <w:sz w:val="24"/>
      <w:szCs w:val="20"/>
    </w:rPr>
  </w:style>
  <w:style w:type="character" w:styleId="1085" w:customStyle="1">
    <w:name w:val="正文表格 Char"/>
    <w:link w:val="1086"/>
    <w:uiPriority w:val="0"/>
    <w:qFormat/>
    <w:rPr>
      <w:rFonts w:ascii="宋体" w:hAnsi="宋体"/>
      <w:color w:val="000000"/>
      <w:sz w:val="21"/>
      <w:szCs w:val="21"/>
    </w:rPr>
  </w:style>
  <w:style w:type="paragraph" w:styleId="1086" w:customStyle="1">
    <w:name w:val="正文表格"/>
    <w:basedOn w:val="777"/>
    <w:link w:val="1085"/>
    <w:uiPriority w:val="0"/>
    <w:qFormat/>
    <w:pPr>
      <w:jc w:val="left"/>
    </w:pPr>
    <w:rPr>
      <w:rFonts w:ascii="宋体" w:hAnsi="宋体"/>
      <w:color w:val="000000"/>
      <w:szCs w:val="21"/>
    </w:rPr>
  </w:style>
  <w:style w:type="character" w:styleId="1087" w:customStyle="1">
    <w:name w:val="纯文本 字符2"/>
    <w:link w:val="777"/>
    <w:uiPriority w:val="99"/>
    <w:qFormat/>
    <w:rPr>
      <w:rFonts w:hint="eastAsia" w:ascii="宋体" w:hAnsi="Courier New" w:eastAsia="宋体" w:cs="宋体"/>
      <w:sz w:val="21"/>
    </w:rPr>
  </w:style>
  <w:style w:type="character" w:styleId="1088" w:customStyle="1">
    <w:name w:val="标题 4 字符1"/>
    <w:link w:val="777"/>
    <w:uiPriority w:val="0"/>
    <w:qFormat/>
    <w:rPr>
      <w:rFonts w:ascii="Arial" w:hAnsi="Arial" w:eastAsia="黑体"/>
      <w:b/>
      <w:sz w:val="28"/>
    </w:rPr>
  </w:style>
  <w:style w:type="character" w:styleId="1089" w:customStyle="1">
    <w:name w:val="正文文本缩进 2 字符"/>
    <w:link w:val="777"/>
    <w:uiPriority w:val="99"/>
    <w:qFormat/>
    <w:rPr>
      <w:rFonts w:ascii="宋体" w:hAnsi="宋体" w:eastAsia="宋体" w:cs="Times New Roman"/>
      <w:b/>
      <w:bCs/>
      <w:sz w:val="24"/>
      <w:szCs w:val="24"/>
    </w:rPr>
  </w:style>
  <w:style w:type="character" w:styleId="1090" w:customStyle="1">
    <w:name w:val="标题 3 字符1"/>
    <w:link w:val="777"/>
    <w:uiPriority w:val="0"/>
    <w:qFormat/>
    <w:rPr>
      <w:rFonts w:ascii="宋体" w:eastAsia="宋体"/>
      <w:b/>
      <w:sz w:val="24"/>
      <w:u w:val="single"/>
      <w:lang w:val="en-US" w:eastAsia="zh-CN" w:bidi="ar-SA"/>
    </w:rPr>
  </w:style>
  <w:style w:type="character" w:styleId="1091" w:customStyle="1">
    <w:name w:val="unnamed11"/>
    <w:link w:val="777"/>
    <w:uiPriority w:val="0"/>
    <w:qFormat/>
  </w:style>
  <w:style w:type="character" w:styleId="1092" w:customStyle="1">
    <w:name w:val="书籍标题1"/>
    <w:link w:val="777"/>
    <w:uiPriority w:val="33"/>
    <w:qFormat/>
    <w:rPr>
      <w:b/>
      <w:bCs/>
      <w:smallCaps/>
      <w:spacing w:val="5"/>
    </w:rPr>
  </w:style>
  <w:style w:type="character" w:styleId="1093" w:customStyle="1">
    <w:name w:val="ca-1"/>
    <w:link w:val="777"/>
    <w:uiPriority w:val="0"/>
    <w:qFormat/>
  </w:style>
  <w:style w:type="character" w:styleId="1094" w:customStyle="1">
    <w:name w:val="正文符号1 Char"/>
    <w:link w:val="1095"/>
    <w:uiPriority w:val="0"/>
    <w:qFormat/>
    <w:rPr>
      <w:rFonts w:eastAsia="楷体_GB2312"/>
      <w:sz w:val="28"/>
      <w:szCs w:val="24"/>
    </w:rPr>
  </w:style>
  <w:style w:type="paragraph" w:styleId="1095" w:customStyle="1">
    <w:name w:val="正文符号1"/>
    <w:basedOn w:val="1033"/>
    <w:link w:val="1094"/>
    <w:uiPriority w:val="0"/>
    <w:qFormat/>
    <w:pPr>
      <w:ind w:left="987" w:firstLine="0"/>
      <w:tabs>
        <w:tab w:val="left" w:pos="987" w:leader="none"/>
      </w:tabs>
    </w:pPr>
  </w:style>
  <w:style w:type="character" w:styleId="1096" w:customStyle="1">
    <w:name w:val="标题 2 Char Char"/>
    <w:link w:val="777"/>
    <w:uiPriority w:val="0"/>
    <w:qFormat/>
    <w:rPr>
      <w:rFonts w:ascii="Arial" w:hAnsi="Arial" w:eastAsia="黑体"/>
      <w:b/>
      <w:bCs/>
      <w:sz w:val="32"/>
      <w:szCs w:val="32"/>
      <w:lang w:val="en-US" w:eastAsia="zh-CN" w:bidi="ar-SA"/>
    </w:rPr>
  </w:style>
  <w:style w:type="character" w:styleId="1097" w:customStyle="1">
    <w:name w:val="批注主题 字符1"/>
    <w:link w:val="777"/>
    <w:uiPriority w:val="99"/>
    <w:qFormat/>
    <w:rPr>
      <w:rFonts w:ascii="Times New Roman" w:hAnsi="Times New Roman" w:eastAsia="宋体" w:cs="Times New Roman"/>
      <w:b/>
      <w:bCs/>
      <w:sz w:val="21"/>
      <w:szCs w:val="24"/>
      <w:lang w:val="en-US" w:eastAsia="zh-CN" w:bidi="ar-SA"/>
    </w:rPr>
  </w:style>
  <w:style w:type="character" w:styleId="1098" w:customStyle="1">
    <w:name w:val="正文首行缩进 字符2"/>
    <w:link w:val="777"/>
    <w:uiPriority w:val="0"/>
    <w:qFormat/>
    <w:rPr>
      <w:rFonts w:ascii="宋体" w:hAnsi="宋体"/>
      <w:sz w:val="21"/>
      <w:szCs w:val="24"/>
    </w:rPr>
  </w:style>
  <w:style w:type="character" w:styleId="1099" w:customStyle="1">
    <w:name w:val="引用 字符2"/>
    <w:link w:val="777"/>
    <w:uiPriority w:val="99"/>
    <w:qFormat/>
    <w:rPr>
      <w:i/>
      <w:iCs/>
      <w:color w:val="404040"/>
      <w:sz w:val="21"/>
      <w:szCs w:val="24"/>
    </w:rPr>
  </w:style>
  <w:style w:type="character" w:styleId="1100" w:customStyle="1">
    <w:name w:val="正文文本缩进 3 字符1"/>
    <w:link w:val="777"/>
    <w:uiPriority w:val="0"/>
    <w:qFormat/>
    <w:rPr>
      <w:rFonts w:ascii="宋体"/>
      <w:sz w:val="24"/>
    </w:rPr>
  </w:style>
  <w:style w:type="character" w:styleId="1101" w:customStyle="1">
    <w:name w:val="标题 1 字符1"/>
    <w:link w:val="777"/>
    <w:uiPriority w:val="0"/>
    <w:qFormat/>
    <w:rPr>
      <w:rFonts w:ascii="宋体"/>
      <w:b/>
      <w:sz w:val="32"/>
    </w:rPr>
  </w:style>
  <w:style w:type="character" w:styleId="1102" w:customStyle="1">
    <w:name w:val="签名 字符1"/>
    <w:link w:val="777"/>
    <w:uiPriority w:val="99"/>
    <w:qFormat/>
    <w:rPr>
      <w:sz w:val="21"/>
      <w:szCs w:val="24"/>
    </w:rPr>
  </w:style>
  <w:style w:type="character" w:styleId="1103" w:customStyle="1">
    <w:name w:val="列出段落 Char1"/>
    <w:link w:val="1104"/>
    <w:uiPriority w:val="34"/>
    <w:qFormat/>
    <w:rPr>
      <w:rFonts w:ascii="Calibri" w:hAnsi="Calibri" w:eastAsia="宋体"/>
      <w:sz w:val="21"/>
      <w:szCs w:val="22"/>
      <w:lang w:val="en-US" w:eastAsia="zh-CN" w:bidi="ar-SA"/>
    </w:rPr>
  </w:style>
  <w:style w:type="paragraph" w:styleId="1104" w:customStyle="1">
    <w:name w:val="列出段落"/>
    <w:basedOn w:val="777"/>
    <w:link w:val="1103"/>
    <w:uiPriority w:val="34"/>
    <w:qFormat/>
    <w:pPr>
      <w:ind w:firstLine="420"/>
    </w:pPr>
    <w:rPr>
      <w:rFonts w:ascii="Calibri" w:hAnsi="Calibri"/>
      <w:szCs w:val="22"/>
    </w:rPr>
  </w:style>
  <w:style w:type="character" w:styleId="1105" w:customStyle="1">
    <w:name w:val="引用 Char"/>
    <w:link w:val="1106"/>
    <w:uiPriority w:val="29"/>
    <w:qFormat/>
    <w:rPr>
      <w:i/>
      <w:iCs/>
      <w:color w:val="000000"/>
      <w:szCs w:val="24"/>
    </w:rPr>
  </w:style>
  <w:style w:type="paragraph" w:styleId="1106" w:customStyle="1">
    <w:name w:val="引用"/>
    <w:basedOn w:val="777"/>
    <w:next w:val="777"/>
    <w:link w:val="1105"/>
    <w:uiPriority w:val="29"/>
    <w:qFormat/>
    <w:rPr>
      <w:i/>
      <w:iCs/>
      <w:color w:val="000000"/>
      <w:sz w:val="20"/>
    </w:rPr>
  </w:style>
  <w:style w:type="character" w:styleId="1107" w:customStyle="1">
    <w:name w:val="样式1 Char Char"/>
    <w:link w:val="1108"/>
    <w:uiPriority w:val="0"/>
    <w:qFormat/>
    <w:rPr>
      <w:rFonts w:eastAsia="仿宋_GB2312"/>
      <w:spacing w:val="-6"/>
      <w:sz w:val="32"/>
      <w:szCs w:val="24"/>
    </w:rPr>
  </w:style>
  <w:style w:type="paragraph" w:styleId="1108" w:customStyle="1">
    <w:name w:val="样式1"/>
    <w:basedOn w:val="777"/>
    <w:link w:val="1107"/>
    <w:uiPriority w:val="0"/>
    <w:qFormat/>
    <w:pPr>
      <w:spacing w:line="340" w:lineRule="auto"/>
    </w:pPr>
    <w:rPr>
      <w:rFonts w:eastAsia="仿宋_GB2312"/>
      <w:spacing w:val="-6"/>
      <w:sz w:val="32"/>
    </w:rPr>
  </w:style>
  <w:style w:type="character" w:styleId="1109" w:customStyle="1">
    <w:name w:val="font31"/>
    <w:link w:val="777"/>
    <w:uiPriority w:val="0"/>
    <w:qFormat/>
    <w:rPr>
      <w:rFonts w:hint="eastAsia" w:ascii="宋体" w:hAnsi="宋体" w:eastAsia="宋体" w:cs="宋体"/>
      <w:b/>
      <w:color w:val="000000"/>
      <w:sz w:val="20"/>
      <w:szCs w:val="20"/>
      <w:u w:val="none"/>
    </w:rPr>
  </w:style>
  <w:style w:type="character" w:styleId="1110" w:customStyle="1">
    <w:name w:val="签名 Char"/>
    <w:link w:val="1111"/>
    <w:uiPriority w:val="0"/>
    <w:qFormat/>
    <w:rPr>
      <w:rFonts w:ascii="Tahoma" w:hAnsi="Tahoma"/>
      <w:sz w:val="24"/>
      <w:lang w:val="de-DE" w:eastAsia="de-DE"/>
    </w:rPr>
  </w:style>
  <w:style w:type="paragraph" w:styleId="1111" w:customStyle="1">
    <w:name w:val="签名1"/>
    <w:basedOn w:val="777"/>
    <w:link w:val="1110"/>
    <w:uiPriority w:val="0"/>
    <w:qFormat/>
    <w:pPr>
      <w:jc w:val="left"/>
      <w:widowControl/>
    </w:pPr>
    <w:rPr>
      <w:rFonts w:ascii="Tahoma" w:hAnsi="Tahoma"/>
      <w:sz w:val="24"/>
      <w:szCs w:val="20"/>
      <w:lang w:val="de-DE" w:eastAsia="de-DE"/>
    </w:rPr>
  </w:style>
  <w:style w:type="character" w:styleId="1112" w:customStyle="1">
    <w:name w:val="正文文本缩进 3 字符"/>
    <w:link w:val="777"/>
    <w:uiPriority w:val="0"/>
    <w:qFormat/>
    <w:rPr>
      <w:rFonts w:ascii="宋体" w:hAnsi="宋体" w:eastAsia="宋体" w:cs="Times New Roman"/>
      <w:color w:val="0000ff"/>
      <w:sz w:val="24"/>
      <w:szCs w:val="24"/>
    </w:rPr>
  </w:style>
  <w:style w:type="character" w:styleId="1113" w:customStyle="1">
    <w:name w:val="正文大标题 Char"/>
    <w:link w:val="1114"/>
    <w:uiPriority w:val="0"/>
    <w:qFormat/>
    <w:rPr>
      <w:rFonts w:ascii="宋体" w:hAnsi="宋体"/>
      <w:b/>
      <w:color w:val="000000"/>
      <w:sz w:val="28"/>
      <w:szCs w:val="21"/>
    </w:rPr>
  </w:style>
  <w:style w:type="paragraph" w:styleId="1114" w:customStyle="1">
    <w:name w:val="正文大标题"/>
    <w:basedOn w:val="1115"/>
    <w:next w:val="968"/>
    <w:link w:val="1113"/>
    <w:uiPriority w:val="0"/>
    <w:qFormat/>
    <w:pPr>
      <w:jc w:val="center"/>
    </w:pPr>
    <w:rPr>
      <w:i w:val="0"/>
      <w:color w:val="000000"/>
      <w:sz w:val="28"/>
      <w:szCs w:val="21"/>
    </w:rPr>
  </w:style>
  <w:style w:type="paragraph" w:styleId="1115" w:customStyle="1">
    <w:name w:val="正文小标题"/>
    <w:basedOn w:val="777"/>
    <w:next w:val="968"/>
    <w:link w:val="1207"/>
    <w:uiPriority w:val="0"/>
    <w:qFormat/>
    <w:pPr>
      <w:ind w:firstLine="482"/>
      <w:jc w:val="left"/>
      <w:spacing w:before="312" w:after="312"/>
    </w:pPr>
    <w:rPr>
      <w:rFonts w:ascii="宋体" w:hAnsi="宋体"/>
      <w:b/>
      <w:i/>
      <w:color w:val="ff0000"/>
      <w:sz w:val="24"/>
      <w:szCs w:val="20"/>
    </w:rPr>
  </w:style>
  <w:style w:type="character" w:styleId="1116" w:customStyle="1">
    <w:name w:val="标题 6 字符"/>
    <w:link w:val="777"/>
    <w:uiPriority w:val="0"/>
    <w:qFormat/>
    <w:rPr>
      <w:rFonts w:ascii="Arial" w:hAnsi="Arial" w:eastAsia="黑体" w:cs="Times New Roman"/>
      <w:b/>
      <w:bCs/>
      <w:sz w:val="24"/>
      <w:szCs w:val="24"/>
    </w:rPr>
  </w:style>
  <w:style w:type="character" w:styleId="1117" w:customStyle="1">
    <w:name w:val="font01"/>
    <w:link w:val="777"/>
    <w:uiPriority w:val="0"/>
    <w:qFormat/>
    <w:rPr>
      <w:rFonts w:hint="eastAsia" w:ascii="仿宋" w:hAnsi="仿宋" w:eastAsia="仿宋" w:cs="仿宋"/>
      <w:color w:val="000000"/>
      <w:sz w:val="22"/>
      <w:szCs w:val="22"/>
      <w:u w:val="none"/>
    </w:rPr>
  </w:style>
  <w:style w:type="character" w:styleId="1118" w:customStyle="1">
    <w:name w:val="font11"/>
    <w:link w:val="777"/>
    <w:uiPriority w:val="0"/>
    <w:qFormat/>
    <w:rPr>
      <w:rFonts w:hint="eastAsia" w:ascii="仿宋" w:hAnsi="仿宋" w:eastAsia="仿宋" w:cs="仿宋"/>
      <w:color w:val="333333"/>
      <w:sz w:val="22"/>
      <w:szCs w:val="22"/>
      <w:u w:val="none"/>
    </w:rPr>
  </w:style>
  <w:style w:type="character" w:styleId="1119" w:customStyle="1">
    <w:name w:val="文档结构图 字符1"/>
    <w:link w:val="777"/>
    <w:uiPriority w:val="0"/>
    <w:qFormat/>
    <w:rPr>
      <w:sz w:val="21"/>
      <w:szCs w:val="24"/>
      <w:shd w:val="clear" w:color="auto" w:fill="000080"/>
    </w:rPr>
  </w:style>
  <w:style w:type="character" w:styleId="1120" w:customStyle="1">
    <w:name w:val="street-address"/>
    <w:link w:val="777"/>
    <w:uiPriority w:val="0"/>
    <w:qFormat/>
  </w:style>
  <w:style w:type="character" w:styleId="1121" w:customStyle="1">
    <w:name w:val="prodname1"/>
    <w:link w:val="777"/>
    <w:uiPriority w:val="0"/>
    <w:qFormat/>
    <w:rPr>
      <w:b/>
      <w:bCs/>
      <w:color w:val="347ca9"/>
      <w:sz w:val="17"/>
      <w:szCs w:val="17"/>
    </w:rPr>
  </w:style>
  <w:style w:type="character" w:styleId="1122" w:customStyle="1">
    <w:name w:val="页脚 字符1"/>
    <w:link w:val="777"/>
    <w:uiPriority w:val="99"/>
    <w:qFormat/>
    <w:rPr>
      <w:rFonts w:ascii="宋体" w:eastAsia="宋体"/>
      <w:sz w:val="18"/>
      <w:lang w:val="en-US" w:eastAsia="zh-CN" w:bidi="ar-SA"/>
    </w:rPr>
  </w:style>
  <w:style w:type="character" w:styleId="1123" w:customStyle="1">
    <w:name w:val="日期 字符"/>
    <w:link w:val="777"/>
    <w:uiPriority w:val="99"/>
    <w:qFormat/>
    <w:rPr>
      <w:rFonts w:ascii="宋体" w:hAnsi="宋体" w:eastAsia="楷体_GB2312" w:cs="Times New Roman"/>
      <w:sz w:val="24"/>
      <w:szCs w:val="20"/>
    </w:rPr>
  </w:style>
  <w:style w:type="character" w:styleId="1124" w:customStyle="1">
    <w:name w:val="HTML 预设格式 字符"/>
    <w:link w:val="777"/>
    <w:uiPriority w:val="0"/>
    <w:qFormat/>
    <w:rPr>
      <w:rFonts w:ascii="黑体" w:hAnsi="Courier New" w:eastAsia="黑体" w:cs="楷体_GB2312"/>
      <w:sz w:val="20"/>
      <w:szCs w:val="20"/>
    </w:rPr>
  </w:style>
  <w:style w:type="character" w:styleId="1125" w:customStyle="1">
    <w:name w:val="font21"/>
    <w:link w:val="777"/>
    <w:uiPriority w:val="0"/>
    <w:qFormat/>
    <w:rPr>
      <w:rFonts w:ascii="Times New Roman" w:hAnsi="Times New Roman" w:cs="Times New Roman"/>
      <w:b/>
      <w:color w:val="000000"/>
      <w:sz w:val="20"/>
      <w:szCs w:val="20"/>
      <w:u w:val="none"/>
    </w:rPr>
  </w:style>
  <w:style w:type="character" w:styleId="1126" w:customStyle="1">
    <w:name w:val="tpc_content1"/>
    <w:link w:val="777"/>
    <w:uiPriority w:val="0"/>
    <w:qFormat/>
    <w:rPr>
      <w:sz w:val="18"/>
      <w:szCs w:val="18"/>
    </w:rPr>
  </w:style>
  <w:style w:type="character" w:styleId="1127" w:customStyle="1">
    <w:name w:val="副标题 字符1"/>
    <w:link w:val="777"/>
    <w:uiPriority w:val="11"/>
    <w:qFormat/>
    <w:rPr>
      <w:rFonts w:ascii="等线 Light" w:hAnsi="等线 Light" w:cs="Times New Roman"/>
      <w:b/>
      <w:bCs/>
      <w:sz w:val="32"/>
      <w:szCs w:val="32"/>
    </w:rPr>
  </w:style>
  <w:style w:type="character" w:styleId="1128" w:customStyle="1">
    <w:name w:val="Char Char5"/>
    <w:link w:val="777"/>
    <w:uiPriority w:val="0"/>
    <w:qFormat/>
    <w:rPr>
      <w:rFonts w:ascii="宋体" w:hAnsi="Courier New" w:eastAsia="宋体"/>
      <w:szCs w:val="21"/>
      <w:lang w:bidi="ar-SA"/>
    </w:rPr>
  </w:style>
  <w:style w:type="character" w:styleId="1129" w:customStyle="1">
    <w:name w:val="标题 4 Char"/>
    <w:link w:val="970"/>
    <w:uiPriority w:val="0"/>
    <w:qFormat/>
    <w:rPr>
      <w:rFonts w:ascii="Arial" w:hAnsi="Arial" w:eastAsia="黑体"/>
      <w:b/>
      <w:sz w:val="28"/>
    </w:rPr>
  </w:style>
  <w:style w:type="character" w:styleId="1130" w:customStyle="1">
    <w:name w:val="批注框文本 字符"/>
    <w:link w:val="777"/>
    <w:uiPriority w:val="99"/>
    <w:qFormat/>
    <w:rPr>
      <w:rFonts w:ascii="Times New Roman" w:hAnsi="Times New Roman" w:eastAsia="宋体" w:cs="Times New Roman"/>
      <w:sz w:val="18"/>
      <w:szCs w:val="18"/>
    </w:rPr>
  </w:style>
  <w:style w:type="character" w:styleId="1131" w:customStyle="1">
    <w:name w:val="正文首行缩进 2 字符"/>
    <w:link w:val="777"/>
    <w:uiPriority w:val="0"/>
    <w:qFormat/>
    <w:rPr>
      <w:rFonts w:ascii="仿宋_GB2312" w:hAnsi="Arial" w:eastAsia="仿宋_GB2312" w:cs="Times New Roman"/>
      <w:b/>
      <w:color w:val="000000"/>
      <w:sz w:val="28"/>
      <w:szCs w:val="32"/>
      <w:lang w:val="en-US" w:eastAsia="zh-CN" w:bidi="ar-SA"/>
    </w:rPr>
  </w:style>
  <w:style w:type="character" w:styleId="1132" w:customStyle="1">
    <w:name w:val="正文文本 字符1"/>
    <w:link w:val="777"/>
    <w:uiPriority w:val="0"/>
    <w:qFormat/>
    <w:rPr>
      <w:rFonts w:ascii="宋体" w:hAnsi="宋体"/>
      <w:sz w:val="24"/>
      <w:szCs w:val="24"/>
    </w:rPr>
  </w:style>
  <w:style w:type="character" w:styleId="1133" w:customStyle="1">
    <w:name w:val="注释 Char"/>
    <w:link w:val="1134"/>
    <w:uiPriority w:val="0"/>
    <w:qFormat/>
    <w:rPr>
      <w:rFonts w:ascii="宋体" w:hAnsi="宋体"/>
      <w:sz w:val="21"/>
      <w:szCs w:val="21"/>
    </w:rPr>
  </w:style>
  <w:style w:type="paragraph" w:styleId="1134" w:customStyle="1">
    <w:name w:val="注释"/>
    <w:basedOn w:val="777"/>
    <w:link w:val="1133"/>
    <w:uiPriority w:val="0"/>
    <w:qFormat/>
    <w:pPr>
      <w:ind w:left="420" w:hanging="420"/>
      <w:jc w:val="left"/>
    </w:pPr>
    <w:rPr>
      <w:rFonts w:ascii="宋体" w:hAnsi="宋体"/>
      <w:szCs w:val="21"/>
    </w:rPr>
  </w:style>
  <w:style w:type="character" w:styleId="1135" w:customStyle="1">
    <w:name w:val="标题 3 Char Char"/>
    <w:link w:val="777"/>
    <w:uiPriority w:val="0"/>
    <w:qFormat/>
    <w:rPr>
      <w:rFonts w:eastAsia="宋体"/>
      <w:b/>
      <w:bCs/>
      <w:sz w:val="32"/>
      <w:szCs w:val="32"/>
      <w:lang w:val="en-US" w:eastAsia="zh-CN" w:bidi="ar-SA"/>
    </w:rPr>
  </w:style>
  <w:style w:type="character" w:styleId="1136" w:customStyle="1">
    <w:name w:val="bjh-p"/>
    <w:link w:val="777"/>
    <w:uiPriority w:val="0"/>
    <w:qFormat/>
  </w:style>
  <w:style w:type="character" w:styleId="1137" w:customStyle="1">
    <w:name w:val="Unresolved Mention"/>
    <w:link w:val="777"/>
    <w:uiPriority w:val="99"/>
    <w:unhideWhenUsed/>
    <w:qFormat/>
    <w:rPr>
      <w:color w:val="808080"/>
      <w:shd w:val="clear" w:color="auto" w:fill="e6e6e6"/>
    </w:rPr>
  </w:style>
  <w:style w:type="character" w:styleId="1138" w:customStyle="1">
    <w:name w:val="标题 字符"/>
    <w:link w:val="777"/>
    <w:uiPriority w:val="0"/>
    <w:qFormat/>
    <w:rPr>
      <w:rFonts w:ascii="Cambria" w:hAnsi="Cambria"/>
      <w:b/>
      <w:bCs/>
      <w:sz w:val="32"/>
      <w:szCs w:val="32"/>
    </w:rPr>
  </w:style>
  <w:style w:type="character" w:styleId="1139" w:customStyle="1">
    <w:name w:val="正文文本缩进 3 Char"/>
    <w:link w:val="1140"/>
    <w:uiPriority w:val="0"/>
    <w:qFormat/>
    <w:rPr>
      <w:rFonts w:ascii="宋体"/>
      <w:sz w:val="24"/>
    </w:rPr>
  </w:style>
  <w:style w:type="paragraph" w:styleId="1140" w:customStyle="1">
    <w:name w:val="正文文本缩进 31"/>
    <w:basedOn w:val="777"/>
    <w:link w:val="1139"/>
    <w:uiPriority w:val="0"/>
    <w:qFormat/>
    <w:pPr>
      <w:ind w:left="720" w:firstLine="480"/>
      <w:jc w:val="left"/>
      <w:spacing w:before="120" w:line="22" w:lineRule="atLeast"/>
    </w:pPr>
    <w:rPr>
      <w:rFonts w:ascii="宋体"/>
      <w:sz w:val="24"/>
      <w:szCs w:val="20"/>
    </w:rPr>
  </w:style>
  <w:style w:type="character" w:styleId="1141" w:customStyle="1">
    <w:name w:val="标书正文 Char Char"/>
    <w:link w:val="1142"/>
    <w:uiPriority w:val="0"/>
    <w:qFormat/>
    <w:rPr>
      <w:spacing w:val="1"/>
      <w:sz w:val="24"/>
      <w:szCs w:val="24"/>
    </w:rPr>
  </w:style>
  <w:style w:type="paragraph" w:styleId="1142" w:customStyle="1">
    <w:name w:val="标书正文"/>
    <w:basedOn w:val="777"/>
    <w:link w:val="1141"/>
    <w:uiPriority w:val="0"/>
    <w:qFormat/>
    <w:pPr>
      <w:ind w:firstLine="200"/>
      <w:spacing w:line="360" w:lineRule="auto"/>
    </w:pPr>
    <w:rPr>
      <w:spacing w:val="1"/>
      <w:sz w:val="24"/>
    </w:rPr>
  </w:style>
  <w:style w:type="character" w:styleId="1143" w:customStyle="1">
    <w:name w:val="标书正文格式 Char Char"/>
    <w:link w:val="777"/>
    <w:uiPriority w:val="0"/>
    <w:qFormat/>
    <w:rPr>
      <w:rFonts w:eastAsia="楷体_GB2312"/>
      <w:sz w:val="24"/>
      <w:szCs w:val="24"/>
      <w:lang w:bidi="ar-SA"/>
    </w:rPr>
  </w:style>
  <w:style w:type="character" w:styleId="1144" w:customStyle="1">
    <w:name w:val="标题 字符2"/>
    <w:link w:val="777"/>
    <w:uiPriority w:val="10"/>
    <w:qFormat/>
    <w:rPr>
      <w:b/>
      <w:sz w:val="32"/>
    </w:rPr>
  </w:style>
  <w:style w:type="character" w:styleId="1145" w:customStyle="1">
    <w:name w:val="明显引用 字符2"/>
    <w:link w:val="777"/>
    <w:uiPriority w:val="99"/>
    <w:qFormat/>
    <w:rPr>
      <w:i/>
      <w:iCs/>
      <w:color w:val="4472c4"/>
      <w:sz w:val="21"/>
      <w:szCs w:val="24"/>
    </w:rPr>
  </w:style>
  <w:style w:type="character" w:styleId="1146" w:customStyle="1">
    <w:name w:val="标题 Char1"/>
    <w:link w:val="1147"/>
    <w:uiPriority w:val="0"/>
    <w:qFormat/>
    <w:rPr>
      <w:b/>
      <w:sz w:val="32"/>
    </w:rPr>
  </w:style>
  <w:style w:type="paragraph" w:styleId="1147" w:customStyle="1">
    <w:name w:val="标题1"/>
    <w:basedOn w:val="777"/>
    <w:link w:val="1146"/>
    <w:uiPriority w:val="0"/>
    <w:qFormat/>
    <w:pPr>
      <w:jc w:val="center"/>
      <w:outlineLvl w:val="0"/>
    </w:pPr>
    <w:rPr>
      <w:b/>
      <w:sz w:val="32"/>
      <w:szCs w:val="20"/>
    </w:rPr>
  </w:style>
  <w:style w:type="character" w:styleId="1148" w:customStyle="1">
    <w:name w:val="页眉 字符1"/>
    <w:link w:val="777"/>
    <w:uiPriority w:val="0"/>
    <w:qFormat/>
    <w:rPr>
      <w:rFonts w:eastAsia="宋体"/>
      <w:sz w:val="18"/>
      <w:szCs w:val="18"/>
      <w:lang w:val="en-US" w:eastAsia="zh-CN" w:bidi="ar-SA"/>
    </w:rPr>
  </w:style>
  <w:style w:type="character" w:styleId="1149" w:customStyle="1">
    <w:name w:val="正文（绿盟科技） Char"/>
    <w:link w:val="1150"/>
    <w:uiPriority w:val="0"/>
    <w:qFormat/>
    <w:rPr>
      <w:rFonts w:ascii="Arial" w:hAnsi="Arial"/>
      <w:lang w:val="en-US" w:eastAsia="zh-CN" w:bidi="ar-SA"/>
    </w:rPr>
  </w:style>
  <w:style w:type="paragraph" w:styleId="1150" w:customStyle="1">
    <w:name w:val="正文（绿盟科技）"/>
    <w:link w:val="1149"/>
    <w:uiPriority w:val="0"/>
    <w:qFormat/>
    <w:pPr>
      <w:spacing w:line="300" w:lineRule="auto"/>
    </w:pPr>
    <w:rPr>
      <w:rFonts w:hint="default" w:ascii="Arial" w:hAnsi="Arial" w:eastAsia="宋体" w:cs="Times New Roman"/>
      <w:lang w:val="en-US" w:eastAsia="zh-CN" w:bidi="ar-SA"/>
    </w:rPr>
  </w:style>
  <w:style w:type="character" w:styleId="1151" w:customStyle="1">
    <w:name w:val="正文缩进 Char"/>
    <w:link w:val="777"/>
    <w:uiPriority w:val="0"/>
    <w:qFormat/>
    <w:rPr>
      <w:rFonts w:ascii="宋体" w:eastAsia="宋体"/>
      <w:sz w:val="24"/>
      <w:szCs w:val="24"/>
      <w:lang w:val="en-US" w:eastAsia="zh-CN" w:bidi="ar-SA"/>
    </w:rPr>
  </w:style>
  <w:style w:type="character" w:styleId="1152" w:customStyle="1">
    <w:name w:val="批注框文本 Char"/>
    <w:link w:val="1153"/>
    <w:uiPriority w:val="0"/>
    <w:qFormat/>
    <w:rPr>
      <w:sz w:val="18"/>
      <w:szCs w:val="18"/>
    </w:rPr>
  </w:style>
  <w:style w:type="paragraph" w:styleId="1153" w:customStyle="1">
    <w:name w:val="批注框文本1"/>
    <w:basedOn w:val="777"/>
    <w:link w:val="1152"/>
    <w:uiPriority w:val="0"/>
    <w:qFormat/>
    <w:rPr>
      <w:sz w:val="18"/>
      <w:szCs w:val="18"/>
    </w:rPr>
  </w:style>
  <w:style w:type="character" w:styleId="1154" w:customStyle="1">
    <w:name w:val="正文文本缩进 字符1"/>
    <w:link w:val="777"/>
    <w:uiPriority w:val="0"/>
    <w:qFormat/>
    <w:rPr>
      <w:rFonts w:eastAsia="宋体"/>
      <w:sz w:val="24"/>
      <w:szCs w:val="24"/>
      <w:lang w:val="en-US" w:eastAsia="zh-CN" w:bidi="ar-SA"/>
    </w:rPr>
  </w:style>
  <w:style w:type="character" w:styleId="1155" w:customStyle="1">
    <w:name w:val="正文缩进 字符1"/>
    <w:link w:val="777"/>
    <w:uiPriority w:val="0"/>
    <w:qFormat/>
    <w:rPr>
      <w:rFonts w:ascii="宋体" w:eastAsia="宋体"/>
      <w:sz w:val="24"/>
      <w:szCs w:val="24"/>
      <w:lang w:val="en-US" w:eastAsia="zh-CN" w:bidi="ar-SA"/>
    </w:rPr>
  </w:style>
  <w:style w:type="character" w:styleId="1156" w:customStyle="1">
    <w:name w:val="标书正文格式 Char"/>
    <w:link w:val="1157"/>
    <w:uiPriority w:val="0"/>
    <w:qFormat/>
    <w:rPr>
      <w:rFonts w:eastAsia="楷体_GB2312"/>
      <w:sz w:val="24"/>
      <w:szCs w:val="24"/>
      <w:lang w:val="en-US" w:eastAsia="zh-CN" w:bidi="ar-SA"/>
    </w:rPr>
  </w:style>
  <w:style w:type="paragraph" w:styleId="1157" w:customStyle="1">
    <w:name w:val="标书正文格式"/>
    <w:link w:val="1156"/>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158" w:customStyle="1">
    <w:name w:val="正文文本 3 字符2"/>
    <w:link w:val="777"/>
    <w:uiPriority w:val="0"/>
    <w:qFormat/>
    <w:rPr>
      <w:sz w:val="16"/>
      <w:szCs w:val="16"/>
    </w:rPr>
  </w:style>
  <w:style w:type="character" w:styleId="1159" w:customStyle="1">
    <w:name w:val="正文文本缩进 2 字符1"/>
    <w:link w:val="777"/>
    <w:uiPriority w:val="0"/>
    <w:qFormat/>
    <w:rPr>
      <w:rFonts w:ascii="仿宋_GB2312" w:eastAsia="仿宋_GB2312"/>
      <w:sz w:val="24"/>
      <w:szCs w:val="24"/>
    </w:rPr>
  </w:style>
  <w:style w:type="character" w:styleId="1160" w:customStyle="1">
    <w:name w:val="引用 Char2"/>
    <w:link w:val="777"/>
    <w:uiPriority w:val="29"/>
    <w:qFormat/>
    <w:rPr>
      <w:i/>
      <w:iCs/>
      <w:color w:val="000000"/>
    </w:rPr>
  </w:style>
  <w:style w:type="character" w:styleId="1161" w:customStyle="1">
    <w:name w:val="正文文本 字符"/>
    <w:link w:val="777"/>
    <w:uiPriority w:val="0"/>
    <w:qFormat/>
    <w:rPr>
      <w:rFonts w:ascii="Times New Roman" w:hAnsi="Times New Roman" w:eastAsia="宋体" w:cs="Times New Roman"/>
      <w:szCs w:val="24"/>
    </w:rPr>
  </w:style>
  <w:style w:type="character" w:styleId="1162" w:customStyle="1">
    <w:name w:val="正文首行缩进 2 Char"/>
    <w:link w:val="1163"/>
    <w:uiPriority w:val="0"/>
    <w:qFormat/>
    <w:rPr>
      <w:rFonts w:eastAsia="宋体"/>
      <w:sz w:val="24"/>
      <w:szCs w:val="24"/>
      <w:lang w:val="en-US" w:eastAsia="zh-CN" w:bidi="ar-SA"/>
    </w:rPr>
  </w:style>
  <w:style w:type="paragraph" w:styleId="1163" w:customStyle="1">
    <w:name w:val="正文首行缩进 21"/>
    <w:basedOn w:val="1007"/>
    <w:next w:val="777"/>
    <w:link w:val="1162"/>
    <w:uiPriority w:val="0"/>
    <w:qFormat/>
    <w:pPr>
      <w:ind w:left="420" w:firstLine="420"/>
      <w:spacing w:after="120" w:line="480" w:lineRule="exact"/>
    </w:pPr>
  </w:style>
  <w:style w:type="character" w:styleId="1164" w:customStyle="1">
    <w:name w:val="正文文本 Char"/>
    <w:link w:val="819"/>
    <w:uiPriority w:val="0"/>
    <w:qFormat/>
    <w:rPr>
      <w:rFonts w:ascii="宋体" w:hAnsi="宋体"/>
      <w:sz w:val="24"/>
      <w:szCs w:val="24"/>
    </w:rPr>
  </w:style>
  <w:style w:type="character" w:styleId="1165" w:customStyle="1">
    <w:name w:val="不明显参考1"/>
    <w:link w:val="777"/>
    <w:uiPriority w:val="31"/>
    <w:qFormat/>
    <w:rPr>
      <w:smallCaps/>
      <w:color w:val="c0504d"/>
      <w:u w:val="single"/>
    </w:rPr>
  </w:style>
  <w:style w:type="character" w:styleId="1166" w:customStyle="1">
    <w:name w:val="正文文本 2 字符1"/>
    <w:link w:val="777"/>
    <w:uiPriority w:val="0"/>
    <w:qFormat/>
    <w:rPr>
      <w:sz w:val="21"/>
      <w:szCs w:val="24"/>
    </w:rPr>
  </w:style>
  <w:style w:type="character" w:styleId="1167" w:customStyle="1">
    <w:name w:val="列出段落 字符"/>
    <w:link w:val="777"/>
    <w:uiPriority w:val="34"/>
    <w:qFormat/>
    <w:rPr>
      <w:rFonts w:ascii="Calibri" w:hAnsi="Calibri" w:eastAsia="宋体"/>
      <w:sz w:val="21"/>
      <w:szCs w:val="22"/>
      <w:lang w:val="en-US" w:eastAsia="zh-CN" w:bidi="ar-SA"/>
    </w:rPr>
  </w:style>
  <w:style w:type="character" w:styleId="1168" w:customStyle="1">
    <w:name w:val="页眉 Char1"/>
    <w:link w:val="1169"/>
    <w:uiPriority w:val="0"/>
    <w:qFormat/>
    <w:rPr>
      <w:rFonts w:eastAsia="宋体"/>
      <w:sz w:val="18"/>
      <w:szCs w:val="18"/>
      <w:lang w:val="en-US" w:eastAsia="zh-CN" w:bidi="ar-SA"/>
    </w:rPr>
  </w:style>
  <w:style w:type="paragraph" w:styleId="1169" w:customStyle="1">
    <w:name w:val="页眉1"/>
    <w:basedOn w:val="777"/>
    <w:link w:val="1168"/>
    <w:uiPriority w:val="0"/>
    <w:qFormat/>
    <w:pPr>
      <w:jc w:val="center"/>
      <w:tabs>
        <w:tab w:val="center" w:pos="4153" w:leader="none"/>
        <w:tab w:val="right" w:pos="8306" w:leader="none"/>
      </w:tabs>
      <w:pBdr>
        <w:bottom w:val="single" w:color="000000" w:sz="6" w:space="1"/>
      </w:pBdr>
    </w:pPr>
    <w:rPr>
      <w:sz w:val="18"/>
      <w:szCs w:val="18"/>
    </w:rPr>
  </w:style>
  <w:style w:type="character" w:styleId="1170" w:customStyle="1">
    <w:name w:val="标题 3 Char1"/>
    <w:link w:val="969"/>
    <w:uiPriority w:val="0"/>
    <w:qFormat/>
    <w:rPr>
      <w:rFonts w:ascii="宋体" w:eastAsia="宋体"/>
      <w:b/>
      <w:sz w:val="24"/>
      <w:u w:val="single"/>
      <w:lang w:val="en-US" w:eastAsia="zh-CN" w:bidi="ar-SA"/>
    </w:rPr>
  </w:style>
  <w:style w:type="character" w:styleId="1171" w:customStyle="1">
    <w:name w:val="标题 9 字符"/>
    <w:link w:val="777"/>
    <w:uiPriority w:val="0"/>
    <w:qFormat/>
    <w:rPr>
      <w:rFonts w:ascii="Arial" w:hAnsi="Arial" w:eastAsia="黑体" w:cs="Times New Roman"/>
      <w:sz w:val="20"/>
      <w:szCs w:val="21"/>
    </w:rPr>
  </w:style>
  <w:style w:type="character" w:styleId="1172" w:customStyle="1">
    <w:name w:val="chanpin拷贝"/>
    <w:link w:val="777"/>
    <w:uiPriority w:val="0"/>
    <w:qFormat/>
  </w:style>
  <w:style w:type="character" w:styleId="1173" w:customStyle="1">
    <w:name w:val="纯文本 Char"/>
    <w:link w:val="1174"/>
    <w:uiPriority w:val="0"/>
    <w:qFormat/>
    <w:rPr>
      <w:rFonts w:hint="eastAsia" w:ascii="宋体" w:hAnsi="Courier New" w:eastAsia="宋体" w:cs="宋体"/>
      <w:sz w:val="21"/>
    </w:rPr>
  </w:style>
  <w:style w:type="paragraph" w:styleId="1174" w:customStyle="1">
    <w:name w:val="纯文本11"/>
    <w:basedOn w:val="777"/>
    <w:link w:val="1173"/>
    <w:uiPriority w:val="0"/>
    <w:qFormat/>
    <w:rPr>
      <w:rFonts w:hint="eastAsia" w:ascii="宋体" w:hAnsi="Courier New"/>
      <w:szCs w:val="20"/>
    </w:rPr>
  </w:style>
  <w:style w:type="character" w:styleId="1175" w:customStyle="1">
    <w:name w:val="批注文字 Char"/>
    <w:link w:val="777"/>
    <w:uiPriority w:val="99"/>
    <w:qFormat/>
    <w:rPr>
      <w:sz w:val="21"/>
      <w:szCs w:val="24"/>
    </w:rPr>
  </w:style>
  <w:style w:type="character" w:styleId="1176" w:customStyle="1">
    <w:name w:val="正文缩进 Char1"/>
    <w:link w:val="968"/>
    <w:uiPriority w:val="0"/>
    <w:qFormat/>
    <w:rPr>
      <w:rFonts w:ascii="宋体" w:eastAsia="宋体"/>
      <w:sz w:val="24"/>
      <w:szCs w:val="24"/>
      <w:lang w:val="en-US" w:eastAsia="zh-CN" w:bidi="ar-SA"/>
    </w:rPr>
  </w:style>
  <w:style w:type="character" w:styleId="1177" w:customStyle="1">
    <w:name w:val="引用 Char1"/>
    <w:link w:val="777"/>
    <w:uiPriority w:val="29"/>
    <w:qFormat/>
    <w:rPr>
      <w:rFonts w:ascii="Times New Roman" w:hAnsi="Times New Roman" w:eastAsia="宋体" w:cs="Times New Roman"/>
      <w:i/>
      <w:iCs/>
      <w:color w:val="000000"/>
      <w:szCs w:val="24"/>
    </w:rPr>
  </w:style>
  <w:style w:type="character" w:styleId="1178" w:customStyle="1">
    <w:name w:val="正文文本 3 Char1"/>
    <w:link w:val="777"/>
    <w:uiPriority w:val="99"/>
    <w:qFormat/>
    <w:rPr>
      <w:sz w:val="16"/>
      <w:szCs w:val="16"/>
    </w:rPr>
  </w:style>
  <w:style w:type="character" w:styleId="1179" w:customStyle="1">
    <w:name w:val="标题 8 字符"/>
    <w:link w:val="777"/>
    <w:uiPriority w:val="0"/>
    <w:qFormat/>
    <w:rPr>
      <w:rFonts w:ascii="Arial" w:hAnsi="Arial" w:eastAsia="黑体" w:cs="Times New Roman"/>
      <w:sz w:val="24"/>
      <w:szCs w:val="24"/>
    </w:rPr>
  </w:style>
  <w:style w:type="character" w:styleId="1180" w:customStyle="1">
    <w:name w:val="明显参考1"/>
    <w:link w:val="777"/>
    <w:uiPriority w:val="32"/>
    <w:qFormat/>
    <w:rPr>
      <w:b/>
      <w:bCs/>
      <w:smallCaps/>
      <w:color w:val="c0504d"/>
      <w:spacing w:val="5"/>
      <w:u w:val="single"/>
    </w:rPr>
  </w:style>
  <w:style w:type="character" w:styleId="1181" w:customStyle="1">
    <w:name w:val="签名 字符2"/>
    <w:link w:val="777"/>
    <w:uiPriority w:val="0"/>
    <w:qFormat/>
    <w:rPr>
      <w:sz w:val="21"/>
      <w:szCs w:val="24"/>
    </w:rPr>
  </w:style>
  <w:style w:type="character" w:styleId="1182" w:customStyle="1">
    <w:name w:val="纯文本 字符"/>
    <w:link w:val="777"/>
    <w:uiPriority w:val="0"/>
    <w:qFormat/>
    <w:rPr>
      <w:rFonts w:ascii="宋体" w:hAnsi="Courier New" w:eastAsia="宋体" w:cs="Times New Roman"/>
      <w:sz w:val="21"/>
      <w:szCs w:val="21"/>
      <w:lang w:val="en-US" w:eastAsia="zh-CN" w:bidi="ar-SA"/>
    </w:rPr>
  </w:style>
  <w:style w:type="character" w:styleId="1183" w:customStyle="1">
    <w:name w:val="标题 1 字符"/>
    <w:link w:val="966"/>
    <w:uiPriority w:val="0"/>
    <w:qFormat/>
    <w:rPr>
      <w:rFonts w:ascii="Times New Roman" w:hAnsi="Times New Roman" w:eastAsia="楷体_GB2312" w:cs="Times New Roman"/>
      <w:b/>
      <w:bCs/>
      <w:sz w:val="44"/>
      <w:szCs w:val="44"/>
    </w:rPr>
  </w:style>
  <w:style w:type="character" w:styleId="1184" w:customStyle="1">
    <w:name w:val="文档结构图 字符"/>
    <w:link w:val="777"/>
    <w:uiPriority w:val="0"/>
    <w:qFormat/>
    <w:rPr>
      <w:rFonts w:ascii="Times New Roman" w:hAnsi="Times New Roman" w:eastAsia="楷体_GB2312" w:cs="Times New Roman"/>
      <w:sz w:val="26"/>
      <w:szCs w:val="20"/>
      <w:shd w:val="clear" w:color="auto" w:fill="000080"/>
    </w:rPr>
  </w:style>
  <w:style w:type="character" w:styleId="1185" w:customStyle="1">
    <w:name w:val="txt1"/>
    <w:link w:val="777"/>
    <w:uiPriority w:val="0"/>
    <w:qFormat/>
    <w:rPr>
      <w:color w:val="000099"/>
      <w:sz w:val="20"/>
      <w:szCs w:val="20"/>
      <w:u w:val="none"/>
    </w:rPr>
  </w:style>
  <w:style w:type="character" w:styleId="1186" w:customStyle="1">
    <w:name w:val="批注文字 字符1"/>
    <w:link w:val="777"/>
    <w:uiPriority w:val="99"/>
    <w:qFormat/>
    <w:rPr>
      <w:sz w:val="21"/>
      <w:szCs w:val="24"/>
    </w:rPr>
  </w:style>
  <w:style w:type="character" w:styleId="1187" w:customStyle="1">
    <w:name w:val="style3"/>
    <w:link w:val="777"/>
    <w:uiPriority w:val="0"/>
    <w:qFormat/>
  </w:style>
  <w:style w:type="character" w:styleId="1188" w:customStyle="1">
    <w:name w:val="标题 6 Char"/>
    <w:link w:val="972"/>
    <w:uiPriority w:val="0"/>
    <w:qFormat/>
    <w:rPr>
      <w:rFonts w:ascii="Arial" w:hAnsi="Arial" w:eastAsia="黑体"/>
      <w:b/>
      <w:sz w:val="24"/>
    </w:rPr>
  </w:style>
  <w:style w:type="character" w:styleId="1189" w:customStyle="1">
    <w:name w:val="页脚 Char1"/>
    <w:link w:val="1190"/>
    <w:uiPriority w:val="99"/>
    <w:qFormat/>
    <w:rPr>
      <w:rFonts w:ascii="宋体" w:eastAsia="宋体"/>
      <w:sz w:val="18"/>
      <w:lang w:val="en-US" w:eastAsia="zh-CN" w:bidi="ar-SA"/>
    </w:rPr>
  </w:style>
  <w:style w:type="paragraph" w:styleId="1190" w:customStyle="1">
    <w:name w:val="页脚1"/>
    <w:basedOn w:val="777"/>
    <w:link w:val="1189"/>
    <w:uiPriority w:val="99"/>
    <w:qFormat/>
    <w:pPr>
      <w:jc w:val="left"/>
      <w:tabs>
        <w:tab w:val="center" w:pos="4153" w:leader="none"/>
        <w:tab w:val="right" w:pos="8306" w:leader="none"/>
      </w:tabs>
    </w:pPr>
    <w:rPr>
      <w:rFonts w:ascii="宋体"/>
      <w:sz w:val="18"/>
      <w:szCs w:val="20"/>
    </w:rPr>
  </w:style>
  <w:style w:type="character" w:styleId="1191" w:customStyle="1">
    <w:name w:val="标题 Char"/>
    <w:link w:val="777"/>
    <w:uiPriority w:val="0"/>
    <w:qFormat/>
    <w:rPr>
      <w:b/>
      <w:sz w:val="32"/>
    </w:rPr>
  </w:style>
  <w:style w:type="character" w:styleId="1192" w:customStyle="1">
    <w:name w:val="正文_标准 Char Char"/>
    <w:link w:val="1193"/>
    <w:uiPriority w:val="0"/>
    <w:qFormat/>
    <w:rPr>
      <w:rFonts w:ascii="宋体" w:hAnsi="宋体"/>
      <w:sz w:val="24"/>
    </w:rPr>
  </w:style>
  <w:style w:type="paragraph" w:styleId="1193" w:customStyle="1">
    <w:name w:val="正文_标准"/>
    <w:basedOn w:val="777"/>
    <w:link w:val="1192"/>
    <w:uiPriority w:val="0"/>
    <w:qFormat/>
    <w:pPr>
      <w:ind w:firstLine="480"/>
      <w:spacing w:line="360" w:lineRule="auto"/>
    </w:pPr>
    <w:rPr>
      <w:rFonts w:ascii="宋体" w:hAnsi="宋体"/>
      <w:sz w:val="24"/>
      <w:szCs w:val="20"/>
    </w:rPr>
  </w:style>
  <w:style w:type="character" w:styleId="1194" w:customStyle="1">
    <w:name w:val="locality"/>
    <w:link w:val="777"/>
    <w:uiPriority w:val="0"/>
    <w:qFormat/>
  </w:style>
  <w:style w:type="character" w:styleId="1195" w:customStyle="1">
    <w:name w:val="unnamed31"/>
    <w:link w:val="777"/>
    <w:uiPriority w:val="0"/>
    <w:qFormat/>
    <w:rPr>
      <w:rFonts w:hint="eastAsia" w:ascii="幼圆" w:eastAsia="幼圆"/>
      <w:sz w:val="21"/>
      <w:szCs w:val="21"/>
    </w:rPr>
  </w:style>
  <w:style w:type="character" w:styleId="1196" w:customStyle="1">
    <w:name w:val="标题 3 字符"/>
    <w:link w:val="777"/>
    <w:uiPriority w:val="99"/>
    <w:qFormat/>
    <w:rPr>
      <w:rFonts w:ascii="宋体" w:hAnsi="Times New Roman" w:eastAsia="宋体" w:cs="Times New Roman"/>
      <w:b/>
      <w:sz w:val="24"/>
      <w:szCs w:val="20"/>
      <w:u w:val="single"/>
    </w:rPr>
  </w:style>
  <w:style w:type="character" w:styleId="1197" w:customStyle="1">
    <w:name w:val="Header Char"/>
    <w:link w:val="777"/>
    <w:uiPriority w:val="0"/>
    <w:qFormat/>
    <w:rPr>
      <w:rFonts w:cs="Times New Roman"/>
      <w:sz w:val="18"/>
      <w:szCs w:val="18"/>
    </w:rPr>
  </w:style>
  <w:style w:type="character" w:styleId="1198" w:customStyle="1">
    <w:name w:val="不明显强调1"/>
    <w:link w:val="777"/>
    <w:uiPriority w:val="19"/>
    <w:qFormat/>
    <w:rPr>
      <w:i/>
      <w:iCs/>
      <w:color w:val="808080"/>
    </w:rPr>
  </w:style>
  <w:style w:type="character" w:styleId="1199" w:customStyle="1">
    <w:name w:val="正文文本 Char1"/>
    <w:link w:val="777"/>
    <w:uiPriority w:val="0"/>
    <w:qFormat/>
    <w:rPr>
      <w:rFonts w:ascii="宋体" w:hAnsi="宋体"/>
      <w:sz w:val="24"/>
      <w:szCs w:val="24"/>
    </w:rPr>
  </w:style>
  <w:style w:type="character" w:styleId="1200" w:customStyle="1">
    <w:name w:val="正文缩进 字符"/>
    <w:link w:val="777"/>
    <w:uiPriority w:val="0"/>
    <w:qFormat/>
    <w:rPr>
      <w:rFonts w:ascii="Times New Roman" w:hAnsi="Times New Roman" w:eastAsia="宋体" w:cs="Times New Roman"/>
      <w:szCs w:val="20"/>
    </w:rPr>
  </w:style>
  <w:style w:type="character" w:styleId="1201" w:customStyle="1">
    <w:name w:val="bt1"/>
    <w:link w:val="777"/>
    <w:uiPriority w:val="0"/>
    <w:qFormat/>
    <w:rPr>
      <w:color w:val="000000"/>
    </w:rPr>
  </w:style>
  <w:style w:type="character" w:styleId="1202" w:customStyle="1">
    <w:name w:val="副标题 字符2"/>
    <w:link w:val="777"/>
    <w:uiPriority w:val="0"/>
    <w:qFormat/>
    <w:rPr>
      <w:rFonts w:ascii="等线 Light" w:hAnsi="等线 Light" w:cs="Times New Roman"/>
      <w:b/>
      <w:bCs/>
      <w:sz w:val="32"/>
      <w:szCs w:val="32"/>
    </w:rPr>
  </w:style>
  <w:style w:type="character" w:styleId="1203" w:customStyle="1">
    <w:name w:val="正文缩进 Char Char"/>
    <w:link w:val="1204"/>
    <w:uiPriority w:val="0"/>
    <w:qFormat/>
    <w:rPr>
      <w:rFonts w:ascii="宋体" w:eastAsia="宋体"/>
      <w:color w:val="000000"/>
      <w:sz w:val="28"/>
      <w:lang w:bidi="ar-SA"/>
    </w:rPr>
  </w:style>
  <w:style w:type="paragraph" w:styleId="1204" w:customStyle="1">
    <w:name w:val="正文缩进1"/>
    <w:basedOn w:val="777"/>
    <w:link w:val="1203"/>
    <w:uiPriority w:val="0"/>
    <w:qFormat/>
    <w:pPr>
      <w:ind w:firstLine="567"/>
      <w:spacing w:line="480" w:lineRule="exact"/>
      <w:widowControl/>
    </w:pPr>
    <w:rPr>
      <w:rFonts w:ascii="宋体"/>
      <w:color w:val="000000"/>
      <w:sz w:val="28"/>
      <w:szCs w:val="20"/>
    </w:rPr>
  </w:style>
  <w:style w:type="character" w:styleId="1205" w:customStyle="1">
    <w:name w:val="标题 2 Char1"/>
    <w:link w:val="967"/>
    <w:uiPriority w:val="0"/>
    <w:qFormat/>
    <w:rPr>
      <w:rFonts w:ascii="Arial" w:hAnsi="Arial" w:eastAsia="黑体"/>
      <w:b/>
      <w:sz w:val="30"/>
      <w:lang w:val="en-US" w:eastAsia="zh-CN" w:bidi="ar-SA"/>
    </w:rPr>
  </w:style>
  <w:style w:type="character" w:styleId="1206" w:customStyle="1">
    <w:name w:val="black1"/>
    <w:link w:val="777"/>
    <w:uiPriority w:val="0"/>
    <w:qFormat/>
    <w:rPr>
      <w:color w:val="000000"/>
    </w:rPr>
  </w:style>
  <w:style w:type="character" w:styleId="1207" w:customStyle="1">
    <w:name w:val="正文小标题 Char"/>
    <w:link w:val="1115"/>
    <w:uiPriority w:val="0"/>
    <w:qFormat/>
    <w:rPr>
      <w:rFonts w:ascii="宋体" w:hAnsi="宋体"/>
      <w:b/>
      <w:i/>
      <w:color w:val="ff0000"/>
      <w:sz w:val="24"/>
    </w:rPr>
  </w:style>
  <w:style w:type="character" w:styleId="1208" w:customStyle="1">
    <w:name w:val="纯文本 字符1"/>
    <w:link w:val="777"/>
    <w:uiPriority w:val="0"/>
    <w:qFormat/>
    <w:rPr>
      <w:rFonts w:ascii="宋体" w:hAnsi="Courier New"/>
    </w:rPr>
  </w:style>
  <w:style w:type="character" w:styleId="1209" w:customStyle="1">
    <w:name w:val="明显引用 Char1"/>
    <w:link w:val="777"/>
    <w:uiPriority w:val="30"/>
    <w:qFormat/>
    <w:rPr>
      <w:b/>
      <w:bCs/>
      <w:i/>
      <w:iCs/>
      <w:color w:val="4f81bd"/>
    </w:rPr>
  </w:style>
  <w:style w:type="character" w:styleId="1210" w:customStyle="1">
    <w:name w:val="正文首行缩进 字符1"/>
    <w:link w:val="777"/>
    <w:uiPriority w:val="99"/>
    <w:qFormat/>
    <w:rPr>
      <w:rFonts w:ascii="宋体" w:hAnsi="宋体"/>
      <w:sz w:val="21"/>
      <w:szCs w:val="24"/>
    </w:rPr>
  </w:style>
  <w:style w:type="character" w:styleId="1211" w:customStyle="1">
    <w:name w:val="标题 8 字符1"/>
    <w:link w:val="777"/>
    <w:uiPriority w:val="0"/>
    <w:qFormat/>
    <w:rPr>
      <w:rFonts w:ascii="Arial" w:hAnsi="Arial" w:eastAsia="黑体"/>
      <w:sz w:val="24"/>
    </w:rPr>
  </w:style>
  <w:style w:type="character" w:styleId="1212" w:customStyle="1">
    <w:name w:val="point_small1"/>
    <w:link w:val="777"/>
    <w:uiPriority w:val="0"/>
    <w:qFormat/>
    <w:rPr>
      <w:rFonts w:ascii="Arial" w:hAnsi="Arial" w:cs="Arial"/>
      <w:sz w:val="18"/>
      <w:szCs w:val="18"/>
    </w:rPr>
  </w:style>
  <w:style w:type="character" w:styleId="1213" w:customStyle="1">
    <w:name w:val="Footer Char"/>
    <w:link w:val="777"/>
    <w:uiPriority w:val="0"/>
    <w:qFormat/>
    <w:rPr>
      <w:rFonts w:cs="Times New Roman"/>
      <w:sz w:val="18"/>
      <w:szCs w:val="18"/>
    </w:rPr>
  </w:style>
  <w:style w:type="character" w:styleId="1214" w:customStyle="1">
    <w:name w:val="chanpin1"/>
    <w:link w:val="777"/>
    <w:uiPriority w:val="0"/>
    <w:qFormat/>
    <w:rPr>
      <w:rFonts w:ascii="ˎ̥" w:hAnsi="ˎ̥"/>
      <w:color w:val="000000"/>
      <w:sz w:val="20"/>
      <w:szCs w:val="20"/>
      <w:u w:val="none"/>
    </w:rPr>
  </w:style>
  <w:style w:type="character" w:styleId="1215" w:customStyle="1">
    <w:name w:val="标题 9 Char"/>
    <w:link w:val="975"/>
    <w:uiPriority w:val="0"/>
    <w:qFormat/>
    <w:rPr>
      <w:rFonts w:ascii="Arial" w:hAnsi="Arial" w:eastAsia="黑体"/>
      <w:sz w:val="21"/>
    </w:rPr>
  </w:style>
  <w:style w:type="character" w:styleId="1216" w:customStyle="1">
    <w:name w:val="列出段落 Char"/>
    <w:link w:val="777"/>
    <w:uiPriority w:val="0"/>
    <w:qFormat/>
    <w:rPr>
      <w:rFonts w:ascii="Calibri" w:hAnsi="Calibri" w:eastAsia="宋体"/>
      <w:sz w:val="21"/>
      <w:szCs w:val="22"/>
      <w:lang w:val="en-US" w:eastAsia="zh-CN" w:bidi="ar-SA"/>
    </w:rPr>
  </w:style>
  <w:style w:type="character" w:styleId="1217" w:customStyle="1">
    <w:name w:val="HTML 预设格式 字符1"/>
    <w:link w:val="777"/>
    <w:uiPriority w:val="0"/>
    <w:qFormat/>
    <w:rPr>
      <w:rFonts w:ascii="宋体" w:hAnsi="宋体" w:cs="宋体"/>
      <w:sz w:val="24"/>
      <w:szCs w:val="24"/>
    </w:rPr>
  </w:style>
  <w:style w:type="character" w:styleId="1218" w:customStyle="1">
    <w:name w:val="z-窗体底端 Char"/>
    <w:link w:val="1219"/>
    <w:uiPriority w:val="0"/>
    <w:qFormat/>
    <w:rPr>
      <w:rFonts w:ascii="Arial"/>
      <w:vanish/>
      <w:sz w:val="16"/>
      <w:szCs w:val="24"/>
    </w:rPr>
  </w:style>
  <w:style w:type="paragraph" w:styleId="1219" w:customStyle="1">
    <w:name w:val="z-窗体底端1"/>
    <w:basedOn w:val="777"/>
    <w:next w:val="777"/>
    <w:link w:val="1218"/>
    <w:uiPriority w:val="0"/>
    <w:qFormat/>
    <w:pPr>
      <w:jc w:val="center"/>
      <w:pBdr>
        <w:top w:val="single" w:color="000000" w:sz="6" w:space="1"/>
      </w:pBdr>
    </w:pPr>
    <w:rPr>
      <w:rFonts w:ascii="Arial"/>
      <w:vanish/>
      <w:sz w:val="16"/>
    </w:rPr>
  </w:style>
  <w:style w:type="character" w:styleId="1220" w:customStyle="1">
    <w:name w:val="标题 4 字符"/>
    <w:link w:val="777"/>
    <w:uiPriority w:val="0"/>
    <w:qFormat/>
    <w:rPr>
      <w:rFonts w:ascii="Arial" w:hAnsi="Arial" w:eastAsia="黑体" w:cs="Times New Roman"/>
      <w:b/>
      <w:bCs/>
      <w:sz w:val="28"/>
      <w:szCs w:val="28"/>
    </w:rPr>
  </w:style>
  <w:style w:type="character" w:styleId="1221" w:customStyle="1">
    <w:name w:val="样式 正文缩进 + 首行缩进:  2 字符 Char"/>
    <w:link w:val="1222"/>
    <w:uiPriority w:val="0"/>
    <w:qFormat/>
    <w:rPr>
      <w:sz w:val="24"/>
    </w:rPr>
  </w:style>
  <w:style w:type="paragraph" w:styleId="1222" w:customStyle="1">
    <w:name w:val="样式 正文缩进 + 首行缩进:  2 字符"/>
    <w:basedOn w:val="968"/>
    <w:link w:val="1221"/>
    <w:uiPriority w:val="0"/>
    <w:qFormat/>
    <w:pPr>
      <w:ind w:firstLine="200"/>
      <w:jc w:val="both"/>
      <w:spacing w:line="360" w:lineRule="auto"/>
    </w:pPr>
    <w:rPr>
      <w:rFonts w:ascii="Times New Roman"/>
      <w:szCs w:val="20"/>
    </w:rPr>
  </w:style>
  <w:style w:type="character" w:styleId="1223" w:customStyle="1">
    <w:name w:val="标题 2 字符"/>
    <w:link w:val="777"/>
    <w:uiPriority w:val="9"/>
    <w:qFormat/>
    <w:rPr>
      <w:rFonts w:ascii="宋体" w:hAnsi="Times New Roman" w:eastAsia="宋体" w:cs="Times New Roman"/>
      <w:b/>
      <w:sz w:val="28"/>
      <w:szCs w:val="20"/>
    </w:rPr>
  </w:style>
  <w:style w:type="character" w:styleId="1224" w:customStyle="1">
    <w:name w:val="文档结构图 Char"/>
    <w:link w:val="1225"/>
    <w:uiPriority w:val="0"/>
    <w:qFormat/>
    <w:rPr>
      <w:sz w:val="21"/>
      <w:szCs w:val="24"/>
      <w:shd w:val="clear" w:color="auto" w:fill="000080"/>
    </w:rPr>
  </w:style>
  <w:style w:type="paragraph" w:styleId="1225" w:customStyle="1">
    <w:name w:val="文档结构图1"/>
    <w:basedOn w:val="777"/>
    <w:link w:val="1224"/>
    <w:uiPriority w:val="0"/>
    <w:qFormat/>
    <w:pPr>
      <w:shd w:val="clear" w:color="auto" w:fill="000080"/>
    </w:pPr>
  </w:style>
  <w:style w:type="character" w:styleId="1226" w:customStyle="1">
    <w:name w:val="Char Char11"/>
    <w:link w:val="777"/>
    <w:uiPriority w:val="0"/>
    <w:qFormat/>
    <w:rPr>
      <w:rFonts w:ascii="宋体" w:eastAsia="宋体"/>
      <w:b/>
      <w:sz w:val="24"/>
      <w:u w:val="single"/>
      <w:lang w:val="en-US" w:eastAsia="zh-CN" w:bidi="ar-SA"/>
    </w:rPr>
  </w:style>
  <w:style w:type="character" w:styleId="1227" w:customStyle="1">
    <w:name w:val="Char Char10"/>
    <w:link w:val="777"/>
    <w:uiPriority w:val="0"/>
    <w:qFormat/>
    <w:rPr>
      <w:rFonts w:ascii="宋体" w:hAnsi="Courier New" w:eastAsia="宋体" w:cs="Times New Roman"/>
      <w:szCs w:val="21"/>
    </w:rPr>
  </w:style>
  <w:style w:type="character" w:styleId="1228" w:customStyle="1">
    <w:name w:val="标题 字符1"/>
    <w:link w:val="777"/>
    <w:uiPriority w:val="10"/>
    <w:qFormat/>
    <w:rPr>
      <w:rFonts w:ascii="Cambria" w:hAnsi="Cambria" w:eastAsia="宋体" w:cs="Times New Roman"/>
      <w:b/>
      <w:bCs/>
      <w:sz w:val="32"/>
      <w:szCs w:val="32"/>
    </w:rPr>
  </w:style>
  <w:style w:type="character" w:styleId="1229" w:customStyle="1">
    <w:name w:val="正文文本缩进 Char1"/>
    <w:link w:val="1230"/>
    <w:uiPriority w:val="0"/>
    <w:qFormat/>
    <w:rPr>
      <w:rFonts w:ascii="宋体" w:hAnsi="宋体" w:eastAsia="宋体"/>
      <w:sz w:val="24"/>
      <w:szCs w:val="24"/>
      <w:lang w:bidi="ar-SA"/>
    </w:rPr>
  </w:style>
  <w:style w:type="paragraph" w:styleId="1230" w:customStyle="1">
    <w:name w:val="正文文本缩进1"/>
    <w:basedOn w:val="777"/>
    <w:link w:val="1229"/>
    <w:uiPriority w:val="0"/>
    <w:qFormat/>
    <w:pPr>
      <w:ind w:firstLine="480"/>
      <w:spacing w:line="480" w:lineRule="exact"/>
    </w:pPr>
    <w:rPr>
      <w:rFonts w:ascii="宋体" w:hAnsi="宋体"/>
      <w:sz w:val="24"/>
    </w:rPr>
  </w:style>
  <w:style w:type="character" w:styleId="1231" w:customStyle="1">
    <w:name w:val="c21"/>
    <w:link w:val="777"/>
    <w:uiPriority w:val="0"/>
    <w:qFormat/>
    <w:rPr>
      <w:rFonts w:ascii="ˎ̥" w:hAnsi="ˎ̥"/>
      <w:color w:val="000000"/>
      <w:sz w:val="20"/>
      <w:szCs w:val="20"/>
      <w:u w:val="none"/>
    </w:rPr>
  </w:style>
  <w:style w:type="paragraph" w:styleId="1232" w:customStyle="1">
    <w:name w:val="题注1"/>
    <w:basedOn w:val="777"/>
    <w:next w:val="777"/>
    <w:uiPriority w:val="0"/>
    <w:qFormat/>
    <w:pPr>
      <w:spacing w:line="480" w:lineRule="auto"/>
    </w:pPr>
    <w:rPr>
      <w:rFonts w:ascii="华文中宋" w:hAnsi="华文中宋" w:eastAsia="华文中宋"/>
      <w:sz w:val="36"/>
      <w:szCs w:val="20"/>
    </w:rPr>
  </w:style>
  <w:style w:type="paragraph" w:styleId="1233" w:customStyle="1">
    <w:name w:val="列表 31"/>
    <w:basedOn w:val="777"/>
    <w:uiPriority w:val="0"/>
    <w:qFormat/>
    <w:pPr>
      <w:ind w:left="100" w:hanging="200"/>
    </w:pPr>
    <w:rPr>
      <w:rFonts w:eastAsia="楷体_GB2312"/>
      <w:sz w:val="26"/>
      <w:szCs w:val="20"/>
    </w:rPr>
  </w:style>
  <w:style w:type="paragraph" w:styleId="1234" w:customStyle="1">
    <w:name w:val="目录 71"/>
    <w:basedOn w:val="777"/>
    <w:next w:val="777"/>
    <w:uiPriority w:val="0"/>
    <w:qFormat/>
    <w:pPr>
      <w:ind w:left="2520"/>
    </w:pPr>
  </w:style>
  <w:style w:type="paragraph" w:styleId="1235" w:customStyle="1">
    <w:name w:val="目录 31"/>
    <w:basedOn w:val="777"/>
    <w:next w:val="777"/>
    <w:uiPriority w:val="39"/>
    <w:qFormat/>
    <w:pPr>
      <w:ind w:left="840"/>
    </w:pPr>
  </w:style>
  <w:style w:type="paragraph" w:styleId="1236" w:customStyle="1">
    <w:name w:val="目录 41"/>
    <w:basedOn w:val="777"/>
    <w:next w:val="777"/>
    <w:uiPriority w:val="0"/>
    <w:qFormat/>
    <w:pPr>
      <w:ind w:left="1260"/>
    </w:pPr>
  </w:style>
  <w:style w:type="paragraph" w:styleId="1237" w:customStyle="1">
    <w:name w:val="列表 21"/>
    <w:basedOn w:val="777"/>
    <w:uiPriority w:val="0"/>
    <w:qFormat/>
    <w:pPr>
      <w:ind w:left="100" w:hanging="200"/>
    </w:pPr>
  </w:style>
  <w:style w:type="paragraph" w:styleId="1238" w:customStyle="1">
    <w:name w:val="目录 61"/>
    <w:basedOn w:val="777"/>
    <w:next w:val="777"/>
    <w:uiPriority w:val="0"/>
    <w:qFormat/>
    <w:pPr>
      <w:ind w:left="2100"/>
    </w:pPr>
  </w:style>
  <w:style w:type="paragraph" w:styleId="1239" w:customStyle="1">
    <w:name w:val="目录 51"/>
    <w:basedOn w:val="777"/>
    <w:next w:val="777"/>
    <w:uiPriority w:val="0"/>
    <w:qFormat/>
    <w:pPr>
      <w:ind w:left="1680"/>
    </w:pPr>
  </w:style>
  <w:style w:type="paragraph" w:styleId="1240" w:customStyle="1">
    <w:name w:val="目录 81"/>
    <w:basedOn w:val="777"/>
    <w:next w:val="777"/>
    <w:uiPriority w:val="0"/>
    <w:qFormat/>
    <w:pPr>
      <w:ind w:left="2940"/>
    </w:pPr>
  </w:style>
  <w:style w:type="paragraph" w:styleId="1241" w:customStyle="1">
    <w:name w:val="文本块1"/>
    <w:basedOn w:val="777"/>
    <w:uiPriority w:val="0"/>
    <w:qFormat/>
    <w:pPr>
      <w:ind w:left="480" w:right="-341" w:firstLine="513"/>
      <w:widowControl/>
    </w:pPr>
    <w:rPr>
      <w:sz w:val="24"/>
      <w:szCs w:val="20"/>
    </w:rPr>
  </w:style>
  <w:style w:type="paragraph" w:styleId="1242" w:customStyle="1">
    <w:name w:val="普通(网站)1"/>
    <w:basedOn w:val="777"/>
    <w:uiPriority w:val="99"/>
    <w:unhideWhenUsed/>
    <w:qFormat/>
    <w:pPr>
      <w:jc w:val="left"/>
      <w:spacing w:before="100" w:beforeAutospacing="1" w:after="100" w:afterAutospacing="1"/>
      <w:widowControl/>
    </w:pPr>
    <w:rPr>
      <w:rFonts w:ascii="宋体" w:hAnsi="宋体" w:cs="宋体"/>
      <w:sz w:val="24"/>
    </w:rPr>
  </w:style>
  <w:style w:type="paragraph" w:styleId="1243" w:customStyle="1">
    <w:name w:val="目录 21"/>
    <w:basedOn w:val="777"/>
    <w:next w:val="777"/>
    <w:uiPriority w:val="39"/>
    <w:qFormat/>
    <w:pPr>
      <w:ind w:left="420"/>
      <w:spacing w:line="312" w:lineRule="auto"/>
      <w:tabs>
        <w:tab w:val="right" w:pos="8937" w:leader="dot"/>
      </w:tabs>
    </w:pPr>
  </w:style>
  <w:style w:type="paragraph" w:styleId="1244" w:customStyle="1">
    <w:name w:val="索引 11"/>
    <w:basedOn w:val="777"/>
    <w:next w:val="777"/>
    <w:uiPriority w:val="0"/>
    <w:qFormat/>
    <w:rPr>
      <w:szCs w:val="20"/>
    </w:rPr>
  </w:style>
  <w:style w:type="paragraph" w:styleId="1245" w:customStyle="1">
    <w:name w:val="目录 91"/>
    <w:basedOn w:val="777"/>
    <w:next w:val="777"/>
    <w:uiPriority w:val="0"/>
    <w:qFormat/>
    <w:pPr>
      <w:ind w:left="3360"/>
    </w:pPr>
  </w:style>
  <w:style w:type="paragraph" w:styleId="1246" w:customStyle="1">
    <w:name w:val="目录 11"/>
    <w:basedOn w:val="777"/>
    <w:next w:val="777"/>
    <w:uiPriority w:val="39"/>
    <w:qFormat/>
    <w:pPr>
      <w:spacing w:line="300" w:lineRule="auto"/>
      <w:tabs>
        <w:tab w:val="left" w:pos="1050" w:leader="none"/>
        <w:tab w:val="right" w:pos="8937" w:leader="dot"/>
      </w:tabs>
    </w:pPr>
    <w:rPr>
      <w:rFonts w:ascii="宋体" w:hAnsi="宋体"/>
      <w:b/>
      <w:sz w:val="24"/>
    </w:rPr>
  </w:style>
  <w:style w:type="paragraph" w:styleId="1247" w:customStyle="1">
    <w:name w:val="样式2"/>
    <w:basedOn w:val="1244"/>
    <w:uiPriority w:val="0"/>
    <w:qFormat/>
    <w:pPr>
      <w:jc w:val="center"/>
      <w:spacing w:line="360" w:lineRule="auto"/>
    </w:pPr>
    <w:rPr>
      <w:sz w:val="24"/>
    </w:rPr>
  </w:style>
  <w:style w:type="paragraph" w:styleId="1248" w:customStyle="1">
    <w:name w:val="样式 标题 2 + 宋体 五号 行距: 单倍行距"/>
    <w:basedOn w:val="967"/>
    <w:uiPriority w:val="0"/>
    <w:qFormat/>
    <w:pPr>
      <w:numPr>
        <w:ilvl w:val="1"/>
        <w:numId w:val="1"/>
      </w:numPr>
      <w:jc w:val="left"/>
      <w:spacing w:before="260" w:after="260" w:line="240" w:lineRule="auto"/>
    </w:pPr>
    <w:rPr>
      <w:rFonts w:ascii="宋体" w:hAnsi="宋体" w:eastAsia="宋体"/>
      <w:bCs/>
      <w:sz w:val="21"/>
    </w:rPr>
  </w:style>
  <w:style w:type="paragraph" w:styleId="1249" w:customStyle="1">
    <w:name w:val="章标题"/>
    <w:next w:val="777"/>
    <w:uiPriority w:val="0"/>
    <w:qFormat/>
    <w:pPr>
      <w:numPr>
        <w:ilvl w:val="0"/>
        <w:numId w:val="2"/>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50" w:customStyle="1">
    <w:name w:val="四级条标题"/>
    <w:basedOn w:val="1251"/>
    <w:next w:val="777"/>
    <w:uiPriority w:val="0"/>
    <w:qFormat/>
    <w:pPr>
      <w:numPr>
        <w:ilvl w:val="4"/>
      </w:numPr>
      <w:ind w:left="0" w:hanging="840"/>
      <w:tabs>
        <w:tab w:val="left" w:pos="360" w:leader="none"/>
        <w:tab w:val="left" w:pos="840" w:leader="none"/>
      </w:tabs>
      <w:outlineLvl w:val="4"/>
    </w:pPr>
  </w:style>
  <w:style w:type="paragraph" w:styleId="1251" w:customStyle="1">
    <w:name w:val="三级条标题"/>
    <w:basedOn w:val="1252"/>
    <w:next w:val="777"/>
    <w:uiPriority w:val="0"/>
    <w:qFormat/>
    <w:pPr>
      <w:numPr>
        <w:ilvl w:val="3"/>
        <w:numId w:val="2"/>
      </w:numPr>
      <w:ind w:left="0" w:hanging="840"/>
      <w:tabs>
        <w:tab w:val="left" w:pos="360" w:leader="none"/>
        <w:tab w:val="left" w:pos="840" w:leader="none"/>
      </w:tabs>
      <w:outlineLvl w:val="3"/>
    </w:pPr>
  </w:style>
  <w:style w:type="paragraph" w:styleId="1252" w:customStyle="1">
    <w:name w:val="二级条标题"/>
    <w:basedOn w:val="1253"/>
    <w:next w:val="77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3" w:customStyle="1">
    <w:name w:val="一级条标题"/>
    <w:basedOn w:val="1249"/>
    <w:next w:val="777"/>
    <w:uiPriority w:val="0"/>
    <w:qFormat/>
    <w:pPr>
      <w:numPr>
        <w:ilvl w:val="1"/>
      </w:numPr>
      <w:ind w:left="0" w:hanging="840"/>
      <w:tabs>
        <w:tab w:val="left" w:pos="360" w:leader="none"/>
        <w:tab w:val="left" w:pos="840" w:leader="none"/>
      </w:tabs>
      <w:outlineLvl w:val="1"/>
    </w:pPr>
  </w:style>
  <w:style w:type="paragraph" w:styleId="1254" w:customStyle="1">
    <w:name w:val="Char3 Char Char Char1"/>
    <w:basedOn w:val="777"/>
    <w:uiPriority w:val="0"/>
    <w:qFormat/>
    <w:rPr>
      <w:rFonts w:ascii="Tahoma" w:hAnsi="Tahoma"/>
      <w:sz w:val="24"/>
      <w:szCs w:val="20"/>
    </w:rPr>
  </w:style>
  <w:style w:type="paragraph" w:styleId="1255" w:customStyle="1">
    <w:name w:val="22222222222222"/>
    <w:basedOn w:val="777"/>
    <w:uiPriority w:val="0"/>
    <w:qFormat/>
    <w:pPr>
      <w:ind w:firstLine="480"/>
      <w:jc w:val="left"/>
      <w:spacing w:line="360" w:lineRule="auto"/>
      <w:widowControl/>
    </w:pPr>
    <w:rPr>
      <w:color w:val="ff0000"/>
      <w:sz w:val="24"/>
      <w:szCs w:val="20"/>
    </w:rPr>
  </w:style>
  <w:style w:type="paragraph" w:styleId="1256" w:customStyle="1">
    <w:name w:val="Char1"/>
    <w:basedOn w:val="777"/>
    <w:uiPriority w:val="0"/>
    <w:qFormat/>
    <w:pPr>
      <w:tabs>
        <w:tab w:val="left" w:pos="360" w:leader="none"/>
      </w:tabs>
    </w:pPr>
    <w:rPr>
      <w:sz w:val="24"/>
    </w:rPr>
  </w:style>
  <w:style w:type="paragraph" w:styleId="1257" w:customStyle="1">
    <w:name w:val="五级条标题"/>
    <w:basedOn w:val="1250"/>
    <w:next w:val="777"/>
    <w:uiPriority w:val="0"/>
    <w:qFormat/>
    <w:pPr>
      <w:numPr>
        <w:ilvl w:val="5"/>
      </w:numPr>
      <w:ind w:left="0" w:hanging="840"/>
      <w:outlineLvl w:val="5"/>
    </w:pPr>
  </w:style>
  <w:style w:type="paragraph" w:styleId="1258" w:customStyle="1">
    <w:name w:val="Char Char Char Char Char Char Char1"/>
    <w:basedOn w:val="777"/>
    <w:uiPriority w:val="0"/>
    <w:qFormat/>
    <w:pPr>
      <w:ind w:firstLine="200"/>
      <w:spacing w:line="360" w:lineRule="auto"/>
    </w:pPr>
    <w:rPr>
      <w:rFonts w:eastAsia="仿宋_GB2312"/>
      <w:sz w:val="24"/>
    </w:rPr>
  </w:style>
  <w:style w:type="paragraph" w:styleId="1259" w:customStyle="1">
    <w:name w:val="Char2"/>
    <w:basedOn w:val="777"/>
    <w:uiPriority w:val="0"/>
    <w:qFormat/>
    <w:rPr>
      <w:rFonts w:ascii="Tahoma" w:hAnsi="Tahoma"/>
      <w:sz w:val="24"/>
      <w:szCs w:val="20"/>
    </w:rPr>
  </w:style>
  <w:style w:type="paragraph" w:styleId="1260" w:customStyle="1">
    <w:name w:val="xl30"/>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customStyle="1">
    <w:name w:val="无标题条"/>
    <w:next w:val="777"/>
    <w:uiPriority w:val="0"/>
    <w:qFormat/>
    <w:pPr>
      <w:jc w:val="both"/>
    </w:pPr>
    <w:rPr>
      <w:rFonts w:hint="default" w:ascii="Times New Roman" w:hAnsi="Times New Roman" w:eastAsia="宋体" w:cs="Times New Roman"/>
      <w:sz w:val="21"/>
      <w:lang w:val="en-US" w:eastAsia="zh-CN" w:bidi="ar-SA"/>
    </w:rPr>
  </w:style>
  <w:style w:type="paragraph" w:styleId="1262" w:customStyle="1">
    <w:name w:val="xl27"/>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3" w:customStyle="1">
    <w:name w:val="text"/>
    <w:basedOn w:val="777"/>
    <w:uiPriority w:val="0"/>
    <w:qFormat/>
    <w:pPr>
      <w:ind w:left="1049"/>
      <w:spacing w:before="240"/>
      <w:widowControl/>
      <w:tabs>
        <w:tab w:val="left" w:pos="1050" w:leader="none"/>
      </w:tabs>
    </w:pPr>
    <w:rPr>
      <w:sz w:val="24"/>
      <w:szCs w:val="20"/>
    </w:rPr>
  </w:style>
  <w:style w:type="paragraph" w:styleId="1264" w:customStyle="1">
    <w:name w:val="Char Char Char1 Char2"/>
    <w:basedOn w:val="777"/>
    <w:uiPriority w:val="0"/>
    <w:qFormat/>
    <w:rPr>
      <w:rFonts w:ascii="Tahoma" w:hAnsi="Tahoma"/>
      <w:sz w:val="24"/>
      <w:szCs w:val="20"/>
    </w:rPr>
  </w:style>
  <w:style w:type="paragraph" w:styleId="1265" w:customStyle="1">
    <w:name w:val="xl28"/>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6" w:customStyle="1">
    <w:name w:val="Char22"/>
    <w:basedOn w:val="777"/>
    <w:uiPriority w:val="0"/>
    <w:qFormat/>
    <w:rPr>
      <w:rFonts w:ascii="Tahoma" w:hAnsi="Tahoma"/>
      <w:sz w:val="24"/>
      <w:szCs w:val="20"/>
    </w:rPr>
  </w:style>
  <w:style w:type="paragraph" w:styleId="1267" w:customStyle="1">
    <w:name w:val="1名"/>
    <w:basedOn w:val="777"/>
    <w:uiPriority w:val="0"/>
    <w:qFormat/>
    <w:pPr>
      <w:numPr>
        <w:ilvl w:val="0"/>
        <w:numId w:val="3"/>
      </w:numPr>
      <w:spacing w:before="120"/>
    </w:pPr>
    <w:rPr>
      <w:rFonts w:ascii="宋体"/>
      <w:sz w:val="28"/>
      <w:szCs w:val="20"/>
    </w:rPr>
  </w:style>
  <w:style w:type="paragraph" w:styleId="1268" w:customStyle="1">
    <w:name w:val="正文 + 楷体_GB2312"/>
    <w:basedOn w:val="777"/>
    <w:uiPriority w:val="0"/>
    <w:qFormat/>
    <w:pPr>
      <w:jc w:val="left"/>
      <w:widowControl/>
    </w:pPr>
    <w:rPr>
      <w:rFonts w:ascii="楷体_GB2312" w:eastAsia="楷体_GB2312" w:cs="Arial"/>
      <w:sz w:val="24"/>
    </w:rPr>
  </w:style>
  <w:style w:type="paragraph" w:styleId="1269" w:customStyle="1">
    <w:name w:val="Char Char1 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270" w:customStyle="1">
    <w:name w:val="Char Char1"/>
    <w:basedOn w:val="1225"/>
    <w:uiPriority w:val="0"/>
    <w:qFormat/>
    <w:rPr>
      <w:rFonts w:ascii="Tahoma" w:hAnsi="Tahoma"/>
      <w:sz w:val="24"/>
    </w:rPr>
  </w:style>
  <w:style w:type="paragraph" w:styleId="1271" w:customStyle="1">
    <w:name w:val="background1"/>
    <w:basedOn w:val="777"/>
    <w:uiPriority w:val="0"/>
    <w:qFormat/>
    <w:pPr>
      <w:jc w:val="left"/>
      <w:spacing w:before="100" w:beforeAutospacing="1" w:after="100" w:afterAutospacing="1"/>
      <w:widowControl/>
    </w:pPr>
    <w:rPr>
      <w:rFonts w:ascii="宋体" w:hAnsi="宋体" w:cs="宋体"/>
      <w:sz w:val="24"/>
    </w:rPr>
  </w:style>
  <w:style w:type="paragraph" w:styleId="1272" w:customStyle="1">
    <w:name w:val="xl52"/>
    <w:basedOn w:val="7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3" w:customStyle="1">
    <w:name w:val="1 Char Char Char Char"/>
    <w:basedOn w:val="777"/>
    <w:uiPriority w:val="0"/>
    <w:qFormat/>
    <w:rPr>
      <w:rFonts w:ascii="Tahoma" w:hAnsi="Tahoma"/>
      <w:sz w:val="24"/>
      <w:szCs w:val="20"/>
    </w:rPr>
  </w:style>
  <w:style w:type="paragraph" w:styleId="1274" w:customStyle="1">
    <w:name w:val="font5"/>
    <w:basedOn w:val="777"/>
    <w:uiPriority w:val="0"/>
    <w:qFormat/>
    <w:pPr>
      <w:jc w:val="left"/>
      <w:spacing w:before="100" w:beforeAutospacing="1" w:after="100" w:afterAutospacing="1"/>
      <w:widowControl/>
    </w:pPr>
    <w:rPr>
      <w:rFonts w:ascii="宋体" w:hAnsi="宋体" w:cs="宋体"/>
      <w:sz w:val="18"/>
      <w:szCs w:val="18"/>
    </w:rPr>
  </w:style>
  <w:style w:type="paragraph" w:styleId="1275" w:customStyle="1">
    <w:name w:val="Char3"/>
    <w:basedOn w:val="777"/>
    <w:uiPriority w:val="0"/>
    <w:qFormat/>
    <w:pPr>
      <w:tabs>
        <w:tab w:val="left" w:pos="360" w:leader="none"/>
      </w:tabs>
    </w:pPr>
    <w:rPr>
      <w:sz w:val="24"/>
    </w:rPr>
  </w:style>
  <w:style w:type="paragraph" w:styleId="1276" w:customStyle="1">
    <w:name w:val="项目编号1"/>
    <w:basedOn w:val="777"/>
    <w:uiPriority w:val="0"/>
    <w:qFormat/>
    <w:pPr>
      <w:numPr>
        <w:ilvl w:val="0"/>
        <w:numId w:val="4"/>
      </w:numPr>
      <w:spacing w:before="100" w:beforeAutospacing="1" w:after="100" w:afterAutospacing="1" w:line="360" w:lineRule="auto"/>
    </w:pPr>
    <w:rPr>
      <w:sz w:val="24"/>
    </w:rPr>
  </w:style>
  <w:style w:type="paragraph" w:styleId="1277" w:customStyle="1">
    <w:name w:val="xl29"/>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xl24"/>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9" w:customStyle="1">
    <w:name w:val="xl34"/>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8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81" w:customStyle="1">
    <w:name w:val="默认段落字体 Para Char Char Char Char"/>
    <w:basedOn w:val="777"/>
    <w:uiPriority w:val="0"/>
    <w:qFormat/>
    <w:rPr>
      <w:rFonts w:ascii="Arial" w:hAnsi="Arial" w:cs="Arial"/>
      <w:szCs w:val="21"/>
    </w:rPr>
  </w:style>
  <w:style w:type="paragraph" w:styleId="1282" w:customStyle="1">
    <w:name w:val="Char Char Char2"/>
    <w:basedOn w:val="777"/>
    <w:uiPriority w:val="0"/>
    <w:qFormat/>
    <w:rPr>
      <w:rFonts w:ascii="Tahoma" w:hAnsi="Tahoma"/>
      <w:sz w:val="24"/>
      <w:szCs w:val="20"/>
    </w:rPr>
  </w:style>
  <w:style w:type="paragraph" w:styleId="1283" w:customStyle="1">
    <w:name w:val="纯文本1"/>
    <w:basedOn w:val="777"/>
    <w:next w:val="1236"/>
    <w:uiPriority w:val="0"/>
    <w:qFormat/>
    <w:rPr>
      <w:rFonts w:ascii="宋体" w:hAnsi="Courier New" w:eastAsia="楷体_GB2312"/>
      <w:sz w:val="26"/>
      <w:szCs w:val="20"/>
    </w:rPr>
  </w:style>
  <w:style w:type="paragraph" w:styleId="1284" w:customStyle="1">
    <w:name w:val="Char21"/>
    <w:basedOn w:val="777"/>
    <w:uiPriority w:val="0"/>
    <w:qFormat/>
    <w:rPr>
      <w:rFonts w:ascii="Tahoma" w:hAnsi="Tahoma"/>
      <w:sz w:val="24"/>
      <w:szCs w:val="20"/>
    </w:rPr>
  </w:style>
  <w:style w:type="paragraph" w:styleId="1285" w:customStyle="1">
    <w:name w:val="_Style 147"/>
    <w:next w:val="777"/>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列项_字母"/>
    <w:basedOn w:val="777"/>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287" w:customStyle="1">
    <w:name w:val="xl32"/>
    <w:basedOn w:val="7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8" w:customStyle="1">
    <w:name w:val="图中文字"/>
    <w:basedOn w:val="777"/>
    <w:uiPriority w:val="0"/>
    <w:qFormat/>
    <w:pPr>
      <w:jc w:val="center"/>
      <w:spacing w:line="0" w:lineRule="atLeast"/>
    </w:pPr>
    <w:rPr>
      <w:sz w:val="24"/>
      <w:szCs w:val="20"/>
    </w:rPr>
  </w:style>
  <w:style w:type="paragraph" w:styleId="1289" w:customStyle="1">
    <w:name w:val="AA2"/>
    <w:basedOn w:val="777"/>
    <w:uiPriority w:val="0"/>
    <w:qFormat/>
    <w:pPr>
      <w:numPr>
        <w:ilvl w:val="0"/>
        <w:numId w:val="5"/>
      </w:numPr>
      <w:spacing w:line="312" w:lineRule="exact"/>
      <w:tabs>
        <w:tab w:val="left" w:pos="500" w:leader="none"/>
        <w:tab w:val="left" w:pos="780" w:leader="none"/>
      </w:tabs>
      <w:outlineLvl w:val="1"/>
    </w:pPr>
    <w:rPr>
      <w:b/>
      <w:bCs/>
      <w:szCs w:val="21"/>
    </w:rPr>
  </w:style>
  <w:style w:type="paragraph" w:styleId="1290" w:customStyle="1">
    <w:name w:val="图文"/>
    <w:basedOn w:val="777"/>
    <w:uiPriority w:val="0"/>
    <w:qFormat/>
    <w:pPr>
      <w:spacing w:after="50" w:line="360" w:lineRule="auto"/>
    </w:pPr>
    <w:rPr>
      <w:sz w:val="24"/>
    </w:rPr>
  </w:style>
  <w:style w:type="paragraph" w:styleId="1291" w:customStyle="1">
    <w:name w:val="xl25"/>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2" w:customStyle="1">
    <w:name w:val="列出段落3"/>
    <w:basedOn w:val="777"/>
    <w:uiPriority w:val="34"/>
    <w:qFormat/>
    <w:pPr>
      <w:ind w:left="420" w:hanging="420"/>
      <w:tabs>
        <w:tab w:val="left" w:pos="425" w:leader="none"/>
      </w:tabs>
    </w:pPr>
  </w:style>
  <w:style w:type="paragraph" w:styleId="1293" w:customStyle="1">
    <w:name w:val="Char Char1 Char Char Char Char Char Char1"/>
    <w:basedOn w:val="777"/>
    <w:uiPriority w:val="0"/>
    <w:qFormat/>
    <w:pPr>
      <w:jc w:val="left"/>
      <w:spacing w:after="160" w:line="240" w:lineRule="exact"/>
      <w:widowControl/>
    </w:pPr>
    <w:rPr>
      <w:rFonts w:ascii="Verdana" w:hAnsi="Verdana" w:eastAsia="仿宋_GB2312"/>
      <w:sz w:val="24"/>
      <w:szCs w:val="20"/>
      <w:lang w:eastAsia="en-US"/>
    </w:rPr>
  </w:style>
  <w:style w:type="paragraph" w:styleId="1294" w:customStyle="1">
    <w:name w:val="xl50"/>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5" w:customStyle="1">
    <w:name w:val="Char3 Char Char Char2"/>
    <w:basedOn w:val="777"/>
    <w:uiPriority w:val="0"/>
    <w:qFormat/>
    <w:rPr>
      <w:rFonts w:ascii="Tahoma" w:hAnsi="Tahoma"/>
      <w:sz w:val="24"/>
      <w:szCs w:val="20"/>
    </w:rPr>
  </w:style>
  <w:style w:type="paragraph" w:styleId="1296" w:customStyle="1">
    <w:name w:val="图例"/>
    <w:basedOn w:val="777"/>
    <w:uiPriority w:val="0"/>
    <w:qFormat/>
    <w:pPr>
      <w:jc w:val="center"/>
      <w:spacing w:before="120" w:after="120" w:line="360" w:lineRule="auto"/>
    </w:pPr>
    <w:rPr>
      <w:rFonts w:eastAsia="仿宋_GB2312"/>
      <w:b/>
      <w:sz w:val="24"/>
      <w:szCs w:val="20"/>
    </w:rPr>
  </w:style>
  <w:style w:type="paragraph" w:styleId="1297" w:customStyle="1">
    <w:name w:val="Char Char4"/>
    <w:basedOn w:val="777"/>
    <w:uiPriority w:val="0"/>
    <w:qFormat/>
    <w:pPr>
      <w:jc w:val="center"/>
      <w:spacing w:line="400" w:lineRule="exact"/>
      <w:widowControl/>
    </w:pPr>
  </w:style>
  <w:style w:type="paragraph" w:styleId="1298"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299" w:customStyle="1">
    <w:name w:val="xl53"/>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0" w:customStyle="1">
    <w:name w:val="表格侧编号"/>
    <w:next w:val="777"/>
    <w:uiPriority w:val="0"/>
    <w:qFormat/>
    <w:pPr>
      <w:jc w:val="center"/>
      <w:widowControl w:val="off"/>
      <w:tabs>
        <w:tab w:val="left" w:pos="314" w:leader="none"/>
      </w:tabs>
    </w:pPr>
    <w:rPr>
      <w:rFonts w:hint="default" w:ascii="宋体" w:hAnsi="宋体" w:eastAsia="宋体" w:cs="Times New Roman"/>
      <w:bCs/>
      <w:color w:val="000000"/>
      <w:sz w:val="30"/>
      <w:szCs w:val="30"/>
      <w:lang w:val="en-US" w:eastAsia="zh-CN" w:bidi="ar-SA"/>
    </w:rPr>
  </w:style>
  <w:style w:type="paragraph" w:styleId="1301" w:customStyle="1">
    <w:name w:val="正文 + 宋体"/>
    <w:basedOn w:val="777"/>
    <w:uiPriority w:val="0"/>
    <w:qFormat/>
    <w:pPr>
      <w:ind w:left="360" w:hanging="360"/>
      <w:jc w:val="left"/>
      <w:widowControl/>
    </w:pPr>
    <w:rPr>
      <w:rFonts w:ascii="宋体" w:hAnsi="宋体" w:cs="宋体"/>
      <w:b/>
      <w:bCs/>
      <w:color w:val="000000"/>
      <w:sz w:val="18"/>
      <w:szCs w:val="18"/>
    </w:rPr>
  </w:style>
  <w:style w:type="paragraph" w:styleId="1302" w:customStyle="1">
    <w:name w:val="xl40"/>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3" w:customStyle="1">
    <w:name w:val="正文缩进2"/>
    <w:basedOn w:val="777"/>
    <w:uiPriority w:val="0"/>
    <w:qFormat/>
    <w:pPr>
      <w:ind w:firstLine="567"/>
      <w:spacing w:line="480" w:lineRule="exact"/>
      <w:widowControl/>
    </w:pPr>
    <w:rPr>
      <w:rFonts w:ascii="宋体"/>
      <w:color w:val="000000"/>
      <w:sz w:val="28"/>
      <w:szCs w:val="20"/>
      <w:lang w:val="zh-CN" w:eastAsia="zh-CN"/>
    </w:rPr>
  </w:style>
  <w:style w:type="paragraph" w:styleId="1304" w:customStyle="1">
    <w:name w:val="正文须知-1级"/>
    <w:basedOn w:val="777"/>
    <w:next w:val="777"/>
    <w:uiPriority w:val="0"/>
    <w:qFormat/>
    <w:pPr>
      <w:numPr>
        <w:ilvl w:val="0"/>
        <w:numId w:val="6"/>
      </w:numPr>
      <w:spacing w:line="300" w:lineRule="auto"/>
    </w:pPr>
    <w:rPr>
      <w:rFonts w:ascii="宋体" w:hAnsi="Calibri"/>
      <w:sz w:val="24"/>
      <w:szCs w:val="21"/>
    </w:rPr>
  </w:style>
  <w:style w:type="paragraph" w:styleId="1305" w:customStyle="1">
    <w:name w:val="xl47"/>
    <w:basedOn w:val="77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6" w:customStyle="1">
    <w:name w:val="项目编号2"/>
    <w:basedOn w:val="1276"/>
    <w:uiPriority w:val="0"/>
    <w:qFormat/>
    <w:pPr>
      <w:numPr>
        <w:numId w:val="7"/>
      </w:numPr>
    </w:pPr>
  </w:style>
  <w:style w:type="paragraph" w:styleId="1307" w:customStyle="1">
    <w:name w:val="xl36"/>
    <w:basedOn w:val="77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8" w:customStyle="1">
    <w:name w:val="表格1"/>
    <w:basedOn w:val="777"/>
    <w:uiPriority w:val="0"/>
    <w:qFormat/>
    <w:pPr>
      <w:ind w:firstLine="480"/>
      <w:jc w:val="center"/>
    </w:pPr>
    <w:rPr>
      <w:sz w:val="24"/>
      <w:szCs w:val="20"/>
    </w:rPr>
  </w:style>
  <w:style w:type="paragraph" w:styleId="1309" w:customStyle="1">
    <w:name w:val="Char Char41"/>
    <w:basedOn w:val="777"/>
    <w:uiPriority w:val="0"/>
    <w:qFormat/>
    <w:pPr>
      <w:jc w:val="center"/>
      <w:spacing w:line="400" w:lineRule="exact"/>
      <w:widowControl/>
    </w:pPr>
  </w:style>
  <w:style w:type="paragraph" w:styleId="1310" w:customStyle="1">
    <w:name w:val="正文文本缩进2"/>
    <w:basedOn w:val="777"/>
    <w:uiPriority w:val="0"/>
    <w:qFormat/>
    <w:pPr>
      <w:ind w:firstLine="480"/>
      <w:spacing w:line="480" w:lineRule="exact"/>
    </w:pPr>
    <w:rPr>
      <w:rFonts w:ascii="宋体" w:hAnsi="宋体"/>
      <w:sz w:val="24"/>
      <w:lang w:val="zh-CN" w:eastAsia="zh-CN"/>
    </w:rPr>
  </w:style>
  <w:style w:type="paragraph" w:styleId="1311" w:customStyle="1">
    <w:name w:val="表格文字"/>
    <w:basedOn w:val="1007"/>
    <w:uiPriority w:val="0"/>
    <w:qFormat/>
    <w:pPr>
      <w:ind w:firstLine="0"/>
      <w:spacing w:before="20" w:after="20" w:line="240" w:lineRule="auto"/>
    </w:pPr>
    <w:rPr>
      <w:rFonts w:ascii="Century Gothic" w:hAnsi="Century Gothic"/>
      <w:sz w:val="20"/>
      <w:szCs w:val="20"/>
    </w:rPr>
  </w:style>
  <w:style w:type="paragraph" w:styleId="1312" w:customStyle="1">
    <w:name w:val="Char Char Char Char Char Char Char"/>
    <w:basedOn w:val="777"/>
    <w:uiPriority w:val="0"/>
    <w:qFormat/>
    <w:pPr>
      <w:ind w:firstLine="200"/>
      <w:spacing w:line="360" w:lineRule="auto"/>
    </w:pPr>
    <w:rPr>
      <w:rFonts w:eastAsia="仿宋_GB2312"/>
      <w:sz w:val="24"/>
    </w:rPr>
  </w:style>
  <w:style w:type="paragraph" w:styleId="1313" w:customStyle="1">
    <w:name w:val="xl37"/>
    <w:basedOn w:val="77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4" w:customStyle="1">
    <w:name w:val="缺省文本"/>
    <w:basedOn w:val="777"/>
    <w:uiPriority w:val="0"/>
    <w:qFormat/>
    <w:pPr>
      <w:jc w:val="left"/>
    </w:pPr>
    <w:rPr>
      <w:sz w:val="24"/>
    </w:rPr>
  </w:style>
  <w:style w:type="paragraph" w:styleId="1315" w:customStyle="1">
    <w:name w:val="Í¼±íÕýÎÄ"/>
    <w:basedOn w:val="777"/>
    <w:next w:val="968"/>
    <w:uiPriority w:val="0"/>
    <w:qFormat/>
    <w:pPr>
      <w:ind w:firstLine="420"/>
    </w:pPr>
    <w:rPr>
      <w:sz w:val="24"/>
      <w:szCs w:val="20"/>
    </w:rPr>
  </w:style>
  <w:style w:type="paragraph" w:styleId="1316" w:customStyle="1">
    <w:name w:val="xl3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7" w:customStyle="1">
    <w:name w:val="列出段落1"/>
    <w:basedOn w:val="777"/>
    <w:uiPriority w:val="0"/>
    <w:qFormat/>
    <w:pPr>
      <w:ind w:firstLine="420"/>
    </w:pPr>
    <w:rPr>
      <w:rFonts w:ascii="Calibri" w:hAnsi="Calibri"/>
      <w:szCs w:val="22"/>
    </w:rPr>
  </w:style>
  <w:style w:type="paragraph" w:styleId="1318" w:customStyle="1">
    <w:name w:val="List Paragraph1"/>
    <w:basedOn w:val="777"/>
    <w:uiPriority w:val="0"/>
    <w:qFormat/>
    <w:pPr>
      <w:ind w:firstLine="420"/>
    </w:pPr>
    <w:rPr>
      <w:rFonts w:ascii="Calibri" w:hAnsi="Calibri"/>
      <w:szCs w:val="22"/>
    </w:rPr>
  </w:style>
  <w:style w:type="paragraph" w:styleId="1319" w:customStyle="1">
    <w:name w:val="正文文本样式 加粗"/>
    <w:basedOn w:val="1320"/>
    <w:uiPriority w:val="0"/>
    <w:qFormat/>
    <w:rPr>
      <w:b/>
    </w:rPr>
  </w:style>
  <w:style w:type="paragraph" w:styleId="1320" w:customStyle="1">
    <w:name w:val="正文文本样式"/>
    <w:basedOn w:val="777"/>
    <w:uiPriority w:val="0"/>
    <w:qFormat/>
    <w:pPr>
      <w:ind w:firstLine="482"/>
      <w:spacing w:line="360" w:lineRule="auto"/>
    </w:pPr>
    <w:rPr>
      <w:rFonts w:cs="宋体"/>
      <w:sz w:val="24"/>
      <w:szCs w:val="20"/>
    </w:rPr>
  </w:style>
  <w:style w:type="paragraph" w:styleId="1321" w:customStyle="1">
    <w:name w:val="Char Char Char1 Char1"/>
    <w:basedOn w:val="777"/>
    <w:uiPriority w:val="0"/>
    <w:qFormat/>
    <w:rPr>
      <w:rFonts w:ascii="Tahoma" w:hAnsi="Tahoma"/>
      <w:sz w:val="24"/>
      <w:szCs w:val="20"/>
    </w:rPr>
  </w:style>
  <w:style w:type="paragraph" w:styleId="1322" w:customStyle="1">
    <w:name w:val="xl35"/>
    <w:basedOn w:val="77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3" w:customStyle="1">
    <w:name w:val="Char Char1 Char Char Char Char Char Char"/>
    <w:basedOn w:val="777"/>
    <w:uiPriority w:val="0"/>
    <w:qFormat/>
    <w:pPr>
      <w:jc w:val="left"/>
      <w:spacing w:after="160" w:line="240" w:lineRule="exact"/>
      <w:widowControl/>
    </w:pPr>
    <w:rPr>
      <w:rFonts w:ascii="Verdana" w:hAnsi="Verdana" w:eastAsia="仿宋_GB2312"/>
      <w:sz w:val="24"/>
      <w:szCs w:val="20"/>
      <w:lang w:eastAsia="en-US"/>
    </w:rPr>
  </w:style>
  <w:style w:type="paragraph" w:styleId="1324" w:customStyle="1">
    <w:name w:val="xl43"/>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5" w:customStyle="1">
    <w:name w:val="Char2 Char Char Char Char Char Char1"/>
    <w:basedOn w:val="777"/>
    <w:uiPriority w:val="0"/>
    <w:qFormat/>
    <w:pPr>
      <w:jc w:val="center"/>
      <w:spacing w:line="400" w:lineRule="exact"/>
      <w:widowControl/>
    </w:pPr>
  </w:style>
  <w:style w:type="paragraph" w:styleId="1326" w:customStyle="1">
    <w:name w:val="xl31"/>
    <w:basedOn w:val="7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7" w:customStyle="1">
    <w:name w:val="xl23"/>
    <w:basedOn w:val="777"/>
    <w:uiPriority w:val="0"/>
    <w:qFormat/>
    <w:pPr>
      <w:spacing w:before="100" w:beforeAutospacing="1" w:after="100" w:afterAutospacing="1" w:line="360" w:lineRule="auto"/>
      <w:widowControl/>
    </w:pPr>
    <w:rPr>
      <w:sz w:val="24"/>
      <w:szCs w:val="20"/>
    </w:rPr>
  </w:style>
  <w:style w:type="paragraph" w:styleId="1328" w:customStyle="1">
    <w:name w:val="标题1-附件"/>
    <w:basedOn w:val="966"/>
    <w:uiPriority w:val="0"/>
    <w:qFormat/>
    <w:pPr>
      <w:jc w:val="left"/>
    </w:pPr>
    <w:rPr>
      <w:sz w:val="24"/>
      <w:szCs w:val="24"/>
    </w:rPr>
  </w:style>
  <w:style w:type="paragraph" w:styleId="1329" w:customStyle="1">
    <w:name w:val="Revision"/>
    <w:uiPriority w:val="0"/>
    <w:qFormat/>
    <w:rPr>
      <w:rFonts w:hint="default" w:ascii="Times New Roman" w:hAnsi="Times New Roman" w:eastAsia="宋体" w:cs="Times New Roman"/>
      <w:sz w:val="21"/>
      <w:szCs w:val="24"/>
      <w:lang w:val="en-US" w:eastAsia="zh-CN" w:bidi="ar-SA"/>
    </w:rPr>
  </w:style>
  <w:style w:type="paragraph" w:styleId="1330" w:customStyle="1">
    <w:name w:val="正文列项_数字"/>
    <w:basedOn w:val="777"/>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331" w:customStyle="1">
    <w:name w:val="xl26"/>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32" w:customStyle="1">
    <w:name w:val="字元 字元2"/>
    <w:basedOn w:val="777"/>
    <w:uiPriority w:val="0"/>
    <w:qFormat/>
    <w:rPr>
      <w:rFonts w:ascii="Tahoma" w:hAnsi="Tahoma"/>
      <w:sz w:val="24"/>
      <w:szCs w:val="20"/>
    </w:rPr>
  </w:style>
  <w:style w:type="paragraph" w:styleId="1333" w:customStyle="1">
    <w:name w:val="样式 宋体 五号 行距: 单倍行距"/>
    <w:basedOn w:val="777"/>
    <w:uiPriority w:val="0"/>
    <w:qFormat/>
    <w:pPr>
      <w:jc w:val="left"/>
    </w:pPr>
    <w:rPr>
      <w:rFonts w:ascii="宋体" w:hAnsi="宋体"/>
      <w:szCs w:val="20"/>
    </w:rPr>
  </w:style>
  <w:style w:type="paragraph" w:styleId="1334" w:customStyle="1">
    <w:name w:val="_Style 160"/>
    <w:uiPriority w:val="0"/>
    <w:qFormat/>
    <w:rPr>
      <w:rFonts w:hint="default" w:ascii="Times New Roman" w:hAnsi="Times New Roman" w:eastAsia="宋体" w:cs="Times New Roman"/>
      <w:sz w:val="21"/>
      <w:szCs w:val="24"/>
      <w:lang w:val="en-US" w:eastAsia="zh-CN" w:bidi="ar-SA"/>
    </w:rPr>
  </w:style>
  <w:style w:type="paragraph" w:styleId="1335" w:customStyle="1">
    <w:name w:val="Char2 Char Char Char Char Char Char"/>
    <w:basedOn w:val="777"/>
    <w:uiPriority w:val="0"/>
    <w:qFormat/>
    <w:pPr>
      <w:jc w:val="center"/>
      <w:spacing w:line="400" w:lineRule="exact"/>
      <w:widowControl/>
    </w:pPr>
  </w:style>
  <w:style w:type="paragraph" w:styleId="1336" w:customStyle="1">
    <w:name w:val="cjk"/>
    <w:basedOn w:val="777"/>
    <w:uiPriority w:val="0"/>
    <w:qFormat/>
    <w:pPr>
      <w:spacing w:before="100" w:beforeAutospacing="1" w:after="119"/>
      <w:widowControl/>
    </w:pPr>
    <w:rPr>
      <w:rFonts w:ascii="宋体" w:hAnsi="宋体" w:cs="宋体"/>
      <w:color w:val="000000"/>
      <w:sz w:val="28"/>
      <w:szCs w:val="28"/>
    </w:rPr>
  </w:style>
  <w:style w:type="paragraph" w:styleId="1337" w:customStyle="1">
    <w:name w:val="表项"/>
    <w:next w:val="777"/>
    <w:uiPriority w:val="0"/>
    <w:qFormat/>
    <w:pPr>
      <w:jc w:val="center"/>
      <w:keepNext/>
      <w:spacing w:line="300" w:lineRule="auto"/>
    </w:pPr>
    <w:rPr>
      <w:rFonts w:hint="default" w:ascii="Arial" w:hAnsi="Arial" w:eastAsia="黑体" w:cs="Times New Roman"/>
      <w:sz w:val="18"/>
      <w:lang w:val="en-US" w:eastAsia="zh-CN" w:bidi="ar-SA"/>
    </w:rPr>
  </w:style>
  <w:style w:type="paragraph" w:styleId="1338" w:customStyle="1">
    <w:name w:val="表身（左）"/>
    <w:uiPriority w:val="0"/>
    <w:qFormat/>
    <w:pPr>
      <w:spacing w:line="300" w:lineRule="auto"/>
    </w:pPr>
    <w:rPr>
      <w:rFonts w:hint="default" w:ascii="Times New Roman" w:hAnsi="Times New Roman" w:eastAsia="宋体" w:cs="Times New Roman"/>
      <w:sz w:val="18"/>
      <w:lang w:val="en-US" w:eastAsia="zh-CN" w:bidi="ar-SA"/>
    </w:rPr>
  </w:style>
  <w:style w:type="paragraph" w:styleId="1339" w:customStyle="1">
    <w:name w:val="字元 字元"/>
    <w:basedOn w:val="777"/>
    <w:uiPriority w:val="0"/>
    <w:qFormat/>
    <w:rPr>
      <w:rFonts w:ascii="Tahoma" w:hAnsi="Tahoma"/>
      <w:sz w:val="24"/>
      <w:szCs w:val="20"/>
    </w:rPr>
  </w:style>
  <w:style w:type="paragraph" w:styleId="1340" w:customStyle="1">
    <w:name w:val="Char Char Char Char"/>
    <w:basedOn w:val="1225"/>
    <w:uiPriority w:val="0"/>
    <w:qFormat/>
    <w:pPr>
      <w:spacing w:line="360" w:lineRule="auto"/>
    </w:pPr>
    <w:rPr>
      <w:rFonts w:ascii="Tahoma" w:hAnsi="Tahoma"/>
      <w:sz w:val="24"/>
    </w:rPr>
  </w:style>
  <w:style w:type="paragraph" w:styleId="1341" w:customStyle="1">
    <w:name w:val="正文须知-3级"/>
    <w:basedOn w:val="777"/>
    <w:uiPriority w:val="0"/>
    <w:qFormat/>
    <w:pPr>
      <w:numPr>
        <w:ilvl w:val="2"/>
        <w:numId w:val="6"/>
      </w:numPr>
      <w:ind w:hanging="355"/>
      <w:spacing w:line="300" w:lineRule="auto"/>
    </w:pPr>
    <w:rPr>
      <w:rFonts w:ascii="宋体" w:hAnsi="Calibri"/>
      <w:sz w:val="24"/>
      <w:szCs w:val="21"/>
    </w:rPr>
  </w:style>
  <w:style w:type="paragraph" w:styleId="134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default"/>
    <w:basedOn w:val="777"/>
    <w:uiPriority w:val="0"/>
    <w:qFormat/>
    <w:pPr>
      <w:jc w:val="left"/>
      <w:spacing w:before="100" w:beforeAutospacing="1" w:after="100" w:afterAutospacing="1"/>
      <w:widowControl/>
    </w:pPr>
    <w:rPr>
      <w:rFonts w:ascii="宋体" w:hAnsi="宋体" w:cs="宋体"/>
      <w:sz w:val="24"/>
    </w:rPr>
  </w:style>
  <w:style w:type="paragraph" w:styleId="1344" w:customStyle="1">
    <w:name w:val="font6"/>
    <w:basedOn w:val="777"/>
    <w:uiPriority w:val="0"/>
    <w:qFormat/>
    <w:pPr>
      <w:jc w:val="left"/>
      <w:spacing w:before="100" w:beforeAutospacing="1" w:after="100" w:afterAutospacing="1"/>
      <w:widowControl/>
    </w:pPr>
    <w:rPr>
      <w:rFonts w:ascii="宋体" w:hAnsi="宋体" w:cs="宋体"/>
      <w:sz w:val="20"/>
      <w:szCs w:val="20"/>
    </w:rPr>
  </w:style>
  <w:style w:type="paragraph" w:styleId="1345" w:customStyle="1">
    <w:name w:val="Char Char Char1"/>
    <w:basedOn w:val="777"/>
    <w:uiPriority w:val="0"/>
    <w:qFormat/>
    <w:rPr>
      <w:rFonts w:ascii="Tahoma" w:hAnsi="Tahoma"/>
      <w:sz w:val="24"/>
      <w:szCs w:val="20"/>
    </w:rPr>
  </w:style>
  <w:style w:type="paragraph" w:styleId="1346" w:customStyle="1">
    <w:name w:val="font9"/>
    <w:basedOn w:val="77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47" w:customStyle="1">
    <w:name w:val="Char3 Char Char Char"/>
    <w:basedOn w:val="777"/>
    <w:uiPriority w:val="0"/>
    <w:qFormat/>
    <w:rPr>
      <w:rFonts w:ascii="Tahoma" w:hAnsi="Tahoma"/>
      <w:sz w:val="24"/>
      <w:szCs w:val="20"/>
    </w:rPr>
  </w:style>
  <w:style w:type="paragraph" w:styleId="1348" w:customStyle="1">
    <w:name w:val="表内文字"/>
    <w:basedOn w:val="777"/>
    <w:uiPriority w:val="0"/>
    <w:qFormat/>
    <w:pPr>
      <w:spacing w:line="360" w:lineRule="auto"/>
    </w:pPr>
    <w:rPr>
      <w:rFonts w:ascii="宋体" w:hAnsi="宋体"/>
      <w:bCs/>
      <w:sz w:val="24"/>
    </w:rPr>
  </w:style>
  <w:style w:type="paragraph" w:styleId="1349" w:customStyle="1">
    <w:name w:val="xl39"/>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0" w:customStyle="1">
    <w:name w:val="附言"/>
    <w:basedOn w:val="777"/>
    <w:next w:val="777"/>
    <w:uiPriority w:val="0"/>
    <w:qFormat/>
    <w:pPr>
      <w:jc w:val="center"/>
    </w:pPr>
    <w:rPr>
      <w:rFonts w:ascii="宋体" w:hAnsi="宋体"/>
    </w:rPr>
  </w:style>
  <w:style w:type="paragraph" w:styleId="1351" w:customStyle="1">
    <w:name w:val="其他发布日期"/>
    <w:basedOn w:val="777"/>
    <w:uiPriority w:val="0"/>
    <w:qFormat/>
    <w:pPr>
      <w:numPr>
        <w:ilvl w:val="0"/>
        <w:numId w:val="8"/>
      </w:numPr>
      <w:jc w:val="left"/>
      <w:widowControl/>
      <w:tabs>
        <w:tab w:val="left" w:pos="780" w:leader="none"/>
      </w:tabs>
      <w:framePr w:w="3997" w:h="471" w:vSpace="181" w:wrap="around" w:vAnchor="page" w:hAnchor="page" w:x="1419" w:y="14097" w:hRule="exact"/>
    </w:pPr>
    <w:rPr>
      <w:sz w:val="28"/>
      <w:szCs w:val="20"/>
    </w:rPr>
  </w:style>
  <w:style w:type="paragraph" w:styleId="1352" w:customStyle="1">
    <w:name w:val="xl45"/>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3" w:customStyle="1">
    <w:name w:val="Char Char Char Char Char Char Char2"/>
    <w:basedOn w:val="777"/>
    <w:uiPriority w:val="0"/>
    <w:qFormat/>
    <w:pPr>
      <w:ind w:firstLine="200"/>
      <w:spacing w:line="360" w:lineRule="auto"/>
    </w:pPr>
    <w:rPr>
      <w:rFonts w:eastAsia="仿宋_GB2312"/>
      <w:sz w:val="24"/>
    </w:rPr>
  </w:style>
  <w:style w:type="paragraph" w:styleId="1354" w:customStyle="1">
    <w:name w:val="Char Char Char Char Char Char Char Char Char Char1"/>
    <w:basedOn w:val="777"/>
    <w:uiPriority w:val="0"/>
    <w:qFormat/>
    <w:rPr>
      <w:rFonts w:ascii="宋体" w:hAnsi="宋体" w:cs="Courier New"/>
      <w:sz w:val="32"/>
      <w:szCs w:val="32"/>
    </w:rPr>
  </w:style>
  <w:style w:type="paragraph" w:styleId="1355" w:customStyle="1">
    <w:name w:val="Char Char Char Char Char Char Char Char Char Char2"/>
    <w:basedOn w:val="777"/>
    <w:uiPriority w:val="0"/>
    <w:qFormat/>
    <w:rPr>
      <w:rFonts w:ascii="宋体" w:hAnsi="宋体" w:cs="Courier New"/>
      <w:sz w:val="32"/>
      <w:szCs w:val="32"/>
    </w:rPr>
  </w:style>
  <w:style w:type="paragraph" w:styleId="1356" w:customStyle="1">
    <w:name w:val="xl41"/>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7" w:customStyle="1">
    <w:name w:val="Table Paragraph"/>
    <w:basedOn w:val="777"/>
    <w:uiPriority w:val="1"/>
    <w:qFormat/>
    <w:pPr>
      <w:jc w:val="left"/>
    </w:pPr>
    <w:rPr>
      <w:rFonts w:ascii="宋体" w:hAnsi="宋体" w:cs="宋体"/>
      <w:sz w:val="22"/>
      <w:szCs w:val="22"/>
      <w:lang w:eastAsia="en-US"/>
    </w:rPr>
  </w:style>
  <w:style w:type="paragraph" w:styleId="1358" w:customStyle="1">
    <w:name w:val="正文须知-2级"/>
    <w:basedOn w:val="777"/>
    <w:uiPriority w:val="0"/>
    <w:qFormat/>
    <w:pPr>
      <w:numPr>
        <w:ilvl w:val="1"/>
        <w:numId w:val="6"/>
      </w:numPr>
      <w:spacing w:line="300" w:lineRule="auto"/>
    </w:pPr>
    <w:rPr>
      <w:rFonts w:ascii="宋体" w:hAnsi="Calibri"/>
      <w:sz w:val="24"/>
      <w:szCs w:val="21"/>
    </w:rPr>
  </w:style>
  <w:style w:type="paragraph" w:styleId="1359" w:customStyle="1">
    <w:name w:val="font7"/>
    <w:basedOn w:val="777"/>
    <w:uiPriority w:val="0"/>
    <w:qFormat/>
    <w:pPr>
      <w:jc w:val="left"/>
      <w:spacing w:before="100" w:beforeAutospacing="1" w:after="100" w:afterAutospacing="1"/>
      <w:widowControl/>
    </w:pPr>
    <w:rPr>
      <w:rFonts w:eastAsia="Arial Unicode MS"/>
      <w:b/>
      <w:bCs/>
      <w:color w:val="000000"/>
      <w:sz w:val="20"/>
      <w:szCs w:val="20"/>
    </w:rPr>
  </w:style>
  <w:style w:type="paragraph" w:styleId="1360" w:customStyle="1">
    <w:name w:val="9-表目录"/>
    <w:basedOn w:val="777"/>
    <w:uiPriority w:val="99"/>
    <w:qFormat/>
    <w:pPr>
      <w:ind w:firstLine="480"/>
      <w:jc w:val="center"/>
      <w:spacing w:line="400" w:lineRule="exact"/>
    </w:pPr>
    <w:rPr>
      <w:rFonts w:ascii="Calibri" w:hAnsi="Calibri" w:cs="宋体"/>
      <w:sz w:val="24"/>
      <w:szCs w:val="20"/>
    </w:rPr>
  </w:style>
  <w:style w:type="paragraph" w:styleId="1361" w:customStyle="1">
    <w:name w:val="xl51"/>
    <w:basedOn w:val="7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2" w:customStyle="1">
    <w:name w:val="列出段落2"/>
    <w:basedOn w:val="777"/>
    <w:uiPriority w:val="0"/>
    <w:qFormat/>
    <w:pPr>
      <w:ind w:firstLine="420"/>
    </w:pPr>
    <w:rPr>
      <w:rFonts w:ascii="Calibri" w:hAnsi="Calibri"/>
      <w:szCs w:val="22"/>
    </w:rPr>
  </w:style>
  <w:style w:type="paragraph" w:styleId="1363" w:customStyle="1">
    <w:name w:val="(1)"/>
    <w:basedOn w:val="777"/>
    <w:uiPriority w:val="0"/>
    <w:qFormat/>
    <w:pPr>
      <w:spacing w:line="400" w:lineRule="exact"/>
    </w:pPr>
    <w:rPr>
      <w:rFonts w:ascii="楷体_GB2312" w:hAnsi="Arial" w:eastAsia="楷体_GB2312"/>
      <w:sz w:val="24"/>
    </w:rPr>
  </w:style>
  <w:style w:type="paragraph" w:styleId="1364" w:customStyle="1">
    <w:name w:val="项目符号1"/>
    <w:basedOn w:val="1320"/>
    <w:uiPriority w:val="0"/>
    <w:qFormat/>
    <w:pPr>
      <w:ind w:left="-25" w:firstLine="0"/>
    </w:pPr>
  </w:style>
  <w:style w:type="paragraph" w:styleId="1365" w:customStyle="1">
    <w:name w:val="xl49"/>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6" w:customStyle="1">
    <w:name w:val="font8"/>
    <w:basedOn w:val="777"/>
    <w:uiPriority w:val="0"/>
    <w:qFormat/>
    <w:pPr>
      <w:jc w:val="left"/>
      <w:spacing w:before="100" w:beforeAutospacing="1" w:after="100" w:afterAutospacing="1"/>
      <w:widowControl/>
    </w:pPr>
    <w:rPr>
      <w:sz w:val="36"/>
      <w:szCs w:val="36"/>
    </w:rPr>
  </w:style>
  <w:style w:type="paragraph" w:styleId="1367" w:customStyle="1">
    <w:name w:val="项目编号3"/>
    <w:basedOn w:val="1320"/>
    <w:uiPriority w:val="0"/>
    <w:qFormat/>
    <w:pPr>
      <w:numPr>
        <w:ilvl w:val="0"/>
        <w:numId w:val="9"/>
      </w:numPr>
    </w:pPr>
  </w:style>
  <w:style w:type="paragraph" w:styleId="1368" w:customStyle="1">
    <w:name w:val="Char Char Char Char Char Char Char Char Char Char Char Char Char Char Char Char"/>
    <w:basedOn w:val="777"/>
    <w:uiPriority w:val="0"/>
    <w:qFormat/>
    <w:pPr>
      <w:jc w:val="center"/>
      <w:spacing w:after="160" w:line="240" w:lineRule="exact"/>
      <w:widowControl/>
    </w:pPr>
    <w:rPr>
      <w:rFonts w:ascii="宋体" w:hAnsi="宋体"/>
      <w:b/>
      <w:sz w:val="30"/>
      <w:szCs w:val="30"/>
      <w:lang w:eastAsia="en-US"/>
    </w:rPr>
  </w:style>
  <w:style w:type="paragraph" w:styleId="1369" w:customStyle="1">
    <w:name w:val="Char1 Char Char Char1"/>
    <w:basedOn w:val="777"/>
    <w:uiPriority w:val="0"/>
    <w:qFormat/>
    <w:rPr>
      <w:rFonts w:ascii="Tahoma" w:hAnsi="Tahoma" w:cs="仿宋_GB2312"/>
      <w:sz w:val="24"/>
      <w:szCs w:val="28"/>
    </w:rPr>
  </w:style>
  <w:style w:type="paragraph" w:styleId="1370" w:customStyle="1">
    <w:name w:val="文档正文"/>
    <w:basedOn w:val="777"/>
    <w:uiPriority w:val="0"/>
    <w:qFormat/>
    <w:pPr>
      <w:spacing w:before="120" w:after="120" w:line="180" w:lineRule="auto"/>
    </w:pPr>
    <w:rPr>
      <w:rFonts w:ascii="Arial" w:hAnsi="Arial"/>
      <w:szCs w:val="20"/>
    </w:rPr>
  </w:style>
  <w:style w:type="paragraph" w:styleId="1371" w:customStyle="1">
    <w:name w:val="正文1"/>
    <w:basedOn w:val="777"/>
    <w:uiPriority w:val="0"/>
    <w:qFormat/>
    <w:pPr>
      <w:jc w:val="left"/>
      <w:spacing w:line="360" w:lineRule="atLeast"/>
    </w:pPr>
    <w:rPr>
      <w:rFonts w:ascii="宋体"/>
      <w:sz w:val="24"/>
      <w:szCs w:val="20"/>
    </w:rPr>
  </w:style>
  <w:style w:type="paragraph" w:styleId="1372" w:customStyle="1">
    <w:name w:val="Char Char Char Char Char Char Char Char Char Char"/>
    <w:basedOn w:val="777"/>
    <w:uiPriority w:val="0"/>
    <w:qFormat/>
  </w:style>
  <w:style w:type="paragraph" w:styleId="1373" w:customStyle="1">
    <w:name w:val="Char Char Char Char Char Char Char Char Char Char Char Char Char Char Char Char1"/>
    <w:basedOn w:val="777"/>
    <w:uiPriority w:val="0"/>
    <w:qFormat/>
    <w:pPr>
      <w:jc w:val="center"/>
      <w:spacing w:after="160" w:line="240" w:lineRule="exact"/>
      <w:widowControl/>
    </w:pPr>
    <w:rPr>
      <w:rFonts w:ascii="宋体" w:hAnsi="宋体"/>
      <w:b/>
      <w:sz w:val="30"/>
      <w:szCs w:val="30"/>
      <w:lang w:eastAsia="en-US"/>
    </w:rPr>
  </w:style>
  <w:style w:type="paragraph" w:styleId="1374" w:customStyle="1">
    <w:name w:val="xl46"/>
    <w:basedOn w:val="77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75" w:customStyle="1">
    <w:name w:val="Char"/>
    <w:basedOn w:val="777"/>
    <w:uiPriority w:val="0"/>
    <w:qFormat/>
    <w:pPr>
      <w:tabs>
        <w:tab w:val="left" w:pos="360" w:leader="none"/>
      </w:tabs>
    </w:pPr>
    <w:rPr>
      <w:sz w:val="24"/>
    </w:rPr>
  </w:style>
  <w:style w:type="paragraph" w:styleId="1376" w:customStyle="1">
    <w:name w:val="dbchf15cgrid sbasedon0 s"/>
    <w:uiPriority w:val="0"/>
    <w:qFormat/>
    <w:pPr>
      <w:jc w:val="both"/>
      <w:widowControl w:val="off"/>
    </w:pPr>
    <w:rPr>
      <w:rFonts w:hint="default" w:ascii="宋体" w:hAnsi="Times New Roman" w:eastAsia="宋体" w:cs="Times New Roman"/>
      <w:spacing w:val="5"/>
      <w:sz w:val="21"/>
      <w:lang w:val="en-US" w:eastAsia="zh-CN" w:bidi="ar-SA"/>
    </w:rPr>
  </w:style>
  <w:style w:type="paragraph" w:styleId="1377" w:customStyle="1">
    <w:name w:val="修订11"/>
    <w:uiPriority w:val="99"/>
    <w:qFormat/>
    <w:rPr>
      <w:rFonts w:hint="default" w:ascii="Times New Roman" w:hAnsi="Times New Roman" w:eastAsia="宋体" w:cs="Times New Roman"/>
      <w:sz w:val="21"/>
      <w:szCs w:val="24"/>
      <w:lang w:val="en-US" w:eastAsia="zh-CN" w:bidi="ar-SA"/>
    </w:rPr>
  </w:style>
  <w:style w:type="paragraph" w:styleId="1378" w:customStyle="1">
    <w:name w:val="xl48"/>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79"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80" w:customStyle="1">
    <w:name w:val="字元 字元1"/>
    <w:basedOn w:val="777"/>
    <w:uiPriority w:val="0"/>
    <w:qFormat/>
    <w:rPr>
      <w:rFonts w:ascii="Tahoma" w:hAnsi="Tahoma"/>
      <w:sz w:val="24"/>
      <w:szCs w:val="20"/>
    </w:rPr>
  </w:style>
  <w:style w:type="paragraph" w:styleId="1381" w:customStyle="1">
    <w:name w:val="Char Char Char"/>
    <w:basedOn w:val="777"/>
    <w:uiPriority w:val="0"/>
    <w:qFormat/>
    <w:rPr>
      <w:rFonts w:ascii="Tahoma" w:hAnsi="Tahoma"/>
      <w:sz w:val="24"/>
      <w:szCs w:val="20"/>
    </w:rPr>
  </w:style>
  <w:style w:type="paragraph" w:styleId="1382" w:customStyle="1">
    <w:name w:val="xl44"/>
    <w:basedOn w:val="77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83" w:customStyle="1">
    <w:name w:val="xl42"/>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84" w:customStyle="1">
    <w:name w:val="Char Char Char1 Char"/>
    <w:basedOn w:val="777"/>
    <w:uiPriority w:val="0"/>
    <w:qFormat/>
    <w:rPr>
      <w:rFonts w:ascii="Tahoma" w:hAnsi="Tahoma"/>
      <w:sz w:val="24"/>
      <w:szCs w:val="20"/>
    </w:rPr>
  </w:style>
  <w:style w:type="paragraph" w:styleId="1385" w:customStyle="1">
    <w:name w:val="xl33"/>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6" w:customStyle="1">
    <w:name w:val="默认段落字体 Para Char Char Char Char Char Char Char Char Char1 Char Char Char Char Char Char Char"/>
    <w:basedOn w:val="1225"/>
    <w:uiPriority w:val="0"/>
    <w:qFormat/>
    <w:rPr>
      <w:rFonts w:ascii="Tahoma" w:hAnsi="Tahoma"/>
      <w:sz w:val="24"/>
    </w:rPr>
  </w:style>
  <w:style w:type="table" w:styleId="1387" w:customStyle="1">
    <w:name w:val="网格型1"/>
    <w:basedOn w:val="977"/>
    <w:uiPriority w:val="59"/>
    <w:qFormat/>
    <w:tblPr/>
  </w:style>
  <w:style w:type="table" w:styleId="1388" w:customStyle="1">
    <w:name w:val="Table Normal"/>
    <w:uiPriority w:val="2"/>
    <w:qFormat/>
    <w:pPr>
      <w:widowControl w:val="off"/>
    </w:pPr>
    <w:rPr>
      <w:rFonts w:ascii="Calibri" w:hAnsi="Calibri"/>
      <w:sz w:val="22"/>
      <w:szCs w:val="22"/>
      <w:lang w:val="en-US" w:eastAsia="en-US" w:bidi="ar-SA"/>
    </w:rPr>
    <w:tblPr/>
  </w:style>
  <w:style w:type="table" w:styleId="1389" w:customStyle="1">
    <w:name w:val="中等深浅网格 1 - 强调文字颜色 21"/>
    <w:basedOn w:val="977"/>
    <w:uiPriority w:val="0"/>
    <w:qFormat/>
    <w:rPr>
      <w:sz w:val="21"/>
      <w:szCs w:val="24"/>
    </w:rPr>
    <w:tblPr/>
  </w:style>
  <w:style w:type="paragraph" w:styleId="1390" w:customStyle="1">
    <w:name w:val="null3"/>
    <w:uiPriority w:val="0"/>
    <w:qFormat/>
    <w:rPr>
      <w:rFonts w:hint="eastAsia" w:ascii="Calibri" w:hAnsi="Calibri" w:eastAsia="宋体" w:cs="Times New Roman"/>
      <w:lang w:val="en-US" w:eastAsia="zh-CN" w:bidi="ar-SA"/>
    </w:rPr>
  </w:style>
  <w:style w:type="paragraph" w:styleId="1391" w:customStyle="1">
    <w:name w:val="索引 41"/>
    <w:basedOn w:val="777"/>
    <w:next w:val="777"/>
    <w:uiPriority w:val="0"/>
    <w:semiHidden/>
    <w:qFormat/>
    <w:pPr>
      <w:ind w:left="1260"/>
    </w:pPr>
    <w:rPr>
      <w:rFonts w:ascii="Calibri" w:hAnsi="Calibri" w:eastAsia="Calibri" w:cs="宋体"/>
      <w:sz w:val="20"/>
      <w:lang w:val="zh-CN"/>
    </w:rPr>
  </w:style>
  <w:style w:type="paragraph" w:styleId="1392" w:customStyle="1">
    <w:name w:val="PlainText1"/>
    <w:basedOn w:val="777"/>
    <w:uiPriority w:val="0"/>
    <w:qFormat/>
    <w:rPr>
      <w:rFonts w:ascii="宋体" w:hAnsi="Courier New" w:eastAsia="宋体" w:cs="Times New Roman"/>
    </w:rPr>
  </w:style>
  <w:style w:type="paragraph" w:styleId="1393" w:customStyle="1">
    <w:name w:val="段"/>
    <w:next w:val="777"/>
    <w:uiPriority w:val="0"/>
    <w:qFormat/>
    <w:pPr>
      <w:ind w:firstLine="200"/>
      <w:jc w:val="both"/>
    </w:pPr>
    <w:rPr>
      <w:rFonts w:hint="default" w:ascii="宋体" w:hAnsi="Calibri" w:eastAsia="宋体" w:cs="Times New Roman"/>
      <w:sz w:val="21"/>
      <w:lang w:val="en-US" w:eastAsia="zh-CN" w:bidi="ar-SA"/>
    </w:rPr>
  </w:style>
  <w:style w:type="numbering" w:styleId="17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叶女士</cp:lastModifiedBy>
  <cp:revision>4</cp:revision>
  <dcterms:created xsi:type="dcterms:W3CDTF">2022-05-30T08:03:00Z</dcterms:created>
  <dcterms:modified xsi:type="dcterms:W3CDTF">2026-05-25T05:53:11Z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A4B7EF77348F4821B710A7452AE3E39F_13</vt:lpwstr>
  </property>
  <property fmtid="{D5CDD505-2E9C-101B-9397-08002B2CF9AE}" pid="4" name="KSOTemplateDocerSaveRecord">
    <vt:lpwstr>eyJoZGlkIjoiYjA4MGIyMzFhYTMzNmY2ZjJhODk4ZWUxNjY1MTBjODgiLCJ1c2VySWQiOiIyNjk4NDY2NjIifQ==</vt:lpwstr>
  </property>
</Properties>
</file>