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E9FC59">
      <w:pPr>
        <w:ind w:left="660"/>
        <w:rPr>
          <w:rFonts w:ascii="楷体_GB2312" w:eastAsia="楷体_GB2312"/>
          <w:bCs/>
          <w:color w:val="auto"/>
          <w:sz w:val="30"/>
          <w:highlight w:val="none"/>
        </w:rPr>
      </w:pPr>
    </w:p>
    <w:p w14:paraId="2D82C77D">
      <w:pPr>
        <w:ind w:left="660"/>
        <w:rPr>
          <w:rFonts w:ascii="楷体_GB2312" w:eastAsia="楷体_GB2312"/>
          <w:bCs/>
          <w:color w:val="auto"/>
          <w:sz w:val="30"/>
          <w:highlight w:val="none"/>
        </w:rPr>
      </w:pPr>
    </w:p>
    <w:p w14:paraId="0D2BC248">
      <w:pPr>
        <w:ind w:left="660"/>
        <w:rPr>
          <w:rFonts w:ascii="楷体_GB2312" w:eastAsia="楷体_GB2312"/>
          <w:bCs/>
          <w:color w:val="auto"/>
          <w:sz w:val="30"/>
          <w:highlight w:val="none"/>
        </w:rPr>
      </w:pPr>
    </w:p>
    <w:p w14:paraId="62C8FCA6">
      <w:pPr>
        <w:ind w:left="660"/>
        <w:rPr>
          <w:rFonts w:ascii="楷体_GB2312" w:eastAsia="楷体_GB2312"/>
          <w:bCs/>
          <w:color w:val="auto"/>
          <w:sz w:val="30"/>
          <w:highlight w:val="none"/>
        </w:rPr>
      </w:pPr>
    </w:p>
    <w:p w14:paraId="53916ADC">
      <w:pPr>
        <w:ind w:left="660"/>
        <w:rPr>
          <w:rFonts w:ascii="楷体_GB2312" w:eastAsia="楷体_GB2312"/>
          <w:bCs/>
          <w:color w:val="auto"/>
          <w:sz w:val="30"/>
          <w:highlight w:val="none"/>
        </w:rPr>
      </w:pPr>
    </w:p>
    <w:p w14:paraId="0CBD4BBF">
      <w:pPr>
        <w:ind w:left="660"/>
        <w:rPr>
          <w:rFonts w:ascii="楷体_GB2312" w:eastAsia="楷体_GB2312"/>
          <w:bCs/>
          <w:color w:val="auto"/>
          <w:sz w:val="30"/>
          <w:highlight w:val="none"/>
        </w:rPr>
      </w:pPr>
    </w:p>
    <w:p w14:paraId="550F9F59">
      <w:pPr>
        <w:jc w:val="center"/>
        <w:rPr>
          <w:rFonts w:hint="eastAsia" w:ascii="黑体" w:hAnsi="华文中宋" w:eastAsia="黑体"/>
          <w:bCs/>
          <w:color w:val="auto"/>
          <w:spacing w:val="20"/>
          <w:sz w:val="72"/>
          <w:szCs w:val="72"/>
          <w:highlight w:val="none"/>
        </w:rPr>
      </w:pPr>
      <w:r>
        <w:rPr>
          <w:rFonts w:hint="eastAsia" w:ascii="黑体" w:hAnsi="华文中宋" w:eastAsia="黑体"/>
          <w:bCs/>
          <w:color w:val="auto"/>
          <w:spacing w:val="20"/>
          <w:sz w:val="72"/>
          <w:szCs w:val="72"/>
          <w:highlight w:val="none"/>
        </w:rPr>
        <w:t>无锡市新吴区政府采购</w:t>
      </w:r>
    </w:p>
    <w:p w14:paraId="536105AD">
      <w:pPr>
        <w:rPr>
          <w:rFonts w:hint="eastAsia" w:ascii="华文中宋" w:hAnsi="华文中宋" w:eastAsia="华文中宋"/>
          <w:bCs/>
          <w:color w:val="auto"/>
          <w:sz w:val="30"/>
          <w:highlight w:val="none"/>
        </w:rPr>
      </w:pPr>
    </w:p>
    <w:p w14:paraId="4C23B0B6">
      <w:pPr>
        <w:tabs>
          <w:tab w:val="left" w:pos="9921"/>
        </w:tabs>
        <w:jc w:val="center"/>
        <w:rPr>
          <w:rFonts w:hint="eastAsia" w:ascii="华文中宋" w:hAnsi="华文中宋" w:eastAsia="华文中宋"/>
          <w:bCs/>
          <w:color w:val="auto"/>
          <w:sz w:val="30"/>
          <w:highlight w:val="none"/>
        </w:rPr>
      </w:pPr>
      <w:r>
        <w:rPr>
          <w:rFonts w:hint="eastAsia" w:ascii="华文中宋" w:hAnsi="华文中宋" w:eastAsia="华文中宋"/>
          <w:bCs/>
          <w:color w:val="auto"/>
          <w:sz w:val="30"/>
          <w:highlight w:val="none"/>
        </w:rPr>
        <w:t>（全流程电子化）</w:t>
      </w:r>
    </w:p>
    <w:p w14:paraId="103F216B">
      <w:pPr>
        <w:rPr>
          <w:rFonts w:hint="eastAsia" w:ascii="华文中宋" w:hAnsi="华文中宋" w:eastAsia="华文中宋"/>
          <w:bCs/>
          <w:color w:val="auto"/>
          <w:sz w:val="30"/>
          <w:highlight w:val="none"/>
        </w:rPr>
      </w:pPr>
    </w:p>
    <w:p w14:paraId="60F1BD8B">
      <w:pPr>
        <w:rPr>
          <w:rFonts w:hint="eastAsia" w:ascii="华文中宋" w:hAnsi="华文中宋" w:eastAsia="华文中宋"/>
          <w:bCs/>
          <w:color w:val="auto"/>
          <w:sz w:val="30"/>
          <w:highlight w:val="none"/>
        </w:rPr>
      </w:pPr>
    </w:p>
    <w:p w14:paraId="350155C3">
      <w:pPr>
        <w:jc w:val="center"/>
        <w:rPr>
          <w:rFonts w:hint="eastAsia" w:ascii="黑体" w:hAnsi="华文中宋" w:eastAsia="黑体"/>
          <w:bCs/>
          <w:color w:val="auto"/>
          <w:spacing w:val="20"/>
          <w:sz w:val="48"/>
          <w:szCs w:val="48"/>
          <w:highlight w:val="none"/>
        </w:rPr>
      </w:pPr>
      <w:r>
        <w:rPr>
          <w:rFonts w:hint="eastAsia" w:ascii="黑体" w:hAnsi="华文中宋" w:eastAsia="黑体"/>
          <w:bCs/>
          <w:color w:val="auto"/>
          <w:spacing w:val="20"/>
          <w:sz w:val="48"/>
          <w:szCs w:val="48"/>
          <w:highlight w:val="none"/>
        </w:rPr>
        <w:t>公开</w:t>
      </w:r>
    </w:p>
    <w:p w14:paraId="0F43F2A2">
      <w:pPr>
        <w:jc w:val="center"/>
        <w:rPr>
          <w:rFonts w:hint="eastAsia" w:ascii="黑体" w:hAnsi="华文中宋" w:eastAsia="黑体"/>
          <w:bCs/>
          <w:color w:val="auto"/>
          <w:spacing w:val="20"/>
          <w:sz w:val="52"/>
          <w:szCs w:val="52"/>
          <w:highlight w:val="none"/>
        </w:rPr>
      </w:pPr>
      <w:r>
        <w:rPr>
          <w:color w:val="auto"/>
          <w:highlight w:val="none"/>
        </w:rPr>
        <mc:AlternateContent>
          <mc:Choice Requires="wps">
            <w:drawing>
              <wp:anchor distT="0" distB="0" distL="0" distR="0" simplePos="0" relativeHeight="251659264" behindDoc="0" locked="0" layoutInCell="1" allowOverlap="1">
                <wp:simplePos x="0" y="0"/>
                <wp:positionH relativeFrom="column">
                  <wp:posOffset>-114300</wp:posOffset>
                </wp:positionH>
                <wp:positionV relativeFrom="paragraph">
                  <wp:posOffset>198120</wp:posOffset>
                </wp:positionV>
                <wp:extent cx="1270" cy="0"/>
                <wp:effectExtent l="0" t="4445" r="0" b="5080"/>
                <wp:wrapNone/>
                <wp:docPr id="1" name="shape 0"/>
                <wp:cNvGraphicFramePr/>
                <a:graphic xmlns:a="http://schemas.openxmlformats.org/drawingml/2006/main">
                  <a:graphicData uri="http://schemas.microsoft.com/office/word/2010/wordprocessingShape">
                    <wps:wsp>
                      <wps:cNvCnPr/>
                      <wps:spPr bwMode="auto">
                        <a:xfrm>
                          <a:off x="0" y="0"/>
                          <a:ext cx="1270" cy="0"/>
                        </a:xfrm>
                        <a:prstGeom prst="line">
                          <a:avLst/>
                        </a:prstGeom>
                        <a:ln w="9525" cap="flat" cmpd="sng">
                          <a:solidFill>
                            <a:srgbClr val="000000"/>
                          </a:solidFill>
                          <a:prstDash val="solid"/>
                          <a:round/>
                          <a:headEnd type="none" w="med" len="med"/>
                          <a:tailEnd type="none" w="med" len="med"/>
                        </a:ln>
                      </wps:spPr>
                      <wps:bodyPr/>
                    </wps:wsp>
                  </a:graphicData>
                </a:graphic>
              </wp:anchor>
            </w:drawing>
          </mc:Choice>
          <mc:Fallback>
            <w:pict>
              <v:line id="shape 0" o:spid="_x0000_s1026" o:spt="20" style="position:absolute;left:0pt;margin-left:-9pt;margin-top:15.6pt;height:0pt;width:0.1pt;z-index:251659264;mso-width-relative:page;mso-height-relative:page;" filled="f" stroked="t" coordsize="21600,21600" o:gfxdata="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2TRTlNYAAAAJAQAADwAAAAAA&#10;AAABACAAAAAiAAAAZHJzL2Rvd25yZXYueG1sUEsBAhQAFAAAAAgAh07iQFz/aiLcAQAA4wMAAA4A&#10;AAAAAAAAAQAgAAAAJQEAAGRycy9lMm9Eb2MueG1sUEsFBgAAAAAGAAYAWQEAAHMFAAAAAA==&#10;">
                <v:fill on="f"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招标文件</w:t>
      </w:r>
    </w:p>
    <w:p w14:paraId="3CBFEDB2">
      <w:pPr>
        <w:jc w:val="center"/>
        <w:rPr>
          <w:rFonts w:hint="eastAsia" w:ascii="黑体" w:hAnsi="华文中宋" w:eastAsia="黑体"/>
          <w:bCs/>
          <w:color w:val="auto"/>
          <w:spacing w:val="20"/>
          <w:sz w:val="52"/>
          <w:szCs w:val="52"/>
          <w:highlight w:val="none"/>
        </w:rPr>
      </w:pPr>
    </w:p>
    <w:p w14:paraId="2A0E8C06">
      <w:pPr>
        <w:rPr>
          <w:rFonts w:hint="eastAsia" w:ascii="华文中宋" w:hAnsi="华文中宋" w:eastAsia="华文中宋"/>
          <w:bCs/>
          <w:color w:val="auto"/>
          <w:sz w:val="30"/>
          <w:highlight w:val="none"/>
        </w:rPr>
      </w:pPr>
    </w:p>
    <w:p w14:paraId="2CDA67C2">
      <w:pPr>
        <w:ind w:firstLine="900"/>
        <w:rPr>
          <w:rFonts w:hint="eastAsia" w:ascii="黑体" w:hAnsi="华文中宋" w:eastAsia="黑体"/>
          <w:bCs/>
          <w:color w:val="auto"/>
          <w:sz w:val="30"/>
          <w:szCs w:val="30"/>
          <w:highlight w:val="none"/>
        </w:rPr>
      </w:pPr>
    </w:p>
    <w:p w14:paraId="51CB43AF">
      <w:pPr>
        <w:ind w:firstLine="900"/>
        <w:rPr>
          <w:rFonts w:hint="eastAsia" w:ascii="黑体" w:hAnsi="华文中宋" w:eastAsia="黑体"/>
          <w:bCs/>
          <w:color w:val="auto"/>
          <w:sz w:val="30"/>
          <w:szCs w:val="30"/>
          <w:highlight w:val="none"/>
        </w:rPr>
      </w:pPr>
    </w:p>
    <w:p w14:paraId="7DF071FA">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采购项目编号：</w:t>
      </w:r>
      <w:r>
        <w:rPr>
          <w:rFonts w:hint="eastAsia" w:ascii="黑体" w:hAnsi="华文中宋" w:eastAsia="黑体"/>
          <w:bCs/>
          <w:color w:val="auto"/>
          <w:sz w:val="30"/>
          <w:szCs w:val="30"/>
          <w:highlight w:val="none"/>
          <w:lang w:eastAsia="zh-CN"/>
        </w:rPr>
        <w:t>JSZC-320214-WXZH-G2026-0004</w:t>
      </w:r>
    </w:p>
    <w:p w14:paraId="0C51891F">
      <w:pPr>
        <w:ind w:firstLine="900"/>
        <w:rPr>
          <w:rFonts w:hint="eastAsia" w:ascii="黑体" w:hAnsi="华文中宋" w:eastAsia="黑体"/>
          <w:bCs/>
          <w:color w:val="auto"/>
          <w:sz w:val="30"/>
          <w:szCs w:val="30"/>
          <w:highlight w:val="none"/>
        </w:rPr>
      </w:pPr>
    </w:p>
    <w:p w14:paraId="2F062322">
      <w:pPr>
        <w:ind w:firstLine="9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采购项目名称：</w:t>
      </w:r>
      <w:r>
        <w:rPr>
          <w:rFonts w:hint="eastAsia" w:ascii="黑体" w:hAnsi="华文中宋" w:eastAsia="黑体"/>
          <w:bCs/>
          <w:color w:val="auto"/>
          <w:sz w:val="30"/>
          <w:szCs w:val="30"/>
          <w:highlight w:val="none"/>
          <w:lang w:eastAsia="zh-CN"/>
        </w:rPr>
        <w:t>2026年度江溪街道城市管理应急处置拆违拆临服务项目</w:t>
      </w:r>
    </w:p>
    <w:p w14:paraId="197EA406">
      <w:pPr>
        <w:ind w:firstLine="900"/>
        <w:rPr>
          <w:rFonts w:hint="eastAsia" w:ascii="黑体" w:hAnsi="华文中宋" w:eastAsia="黑体"/>
          <w:bCs/>
          <w:color w:val="auto"/>
          <w:sz w:val="30"/>
          <w:szCs w:val="30"/>
          <w:highlight w:val="none"/>
        </w:rPr>
      </w:pPr>
    </w:p>
    <w:p w14:paraId="761CF5AF">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采购人：</w:t>
      </w:r>
      <w:r>
        <w:rPr>
          <w:rFonts w:hint="eastAsia" w:ascii="黑体" w:hAnsi="华文中宋" w:eastAsia="黑体"/>
          <w:bCs/>
          <w:color w:val="auto"/>
          <w:sz w:val="30"/>
          <w:szCs w:val="30"/>
          <w:highlight w:val="none"/>
          <w:lang w:eastAsia="zh-CN"/>
        </w:rPr>
        <w:t>无锡市新吴区人民政府江溪街道办事处</w:t>
      </w:r>
    </w:p>
    <w:p w14:paraId="524AE5F1">
      <w:pPr>
        <w:ind w:firstLine="900"/>
        <w:rPr>
          <w:rFonts w:hint="eastAsia" w:ascii="黑体" w:hAnsi="华文中宋" w:eastAsia="黑体"/>
          <w:bCs/>
          <w:color w:val="auto"/>
          <w:sz w:val="30"/>
          <w:szCs w:val="30"/>
          <w:highlight w:val="none"/>
        </w:rPr>
      </w:pPr>
    </w:p>
    <w:p w14:paraId="2A673766">
      <w:pPr>
        <w:ind w:firstLine="9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采购代理机构：江苏万力通项目管理有限公司</w:t>
      </w:r>
    </w:p>
    <w:p w14:paraId="54C506E4">
      <w:pPr>
        <w:rPr>
          <w:rFonts w:hint="eastAsia" w:ascii="华文中宋" w:hAnsi="华文中宋" w:eastAsia="华文中宋"/>
          <w:bCs/>
          <w:color w:val="auto"/>
          <w:sz w:val="32"/>
          <w:highlight w:val="none"/>
        </w:rPr>
      </w:pPr>
    </w:p>
    <w:p w14:paraId="25A63391">
      <w:pPr>
        <w:jc w:val="center"/>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lang w:eastAsia="zh-CN"/>
        </w:rPr>
        <w:t>二〇二</w:t>
      </w:r>
      <w:r>
        <w:rPr>
          <w:rFonts w:hint="eastAsia" w:ascii="黑体" w:hAnsi="华文中宋" w:eastAsia="黑体"/>
          <w:bCs/>
          <w:color w:val="auto"/>
          <w:sz w:val="30"/>
          <w:szCs w:val="30"/>
          <w:highlight w:val="none"/>
          <w:lang w:val="en-US" w:eastAsia="zh-CN"/>
        </w:rPr>
        <w:t>六</w:t>
      </w:r>
      <w:r>
        <w:rPr>
          <w:rFonts w:hint="eastAsia" w:ascii="黑体" w:hAnsi="华文中宋" w:eastAsia="黑体"/>
          <w:bCs/>
          <w:color w:val="auto"/>
          <w:sz w:val="30"/>
          <w:szCs w:val="30"/>
          <w:highlight w:val="none"/>
        </w:rPr>
        <w:t>年</w:t>
      </w:r>
      <w:r>
        <w:rPr>
          <w:rFonts w:hint="eastAsia" w:ascii="黑体" w:hAnsi="华文中宋" w:eastAsia="黑体"/>
          <w:bCs/>
          <w:color w:val="auto"/>
          <w:sz w:val="30"/>
          <w:szCs w:val="30"/>
          <w:highlight w:val="none"/>
          <w:lang w:val="en-US" w:eastAsia="zh-CN"/>
        </w:rPr>
        <w:t>五</w:t>
      </w:r>
      <w:r>
        <w:rPr>
          <w:rFonts w:hint="eastAsia" w:ascii="黑体" w:hAnsi="华文中宋" w:eastAsia="黑体"/>
          <w:bCs/>
          <w:color w:val="auto"/>
          <w:sz w:val="30"/>
          <w:szCs w:val="30"/>
          <w:highlight w:val="none"/>
        </w:rPr>
        <w:t>月</w:t>
      </w:r>
    </w:p>
    <w:p w14:paraId="74151A3D">
      <w:pPr>
        <w:jc w:val="center"/>
        <w:rPr>
          <w:rStyle w:val="49"/>
          <w:rFonts w:eastAsia="黑体"/>
          <w:bCs/>
          <w:color w:val="auto"/>
          <w:sz w:val="48"/>
          <w:highlight w:val="none"/>
        </w:rPr>
      </w:pPr>
      <w:r>
        <w:rPr>
          <w:rStyle w:val="49"/>
          <w:rFonts w:eastAsia="黑体"/>
          <w:bCs/>
          <w:color w:val="auto"/>
          <w:sz w:val="48"/>
          <w:highlight w:val="none"/>
        </w:rPr>
        <w:br w:type="page" w:clear="all"/>
      </w:r>
      <w:r>
        <w:rPr>
          <w:rStyle w:val="49"/>
          <w:rFonts w:hint="eastAsia" w:eastAsia="黑体"/>
          <w:bCs/>
          <w:color w:val="auto"/>
          <w:sz w:val="48"/>
          <w:highlight w:val="none"/>
        </w:rPr>
        <w:t>目录</w:t>
      </w:r>
    </w:p>
    <w:p w14:paraId="689C8AD2">
      <w:pPr>
        <w:jc w:val="center"/>
        <w:rPr>
          <w:rFonts w:ascii="黑体" w:eastAsia="黑体"/>
          <w:bCs/>
          <w:color w:val="auto"/>
          <w:sz w:val="30"/>
          <w:highlight w:val="none"/>
        </w:rPr>
      </w:pPr>
    </w:p>
    <w:p w14:paraId="58869372">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一、投标邀请函</w:t>
      </w:r>
      <w:r>
        <w:rPr>
          <w:rFonts w:ascii="宋体"/>
          <w:bCs/>
          <w:color w:val="auto"/>
          <w:sz w:val="30"/>
          <w:szCs w:val="30"/>
          <w:highlight w:val="none"/>
        </w:rPr>
        <w:t>-----------------------------------</w:t>
      </w:r>
      <w:r>
        <w:rPr>
          <w:rFonts w:hint="eastAsia" w:ascii="宋体" w:hAnsi="宋体"/>
          <w:bCs/>
          <w:color w:val="auto"/>
          <w:sz w:val="30"/>
          <w:szCs w:val="30"/>
          <w:highlight w:val="none"/>
        </w:rPr>
        <w:t>（3）</w:t>
      </w:r>
    </w:p>
    <w:p w14:paraId="3DD3719A">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二、投标人须知</w:t>
      </w:r>
      <w:r>
        <w:rPr>
          <w:rFonts w:ascii="宋体"/>
          <w:bCs/>
          <w:color w:val="auto"/>
          <w:sz w:val="30"/>
          <w:szCs w:val="30"/>
          <w:highlight w:val="none"/>
        </w:rPr>
        <w:t>-----------------------------------</w:t>
      </w:r>
      <w:r>
        <w:rPr>
          <w:rFonts w:hint="eastAsia" w:ascii="宋体" w:hAnsi="宋体"/>
          <w:bCs/>
          <w:color w:val="auto"/>
          <w:sz w:val="30"/>
          <w:szCs w:val="30"/>
          <w:highlight w:val="none"/>
        </w:rPr>
        <w:t>（7）</w:t>
      </w:r>
    </w:p>
    <w:p w14:paraId="73B9FE14">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三、项目技术要求和有关说明</w:t>
      </w:r>
      <w:r>
        <w:rPr>
          <w:rFonts w:ascii="宋体"/>
          <w:bCs/>
          <w:color w:val="auto"/>
          <w:sz w:val="30"/>
          <w:szCs w:val="30"/>
          <w:highlight w:val="none"/>
        </w:rPr>
        <w:t>-----------------------</w:t>
      </w:r>
      <w:r>
        <w:rPr>
          <w:rFonts w:hint="eastAsia" w:ascii="宋体" w:hAnsi="宋体"/>
          <w:bCs/>
          <w:color w:val="auto"/>
          <w:sz w:val="30"/>
          <w:szCs w:val="30"/>
          <w:highlight w:val="none"/>
        </w:rPr>
        <w:t>（</w:t>
      </w:r>
      <w:r>
        <w:rPr>
          <w:rFonts w:hint="eastAsia" w:ascii="宋体" w:hAnsi="宋体"/>
          <w:bCs/>
          <w:color w:val="auto"/>
          <w:sz w:val="30"/>
          <w:szCs w:val="30"/>
          <w:highlight w:val="none"/>
          <w:lang w:val="en-US" w:eastAsia="zh-CN"/>
        </w:rPr>
        <w:t>21</w:t>
      </w:r>
      <w:r>
        <w:rPr>
          <w:rFonts w:hint="eastAsia" w:ascii="宋体" w:hAnsi="宋体"/>
          <w:bCs/>
          <w:color w:val="auto"/>
          <w:sz w:val="30"/>
          <w:szCs w:val="30"/>
          <w:highlight w:val="none"/>
        </w:rPr>
        <w:t>）</w:t>
      </w:r>
    </w:p>
    <w:p w14:paraId="41553D00">
      <w:pPr>
        <w:spacing w:line="720" w:lineRule="auto"/>
        <w:ind w:firstLine="450"/>
        <w:rPr>
          <w:rFonts w:ascii="宋体"/>
          <w:bCs/>
          <w:color w:val="auto"/>
          <w:sz w:val="30"/>
          <w:szCs w:val="30"/>
          <w:highlight w:val="none"/>
        </w:rPr>
      </w:pPr>
      <w:r>
        <w:rPr>
          <w:rFonts w:hint="eastAsia" w:ascii="宋体" w:hAnsi="宋体"/>
          <w:bCs/>
          <w:color w:val="auto"/>
          <w:sz w:val="30"/>
          <w:szCs w:val="30"/>
          <w:highlight w:val="none"/>
        </w:rPr>
        <w:t>四、合同书（格式文本）</w:t>
      </w:r>
      <w:r>
        <w:rPr>
          <w:rFonts w:ascii="宋体"/>
          <w:bCs/>
          <w:color w:val="auto"/>
          <w:sz w:val="30"/>
          <w:szCs w:val="30"/>
          <w:highlight w:val="none"/>
        </w:rPr>
        <w:t>---------------------------</w:t>
      </w:r>
      <w:r>
        <w:rPr>
          <w:rFonts w:hint="eastAsia" w:ascii="宋体" w:hAnsi="宋体"/>
          <w:bCs/>
          <w:color w:val="auto"/>
          <w:sz w:val="30"/>
          <w:szCs w:val="30"/>
          <w:highlight w:val="none"/>
        </w:rPr>
        <w:t>（</w:t>
      </w:r>
      <w:r>
        <w:rPr>
          <w:rFonts w:hint="eastAsia" w:ascii="宋体" w:hAnsi="宋体"/>
          <w:bCs/>
          <w:color w:val="auto"/>
          <w:sz w:val="30"/>
          <w:szCs w:val="30"/>
          <w:highlight w:val="none"/>
          <w:lang w:val="en-US" w:eastAsia="zh-CN"/>
        </w:rPr>
        <w:t>24</w:t>
      </w:r>
      <w:r>
        <w:rPr>
          <w:rFonts w:hint="eastAsia" w:ascii="宋体" w:hAnsi="宋体"/>
          <w:bCs/>
          <w:color w:val="auto"/>
          <w:sz w:val="30"/>
          <w:szCs w:val="30"/>
          <w:highlight w:val="none"/>
        </w:rPr>
        <w:t>）</w:t>
      </w:r>
    </w:p>
    <w:p w14:paraId="158AB231">
      <w:pPr>
        <w:spacing w:line="720" w:lineRule="auto"/>
        <w:ind w:firstLine="450"/>
        <w:rPr>
          <w:rFonts w:hint="eastAsia" w:ascii="宋体" w:hAnsi="宋体"/>
          <w:bCs/>
          <w:color w:val="auto"/>
          <w:sz w:val="30"/>
          <w:szCs w:val="30"/>
          <w:highlight w:val="none"/>
        </w:rPr>
      </w:pPr>
      <w:r>
        <w:rPr>
          <w:rFonts w:hint="eastAsia" w:ascii="宋体" w:hAnsi="宋体"/>
          <w:bCs/>
          <w:color w:val="auto"/>
          <w:sz w:val="30"/>
          <w:szCs w:val="30"/>
          <w:highlight w:val="none"/>
          <w:lang w:val="en-US" w:eastAsia="zh-CN"/>
        </w:rPr>
        <w:t>五</w:t>
      </w:r>
      <w:r>
        <w:rPr>
          <w:rFonts w:hint="eastAsia" w:ascii="宋体" w:hAnsi="宋体"/>
          <w:bCs/>
          <w:color w:val="auto"/>
          <w:sz w:val="30"/>
          <w:szCs w:val="30"/>
          <w:highlight w:val="none"/>
        </w:rPr>
        <w:t>、附件</w:t>
      </w:r>
      <w:r>
        <w:rPr>
          <w:rFonts w:ascii="宋体"/>
          <w:bCs/>
          <w:color w:val="auto"/>
          <w:sz w:val="30"/>
          <w:szCs w:val="30"/>
          <w:highlight w:val="none"/>
        </w:rPr>
        <w:t>-----------------------------------------</w:t>
      </w:r>
      <w:r>
        <w:rPr>
          <w:rFonts w:hint="eastAsia" w:ascii="宋体" w:hAnsi="宋体"/>
          <w:bCs/>
          <w:color w:val="auto"/>
          <w:sz w:val="30"/>
          <w:szCs w:val="30"/>
          <w:highlight w:val="none"/>
        </w:rPr>
        <w:t>（</w:t>
      </w:r>
      <w:r>
        <w:rPr>
          <w:rFonts w:hint="eastAsia" w:ascii="宋体" w:hAnsi="宋体"/>
          <w:bCs/>
          <w:color w:val="auto"/>
          <w:sz w:val="30"/>
          <w:szCs w:val="30"/>
          <w:highlight w:val="none"/>
          <w:lang w:val="en-US" w:eastAsia="zh-CN"/>
        </w:rPr>
        <w:t>28</w:t>
      </w:r>
      <w:r>
        <w:rPr>
          <w:rFonts w:hint="eastAsia" w:ascii="宋体" w:hAnsi="宋体"/>
          <w:bCs/>
          <w:color w:val="auto"/>
          <w:sz w:val="30"/>
          <w:szCs w:val="30"/>
          <w:highlight w:val="none"/>
        </w:rPr>
        <w:t>）</w:t>
      </w:r>
    </w:p>
    <w:p w14:paraId="04E2C3F7">
      <w:pPr>
        <w:spacing w:line="720" w:lineRule="auto"/>
        <w:rPr>
          <w:rFonts w:ascii="宋体"/>
          <w:bCs/>
          <w:color w:val="auto"/>
          <w:sz w:val="28"/>
          <w:szCs w:val="28"/>
          <w:highlight w:val="none"/>
        </w:rPr>
      </w:pPr>
    </w:p>
    <w:p w14:paraId="0A849D1F">
      <w:pPr>
        <w:spacing w:line="720" w:lineRule="auto"/>
        <w:rPr>
          <w:rFonts w:ascii="宋体"/>
          <w:bCs/>
          <w:color w:val="auto"/>
          <w:sz w:val="30"/>
          <w:highlight w:val="none"/>
        </w:rPr>
      </w:pPr>
    </w:p>
    <w:p w14:paraId="1C8C5F31">
      <w:pPr>
        <w:spacing w:line="480" w:lineRule="auto"/>
        <w:rPr>
          <w:rFonts w:ascii="宋体"/>
          <w:bCs/>
          <w:color w:val="auto"/>
          <w:sz w:val="30"/>
          <w:highlight w:val="none"/>
        </w:rPr>
      </w:pPr>
    </w:p>
    <w:p w14:paraId="502CA5BA">
      <w:pPr>
        <w:rPr>
          <w:rFonts w:ascii="宋体"/>
          <w:bCs/>
          <w:color w:val="auto"/>
          <w:sz w:val="28"/>
          <w:highlight w:val="none"/>
        </w:rPr>
      </w:pPr>
    </w:p>
    <w:p w14:paraId="5BDEC2FC">
      <w:pPr>
        <w:rPr>
          <w:rFonts w:ascii="宋体"/>
          <w:bCs/>
          <w:color w:val="auto"/>
          <w:sz w:val="32"/>
          <w:highlight w:val="none"/>
        </w:rPr>
      </w:pPr>
    </w:p>
    <w:p w14:paraId="0BEB2567">
      <w:pPr>
        <w:rPr>
          <w:rFonts w:ascii="宋体"/>
          <w:bCs/>
          <w:color w:val="auto"/>
          <w:sz w:val="32"/>
          <w:highlight w:val="none"/>
        </w:rPr>
      </w:pPr>
    </w:p>
    <w:p w14:paraId="57068A74">
      <w:pPr>
        <w:spacing w:line="360" w:lineRule="auto"/>
        <w:jc w:val="center"/>
        <w:outlineLvl w:val="0"/>
        <w:rPr>
          <w:rFonts w:ascii="黑体" w:eastAsia="黑体"/>
          <w:bCs/>
          <w:color w:val="auto"/>
          <w:sz w:val="28"/>
          <w:szCs w:val="28"/>
          <w:highlight w:val="none"/>
        </w:rPr>
      </w:pPr>
      <w:bookmarkStart w:id="0" w:name="报价方须知前附表"/>
      <w:bookmarkEnd w:id="0"/>
      <w:r>
        <w:rPr>
          <w:rFonts w:ascii="黑体" w:eastAsia="黑体"/>
          <w:bCs/>
          <w:color w:val="auto"/>
          <w:sz w:val="28"/>
          <w:szCs w:val="28"/>
          <w:highlight w:val="none"/>
        </w:rPr>
        <w:br w:type="page" w:clear="all"/>
      </w:r>
      <w:r>
        <w:rPr>
          <w:rFonts w:hint="eastAsia" w:ascii="黑体" w:eastAsia="黑体"/>
          <w:bCs/>
          <w:color w:val="auto"/>
          <w:sz w:val="28"/>
          <w:szCs w:val="28"/>
          <w:highlight w:val="none"/>
        </w:rPr>
        <w:t>一、投标邀请函</w:t>
      </w:r>
    </w:p>
    <w:p w14:paraId="30FA5A29">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江苏万力通项目管理有限公司受</w:t>
      </w:r>
      <w:r>
        <w:rPr>
          <w:rFonts w:hint="eastAsia" w:ascii="宋体" w:hAnsi="宋体"/>
          <w:bCs/>
          <w:color w:val="auto"/>
          <w:sz w:val="24"/>
          <w:szCs w:val="24"/>
          <w:highlight w:val="none"/>
          <w:lang w:eastAsia="zh-CN"/>
        </w:rPr>
        <w:t>无锡市新吴区人民政府江溪街道办事处</w:t>
      </w:r>
      <w:r>
        <w:rPr>
          <w:rFonts w:hint="eastAsia" w:ascii="宋体" w:hAnsi="宋体"/>
          <w:bCs/>
          <w:color w:val="auto"/>
          <w:sz w:val="24"/>
          <w:szCs w:val="24"/>
          <w:highlight w:val="none"/>
        </w:rPr>
        <w:t>委托，对</w:t>
      </w:r>
      <w:r>
        <w:rPr>
          <w:rFonts w:hint="eastAsia" w:ascii="宋体" w:hAnsi="宋体"/>
          <w:bCs/>
          <w:color w:val="auto"/>
          <w:sz w:val="24"/>
          <w:szCs w:val="24"/>
          <w:highlight w:val="none"/>
          <w:lang w:eastAsia="zh-CN"/>
        </w:rPr>
        <w:t>2026年度江溪街道城市管理应急处置拆违拆临服务项目</w:t>
      </w:r>
      <w:r>
        <w:rPr>
          <w:rFonts w:hint="eastAsia" w:ascii="宋体" w:hAnsi="宋体"/>
          <w:bCs/>
          <w:color w:val="auto"/>
          <w:sz w:val="24"/>
          <w:szCs w:val="24"/>
          <w:highlight w:val="none"/>
        </w:rPr>
        <w:t>进行公开招标采购，欢迎符合相关条件的供应商参加投标并提请注意下列相关事项：</w:t>
      </w:r>
    </w:p>
    <w:p w14:paraId="0F619E74">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（一）</w:t>
      </w:r>
      <w:r>
        <w:rPr>
          <w:rFonts w:hint="eastAsia" w:ascii="黑体" w:hAnsi="黑体" w:eastAsia="黑体" w:cs="宋体"/>
          <w:color w:val="auto"/>
          <w:sz w:val="24"/>
          <w:szCs w:val="24"/>
          <w:highlight w:val="none"/>
        </w:rPr>
        <w:t>招标项目信息</w:t>
      </w:r>
    </w:p>
    <w:p w14:paraId="2F088D87">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1.项目名称：</w:t>
      </w:r>
      <w:r>
        <w:rPr>
          <w:rFonts w:hint="eastAsia" w:ascii="宋体" w:hAnsi="宋体" w:cs="宋体"/>
          <w:color w:val="auto"/>
          <w:sz w:val="24"/>
          <w:szCs w:val="24"/>
          <w:highlight w:val="none"/>
          <w:lang w:eastAsia="zh-CN"/>
        </w:rPr>
        <w:t>2026年度江溪街道城市管理应急处置拆违拆临服务项目</w:t>
      </w:r>
    </w:p>
    <w:p w14:paraId="762A2F29">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2.项目编号：</w:t>
      </w:r>
      <w:r>
        <w:rPr>
          <w:rFonts w:hint="eastAsia" w:ascii="宋体" w:hAnsi="宋体" w:cs="宋体"/>
          <w:color w:val="auto"/>
          <w:sz w:val="24"/>
          <w:szCs w:val="24"/>
          <w:highlight w:val="none"/>
          <w:lang w:eastAsia="zh-CN"/>
        </w:rPr>
        <w:t>JSZC-320214-WXZH-G2026-0004</w:t>
      </w:r>
    </w:p>
    <w:p w14:paraId="52ED3ADF">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olor w:val="auto"/>
          <w:sz w:val="24"/>
          <w:szCs w:val="24"/>
          <w:highlight w:val="none"/>
          <w:lang w:val="en-US" w:eastAsia="zh-CN"/>
        </w:rPr>
        <w:t>项目概况和要求：项</w:t>
      </w:r>
      <w:r>
        <w:rPr>
          <w:rFonts w:hint="eastAsia" w:ascii="宋体" w:hAnsi="宋体" w:eastAsia="宋体" w:cs="宋体"/>
          <w:bCs/>
          <w:sz w:val="24"/>
          <w:szCs w:val="24"/>
          <w:highlight w:val="none"/>
        </w:rPr>
        <w:t>目主要包括</w:t>
      </w:r>
      <w:r>
        <w:rPr>
          <w:rFonts w:hint="eastAsia" w:ascii="宋体" w:hAnsi="宋体" w:eastAsia="宋体" w:cs="宋体"/>
          <w:bCs/>
          <w:sz w:val="24"/>
          <w:szCs w:val="24"/>
          <w:highlight w:val="none"/>
          <w:lang w:val="en-US" w:eastAsia="zh-CN"/>
        </w:rPr>
        <w:t>与城市管理相关的违法建设及违法广告拆除、违停严管道路告示牌设置及维护、日常规范、突击保障、乱堆放清理等市容环境相关整治工作。</w:t>
      </w:r>
    </w:p>
    <w:p w14:paraId="6162CE61">
      <w:pPr>
        <w:widowControl/>
        <w:spacing w:line="360" w:lineRule="auto"/>
        <w:ind w:firstLine="48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4.项目预算：</w:t>
      </w:r>
      <w:r>
        <w:rPr>
          <w:rFonts w:hint="eastAsia" w:ascii="宋体" w:hAnsi="宋体" w:cs="Times New Roman"/>
          <w:color w:val="auto"/>
          <w:sz w:val="24"/>
          <w:szCs w:val="24"/>
          <w:highlight w:val="none"/>
          <w:lang w:val="en-US" w:eastAsia="zh-CN"/>
        </w:rPr>
        <w:t>600</w:t>
      </w:r>
      <w:r>
        <w:rPr>
          <w:rFonts w:hint="eastAsia" w:ascii="宋体" w:hAnsi="宋体" w:eastAsia="宋体" w:cs="Times New Roman"/>
          <w:color w:val="auto"/>
          <w:sz w:val="24"/>
          <w:szCs w:val="24"/>
          <w:highlight w:val="none"/>
          <w:lang w:val="en-US" w:eastAsia="zh-CN"/>
        </w:rPr>
        <w:t>万元；</w:t>
      </w:r>
    </w:p>
    <w:p w14:paraId="4163F626">
      <w:pPr>
        <w:widowControl/>
        <w:spacing w:line="360" w:lineRule="auto"/>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lang w:val="en-US" w:eastAsia="zh-CN"/>
        </w:rPr>
        <w:t>最高限价：</w:t>
      </w:r>
      <w:r>
        <w:rPr>
          <w:rFonts w:hint="eastAsia" w:ascii="宋体" w:hAnsi="宋体" w:cs="Times New Roman"/>
          <w:color w:val="auto"/>
          <w:sz w:val="24"/>
          <w:szCs w:val="24"/>
          <w:highlight w:val="none"/>
          <w:lang w:val="en-US" w:eastAsia="zh-CN"/>
        </w:rPr>
        <w:t>575.23355</w:t>
      </w:r>
      <w:r>
        <w:rPr>
          <w:rFonts w:hint="eastAsia" w:ascii="宋体" w:hAnsi="宋体" w:eastAsia="宋体" w:cs="Times New Roman"/>
          <w:color w:val="auto"/>
          <w:sz w:val="24"/>
          <w:szCs w:val="24"/>
          <w:highlight w:val="none"/>
          <w:lang w:val="en-US" w:eastAsia="zh-CN"/>
        </w:rPr>
        <w:t>万元，投标报价不得超过最高限价，否则作无效投标文件处理。</w:t>
      </w:r>
    </w:p>
    <w:p w14:paraId="56160C30">
      <w:pPr>
        <w:widowControl/>
        <w:spacing w:line="360" w:lineRule="auto"/>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6.</w:t>
      </w:r>
      <w:r>
        <w:rPr>
          <w:rFonts w:hint="eastAsia" w:ascii="宋体" w:hAnsi="宋体" w:eastAsia="宋体" w:cs="Times New Roman"/>
          <w:color w:val="auto"/>
          <w:sz w:val="24"/>
          <w:szCs w:val="24"/>
          <w:highlight w:val="none"/>
          <w:lang w:val="en-US" w:eastAsia="zh-CN"/>
        </w:rPr>
        <w:t>服务期限：</w:t>
      </w:r>
      <w:r>
        <w:rPr>
          <w:rFonts w:hint="eastAsia" w:ascii="宋体" w:hAnsi="宋体" w:cs="Times New Roman"/>
          <w:color w:val="auto"/>
          <w:sz w:val="24"/>
          <w:szCs w:val="24"/>
          <w:highlight w:val="none"/>
          <w:lang w:val="en-US" w:eastAsia="zh-CN"/>
        </w:rPr>
        <w:t>一</w:t>
      </w:r>
      <w:r>
        <w:rPr>
          <w:rFonts w:hint="eastAsia" w:ascii="宋体" w:hAnsi="宋体" w:eastAsia="宋体" w:cs="Times New Roman"/>
          <w:color w:val="auto"/>
          <w:sz w:val="24"/>
          <w:szCs w:val="24"/>
          <w:highlight w:val="none"/>
          <w:lang w:val="en-US" w:eastAsia="zh-CN"/>
        </w:rPr>
        <w:t>年（以合同签订日期为准）。</w:t>
      </w:r>
    </w:p>
    <w:p w14:paraId="5640B421">
      <w:pPr>
        <w:widowControl/>
        <w:spacing w:line="360" w:lineRule="auto"/>
        <w:ind w:firstLine="480" w:firstLineChars="20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7</w:t>
      </w:r>
      <w:r>
        <w:rPr>
          <w:rFonts w:hint="eastAsia" w:ascii="宋体" w:hAnsi="宋体" w:eastAsia="宋体" w:cs="Times New Roman"/>
          <w:color w:val="auto"/>
          <w:sz w:val="24"/>
          <w:szCs w:val="24"/>
          <w:highlight w:val="none"/>
        </w:rPr>
        <w:t>.安全要求：</w:t>
      </w:r>
      <w:r>
        <w:rPr>
          <w:rFonts w:hint="eastAsia" w:ascii="宋体" w:hAnsi="宋体" w:cs="Times New Roman"/>
          <w:color w:val="auto"/>
          <w:sz w:val="24"/>
          <w:szCs w:val="24"/>
          <w:highlight w:val="none"/>
          <w:lang w:eastAsia="zh-CN"/>
        </w:rPr>
        <w:t>应</w:t>
      </w:r>
      <w:r>
        <w:rPr>
          <w:rFonts w:hint="eastAsia" w:ascii="宋体" w:hAnsi="宋体" w:eastAsia="宋体" w:cs="Times New Roman"/>
          <w:color w:val="auto"/>
          <w:sz w:val="24"/>
          <w:szCs w:val="24"/>
          <w:highlight w:val="none"/>
        </w:rPr>
        <w:t>满足国家相关法律法规的要求，无安全责任事故，且不留安全隐患；</w:t>
      </w:r>
    </w:p>
    <w:p w14:paraId="0BD5EA22">
      <w:pPr>
        <w:widowControl/>
        <w:spacing w:line="360" w:lineRule="auto"/>
        <w:ind w:firstLine="480"/>
        <w:jc w:val="left"/>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8.</w:t>
      </w:r>
      <w:r>
        <w:rPr>
          <w:rFonts w:hint="eastAsia" w:ascii="宋体" w:hAnsi="宋体" w:eastAsia="宋体" w:cs="Times New Roman"/>
          <w:color w:val="auto"/>
          <w:sz w:val="24"/>
          <w:szCs w:val="24"/>
          <w:highlight w:val="none"/>
          <w:lang w:val="en-US"/>
        </w:rPr>
        <w:t>服务效率：必须确保随叫随到（最多不超过30分钟到达现场</w:t>
      </w:r>
      <w:r>
        <w:rPr>
          <w:rFonts w:hint="eastAsia" w:ascii="宋体" w:hAnsi="宋体" w:cs="Times New Roman"/>
          <w:color w:val="auto"/>
          <w:sz w:val="24"/>
          <w:szCs w:val="24"/>
          <w:highlight w:val="none"/>
          <w:lang w:val="en-US" w:eastAsia="zh-CN"/>
        </w:rPr>
        <w:t>）。</w:t>
      </w:r>
    </w:p>
    <w:p w14:paraId="32E6DDE2">
      <w:pPr>
        <w:widowControl/>
        <w:spacing w:line="360" w:lineRule="auto"/>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lang w:val="en-US" w:eastAsia="zh-CN"/>
        </w:rPr>
        <w:t>.采购方式：公开招标</w:t>
      </w:r>
    </w:p>
    <w:p w14:paraId="5DDAE4EA">
      <w:pPr>
        <w:widowControl/>
        <w:spacing w:line="360" w:lineRule="auto"/>
        <w:ind w:firstLine="480"/>
        <w:jc w:val="left"/>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10</w:t>
      </w:r>
      <w:r>
        <w:rPr>
          <w:rFonts w:hint="eastAsia" w:ascii="宋体" w:hAnsi="宋体" w:eastAsia="宋体" w:cs="Times New Roman"/>
          <w:color w:val="auto"/>
          <w:sz w:val="24"/>
          <w:szCs w:val="24"/>
          <w:highlight w:val="none"/>
          <w:lang w:val="en-US" w:eastAsia="zh-CN"/>
        </w:rPr>
        <w:t>.采购人：无锡市新吴区人民政府江溪街道办事处</w:t>
      </w:r>
    </w:p>
    <w:p w14:paraId="318CDF97">
      <w:pPr>
        <w:widowControl/>
        <w:spacing w:line="360" w:lineRule="auto"/>
        <w:ind w:firstLine="480"/>
        <w:jc w:val="left"/>
        <w:rPr>
          <w:rFonts w:hint="eastAsia" w:ascii="宋体" w:hAnsi="宋体" w:cs="宋体"/>
          <w:color w:val="auto"/>
          <w:sz w:val="24"/>
          <w:szCs w:val="24"/>
          <w:highlight w:val="none"/>
        </w:rPr>
      </w:pPr>
      <w:r>
        <w:rPr>
          <w:rFonts w:hint="eastAsia" w:ascii="宋体" w:hAnsi="宋体" w:cs="Times New Roman"/>
          <w:color w:val="auto"/>
          <w:sz w:val="24"/>
          <w:szCs w:val="24"/>
          <w:highlight w:val="none"/>
          <w:lang w:val="en-US" w:eastAsia="zh-CN"/>
        </w:rPr>
        <w:t>11</w:t>
      </w:r>
      <w:r>
        <w:rPr>
          <w:rFonts w:hint="eastAsia" w:ascii="宋体" w:hAnsi="宋体" w:cs="宋体"/>
          <w:color w:val="auto"/>
          <w:sz w:val="24"/>
          <w:szCs w:val="24"/>
          <w:highlight w:val="none"/>
        </w:rPr>
        <w:t>.本项目标的所属行业：</w:t>
      </w:r>
      <w:r>
        <w:rPr>
          <w:rFonts w:hint="eastAsia" w:ascii="宋体" w:hAnsi="宋体"/>
          <w:bCs/>
          <w:color w:val="auto"/>
          <w:sz w:val="24"/>
          <w:szCs w:val="24"/>
          <w:highlight w:val="none"/>
          <w:u w:val="none"/>
        </w:rPr>
        <w:t>其他未列明行业</w:t>
      </w:r>
      <w:r>
        <w:rPr>
          <w:rFonts w:hint="eastAsia" w:ascii="宋体" w:hAnsi="宋体" w:cs="宋体"/>
          <w:color w:val="auto"/>
          <w:sz w:val="24"/>
          <w:szCs w:val="24"/>
          <w:highlight w:val="none"/>
        </w:rPr>
        <w:t>；</w:t>
      </w:r>
    </w:p>
    <w:p w14:paraId="046A83FE">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cs="宋体"/>
          <w:color w:val="auto"/>
          <w:sz w:val="24"/>
          <w:szCs w:val="24"/>
          <w:highlight w:val="none"/>
        </w:rPr>
        <w:t>.本项目是否专门面向中小企业：是；</w:t>
      </w:r>
    </w:p>
    <w:p w14:paraId="3CB6EBEE">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（二）投标人资格要求</w:t>
      </w:r>
    </w:p>
    <w:p w14:paraId="5085E0FA">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1.满足《中华人民共和国政府采购法》第二十二条规定；</w:t>
      </w:r>
    </w:p>
    <w:p w14:paraId="3B14B6A7">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2.落实政府采购政策需满足的资格要求：本项目专门面向中小企业采购（残疾人福利性单位、监狱企业视同小型、微型企业）；</w:t>
      </w:r>
    </w:p>
    <w:p w14:paraId="24B00AB9">
      <w:pPr>
        <w:widowControl/>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3.具备采购人根据招标项目的特殊要求规定的以下特定资质：</w:t>
      </w:r>
    </w:p>
    <w:p w14:paraId="10981DD2">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）在</w:t>
      </w:r>
      <w:r>
        <w:rPr>
          <w:rFonts w:hint="eastAsia" w:ascii="宋体" w:hAnsi="宋体" w:cs="宋体"/>
          <w:color w:val="auto"/>
          <w:sz w:val="24"/>
          <w:szCs w:val="24"/>
          <w:highlight w:val="none"/>
        </w:rPr>
        <w:t>中国大陆境内合法注册的独立</w:t>
      </w:r>
      <w:r>
        <w:rPr>
          <w:rFonts w:hint="eastAsia" w:ascii="宋体" w:hAnsi="宋体" w:cs="宋体"/>
          <w:color w:val="auto"/>
          <w:sz w:val="24"/>
          <w:szCs w:val="24"/>
          <w:highlight w:val="none"/>
          <w:lang w:eastAsia="zh-CN"/>
        </w:rPr>
        <w:t>企（事）</w:t>
      </w:r>
      <w:r>
        <w:rPr>
          <w:rFonts w:hint="eastAsia" w:ascii="宋体" w:hAnsi="宋体" w:cs="宋体"/>
          <w:color w:val="auto"/>
          <w:sz w:val="24"/>
          <w:szCs w:val="24"/>
          <w:highlight w:val="none"/>
        </w:rPr>
        <w:t>业法人单位或在各级民政部门登记的社会组织</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）未被“信用中国”网站列入失信被执行人、重大税收违法案件当事人名单、政府采购严重违法失信行为记录名单；（</w:t>
      </w: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）本项目不接受联合体投标。</w:t>
      </w:r>
    </w:p>
    <w:p w14:paraId="36BCC720">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（三）供应商主体信息库注册</w:t>
      </w:r>
    </w:p>
    <w:p w14:paraId="3A30652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1.请有意参加本项目采购活动的供应商按照以下流程进行操作：</w:t>
      </w:r>
    </w:p>
    <w:p w14:paraId="2017213F">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（1）访问“江苏政府采购网”，点击“江苏省政府采购（苏采云）平台”（以下简称“苏采云”）进行账号注册。注册完成后，需在系统中填写资质信息并提交审核。也可直接通过http://jszfcg.jsczt.cn/进入</w:t>
      </w:r>
      <w:r>
        <w:rPr>
          <w:rFonts w:hint="eastAsia" w:ascii="宋体" w:hAnsi="宋体"/>
          <w:color w:val="auto"/>
          <w:sz w:val="24"/>
          <w:szCs w:val="24"/>
          <w:highlight w:val="none"/>
          <w:lang w:eastAsia="zh-CN"/>
        </w:rPr>
        <w:t>“苏采云”注册</w:t>
      </w:r>
      <w:r>
        <w:rPr>
          <w:rFonts w:hint="eastAsia" w:ascii="宋体" w:hAnsi="宋体"/>
          <w:color w:val="auto"/>
          <w:sz w:val="24"/>
          <w:szCs w:val="24"/>
          <w:highlight w:val="none"/>
        </w:rPr>
        <w:t>界面。</w:t>
      </w:r>
    </w:p>
    <w:p w14:paraId="5E0939E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（2）办理“意源”CA数字证书和“方正”电子签章（办理地址：无锡市滨湖区观山路199号12号楼二楼9号、10号窗口），办理指南链接：http://jsxcmm.com/help/help.html。</w:t>
      </w:r>
    </w:p>
    <w:p w14:paraId="29CCF266">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（3）CA驱动下载：</w:t>
      </w:r>
    </w:p>
    <w:p w14:paraId="6737062B">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在“江苏省政府采购（苏采云）平台”账号登录页面，点击“驱动下载”链接中的“政务CA、方正签章控件驱动安装包及安装说明”，可直接下载驱动安装包，安装包中附有驱动安装手册。</w:t>
      </w:r>
    </w:p>
    <w:p w14:paraId="300B1441">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技术服务电话：0510-81827781（服务时间：工作日9:00-11:30，13:00-17:00）。</w:t>
      </w:r>
    </w:p>
    <w:p w14:paraId="52A50730">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2.完成苏采云注册的供应商</w:t>
      </w:r>
      <w:r>
        <w:rPr>
          <w:rFonts w:hint="eastAsia" w:ascii="宋体" w:hAnsi="宋体"/>
          <w:color w:val="auto"/>
          <w:sz w:val="24"/>
          <w:szCs w:val="24"/>
          <w:highlight w:val="none"/>
          <w:lang w:eastAsia="zh-CN"/>
        </w:rPr>
        <w:t>，方可</w:t>
      </w:r>
      <w:r>
        <w:rPr>
          <w:rFonts w:hint="eastAsia" w:ascii="宋体" w:hAnsi="宋体"/>
          <w:color w:val="auto"/>
          <w:sz w:val="24"/>
          <w:szCs w:val="24"/>
          <w:highlight w:val="none"/>
        </w:rPr>
        <w:t>在苏采云中进行CA绑定。登录“江苏省政府采购（苏采云）平台”，插入CA后，点击【账号设置】——【绑定CA】。</w:t>
      </w:r>
    </w:p>
    <w:p w14:paraId="765A107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3.供应商应按上述要求提供相关材料及注册登记信息，所提供的材料均应是真实、准确的，若有违背，供应商自行承担由此产生的一切后果。</w:t>
      </w:r>
    </w:p>
    <w:p w14:paraId="7A352D3C">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4.如供应商未按上述要求操作，由此产生的损失及风险由供应商自行承担。具体操作步骤详见《“苏采云”系统供应商操作手册》（以下简称《操作手册》），下载地址：无锡市政府采购网——资料下载——苏采云——</w:t>
      </w:r>
      <w:r>
        <w:rPr>
          <w:rFonts w:hint="eastAsia" w:ascii="宋体" w:hAnsi="宋体"/>
          <w:color w:val="auto"/>
          <w:sz w:val="24"/>
          <w:szCs w:val="24"/>
          <w:highlight w:val="none"/>
        </w:rPr>
        <w:fldChar w:fldCharType="begin"/>
      </w:r>
      <w:r>
        <w:rPr>
          <w:rFonts w:hint="eastAsia" w:ascii="宋体" w:hAnsi="宋体"/>
          <w:color w:val="auto"/>
          <w:sz w:val="24"/>
          <w:szCs w:val="24"/>
          <w:highlight w:val="none"/>
        </w:rPr>
        <w:instrText xml:space="preserve"> HYPERLINK "http://cz.wuxi.gov.cn/doc/2023/10/11/4080287.shtml" \t "_blank" </w:instrText>
      </w:r>
      <w:r>
        <w:rPr>
          <w:rFonts w:hint="eastAsia" w:ascii="宋体" w:hAnsi="宋体"/>
          <w:color w:val="auto"/>
          <w:sz w:val="24"/>
          <w:szCs w:val="24"/>
          <w:highlight w:val="none"/>
        </w:rPr>
        <w:fldChar w:fldCharType="separate"/>
      </w:r>
      <w:r>
        <w:rPr>
          <w:rFonts w:hint="eastAsia" w:ascii="宋体" w:hAnsi="宋体"/>
          <w:color w:val="auto"/>
          <w:sz w:val="24"/>
          <w:szCs w:val="24"/>
          <w:highlight w:val="none"/>
        </w:rPr>
        <w:t>“苏采云”系统供应商操作手册</w:t>
      </w:r>
      <w:r>
        <w:rPr>
          <w:rFonts w:hint="eastAsia" w:ascii="宋体" w:hAnsi="宋体"/>
          <w:color w:val="auto"/>
          <w:sz w:val="24"/>
          <w:szCs w:val="24"/>
          <w:highlight w:val="none"/>
        </w:rPr>
        <w:fldChar w:fldCharType="end"/>
      </w:r>
      <w:r>
        <w:rPr>
          <w:rFonts w:hint="eastAsia" w:ascii="宋体" w:hAnsi="宋体"/>
          <w:color w:val="auto"/>
          <w:sz w:val="24"/>
          <w:szCs w:val="24"/>
          <w:highlight w:val="none"/>
        </w:rPr>
        <w:t>。</w:t>
      </w:r>
    </w:p>
    <w:p w14:paraId="67D49BAB">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（四）完成项目报名，获取采</w:t>
      </w:r>
      <w:bookmarkStart w:id="5" w:name="_GoBack"/>
      <w:bookmarkEnd w:id="5"/>
      <w:r>
        <w:rPr>
          <w:rFonts w:hint="eastAsia" w:ascii="黑体" w:hAnsi="黑体" w:eastAsia="黑体"/>
          <w:bCs/>
          <w:color w:val="auto"/>
          <w:sz w:val="24"/>
          <w:szCs w:val="24"/>
          <w:highlight w:val="none"/>
        </w:rPr>
        <w:t>购文件</w:t>
      </w:r>
    </w:p>
    <w:p w14:paraId="566084D2">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1.时间：本招标文件有效获取期限以本项目招标公告中规定的获取招标文件时间为准。</w:t>
      </w:r>
    </w:p>
    <w:p w14:paraId="67BB1C4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2.地点：“江苏省政府采购（苏采云）平台”。</w:t>
      </w:r>
    </w:p>
    <w:p w14:paraId="2D1A7553">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方式：请有投标意向的供应商在招标文件有效获取期内及时至“江苏省政府采购（苏采云）平台”获取。在招标文件有效获取期限内，从“江苏省政府采购（苏采云）平台”获取的招标文件，视为依法获取的招标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177850EF">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4.招标文件（后缀名为“.kedt”）、“苏采云”系统供应商操作手册及政府采购客户端工具也可通过“苏采云”系统--已参与项目--报名详情页面内相应链接进行下载。</w:t>
      </w:r>
    </w:p>
    <w:p w14:paraId="64569B1F">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5.政府采购客户端工具及“苏采云”系统供应商操作手册可通过访问江苏政府采购网--办事指南--“资料下载”进行下载《“苏采云”系统供应商操作手册及政府采购客户端工具》。</w:t>
      </w:r>
    </w:p>
    <w:p w14:paraId="5DBD30F1">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（五）答疑时间、地点</w:t>
      </w:r>
    </w:p>
    <w:p w14:paraId="7B2BECEE">
      <w:pPr>
        <w:widowControl/>
        <w:spacing w:line="360" w:lineRule="auto"/>
        <w:ind w:firstLine="480"/>
        <w:jc w:val="left"/>
        <w:rPr>
          <w:rFonts w:hint="eastAsia" w:ascii="宋体" w:hAnsi="宋体"/>
          <w:bCs/>
          <w:color w:val="auto"/>
          <w:sz w:val="24"/>
          <w:szCs w:val="24"/>
          <w:highlight w:val="none"/>
        </w:rPr>
      </w:pPr>
      <w:r>
        <w:rPr>
          <w:rFonts w:hint="eastAsia" w:ascii="宋体" w:hAnsi="宋体"/>
          <w:bCs/>
          <w:color w:val="auto"/>
          <w:sz w:val="24"/>
          <w:szCs w:val="24"/>
          <w:highlight w:val="none"/>
        </w:rPr>
        <w:t>供应商要求澄清招标文件的截止时间：</w:t>
      </w:r>
      <w:r>
        <w:rPr>
          <w:rFonts w:hint="eastAsia" w:ascii="宋体" w:hAnsi="宋体"/>
          <w:bCs/>
          <w:color w:val="auto"/>
          <w:sz w:val="24"/>
          <w:szCs w:val="24"/>
          <w:highlight w:val="none"/>
          <w:lang w:eastAsia="zh-CN"/>
        </w:rPr>
        <w:t>202</w:t>
      </w: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lang w:eastAsia="zh-CN"/>
        </w:rPr>
        <w:t>年</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lang w:eastAsia="zh-CN"/>
        </w:rPr>
        <w:t>月</w:t>
      </w:r>
      <w:r>
        <w:rPr>
          <w:rFonts w:hint="eastAsia" w:ascii="宋体" w:hAnsi="宋体"/>
          <w:bCs/>
          <w:color w:val="auto"/>
          <w:sz w:val="24"/>
          <w:szCs w:val="24"/>
          <w:highlight w:val="none"/>
          <w:lang w:val="en-US" w:eastAsia="zh-CN"/>
        </w:rPr>
        <w:t>26</w:t>
      </w:r>
      <w:r>
        <w:rPr>
          <w:rFonts w:hint="eastAsia" w:ascii="宋体" w:hAnsi="宋体"/>
          <w:bCs/>
          <w:color w:val="auto"/>
          <w:sz w:val="24"/>
          <w:szCs w:val="24"/>
          <w:highlight w:val="none"/>
          <w:lang w:eastAsia="zh-CN"/>
        </w:rPr>
        <w:t>日</w:t>
      </w:r>
      <w:r>
        <w:rPr>
          <w:rFonts w:hint="eastAsia" w:ascii="宋体" w:hAnsi="宋体"/>
          <w:bCs/>
          <w:color w:val="auto"/>
          <w:sz w:val="24"/>
          <w:szCs w:val="24"/>
          <w:highlight w:val="none"/>
          <w:lang w:val="en-US" w:eastAsia="zh-CN"/>
        </w:rPr>
        <w:t>10:00</w:t>
      </w:r>
      <w:r>
        <w:rPr>
          <w:rFonts w:hint="eastAsia" w:ascii="宋体" w:hAnsi="宋体"/>
          <w:bCs/>
          <w:color w:val="auto"/>
          <w:sz w:val="24"/>
          <w:szCs w:val="24"/>
          <w:highlight w:val="none"/>
        </w:rPr>
        <w:t>，以书面形式和</w:t>
      </w:r>
      <w:bookmarkStart w:id="1" w:name="_Hlk169676457"/>
      <w:r>
        <w:rPr>
          <w:rFonts w:hint="eastAsia" w:ascii="宋体" w:hAnsi="宋体"/>
          <w:bCs/>
          <w:color w:val="auto"/>
          <w:sz w:val="24"/>
          <w:szCs w:val="24"/>
          <w:highlight w:val="none"/>
        </w:rPr>
        <w:t>电子邮件形式</w:t>
      </w:r>
      <w:bookmarkEnd w:id="1"/>
      <w:r>
        <w:rPr>
          <w:rFonts w:hint="eastAsia" w:ascii="宋体" w:hAnsi="宋体"/>
          <w:bCs/>
          <w:color w:val="auto"/>
          <w:sz w:val="24"/>
          <w:szCs w:val="24"/>
          <w:highlight w:val="none"/>
        </w:rPr>
        <w:t>发送给采购代理机构。</w:t>
      </w:r>
    </w:p>
    <w:p w14:paraId="3E0B6751">
      <w:pPr>
        <w:widowControl/>
        <w:spacing w:line="360" w:lineRule="auto"/>
        <w:ind w:firstLine="480"/>
        <w:jc w:val="left"/>
        <w:rPr>
          <w:rFonts w:hint="eastAsia" w:ascii="宋体" w:hAnsi="宋体"/>
          <w:color w:val="auto"/>
          <w:sz w:val="24"/>
          <w:szCs w:val="24"/>
          <w:highlight w:val="none"/>
        </w:rPr>
      </w:pPr>
      <w:r>
        <w:rPr>
          <w:rFonts w:hint="eastAsia" w:ascii="宋体" w:hAnsi="宋体"/>
          <w:bCs/>
          <w:color w:val="auto"/>
          <w:sz w:val="24"/>
          <w:szCs w:val="24"/>
          <w:highlight w:val="none"/>
        </w:rPr>
        <w:t>采购人对招标文件澄清、修改的时间：提交投标文件截止时间前15天，以发布更正公告为准</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若未在法定时间内提出澄清，由此造成的损失及风险由投标人自行承担。</w:t>
      </w:r>
    </w:p>
    <w:p w14:paraId="56875921">
      <w:pPr>
        <w:widowControl/>
        <w:spacing w:line="360" w:lineRule="auto"/>
        <w:ind w:firstLine="480"/>
        <w:jc w:val="left"/>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（六）网上投标及开标、定标时间、地点</w:t>
      </w:r>
    </w:p>
    <w:p w14:paraId="21732480">
      <w:pPr>
        <w:widowControl/>
        <w:spacing w:line="360" w:lineRule="auto"/>
        <w:ind w:firstLine="480"/>
        <w:jc w:val="left"/>
        <w:rPr>
          <w:rFonts w:hint="eastAsia" w:ascii="宋体" w:hAnsi="宋体" w:eastAsia="黑体" w:cs="宋体"/>
          <w:color w:val="auto"/>
          <w:sz w:val="24"/>
          <w:szCs w:val="24"/>
          <w:highlight w:val="none"/>
        </w:rPr>
      </w:pPr>
      <w:r>
        <w:rPr>
          <w:rFonts w:hint="eastAsia" w:ascii="黑体" w:hAnsi="黑体" w:eastAsia="黑体" w:cs="宋体"/>
          <w:color w:val="auto"/>
          <w:sz w:val="24"/>
          <w:szCs w:val="24"/>
          <w:highlight w:val="none"/>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rPr>
          <w:rFonts w:hint="eastAsia" w:ascii="宋体" w:hAnsi="宋体" w:eastAsia="黑体" w:cs="宋体"/>
          <w:color w:val="auto"/>
          <w:sz w:val="24"/>
          <w:szCs w:val="24"/>
          <w:highlight w:val="none"/>
        </w:rPr>
        <w:t>  </w:t>
      </w:r>
    </w:p>
    <w:p w14:paraId="594C1059">
      <w:pPr>
        <w:widowControl/>
        <w:spacing w:line="360" w:lineRule="auto"/>
        <w:ind w:firstLine="480"/>
        <w:jc w:val="left"/>
        <w:rPr>
          <w:rFonts w:hint="eastAsia" w:ascii="宋体" w:hAnsi="宋体"/>
          <w:color w:val="auto"/>
          <w:sz w:val="24"/>
          <w:szCs w:val="24"/>
          <w:highlight w:val="none"/>
        </w:rPr>
      </w:pPr>
      <w:r>
        <w:rPr>
          <w:rFonts w:hint="eastAsia" w:ascii="宋体" w:hAnsi="宋体" w:cs="宋体"/>
          <w:color w:val="auto"/>
          <w:sz w:val="24"/>
          <w:szCs w:val="24"/>
          <w:highlight w:val="none"/>
        </w:rPr>
        <w:t>网上投标截止时间：202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日</w:t>
      </w:r>
      <w:r>
        <w:rPr>
          <w:rFonts w:hint="eastAsia" w:ascii="宋体" w:hAnsi="宋体" w:cs="宋体"/>
          <w:color w:val="auto"/>
          <w:sz w:val="24"/>
          <w:szCs w:val="24"/>
          <w:highlight w:val="none"/>
          <w:lang w:val="en-US" w:eastAsia="zh-CN"/>
        </w:rPr>
        <w:t>13:3</w:t>
      </w:r>
      <w:r>
        <w:rPr>
          <w:rFonts w:hint="eastAsia" w:ascii="宋体" w:hAnsi="宋体" w:cs="宋体"/>
          <w:color w:val="auto"/>
          <w:sz w:val="24"/>
          <w:szCs w:val="24"/>
          <w:highlight w:val="none"/>
        </w:rPr>
        <w:t>0（投标</w:t>
      </w:r>
      <w:r>
        <w:rPr>
          <w:rFonts w:hint="eastAsia" w:ascii="宋体" w:hAnsi="宋体"/>
          <w:color w:val="auto"/>
          <w:sz w:val="24"/>
          <w:szCs w:val="24"/>
          <w:highlight w:val="none"/>
        </w:rPr>
        <w:t>截止时间后的投标文件恕不接受</w:t>
      </w:r>
      <w:r>
        <w:rPr>
          <w:rFonts w:hint="eastAsia" w:ascii="宋体" w:hAnsi="宋体" w:cs="宋体"/>
          <w:color w:val="auto"/>
          <w:sz w:val="24"/>
          <w:szCs w:val="24"/>
          <w:highlight w:val="none"/>
        </w:rPr>
        <w:t>）</w:t>
      </w:r>
    </w:p>
    <w:p w14:paraId="561C1BF8">
      <w:pPr>
        <w:widowControl/>
        <w:spacing w:line="360" w:lineRule="auto"/>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网上投标解密时间：202</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年</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月</w:t>
      </w:r>
      <w:r>
        <w:rPr>
          <w:rFonts w:hint="eastAsia" w:ascii="宋体" w:hAnsi="宋体" w:cs="宋体"/>
          <w:color w:val="auto"/>
          <w:sz w:val="24"/>
          <w:szCs w:val="24"/>
          <w:highlight w:val="none"/>
          <w:lang w:val="en-US" w:eastAsia="zh-CN"/>
        </w:rPr>
        <w:t>10</w:t>
      </w:r>
      <w:r>
        <w:rPr>
          <w:rFonts w:hint="eastAsia" w:ascii="宋体" w:hAnsi="宋体" w:cs="宋体"/>
          <w:color w:val="auto"/>
          <w:sz w:val="24"/>
          <w:szCs w:val="24"/>
          <w:highlight w:val="none"/>
        </w:rPr>
        <w:t>日开启解密后半小时。</w:t>
      </w:r>
    </w:p>
    <w:p w14:paraId="0F69D9AE">
      <w:pPr>
        <w:widowControl/>
        <w:spacing w:line="360" w:lineRule="auto"/>
        <w:ind w:firstLine="480"/>
        <w:jc w:val="left"/>
        <w:rPr>
          <w:rFonts w:hint="eastAsia" w:ascii="宋体" w:hAnsi="宋体"/>
          <w:bCs/>
          <w:color w:val="auto"/>
          <w:sz w:val="24"/>
          <w:szCs w:val="24"/>
          <w:highlight w:val="none"/>
        </w:rPr>
      </w:pPr>
      <w:r>
        <w:rPr>
          <w:rFonts w:hint="eastAsia" w:ascii="宋体" w:hAnsi="宋体"/>
          <w:color w:val="auto"/>
          <w:sz w:val="24"/>
          <w:szCs w:val="24"/>
          <w:highlight w:val="none"/>
        </w:rPr>
        <w:t>投标及开标地点：</w:t>
      </w:r>
      <w:bookmarkStart w:id="2" w:name="_Toc28359007"/>
      <w:r>
        <w:rPr>
          <w:rFonts w:hint="eastAsia" w:ascii="宋体" w:hAnsi="宋体" w:cs="宋体"/>
          <w:color w:val="auto"/>
          <w:sz w:val="24"/>
          <w:szCs w:val="24"/>
          <w:highlight w:val="none"/>
        </w:rPr>
        <w:t>“苏采云”系统（网址：http://jszfcg.jsczt.cn/）</w:t>
      </w:r>
      <w:bookmarkEnd w:id="2"/>
    </w:p>
    <w:p w14:paraId="6AD0A0DB">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定标时间：评标结束</w:t>
      </w:r>
    </w:p>
    <w:p w14:paraId="60B7D7AF">
      <w:pPr>
        <w:widowControl/>
        <w:spacing w:line="360" w:lineRule="auto"/>
        <w:ind w:firstLine="480"/>
        <w:jc w:val="left"/>
        <w:rPr>
          <w:rFonts w:hint="eastAsia" w:ascii="宋体" w:hAnsi="宋体" w:cs="宋体"/>
          <w:color w:val="auto"/>
          <w:sz w:val="24"/>
          <w:szCs w:val="24"/>
          <w:highlight w:val="none"/>
        </w:rPr>
      </w:pPr>
      <w:r>
        <w:rPr>
          <w:rFonts w:hint="eastAsia" w:ascii="宋体" w:hAnsi="宋体"/>
          <w:bCs/>
          <w:color w:val="auto"/>
          <w:sz w:val="24"/>
          <w:szCs w:val="24"/>
          <w:highlight w:val="none"/>
        </w:rPr>
        <w:t>定标地点：</w:t>
      </w:r>
      <w:r>
        <w:rPr>
          <w:rFonts w:hint="eastAsia" w:ascii="宋体" w:hAnsi="宋体"/>
          <w:color w:val="auto"/>
          <w:sz w:val="24"/>
          <w:szCs w:val="24"/>
          <w:highlight w:val="none"/>
        </w:rPr>
        <w:t>无锡市公共资源交易中心新吴分中心评标室</w:t>
      </w:r>
    </w:p>
    <w:p w14:paraId="07DA4499">
      <w:pPr>
        <w:spacing w:line="360" w:lineRule="auto"/>
        <w:ind w:firstLine="480"/>
        <w:rPr>
          <w:rFonts w:ascii="宋体"/>
          <w:bCs/>
          <w:color w:val="auto"/>
          <w:sz w:val="24"/>
          <w:szCs w:val="24"/>
          <w:highlight w:val="none"/>
        </w:rPr>
      </w:pPr>
      <w:r>
        <w:rPr>
          <w:rFonts w:hint="eastAsia" w:ascii="黑体" w:hAnsi="黑体" w:eastAsia="黑体"/>
          <w:bCs/>
          <w:color w:val="auto"/>
          <w:sz w:val="24"/>
          <w:szCs w:val="24"/>
          <w:highlight w:val="none"/>
        </w:rPr>
        <w:t>（七）投标有效期：</w:t>
      </w:r>
      <w:r>
        <w:rPr>
          <w:rFonts w:hint="eastAsia" w:ascii="宋体" w:hAnsi="宋体"/>
          <w:bCs/>
          <w:color w:val="auto"/>
          <w:sz w:val="24"/>
          <w:szCs w:val="24"/>
          <w:highlight w:val="none"/>
        </w:rPr>
        <w:t>开标之日起</w:t>
      </w:r>
      <w:r>
        <w:rPr>
          <w:rFonts w:ascii="宋体" w:hAnsi="宋体"/>
          <w:bCs/>
          <w:color w:val="auto"/>
          <w:sz w:val="24"/>
          <w:szCs w:val="24"/>
          <w:highlight w:val="none"/>
        </w:rPr>
        <w:t>90</w:t>
      </w:r>
      <w:r>
        <w:rPr>
          <w:rFonts w:hint="eastAsia" w:ascii="宋体" w:hAnsi="宋体"/>
          <w:bCs/>
          <w:color w:val="auto"/>
          <w:sz w:val="24"/>
          <w:szCs w:val="24"/>
          <w:highlight w:val="none"/>
        </w:rPr>
        <w:t>天</w:t>
      </w:r>
    </w:p>
    <w:p w14:paraId="5B8643E6">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（八）采购方法：</w:t>
      </w:r>
    </w:p>
    <w:p w14:paraId="48E7AFBD">
      <w:pPr>
        <w:spacing w:line="360" w:lineRule="auto"/>
        <w:ind w:firstLine="480"/>
        <w:rPr>
          <w:rFonts w:hint="eastAsia" w:ascii="黑体" w:hAnsi="黑体" w:eastAsia="黑体"/>
          <w:bCs/>
          <w:color w:val="auto"/>
          <w:sz w:val="24"/>
          <w:szCs w:val="24"/>
          <w:highlight w:val="none"/>
        </w:rPr>
      </w:pPr>
      <w:r>
        <w:rPr>
          <w:rFonts w:hint="eastAsia" w:ascii="宋体" w:hAnsi="宋体"/>
          <w:color w:val="auto"/>
          <w:sz w:val="24"/>
          <w:szCs w:val="24"/>
          <w:highlight w:val="none"/>
        </w:rPr>
        <w:t>本次采购采用江苏省政府采购（苏采云）平台进行招标投标活动，招标、投标、评标和中标结果发布全程电子化</w:t>
      </w:r>
      <w:r>
        <w:rPr>
          <w:rFonts w:hint="eastAsia" w:ascii="宋体" w:hAnsi="宋体"/>
          <w:color w:val="auto"/>
          <w:sz w:val="24"/>
          <w:szCs w:val="24"/>
          <w:highlight w:val="none"/>
          <w:lang w:eastAsia="zh-CN"/>
        </w:rPr>
        <w:t>操作。</w:t>
      </w:r>
    </w:p>
    <w:p w14:paraId="7B4DAFB0">
      <w:pPr>
        <w:spacing w:line="360" w:lineRule="auto"/>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（九）其他</w:t>
      </w:r>
    </w:p>
    <w:p w14:paraId="6E59DE75">
      <w:pPr>
        <w:pStyle w:val="38"/>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有关本次采购活动程序方面的问题，可来人、来函（传真）或电话联系。</w:t>
      </w:r>
    </w:p>
    <w:p w14:paraId="08B82186">
      <w:pPr>
        <w:pStyle w:val="38"/>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采购人：无锡市新吴区人民政府江溪街道办事处</w:t>
      </w:r>
    </w:p>
    <w:p w14:paraId="09D97BDC">
      <w:pPr>
        <w:pStyle w:val="38"/>
        <w:tabs>
          <w:tab w:val="left" w:pos="0"/>
        </w:tabs>
        <w:adjustRightInd/>
        <w:spacing w:before="0" w:beforeAutospacing="0" w:after="0" w:afterAutospacing="0" w:line="460" w:lineRule="exact"/>
        <w:ind w:firstLine="480" w:firstLineChars="200"/>
        <w:textAlignment w:val="auto"/>
        <w:rPr>
          <w:rFonts w:hint="eastAsia" w:cs="宋体"/>
          <w:highlight w:val="none"/>
          <w:lang w:val="zh-CN"/>
        </w:rPr>
      </w:pPr>
      <w:r>
        <w:rPr>
          <w:rFonts w:hint="eastAsia" w:cs="宋体"/>
          <w:highlight w:val="none"/>
          <w:lang w:val="zh-CN"/>
        </w:rPr>
        <w:t xml:space="preserve">采购人地址：无锡市苏巷路1号 </w:t>
      </w:r>
    </w:p>
    <w:p w14:paraId="79F8896F">
      <w:pPr>
        <w:pStyle w:val="38"/>
        <w:tabs>
          <w:tab w:val="left" w:pos="0"/>
        </w:tabs>
        <w:adjustRightInd/>
        <w:spacing w:before="0" w:beforeAutospacing="0" w:after="0" w:afterAutospacing="0" w:line="460" w:lineRule="exact"/>
        <w:ind w:firstLine="480" w:firstLineChars="200"/>
        <w:textAlignment w:val="auto"/>
        <w:rPr>
          <w:rFonts w:hint="eastAsia" w:cs="宋体"/>
          <w:highlight w:val="none"/>
          <w:lang w:val="zh-CN"/>
        </w:rPr>
      </w:pPr>
      <w:r>
        <w:rPr>
          <w:rFonts w:hint="eastAsia" w:cs="宋体"/>
          <w:highlight w:val="none"/>
          <w:lang w:val="zh-CN"/>
        </w:rPr>
        <w:t>联系人：周工</w:t>
      </w:r>
    </w:p>
    <w:p w14:paraId="2FFDCF53">
      <w:pPr>
        <w:pStyle w:val="38"/>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highlight w:val="none"/>
          <w:lang w:val="zh-CN"/>
        </w:rPr>
        <w:t>联系方式：0510-82110033</w:t>
      </w:r>
    </w:p>
    <w:p w14:paraId="775582B9">
      <w:pPr>
        <w:pStyle w:val="38"/>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采购代理机构：江苏万力通项目管理有限公司</w:t>
      </w:r>
    </w:p>
    <w:p w14:paraId="2684F669">
      <w:pPr>
        <w:pStyle w:val="38"/>
        <w:tabs>
          <w:tab w:val="left" w:pos="0"/>
        </w:tabs>
        <w:spacing w:before="0" w:beforeAutospacing="0" w:after="0" w:afterAutospacing="0" w:line="460" w:lineRule="exact"/>
        <w:ind w:firstLine="480"/>
        <w:rPr>
          <w:rFonts w:hint="eastAsia" w:cs="宋体"/>
          <w:color w:val="auto"/>
          <w:highlight w:val="none"/>
          <w:lang w:val="zh-CN"/>
        </w:rPr>
      </w:pPr>
      <w:r>
        <w:rPr>
          <w:rFonts w:hint="eastAsia" w:cs="宋体"/>
          <w:color w:val="auto"/>
          <w:highlight w:val="none"/>
          <w:lang w:val="zh-CN"/>
        </w:rPr>
        <w:t>联系人：</w:t>
      </w:r>
      <w:r>
        <w:rPr>
          <w:rFonts w:hint="eastAsia" w:cs="宋体"/>
          <w:color w:val="auto"/>
          <w:highlight w:val="none"/>
        </w:rPr>
        <w:t>殷铭</w:t>
      </w:r>
    </w:p>
    <w:p w14:paraId="55EDCFB8">
      <w:pPr>
        <w:pStyle w:val="38"/>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联系电话：</w:t>
      </w:r>
      <w:r>
        <w:rPr>
          <w:rFonts w:hint="eastAsia" w:cs="宋体"/>
          <w:color w:val="auto"/>
          <w:highlight w:val="none"/>
        </w:rPr>
        <w:t>18912375285</w:t>
      </w:r>
    </w:p>
    <w:p w14:paraId="1F469AD1">
      <w:pPr>
        <w:pStyle w:val="38"/>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联系地址：</w:t>
      </w:r>
      <w:r>
        <w:rPr>
          <w:rFonts w:hint="eastAsia"/>
          <w:bCs/>
          <w:color w:val="auto"/>
          <w:highlight w:val="none"/>
        </w:rPr>
        <w:t>无锡市滨湖区华发传感大厦B座1106室</w:t>
      </w:r>
    </w:p>
    <w:p w14:paraId="72ADF6A6">
      <w:pPr>
        <w:pStyle w:val="38"/>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邮政编码</w:t>
      </w:r>
      <w:r>
        <w:rPr>
          <w:rFonts w:hint="eastAsia" w:cs="宋体"/>
          <w:color w:val="auto"/>
          <w:highlight w:val="none"/>
        </w:rPr>
        <w:t>：214000</w:t>
      </w:r>
    </w:p>
    <w:p w14:paraId="16DC3D63">
      <w:pPr>
        <w:pStyle w:val="38"/>
        <w:tabs>
          <w:tab w:val="left" w:pos="0"/>
        </w:tabs>
        <w:spacing w:before="0" w:beforeAutospacing="0" w:after="0" w:afterAutospacing="0" w:line="460" w:lineRule="exact"/>
        <w:ind w:firstLine="480"/>
        <w:rPr>
          <w:rFonts w:hint="eastAsia" w:cs="宋体"/>
          <w:color w:val="auto"/>
          <w:highlight w:val="none"/>
        </w:rPr>
      </w:pPr>
      <w:r>
        <w:rPr>
          <w:rFonts w:hint="eastAsia" w:cs="宋体"/>
          <w:color w:val="auto"/>
          <w:highlight w:val="none"/>
          <w:lang w:val="zh-CN"/>
        </w:rPr>
        <w:t>电子邮件地址</w:t>
      </w:r>
      <w:r>
        <w:rPr>
          <w:rFonts w:hint="eastAsia" w:cs="宋体"/>
          <w:color w:val="auto"/>
          <w:highlight w:val="none"/>
        </w:rPr>
        <w:t>：845514286@qq.com</w:t>
      </w:r>
    </w:p>
    <w:p w14:paraId="1A2BB4D7">
      <w:pPr>
        <w:pStyle w:val="38"/>
        <w:tabs>
          <w:tab w:val="left" w:pos="0"/>
        </w:tabs>
        <w:spacing w:before="0" w:beforeAutospacing="0" w:after="0" w:afterAutospacing="0" w:line="460" w:lineRule="exact"/>
        <w:ind w:firstLine="480"/>
        <w:rPr>
          <w:rFonts w:hint="eastAsia" w:ascii="黑体" w:hAnsi="黑体" w:eastAsia="黑体"/>
          <w:bCs/>
          <w:color w:val="auto"/>
          <w:highlight w:val="none"/>
        </w:rPr>
      </w:pPr>
      <w:r>
        <w:rPr>
          <w:rFonts w:hint="eastAsia" w:ascii="黑体" w:hAnsi="黑体" w:eastAsia="黑体"/>
          <w:bCs/>
          <w:color w:val="auto"/>
          <w:highlight w:val="none"/>
        </w:rPr>
        <w:t>（十）其他</w:t>
      </w:r>
    </w:p>
    <w:p w14:paraId="78623707">
      <w:pPr>
        <w:pStyle w:val="38"/>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1.因供应商可能存在操作不熟练、业务不熟悉等情况，为保证开评标流程顺利进行，供应商如有问题应及时反馈，并在投标文件递交截止时间前在网上上传电子投标文件。</w:t>
      </w:r>
    </w:p>
    <w:p w14:paraId="469B43D8">
      <w:pPr>
        <w:pStyle w:val="38"/>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2.本项目为不见面开标，供应商仅需在任意地点登录苏采云平台参加开标会议，无需到达开标现场。</w:t>
      </w:r>
    </w:p>
    <w:p w14:paraId="4357A2F1">
      <w:pPr>
        <w:pStyle w:val="38"/>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3.开标当天，请供应商联系人保持通信畅通。</w:t>
      </w:r>
    </w:p>
    <w:p w14:paraId="78048505">
      <w:pPr>
        <w:pStyle w:val="38"/>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4.供应商请仔细阅读供应商注册流程以及招标文件中关于电子开评标等相关事项，如有问题，可发送邮件或电话咨询。</w:t>
      </w:r>
    </w:p>
    <w:p w14:paraId="3BEA159E">
      <w:pPr>
        <w:pStyle w:val="38"/>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5.本次采购采用江苏省政府采购（苏采云）平台进行采购活动，招标文件发布、评审和中标（成交）结果发布全程电子化。</w:t>
      </w:r>
    </w:p>
    <w:p w14:paraId="177D325D">
      <w:pPr>
        <w:pStyle w:val="38"/>
        <w:tabs>
          <w:tab w:val="left" w:pos="0"/>
        </w:tabs>
        <w:spacing w:before="0" w:beforeAutospacing="0" w:after="0" w:afterAutospacing="0" w:line="460" w:lineRule="exact"/>
        <w:ind w:firstLine="480"/>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6.纸质投标文件：本项目为不见面开标，供应商无需递交纸质响应文件至现场，中标后，中标供应商在与采购人签订合同之前，必须提供与系统中电子响应文件一致的纸质投标文件一式</w:t>
      </w:r>
      <w:r>
        <w:rPr>
          <w:rFonts w:hint="eastAsia" w:ascii="宋体" w:hAnsi="宋体" w:eastAsia="宋体" w:cs="宋体"/>
          <w:color w:val="auto"/>
          <w:highlight w:val="none"/>
          <w:lang w:val="en-US" w:eastAsia="zh-CN"/>
        </w:rPr>
        <w:t>三</w:t>
      </w:r>
      <w:r>
        <w:rPr>
          <w:rFonts w:hint="eastAsia" w:ascii="宋体" w:hAnsi="宋体" w:eastAsia="宋体" w:cs="宋体"/>
          <w:color w:val="auto"/>
          <w:highlight w:val="none"/>
          <w:lang w:val="zh-CN"/>
        </w:rPr>
        <w:t>份。</w:t>
      </w:r>
    </w:p>
    <w:p w14:paraId="357180A0">
      <w:pPr>
        <w:pStyle w:val="38"/>
        <w:tabs>
          <w:tab w:val="left" w:pos="0"/>
        </w:tabs>
        <w:spacing w:before="0" w:beforeAutospacing="0" w:after="0" w:afterAutospacing="0" w:line="460" w:lineRule="exact"/>
        <w:ind w:firstLine="560"/>
        <w:jc w:val="center"/>
        <w:outlineLvl w:val="0"/>
        <w:rPr>
          <w:rFonts w:hint="eastAsia" w:ascii="黑体" w:eastAsia="黑体"/>
          <w:bCs/>
          <w:color w:val="auto"/>
          <w:sz w:val="28"/>
          <w:szCs w:val="28"/>
          <w:highlight w:val="none"/>
        </w:rPr>
      </w:pPr>
      <w:r>
        <w:rPr>
          <w:rFonts w:ascii="黑体" w:eastAsia="黑体"/>
          <w:bCs/>
          <w:color w:val="auto"/>
          <w:sz w:val="28"/>
          <w:szCs w:val="28"/>
          <w:highlight w:val="none"/>
        </w:rPr>
        <w:br w:type="page" w:clear="all"/>
      </w:r>
      <w:r>
        <w:rPr>
          <w:rFonts w:hint="eastAsia" w:ascii="黑体" w:eastAsia="黑体"/>
          <w:bCs/>
          <w:color w:val="auto"/>
          <w:sz w:val="28"/>
          <w:szCs w:val="28"/>
          <w:highlight w:val="none"/>
        </w:rPr>
        <w:t>二、投标人须知</w:t>
      </w:r>
    </w:p>
    <w:p w14:paraId="5E604A39">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（一）遵循原则：</w:t>
      </w:r>
    </w:p>
    <w:p w14:paraId="2F0C4D37">
      <w:pPr>
        <w:spacing w:line="360" w:lineRule="auto"/>
        <w:ind w:firstLine="480"/>
        <w:rPr>
          <w:rFonts w:hint="eastAsia" w:ascii="黑体" w:hAnsi="宋体" w:eastAsia="黑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14:paraId="05FB0F06">
      <w:pPr>
        <w:spacing w:line="360" w:lineRule="auto"/>
        <w:ind w:left="1200" w:hanging="720"/>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（二） </w:t>
      </w:r>
      <w:r>
        <w:rPr>
          <w:rFonts w:hint="eastAsia" w:ascii="黑体" w:hAnsi="宋体" w:eastAsia="黑体"/>
          <w:bCs/>
          <w:color w:val="auto"/>
          <w:sz w:val="24"/>
          <w:szCs w:val="24"/>
          <w:highlight w:val="none"/>
        </w:rPr>
        <w:t>招标文件：</w:t>
      </w:r>
    </w:p>
    <w:p w14:paraId="261301D1">
      <w:pPr>
        <w:tabs>
          <w:tab w:val="left" w:pos="-1260"/>
          <w:tab w:val="left" w:pos="525"/>
          <w:tab w:val="left" w:pos="945"/>
          <w:tab w:val="left" w:pos="1050"/>
        </w:tabs>
        <w:spacing w:line="360" w:lineRule="auto"/>
        <w:ind w:firstLine="480"/>
        <w:rPr>
          <w:rFonts w:hint="eastAsia" w:ascii="宋体" w:hAnsi="宋体" w:eastAsia="宋体" w:cs="Times New Roman"/>
          <w:bCs/>
          <w:sz w:val="24"/>
          <w:highlight w:val="none"/>
        </w:rPr>
      </w:pPr>
      <w:r>
        <w:rPr>
          <w:rFonts w:hint="eastAsia" w:ascii="宋体" w:hAnsi="宋体" w:eastAsia="宋体" w:cs="Times New Roman"/>
          <w:bCs/>
          <w:sz w:val="24"/>
          <w:highlight w:val="none"/>
        </w:rPr>
        <w:t>1.招标文件包括本文件目录所列全部内容，投标人应仔细阅读，并在投标文件中充分满足招标文件的所有要求。</w:t>
      </w:r>
    </w:p>
    <w:p w14:paraId="423978BB">
      <w:pPr>
        <w:tabs>
          <w:tab w:val="left" w:pos="525"/>
          <w:tab w:val="left" w:pos="945"/>
          <w:tab w:val="left" w:pos="1050"/>
        </w:tabs>
        <w:spacing w:line="360" w:lineRule="auto"/>
        <w:ind w:firstLine="480"/>
        <w:rPr>
          <w:rFonts w:hint="eastAsia" w:ascii="宋体" w:hAnsi="宋体" w:eastAsia="宋体" w:cs="Times New Roman"/>
          <w:bCs/>
          <w:sz w:val="24"/>
          <w:highlight w:val="none"/>
        </w:rPr>
      </w:pPr>
      <w:r>
        <w:rPr>
          <w:rFonts w:ascii="宋体" w:hAnsi="宋体" w:eastAsia="宋体" w:cs="Times New Roman"/>
          <w:bCs/>
          <w:sz w:val="24"/>
          <w:highlight w:val="none"/>
        </w:rPr>
        <w:t>2</w:t>
      </w:r>
      <w:r>
        <w:rPr>
          <w:rFonts w:hint="eastAsia" w:ascii="宋体" w:hAnsi="宋体" w:eastAsia="宋体" w:cs="Times New Roman"/>
          <w:bCs/>
          <w:sz w:val="24"/>
          <w:highlight w:val="none"/>
        </w:rPr>
        <w:t>.招标文件中的“法定代表人”是指供应商的营业执照或相关部门的登记证明文件中的“法定代表人”或“负责人”。</w:t>
      </w:r>
    </w:p>
    <w:p w14:paraId="31D9748D">
      <w:pPr>
        <w:tabs>
          <w:tab w:val="left" w:pos="-1260"/>
          <w:tab w:val="left" w:pos="525"/>
          <w:tab w:val="left" w:pos="945"/>
          <w:tab w:val="left" w:pos="1050"/>
        </w:tabs>
        <w:spacing w:line="360" w:lineRule="auto"/>
        <w:ind w:firstLine="480"/>
        <w:jc w:val="left"/>
        <w:rPr>
          <w:rFonts w:hint="eastAsia" w:ascii="宋体" w:hAnsi="宋体" w:eastAsia="宋体" w:cs="Times New Roman"/>
          <w:bCs/>
          <w:sz w:val="24"/>
          <w:highlight w:val="none"/>
        </w:rPr>
      </w:pPr>
      <w:r>
        <w:rPr>
          <w:rFonts w:hint="eastAsia" w:ascii="宋体" w:hAnsi="宋体" w:eastAsia="宋体" w:cs="Times New Roman"/>
          <w:bCs/>
          <w:sz w:val="24"/>
          <w:highlight w:val="none"/>
        </w:rPr>
        <w:t>3.投标人应在</w:t>
      </w:r>
      <w:r>
        <w:rPr>
          <w:rFonts w:hint="eastAsia" w:ascii="宋体" w:hAnsi="宋体" w:eastAsia="宋体" w:cs="Times New Roman"/>
          <w:b/>
          <w:sz w:val="24"/>
          <w:szCs w:val="24"/>
          <w:highlight w:val="none"/>
        </w:rPr>
        <w:t>“苏采云”系统（网址：http://jszfcg.jsczt.cn/）</w:t>
      </w:r>
      <w:r>
        <w:rPr>
          <w:rFonts w:hint="eastAsia" w:ascii="宋体" w:hAnsi="宋体" w:eastAsia="宋体" w:cs="Times New Roman"/>
          <w:bCs/>
          <w:sz w:val="24"/>
          <w:highlight w:val="none"/>
        </w:rPr>
        <w:t>下载招标文件及有关资料，按要求制作、上传投标文件，对招标文件各项内容做出实质性响应，否则投标无效。</w:t>
      </w:r>
    </w:p>
    <w:p w14:paraId="1A3D574A">
      <w:pPr>
        <w:numPr>
          <w:ilvl w:val="0"/>
          <w:numId w:val="0"/>
        </w:numPr>
        <w:tabs>
          <w:tab w:val="left" w:pos="0"/>
          <w:tab w:val="left" w:pos="525"/>
          <w:tab w:val="left" w:pos="945"/>
        </w:tabs>
        <w:spacing w:line="360" w:lineRule="auto"/>
        <w:ind w:left="0" w:leftChars="0" w:firstLine="523" w:firstLineChars="0"/>
        <w:rPr>
          <w:rFonts w:ascii="宋体"/>
          <w:bCs/>
          <w:color w:val="auto"/>
          <w:sz w:val="24"/>
          <w:szCs w:val="24"/>
          <w:highlight w:val="none"/>
        </w:rPr>
      </w:pPr>
      <w:r>
        <w:rPr>
          <w:rFonts w:ascii="宋体" w:hAnsi="宋体" w:eastAsia="宋体" w:cs="Times New Roman"/>
          <w:bCs/>
          <w:sz w:val="24"/>
          <w:highlight w:val="none"/>
        </w:rPr>
        <w:t>4</w:t>
      </w:r>
      <w:r>
        <w:rPr>
          <w:rFonts w:hint="eastAsia" w:ascii="宋体" w:hAnsi="宋体" w:eastAsia="宋体" w:cs="Times New Roman"/>
          <w:bCs/>
          <w:sz w:val="24"/>
          <w:highlight w:val="none"/>
        </w:rPr>
        <w:t>.招标文件仅作为本次采购使用</w:t>
      </w:r>
      <w:r>
        <w:rPr>
          <w:rFonts w:hint="eastAsia" w:ascii="宋体" w:hAnsi="宋体"/>
          <w:bCs/>
          <w:color w:val="auto"/>
          <w:sz w:val="24"/>
          <w:szCs w:val="24"/>
          <w:highlight w:val="none"/>
        </w:rPr>
        <w:t>。</w:t>
      </w:r>
    </w:p>
    <w:p w14:paraId="3E4A79BD">
      <w:pPr>
        <w:tabs>
          <w:tab w:val="left" w:pos="630"/>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（三）招标文件的解释：</w:t>
      </w:r>
    </w:p>
    <w:p w14:paraId="4A2D28EB">
      <w:pPr>
        <w:tabs>
          <w:tab w:val="left" w:pos="945"/>
        </w:tabs>
        <w:spacing w:line="360" w:lineRule="auto"/>
        <w:ind w:left="523"/>
        <w:rPr>
          <w:rFonts w:ascii="宋体"/>
          <w:bCs/>
          <w:color w:val="auto"/>
          <w:sz w:val="24"/>
          <w:szCs w:val="24"/>
          <w:highlight w:val="none"/>
        </w:rPr>
      </w:pPr>
      <w:r>
        <w:rPr>
          <w:rFonts w:hint="eastAsia" w:ascii="宋体" w:hAnsi="宋体"/>
          <w:bCs/>
          <w:color w:val="auto"/>
          <w:sz w:val="24"/>
          <w:szCs w:val="24"/>
          <w:highlight w:val="none"/>
        </w:rPr>
        <w:t>本文件的最终解释权归采购人。</w:t>
      </w:r>
    </w:p>
    <w:p w14:paraId="4187905E">
      <w:pPr>
        <w:tabs>
          <w:tab w:val="left" w:pos="945"/>
        </w:tabs>
        <w:spacing w:line="360" w:lineRule="auto"/>
        <w:ind w:left="1200" w:hanging="720"/>
        <w:rPr>
          <w:rFonts w:hint="eastAsia" w:ascii="黑体" w:hAnsi="宋体" w:eastAsia="黑体"/>
          <w:bCs/>
          <w:color w:val="auto"/>
          <w:sz w:val="24"/>
          <w:szCs w:val="24"/>
          <w:highlight w:val="none"/>
        </w:rPr>
      </w:pPr>
      <w:r>
        <w:rPr>
          <w:rFonts w:ascii="黑体" w:hAnsi="宋体" w:eastAsia="黑体"/>
          <w:bCs/>
          <w:color w:val="auto"/>
          <w:sz w:val="24"/>
          <w:szCs w:val="24"/>
          <w:highlight w:val="none"/>
        </w:rPr>
        <w:t>（</w:t>
      </w:r>
      <w:r>
        <w:rPr>
          <w:rFonts w:hint="eastAsia" w:ascii="黑体" w:hAnsi="宋体" w:eastAsia="黑体"/>
          <w:bCs/>
          <w:color w:val="auto"/>
          <w:sz w:val="24"/>
          <w:szCs w:val="24"/>
          <w:highlight w:val="none"/>
        </w:rPr>
        <w:t>四</w:t>
      </w:r>
      <w:r>
        <w:rPr>
          <w:rFonts w:ascii="黑体" w:hAnsi="宋体" w:eastAsia="黑体"/>
          <w:bCs/>
          <w:color w:val="auto"/>
          <w:sz w:val="24"/>
          <w:szCs w:val="24"/>
          <w:highlight w:val="none"/>
        </w:rPr>
        <w:t xml:space="preserve">） </w:t>
      </w:r>
      <w:r>
        <w:rPr>
          <w:rFonts w:hint="eastAsia" w:ascii="黑体" w:hAnsi="宋体" w:eastAsia="黑体"/>
          <w:bCs/>
          <w:color w:val="auto"/>
          <w:sz w:val="24"/>
          <w:szCs w:val="24"/>
          <w:highlight w:val="none"/>
        </w:rPr>
        <w:t>招标文件的补充或修正：</w:t>
      </w:r>
    </w:p>
    <w:p w14:paraId="08BA4D8E">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1.江苏万力通项目管理有限公司可在投标截止时间十五日前对招标文件进行必要的澄清或者修改，不足15日的，将顺延提交投标文件的截止时间。</w:t>
      </w:r>
    </w:p>
    <w:p w14:paraId="6E3DE72C">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2.如需对招标文件进行澄清或修正，江苏万力通项目管理有限公司将在无锡政府采购网、江苏政府采购网发布更正公告，该澄清或修正的内容为招标文件的组成部分。投标人应在投标截止时间前</w:t>
      </w:r>
      <w:r>
        <w:rPr>
          <w:rFonts w:hint="eastAsia" w:ascii="宋体" w:hAnsi="宋体"/>
          <w:color w:val="auto"/>
          <w:sz w:val="24"/>
          <w:szCs w:val="24"/>
          <w:highlight w:val="none"/>
        </w:rPr>
        <w:t>登录</w:t>
      </w:r>
      <w:r>
        <w:rPr>
          <w:rFonts w:hint="eastAsia" w:ascii="宋体" w:hAnsi="宋体"/>
          <w:bCs/>
          <w:color w:val="auto"/>
          <w:sz w:val="24"/>
          <w:szCs w:val="24"/>
          <w:highlight w:val="none"/>
        </w:rPr>
        <w:t>投标客户端</w:t>
      </w:r>
      <w:r>
        <w:rPr>
          <w:rFonts w:hint="eastAsia" w:ascii="宋体" w:hAnsi="宋体"/>
          <w:color w:val="auto"/>
          <w:sz w:val="24"/>
          <w:szCs w:val="24"/>
          <w:highlight w:val="none"/>
        </w:rPr>
        <w:t>或</w:t>
      </w:r>
      <w:r>
        <w:rPr>
          <w:rFonts w:hint="eastAsia" w:ascii="宋体" w:hAnsi="宋体"/>
          <w:bCs/>
          <w:color w:val="auto"/>
          <w:sz w:val="24"/>
          <w:szCs w:val="24"/>
          <w:highlight w:val="none"/>
        </w:rPr>
        <w:t>关注原招标公告媒体上发布的相关更正公告</w:t>
      </w:r>
      <w:r>
        <w:rPr>
          <w:rFonts w:hint="eastAsia" w:ascii="宋体" w:hAnsi="宋体"/>
          <w:color w:val="auto"/>
          <w:sz w:val="24"/>
          <w:szCs w:val="24"/>
          <w:highlight w:val="none"/>
        </w:rPr>
        <w:t>。</w:t>
      </w:r>
      <w:r>
        <w:rPr>
          <w:rFonts w:hint="eastAsia" w:ascii="宋体" w:hAnsi="宋体"/>
          <w:bCs/>
          <w:color w:val="auto"/>
          <w:sz w:val="24"/>
          <w:szCs w:val="24"/>
          <w:highlight w:val="none"/>
        </w:rPr>
        <w:t>因投标人未尽注意义务，未及时更新上传投标文件</w:t>
      </w:r>
      <w:r>
        <w:rPr>
          <w:rFonts w:hint="eastAsia" w:ascii="宋体" w:hAnsi="宋体"/>
          <w:color w:val="auto"/>
          <w:sz w:val="24"/>
          <w:szCs w:val="24"/>
          <w:highlight w:val="none"/>
        </w:rPr>
        <w:t>或</w:t>
      </w:r>
      <w:r>
        <w:rPr>
          <w:rFonts w:hint="eastAsia" w:ascii="宋体" w:hAnsi="宋体"/>
          <w:bCs/>
          <w:color w:val="auto"/>
          <w:sz w:val="24"/>
          <w:szCs w:val="24"/>
          <w:highlight w:val="none"/>
        </w:rPr>
        <w:t>全面地关注更正公告导致其提交的投标材料不符合招标文件要求，而造成的损失及风险（包括但不限于未中标）由投标人自行承担。</w:t>
      </w:r>
    </w:p>
    <w:p w14:paraId="57DA71BA">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w:t>
      </w:r>
      <w:r>
        <w:rPr>
          <w:rFonts w:ascii="宋体" w:hAnsi="宋体"/>
          <w:bCs/>
          <w:color w:val="auto"/>
          <w:sz w:val="24"/>
          <w:szCs w:val="24"/>
          <w:highlight w:val="none"/>
        </w:rPr>
        <w:t>文件使自己的权益受到损害的，可以自获取</w:t>
      </w:r>
      <w:r>
        <w:rPr>
          <w:rFonts w:hint="eastAsia" w:ascii="宋体" w:hAnsi="宋体"/>
          <w:bCs/>
          <w:color w:val="auto"/>
          <w:sz w:val="24"/>
          <w:szCs w:val="24"/>
          <w:highlight w:val="none"/>
        </w:rPr>
        <w:t>招标</w:t>
      </w:r>
      <w:r>
        <w:rPr>
          <w:rFonts w:ascii="宋体" w:hAnsi="宋体"/>
          <w:bCs/>
          <w:color w:val="auto"/>
          <w:sz w:val="24"/>
          <w:szCs w:val="24"/>
          <w:highlight w:val="none"/>
        </w:rPr>
        <w:t>文件之日或者</w:t>
      </w:r>
      <w:r>
        <w:rPr>
          <w:rFonts w:hint="eastAsia" w:ascii="宋体" w:hAnsi="宋体"/>
          <w:bCs/>
          <w:color w:val="auto"/>
          <w:sz w:val="24"/>
          <w:szCs w:val="24"/>
          <w:highlight w:val="none"/>
        </w:rPr>
        <w:t>招标</w:t>
      </w:r>
      <w:r>
        <w:rPr>
          <w:rFonts w:ascii="宋体" w:hAnsi="宋体"/>
          <w:bCs/>
          <w:color w:val="auto"/>
          <w:sz w:val="24"/>
          <w:szCs w:val="24"/>
          <w:highlight w:val="none"/>
        </w:rPr>
        <w:t>公告期限届满之日</w:t>
      </w:r>
      <w:r>
        <w:rPr>
          <w:rFonts w:hint="eastAsia" w:ascii="宋体" w:hAnsi="宋体"/>
          <w:bCs/>
          <w:color w:val="auto"/>
          <w:sz w:val="24"/>
          <w:szCs w:val="24"/>
          <w:highlight w:val="none"/>
        </w:rPr>
        <w:t>（以</w:t>
      </w:r>
      <w:r>
        <w:rPr>
          <w:rFonts w:ascii="宋体" w:hAnsi="宋体"/>
          <w:bCs/>
          <w:color w:val="auto"/>
          <w:sz w:val="24"/>
          <w:szCs w:val="24"/>
          <w:highlight w:val="none"/>
        </w:rPr>
        <w:t>公告期限届满后获取招标文件的，以公告期限届满之日为准）起7个工作日内，以书面形式向</w:t>
      </w:r>
      <w:r>
        <w:rPr>
          <w:rFonts w:hint="eastAsia" w:ascii="宋体" w:hAnsi="宋体"/>
          <w:bCs/>
          <w:color w:val="auto"/>
          <w:sz w:val="24"/>
          <w:szCs w:val="24"/>
          <w:highlight w:val="none"/>
        </w:rPr>
        <w:t>采购人、采购代理机构提出质疑。</w:t>
      </w:r>
      <w:r>
        <w:rPr>
          <w:rFonts w:ascii="宋体" w:hAnsi="宋体"/>
          <w:bCs/>
          <w:color w:val="auto"/>
          <w:sz w:val="24"/>
          <w:szCs w:val="24"/>
          <w:highlight w:val="none"/>
        </w:rPr>
        <w:t>针对同一采购程序环节的质疑</w:t>
      </w:r>
      <w:r>
        <w:rPr>
          <w:rFonts w:hint="eastAsia" w:ascii="宋体" w:hAnsi="宋体"/>
          <w:bCs/>
          <w:color w:val="auto"/>
          <w:sz w:val="24"/>
          <w:szCs w:val="24"/>
          <w:highlight w:val="none"/>
        </w:rPr>
        <w:t>，须</w:t>
      </w:r>
      <w:r>
        <w:rPr>
          <w:rFonts w:ascii="宋体" w:hAnsi="宋体"/>
          <w:bCs/>
          <w:color w:val="auto"/>
          <w:sz w:val="24"/>
          <w:szCs w:val="24"/>
          <w:highlight w:val="none"/>
        </w:rPr>
        <w:t>在法定质疑期内一次性提出</w:t>
      </w:r>
      <w:r>
        <w:rPr>
          <w:rFonts w:hint="eastAsia" w:ascii="宋体" w:hAnsi="宋体"/>
          <w:bCs/>
          <w:color w:val="auto"/>
          <w:sz w:val="24"/>
          <w:szCs w:val="24"/>
          <w:highlight w:val="none"/>
        </w:rPr>
        <w:t>。质疑函的质疑事项应具体、明确，并具有必要的事实依据和法律依据（格式详见中国政府采购网《</w:t>
      </w:r>
      <w:r>
        <w:rPr>
          <w:color w:val="auto"/>
          <w:highlight w:val="none"/>
        </w:rPr>
        <w:fldChar w:fldCharType="begin"/>
      </w:r>
      <w:r>
        <w:rPr>
          <w:color w:val="auto"/>
          <w:highlight w:val="none"/>
        </w:rPr>
        <w:instrText xml:space="preserve"> HYPERLINK "http://download.ccgp.gov.cn/2018/zhiyihanfanben.zip" \t "_blank" </w:instrText>
      </w:r>
      <w:r>
        <w:rPr>
          <w:color w:val="auto"/>
          <w:highlight w:val="none"/>
        </w:rPr>
        <w:fldChar w:fldCharType="separate"/>
      </w:r>
      <w:r>
        <w:rPr>
          <w:rFonts w:hint="eastAsia" w:ascii="宋体" w:hAnsi="宋体"/>
          <w:bCs/>
          <w:color w:val="auto"/>
          <w:sz w:val="24"/>
          <w:szCs w:val="24"/>
          <w:highlight w:val="none"/>
        </w:rPr>
        <w:t>政府采购供应商质疑函范本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江苏万力通项目管理有限公司将在收到符合上述要求的书面质疑后七个工作日内，对质疑内容作出答复。投标人在法定质疑期限外送达的质疑函或法定质疑期限内送达的质疑函不符合上述要求的均为无效质疑，江苏万力通项目管理有限公司对无效质疑不予受理。</w:t>
      </w:r>
    </w:p>
    <w:p w14:paraId="7249D864">
      <w:pPr>
        <w:tabs>
          <w:tab w:val="left" w:pos="945"/>
        </w:tabs>
        <w:spacing w:line="360" w:lineRule="auto"/>
        <w:ind w:left="1200" w:hanging="72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（五）质疑与投诉</w:t>
      </w:r>
    </w:p>
    <w:p w14:paraId="15FF5CC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0097203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2.质疑的提出</w:t>
      </w:r>
    </w:p>
    <w:p w14:paraId="40BC140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14:paraId="0A5A45C4">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w:t>
      </w:r>
      <w:r>
        <w:rPr>
          <w:rFonts w:hint="eastAsia" w:ascii="宋体" w:hAnsi="宋体"/>
          <w:bCs/>
          <w:color w:val="auto"/>
          <w:sz w:val="24"/>
          <w:szCs w:val="24"/>
          <w:highlight w:val="none"/>
        </w:rPr>
        <w:t>招标文件</w:t>
      </w:r>
      <w:r>
        <w:rPr>
          <w:rFonts w:ascii="宋体" w:hAnsi="宋体"/>
          <w:bCs/>
          <w:color w:val="auto"/>
          <w:sz w:val="24"/>
          <w:szCs w:val="24"/>
          <w:highlight w:val="none"/>
        </w:rPr>
        <w:t>的，可以对该文件提出质疑。对</w:t>
      </w:r>
      <w:r>
        <w:rPr>
          <w:rFonts w:hint="eastAsia" w:ascii="宋体" w:hAnsi="宋体"/>
          <w:bCs/>
          <w:color w:val="auto"/>
          <w:sz w:val="24"/>
          <w:szCs w:val="24"/>
          <w:highlight w:val="none"/>
        </w:rPr>
        <w:t>招标文件</w:t>
      </w:r>
      <w:r>
        <w:rPr>
          <w:rFonts w:ascii="宋体" w:hAnsi="宋体"/>
          <w:bCs/>
          <w:color w:val="auto"/>
          <w:sz w:val="24"/>
          <w:szCs w:val="24"/>
          <w:highlight w:val="none"/>
        </w:rPr>
        <w:t>提出质疑的，应当在获取</w:t>
      </w:r>
      <w:r>
        <w:rPr>
          <w:rFonts w:hint="eastAsia" w:ascii="宋体" w:hAnsi="宋体"/>
          <w:bCs/>
          <w:color w:val="auto"/>
          <w:sz w:val="24"/>
          <w:szCs w:val="24"/>
          <w:highlight w:val="none"/>
        </w:rPr>
        <w:t>招标文件</w:t>
      </w:r>
      <w:r>
        <w:rPr>
          <w:rFonts w:ascii="宋体" w:hAnsi="宋体"/>
          <w:bCs/>
          <w:color w:val="auto"/>
          <w:sz w:val="24"/>
          <w:szCs w:val="24"/>
          <w:highlight w:val="none"/>
        </w:rPr>
        <w:t>或者</w:t>
      </w:r>
      <w:r>
        <w:rPr>
          <w:rFonts w:hint="eastAsia" w:ascii="宋体" w:hAnsi="宋体"/>
          <w:bCs/>
          <w:color w:val="auto"/>
          <w:sz w:val="24"/>
          <w:szCs w:val="24"/>
          <w:highlight w:val="none"/>
        </w:rPr>
        <w:t>招标文件</w:t>
      </w:r>
      <w:r>
        <w:rPr>
          <w:rFonts w:ascii="宋体" w:hAnsi="宋体"/>
          <w:bCs/>
          <w:color w:val="auto"/>
          <w:sz w:val="24"/>
          <w:szCs w:val="24"/>
          <w:highlight w:val="none"/>
        </w:rPr>
        <w:t>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14:paraId="443325A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w:t>
      </w:r>
      <w:r>
        <w:rPr>
          <w:rFonts w:hint="eastAsia" w:ascii="宋体" w:hAnsi="宋体"/>
          <w:bCs/>
          <w:color w:val="auto"/>
          <w:sz w:val="24"/>
          <w:szCs w:val="24"/>
          <w:highlight w:val="none"/>
        </w:rPr>
        <w:t>招标文件</w:t>
      </w:r>
      <w:r>
        <w:rPr>
          <w:rFonts w:ascii="宋体" w:hAnsi="宋体"/>
          <w:bCs/>
          <w:color w:val="auto"/>
          <w:sz w:val="24"/>
          <w:szCs w:val="24"/>
          <w:highlight w:val="none"/>
        </w:rPr>
        <w:t>、采购过程、中标或者成交结果使自己的权益受到损害的，可以在知道或者应知其权益受到损害之日起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个工作日内，以书面形式向采购人提出质疑。供应商</w:t>
      </w:r>
      <w:r>
        <w:rPr>
          <w:rFonts w:hint="eastAsia" w:ascii="宋体" w:hAnsi="宋体"/>
          <w:bCs/>
          <w:color w:val="auto"/>
          <w:sz w:val="24"/>
          <w:szCs w:val="24"/>
          <w:highlight w:val="none"/>
        </w:rPr>
        <w:t>须在</w:t>
      </w:r>
      <w:r>
        <w:rPr>
          <w:rFonts w:ascii="宋体" w:hAnsi="宋体"/>
          <w:bCs/>
          <w:color w:val="auto"/>
          <w:sz w:val="24"/>
          <w:szCs w:val="24"/>
          <w:highlight w:val="none"/>
        </w:rPr>
        <w:t>法定质疑期内一次性提出针对同一采购程序环节的质疑。</w:t>
      </w:r>
    </w:p>
    <w:p w14:paraId="79375884">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14:paraId="5B4BC7A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14:paraId="05370359">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14:paraId="2A883138">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14:paraId="45D4FA8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169CB876">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14:paraId="155D340D">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14:paraId="33A29E81">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14:paraId="00A7952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14:paraId="3811CE4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14:paraId="1E23AD8D">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3、质疑的受理与答复</w:t>
      </w:r>
    </w:p>
    <w:p w14:paraId="59C5AFCC">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.1采购人负责供应商质疑答复。</w:t>
      </w:r>
    </w:p>
    <w:p w14:paraId="0FF5FA1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2质疑函由采购人办理签收手续。</w:t>
      </w:r>
    </w:p>
    <w:p w14:paraId="6A87AA5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3质疑函接收单位信息：</w:t>
      </w:r>
    </w:p>
    <w:p w14:paraId="719F3DC5">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接收单位：江苏万力通项目管理有限公司</w:t>
      </w:r>
    </w:p>
    <w:p w14:paraId="0511B12C">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地址：无锡市滨湖区华发传感大厦B座1106室</w:t>
      </w:r>
    </w:p>
    <w:p w14:paraId="12C6892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邮编：214000</w:t>
      </w:r>
    </w:p>
    <w:p w14:paraId="658952E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联系人：殷铭</w:t>
      </w:r>
    </w:p>
    <w:p w14:paraId="603EFDD3">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电话：18912375285</w:t>
      </w:r>
    </w:p>
    <w:p w14:paraId="6B9C7C8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采购人应当在收到质疑函后7个工作日内作出答复，并以书面形式通知质疑供应商和其他有关供应商。</w:t>
      </w:r>
    </w:p>
    <w:p w14:paraId="6D62A1C2">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采购人</w:t>
      </w:r>
      <w:r>
        <w:rPr>
          <w:rFonts w:hint="eastAsia" w:ascii="宋体" w:hAnsi="宋体"/>
          <w:bCs/>
          <w:color w:val="auto"/>
          <w:sz w:val="24"/>
          <w:szCs w:val="24"/>
          <w:highlight w:val="none"/>
        </w:rPr>
        <w:t>处理的其他要求</w:t>
      </w:r>
      <w:r>
        <w:rPr>
          <w:rFonts w:hint="eastAsia" w:ascii="宋体" w:hAnsi="宋体"/>
          <w:bCs/>
          <w:color w:val="auto"/>
          <w:sz w:val="24"/>
          <w:szCs w:val="24"/>
          <w:highlight w:val="none"/>
          <w:lang w:eastAsia="zh-CN"/>
        </w:rPr>
        <w:t>按照</w:t>
      </w:r>
      <w:r>
        <w:rPr>
          <w:rFonts w:hint="eastAsia" w:ascii="宋体" w:hAnsi="宋体"/>
          <w:bCs/>
          <w:color w:val="auto"/>
          <w:sz w:val="24"/>
          <w:szCs w:val="24"/>
          <w:highlight w:val="none"/>
        </w:rPr>
        <w:t>《</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14:paraId="7BE4716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4、投诉的提起</w:t>
      </w:r>
    </w:p>
    <w:p w14:paraId="05DF8C36">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质疑供应商对采购人的答复不满意，或者采购人未在规定时间内作出答复的，可以在答复期满后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个工作日内向采购人所属预算级次的财政部门提起投诉。</w:t>
      </w:r>
    </w:p>
    <w:p w14:paraId="6C12969B">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w:t>
      </w:r>
      <w:r>
        <w:rPr>
          <w:rFonts w:hint="eastAsia" w:ascii="宋体" w:hAnsi="宋体"/>
          <w:bCs/>
          <w:color w:val="auto"/>
          <w:sz w:val="24"/>
          <w:szCs w:val="24"/>
          <w:highlight w:val="none"/>
        </w:rPr>
        <w:t>，</w:t>
      </w:r>
      <w:r>
        <w:rPr>
          <w:rFonts w:ascii="宋体" w:hAnsi="宋体"/>
          <w:bCs/>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2028B1D8">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14:paraId="543B76E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14:paraId="084E1235">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14:paraId="361D1FE5">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14:paraId="165D6737">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14:paraId="184D6659">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14:paraId="6C5C351A">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14:paraId="286E1F4E">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14:paraId="23B3CCBA">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14:paraId="43C1C9C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14:paraId="7C6762DC">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14:paraId="25488444">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14:paraId="6A06DF5F">
      <w:pPr>
        <w:tabs>
          <w:tab w:val="left" w:pos="0"/>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14:paraId="24B421F8">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14:paraId="2D87F47F">
      <w:pPr>
        <w:tabs>
          <w:tab w:val="left" w:pos="0"/>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14:paraId="53BB77F7">
      <w:pPr>
        <w:spacing w:line="360" w:lineRule="auto"/>
        <w:ind w:firstLine="480"/>
        <w:rPr>
          <w:rFonts w:ascii="宋体"/>
          <w:bCs/>
          <w:color w:val="auto"/>
          <w:sz w:val="24"/>
          <w:szCs w:val="24"/>
          <w:highlight w:val="none"/>
        </w:rPr>
      </w:pPr>
      <w:r>
        <w:rPr>
          <w:rFonts w:hint="eastAsia" w:ascii="黑体" w:hAnsi="宋体" w:eastAsia="黑体"/>
          <w:bCs/>
          <w:color w:val="auto"/>
          <w:sz w:val="24"/>
          <w:szCs w:val="24"/>
          <w:highlight w:val="none"/>
        </w:rPr>
        <w:t>（六）投标文件的组成</w:t>
      </w:r>
      <w:r>
        <w:rPr>
          <w:rFonts w:hint="eastAsia" w:ascii="宋体" w:hAnsi="宋体"/>
          <w:bCs/>
          <w:color w:val="auto"/>
          <w:sz w:val="24"/>
          <w:szCs w:val="24"/>
          <w:highlight w:val="none"/>
        </w:rPr>
        <w:t>（</w:t>
      </w:r>
      <w:r>
        <w:rPr>
          <w:rFonts w:hint="eastAsia" w:ascii="宋体" w:hAnsi="宋体"/>
          <w:b/>
          <w:bCs/>
          <w:color w:val="auto"/>
          <w:sz w:val="24"/>
          <w:szCs w:val="24"/>
          <w:highlight w:val="none"/>
        </w:rPr>
        <w:t>相应内容上传至投标客户端</w:t>
      </w:r>
      <w:r>
        <w:rPr>
          <w:rFonts w:hint="eastAsia" w:ascii="宋体" w:hAnsi="宋体"/>
          <w:bCs/>
          <w:color w:val="auto"/>
          <w:sz w:val="24"/>
          <w:szCs w:val="24"/>
          <w:highlight w:val="none"/>
        </w:rPr>
        <w:t>）</w:t>
      </w:r>
      <w:r>
        <w:rPr>
          <w:rFonts w:hint="eastAsia" w:ascii="黑体" w:hAnsi="宋体" w:eastAsia="黑体"/>
          <w:bCs/>
          <w:color w:val="auto"/>
          <w:sz w:val="24"/>
          <w:szCs w:val="24"/>
          <w:highlight w:val="none"/>
        </w:rPr>
        <w:t>：</w:t>
      </w:r>
    </w:p>
    <w:p w14:paraId="59F611AD">
      <w:pPr>
        <w:numPr>
          <w:ilvl w:val="0"/>
          <w:numId w:val="4"/>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5010F69C">
      <w:pPr>
        <w:numPr>
          <w:ilvl w:val="0"/>
          <w:numId w:val="4"/>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资格、资信证明文件（</w:t>
      </w:r>
      <w:r>
        <w:rPr>
          <w:rFonts w:hint="eastAsia" w:ascii="宋体" w:hAnsi="宋体"/>
          <w:b/>
          <w:bCs/>
          <w:color w:val="auto"/>
          <w:sz w:val="24"/>
          <w:szCs w:val="24"/>
          <w:highlight w:val="none"/>
        </w:rPr>
        <w:t>扫描后上传，身份证应为正、反面</w:t>
      </w:r>
      <w:r>
        <w:rPr>
          <w:rFonts w:hint="eastAsia" w:ascii="宋体" w:hAnsi="宋体"/>
          <w:bCs/>
          <w:color w:val="auto"/>
          <w:sz w:val="24"/>
          <w:szCs w:val="24"/>
          <w:highlight w:val="none"/>
        </w:rPr>
        <w:t>）：</w:t>
      </w:r>
    </w:p>
    <w:p w14:paraId="35D19391">
      <w:pPr>
        <w:pStyle w:val="264"/>
        <w:numPr>
          <w:ilvl w:val="1"/>
          <w:numId w:val="4"/>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14:paraId="4416F3CC">
      <w:pPr>
        <w:pStyle w:val="264"/>
        <w:numPr>
          <w:ilvl w:val="1"/>
          <w:numId w:val="4"/>
        </w:numPr>
        <w:tabs>
          <w:tab w:val="left" w:pos="1276"/>
        </w:tabs>
        <w:spacing w:line="360" w:lineRule="auto"/>
        <w:ind w:left="0" w:firstLine="567"/>
        <w:rPr>
          <w:rFonts w:ascii="宋体"/>
          <w:bCs/>
          <w:color w:val="auto"/>
          <w:sz w:val="24"/>
          <w:szCs w:val="24"/>
          <w:highlight w:val="none"/>
        </w:rPr>
      </w:pPr>
      <w:r>
        <w:rPr>
          <w:rFonts w:hint="eastAsia" w:ascii="宋体" w:hAnsi="宋体"/>
          <w:bCs/>
          <w:color w:val="auto"/>
          <w:sz w:val="24"/>
          <w:szCs w:val="24"/>
          <w:highlight w:val="none"/>
        </w:rPr>
        <w:t>具有独立承担民事责任能力的投标人营业执照或相关部门的登记证明文件（投标人如</w:t>
      </w:r>
      <w:r>
        <w:rPr>
          <w:rFonts w:hint="eastAsia" w:ascii="宋体" w:hAnsi="宋体" w:cs="宋体"/>
          <w:color w:val="auto"/>
          <w:sz w:val="24"/>
          <w:szCs w:val="24"/>
          <w:highlight w:val="none"/>
        </w:rPr>
        <w:t>允许以分支机构身份参加投标的，提供投标人分支机构的营业执照</w:t>
      </w:r>
      <w:r>
        <w:rPr>
          <w:rFonts w:hint="eastAsia" w:ascii="宋体" w:hAnsi="宋体"/>
          <w:bCs/>
          <w:color w:val="auto"/>
          <w:sz w:val="24"/>
          <w:szCs w:val="24"/>
          <w:highlight w:val="none"/>
        </w:rPr>
        <w:t>）；</w:t>
      </w:r>
    </w:p>
    <w:p w14:paraId="3F93B5F2">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）（投标人如</w:t>
      </w:r>
      <w:r>
        <w:rPr>
          <w:rFonts w:hint="eastAsia" w:ascii="宋体" w:hAnsi="宋体" w:cs="宋体"/>
          <w:color w:val="auto"/>
          <w:sz w:val="24"/>
          <w:szCs w:val="24"/>
          <w:highlight w:val="none"/>
        </w:rPr>
        <w:t>允许以分支机构身份参加投标的，请自行</w:t>
      </w:r>
      <w:r>
        <w:rPr>
          <w:rFonts w:ascii="宋体" w:hAnsi="宋体" w:cs="宋体"/>
          <w:color w:val="auto"/>
          <w:sz w:val="24"/>
          <w:szCs w:val="24"/>
          <w:highlight w:val="none"/>
        </w:rPr>
        <w:t>将“</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更改为</w:t>
      </w:r>
      <w:r>
        <w:rPr>
          <w:rFonts w:ascii="宋体" w:hAnsi="宋体" w:cs="宋体"/>
          <w:color w:val="auto"/>
          <w:sz w:val="24"/>
          <w:szCs w:val="24"/>
          <w:highlight w:val="none"/>
        </w:rPr>
        <w:t>“</w:t>
      </w:r>
      <w:r>
        <w:rPr>
          <w:rFonts w:hint="eastAsia" w:ascii="宋体" w:hAnsi="宋体" w:cs="宋体"/>
          <w:color w:val="auto"/>
          <w:sz w:val="24"/>
          <w:szCs w:val="24"/>
          <w:highlight w:val="none"/>
        </w:rPr>
        <w:t>负责人</w:t>
      </w:r>
      <w:r>
        <w:rPr>
          <w:rFonts w:ascii="宋体" w:hAnsi="宋体" w:cs="宋体"/>
          <w:color w:val="auto"/>
          <w:sz w:val="24"/>
          <w:szCs w:val="24"/>
          <w:highlight w:val="none"/>
        </w:rPr>
        <w:t>”</w:t>
      </w:r>
      <w:r>
        <w:rPr>
          <w:rFonts w:hint="eastAsia" w:ascii="宋体" w:hAnsi="宋体" w:cs="宋体"/>
          <w:color w:val="auto"/>
          <w:sz w:val="24"/>
          <w:szCs w:val="24"/>
          <w:highlight w:val="none"/>
        </w:rPr>
        <w:t>，分支机构投标</w:t>
      </w:r>
      <w:r>
        <w:rPr>
          <w:rFonts w:ascii="宋体" w:hAnsi="宋体" w:cs="宋体"/>
          <w:color w:val="auto"/>
          <w:sz w:val="24"/>
          <w:szCs w:val="24"/>
          <w:highlight w:val="none"/>
        </w:rPr>
        <w:t>时</w:t>
      </w:r>
      <w:r>
        <w:rPr>
          <w:rFonts w:hint="eastAsia" w:ascii="宋体" w:hAnsi="宋体" w:cs="宋体"/>
          <w:color w:val="auto"/>
          <w:sz w:val="24"/>
          <w:szCs w:val="24"/>
          <w:highlight w:val="none"/>
        </w:rPr>
        <w:t>涉及采购文件</w:t>
      </w:r>
      <w:r>
        <w:rPr>
          <w:rFonts w:ascii="宋体" w:hAnsi="宋体" w:cs="宋体"/>
          <w:color w:val="auto"/>
          <w:sz w:val="24"/>
          <w:szCs w:val="24"/>
          <w:highlight w:val="none"/>
        </w:rPr>
        <w:t>“</w:t>
      </w:r>
      <w:r>
        <w:rPr>
          <w:rFonts w:hint="eastAsia" w:ascii="宋体" w:hAnsi="宋体" w:cs="宋体"/>
          <w:color w:val="auto"/>
          <w:sz w:val="24"/>
          <w:szCs w:val="24"/>
          <w:highlight w:val="none"/>
        </w:rPr>
        <w:t>法定代表人</w:t>
      </w:r>
      <w:r>
        <w:rPr>
          <w:rFonts w:ascii="宋体" w:hAnsi="宋体" w:cs="宋体"/>
          <w:color w:val="auto"/>
          <w:sz w:val="24"/>
          <w:szCs w:val="24"/>
          <w:highlight w:val="none"/>
        </w:rPr>
        <w:t>”</w:t>
      </w:r>
      <w:r>
        <w:rPr>
          <w:rFonts w:hint="eastAsia" w:ascii="宋体" w:hAnsi="宋体" w:cs="宋体"/>
          <w:color w:val="auto"/>
          <w:sz w:val="24"/>
          <w:szCs w:val="24"/>
          <w:highlight w:val="none"/>
        </w:rPr>
        <w:t>要求的部分</w:t>
      </w:r>
      <w:r>
        <w:rPr>
          <w:rFonts w:ascii="宋体" w:hAnsi="宋体" w:cs="宋体"/>
          <w:color w:val="auto"/>
          <w:sz w:val="24"/>
          <w:szCs w:val="24"/>
          <w:highlight w:val="none"/>
        </w:rPr>
        <w:t>，其</w:t>
      </w:r>
      <w:r>
        <w:rPr>
          <w:rFonts w:hint="eastAsia" w:ascii="宋体" w:hAnsi="宋体" w:cs="宋体"/>
          <w:color w:val="auto"/>
          <w:sz w:val="24"/>
          <w:szCs w:val="24"/>
          <w:highlight w:val="none"/>
        </w:rPr>
        <w:t>具体要求</w:t>
      </w:r>
      <w:r>
        <w:rPr>
          <w:rFonts w:ascii="宋体" w:hAnsi="宋体" w:cs="宋体"/>
          <w:color w:val="auto"/>
          <w:sz w:val="24"/>
          <w:szCs w:val="24"/>
          <w:highlight w:val="none"/>
        </w:rPr>
        <w:t>视同本条规定</w:t>
      </w:r>
      <w:r>
        <w:rPr>
          <w:rFonts w:hint="eastAsia" w:ascii="宋体" w:hAnsi="宋体"/>
          <w:color w:val="auto"/>
          <w:sz w:val="24"/>
          <w:szCs w:val="24"/>
          <w:highlight w:val="none"/>
        </w:rPr>
        <w:t>）；</w:t>
      </w:r>
    </w:p>
    <w:p w14:paraId="20B7E0C7">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投标人法定代表人身份证；</w:t>
      </w:r>
    </w:p>
    <w:p w14:paraId="4937004B">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投标人法定代表人授权代表身份证（</w:t>
      </w:r>
      <w:r>
        <w:rPr>
          <w:rFonts w:hint="eastAsia" w:ascii="宋体" w:hAnsi="宋体"/>
          <w:b/>
          <w:bCs/>
          <w:color w:val="auto"/>
          <w:sz w:val="24"/>
          <w:szCs w:val="24"/>
          <w:highlight w:val="none"/>
        </w:rPr>
        <w:t>法定代表人亲自参加投标的除外</w:t>
      </w:r>
      <w:r>
        <w:rPr>
          <w:rFonts w:hint="eastAsia" w:ascii="宋体" w:hAnsi="宋体"/>
          <w:bCs/>
          <w:color w:val="auto"/>
          <w:sz w:val="24"/>
          <w:szCs w:val="24"/>
          <w:highlight w:val="none"/>
        </w:rPr>
        <w:t>）</w:t>
      </w:r>
      <w:r>
        <w:rPr>
          <w:rFonts w:hint="eastAsia" w:ascii="宋体" w:hAnsi="宋体"/>
          <w:color w:val="auto"/>
          <w:sz w:val="24"/>
          <w:szCs w:val="24"/>
          <w:highlight w:val="none"/>
        </w:rPr>
        <w:t>；</w:t>
      </w:r>
    </w:p>
    <w:p w14:paraId="5E131A75">
      <w:pPr>
        <w:numPr>
          <w:ilvl w:val="1"/>
          <w:numId w:val="4"/>
        </w:numPr>
        <w:tabs>
          <w:tab w:val="left" w:pos="945"/>
          <w:tab w:val="left" w:pos="1276"/>
        </w:tabs>
        <w:spacing w:line="360" w:lineRule="auto"/>
        <w:ind w:left="0" w:firstLine="523"/>
        <w:rPr>
          <w:rFonts w:hint="eastAsia" w:ascii="宋体" w:hAnsi="宋体"/>
          <w:bCs/>
          <w:color w:val="auto"/>
          <w:sz w:val="24"/>
          <w:szCs w:val="24"/>
          <w:highlight w:val="none"/>
        </w:rPr>
      </w:pPr>
      <w:r>
        <w:rPr>
          <w:rFonts w:hint="eastAsia" w:ascii="宋体" w:hAnsi="宋体"/>
          <w:bCs/>
          <w:color w:val="auto"/>
          <w:sz w:val="24"/>
          <w:szCs w:val="24"/>
          <w:highlight w:val="none"/>
        </w:rPr>
        <w:t>投标人近一年中任意一个月份（不含投标当月）为其法定代表人授权代表缴纳社保的证明（</w:t>
      </w:r>
      <w:r>
        <w:rPr>
          <w:rFonts w:hint="eastAsia" w:ascii="宋体" w:hAnsi="宋体"/>
          <w:b/>
          <w:bCs/>
          <w:color w:val="auto"/>
          <w:sz w:val="24"/>
          <w:szCs w:val="24"/>
          <w:highlight w:val="none"/>
        </w:rPr>
        <w:t>由相关主管部门出具，新成立公司除外、法定代表人亲自参加投标的除外</w:t>
      </w:r>
      <w:r>
        <w:rPr>
          <w:rFonts w:hint="eastAsia" w:ascii="宋体" w:hAnsi="宋体"/>
          <w:bCs/>
          <w:color w:val="auto"/>
          <w:sz w:val="24"/>
          <w:szCs w:val="24"/>
          <w:highlight w:val="none"/>
        </w:rPr>
        <w:t>）；</w:t>
      </w:r>
    </w:p>
    <w:p w14:paraId="1DEAD2D9">
      <w:pPr>
        <w:numPr>
          <w:ilvl w:val="1"/>
          <w:numId w:val="4"/>
        </w:numPr>
        <w:tabs>
          <w:tab w:val="left" w:pos="945"/>
          <w:tab w:val="left" w:pos="1276"/>
        </w:tabs>
        <w:spacing w:line="360" w:lineRule="auto"/>
        <w:ind w:left="0" w:firstLine="523"/>
        <w:rPr>
          <w:rFonts w:ascii="宋体"/>
          <w:bCs/>
          <w:color w:val="auto"/>
          <w:sz w:val="24"/>
          <w:szCs w:val="24"/>
          <w:highlight w:val="none"/>
          <w:shd w:val="clear"/>
        </w:rPr>
      </w:pPr>
      <w:r>
        <w:rPr>
          <w:rFonts w:hint="eastAsia" w:ascii="宋体" w:hAnsi="宋体"/>
          <w:bCs/>
          <w:color w:val="auto"/>
          <w:sz w:val="24"/>
          <w:szCs w:val="24"/>
          <w:highlight w:val="none"/>
        </w:rPr>
        <w:t>投标</w:t>
      </w:r>
      <w:r>
        <w:rPr>
          <w:rFonts w:hint="eastAsia" w:ascii="宋体" w:hAnsi="宋体"/>
          <w:bCs/>
          <w:color w:val="auto"/>
          <w:sz w:val="24"/>
          <w:szCs w:val="24"/>
          <w:highlight w:val="none"/>
          <w:lang w:eastAsia="zh-CN"/>
        </w:rPr>
        <w:t>人最</w:t>
      </w:r>
      <w:r>
        <w:rPr>
          <w:rFonts w:hint="eastAsia" w:ascii="宋体" w:hAnsi="宋体"/>
          <w:bCs/>
          <w:color w:val="auto"/>
          <w:sz w:val="24"/>
          <w:szCs w:val="24"/>
          <w:highlight w:val="none"/>
        </w:rPr>
        <w:t>近一年中任意一个月份（不含投标当月）的财务状况报告（资产负债表和利润表）</w:t>
      </w:r>
      <w:r>
        <w:rPr>
          <w:rFonts w:hint="eastAsia" w:ascii="宋体" w:hAnsi="宋体"/>
          <w:bCs/>
          <w:color w:val="auto"/>
          <w:sz w:val="24"/>
          <w:szCs w:val="24"/>
          <w:highlight w:val="none"/>
          <w:shd w:val="clear"/>
        </w:rPr>
        <w:t>或由会计师事务所出具的202</w:t>
      </w:r>
      <w:r>
        <w:rPr>
          <w:rFonts w:hint="eastAsia" w:ascii="宋体" w:hAnsi="宋体"/>
          <w:bCs/>
          <w:color w:val="auto"/>
          <w:sz w:val="24"/>
          <w:szCs w:val="24"/>
          <w:highlight w:val="none"/>
          <w:shd w:val="clear"/>
          <w:lang w:val="en-US" w:eastAsia="zh-CN"/>
        </w:rPr>
        <w:t>4</w:t>
      </w:r>
      <w:r>
        <w:rPr>
          <w:rFonts w:hint="eastAsia" w:ascii="宋体" w:hAnsi="宋体"/>
          <w:bCs/>
          <w:color w:val="auto"/>
          <w:sz w:val="24"/>
          <w:szCs w:val="24"/>
          <w:highlight w:val="none"/>
          <w:shd w:val="clear"/>
        </w:rPr>
        <w:t>年度</w:t>
      </w:r>
      <w:r>
        <w:rPr>
          <w:rFonts w:hint="eastAsia" w:ascii="宋体" w:hAnsi="宋体"/>
          <w:bCs/>
          <w:color w:val="auto"/>
          <w:sz w:val="24"/>
          <w:szCs w:val="24"/>
          <w:highlight w:val="none"/>
          <w:shd w:val="clear"/>
          <w:lang w:val="en-US" w:eastAsia="zh-CN"/>
        </w:rPr>
        <w:t>或2025年度</w:t>
      </w:r>
      <w:r>
        <w:rPr>
          <w:rFonts w:hint="eastAsia" w:ascii="宋体" w:hAnsi="宋体"/>
          <w:bCs/>
          <w:color w:val="auto"/>
          <w:sz w:val="24"/>
          <w:szCs w:val="24"/>
          <w:highlight w:val="none"/>
          <w:shd w:val="clear"/>
        </w:rPr>
        <w:t>的审计报告和所附已</w:t>
      </w:r>
      <w:r>
        <w:rPr>
          <w:rFonts w:hint="eastAsia" w:ascii="宋体" w:hAnsi="宋体"/>
          <w:bCs/>
          <w:color w:val="auto"/>
          <w:sz w:val="24"/>
          <w:szCs w:val="24"/>
          <w:highlight w:val="none"/>
          <w:shd w:val="clear"/>
          <w:lang w:eastAsia="zh-CN"/>
        </w:rPr>
        <w:t>审计</w:t>
      </w:r>
      <w:r>
        <w:rPr>
          <w:rFonts w:hint="eastAsia" w:ascii="宋体" w:hAnsi="宋体"/>
          <w:bCs/>
          <w:color w:val="auto"/>
          <w:sz w:val="24"/>
          <w:szCs w:val="24"/>
          <w:highlight w:val="none"/>
          <w:shd w:val="clear"/>
        </w:rPr>
        <w:t>财务报告；</w:t>
      </w:r>
    </w:p>
    <w:p w14:paraId="54A7883A">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投标人近一年中任意一个月份（不含投标当月）的依法缴纳税收的相关材料（提供相关主管部门证明或银行代扣证明）；</w:t>
      </w:r>
    </w:p>
    <w:p w14:paraId="3A21F828">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投标人近一年中任意一个月份（不含投标当月）的依法缴纳社会保障资金的相关材料（提供相关主管部门证明或银行代扣证明）；</w:t>
      </w:r>
    </w:p>
    <w:p w14:paraId="137BB3C9">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bCs/>
          <w:sz w:val="24"/>
          <w:szCs w:val="24"/>
          <w:highlight w:val="none"/>
        </w:rPr>
        <w:t>承诺书</w:t>
      </w:r>
      <w:r>
        <w:rPr>
          <w:rFonts w:hint="eastAsia" w:ascii="宋体" w:hAnsi="宋体"/>
          <w:bCs/>
          <w:sz w:val="24"/>
          <w:szCs w:val="24"/>
          <w:highlight w:val="none"/>
        </w:rPr>
        <w:t>（</w:t>
      </w:r>
      <w:r>
        <w:rPr>
          <w:rFonts w:hint="eastAsia" w:ascii="宋体" w:hAnsi="宋体"/>
          <w:b/>
          <w:bCs/>
          <w:sz w:val="24"/>
          <w:szCs w:val="24"/>
          <w:highlight w:val="none"/>
        </w:rPr>
        <w:t>格式见附件</w:t>
      </w:r>
      <w:r>
        <w:rPr>
          <w:rFonts w:hint="eastAsia" w:ascii="宋体" w:hAnsi="宋体"/>
          <w:bCs/>
          <w:sz w:val="24"/>
          <w:szCs w:val="24"/>
          <w:highlight w:val="none"/>
        </w:rPr>
        <w:t>）</w:t>
      </w:r>
      <w:r>
        <w:rPr>
          <w:rFonts w:hint="eastAsia" w:ascii="宋体" w:hAnsi="宋体"/>
          <w:bCs/>
          <w:sz w:val="24"/>
          <w:szCs w:val="24"/>
          <w:highlight w:val="none"/>
          <w:lang w:eastAsia="zh-CN"/>
        </w:rPr>
        <w:t>；</w:t>
      </w:r>
    </w:p>
    <w:p w14:paraId="7AEA3F29">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hAnsi="宋体" w:cs="宋体"/>
          <w:bCs/>
          <w:sz w:val="24"/>
          <w:highlight w:val="none"/>
        </w:rPr>
        <w:t>提供《中小企业声明函》或《残疾人福利性单位声明函》（格式见附件，如为监狱企业需由省级以上监狱管理局、戒毒管理局出具的证明文件）</w:t>
      </w:r>
      <w:r>
        <w:rPr>
          <w:rFonts w:hint="eastAsia" w:ascii="宋体"/>
          <w:bCs/>
          <w:color w:val="auto"/>
          <w:sz w:val="24"/>
          <w:szCs w:val="24"/>
          <w:highlight w:val="none"/>
        </w:rPr>
        <w:t>。</w:t>
      </w:r>
    </w:p>
    <w:p w14:paraId="0785F059">
      <w:pPr>
        <w:numPr>
          <w:ilvl w:val="1"/>
          <w:numId w:val="4"/>
        </w:numPr>
        <w:tabs>
          <w:tab w:val="left" w:pos="945"/>
          <w:tab w:val="left" w:pos="1276"/>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采购人要求的特定资质证明扫描件（</w:t>
      </w:r>
      <w:r>
        <w:rPr>
          <w:rFonts w:hint="eastAsia" w:ascii="宋体" w:hAnsi="宋体"/>
          <w:b/>
          <w:bCs/>
          <w:color w:val="auto"/>
          <w:sz w:val="24"/>
          <w:szCs w:val="24"/>
          <w:highlight w:val="none"/>
        </w:rPr>
        <w:t>详见“投标邀请函”-“投标人资格要求”之3中要求）</w:t>
      </w:r>
      <w:r>
        <w:rPr>
          <w:rFonts w:hint="eastAsia" w:ascii="宋体" w:hAnsi="宋体"/>
          <w:bCs/>
          <w:color w:val="auto"/>
          <w:sz w:val="24"/>
          <w:szCs w:val="24"/>
          <w:highlight w:val="none"/>
        </w:rPr>
        <w:t>。</w:t>
      </w:r>
    </w:p>
    <w:p w14:paraId="386241E7">
      <w:pPr>
        <w:tabs>
          <w:tab w:val="left" w:pos="945"/>
        </w:tabs>
        <w:spacing w:line="360" w:lineRule="auto"/>
        <w:ind w:firstLine="480"/>
        <w:rPr>
          <w:rFonts w:ascii="宋体"/>
          <w:bCs/>
          <w:color w:val="auto"/>
          <w:sz w:val="24"/>
          <w:szCs w:val="24"/>
          <w:highlight w:val="none"/>
        </w:rPr>
      </w:pPr>
      <w:r>
        <w:rPr>
          <w:rFonts w:hint="eastAsia" w:ascii="宋体" w:hAnsi="宋体" w:cs="宋体"/>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2C86FDE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3、开标一览表（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51C76F98">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4、报价明细表（</w:t>
      </w:r>
      <w:r>
        <w:rPr>
          <w:rFonts w:hint="eastAsia" w:ascii="宋体" w:hAnsi="宋体"/>
          <w:b/>
          <w:color w:val="auto"/>
          <w:sz w:val="24"/>
          <w:szCs w:val="24"/>
          <w:highlight w:val="none"/>
        </w:rPr>
        <w:t>格式见附件</w:t>
      </w:r>
      <w:r>
        <w:rPr>
          <w:rFonts w:hint="eastAsia" w:ascii="宋体" w:hAnsi="宋体"/>
          <w:bCs/>
          <w:color w:val="auto"/>
          <w:sz w:val="24"/>
          <w:szCs w:val="24"/>
          <w:highlight w:val="none"/>
        </w:rPr>
        <w:t>）</w:t>
      </w:r>
    </w:p>
    <w:p w14:paraId="713940F9">
      <w:pPr>
        <w:spacing w:line="360" w:lineRule="auto"/>
        <w:ind w:firstLine="482"/>
        <w:rPr>
          <w:rFonts w:hint="eastAsia" w:ascii="宋体" w:hAnsi="宋体" w:eastAsia="宋体" w:cs="Times New Roman"/>
          <w:b/>
          <w:color w:val="auto"/>
          <w:sz w:val="24"/>
          <w:szCs w:val="24"/>
          <w:highlight w:val="none"/>
        </w:rPr>
      </w:pP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w:t>
      </w:r>
      <w:r>
        <w:rPr>
          <w:rFonts w:hint="eastAsia" w:ascii="宋体" w:hAnsi="宋体" w:cs="宋体"/>
          <w:bCs/>
          <w:color w:val="auto"/>
          <w:sz w:val="24"/>
          <w:szCs w:val="24"/>
          <w:highlight w:val="none"/>
          <w:lang w:val="en-US" w:eastAsia="zh-CN"/>
        </w:rPr>
        <w:t>技术方案</w:t>
      </w:r>
      <w:r>
        <w:rPr>
          <w:rFonts w:hint="eastAsia" w:ascii="宋体" w:hAnsi="宋体" w:eastAsia="宋体" w:cs="Times New Roman"/>
          <w:b/>
          <w:color w:val="auto"/>
          <w:sz w:val="24"/>
          <w:szCs w:val="24"/>
          <w:highlight w:val="none"/>
        </w:rPr>
        <w:t>（暗标，内容参照评标办法）</w:t>
      </w:r>
    </w:p>
    <w:p w14:paraId="3C7E8246">
      <w:pPr>
        <w:spacing w:line="360" w:lineRule="auto"/>
        <w:ind w:firstLine="482"/>
        <w:rPr>
          <w:rFonts w:hint="eastAsia"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5C588DF8">
      <w:pPr>
        <w:spacing w:line="360" w:lineRule="auto"/>
        <w:ind w:firstLine="482"/>
        <w:rPr>
          <w:rFonts w:hint="eastAsia"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不得有体现投标人身份的内容是指：</w:t>
      </w:r>
    </w:p>
    <w:p w14:paraId="4C4B5B6E">
      <w:pPr>
        <w:spacing w:line="360" w:lineRule="auto"/>
        <w:ind w:firstLine="482"/>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①技术部分不得出现能够体现投标人身份、名称的相关描述、材料、文件等内容；</w:t>
      </w:r>
    </w:p>
    <w:p w14:paraId="01FF59DD">
      <w:pPr>
        <w:spacing w:line="360" w:lineRule="auto"/>
        <w:ind w:firstLine="482"/>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②技术部分不得更改，不得在其中涂改、标注或做任何可以辨认投标人及所属人员身份的名称、印章、商标等标记；</w:t>
      </w:r>
    </w:p>
    <w:p w14:paraId="3C273107">
      <w:pPr>
        <w:spacing w:line="360" w:lineRule="auto"/>
        <w:ind w:firstLine="482"/>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③技术部分应当版面整洁、字迹清楚、不许批注或进行底纹、阴影、水印等特殊设置，不得采用任何不符合常规、有别于其他投标人的特殊做法；</w:t>
      </w:r>
    </w:p>
    <w:p w14:paraId="0AF6E6AC">
      <w:pPr>
        <w:spacing w:line="360" w:lineRule="auto"/>
        <w:ind w:firstLine="482"/>
        <w:rPr>
          <w:rFonts w:hint="eastAsia" w:ascii="宋体" w:hAnsi="宋体"/>
          <w:b/>
          <w:color w:val="auto"/>
          <w:sz w:val="24"/>
          <w:szCs w:val="24"/>
          <w:highlight w:val="none"/>
        </w:rPr>
      </w:pPr>
      <w:r>
        <w:rPr>
          <w:rFonts w:hint="eastAsia" w:ascii="宋体" w:hAnsi="宋体" w:eastAsia="宋体" w:cs="Times New Roman"/>
          <w:b/>
          <w:color w:val="auto"/>
          <w:sz w:val="24"/>
          <w:szCs w:val="21"/>
          <w:highlight w:val="none"/>
        </w:rPr>
        <w:t>④不得有其他体现投标人身份的内容。</w:t>
      </w:r>
    </w:p>
    <w:p w14:paraId="365BB501">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6</w:t>
      </w:r>
      <w:r>
        <w:rPr>
          <w:rFonts w:hint="eastAsia" w:ascii="宋体" w:hAnsi="宋体"/>
          <w:bCs/>
          <w:color w:val="auto"/>
          <w:sz w:val="24"/>
          <w:szCs w:val="24"/>
          <w:highlight w:val="none"/>
        </w:rPr>
        <w:t>、评分标准中对应的其他所需证明材料（如有自行添加）</w:t>
      </w:r>
    </w:p>
    <w:p w14:paraId="773BB97B">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7</w:t>
      </w:r>
      <w:r>
        <w:rPr>
          <w:rFonts w:hint="eastAsia" w:ascii="宋体" w:hAnsi="宋体"/>
          <w:bCs/>
          <w:color w:val="auto"/>
          <w:sz w:val="24"/>
          <w:szCs w:val="24"/>
          <w:highlight w:val="none"/>
        </w:rPr>
        <w:t>、要求采购人</w:t>
      </w:r>
      <w:r>
        <w:rPr>
          <w:rFonts w:hint="eastAsia" w:ascii="宋体" w:hAnsi="宋体"/>
          <w:bCs/>
          <w:color w:val="auto"/>
          <w:sz w:val="24"/>
          <w:szCs w:val="24"/>
          <w:highlight w:val="none"/>
          <w:lang w:eastAsia="zh-CN"/>
        </w:rPr>
        <w:t>提供</w:t>
      </w:r>
      <w:r>
        <w:rPr>
          <w:rFonts w:hint="eastAsia" w:ascii="宋体" w:hAnsi="宋体"/>
          <w:bCs/>
          <w:color w:val="auto"/>
          <w:sz w:val="24"/>
          <w:szCs w:val="24"/>
          <w:highlight w:val="none"/>
        </w:rPr>
        <w:t>配合（如有自拟并自行添加）</w:t>
      </w:r>
    </w:p>
    <w:p w14:paraId="4947A6E2">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8</w:t>
      </w:r>
      <w:r>
        <w:rPr>
          <w:rFonts w:hint="eastAsia" w:ascii="宋体" w:hAnsi="宋体"/>
          <w:bCs/>
          <w:color w:val="auto"/>
          <w:sz w:val="24"/>
          <w:szCs w:val="24"/>
          <w:highlight w:val="none"/>
        </w:rPr>
        <w:t>、其他（报价人认为有必要提供的声明和文件，如有自拟并自行添加）</w:t>
      </w:r>
    </w:p>
    <w:p w14:paraId="5CDA080A">
      <w:pPr>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上述1-</w:t>
      </w:r>
      <w:r>
        <w:rPr>
          <w:rFonts w:hint="eastAsia" w:ascii="宋体" w:hAnsi="宋体"/>
          <w:bCs/>
          <w:color w:val="auto"/>
          <w:sz w:val="24"/>
          <w:szCs w:val="24"/>
          <w:highlight w:val="none"/>
          <w:lang w:val="en-US" w:eastAsia="zh-CN"/>
        </w:rPr>
        <w:t>5</w:t>
      </w:r>
      <w:r>
        <w:rPr>
          <w:rFonts w:hint="eastAsia" w:ascii="宋体" w:hAnsi="宋体"/>
          <w:bCs/>
          <w:color w:val="auto"/>
          <w:sz w:val="24"/>
          <w:szCs w:val="24"/>
          <w:highlight w:val="none"/>
        </w:rPr>
        <w:t>项报价人必须按要求全部提供，否则响应文件无效。如上述资格证明文件遇年检、换证，则必须提供法定年检、换证单位出具的有效证明扫描件。如上述资格证明文件第（6）（7）（8）（9）四项遇有国家相关政策规定可不具备的，必须提供相关政策规定或相关单位出具的有效证明扫描件。报价人法定代表人或法定代表人授权代表为外籍、港、澳、台地区人士的，其身份证明须提供有效的护照或港澳同胞来往内地通行证、台湾同胞来往大陆通行证，或其他</w:t>
      </w:r>
      <w:r>
        <w:rPr>
          <w:rFonts w:hint="eastAsia" w:ascii="宋体" w:hAnsi="宋体"/>
          <w:bCs/>
          <w:color w:val="auto"/>
          <w:sz w:val="24"/>
          <w:szCs w:val="24"/>
          <w:highlight w:val="none"/>
          <w:lang w:eastAsia="zh-CN"/>
        </w:rPr>
        <w:t>可以</w:t>
      </w:r>
      <w:r>
        <w:rPr>
          <w:rFonts w:hint="eastAsia" w:ascii="宋体" w:hAnsi="宋体"/>
          <w:bCs/>
          <w:color w:val="auto"/>
          <w:sz w:val="24"/>
          <w:szCs w:val="24"/>
          <w:highlight w:val="none"/>
        </w:rPr>
        <w:t>在中国大陆有效居留的许可证明。</w:t>
      </w:r>
    </w:p>
    <w:p w14:paraId="33733C9A">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（七）投标文件的制作：</w:t>
      </w:r>
    </w:p>
    <w:p w14:paraId="35B0C87C">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1、所有文件、往来函件均应使用简体中文（规格、型号辅助符号除外）。</w:t>
      </w:r>
    </w:p>
    <w:p w14:paraId="3D928CBE">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2、投标文件由投标供应商按给定格式如实填写（编写），须有法人（盖章）、法定代表人或法定代表人授权代表签字或盖章，方为有效，未尽事宜可自行补充。</w:t>
      </w:r>
    </w:p>
    <w:p w14:paraId="77172ECF">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3、投标供应商报价一律以人民币为报价结算货币，结算单位为“元”。</w:t>
      </w:r>
    </w:p>
    <w:p w14:paraId="12A79965">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4、投标文件格式部分，应由投标供应商按给定格式提供，不得更改。</w:t>
      </w:r>
    </w:p>
    <w:p w14:paraId="300040F8">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5、投标文件不应有涂改、增删和潦草之处，如有必须修改时，修改处必须有法人、法定代表人或法定代表人授权代表的签章。</w:t>
      </w:r>
    </w:p>
    <w:p w14:paraId="33E37B11">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6、投标费用自理。</w:t>
      </w:r>
    </w:p>
    <w:p w14:paraId="57D18C49">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7、投标人应由其法定代表人或法定代表人授权代表在规定的网上投标时间内，凭CA数字证书</w:t>
      </w:r>
      <w:r>
        <w:rPr>
          <w:rFonts w:hint="eastAsia" w:ascii="宋体" w:hAnsi="宋体" w:eastAsia="宋体" w:cs="Times New Roman"/>
          <w:bCs/>
          <w:sz w:val="24"/>
          <w:szCs w:val="24"/>
          <w:highlight w:val="none"/>
          <w:lang w:eastAsia="zh-CN"/>
        </w:rPr>
        <w:t>登录</w:t>
      </w:r>
      <w:r>
        <w:rPr>
          <w:rFonts w:hint="eastAsia" w:ascii="宋体" w:hAnsi="宋体" w:eastAsia="宋体" w:cs="Times New Roman"/>
          <w:bCs/>
          <w:sz w:val="24"/>
          <w:szCs w:val="24"/>
          <w:highlight w:val="none"/>
        </w:rPr>
        <w:t>政府采购交易管理一体化系统获取采购文件，在投标客户端制作投标文件（电子数据），并在投标截止时间之前上传投标文件。</w:t>
      </w:r>
    </w:p>
    <w:p w14:paraId="1386F0C0">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8、投标人应对CA数字证书妥善保管，如被他人盗用投标，后果自负。</w:t>
      </w:r>
    </w:p>
    <w:p w14:paraId="17A02891">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9、投标人按采购文件规定的网上解密时间进行解密，如未按时解密后果自负。</w:t>
      </w:r>
    </w:p>
    <w:p w14:paraId="093FAE89">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10、投标人应当对采购文件提出的要求和条件作出实质性响应，并在电子投标系统逐条应答。</w:t>
      </w:r>
    </w:p>
    <w:p w14:paraId="2A05830B">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11、投标人应对要求提供的资格证明文件（如资质证书、资格证书）、技术资料（如白皮书、彩页、手册、检测报告等）扫描上传至投标系统。</w:t>
      </w:r>
    </w:p>
    <w:p w14:paraId="7A6B711A">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（八）网上投标</w:t>
      </w:r>
    </w:p>
    <w:p w14:paraId="2767D133">
      <w:pPr>
        <w:tabs>
          <w:tab w:val="left" w:pos="525"/>
          <w:tab w:val="left" w:pos="945"/>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1.</w:t>
      </w:r>
      <w:r>
        <w:rPr>
          <w:rFonts w:hint="eastAsia" w:ascii="宋体" w:hAnsi="宋体" w:eastAsia="宋体" w:cs="宋体"/>
          <w:sz w:val="24"/>
          <w:highlight w:val="none"/>
        </w:rPr>
        <w:t>投标人应由其法定代表人或法定代表人授权代表在规定的网上投标时间内，凭CA数字证书</w:t>
      </w:r>
      <w:r>
        <w:rPr>
          <w:rFonts w:hint="eastAsia" w:ascii="宋体" w:hAnsi="宋体" w:eastAsia="宋体" w:cs="宋体"/>
          <w:sz w:val="24"/>
          <w:highlight w:val="none"/>
          <w:lang w:eastAsia="zh-CN"/>
        </w:rPr>
        <w:t>登录</w:t>
      </w:r>
      <w:r>
        <w:rPr>
          <w:rFonts w:hint="eastAsia" w:ascii="宋体" w:hAnsi="宋体" w:eastAsia="宋体" w:cs="宋体"/>
          <w:sz w:val="24"/>
          <w:highlight w:val="none"/>
        </w:rPr>
        <w:t>江苏省政府采购（苏采云）平台获取招标文件，并在投标截止时间之前上传投标文件</w:t>
      </w:r>
      <w:r>
        <w:rPr>
          <w:rFonts w:hint="eastAsia" w:ascii="宋体" w:hAnsi="宋体" w:eastAsia="宋体" w:cs="Times New Roman"/>
          <w:bCs/>
          <w:color w:val="000000"/>
          <w:sz w:val="24"/>
          <w:szCs w:val="24"/>
          <w:highlight w:val="none"/>
        </w:rPr>
        <w:t>。</w:t>
      </w:r>
    </w:p>
    <w:p w14:paraId="54D162C0">
      <w:pPr>
        <w:tabs>
          <w:tab w:val="left" w:pos="525"/>
          <w:tab w:val="left" w:pos="945"/>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2.供应商应对CA数字证书妥善保管，如被他人盗用投标，后果自负。</w:t>
      </w:r>
    </w:p>
    <w:p w14:paraId="7FC635B0">
      <w:pPr>
        <w:tabs>
          <w:tab w:val="left" w:pos="525"/>
          <w:tab w:val="left" w:pos="945"/>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3.供应商按招标文件规定的</w:t>
      </w:r>
      <w:r>
        <w:rPr>
          <w:rFonts w:hint="eastAsia" w:ascii="宋体" w:hAnsi="宋体" w:eastAsia="宋体" w:cs="Times New Roman"/>
          <w:color w:val="000000"/>
          <w:sz w:val="24"/>
          <w:szCs w:val="24"/>
          <w:highlight w:val="none"/>
        </w:rPr>
        <w:t>网上解密时间</w:t>
      </w:r>
      <w:r>
        <w:rPr>
          <w:rFonts w:hint="eastAsia" w:ascii="宋体" w:hAnsi="宋体" w:eastAsia="宋体" w:cs="Times New Roman"/>
          <w:bCs/>
          <w:color w:val="000000"/>
          <w:sz w:val="24"/>
          <w:szCs w:val="24"/>
          <w:highlight w:val="none"/>
        </w:rPr>
        <w:t>进行解密，如未按时解密后果自负。</w:t>
      </w:r>
    </w:p>
    <w:p w14:paraId="7206AE40">
      <w:pPr>
        <w:tabs>
          <w:tab w:val="left" w:pos="525"/>
          <w:tab w:val="left" w:pos="945"/>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4.供应商应当对招标文件提出的要求和条件做出实质性响应，并在电子投标系统逐条应答。</w:t>
      </w:r>
    </w:p>
    <w:p w14:paraId="0557BD46">
      <w:pPr>
        <w:tabs>
          <w:tab w:val="left" w:pos="525"/>
          <w:tab w:val="left" w:pos="945"/>
        </w:tabs>
        <w:spacing w:line="360" w:lineRule="auto"/>
        <w:ind w:firstLine="48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5.供应商应对要求提供的资格证明文件、技术资料及其他扫描上传至投标系统。</w:t>
      </w:r>
    </w:p>
    <w:p w14:paraId="3C655B3B">
      <w:pPr>
        <w:numPr>
          <w:ilvl w:val="0"/>
          <w:numId w:val="0"/>
        </w:numPr>
        <w:tabs>
          <w:tab w:val="left" w:pos="525"/>
          <w:tab w:val="left" w:pos="945"/>
        </w:tabs>
        <w:spacing w:line="360" w:lineRule="auto"/>
        <w:ind w:left="1" w:leftChars="0" w:firstLine="523" w:firstLineChars="0"/>
        <w:rPr>
          <w:rFonts w:hint="eastAsia" w:ascii="宋体" w:hAnsi="宋体"/>
          <w:bCs/>
          <w:color w:val="auto"/>
          <w:sz w:val="24"/>
          <w:szCs w:val="24"/>
          <w:highlight w:val="none"/>
        </w:rPr>
      </w:pPr>
      <w:r>
        <w:rPr>
          <w:rFonts w:hint="eastAsia" w:ascii="宋体" w:hAnsi="宋体" w:eastAsia="宋体" w:cs="Times New Roman"/>
          <w:bCs/>
          <w:color w:val="000000"/>
          <w:sz w:val="24"/>
          <w:szCs w:val="24"/>
          <w:highlight w:val="none"/>
        </w:rPr>
        <w:t>6.供应商进行网上投标请参照《</w:t>
      </w:r>
      <w:r>
        <w:rPr>
          <w:rFonts w:hint="eastAsia" w:ascii="宋体" w:hAnsi="宋体" w:eastAsia="宋体" w:cs="宋体"/>
          <w:color w:val="000000"/>
          <w:sz w:val="24"/>
          <w:szCs w:val="24"/>
          <w:highlight w:val="none"/>
        </w:rPr>
        <w:t>“苏采云”系统供应商操作手册</w:t>
      </w:r>
      <w:r>
        <w:rPr>
          <w:rFonts w:hint="eastAsia" w:ascii="宋体" w:hAnsi="宋体" w:eastAsia="宋体" w:cs="Times New Roman"/>
          <w:color w:val="000000"/>
          <w:sz w:val="24"/>
          <w:szCs w:val="24"/>
          <w:highlight w:val="none"/>
        </w:rPr>
        <w:t>》</w:t>
      </w:r>
      <w:r>
        <w:rPr>
          <w:rFonts w:hint="eastAsia" w:ascii="宋体" w:hAnsi="宋体"/>
          <w:bCs/>
          <w:color w:val="auto"/>
          <w:sz w:val="24"/>
          <w:szCs w:val="24"/>
          <w:highlight w:val="none"/>
        </w:rPr>
        <w:t>。</w:t>
      </w:r>
    </w:p>
    <w:p w14:paraId="1769AFCB">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（九）无效投标文件的确认：</w:t>
      </w:r>
    </w:p>
    <w:p w14:paraId="4C89AB8E">
      <w:pPr>
        <w:tabs>
          <w:tab w:val="left" w:pos="945"/>
        </w:tabs>
        <w:spacing w:line="360" w:lineRule="auto"/>
        <w:ind w:firstLine="480"/>
        <w:rPr>
          <w:rFonts w:hint="eastAsia" w:ascii="黑体" w:hAnsi="宋体" w:eastAsia="黑体"/>
          <w:bCs/>
          <w:color w:val="auto"/>
          <w:sz w:val="24"/>
          <w:szCs w:val="24"/>
          <w:highlight w:val="none"/>
        </w:rPr>
      </w:pPr>
      <w:r>
        <w:rPr>
          <w:rFonts w:hint="eastAsia" w:ascii="宋体" w:hAnsi="宋体"/>
          <w:bCs/>
          <w:color w:val="auto"/>
          <w:sz w:val="24"/>
          <w:szCs w:val="24"/>
          <w:highlight w:val="none"/>
        </w:rPr>
        <w:t>投标人有下列情况之一者，投标文件无效：</w:t>
      </w:r>
    </w:p>
    <w:p w14:paraId="08051E5D">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w:t>
      </w:r>
      <w:r>
        <w:rPr>
          <w:rFonts w:hint="eastAsia" w:ascii="宋体" w:hAnsi="宋体" w:eastAsia="宋体" w:cs="Times New Roman"/>
          <w:bCs/>
          <w:sz w:val="24"/>
          <w:szCs w:val="24"/>
          <w:highlight w:val="none"/>
        </w:rPr>
        <w:t>未按规定在无锡市政府采购供应商主体信息库注册的</w:t>
      </w:r>
      <w:r>
        <w:rPr>
          <w:rFonts w:hint="eastAsia" w:ascii="宋体" w:hAnsi="宋体" w:eastAsia="宋体" w:cs="Times New Roman"/>
          <w:bCs/>
          <w:sz w:val="24"/>
          <w:szCs w:val="24"/>
          <w:highlight w:val="none"/>
          <w:lang w:val="en-US" w:eastAsia="zh-CN"/>
        </w:rPr>
        <w:t>；</w:t>
      </w:r>
    </w:p>
    <w:p w14:paraId="7BB21711">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2、电子</w:t>
      </w:r>
      <w:r>
        <w:rPr>
          <w:rFonts w:hint="eastAsia" w:ascii="宋体" w:hAnsi="宋体" w:eastAsia="宋体" w:cs="Times New Roman"/>
          <w:bCs/>
          <w:sz w:val="24"/>
          <w:szCs w:val="24"/>
          <w:highlight w:val="none"/>
        </w:rPr>
        <w:t>投标文件未按规定期限投标的，纸质投标文件（如有）未按规定的期限、地点送达的</w:t>
      </w:r>
      <w:r>
        <w:rPr>
          <w:rFonts w:hint="eastAsia" w:ascii="宋体" w:hAnsi="宋体" w:eastAsia="宋体" w:cs="Times New Roman"/>
          <w:bCs/>
          <w:sz w:val="24"/>
          <w:szCs w:val="24"/>
          <w:highlight w:val="none"/>
          <w:lang w:val="en-US" w:eastAsia="zh-CN"/>
        </w:rPr>
        <w:t>；</w:t>
      </w:r>
    </w:p>
    <w:p w14:paraId="767B01E2">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3、</w:t>
      </w:r>
      <w:r>
        <w:rPr>
          <w:rFonts w:hint="eastAsia" w:ascii="宋体" w:hAnsi="宋体" w:eastAsia="宋体" w:cs="Times New Roman"/>
          <w:bCs/>
          <w:sz w:val="24"/>
          <w:szCs w:val="24"/>
          <w:highlight w:val="none"/>
        </w:rPr>
        <w:t>电子投标文件未按</w:t>
      </w:r>
      <w:r>
        <w:rPr>
          <w:rFonts w:hint="eastAsia" w:ascii="宋体" w:hAnsi="宋体" w:eastAsia="宋体" w:cs="Times New Roman"/>
          <w:bCs/>
          <w:sz w:val="24"/>
          <w:szCs w:val="24"/>
          <w:highlight w:val="none"/>
          <w:lang w:val="en-US" w:eastAsia="zh-CN"/>
        </w:rPr>
        <w:t>采购</w:t>
      </w:r>
      <w:r>
        <w:rPr>
          <w:rFonts w:hint="eastAsia" w:ascii="宋体" w:hAnsi="宋体" w:eastAsia="宋体" w:cs="Times New Roman"/>
          <w:bCs/>
          <w:sz w:val="24"/>
          <w:szCs w:val="24"/>
          <w:highlight w:val="none"/>
        </w:rPr>
        <w:t>文件要求签章的</w:t>
      </w:r>
      <w:r>
        <w:rPr>
          <w:rFonts w:hint="eastAsia" w:ascii="宋体" w:hAnsi="宋体" w:eastAsia="宋体" w:cs="Times New Roman"/>
          <w:bCs/>
          <w:sz w:val="24"/>
          <w:szCs w:val="24"/>
          <w:highlight w:val="none"/>
          <w:lang w:val="en-US" w:eastAsia="zh-CN"/>
        </w:rPr>
        <w:t>；</w:t>
      </w:r>
    </w:p>
    <w:p w14:paraId="4F069DDB">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4、</w:t>
      </w:r>
      <w:r>
        <w:rPr>
          <w:rFonts w:hint="eastAsia" w:ascii="宋体" w:hAnsi="宋体" w:eastAsia="宋体" w:cs="Times New Roman"/>
          <w:bCs/>
          <w:sz w:val="24"/>
          <w:szCs w:val="24"/>
          <w:highlight w:val="none"/>
        </w:rPr>
        <w:t>在苏采云平台规定的时间内未成功解密电子响应文件的</w:t>
      </w:r>
      <w:r>
        <w:rPr>
          <w:rFonts w:hint="eastAsia" w:ascii="宋体" w:hAnsi="宋体" w:eastAsia="宋体" w:cs="Times New Roman"/>
          <w:bCs/>
          <w:sz w:val="24"/>
          <w:szCs w:val="24"/>
          <w:highlight w:val="none"/>
          <w:lang w:val="en-US" w:eastAsia="zh-CN"/>
        </w:rPr>
        <w:t>；</w:t>
      </w:r>
    </w:p>
    <w:p w14:paraId="0599FF88">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5、</w:t>
      </w:r>
      <w:r>
        <w:rPr>
          <w:rFonts w:hint="eastAsia" w:ascii="宋体" w:hAnsi="宋体" w:eastAsia="宋体" w:cs="Times New Roman"/>
          <w:bCs/>
          <w:sz w:val="24"/>
          <w:szCs w:val="24"/>
          <w:highlight w:val="none"/>
        </w:rPr>
        <w:t>未按</w:t>
      </w:r>
      <w:r>
        <w:rPr>
          <w:rFonts w:hint="eastAsia" w:ascii="宋体" w:hAnsi="宋体" w:eastAsia="宋体" w:cs="Times New Roman"/>
          <w:bCs/>
          <w:sz w:val="24"/>
          <w:szCs w:val="24"/>
          <w:highlight w:val="none"/>
          <w:lang w:val="en-US" w:eastAsia="zh-CN"/>
        </w:rPr>
        <w:t>采购</w:t>
      </w:r>
      <w:r>
        <w:rPr>
          <w:rFonts w:hint="eastAsia" w:ascii="宋体" w:hAnsi="宋体" w:eastAsia="宋体" w:cs="Times New Roman"/>
          <w:bCs/>
          <w:sz w:val="24"/>
          <w:szCs w:val="24"/>
          <w:highlight w:val="none"/>
        </w:rPr>
        <w:t>文件要求解密电子投标文件的</w:t>
      </w:r>
      <w:r>
        <w:rPr>
          <w:rFonts w:hint="eastAsia" w:ascii="宋体" w:hAnsi="宋体" w:eastAsia="宋体" w:cs="Times New Roman"/>
          <w:bCs/>
          <w:sz w:val="24"/>
          <w:szCs w:val="24"/>
          <w:highlight w:val="none"/>
          <w:lang w:val="en-US" w:eastAsia="zh-CN"/>
        </w:rPr>
        <w:t>；</w:t>
      </w:r>
    </w:p>
    <w:p w14:paraId="44AA6929">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6、</w:t>
      </w:r>
      <w:r>
        <w:rPr>
          <w:rFonts w:hint="eastAsia" w:ascii="宋体" w:hAnsi="宋体" w:eastAsia="宋体" w:cs="Times New Roman"/>
          <w:bCs/>
          <w:sz w:val="24"/>
          <w:szCs w:val="24"/>
          <w:highlight w:val="none"/>
          <w:lang w:eastAsia="zh-CN"/>
        </w:rPr>
        <w:t>投标供应商</w:t>
      </w:r>
      <w:r>
        <w:rPr>
          <w:rFonts w:hint="eastAsia" w:ascii="宋体" w:hAnsi="宋体" w:eastAsia="宋体" w:cs="Times New Roman"/>
          <w:bCs/>
          <w:sz w:val="24"/>
          <w:szCs w:val="24"/>
          <w:highlight w:val="none"/>
        </w:rPr>
        <w:t>的法定代表人授权代表，无法定代表人授权委托书的；</w:t>
      </w:r>
    </w:p>
    <w:p w14:paraId="53496D62">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7、项目（标段）投标总价</w:t>
      </w:r>
      <w:r>
        <w:rPr>
          <w:rFonts w:hint="eastAsia" w:ascii="宋体" w:hAnsi="宋体" w:eastAsia="宋体" w:cs="Times New Roman"/>
          <w:bCs/>
          <w:sz w:val="24"/>
          <w:szCs w:val="24"/>
          <w:highlight w:val="none"/>
        </w:rPr>
        <w:t>超过</w:t>
      </w:r>
      <w:r>
        <w:rPr>
          <w:rFonts w:hint="eastAsia" w:ascii="宋体" w:hAnsi="宋体" w:eastAsia="宋体" w:cs="Times New Roman"/>
          <w:bCs/>
          <w:sz w:val="24"/>
          <w:szCs w:val="24"/>
          <w:highlight w:val="none"/>
          <w:lang w:val="en-US" w:eastAsia="zh-CN"/>
        </w:rPr>
        <w:t>本项目（标段）</w:t>
      </w:r>
      <w:r>
        <w:rPr>
          <w:rFonts w:hint="eastAsia" w:ascii="宋体" w:hAnsi="宋体" w:eastAsia="宋体" w:cs="Times New Roman"/>
          <w:bCs/>
          <w:sz w:val="24"/>
          <w:szCs w:val="24"/>
          <w:highlight w:val="none"/>
        </w:rPr>
        <w:t>最高限价的；</w:t>
      </w:r>
    </w:p>
    <w:p w14:paraId="2F064D63">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8、</w:t>
      </w:r>
      <w:r>
        <w:rPr>
          <w:rFonts w:hint="eastAsia" w:ascii="宋体" w:hAnsi="宋体" w:eastAsia="宋体" w:cs="Times New Roman"/>
          <w:bCs/>
          <w:sz w:val="24"/>
          <w:szCs w:val="24"/>
          <w:highlight w:val="none"/>
        </w:rPr>
        <w:t>以联合体形式参加政府采购活动的各方再单独参加或者与其他供应商另外组成联合体参加同一合同项下的政府采购活动的。</w:t>
      </w:r>
    </w:p>
    <w:p w14:paraId="4093BF11">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9、</w:t>
      </w:r>
      <w:r>
        <w:rPr>
          <w:rFonts w:hint="eastAsia" w:ascii="宋体" w:hAnsi="宋体" w:eastAsia="宋体" w:cs="Times New Roman"/>
          <w:bCs/>
          <w:sz w:val="24"/>
          <w:szCs w:val="24"/>
          <w:highlight w:val="none"/>
        </w:rPr>
        <w:t>除单一来源采购项目外，为本项目提供整体设计、规范编制或者项目管理、监理、检测等服务的；</w:t>
      </w:r>
    </w:p>
    <w:p w14:paraId="2F752611">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10、</w:t>
      </w:r>
      <w:r>
        <w:rPr>
          <w:rFonts w:hint="eastAsia" w:ascii="宋体" w:hAnsi="宋体" w:eastAsia="宋体" w:cs="Times New Roman"/>
          <w:bCs/>
          <w:sz w:val="24"/>
          <w:szCs w:val="24"/>
          <w:highlight w:val="none"/>
        </w:rPr>
        <w:t>不具备</w:t>
      </w:r>
      <w:r>
        <w:rPr>
          <w:rFonts w:hint="eastAsia" w:ascii="宋体" w:hAnsi="宋体" w:eastAsia="宋体" w:cs="Times New Roman"/>
          <w:bCs/>
          <w:sz w:val="24"/>
          <w:szCs w:val="24"/>
          <w:highlight w:val="none"/>
          <w:lang w:eastAsia="zh-CN"/>
        </w:rPr>
        <w:t>采购文件</w:t>
      </w:r>
      <w:r>
        <w:rPr>
          <w:rFonts w:hint="eastAsia" w:ascii="宋体" w:hAnsi="宋体" w:eastAsia="宋体" w:cs="Times New Roman"/>
          <w:bCs/>
          <w:sz w:val="24"/>
          <w:szCs w:val="24"/>
          <w:highlight w:val="none"/>
        </w:rPr>
        <w:t>中规定的资格要求</w:t>
      </w:r>
      <w:r>
        <w:rPr>
          <w:rFonts w:hint="eastAsia" w:ascii="宋体" w:hAnsi="宋体" w:eastAsia="宋体" w:cs="Times New Roman"/>
          <w:bCs/>
          <w:sz w:val="24"/>
          <w:szCs w:val="24"/>
          <w:highlight w:val="none"/>
          <w:lang w:val="en-US" w:eastAsia="zh-CN"/>
        </w:rPr>
        <w:t>或</w:t>
      </w:r>
      <w:r>
        <w:rPr>
          <w:rFonts w:hint="eastAsia" w:ascii="宋体" w:hAnsi="宋体" w:eastAsia="宋体" w:cs="Times New Roman"/>
          <w:bCs/>
          <w:sz w:val="24"/>
          <w:szCs w:val="24"/>
          <w:highlight w:val="none"/>
        </w:rPr>
        <w:t>未按</w:t>
      </w:r>
      <w:r>
        <w:rPr>
          <w:rFonts w:hint="eastAsia" w:ascii="宋体" w:hAnsi="宋体" w:eastAsia="宋体" w:cs="Times New Roman"/>
          <w:bCs/>
          <w:sz w:val="24"/>
          <w:szCs w:val="24"/>
          <w:highlight w:val="none"/>
          <w:lang w:eastAsia="zh-CN"/>
        </w:rPr>
        <w:t>采购文件</w:t>
      </w:r>
      <w:r>
        <w:rPr>
          <w:rFonts w:hint="eastAsia" w:ascii="宋体" w:hAnsi="宋体" w:eastAsia="宋体" w:cs="Times New Roman"/>
          <w:bCs/>
          <w:sz w:val="24"/>
          <w:szCs w:val="24"/>
          <w:highlight w:val="none"/>
        </w:rPr>
        <w:t>规定的要求提供资格、资信证明文件的；</w:t>
      </w:r>
    </w:p>
    <w:p w14:paraId="4E4EA277">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11、</w:t>
      </w:r>
      <w:r>
        <w:rPr>
          <w:rFonts w:hint="eastAsia" w:ascii="宋体" w:hAnsi="宋体" w:eastAsia="宋体" w:cs="Times New Roman"/>
          <w:bCs/>
          <w:sz w:val="24"/>
          <w:szCs w:val="24"/>
          <w:highlight w:val="none"/>
        </w:rPr>
        <w:t>被“信用中国”网站（</w:t>
      </w:r>
      <w:r>
        <w:rPr>
          <w:rFonts w:hint="eastAsia" w:ascii="宋体" w:hAnsi="宋体" w:eastAsia="宋体" w:cs="Times New Roman"/>
          <w:bCs/>
          <w:sz w:val="24"/>
          <w:szCs w:val="24"/>
          <w:highlight w:val="none"/>
        </w:rPr>
        <w:fldChar w:fldCharType="begin"/>
      </w:r>
      <w:r>
        <w:rPr>
          <w:rFonts w:hint="eastAsia" w:ascii="宋体" w:hAnsi="宋体" w:eastAsia="宋体" w:cs="Times New Roman"/>
          <w:bCs/>
          <w:sz w:val="24"/>
          <w:szCs w:val="24"/>
          <w:highlight w:val="none"/>
        </w:rPr>
        <w:instrText xml:space="preserve"> HYPERLINK "http://www.creditchina.gov.cn" </w:instrText>
      </w:r>
      <w:r>
        <w:rPr>
          <w:rFonts w:hint="eastAsia" w:ascii="宋体" w:hAnsi="宋体" w:eastAsia="宋体" w:cs="Times New Roman"/>
          <w:bCs/>
          <w:sz w:val="24"/>
          <w:szCs w:val="24"/>
          <w:highlight w:val="none"/>
        </w:rPr>
        <w:fldChar w:fldCharType="separate"/>
      </w:r>
      <w:r>
        <w:rPr>
          <w:rFonts w:hint="eastAsia" w:ascii="宋体" w:hAnsi="宋体" w:eastAsia="宋体" w:cs="Times New Roman"/>
          <w:bCs/>
          <w:sz w:val="24"/>
          <w:szCs w:val="24"/>
          <w:highlight w:val="none"/>
        </w:rPr>
        <w:t>www.creditchina.gov.cn</w:t>
      </w:r>
      <w:r>
        <w:rPr>
          <w:rFonts w:hint="eastAsia" w:ascii="宋体" w:hAnsi="宋体" w:eastAsia="宋体" w:cs="Times New Roman"/>
          <w:bCs/>
          <w:sz w:val="24"/>
          <w:szCs w:val="24"/>
          <w:highlight w:val="none"/>
        </w:rPr>
        <w:fldChar w:fldCharType="end"/>
      </w:r>
      <w:r>
        <w:rPr>
          <w:rFonts w:hint="eastAsia" w:ascii="宋体" w:hAnsi="宋体" w:eastAsia="宋体" w:cs="Times New Roman"/>
          <w:bCs/>
          <w:sz w:val="24"/>
          <w:szCs w:val="24"/>
          <w:highlight w:val="none"/>
        </w:rPr>
        <w:t>）、中国政府采购网</w:t>
      </w:r>
      <w:r>
        <w:rPr>
          <w:rFonts w:hint="eastAsia" w:ascii="宋体" w:hAnsi="宋体" w:eastAsia="宋体" w:cs="Times New Roman"/>
          <w:bCs/>
          <w:sz w:val="24"/>
          <w:szCs w:val="24"/>
          <w:highlight w:val="none"/>
          <w:lang w:eastAsia="zh-CN"/>
        </w:rPr>
        <w:t>（</w:t>
      </w:r>
      <w:r>
        <w:rPr>
          <w:rFonts w:hint="eastAsia" w:ascii="宋体" w:hAnsi="宋体" w:eastAsia="宋体" w:cs="Times New Roman"/>
          <w:bCs/>
          <w:sz w:val="24"/>
          <w:szCs w:val="24"/>
          <w:highlight w:val="none"/>
        </w:rPr>
        <w:t>www.ccgp.gov.cn</w:t>
      </w:r>
      <w:r>
        <w:rPr>
          <w:rFonts w:hint="eastAsia" w:ascii="宋体" w:hAnsi="宋体" w:eastAsia="宋体" w:cs="Times New Roman"/>
          <w:bCs/>
          <w:sz w:val="24"/>
          <w:szCs w:val="24"/>
          <w:highlight w:val="none"/>
          <w:lang w:eastAsia="zh-CN"/>
        </w:rPr>
        <w:t>）、“信用江苏”网站（http://credit.jiangsu.gov.cn）</w:t>
      </w:r>
      <w:r>
        <w:rPr>
          <w:rFonts w:hint="eastAsia" w:ascii="宋体" w:hAnsi="宋体" w:eastAsia="宋体" w:cs="Times New Roman"/>
          <w:bCs/>
          <w:sz w:val="24"/>
          <w:szCs w:val="24"/>
          <w:highlight w:val="none"/>
        </w:rPr>
        <w:t>列入失信被执行人、重大税收违法案件当事人名单、政府采购严重违法失信行为记录名单的</w:t>
      </w:r>
      <w:r>
        <w:rPr>
          <w:rFonts w:hint="eastAsia" w:ascii="宋体" w:hAnsi="宋体" w:eastAsia="宋体" w:cs="Times New Roman"/>
          <w:bCs/>
          <w:sz w:val="24"/>
          <w:szCs w:val="24"/>
          <w:highlight w:val="none"/>
          <w:lang w:val="en-US" w:eastAsia="zh-CN"/>
        </w:rPr>
        <w:t>；</w:t>
      </w:r>
    </w:p>
    <w:p w14:paraId="26254E6A">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12、</w:t>
      </w:r>
      <w:r>
        <w:rPr>
          <w:rFonts w:hint="eastAsia" w:ascii="宋体" w:hAnsi="宋体" w:eastAsia="宋体" w:cs="Times New Roman"/>
          <w:bCs/>
          <w:sz w:val="24"/>
          <w:szCs w:val="24"/>
          <w:highlight w:val="none"/>
        </w:rPr>
        <w:t>投标文件未按</w:t>
      </w:r>
      <w:r>
        <w:rPr>
          <w:rFonts w:hint="eastAsia" w:ascii="宋体" w:hAnsi="宋体" w:eastAsia="宋体" w:cs="Times New Roman"/>
          <w:bCs/>
          <w:sz w:val="24"/>
          <w:szCs w:val="24"/>
          <w:highlight w:val="none"/>
          <w:lang w:val="en-US" w:eastAsia="zh-CN"/>
        </w:rPr>
        <w:t>采购</w:t>
      </w:r>
      <w:r>
        <w:rPr>
          <w:rFonts w:hint="eastAsia" w:ascii="宋体" w:hAnsi="宋体" w:eastAsia="宋体" w:cs="Times New Roman"/>
          <w:bCs/>
          <w:sz w:val="24"/>
          <w:szCs w:val="24"/>
          <w:highlight w:val="none"/>
        </w:rPr>
        <w:t>文件规定的内容和要求填写的；没有在投标系统指定位置上传对应文件、材料的；</w:t>
      </w:r>
    </w:p>
    <w:p w14:paraId="0DDA0372">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13、</w:t>
      </w:r>
      <w:r>
        <w:rPr>
          <w:rFonts w:hint="eastAsia" w:ascii="宋体" w:hAnsi="宋体" w:eastAsia="宋体" w:cs="Times New Roman"/>
          <w:bCs/>
          <w:sz w:val="24"/>
          <w:szCs w:val="24"/>
          <w:highlight w:val="none"/>
        </w:rPr>
        <w:t>投标文件图片、字迹模糊不清、无法辨认的</w:t>
      </w:r>
      <w:r>
        <w:rPr>
          <w:rFonts w:hint="eastAsia" w:ascii="宋体" w:hAnsi="宋体" w:eastAsia="宋体" w:cs="Times New Roman"/>
          <w:bCs/>
          <w:sz w:val="24"/>
          <w:szCs w:val="24"/>
          <w:highlight w:val="none"/>
          <w:lang w:val="en-US" w:eastAsia="zh-CN"/>
        </w:rPr>
        <w:t>；</w:t>
      </w:r>
    </w:p>
    <w:p w14:paraId="51076AE0">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14、</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rPr>
        <w:t>的单位负责人为同一人或者存在直接控股、管理关系的；</w:t>
      </w:r>
    </w:p>
    <w:p w14:paraId="12F16C7A">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15、投标文件</w:t>
      </w:r>
      <w:r>
        <w:rPr>
          <w:rFonts w:hint="eastAsia" w:ascii="宋体" w:hAnsi="宋体" w:eastAsia="宋体" w:cs="Times New Roman"/>
          <w:bCs/>
          <w:sz w:val="24"/>
          <w:szCs w:val="24"/>
          <w:highlight w:val="none"/>
        </w:rPr>
        <w:t>中有</w:t>
      </w:r>
      <w:r>
        <w:rPr>
          <w:rFonts w:hint="eastAsia" w:ascii="宋体" w:hAnsi="宋体" w:eastAsia="宋体" w:cs="Times New Roman"/>
          <w:bCs/>
          <w:sz w:val="24"/>
          <w:szCs w:val="24"/>
          <w:highlight w:val="none"/>
          <w:lang w:val="en-US" w:eastAsia="zh-CN"/>
        </w:rPr>
        <w:t>采购</w:t>
      </w:r>
      <w:r>
        <w:rPr>
          <w:rFonts w:hint="eastAsia" w:ascii="宋体" w:hAnsi="宋体" w:eastAsia="宋体" w:cs="Times New Roman"/>
          <w:bCs/>
          <w:sz w:val="24"/>
          <w:szCs w:val="24"/>
          <w:highlight w:val="none"/>
          <w:lang w:eastAsia="zh-CN"/>
        </w:rPr>
        <w:t>文件</w:t>
      </w:r>
      <w:r>
        <w:rPr>
          <w:rFonts w:hint="eastAsia" w:ascii="宋体" w:hAnsi="宋体" w:cs="Times New Roman"/>
          <w:bCs/>
          <w:sz w:val="24"/>
          <w:szCs w:val="24"/>
          <w:highlight w:val="none"/>
          <w:lang w:eastAsia="zh-CN"/>
        </w:rPr>
        <w:t>不</w:t>
      </w:r>
      <w:r>
        <w:rPr>
          <w:rFonts w:hint="eastAsia" w:ascii="宋体" w:hAnsi="宋体" w:eastAsia="宋体" w:cs="Times New Roman"/>
          <w:bCs/>
          <w:sz w:val="24"/>
          <w:szCs w:val="24"/>
          <w:highlight w:val="none"/>
        </w:rPr>
        <w:t>允许提供的选择性内容；</w:t>
      </w:r>
    </w:p>
    <w:p w14:paraId="6CA439AE">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16、</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lang w:val="en-US" w:eastAsia="zh-CN"/>
        </w:rPr>
        <w:t>的投标文件</w:t>
      </w:r>
      <w:r>
        <w:rPr>
          <w:rFonts w:hint="eastAsia" w:ascii="宋体" w:hAnsi="宋体" w:eastAsia="宋体" w:cs="Times New Roman"/>
          <w:bCs/>
          <w:sz w:val="24"/>
          <w:szCs w:val="24"/>
          <w:highlight w:val="none"/>
        </w:rPr>
        <w:t>相互混装的；</w:t>
      </w:r>
    </w:p>
    <w:p w14:paraId="0070E7EB">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17、</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rPr>
        <w:t>委托同一单位或者个人办理投标事宜</w:t>
      </w:r>
      <w:r>
        <w:rPr>
          <w:rFonts w:hint="eastAsia" w:ascii="宋体" w:hAnsi="宋体" w:eastAsia="宋体" w:cs="Times New Roman"/>
          <w:bCs/>
          <w:sz w:val="24"/>
          <w:szCs w:val="24"/>
          <w:highlight w:val="none"/>
          <w:lang w:val="en-US" w:eastAsia="zh-CN"/>
        </w:rPr>
        <w:t>的；</w:t>
      </w:r>
    </w:p>
    <w:p w14:paraId="544743CF">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18、</w:t>
      </w:r>
      <w:r>
        <w:rPr>
          <w:rFonts w:hint="eastAsia" w:ascii="宋体" w:hAnsi="宋体" w:eastAsia="宋体" w:cs="Times New Roman"/>
          <w:bCs/>
          <w:sz w:val="24"/>
          <w:szCs w:val="24"/>
          <w:highlight w:val="none"/>
        </w:rPr>
        <w:t>不同投标</w:t>
      </w:r>
      <w:r>
        <w:rPr>
          <w:rFonts w:hint="eastAsia" w:ascii="宋体" w:hAnsi="宋体" w:eastAsia="宋体" w:cs="Times New Roman"/>
          <w:bCs/>
          <w:sz w:val="24"/>
          <w:szCs w:val="24"/>
          <w:highlight w:val="none"/>
          <w:lang w:val="en-US" w:eastAsia="zh-CN"/>
        </w:rPr>
        <w:t>供应商</w:t>
      </w:r>
      <w:r>
        <w:rPr>
          <w:rFonts w:hint="eastAsia" w:ascii="宋体" w:hAnsi="宋体" w:eastAsia="宋体" w:cs="Times New Roman"/>
          <w:bCs/>
          <w:sz w:val="24"/>
          <w:szCs w:val="24"/>
          <w:highlight w:val="none"/>
        </w:rPr>
        <w:t>的投标文件由同一单位或者个人编制的；</w:t>
      </w:r>
    </w:p>
    <w:p w14:paraId="21D74E02">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19、</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rPr>
        <w:t>聘请同一人为其投标提供技术或经济咨询服务的；</w:t>
      </w:r>
    </w:p>
    <w:p w14:paraId="643CF5A3">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20、</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lang w:val="en-US" w:eastAsia="zh-CN"/>
        </w:rPr>
        <w:t>投标文件</w:t>
      </w:r>
      <w:r>
        <w:rPr>
          <w:rFonts w:hint="eastAsia" w:ascii="宋体" w:hAnsi="宋体" w:eastAsia="宋体" w:cs="Times New Roman"/>
          <w:bCs/>
          <w:sz w:val="24"/>
          <w:szCs w:val="24"/>
          <w:highlight w:val="none"/>
        </w:rPr>
        <w:t>内容存在非正常一致、项目组成员出现同一人、</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文件</w:t>
      </w:r>
      <w:r>
        <w:rPr>
          <w:rFonts w:hint="eastAsia" w:ascii="宋体" w:hAnsi="宋体" w:eastAsia="宋体" w:cs="Times New Roman"/>
          <w:bCs/>
          <w:sz w:val="24"/>
          <w:szCs w:val="24"/>
          <w:highlight w:val="none"/>
        </w:rPr>
        <w:t>中错误（或异常）一致或雷同、电子文档信息一致或雷同的；</w:t>
      </w:r>
    </w:p>
    <w:p w14:paraId="731A784D">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21、</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lang w:val="en-US" w:eastAsia="zh-CN"/>
        </w:rPr>
        <w:t>的投标</w:t>
      </w:r>
      <w:r>
        <w:rPr>
          <w:rFonts w:hint="eastAsia" w:ascii="宋体" w:hAnsi="宋体" w:eastAsia="宋体" w:cs="Times New Roman"/>
          <w:bCs/>
          <w:sz w:val="24"/>
          <w:szCs w:val="24"/>
          <w:highlight w:val="none"/>
        </w:rPr>
        <w:t>报价呈规律性</w:t>
      </w:r>
      <w:r>
        <w:rPr>
          <w:rFonts w:hint="eastAsia" w:ascii="宋体" w:hAnsi="宋体" w:eastAsia="宋体" w:cs="Times New Roman"/>
          <w:bCs/>
          <w:sz w:val="24"/>
          <w:szCs w:val="24"/>
          <w:highlight w:val="none"/>
          <w:lang w:val="en-US" w:eastAsia="zh-CN"/>
        </w:rPr>
        <w:t>差异的</w:t>
      </w:r>
      <w:r>
        <w:rPr>
          <w:rFonts w:hint="eastAsia" w:ascii="宋体" w:hAnsi="宋体" w:eastAsia="宋体" w:cs="Times New Roman"/>
          <w:bCs/>
          <w:sz w:val="24"/>
          <w:szCs w:val="24"/>
          <w:highlight w:val="none"/>
        </w:rPr>
        <w:t>，故意哄抬价格或压价等</w:t>
      </w:r>
      <w:r>
        <w:rPr>
          <w:rFonts w:hint="eastAsia" w:ascii="宋体" w:hAnsi="宋体" w:eastAsia="宋体" w:cs="Times New Roman"/>
          <w:bCs/>
          <w:sz w:val="24"/>
          <w:szCs w:val="24"/>
          <w:highlight w:val="none"/>
          <w:lang w:eastAsia="zh-CN"/>
        </w:rPr>
        <w:t>其他</w:t>
      </w:r>
      <w:r>
        <w:rPr>
          <w:rFonts w:hint="eastAsia" w:ascii="宋体" w:hAnsi="宋体" w:eastAsia="宋体" w:cs="Times New Roman"/>
          <w:bCs/>
          <w:sz w:val="24"/>
          <w:szCs w:val="24"/>
          <w:highlight w:val="none"/>
        </w:rPr>
        <w:t>恶意串通投标的；</w:t>
      </w:r>
    </w:p>
    <w:p w14:paraId="447B2A3C">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22、</w:t>
      </w:r>
      <w:r>
        <w:rPr>
          <w:rFonts w:hint="eastAsia" w:ascii="宋体" w:hAnsi="宋体" w:eastAsia="宋体" w:cs="Times New Roman"/>
          <w:bCs/>
          <w:sz w:val="24"/>
          <w:szCs w:val="24"/>
          <w:highlight w:val="none"/>
        </w:rPr>
        <w:t>提供虚假材料的（包括工商营业执照、财务报表、资格、资信证明文件等）；</w:t>
      </w:r>
    </w:p>
    <w:p w14:paraId="76E3DC11">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23、投标</w:t>
      </w:r>
      <w:r>
        <w:rPr>
          <w:rFonts w:hint="eastAsia" w:ascii="宋体" w:hAnsi="宋体" w:eastAsia="宋体" w:cs="Times New Roman"/>
          <w:bCs/>
          <w:sz w:val="24"/>
          <w:szCs w:val="24"/>
          <w:highlight w:val="none"/>
          <w:lang w:eastAsia="zh-CN"/>
        </w:rPr>
        <w:t>文件</w:t>
      </w:r>
      <w:r>
        <w:rPr>
          <w:rFonts w:hint="eastAsia" w:ascii="宋体" w:hAnsi="宋体" w:eastAsia="宋体" w:cs="Times New Roman"/>
          <w:bCs/>
          <w:sz w:val="24"/>
          <w:szCs w:val="24"/>
          <w:highlight w:val="none"/>
        </w:rPr>
        <w:t>中同一方案有选择性报价且未声明以哪一个为准的；</w:t>
      </w:r>
    </w:p>
    <w:p w14:paraId="7EE09F45">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24、投标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rPr>
        <w:t>的</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rPr>
        <w:t>报价畸高或畸低，投标总报价与各分项报价不能相互对应，在询标时没有合理的解释或者不能提供计算依据和报价依据的；</w:t>
      </w:r>
    </w:p>
    <w:p w14:paraId="2EA2363D">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25、</w:t>
      </w:r>
      <w:r>
        <w:rPr>
          <w:rFonts w:hint="eastAsia" w:ascii="宋体" w:hAnsi="宋体" w:eastAsia="宋体" w:cs="Times New Roman"/>
          <w:bCs/>
          <w:sz w:val="24"/>
          <w:szCs w:val="24"/>
          <w:highlight w:val="none"/>
        </w:rPr>
        <w:t>未按要求提供技术文件的；</w:t>
      </w:r>
    </w:p>
    <w:p w14:paraId="500ED781">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26、</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rPr>
        <w:t>的</w:t>
      </w:r>
      <w:r>
        <w:rPr>
          <w:rFonts w:hint="eastAsia" w:ascii="宋体" w:hAnsi="宋体" w:eastAsia="宋体" w:cs="Times New Roman"/>
          <w:bCs/>
          <w:sz w:val="24"/>
          <w:szCs w:val="24"/>
          <w:highlight w:val="none"/>
          <w:lang w:val="en-US" w:eastAsia="zh-CN"/>
        </w:rPr>
        <w:t>响应文件</w:t>
      </w:r>
      <w:r>
        <w:rPr>
          <w:rFonts w:hint="eastAsia" w:ascii="宋体" w:hAnsi="宋体" w:eastAsia="宋体" w:cs="Times New Roman"/>
          <w:bCs/>
          <w:sz w:val="24"/>
          <w:szCs w:val="24"/>
          <w:highlight w:val="none"/>
        </w:rPr>
        <w:t>的装订形式、纸张情况、目录序号、排版格式、文字风格等存在明显的相似性或一致性，特征显示由同一单位或者同一个人编制的；</w:t>
      </w:r>
    </w:p>
    <w:p w14:paraId="58070220">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27、</w:t>
      </w:r>
      <w:r>
        <w:rPr>
          <w:rFonts w:hint="eastAsia" w:ascii="宋体" w:hAnsi="宋体" w:eastAsia="宋体" w:cs="Times New Roman"/>
          <w:bCs/>
          <w:sz w:val="24"/>
          <w:szCs w:val="24"/>
          <w:highlight w:val="none"/>
        </w:rPr>
        <w:t>不同</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w:t>
      </w:r>
      <w:r>
        <w:rPr>
          <w:rFonts w:hint="eastAsia" w:ascii="宋体" w:hAnsi="宋体" w:eastAsia="宋体" w:cs="Times New Roman"/>
          <w:bCs/>
          <w:sz w:val="24"/>
          <w:szCs w:val="24"/>
          <w:highlight w:val="none"/>
        </w:rPr>
        <w:t>的委托代理人、项目负责人以及其他相关人员有在同一个单位缴纳社会保险</w:t>
      </w:r>
      <w:r>
        <w:rPr>
          <w:rFonts w:hint="eastAsia" w:ascii="宋体" w:hAnsi="宋体" w:eastAsia="宋体" w:cs="Times New Roman"/>
          <w:bCs/>
          <w:sz w:val="24"/>
          <w:szCs w:val="24"/>
          <w:highlight w:val="none"/>
          <w:lang w:val="en-US" w:eastAsia="zh-CN"/>
        </w:rPr>
        <w:t>的；</w:t>
      </w:r>
    </w:p>
    <w:p w14:paraId="4C847892">
      <w:pPr>
        <w:spacing w:line="360" w:lineRule="auto"/>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lang w:val="en-US" w:eastAsia="zh-CN"/>
        </w:rPr>
        <w:t>28、</w:t>
      </w:r>
      <w:r>
        <w:rPr>
          <w:rFonts w:hint="eastAsia" w:ascii="宋体" w:hAnsi="宋体" w:eastAsia="宋体" w:cs="Times New Roman"/>
          <w:bCs/>
          <w:sz w:val="24"/>
          <w:szCs w:val="24"/>
          <w:highlight w:val="none"/>
        </w:rPr>
        <w:t>同一</w:t>
      </w:r>
      <w:r>
        <w:rPr>
          <w:rFonts w:hint="eastAsia" w:ascii="宋体" w:hAnsi="宋体" w:eastAsia="宋体" w:cs="Times New Roman"/>
          <w:bCs/>
          <w:sz w:val="24"/>
          <w:szCs w:val="24"/>
          <w:highlight w:val="none"/>
          <w:lang w:val="en-US" w:eastAsia="zh-CN"/>
        </w:rPr>
        <w:t>投标文件</w:t>
      </w:r>
      <w:r>
        <w:rPr>
          <w:rFonts w:hint="eastAsia" w:ascii="宋体" w:hAnsi="宋体" w:eastAsia="宋体" w:cs="Times New Roman"/>
          <w:bCs/>
          <w:sz w:val="24"/>
          <w:szCs w:val="24"/>
          <w:highlight w:val="none"/>
        </w:rPr>
        <w:t>中单位名称落款与公章不是同一单位的；</w:t>
      </w:r>
    </w:p>
    <w:p w14:paraId="5F98A7CD">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29、</w:t>
      </w:r>
      <w:r>
        <w:rPr>
          <w:rFonts w:hint="eastAsia" w:ascii="宋体" w:hAnsi="宋体" w:eastAsia="宋体" w:cs="Times New Roman"/>
          <w:bCs/>
          <w:sz w:val="24"/>
          <w:szCs w:val="24"/>
          <w:highlight w:val="none"/>
        </w:rPr>
        <w:t>评标委员会认为供应商的报价明显低于其他通过符合性审查供应商的报价，有可能影响产品质量或者不能诚信履约的，应当要求其在</w:t>
      </w:r>
      <w:r>
        <w:rPr>
          <w:rFonts w:hint="eastAsia" w:ascii="宋体" w:hAnsi="宋体" w:eastAsia="宋体" w:cs="Times New Roman"/>
          <w:bCs/>
          <w:sz w:val="24"/>
          <w:szCs w:val="24"/>
          <w:highlight w:val="none"/>
          <w:lang w:val="en-US" w:eastAsia="zh-CN"/>
        </w:rPr>
        <w:t>一小时</w:t>
      </w:r>
      <w:r>
        <w:rPr>
          <w:rFonts w:hint="eastAsia" w:ascii="宋体" w:hAnsi="宋体" w:eastAsia="宋体" w:cs="Times New Roman"/>
          <w:bCs/>
          <w:sz w:val="24"/>
          <w:szCs w:val="24"/>
          <w:highlight w:val="none"/>
        </w:rPr>
        <w:t>内通过苏采云平台（使用“CA数字证书”</w:t>
      </w:r>
      <w:r>
        <w:rPr>
          <w:rFonts w:hint="eastAsia" w:ascii="宋体" w:hAnsi="宋体" w:eastAsia="宋体" w:cs="Times New Roman"/>
          <w:bCs/>
          <w:sz w:val="24"/>
          <w:szCs w:val="24"/>
          <w:highlight w:val="none"/>
          <w:lang w:eastAsia="zh-CN"/>
        </w:rPr>
        <w:t>，</w:t>
      </w:r>
      <w:r>
        <w:rPr>
          <w:rFonts w:hint="eastAsia" w:ascii="宋体" w:hAnsi="宋体" w:eastAsia="宋体" w:cs="Times New Roman"/>
          <w:bCs/>
          <w:sz w:val="24"/>
          <w:szCs w:val="24"/>
          <w:highlight w:val="none"/>
        </w:rPr>
        <w:t>加盖电子签章）提供书面说明，必要时提交相关证明材料；供应商不能证明其报价合理性的，评标委员会应当将其作为无效响应处理；</w:t>
      </w:r>
    </w:p>
    <w:p w14:paraId="4BEF3F15">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30、不同投标供应商的投标文件由同一台电脑编制或者同一把数字证书加密锁加密或者同一台附属设备打印的；</w:t>
      </w:r>
    </w:p>
    <w:p w14:paraId="536E880B">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31、各投标供应商的投标文件上传使用的MAC地址和IP地址一致的，不同投标文件留有相同标记标识、存在两处以上一致性错误或雷同等情况，视为投标供应商相互围标、串标，其投标无效；</w:t>
      </w:r>
    </w:p>
    <w:p w14:paraId="6B21C181">
      <w:pPr>
        <w:spacing w:line="360" w:lineRule="auto"/>
        <w:ind w:firstLine="480" w:firstLineChars="200"/>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32、投标</w:t>
      </w:r>
      <w:r>
        <w:rPr>
          <w:rFonts w:hint="eastAsia" w:ascii="宋体" w:hAnsi="宋体" w:eastAsia="宋体" w:cs="Times New Roman"/>
          <w:bCs/>
          <w:sz w:val="24"/>
          <w:szCs w:val="24"/>
          <w:highlight w:val="none"/>
        </w:rPr>
        <w:t>文件对</w:t>
      </w:r>
      <w:r>
        <w:rPr>
          <w:rFonts w:hint="eastAsia" w:ascii="宋体" w:hAnsi="宋体" w:eastAsia="宋体" w:cs="Times New Roman"/>
          <w:bCs/>
          <w:sz w:val="24"/>
          <w:szCs w:val="24"/>
          <w:highlight w:val="none"/>
          <w:lang w:val="en-US" w:eastAsia="zh-CN"/>
        </w:rPr>
        <w:t>采购</w:t>
      </w:r>
      <w:r>
        <w:rPr>
          <w:rFonts w:hint="eastAsia" w:ascii="宋体" w:hAnsi="宋体" w:eastAsia="宋体" w:cs="Times New Roman"/>
          <w:bCs/>
          <w:sz w:val="24"/>
          <w:szCs w:val="24"/>
          <w:highlight w:val="none"/>
        </w:rPr>
        <w:t>文件采购需求中</w:t>
      </w:r>
      <w:r>
        <w:rPr>
          <w:rFonts w:hint="eastAsia" w:ascii="宋体" w:hAnsi="宋体" w:eastAsia="宋体" w:cs="Times New Roman"/>
          <w:bCs/>
          <w:sz w:val="24"/>
          <w:szCs w:val="24"/>
          <w:highlight w:val="none"/>
          <w:lang w:val="en-US" w:eastAsia="zh-CN"/>
        </w:rPr>
        <w:t>工期、质量</w:t>
      </w:r>
      <w:r>
        <w:rPr>
          <w:rFonts w:hint="eastAsia" w:ascii="宋体" w:hAnsi="宋体" w:eastAsia="宋体" w:cs="Times New Roman"/>
          <w:bCs/>
          <w:sz w:val="24"/>
          <w:szCs w:val="24"/>
          <w:highlight w:val="none"/>
        </w:rPr>
        <w:t>的要求、标准未实质性响应的；</w:t>
      </w:r>
    </w:p>
    <w:p w14:paraId="11C0EBFB">
      <w:pPr>
        <w:spacing w:line="360" w:lineRule="auto"/>
        <w:ind w:firstLine="480" w:firstLineChars="200"/>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33、投标文件</w:t>
      </w:r>
      <w:r>
        <w:rPr>
          <w:rFonts w:hint="eastAsia" w:ascii="宋体" w:hAnsi="宋体" w:eastAsia="宋体" w:cs="Times New Roman"/>
          <w:bCs/>
          <w:sz w:val="24"/>
          <w:szCs w:val="24"/>
          <w:highlight w:val="none"/>
          <w:lang w:eastAsia="zh-CN"/>
        </w:rPr>
        <w:t>含有采购人不能接受的附加条件的；</w:t>
      </w:r>
    </w:p>
    <w:p w14:paraId="05C7343F">
      <w:pPr>
        <w:spacing w:line="360" w:lineRule="auto"/>
        <w:ind w:firstLine="480" w:firstLineChars="200"/>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34、投标文件</w:t>
      </w:r>
      <w:r>
        <w:rPr>
          <w:rFonts w:hint="eastAsia" w:ascii="宋体" w:hAnsi="宋体" w:eastAsia="宋体" w:cs="Times New Roman"/>
          <w:bCs/>
          <w:sz w:val="24"/>
          <w:szCs w:val="24"/>
          <w:highlight w:val="none"/>
          <w:lang w:eastAsia="zh-CN"/>
        </w:rPr>
        <w:t>报价出现前后不一致，</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供应商拒不确认修正后的报价的；</w:t>
      </w:r>
    </w:p>
    <w:p w14:paraId="4FE605E0">
      <w:pPr>
        <w:spacing w:line="360" w:lineRule="auto"/>
        <w:ind w:firstLine="480" w:firstLineChars="200"/>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35、</w:t>
      </w:r>
      <w:r>
        <w:rPr>
          <w:rFonts w:hint="eastAsia" w:ascii="宋体" w:hAnsi="宋体" w:eastAsia="宋体" w:cs="Times New Roman"/>
          <w:bCs/>
          <w:sz w:val="24"/>
          <w:szCs w:val="24"/>
          <w:highlight w:val="none"/>
          <w:lang w:eastAsia="zh-CN"/>
        </w:rPr>
        <w:t>未通过</w:t>
      </w:r>
      <w:r>
        <w:rPr>
          <w:rFonts w:hint="eastAsia" w:ascii="宋体" w:hAnsi="宋体" w:eastAsia="宋体" w:cs="Times New Roman"/>
          <w:bCs/>
          <w:sz w:val="24"/>
          <w:szCs w:val="24"/>
          <w:highlight w:val="none"/>
          <w:lang w:val="en-US" w:eastAsia="zh-CN"/>
        </w:rPr>
        <w:t>投标文件</w:t>
      </w:r>
      <w:r>
        <w:rPr>
          <w:rFonts w:hint="eastAsia" w:ascii="宋体" w:hAnsi="宋体" w:eastAsia="宋体" w:cs="Times New Roman"/>
          <w:bCs/>
          <w:sz w:val="24"/>
          <w:szCs w:val="24"/>
          <w:highlight w:val="none"/>
          <w:lang w:eastAsia="zh-CN"/>
        </w:rPr>
        <w:t>资格性检查、</w:t>
      </w:r>
      <w:r>
        <w:rPr>
          <w:rFonts w:hint="eastAsia" w:ascii="宋体" w:hAnsi="宋体" w:eastAsia="宋体" w:cs="Times New Roman"/>
          <w:bCs/>
          <w:sz w:val="24"/>
          <w:szCs w:val="24"/>
          <w:highlight w:val="none"/>
          <w:lang w:val="en-US" w:eastAsia="zh-CN"/>
        </w:rPr>
        <w:t>投标文件</w:t>
      </w:r>
      <w:r>
        <w:rPr>
          <w:rFonts w:hint="eastAsia" w:ascii="宋体" w:hAnsi="宋体" w:eastAsia="宋体" w:cs="Times New Roman"/>
          <w:bCs/>
          <w:sz w:val="24"/>
          <w:szCs w:val="24"/>
          <w:highlight w:val="none"/>
          <w:lang w:eastAsia="zh-CN"/>
        </w:rPr>
        <w:t>符合性检查的；</w:t>
      </w:r>
    </w:p>
    <w:p w14:paraId="3B04B84F">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36、投标</w:t>
      </w:r>
      <w:r>
        <w:rPr>
          <w:rFonts w:hint="eastAsia" w:ascii="宋体" w:hAnsi="宋体" w:eastAsia="宋体" w:cs="Times New Roman"/>
          <w:bCs/>
          <w:sz w:val="24"/>
          <w:szCs w:val="24"/>
          <w:highlight w:val="none"/>
          <w:lang w:eastAsia="zh-CN"/>
        </w:rPr>
        <w:t>供应商未遵循公平竞争的原则，恶意串通，妨碍其他</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供应商的竞争行为，损害采购人或者其他</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供应商的合法权益的；</w:t>
      </w:r>
    </w:p>
    <w:p w14:paraId="43A2F766">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37、</w:t>
      </w:r>
      <w:r>
        <w:rPr>
          <w:rFonts w:hint="eastAsia" w:ascii="宋体" w:hAnsi="宋体" w:eastAsia="宋体" w:cs="Times New Roman"/>
          <w:bCs/>
          <w:sz w:val="24"/>
          <w:szCs w:val="24"/>
          <w:highlight w:val="none"/>
          <w:lang w:eastAsia="zh-CN"/>
        </w:rPr>
        <w:t>商务标和技术标未</w:t>
      </w:r>
      <w:r>
        <w:rPr>
          <w:rFonts w:hint="eastAsia" w:ascii="宋体" w:hAnsi="宋体" w:eastAsia="宋体" w:cs="Times New Roman"/>
          <w:bCs/>
          <w:sz w:val="24"/>
          <w:szCs w:val="24"/>
          <w:highlight w:val="none"/>
          <w:lang w:val="en-US" w:eastAsia="zh-CN"/>
        </w:rPr>
        <w:t>按采购文件要求制作，</w:t>
      </w:r>
      <w:r>
        <w:rPr>
          <w:rFonts w:hint="eastAsia" w:ascii="宋体" w:hAnsi="宋体" w:eastAsia="宋体" w:cs="Times New Roman"/>
          <w:bCs/>
          <w:sz w:val="24"/>
          <w:szCs w:val="24"/>
          <w:highlight w:val="none"/>
          <w:lang w:eastAsia="zh-CN"/>
        </w:rPr>
        <w:t>未加盖</w:t>
      </w:r>
      <w:r>
        <w:rPr>
          <w:rFonts w:hint="eastAsia" w:ascii="宋体" w:hAnsi="宋体" w:eastAsia="宋体" w:cs="Times New Roman"/>
          <w:bCs/>
          <w:sz w:val="24"/>
          <w:szCs w:val="24"/>
          <w:highlight w:val="none"/>
          <w:lang w:val="en-US" w:eastAsia="zh-CN"/>
        </w:rPr>
        <w:t>投标</w:t>
      </w:r>
      <w:r>
        <w:rPr>
          <w:rFonts w:hint="eastAsia" w:ascii="宋体" w:hAnsi="宋体" w:eastAsia="宋体" w:cs="Times New Roman"/>
          <w:bCs/>
          <w:sz w:val="24"/>
          <w:szCs w:val="24"/>
          <w:highlight w:val="none"/>
          <w:lang w:eastAsia="zh-CN"/>
        </w:rPr>
        <w:t>供应商公章及法定代表人或授权代表签字或盖章的；</w:t>
      </w:r>
    </w:p>
    <w:p w14:paraId="5C89C9C0">
      <w:pPr>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38、投标文件内容不全或不符合采购文件中规定的其他实质性要求的；</w:t>
      </w:r>
    </w:p>
    <w:p w14:paraId="752CD3D6">
      <w:pPr>
        <w:tabs>
          <w:tab w:val="left" w:pos="945"/>
        </w:tabs>
        <w:spacing w:line="360" w:lineRule="auto"/>
        <w:ind w:firstLine="480"/>
        <w:rPr>
          <w:rFonts w:hint="eastAsia" w:ascii="宋体" w:hAnsi="宋体" w:eastAsia="宋体" w:cs="Times New Roman"/>
          <w:bCs/>
          <w:sz w:val="24"/>
          <w:szCs w:val="24"/>
          <w:highlight w:val="none"/>
          <w:lang w:eastAsia="zh-CN"/>
        </w:rPr>
      </w:pPr>
      <w:r>
        <w:rPr>
          <w:rFonts w:hint="eastAsia" w:ascii="宋体" w:hAnsi="宋体" w:eastAsia="宋体" w:cs="Times New Roman"/>
          <w:bCs/>
          <w:sz w:val="24"/>
          <w:szCs w:val="24"/>
          <w:highlight w:val="none"/>
          <w:lang w:val="en-US" w:eastAsia="zh-CN"/>
        </w:rPr>
        <w:t>39、</w:t>
      </w:r>
      <w:r>
        <w:rPr>
          <w:rFonts w:hint="eastAsia" w:ascii="宋体" w:hAnsi="宋体" w:eastAsia="宋体" w:cs="Times New Roman"/>
          <w:bCs/>
          <w:sz w:val="24"/>
          <w:szCs w:val="24"/>
          <w:highlight w:val="none"/>
          <w:lang w:eastAsia="zh-CN"/>
        </w:rPr>
        <w:t>法律法规和</w:t>
      </w:r>
      <w:r>
        <w:rPr>
          <w:rFonts w:hint="eastAsia" w:ascii="宋体" w:hAnsi="宋体" w:eastAsia="宋体" w:cs="Times New Roman"/>
          <w:bCs/>
          <w:sz w:val="24"/>
          <w:szCs w:val="24"/>
          <w:highlight w:val="none"/>
          <w:lang w:val="en-US" w:eastAsia="zh-CN"/>
        </w:rPr>
        <w:t>采购文件</w:t>
      </w:r>
      <w:r>
        <w:rPr>
          <w:rFonts w:hint="eastAsia" w:ascii="宋体" w:hAnsi="宋体" w:eastAsia="宋体" w:cs="Times New Roman"/>
          <w:bCs/>
          <w:sz w:val="24"/>
          <w:szCs w:val="24"/>
          <w:highlight w:val="none"/>
          <w:lang w:eastAsia="zh-CN"/>
        </w:rPr>
        <w:t>规定的其他无效情形；</w:t>
      </w:r>
    </w:p>
    <w:p w14:paraId="1C137F38">
      <w:pPr>
        <w:tabs>
          <w:tab w:val="left" w:pos="945"/>
        </w:tabs>
        <w:spacing w:line="360" w:lineRule="auto"/>
        <w:ind w:firstLine="480"/>
        <w:rPr>
          <w:rFonts w:hint="default"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40、出现异常低价投标单位未能在规定时间内提供书面说明、证明材料，或者提供的书面说明、证明材料不能证明其报价合理性的；</w:t>
      </w:r>
    </w:p>
    <w:p w14:paraId="11024522">
      <w:pPr>
        <w:tabs>
          <w:tab w:val="left" w:pos="945"/>
        </w:tabs>
        <w:spacing w:line="360" w:lineRule="auto"/>
        <w:ind w:firstLine="480"/>
        <w:rPr>
          <w:rFonts w:hint="default" w:ascii="宋体" w:hAnsi="宋体" w:eastAsia="宋体" w:cs="Times New Roman"/>
          <w:b/>
          <w:bCs w:val="0"/>
          <w:sz w:val="24"/>
          <w:szCs w:val="24"/>
          <w:highlight w:val="none"/>
          <w:lang w:val="en-US" w:eastAsia="zh-CN"/>
        </w:rPr>
      </w:pPr>
      <w:r>
        <w:rPr>
          <w:rFonts w:hint="eastAsia" w:ascii="宋体" w:hAnsi="宋体" w:eastAsia="宋体" w:cs="Times New Roman"/>
          <w:b/>
          <w:bCs w:val="0"/>
          <w:sz w:val="24"/>
          <w:szCs w:val="24"/>
          <w:highlight w:val="none"/>
          <w:lang w:val="en-US" w:eastAsia="zh-CN"/>
        </w:rPr>
        <w:t>41、技术标页码</w:t>
      </w:r>
      <w:r>
        <w:rPr>
          <w:rFonts w:hint="eastAsia" w:ascii="宋体" w:hAnsi="宋体" w:cs="Times New Roman"/>
          <w:b/>
          <w:bCs w:val="0"/>
          <w:sz w:val="24"/>
          <w:szCs w:val="24"/>
          <w:highlight w:val="none"/>
          <w:lang w:val="en-US" w:eastAsia="zh-CN"/>
        </w:rPr>
        <w:t>小于50页或大于300</w:t>
      </w:r>
      <w:r>
        <w:rPr>
          <w:rFonts w:hint="eastAsia" w:ascii="宋体" w:hAnsi="宋体" w:eastAsia="宋体" w:cs="Times New Roman"/>
          <w:b/>
          <w:bCs w:val="0"/>
          <w:sz w:val="24"/>
          <w:szCs w:val="24"/>
          <w:highlight w:val="none"/>
          <w:lang w:val="en-US" w:eastAsia="zh-CN"/>
        </w:rPr>
        <w:t>页的。</w:t>
      </w:r>
    </w:p>
    <w:p w14:paraId="29FE73DB">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（十）开标、评标：</w:t>
      </w:r>
    </w:p>
    <w:p w14:paraId="21AF55C7">
      <w:pPr>
        <w:numPr>
          <w:ilvl w:val="1"/>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所有投标单位在招标文件规定的时间内解密各自投标文件</w:t>
      </w:r>
      <w:r>
        <w:rPr>
          <w:rFonts w:hint="eastAsia" w:ascii="宋体" w:hAnsi="宋体"/>
          <w:bCs/>
          <w:color w:val="auto"/>
          <w:sz w:val="24"/>
          <w:szCs w:val="24"/>
          <w:highlight w:val="none"/>
          <w:lang w:eastAsia="zh-CN"/>
        </w:rPr>
        <w:t>。</w:t>
      </w:r>
    </w:p>
    <w:p w14:paraId="5E7A7621">
      <w:pPr>
        <w:numPr>
          <w:ilvl w:val="1"/>
          <w:numId w:val="5"/>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投标截止时间后参加投标的供应商或解密投标文件的供应商不足三家的，不开标</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rPr>
        <w:t>开标后，所有投标供应商可在线上开标</w:t>
      </w:r>
      <w:r>
        <w:rPr>
          <w:rFonts w:hint="eastAsia" w:ascii="宋体" w:hAnsi="宋体"/>
          <w:bCs/>
          <w:color w:val="auto"/>
          <w:sz w:val="24"/>
          <w:szCs w:val="24"/>
          <w:highlight w:val="none"/>
          <w:lang w:eastAsia="zh-CN"/>
        </w:rPr>
        <w:t>大厅</w:t>
      </w:r>
      <w:r>
        <w:rPr>
          <w:rFonts w:hint="eastAsia" w:ascii="宋体" w:hAnsi="宋体"/>
          <w:bCs/>
          <w:color w:val="auto"/>
          <w:sz w:val="24"/>
          <w:szCs w:val="24"/>
          <w:highlight w:val="none"/>
        </w:rPr>
        <w:t>看到所有投标人的投标报价</w:t>
      </w:r>
      <w:r>
        <w:rPr>
          <w:rFonts w:hint="eastAsia" w:ascii="宋体" w:hAnsi="宋体"/>
          <w:bCs/>
          <w:color w:val="auto"/>
          <w:sz w:val="24"/>
          <w:szCs w:val="24"/>
          <w:highlight w:val="none"/>
          <w:lang w:eastAsia="zh-CN"/>
        </w:rPr>
        <w:t>。</w:t>
      </w:r>
    </w:p>
    <w:p w14:paraId="1B12AABB">
      <w:pPr>
        <w:numPr>
          <w:ilvl w:val="1"/>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开标时，投标文件</w:t>
      </w:r>
      <w:r>
        <w:rPr>
          <w:rFonts w:ascii="宋体" w:hAnsi="宋体"/>
          <w:bCs/>
          <w:color w:val="auto"/>
          <w:sz w:val="24"/>
          <w:szCs w:val="24"/>
          <w:highlight w:val="none"/>
        </w:rPr>
        <w:t>报价出现前后不一致的，按照下列规定修正：</w:t>
      </w:r>
    </w:p>
    <w:p w14:paraId="362C7A23">
      <w:pPr>
        <w:tabs>
          <w:tab w:val="left" w:pos="630"/>
          <w:tab w:val="left" w:pos="945"/>
          <w:tab w:val="left" w:pos="1155"/>
          <w:tab w:val="left" w:pos="1554"/>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（一）</w:t>
      </w:r>
      <w:r>
        <w:rPr>
          <w:rFonts w:ascii="宋体" w:hAnsi="宋体"/>
          <w:bCs/>
          <w:color w:val="auto"/>
          <w:sz w:val="24"/>
          <w:szCs w:val="24"/>
          <w:highlight w:val="none"/>
        </w:rPr>
        <w:t>投标文件中开标一览表（报价表）内容与投标文件中相应内容不一致</w:t>
      </w:r>
      <w:r>
        <w:rPr>
          <w:rFonts w:hint="eastAsia" w:ascii="宋体" w:hAnsi="宋体"/>
          <w:bCs/>
          <w:color w:val="auto"/>
          <w:sz w:val="24"/>
          <w:szCs w:val="24"/>
          <w:highlight w:val="none"/>
          <w:lang w:eastAsia="zh-CN"/>
        </w:rPr>
        <w:t>时</w:t>
      </w:r>
      <w:r>
        <w:rPr>
          <w:rFonts w:ascii="宋体" w:hAnsi="宋体"/>
          <w:bCs/>
          <w:color w:val="auto"/>
          <w:sz w:val="24"/>
          <w:szCs w:val="24"/>
          <w:highlight w:val="none"/>
        </w:rPr>
        <w:t>，以开标一览表（报价表）为准；</w:t>
      </w:r>
    </w:p>
    <w:p w14:paraId="63565F03">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（二）</w:t>
      </w:r>
      <w:r>
        <w:rPr>
          <w:rFonts w:ascii="宋体" w:hAnsi="宋体"/>
          <w:bCs/>
          <w:color w:val="auto"/>
          <w:sz w:val="24"/>
          <w:szCs w:val="24"/>
          <w:highlight w:val="none"/>
        </w:rPr>
        <w:t>大写金额和小写金额不一致</w:t>
      </w:r>
      <w:r>
        <w:rPr>
          <w:rFonts w:hint="eastAsia" w:ascii="宋体" w:hAnsi="宋体"/>
          <w:bCs/>
          <w:color w:val="auto"/>
          <w:sz w:val="24"/>
          <w:szCs w:val="24"/>
          <w:highlight w:val="none"/>
          <w:lang w:eastAsia="zh-CN"/>
        </w:rPr>
        <w:t>时</w:t>
      </w:r>
      <w:r>
        <w:rPr>
          <w:rFonts w:ascii="宋体" w:hAnsi="宋体"/>
          <w:bCs/>
          <w:color w:val="auto"/>
          <w:sz w:val="24"/>
          <w:szCs w:val="24"/>
          <w:highlight w:val="none"/>
        </w:rPr>
        <w:t>，以大写金额为准；</w:t>
      </w:r>
    </w:p>
    <w:p w14:paraId="0387EF2E">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（三）</w:t>
      </w:r>
      <w:r>
        <w:rPr>
          <w:rFonts w:ascii="宋体" w:hAnsi="宋体"/>
          <w:bCs/>
          <w:color w:val="auto"/>
          <w:sz w:val="24"/>
          <w:szCs w:val="24"/>
          <w:highlight w:val="none"/>
        </w:rPr>
        <w:t>单价金额小数点或者百分比有明显错位</w:t>
      </w:r>
      <w:r>
        <w:rPr>
          <w:rFonts w:hint="eastAsia" w:ascii="宋体" w:hAnsi="宋体"/>
          <w:bCs/>
          <w:color w:val="auto"/>
          <w:sz w:val="24"/>
          <w:szCs w:val="24"/>
          <w:highlight w:val="none"/>
          <w:lang w:eastAsia="zh-CN"/>
        </w:rPr>
        <w:t>时</w:t>
      </w:r>
      <w:r>
        <w:rPr>
          <w:rFonts w:ascii="宋体" w:hAnsi="宋体"/>
          <w:bCs/>
          <w:color w:val="auto"/>
          <w:sz w:val="24"/>
          <w:szCs w:val="24"/>
          <w:highlight w:val="none"/>
        </w:rPr>
        <w:t>，以开标一览表的总价为准，并修改单价；</w:t>
      </w:r>
    </w:p>
    <w:p w14:paraId="10EF5935">
      <w:pPr>
        <w:tabs>
          <w:tab w:val="left" w:pos="630"/>
          <w:tab w:val="left" w:pos="945"/>
          <w:tab w:val="left" w:pos="115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（四）</w:t>
      </w:r>
      <w:r>
        <w:rPr>
          <w:rFonts w:ascii="宋体" w:hAnsi="宋体"/>
          <w:bCs/>
          <w:color w:val="auto"/>
          <w:sz w:val="24"/>
          <w:szCs w:val="24"/>
          <w:highlight w:val="none"/>
        </w:rPr>
        <w:t>总价金额与按单价汇总金额不一致</w:t>
      </w:r>
      <w:r>
        <w:rPr>
          <w:rFonts w:hint="eastAsia" w:ascii="宋体" w:hAnsi="宋体"/>
          <w:bCs/>
          <w:color w:val="auto"/>
          <w:sz w:val="24"/>
          <w:szCs w:val="24"/>
          <w:highlight w:val="none"/>
          <w:lang w:eastAsia="zh-CN"/>
        </w:rPr>
        <w:t>时</w:t>
      </w:r>
      <w:r>
        <w:rPr>
          <w:rFonts w:ascii="宋体" w:hAnsi="宋体"/>
          <w:bCs/>
          <w:color w:val="auto"/>
          <w:sz w:val="24"/>
          <w:szCs w:val="24"/>
          <w:highlight w:val="none"/>
        </w:rPr>
        <w:t>，以单价金额计算结果为准。</w:t>
      </w:r>
    </w:p>
    <w:p w14:paraId="493E0126">
      <w:pPr>
        <w:tabs>
          <w:tab w:val="left" w:pos="945"/>
        </w:tabs>
        <w:spacing w:line="360" w:lineRule="auto"/>
        <w:ind w:firstLine="480"/>
        <w:rPr>
          <w:rFonts w:hint="eastAsia" w:ascii="宋体" w:hAnsi="宋体"/>
          <w:bCs/>
          <w:color w:val="auto"/>
          <w:sz w:val="24"/>
          <w:szCs w:val="24"/>
          <w:highlight w:val="none"/>
        </w:rPr>
      </w:pPr>
      <w:r>
        <w:rPr>
          <w:rFonts w:ascii="宋体" w:hAnsi="宋体"/>
          <w:bCs/>
          <w:color w:val="auto"/>
          <w:sz w:val="24"/>
          <w:szCs w:val="24"/>
          <w:highlight w:val="none"/>
        </w:rPr>
        <w:t>同时出现两种以上不一致</w:t>
      </w:r>
      <w:r>
        <w:rPr>
          <w:rFonts w:hint="eastAsia" w:ascii="宋体" w:hAnsi="宋体"/>
          <w:bCs/>
          <w:color w:val="auto"/>
          <w:sz w:val="24"/>
          <w:szCs w:val="24"/>
          <w:highlight w:val="none"/>
          <w:lang w:eastAsia="zh-CN"/>
        </w:rPr>
        <w:t>情况的</w:t>
      </w:r>
      <w:r>
        <w:rPr>
          <w:rFonts w:ascii="宋体" w:hAnsi="宋体"/>
          <w:bCs/>
          <w:color w:val="auto"/>
          <w:sz w:val="24"/>
          <w:szCs w:val="24"/>
          <w:highlight w:val="none"/>
        </w:rPr>
        <w:t>，按照前款规定的顺序修正。修正后的报价</w:t>
      </w:r>
      <w:r>
        <w:rPr>
          <w:rFonts w:hint="eastAsia" w:ascii="宋体" w:hAnsi="宋体"/>
          <w:bCs/>
          <w:color w:val="auto"/>
          <w:sz w:val="24"/>
          <w:szCs w:val="24"/>
          <w:highlight w:val="none"/>
          <w:lang w:eastAsia="zh-CN"/>
        </w:rPr>
        <w:t>，评</w:t>
      </w:r>
      <w:r>
        <w:rPr>
          <w:rFonts w:hint="eastAsia" w:ascii="宋体" w:hAnsi="宋体"/>
          <w:bCs/>
          <w:color w:val="auto"/>
          <w:sz w:val="24"/>
          <w:szCs w:val="24"/>
          <w:highlight w:val="none"/>
        </w:rPr>
        <w:t>标委员会</w:t>
      </w:r>
      <w:r>
        <w:rPr>
          <w:rFonts w:ascii="宋体" w:hAnsi="宋体"/>
          <w:bCs/>
          <w:color w:val="auto"/>
          <w:sz w:val="24"/>
          <w:szCs w:val="24"/>
          <w:highlight w:val="none"/>
        </w:rPr>
        <w:t>应当以书面形式要求</w:t>
      </w:r>
      <w:r>
        <w:rPr>
          <w:rFonts w:hint="eastAsia" w:ascii="宋体" w:hAnsi="宋体"/>
          <w:bCs/>
          <w:color w:val="auto"/>
          <w:sz w:val="24"/>
          <w:szCs w:val="24"/>
          <w:highlight w:val="none"/>
        </w:rPr>
        <w:t>投标</w:t>
      </w:r>
      <w:r>
        <w:rPr>
          <w:rFonts w:ascii="宋体" w:hAnsi="宋体"/>
          <w:bCs/>
          <w:color w:val="auto"/>
          <w:sz w:val="24"/>
          <w:szCs w:val="24"/>
          <w:highlight w:val="none"/>
        </w:rPr>
        <w:t>人作出必要的澄清、说明或者补正</w:t>
      </w:r>
      <w:r>
        <w:rPr>
          <w:rFonts w:hint="eastAsia" w:ascii="宋体" w:hAnsi="宋体"/>
          <w:bCs/>
          <w:color w:val="auto"/>
          <w:sz w:val="24"/>
          <w:szCs w:val="24"/>
          <w:highlight w:val="none"/>
        </w:rPr>
        <w:t>，</w:t>
      </w:r>
      <w:r>
        <w:rPr>
          <w:rFonts w:ascii="宋体" w:hAnsi="宋体"/>
          <w:bCs/>
          <w:color w:val="auto"/>
          <w:sz w:val="24"/>
          <w:szCs w:val="24"/>
          <w:highlight w:val="none"/>
        </w:rPr>
        <w:t>经投标人确认后产生约束力</w:t>
      </w:r>
      <w:r>
        <w:rPr>
          <w:rFonts w:hint="eastAsia" w:ascii="宋体" w:hAnsi="宋体"/>
          <w:bCs/>
          <w:color w:val="auto"/>
          <w:sz w:val="24"/>
          <w:szCs w:val="24"/>
          <w:highlight w:val="none"/>
          <w:lang w:eastAsia="zh-CN"/>
        </w:rPr>
        <w:t>。</w:t>
      </w:r>
      <w:r>
        <w:rPr>
          <w:rFonts w:ascii="宋体" w:hAnsi="宋体"/>
          <w:bCs/>
          <w:color w:val="auto"/>
          <w:sz w:val="24"/>
          <w:szCs w:val="24"/>
          <w:highlight w:val="none"/>
        </w:rPr>
        <w:t>投标人不确认的，其投标无效</w:t>
      </w:r>
      <w:r>
        <w:rPr>
          <w:rFonts w:hint="eastAsia" w:ascii="宋体" w:hAnsi="宋体"/>
          <w:bCs/>
          <w:color w:val="auto"/>
          <w:sz w:val="24"/>
          <w:szCs w:val="24"/>
          <w:highlight w:val="none"/>
        </w:rPr>
        <w:t>。</w:t>
      </w:r>
    </w:p>
    <w:p w14:paraId="6ABEDFCD">
      <w:pPr>
        <w:numPr>
          <w:ilvl w:val="1"/>
          <w:numId w:val="5"/>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电子投标文件与纸质投标文件（如有）不符</w:t>
      </w:r>
      <w:r>
        <w:rPr>
          <w:rFonts w:hint="eastAsia" w:ascii="宋体" w:hAnsi="宋体"/>
          <w:bCs/>
          <w:color w:val="auto"/>
          <w:sz w:val="24"/>
          <w:szCs w:val="24"/>
          <w:highlight w:val="none"/>
          <w:lang w:eastAsia="zh-CN"/>
        </w:rPr>
        <w:t>时</w:t>
      </w:r>
      <w:r>
        <w:rPr>
          <w:rFonts w:hint="eastAsia" w:ascii="宋体" w:hAnsi="宋体"/>
          <w:bCs/>
          <w:color w:val="auto"/>
          <w:sz w:val="24"/>
          <w:szCs w:val="24"/>
          <w:highlight w:val="none"/>
        </w:rPr>
        <w:t>，以电子投标文件为准。</w:t>
      </w:r>
    </w:p>
    <w:p w14:paraId="379CA2E0">
      <w:pPr>
        <w:numPr>
          <w:ilvl w:val="1"/>
          <w:numId w:val="5"/>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投标人未参加开标的，视同认可开标结果。</w:t>
      </w:r>
    </w:p>
    <w:p w14:paraId="0F213854">
      <w:pPr>
        <w:numPr>
          <w:ilvl w:val="1"/>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评标程序</w:t>
      </w:r>
    </w:p>
    <w:p w14:paraId="087AB6E6">
      <w:pPr>
        <w:tabs>
          <w:tab w:val="left" w:pos="945"/>
        </w:tabs>
        <w:spacing w:line="360" w:lineRule="auto"/>
        <w:ind w:firstLine="523"/>
        <w:rPr>
          <w:rFonts w:hint="eastAsia" w:ascii="宋体" w:hAnsi="宋体"/>
          <w:bCs/>
          <w:color w:val="auto"/>
          <w:sz w:val="24"/>
          <w:szCs w:val="24"/>
          <w:highlight w:val="none"/>
        </w:rPr>
      </w:pPr>
      <w:r>
        <w:rPr>
          <w:rFonts w:hint="eastAsia" w:ascii="宋体" w:hAnsi="宋体"/>
          <w:bCs/>
          <w:color w:val="auto"/>
          <w:sz w:val="24"/>
          <w:szCs w:val="24"/>
          <w:highlight w:val="none"/>
        </w:rPr>
        <w:t>评标工作由江苏万力通项目管理有限公司负责组织，具体评标事务由依法组建的评标委员会负责。</w:t>
      </w:r>
    </w:p>
    <w:p w14:paraId="66C75ADC">
      <w:pPr>
        <w:numPr>
          <w:ilvl w:val="0"/>
          <w:numId w:val="0"/>
        </w:numPr>
        <w:tabs>
          <w:tab w:val="left" w:pos="630"/>
          <w:tab w:val="left" w:pos="945"/>
          <w:tab w:val="left" w:pos="1155"/>
        </w:tabs>
        <w:spacing w:line="360" w:lineRule="auto"/>
        <w:ind w:left="0" w:leftChars="0" w:firstLine="523" w:firstLineChars="0"/>
        <w:rPr>
          <w:rFonts w:hint="eastAsia" w:ascii="宋体" w:hAnsi="宋体" w:cs="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（1）</w:t>
      </w:r>
      <w:r>
        <w:rPr>
          <w:rFonts w:hint="eastAsia" w:ascii="宋体" w:hAnsi="宋体" w:cs="宋体"/>
          <w:bCs/>
          <w:color w:val="auto"/>
          <w:sz w:val="24"/>
          <w:szCs w:val="24"/>
          <w:highlight w:val="none"/>
        </w:rPr>
        <w:t>投标文件初审</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初审分为资格性检查和符合性检查。</w:t>
      </w:r>
    </w:p>
    <w:p w14:paraId="08F5AACD">
      <w:pPr>
        <w:tabs>
          <w:tab w:val="left" w:pos="525"/>
          <w:tab w:val="left" w:pos="630"/>
          <w:tab w:val="left" w:pos="945"/>
          <w:tab w:val="left" w:pos="1365"/>
        </w:tabs>
        <w:spacing w:line="360" w:lineRule="auto"/>
        <w:ind w:firstLine="523"/>
        <w:rPr>
          <w:rFonts w:hint="eastAsia" w:ascii="宋体" w:hAnsi="宋体" w:cs="宋体"/>
          <w:bCs/>
          <w:color w:val="auto"/>
          <w:sz w:val="24"/>
          <w:szCs w:val="24"/>
          <w:highlight w:val="none"/>
        </w:rPr>
      </w:pPr>
      <w:r>
        <w:rPr>
          <w:rFonts w:hint="eastAsia" w:ascii="宋体" w:hAnsi="宋体"/>
          <w:bCs/>
          <w:color w:val="auto"/>
          <w:sz w:val="24"/>
          <w:szCs w:val="24"/>
          <w:highlight w:val="none"/>
        </w:rPr>
        <w:t>①</w:t>
      </w:r>
      <w:r>
        <w:rPr>
          <w:rFonts w:hint="eastAsia" w:ascii="宋体" w:hAnsi="宋体" w:cs="宋体"/>
          <w:bCs/>
          <w:color w:val="auto"/>
          <w:sz w:val="24"/>
          <w:szCs w:val="24"/>
          <w:highlight w:val="none"/>
        </w:rPr>
        <w:t>资格性检查</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采购人和代理机构依据法律法规和招标文件的规定，对投标文件中的资格证明、投标（报价）承诺函等进行审查；通过“信用中国”网站（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查询投标供应商在投标截止时间之前，是否被列入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r>
        <w:rPr>
          <w:rFonts w:hint="eastAsia" w:ascii="宋体" w:hAnsi="宋体" w:cs="宋体"/>
          <w:bCs/>
          <w:color w:val="auto"/>
          <w:sz w:val="24"/>
          <w:szCs w:val="24"/>
          <w:highlight w:val="none"/>
        </w:rPr>
        <w:t>以确定投标供应商是否具备投标资格。信用</w:t>
      </w:r>
      <w:r>
        <w:rPr>
          <w:rFonts w:hint="eastAsia" w:ascii="宋体" w:hAnsi="宋体" w:cs="宋体"/>
          <w:color w:val="auto"/>
          <w:sz w:val="24"/>
          <w:szCs w:val="24"/>
          <w:highlight w:val="none"/>
        </w:rPr>
        <w:t>查询结果以网页打印的形式留存并归档。</w:t>
      </w:r>
    </w:p>
    <w:p w14:paraId="53A63E22">
      <w:pPr>
        <w:tabs>
          <w:tab w:val="left" w:pos="525"/>
          <w:tab w:val="left" w:pos="630"/>
          <w:tab w:val="left" w:pos="945"/>
          <w:tab w:val="left" w:pos="1365"/>
        </w:tabs>
        <w:spacing w:line="360" w:lineRule="auto"/>
        <w:ind w:firstLine="523"/>
        <w:rPr>
          <w:rFonts w:hint="eastAsia" w:ascii="宋体" w:hAnsi="宋体" w:cs="宋体"/>
          <w:bCs/>
          <w:color w:val="auto"/>
          <w:sz w:val="24"/>
          <w:szCs w:val="24"/>
          <w:highlight w:val="none"/>
        </w:rPr>
      </w:pPr>
      <w:r>
        <w:rPr>
          <w:rFonts w:hint="eastAsia" w:ascii="宋体" w:hAnsi="宋体"/>
          <w:bCs/>
          <w:color w:val="auto"/>
          <w:sz w:val="24"/>
          <w:szCs w:val="24"/>
          <w:highlight w:val="none"/>
        </w:rPr>
        <w:t>②</w:t>
      </w:r>
      <w:r>
        <w:rPr>
          <w:rFonts w:hint="eastAsia" w:ascii="宋体" w:hAnsi="宋体" w:cs="宋体"/>
          <w:bCs/>
          <w:color w:val="auto"/>
          <w:sz w:val="24"/>
          <w:szCs w:val="24"/>
          <w:highlight w:val="none"/>
        </w:rPr>
        <w:t>符合性检查</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评标委员会依据招标文件的规定，从投标文件的有效性、完整性和对招标文件的响应程度</w:t>
      </w:r>
      <w:r>
        <w:rPr>
          <w:rFonts w:hint="eastAsia" w:ascii="宋体" w:hAnsi="宋体" w:cs="宋体"/>
          <w:bCs/>
          <w:color w:val="auto"/>
          <w:sz w:val="24"/>
          <w:szCs w:val="24"/>
          <w:highlight w:val="none"/>
          <w:lang w:eastAsia="zh-CN"/>
        </w:rPr>
        <w:t>等方面进行</w:t>
      </w:r>
      <w:r>
        <w:rPr>
          <w:rFonts w:hint="eastAsia" w:ascii="宋体" w:hAnsi="宋体" w:cs="宋体"/>
          <w:bCs/>
          <w:color w:val="auto"/>
          <w:sz w:val="24"/>
          <w:szCs w:val="24"/>
          <w:highlight w:val="none"/>
        </w:rPr>
        <w:t>审查，以确定是否对招标文件的实质性要求作出响应。</w:t>
      </w:r>
    </w:p>
    <w:p w14:paraId="311C38B3">
      <w:pPr>
        <w:tabs>
          <w:tab w:val="left" w:pos="525"/>
          <w:tab w:val="left" w:pos="630"/>
          <w:tab w:val="left" w:pos="945"/>
          <w:tab w:val="left" w:pos="1365"/>
        </w:tabs>
        <w:spacing w:line="360" w:lineRule="auto"/>
        <w:ind w:firstLine="523"/>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出现</w:t>
      </w:r>
      <w:r>
        <w:rPr>
          <w:rFonts w:hint="eastAsia" w:ascii="宋体" w:hAnsi="宋体" w:cs="宋体"/>
          <w:b/>
          <w:bCs w:val="0"/>
          <w:color w:val="auto"/>
          <w:sz w:val="24"/>
          <w:szCs w:val="24"/>
          <w:highlight w:val="none"/>
        </w:rPr>
        <w:t>异常低价投标（响应）审查的情形和具体要求</w:t>
      </w:r>
      <w:r>
        <w:rPr>
          <w:rFonts w:hint="eastAsia" w:ascii="宋体" w:hAnsi="宋体" w:cs="宋体"/>
          <w:b/>
          <w:bCs w:val="0"/>
          <w:color w:val="auto"/>
          <w:sz w:val="24"/>
          <w:szCs w:val="24"/>
          <w:highlight w:val="none"/>
          <w:lang w:eastAsia="zh-CN"/>
        </w:rPr>
        <w:t>如下：</w:t>
      </w:r>
      <w:r>
        <w:rPr>
          <w:rFonts w:hint="eastAsia" w:ascii="宋体" w:hAnsi="宋体" w:cs="宋体"/>
          <w:b/>
          <w:bCs w:val="0"/>
          <w:color w:val="auto"/>
          <w:sz w:val="24"/>
          <w:szCs w:val="24"/>
          <w:highlight w:val="none"/>
        </w:rPr>
        <w:t>包括：</w:t>
      </w:r>
    </w:p>
    <w:p w14:paraId="0261EF00">
      <w:pPr>
        <w:tabs>
          <w:tab w:val="left" w:pos="525"/>
          <w:tab w:val="left" w:pos="630"/>
          <w:tab w:val="left" w:pos="945"/>
          <w:tab w:val="left" w:pos="1365"/>
        </w:tabs>
        <w:spacing w:line="360" w:lineRule="auto"/>
        <w:ind w:firstLine="523"/>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A.</w:t>
      </w:r>
      <w:r>
        <w:rPr>
          <w:rFonts w:hint="eastAsia" w:ascii="宋体" w:hAnsi="宋体" w:cs="宋体"/>
          <w:b/>
          <w:bCs w:val="0"/>
          <w:color w:val="auto"/>
          <w:sz w:val="24"/>
          <w:szCs w:val="24"/>
          <w:highlight w:val="none"/>
        </w:rPr>
        <w:t>评审过程中出现下列情形之一</w:t>
      </w:r>
      <w:r>
        <w:rPr>
          <w:rFonts w:hint="eastAsia" w:ascii="宋体" w:hAnsi="宋体" w:cs="宋体"/>
          <w:b/>
          <w:bCs w:val="0"/>
          <w:color w:val="auto"/>
          <w:sz w:val="24"/>
          <w:szCs w:val="24"/>
          <w:highlight w:val="none"/>
          <w:lang w:eastAsia="zh-CN"/>
        </w:rPr>
        <w:t>时</w:t>
      </w:r>
      <w:r>
        <w:rPr>
          <w:rFonts w:hint="eastAsia" w:ascii="宋体" w:hAnsi="宋体" w:cs="宋体"/>
          <w:b/>
          <w:bCs w:val="0"/>
          <w:color w:val="auto"/>
          <w:sz w:val="24"/>
          <w:szCs w:val="24"/>
          <w:highlight w:val="none"/>
        </w:rPr>
        <w:t>，评审委员会应当启动异常低价投标（响应）审查程序：</w:t>
      </w:r>
    </w:p>
    <w:p w14:paraId="4356B060">
      <w:pPr>
        <w:tabs>
          <w:tab w:val="left" w:pos="525"/>
          <w:tab w:val="left" w:pos="630"/>
          <w:tab w:val="left" w:pos="945"/>
          <w:tab w:val="left" w:pos="1365"/>
        </w:tabs>
        <w:spacing w:line="360" w:lineRule="auto"/>
        <w:ind w:firstLine="523"/>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a</w:t>
      </w:r>
      <w:r>
        <w:rPr>
          <w:rFonts w:hint="eastAsia" w:ascii="宋体" w:hAnsi="宋体" w:cs="宋体"/>
          <w:b/>
          <w:bCs w:val="0"/>
          <w:color w:val="auto"/>
          <w:sz w:val="24"/>
          <w:szCs w:val="24"/>
          <w:highlight w:val="none"/>
        </w:rPr>
        <w:t>.投标（响应）报价低于全部通过符合性审查供应商投标（响应）报价平均值50%</w:t>
      </w:r>
      <w:r>
        <w:rPr>
          <w:rFonts w:hint="eastAsia" w:ascii="宋体" w:hAnsi="宋体" w:cs="宋体"/>
          <w:b/>
          <w:bCs w:val="0"/>
          <w:color w:val="auto"/>
          <w:sz w:val="24"/>
          <w:szCs w:val="24"/>
          <w:highlight w:val="none"/>
          <w:lang w:eastAsia="zh-CN"/>
        </w:rPr>
        <w:t>时</w:t>
      </w:r>
      <w:r>
        <w:rPr>
          <w:rFonts w:hint="eastAsia" w:ascii="宋体" w:hAnsi="宋体" w:cs="宋体"/>
          <w:b/>
          <w:bCs w:val="0"/>
          <w:color w:val="auto"/>
          <w:sz w:val="24"/>
          <w:szCs w:val="24"/>
          <w:highlight w:val="none"/>
        </w:rPr>
        <w:t>，即投标（响应）报价</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全部通过符合性审查供应商投标（响应）报价平均值×50%</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 </w:t>
      </w:r>
    </w:p>
    <w:p w14:paraId="08945773">
      <w:pPr>
        <w:tabs>
          <w:tab w:val="left" w:pos="525"/>
          <w:tab w:val="left" w:pos="630"/>
          <w:tab w:val="left" w:pos="945"/>
          <w:tab w:val="left" w:pos="1365"/>
        </w:tabs>
        <w:spacing w:line="360" w:lineRule="auto"/>
        <w:ind w:firstLine="523"/>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b</w:t>
      </w:r>
      <w:r>
        <w:rPr>
          <w:rFonts w:hint="eastAsia" w:ascii="宋体" w:hAnsi="宋体" w:cs="宋体"/>
          <w:b/>
          <w:bCs w:val="0"/>
          <w:color w:val="auto"/>
          <w:sz w:val="24"/>
          <w:szCs w:val="24"/>
          <w:highlight w:val="none"/>
        </w:rPr>
        <w:t>.投标（响应）报价低于通过符合性审查的次低报价供应商投标（响应）报价50%</w:t>
      </w:r>
      <w:r>
        <w:rPr>
          <w:rFonts w:hint="eastAsia" w:ascii="宋体" w:hAnsi="宋体" w:cs="宋体"/>
          <w:b/>
          <w:bCs w:val="0"/>
          <w:color w:val="auto"/>
          <w:sz w:val="24"/>
          <w:szCs w:val="24"/>
          <w:highlight w:val="none"/>
          <w:lang w:eastAsia="zh-CN"/>
        </w:rPr>
        <w:t>时</w:t>
      </w:r>
      <w:r>
        <w:rPr>
          <w:rFonts w:hint="eastAsia" w:ascii="宋体" w:hAnsi="宋体" w:cs="宋体"/>
          <w:b/>
          <w:bCs w:val="0"/>
          <w:color w:val="auto"/>
          <w:sz w:val="24"/>
          <w:szCs w:val="24"/>
          <w:highlight w:val="none"/>
        </w:rPr>
        <w:t>，即投标（响应）报价</w:t>
      </w:r>
      <w:r>
        <w:rPr>
          <w:rFonts w:hint="eastAsia" w:ascii="宋体" w:hAnsi="宋体" w:cs="宋体"/>
          <w:b/>
          <w:bCs w:val="0"/>
          <w:color w:val="auto"/>
          <w:sz w:val="24"/>
          <w:szCs w:val="24"/>
          <w:highlight w:val="none"/>
          <w:lang w:eastAsia="zh-CN"/>
        </w:rPr>
        <w:t xml:space="preserve"> &lt; </w:t>
      </w:r>
      <w:r>
        <w:rPr>
          <w:rFonts w:hint="eastAsia" w:ascii="宋体" w:hAnsi="宋体" w:cs="宋体"/>
          <w:b/>
          <w:bCs w:val="0"/>
          <w:color w:val="auto"/>
          <w:sz w:val="24"/>
          <w:szCs w:val="24"/>
          <w:highlight w:val="none"/>
        </w:rPr>
        <w:t>通过符合性审查的次低报价供应商投标（响应）报价×50%； </w:t>
      </w:r>
    </w:p>
    <w:p w14:paraId="240BB347">
      <w:pPr>
        <w:tabs>
          <w:tab w:val="left" w:pos="525"/>
          <w:tab w:val="left" w:pos="630"/>
          <w:tab w:val="left" w:pos="945"/>
          <w:tab w:val="left" w:pos="1365"/>
        </w:tabs>
        <w:spacing w:line="360" w:lineRule="auto"/>
        <w:ind w:firstLine="523"/>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c</w:t>
      </w:r>
      <w:r>
        <w:rPr>
          <w:rFonts w:hint="eastAsia" w:ascii="宋体" w:hAnsi="宋体" w:cs="宋体"/>
          <w:b/>
          <w:bCs w:val="0"/>
          <w:color w:val="auto"/>
          <w:sz w:val="24"/>
          <w:szCs w:val="24"/>
          <w:highlight w:val="none"/>
        </w:rPr>
        <w:t>.投标（响应）报价低于采购项目最高限价45%的，即投标（响应）报价</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采购项目最高限价×45%</w:t>
      </w:r>
      <w:r>
        <w:rPr>
          <w:rFonts w:hint="eastAsia" w:ascii="宋体" w:hAnsi="宋体" w:cs="宋体"/>
          <w:b/>
          <w:bCs w:val="0"/>
          <w:color w:val="auto"/>
          <w:sz w:val="24"/>
          <w:szCs w:val="24"/>
          <w:highlight w:val="none"/>
          <w:lang w:eastAsia="zh-CN"/>
        </w:rPr>
        <w:t>。</w:t>
      </w:r>
      <w:r>
        <w:rPr>
          <w:rFonts w:hint="eastAsia" w:ascii="宋体" w:hAnsi="宋体" w:cs="宋体"/>
          <w:b/>
          <w:bCs w:val="0"/>
          <w:color w:val="auto"/>
          <w:sz w:val="24"/>
          <w:szCs w:val="24"/>
          <w:highlight w:val="none"/>
        </w:rPr>
        <w:t> </w:t>
      </w:r>
    </w:p>
    <w:p w14:paraId="67497033">
      <w:pPr>
        <w:tabs>
          <w:tab w:val="left" w:pos="525"/>
          <w:tab w:val="left" w:pos="630"/>
          <w:tab w:val="left" w:pos="945"/>
          <w:tab w:val="left" w:pos="1365"/>
        </w:tabs>
        <w:spacing w:line="360" w:lineRule="auto"/>
        <w:ind w:firstLine="523"/>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d</w:t>
      </w:r>
      <w:r>
        <w:rPr>
          <w:rFonts w:hint="eastAsia" w:ascii="宋体" w:hAnsi="宋体" w:cs="宋体"/>
          <w:b/>
          <w:bCs w:val="0"/>
          <w:color w:val="auto"/>
          <w:sz w:val="24"/>
          <w:szCs w:val="24"/>
          <w:highlight w:val="none"/>
        </w:rPr>
        <w:t>.评审委员会基于专业判断，认为供应商报价过低，有可能影响产品质量或者不能诚信履约的其他情形。</w:t>
      </w:r>
    </w:p>
    <w:p w14:paraId="0CE2D29A">
      <w:pPr>
        <w:tabs>
          <w:tab w:val="left" w:pos="525"/>
          <w:tab w:val="left" w:pos="630"/>
          <w:tab w:val="left" w:pos="945"/>
          <w:tab w:val="left" w:pos="1365"/>
        </w:tabs>
        <w:spacing w:line="360" w:lineRule="auto"/>
        <w:ind w:firstLine="523"/>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B. 启动</w:t>
      </w:r>
      <w:r>
        <w:rPr>
          <w:rFonts w:hint="eastAsia" w:ascii="宋体" w:hAnsi="宋体" w:cs="宋体"/>
          <w:b/>
          <w:bCs w:val="0"/>
          <w:color w:val="auto"/>
          <w:sz w:val="24"/>
          <w:szCs w:val="24"/>
          <w:highlight w:val="none"/>
        </w:rPr>
        <w:t>异常低价投标（响应）审查后，评审委员会应当要求相关供应商在评标合理的时间内，提供项目具体成本测算等与报价合理性相关的书面说明及必要的证明材料，包括但不限于原材料成本、人工成本、制造费用等，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评审委员会应当将其作为无效投标（响应）处理。审查相关情况应当在评审报告中进行记录。其中，属于第</w:t>
      </w:r>
      <w:r>
        <w:rPr>
          <w:rFonts w:hint="eastAsia" w:ascii="宋体" w:hAnsi="宋体" w:cs="宋体"/>
          <w:b/>
          <w:bCs w:val="0"/>
          <w:color w:val="auto"/>
          <w:sz w:val="24"/>
          <w:szCs w:val="24"/>
          <w:highlight w:val="none"/>
          <w:lang w:val="en-US" w:eastAsia="zh-CN"/>
        </w:rPr>
        <w:t>c</w:t>
      </w:r>
      <w:r>
        <w:rPr>
          <w:rFonts w:hint="eastAsia" w:ascii="宋体" w:hAnsi="宋体" w:cs="宋体"/>
          <w:b/>
          <w:bCs w:val="0"/>
          <w:color w:val="auto"/>
          <w:sz w:val="24"/>
          <w:szCs w:val="24"/>
          <w:highlight w:val="none"/>
        </w:rPr>
        <w:t>项情形，供应商</w:t>
      </w:r>
      <w:r>
        <w:rPr>
          <w:rFonts w:hint="eastAsia" w:ascii="宋体" w:hAnsi="宋体" w:cs="宋体"/>
          <w:b/>
          <w:bCs w:val="0"/>
          <w:color w:val="auto"/>
          <w:sz w:val="24"/>
          <w:szCs w:val="24"/>
          <w:highlight w:val="none"/>
          <w:lang w:val="en-US" w:eastAsia="zh-CN"/>
        </w:rPr>
        <w:t>应</w:t>
      </w:r>
      <w:r>
        <w:rPr>
          <w:rFonts w:hint="eastAsia" w:ascii="宋体" w:hAnsi="宋体" w:cs="宋体"/>
          <w:b/>
          <w:bCs w:val="0"/>
          <w:color w:val="auto"/>
          <w:sz w:val="24"/>
          <w:szCs w:val="24"/>
          <w:highlight w:val="none"/>
        </w:rPr>
        <w:t>随投标（响应）文件一并提交相关书面说明及必要的证明材料的，在评审现场可不再重复提交</w:t>
      </w:r>
      <w:r>
        <w:rPr>
          <w:rFonts w:hint="eastAsia" w:ascii="宋体" w:hAnsi="宋体" w:cs="宋体"/>
          <w:b/>
          <w:bCs w:val="0"/>
          <w:color w:val="auto"/>
          <w:sz w:val="24"/>
          <w:szCs w:val="24"/>
          <w:highlight w:val="none"/>
          <w:lang w:eastAsia="zh-CN"/>
        </w:rPr>
        <w:t>。</w:t>
      </w:r>
    </w:p>
    <w:p w14:paraId="2BAA7904">
      <w:pPr>
        <w:numPr>
          <w:ilvl w:val="0"/>
          <w:numId w:val="0"/>
        </w:numPr>
        <w:tabs>
          <w:tab w:val="left" w:pos="525"/>
          <w:tab w:val="left" w:pos="945"/>
          <w:tab w:val="left" w:pos="1155"/>
        </w:tabs>
        <w:spacing w:line="360" w:lineRule="auto"/>
        <w:ind w:left="0" w:leftChars="0" w:firstLine="523" w:firstLineChars="0"/>
        <w:rPr>
          <w:rFonts w:hint="eastAsia" w:ascii="宋体" w:hAnsi="宋体"/>
          <w:bCs/>
          <w:color w:val="auto"/>
          <w:sz w:val="24"/>
          <w:szCs w:val="24"/>
          <w:highlight w:val="none"/>
        </w:rPr>
      </w:pPr>
      <w:r>
        <w:rPr>
          <w:rFonts w:hint="eastAsia" w:ascii="Times New Roman" w:hAnsi="Times New Roman" w:eastAsia="Times New Roman" w:cs="Times New Roman"/>
          <w:bCs/>
          <w:color w:val="auto"/>
          <w:sz w:val="24"/>
          <w:szCs w:val="24"/>
          <w:highlight w:val="none"/>
          <w:lang w:val="en-US" w:eastAsia="zh-CN" w:bidi="ar-SA"/>
        </w:rPr>
        <w:t>（2）</w:t>
      </w:r>
      <w:r>
        <w:rPr>
          <w:rFonts w:hint="eastAsia" w:ascii="宋体" w:hAnsi="宋体" w:cs="宋体"/>
          <w:bCs/>
          <w:color w:val="auto"/>
          <w:sz w:val="24"/>
          <w:szCs w:val="24"/>
          <w:highlight w:val="none"/>
        </w:rPr>
        <w:t>澄清有关问题</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rPr>
        <w:t>对投标文件中含义不明确、同类问题表述不一致或者有明显文字和计算错误的内容，评标委员会可以通过政府采购交易管理一体化系统发起询标要求投标人作出必要的澄清、说明或者纠正。投标人的澄清、说明或</w:t>
      </w:r>
      <w:r>
        <w:rPr>
          <w:rFonts w:ascii="宋体" w:hAnsi="宋体"/>
          <w:bCs/>
          <w:color w:val="auto"/>
          <w:sz w:val="24"/>
          <w:szCs w:val="24"/>
          <w:highlight w:val="none"/>
        </w:rPr>
        <w:t>者补正应当</w:t>
      </w:r>
      <w:r>
        <w:rPr>
          <w:rFonts w:hint="eastAsia" w:ascii="宋体" w:hAnsi="宋体"/>
          <w:bCs/>
          <w:color w:val="auto"/>
          <w:sz w:val="24"/>
          <w:szCs w:val="24"/>
          <w:highlight w:val="none"/>
        </w:rPr>
        <w:t>通过政府采购交易管理一体化系统</w:t>
      </w:r>
      <w:r>
        <w:rPr>
          <w:rFonts w:ascii="宋体" w:hAnsi="宋体"/>
          <w:bCs/>
          <w:color w:val="auto"/>
          <w:sz w:val="24"/>
          <w:szCs w:val="24"/>
          <w:highlight w:val="none"/>
        </w:rPr>
        <w:t>，由其授权的代表</w:t>
      </w:r>
      <w:r>
        <w:rPr>
          <w:rFonts w:hint="eastAsia" w:ascii="宋体" w:hAnsi="宋体"/>
          <w:bCs/>
          <w:color w:val="auto"/>
          <w:sz w:val="24"/>
          <w:szCs w:val="24"/>
          <w:highlight w:val="none"/>
        </w:rPr>
        <w:t>应答并加盖电子公章，且不得超出投标文件的范围或者改变投标文件的实质性内容。</w:t>
      </w:r>
    </w:p>
    <w:p w14:paraId="45F1600D">
      <w:pPr>
        <w:numPr>
          <w:ilvl w:val="0"/>
          <w:numId w:val="0"/>
        </w:numPr>
        <w:tabs>
          <w:tab w:val="left" w:pos="945"/>
          <w:tab w:val="left" w:pos="1155"/>
          <w:tab w:val="left" w:pos="1365"/>
        </w:tabs>
        <w:spacing w:line="360" w:lineRule="auto"/>
        <w:ind w:left="0" w:leftChars="0" w:firstLine="523" w:firstLineChars="0"/>
        <w:rPr>
          <w:rFonts w:ascii="宋体"/>
          <w:bCs/>
          <w:color w:val="auto"/>
          <w:sz w:val="24"/>
          <w:szCs w:val="24"/>
          <w:highlight w:val="none"/>
        </w:rPr>
      </w:pPr>
      <w:r>
        <w:rPr>
          <w:rFonts w:ascii="Times New Roman" w:hAnsi="Times New Roman" w:eastAsia="Times New Roman" w:cs="Times New Roman"/>
          <w:bCs/>
          <w:color w:val="auto"/>
          <w:sz w:val="24"/>
          <w:szCs w:val="24"/>
          <w:highlight w:val="none"/>
          <w:lang w:val="en-US" w:eastAsia="zh-CN" w:bidi="ar-SA"/>
        </w:rPr>
        <w:t>（3）</w:t>
      </w:r>
      <w:r>
        <w:rPr>
          <w:rFonts w:hint="eastAsia" w:ascii="宋体" w:hAnsi="宋体"/>
          <w:bCs/>
          <w:color w:val="auto"/>
          <w:sz w:val="24"/>
          <w:highlight w:val="none"/>
        </w:rPr>
        <w:t>比较与评价</w:t>
      </w:r>
      <w:r>
        <w:rPr>
          <w:rFonts w:hint="eastAsia" w:ascii="宋体" w:hAnsi="宋体"/>
          <w:bCs/>
          <w:color w:val="auto"/>
          <w:sz w:val="24"/>
          <w:highlight w:val="none"/>
          <w:lang w:eastAsia="zh-CN"/>
        </w:rPr>
        <w:t>：</w:t>
      </w:r>
      <w:r>
        <w:rPr>
          <w:rFonts w:hint="eastAsia" w:ascii="宋体" w:hAnsi="宋体"/>
          <w:bCs/>
          <w:color w:val="auto"/>
          <w:sz w:val="24"/>
          <w:highlight w:val="none"/>
        </w:rPr>
        <w:t>按招标文件中规定的评标方法和标准，对资格性检查和符合性检查合格的投标文件进行商务和技术评估，综合比较与评价</w:t>
      </w:r>
      <w:r>
        <w:rPr>
          <w:rFonts w:hint="eastAsia" w:ascii="宋体" w:hAnsi="宋体"/>
          <w:bCs/>
          <w:color w:val="auto"/>
          <w:sz w:val="24"/>
          <w:szCs w:val="24"/>
          <w:highlight w:val="none"/>
        </w:rPr>
        <w:t>。</w:t>
      </w:r>
    </w:p>
    <w:p w14:paraId="57FEA525">
      <w:pPr>
        <w:numPr>
          <w:ilvl w:val="1"/>
          <w:numId w:val="5"/>
        </w:numPr>
        <w:tabs>
          <w:tab w:val="left" w:pos="525"/>
          <w:tab w:val="left" w:pos="945"/>
        </w:tabs>
        <w:spacing w:line="360" w:lineRule="auto"/>
        <w:ind w:left="1" w:firstLine="523"/>
        <w:rPr>
          <w:rFonts w:ascii="宋体"/>
          <w:bCs/>
          <w:color w:val="auto"/>
          <w:sz w:val="24"/>
          <w:szCs w:val="24"/>
          <w:highlight w:val="none"/>
        </w:rPr>
      </w:pPr>
      <w:r>
        <w:rPr>
          <w:rFonts w:hint="eastAsia" w:ascii="宋体" w:hAnsi="宋体"/>
          <w:bCs/>
          <w:color w:val="auto"/>
          <w:sz w:val="24"/>
          <w:szCs w:val="24"/>
          <w:highlight w:val="none"/>
        </w:rPr>
        <w:t>评标方法</w:t>
      </w:r>
    </w:p>
    <w:p w14:paraId="5F124EC9">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szCs w:val="24"/>
          <w:highlight w:val="none"/>
        </w:rPr>
        <w:t>投标人通过初审的，方可进入</w:t>
      </w:r>
      <w:r>
        <w:rPr>
          <w:rFonts w:hint="eastAsia" w:ascii="宋体" w:hAnsi="宋体"/>
          <w:bCs/>
          <w:color w:val="auto"/>
          <w:sz w:val="24"/>
          <w:highlight w:val="none"/>
        </w:rPr>
        <w:t>比较与评价程序</w:t>
      </w:r>
      <w:r>
        <w:rPr>
          <w:rFonts w:hint="eastAsia" w:ascii="宋体" w:hAnsi="宋体"/>
          <w:bCs/>
          <w:color w:val="auto"/>
          <w:sz w:val="24"/>
          <w:szCs w:val="24"/>
          <w:highlight w:val="none"/>
        </w:rPr>
        <w:t>。</w:t>
      </w:r>
    </w:p>
    <w:p w14:paraId="5C6566C2">
      <w:pPr>
        <w:tabs>
          <w:tab w:val="left" w:pos="945"/>
        </w:tabs>
        <w:spacing w:line="360" w:lineRule="auto"/>
        <w:ind w:firstLine="523"/>
        <w:rPr>
          <w:rFonts w:ascii="宋体"/>
          <w:bCs/>
          <w:color w:val="auto"/>
          <w:sz w:val="24"/>
          <w:szCs w:val="24"/>
          <w:highlight w:val="none"/>
        </w:rPr>
      </w:pPr>
      <w:r>
        <w:rPr>
          <w:rFonts w:hint="eastAsia" w:ascii="宋体" w:hAnsi="宋体"/>
          <w:bCs/>
          <w:color w:val="auto"/>
          <w:sz w:val="24"/>
          <w:highlight w:val="none"/>
        </w:rPr>
        <w:t>比较与评价</w:t>
      </w:r>
      <w:r>
        <w:rPr>
          <w:rFonts w:hint="eastAsia" w:ascii="宋体" w:hAnsi="宋体"/>
          <w:bCs/>
          <w:color w:val="auto"/>
          <w:sz w:val="24"/>
          <w:szCs w:val="24"/>
          <w:highlight w:val="none"/>
        </w:rPr>
        <w:t>采用综合评分法。</w:t>
      </w:r>
    </w:p>
    <w:p w14:paraId="39241657">
      <w:pPr>
        <w:tabs>
          <w:tab w:val="left" w:pos="945"/>
        </w:tabs>
        <w:spacing w:line="360" w:lineRule="auto"/>
        <w:ind w:firstLine="523"/>
        <w:rPr>
          <w:rFonts w:hint="eastAsia" w:ascii="宋体" w:hAnsi="宋体"/>
          <w:bCs/>
          <w:color w:val="auto"/>
          <w:sz w:val="24"/>
          <w:szCs w:val="24"/>
          <w:highlight w:val="none"/>
        </w:rPr>
      </w:pPr>
      <w:r>
        <w:rPr>
          <w:rFonts w:hint="eastAsia" w:ascii="宋体" w:hAnsi="宋体"/>
          <w:bCs/>
          <w:color w:val="auto"/>
          <w:sz w:val="24"/>
          <w:szCs w:val="24"/>
          <w:highlight w:val="none"/>
        </w:rPr>
        <w:t>评标委员会遵循公平、公正、择优原则，独立按照评分标准分别评定投标人的分值；各投标人的评审后得分为各评委所评定分值的平均值，并按高低顺序排列。得分相同的，按投标报价由低到高顺序排列，得分</w:t>
      </w:r>
      <w:r>
        <w:rPr>
          <w:rFonts w:hint="eastAsia" w:ascii="宋体" w:hAnsi="宋体"/>
          <w:bCs/>
          <w:color w:val="auto"/>
          <w:sz w:val="24"/>
          <w:szCs w:val="24"/>
          <w:highlight w:val="none"/>
          <w:lang w:eastAsia="zh-CN"/>
        </w:rPr>
        <w:t>相同且</w:t>
      </w:r>
      <w:r>
        <w:rPr>
          <w:rFonts w:hint="eastAsia" w:ascii="宋体" w:hAnsi="宋体"/>
          <w:bCs/>
          <w:color w:val="auto"/>
          <w:sz w:val="24"/>
          <w:szCs w:val="24"/>
          <w:highlight w:val="none"/>
        </w:rPr>
        <w:t>投标报价相同的并列。投标文件满足招标文件全部实质性要求，且按照评审因素的量化指标评审得分最高的投标人排名第一，为中标单位。</w:t>
      </w:r>
    </w:p>
    <w:p w14:paraId="3879D6BB">
      <w:pPr>
        <w:numPr>
          <w:ilvl w:val="1"/>
          <w:numId w:val="5"/>
        </w:numPr>
        <w:tabs>
          <w:tab w:val="left" w:pos="525"/>
          <w:tab w:val="left" w:pos="945"/>
        </w:tabs>
        <w:spacing w:line="360" w:lineRule="auto"/>
        <w:ind w:left="1" w:firstLine="523"/>
        <w:rPr>
          <w:rFonts w:hint="eastAsia" w:ascii="宋体" w:hAnsi="宋体"/>
          <w:bCs/>
          <w:color w:val="auto"/>
          <w:sz w:val="24"/>
          <w:szCs w:val="24"/>
          <w:highlight w:val="none"/>
        </w:rPr>
      </w:pPr>
      <w:r>
        <w:rPr>
          <w:rFonts w:hint="eastAsia" w:ascii="宋体" w:hAnsi="宋体"/>
          <w:bCs/>
          <w:color w:val="auto"/>
          <w:sz w:val="24"/>
          <w:szCs w:val="24"/>
          <w:highlight w:val="none"/>
        </w:rPr>
        <w:t>评分标准</w:t>
      </w:r>
    </w:p>
    <w:p w14:paraId="40E40ACA">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评分项目及分值（总分100分）</w:t>
      </w:r>
    </w:p>
    <w:p w14:paraId="123D85E1">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（1）报价</w:t>
      </w:r>
      <w:r>
        <w:rPr>
          <w:rFonts w:hint="eastAsia" w:ascii="宋体" w:hAnsi="宋体" w:eastAsia="宋体" w:cs="宋体"/>
          <w:b/>
          <w:color w:val="auto"/>
          <w:sz w:val="24"/>
          <w:szCs w:val="24"/>
          <w:highlight w:val="none"/>
          <w:lang w:val="en-US" w:eastAsia="zh-CN"/>
        </w:rPr>
        <w:t>部分</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szCs w:val="24"/>
          <w:highlight w:val="none"/>
          <w:lang w:val="en-US" w:eastAsia="zh-CN"/>
        </w:rPr>
        <w:t>30</w:t>
      </w:r>
      <w:r>
        <w:rPr>
          <w:rFonts w:hint="eastAsia" w:ascii="宋体" w:hAnsi="宋体" w:eastAsia="宋体" w:cs="宋体"/>
          <w:b/>
          <w:color w:val="auto"/>
          <w:sz w:val="24"/>
          <w:szCs w:val="24"/>
          <w:highlight w:val="none"/>
        </w:rPr>
        <w:t>分</w:t>
      </w:r>
    </w:p>
    <w:p w14:paraId="06F9FD9C">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9"/>
        <w:rPr>
          <w:rFonts w:hint="eastAsia"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（2）</w:t>
      </w:r>
      <w:r>
        <w:rPr>
          <w:rFonts w:hint="eastAsia" w:ascii="宋体" w:hAnsi="宋体" w:eastAsia="宋体" w:cs="宋体"/>
          <w:b/>
          <w:color w:val="auto"/>
          <w:sz w:val="24"/>
          <w:szCs w:val="24"/>
          <w:highlight w:val="none"/>
          <w:lang w:val="en-US" w:eastAsia="zh-CN"/>
        </w:rPr>
        <w:t xml:space="preserve">商务部分      </w:t>
      </w:r>
      <w:r>
        <w:rPr>
          <w:rFonts w:hint="eastAsia" w:ascii="宋体" w:hAnsi="宋体" w:eastAsia="宋体" w:cs="宋体"/>
          <w:b/>
          <w:color w:val="auto"/>
          <w:sz w:val="24"/>
          <w:szCs w:val="24"/>
          <w:highlight w:val="none"/>
          <w:lang w:val="en-US"/>
        </w:rPr>
        <w:t xml:space="preserve">                         </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val="en-US"/>
        </w:rPr>
        <w:t xml:space="preserve">  </w:t>
      </w:r>
      <w:r>
        <w:rPr>
          <w:rFonts w:hint="eastAsia" w:ascii="宋体" w:hAnsi="宋体" w:cs="宋体"/>
          <w:b/>
          <w:color w:val="auto"/>
          <w:sz w:val="24"/>
          <w:szCs w:val="24"/>
          <w:highlight w:val="none"/>
          <w:lang w:val="en-US" w:eastAsia="zh-CN"/>
        </w:rPr>
        <w:t>21</w:t>
      </w:r>
      <w:r>
        <w:rPr>
          <w:rFonts w:hint="eastAsia" w:ascii="宋体" w:hAnsi="宋体" w:eastAsia="宋体" w:cs="宋体"/>
          <w:b/>
          <w:color w:val="auto"/>
          <w:sz w:val="24"/>
          <w:szCs w:val="24"/>
          <w:highlight w:val="none"/>
          <w:lang w:val="en-US"/>
        </w:rPr>
        <w:t>分</w:t>
      </w:r>
    </w:p>
    <w:p w14:paraId="1C3FE5E8">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（3）技术文件                                  </w:t>
      </w:r>
      <w:r>
        <w:rPr>
          <w:rFonts w:hint="eastAsia" w:ascii="宋体" w:hAnsi="宋体" w:cs="宋体"/>
          <w:b/>
          <w:color w:val="auto"/>
          <w:sz w:val="24"/>
          <w:szCs w:val="24"/>
          <w:highlight w:val="none"/>
          <w:lang w:val="en-US" w:eastAsia="zh-CN"/>
        </w:rPr>
        <w:t>49</w:t>
      </w:r>
      <w:r>
        <w:rPr>
          <w:rFonts w:hint="eastAsia" w:ascii="宋体" w:hAnsi="宋体" w:eastAsia="宋体" w:cs="宋体"/>
          <w:b/>
          <w:color w:val="auto"/>
          <w:sz w:val="24"/>
          <w:szCs w:val="24"/>
          <w:highlight w:val="none"/>
        </w:rPr>
        <w:t>分</w:t>
      </w:r>
    </w:p>
    <w:p w14:paraId="1BF85D5D">
      <w:pPr>
        <w:keepNext w:val="0"/>
        <w:keepLines w:val="0"/>
        <w:pageBreakBefore w:val="0"/>
        <w:widowControl w:val="0"/>
        <w:kinsoku/>
        <w:wordWrap/>
        <w:overflowPunct/>
        <w:topLinePunct w:val="0"/>
        <w:autoSpaceDE/>
        <w:autoSpaceDN/>
        <w:bidi w:val="0"/>
        <w:adjustRightInd/>
        <w:snapToGrid/>
        <w:spacing w:line="336" w:lineRule="auto"/>
        <w:ind w:right="0" w:firstLine="482"/>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各项目评分标准</w:t>
      </w:r>
    </w:p>
    <w:p w14:paraId="7D85E702">
      <w:pPr>
        <w:keepNext w:val="0"/>
        <w:keepLines w:val="0"/>
        <w:pageBreakBefore w:val="0"/>
        <w:widowControl w:val="0"/>
        <w:kinsoku/>
        <w:wordWrap/>
        <w:overflowPunct/>
        <w:topLinePunct w:val="0"/>
        <w:autoSpaceDE/>
        <w:autoSpaceDN/>
        <w:bidi w:val="0"/>
        <w:adjustRightInd/>
        <w:snapToGrid/>
        <w:spacing w:line="360" w:lineRule="auto"/>
        <w:ind w:right="0" w:firstLine="482"/>
        <w:jc w:val="left"/>
        <w:textAlignment w:val="auto"/>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1.报价</w:t>
      </w:r>
      <w:r>
        <w:rPr>
          <w:rFonts w:hint="eastAsia" w:ascii="宋体" w:hAnsi="宋体" w:eastAsia="宋体" w:cs="宋体"/>
          <w:b/>
          <w:bCs/>
          <w:color w:val="auto"/>
          <w:sz w:val="24"/>
          <w:szCs w:val="24"/>
          <w:highlight w:val="none"/>
          <w:lang w:val="en-US" w:eastAsia="zh-CN"/>
        </w:rPr>
        <w:t>部分</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rPr>
        <w:t>分）</w:t>
      </w:r>
    </w:p>
    <w:p w14:paraId="6E8BD738">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采用低价优先法计算，即满足招标文件要求且投标价格最低的投标报价为评标基准价，其价格分为满分。其他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的价格分统一按照下列公式计算：</w:t>
      </w:r>
    </w:p>
    <w:p w14:paraId="4F808839">
      <w:pPr>
        <w:keepNext w:val="0"/>
        <w:keepLines w:val="0"/>
        <w:pageBreakBefore w:val="0"/>
        <w:widowControl w:val="0"/>
        <w:tabs>
          <w:tab w:val="left" w:pos="945"/>
          <w:tab w:val="left" w:pos="1155"/>
        </w:tabs>
        <w:kinsoku/>
        <w:wordWrap/>
        <w:overflowPunct/>
        <w:topLinePunct w:val="0"/>
        <w:autoSpaceDE/>
        <w:autoSpaceDN/>
        <w:bidi w:val="0"/>
        <w:adjustRightInd/>
        <w:snapToGrid/>
        <w:spacing w:line="360" w:lineRule="auto"/>
        <w:ind w:left="0" w:firstLine="480"/>
        <w:jc w:val="left"/>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投标报价得分=</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评标基准价／投标报价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30</w:t>
      </w:r>
      <w:r>
        <w:rPr>
          <w:rFonts w:hint="eastAsia" w:ascii="宋体" w:hAnsi="宋体" w:eastAsia="宋体" w:cs="宋体"/>
          <w:bCs/>
          <w:color w:val="auto"/>
          <w:sz w:val="24"/>
          <w:szCs w:val="24"/>
          <w:highlight w:val="none"/>
        </w:rPr>
        <w:t>。</w:t>
      </w:r>
    </w:p>
    <w:p w14:paraId="5A40B148">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商务部分（</w:t>
      </w:r>
      <w:r>
        <w:rPr>
          <w:rFonts w:hint="eastAsia" w:ascii="宋体" w:hAnsi="宋体" w:cs="宋体"/>
          <w:b/>
          <w:bCs/>
          <w:color w:val="auto"/>
          <w:sz w:val="24"/>
          <w:szCs w:val="24"/>
          <w:highlight w:val="none"/>
          <w:lang w:val="en-US" w:eastAsia="zh-CN"/>
        </w:rPr>
        <w:t>21</w:t>
      </w:r>
      <w:r>
        <w:rPr>
          <w:rFonts w:hint="eastAsia" w:ascii="宋体" w:hAnsi="宋体" w:eastAsia="宋体" w:cs="宋体"/>
          <w:b/>
          <w:bCs/>
          <w:color w:val="auto"/>
          <w:sz w:val="24"/>
          <w:szCs w:val="24"/>
          <w:highlight w:val="none"/>
        </w:rPr>
        <w:t>分）</w:t>
      </w:r>
    </w:p>
    <w:p w14:paraId="41D9AF1C">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2.1企业</w:t>
      </w:r>
      <w:r>
        <w:rPr>
          <w:rFonts w:hint="eastAsia" w:ascii="宋体" w:hAnsi="宋体" w:eastAsia="宋体" w:cs="宋体"/>
          <w:bCs/>
          <w:color w:val="auto"/>
          <w:sz w:val="24"/>
          <w:highlight w:val="none"/>
        </w:rPr>
        <w:t>业绩（2分）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投标</w:t>
      </w:r>
      <w:r>
        <w:rPr>
          <w:rFonts w:hint="eastAsia" w:ascii="宋体" w:hAnsi="宋体" w:cs="宋体"/>
          <w:bCs/>
          <w:color w:val="auto"/>
          <w:sz w:val="24"/>
          <w:highlight w:val="none"/>
          <w:lang w:eastAsia="zh-CN"/>
        </w:rPr>
        <w:t>供应商</w:t>
      </w:r>
      <w:r>
        <w:rPr>
          <w:rFonts w:hint="eastAsia" w:ascii="宋体" w:hAnsi="宋体" w:eastAsia="宋体" w:cs="宋体"/>
          <w:bCs/>
          <w:color w:val="auto"/>
          <w:sz w:val="24"/>
          <w:highlight w:val="none"/>
        </w:rPr>
        <w:t>近三年以来承担过类似违法拆除业绩</w:t>
      </w:r>
      <w:r>
        <w:rPr>
          <w:rFonts w:hint="eastAsia" w:ascii="宋体" w:hAnsi="宋体" w:eastAsia="宋体" w:cs="宋体"/>
          <w:bCs/>
          <w:color w:val="auto"/>
          <w:sz w:val="24"/>
          <w:highlight w:val="none"/>
          <w:lang w:val="en-US" w:eastAsia="zh-CN"/>
        </w:rPr>
        <w:t>的</w:t>
      </w:r>
      <w:r>
        <w:rPr>
          <w:rFonts w:hint="eastAsia" w:ascii="宋体" w:hAnsi="宋体" w:eastAsia="宋体" w:cs="宋体"/>
          <w:bCs/>
          <w:color w:val="auto"/>
          <w:sz w:val="24"/>
          <w:highlight w:val="none"/>
        </w:rPr>
        <w:t>，有一个得</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val="en-US" w:eastAsia="zh-CN"/>
        </w:rPr>
        <w:t>本项</w:t>
      </w:r>
      <w:r>
        <w:rPr>
          <w:rFonts w:hint="eastAsia" w:ascii="宋体" w:hAnsi="宋体" w:eastAsia="宋体" w:cs="宋体"/>
          <w:bCs/>
          <w:color w:val="auto"/>
          <w:sz w:val="24"/>
          <w:highlight w:val="none"/>
        </w:rPr>
        <w:t>最高得2分。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投标时需提供</w:t>
      </w:r>
      <w:r>
        <w:rPr>
          <w:rFonts w:hint="eastAsia" w:ascii="宋体" w:hAnsi="宋体" w:eastAsia="宋体" w:cs="宋体"/>
          <w:bCs/>
          <w:color w:val="auto"/>
          <w:sz w:val="24"/>
          <w:highlight w:val="none"/>
          <w:lang w:val="en-US" w:eastAsia="zh-CN"/>
        </w:rPr>
        <w:t>中标通知书、</w:t>
      </w:r>
      <w:r>
        <w:rPr>
          <w:rFonts w:hint="eastAsia" w:ascii="宋体" w:hAnsi="宋体" w:eastAsia="宋体" w:cs="宋体"/>
          <w:bCs/>
          <w:color w:val="auto"/>
          <w:sz w:val="24"/>
          <w:highlight w:val="none"/>
        </w:rPr>
        <w:t>合同原件扫描件</w:t>
      </w:r>
      <w:r>
        <w:rPr>
          <w:rFonts w:hint="eastAsia" w:ascii="宋体" w:hAnsi="宋体" w:eastAsia="宋体" w:cs="宋体"/>
          <w:bCs/>
          <w:color w:val="auto"/>
          <w:sz w:val="24"/>
          <w:highlight w:val="none"/>
          <w:lang w:eastAsia="zh-CN"/>
        </w:rPr>
        <w:t>、发票原件</w:t>
      </w:r>
      <w:r>
        <w:rPr>
          <w:rFonts w:hint="eastAsia" w:ascii="宋体" w:hAnsi="宋体" w:eastAsia="宋体" w:cs="宋体"/>
          <w:bCs/>
          <w:color w:val="auto"/>
          <w:sz w:val="24"/>
          <w:highlight w:val="none"/>
          <w:lang w:val="en-US" w:eastAsia="zh-CN"/>
        </w:rPr>
        <w:t>扫描件、回款凭证扫描件，</w:t>
      </w:r>
      <w:r>
        <w:rPr>
          <w:rFonts w:hint="eastAsia" w:ascii="宋体" w:hAnsi="宋体" w:eastAsia="宋体" w:cs="宋体"/>
          <w:bCs/>
          <w:color w:val="auto"/>
          <w:sz w:val="24"/>
          <w:highlight w:val="none"/>
        </w:rPr>
        <w:t>上传至投标文件，未提供或提供不全不得分，业绩有效期以本次招标公告发布之日起往前推算，以合同签订日期为准。</w:t>
      </w:r>
      <w:r>
        <w:rPr>
          <w:rFonts w:hint="eastAsia" w:ascii="宋体" w:hAnsi="宋体" w:eastAsia="宋体" w:cs="宋体"/>
          <w:bCs/>
          <w:color w:val="auto"/>
          <w:sz w:val="24"/>
          <w:highlight w:val="none"/>
          <w:lang w:eastAsia="zh-CN"/>
        </w:rPr>
        <w:t>）</w:t>
      </w:r>
    </w:p>
    <w:p w14:paraId="6580C7AC">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2.2</w:t>
      </w:r>
      <w:r>
        <w:rPr>
          <w:rFonts w:hint="eastAsia" w:ascii="宋体" w:hAnsi="宋体" w:eastAsia="宋体" w:cs="宋体"/>
          <w:bCs/>
          <w:color w:val="auto"/>
          <w:sz w:val="24"/>
          <w:highlight w:val="none"/>
        </w:rPr>
        <w:t>认证证书（</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供应商提供有效期内的环境管理体系认证证书、质量管理体系认证证书</w:t>
      </w:r>
      <w:r>
        <w:rPr>
          <w:rFonts w:hint="eastAsia" w:ascii="宋体" w:hAnsi="宋体" w:eastAsia="宋体" w:cs="宋体"/>
          <w:bCs/>
          <w:color w:val="auto"/>
          <w:sz w:val="24"/>
          <w:highlight w:val="none"/>
          <w:lang w:eastAsia="zh-CN"/>
        </w:rPr>
        <w:t>、社会责任管理体系认证证书、</w:t>
      </w:r>
      <w:r>
        <w:rPr>
          <w:rFonts w:hint="eastAsia" w:ascii="宋体" w:hAnsi="宋体" w:eastAsia="宋体" w:cs="宋体"/>
          <w:bCs/>
          <w:color w:val="auto"/>
          <w:sz w:val="24"/>
          <w:highlight w:val="none"/>
        </w:rPr>
        <w:t>质量健康安全管理体系认证证书</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具备齐全的得</w:t>
      </w:r>
      <w:r>
        <w:rPr>
          <w:rFonts w:hint="eastAsia" w:ascii="宋体" w:hAnsi="宋体" w:eastAsia="宋体" w:cs="宋体"/>
          <w:bCs/>
          <w:color w:val="auto"/>
          <w:sz w:val="24"/>
          <w:highlight w:val="none"/>
          <w:lang w:val="en-US" w:eastAsia="zh-CN"/>
        </w:rPr>
        <w:t>4</w:t>
      </w:r>
      <w:r>
        <w:rPr>
          <w:rFonts w:hint="eastAsia" w:ascii="宋体" w:hAnsi="宋体" w:eastAsia="宋体" w:cs="宋体"/>
          <w:bCs/>
          <w:color w:val="auto"/>
          <w:sz w:val="24"/>
          <w:highlight w:val="none"/>
        </w:rPr>
        <w:t>分，提供不全或不提供均不得分。（提供证书原件扫描件上传至系统中（证书具有二维码的须保证二维码查询状态正常</w:t>
      </w:r>
      <w:r>
        <w:rPr>
          <w:rFonts w:hint="eastAsia" w:ascii="宋体" w:hAnsi="宋体" w:eastAsia="宋体" w:cs="宋体"/>
          <w:bCs/>
          <w:color w:val="auto"/>
          <w:sz w:val="24"/>
          <w:highlight w:val="none"/>
          <w:lang w:val="en-US" w:eastAsia="zh-CN"/>
        </w:rPr>
        <w:t>并</w:t>
      </w:r>
      <w:r>
        <w:rPr>
          <w:rFonts w:hint="eastAsia" w:ascii="宋体" w:hAnsi="宋体" w:eastAsia="宋体" w:cs="宋体"/>
          <w:bCs/>
          <w:color w:val="auto"/>
          <w:sz w:val="24"/>
          <w:highlight w:val="none"/>
        </w:rPr>
        <w:t>提供查询网址及查询结果），不提供不得分</w:t>
      </w:r>
      <w:r>
        <w:rPr>
          <w:rFonts w:hint="eastAsia" w:ascii="宋体" w:hAnsi="宋体" w:cs="宋体"/>
          <w:bCs/>
          <w:color w:val="auto"/>
          <w:sz w:val="24"/>
          <w:highlight w:val="none"/>
          <w:lang w:eastAsia="zh-CN"/>
        </w:rPr>
        <w:t>。）</w:t>
      </w:r>
    </w:p>
    <w:p w14:paraId="0B4F2E1D">
      <w:pPr>
        <w:spacing w:line="360" w:lineRule="auto"/>
        <w:ind w:firstLine="48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2.3</w:t>
      </w:r>
      <w:r>
        <w:rPr>
          <w:rFonts w:hint="eastAsia" w:ascii="宋体" w:hAnsi="宋体" w:eastAsia="宋体" w:cs="宋体"/>
          <w:bCs/>
          <w:color w:val="auto"/>
          <w:sz w:val="24"/>
          <w:highlight w:val="none"/>
        </w:rPr>
        <w:t>人员配备（</w:t>
      </w:r>
      <w:r>
        <w:rPr>
          <w:rFonts w:hint="eastAsia" w:ascii="宋体" w:hAnsi="宋体" w:eastAsia="宋体" w:cs="宋体"/>
          <w:bCs/>
          <w:color w:val="auto"/>
          <w:sz w:val="24"/>
          <w:highlight w:val="none"/>
          <w:lang w:val="en-US" w:eastAsia="zh-CN"/>
        </w:rPr>
        <w:t>8</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p>
    <w:p w14:paraId="6CC5B0D3">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①</w:t>
      </w:r>
      <w:r>
        <w:rPr>
          <w:rFonts w:hint="eastAsia" w:ascii="宋体" w:hAnsi="宋体" w:eastAsia="宋体" w:cs="宋体"/>
          <w:bCs/>
          <w:color w:val="auto"/>
          <w:sz w:val="24"/>
          <w:highlight w:val="none"/>
          <w:lang w:val="en-US" w:eastAsia="zh-CN"/>
        </w:rPr>
        <w:t>项目负责人具有人社局颁发的工程类高级及以上工程师职称得2分；</w:t>
      </w:r>
    </w:p>
    <w:p w14:paraId="2FA527F3">
      <w:pPr>
        <w:spacing w:line="360" w:lineRule="auto"/>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②其他拟派管理人员中具有人社局颁发的工程类中级及以上工程师职称的有一个得1分，本项最高3分；</w:t>
      </w:r>
    </w:p>
    <w:p w14:paraId="6C8BC1D3">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③其他拟派管理人员中</w:t>
      </w:r>
      <w:r>
        <w:rPr>
          <w:rFonts w:hint="eastAsia" w:ascii="宋体" w:hAnsi="宋体" w:eastAsia="宋体" w:cs="宋体"/>
          <w:bCs/>
          <w:color w:val="auto"/>
          <w:sz w:val="24"/>
          <w:highlight w:val="none"/>
        </w:rPr>
        <w:t>具备建筑施工特种作业电工操作资格证</w:t>
      </w:r>
      <w:r>
        <w:rPr>
          <w:rFonts w:hint="eastAsia" w:ascii="宋体" w:hAnsi="宋体" w:eastAsia="宋体" w:cs="宋体"/>
          <w:bCs/>
          <w:color w:val="auto"/>
          <w:sz w:val="24"/>
          <w:highlight w:val="none"/>
          <w:lang w:val="en-US" w:eastAsia="zh-CN"/>
        </w:rPr>
        <w:t>或电焊工</w:t>
      </w:r>
      <w:r>
        <w:rPr>
          <w:rFonts w:hint="eastAsia" w:ascii="宋体" w:hAnsi="宋体" w:eastAsia="宋体" w:cs="宋体"/>
          <w:bCs/>
          <w:color w:val="auto"/>
          <w:sz w:val="24"/>
          <w:highlight w:val="none"/>
        </w:rPr>
        <w:t>的，有</w:t>
      </w:r>
      <w:r>
        <w:rPr>
          <w:rFonts w:hint="eastAsia" w:ascii="宋体" w:hAnsi="宋体" w:eastAsia="宋体" w:cs="宋体"/>
          <w:bCs/>
          <w:color w:val="auto"/>
          <w:sz w:val="24"/>
          <w:highlight w:val="none"/>
          <w:lang w:val="en-US" w:eastAsia="zh-CN"/>
        </w:rPr>
        <w:t>一</w:t>
      </w:r>
      <w:r>
        <w:rPr>
          <w:rFonts w:hint="eastAsia" w:ascii="宋体" w:hAnsi="宋体" w:eastAsia="宋体" w:cs="宋体"/>
          <w:bCs/>
          <w:color w:val="auto"/>
          <w:sz w:val="24"/>
          <w:highlight w:val="none"/>
        </w:rPr>
        <w:t>个得</w:t>
      </w:r>
      <w:r>
        <w:rPr>
          <w:rFonts w:hint="eastAsia" w:ascii="宋体" w:hAnsi="宋体" w:eastAsia="宋体" w:cs="宋体"/>
          <w:bCs/>
          <w:color w:val="auto"/>
          <w:sz w:val="24"/>
          <w:highlight w:val="none"/>
          <w:lang w:val="en-US" w:eastAsia="zh-CN"/>
        </w:rPr>
        <w:t>0.5</w:t>
      </w:r>
      <w:r>
        <w:rPr>
          <w:rFonts w:hint="eastAsia" w:ascii="宋体" w:hAnsi="宋体" w:eastAsia="宋体" w:cs="宋体"/>
          <w:bCs/>
          <w:color w:val="auto"/>
          <w:sz w:val="24"/>
          <w:highlight w:val="none"/>
        </w:rPr>
        <w:t>分，最高得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w:t>
      </w:r>
    </w:p>
    <w:p w14:paraId="03A3F9F2">
      <w:pPr>
        <w:spacing w:line="360" w:lineRule="auto"/>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④其他拟派管理人员中</w:t>
      </w:r>
      <w:r>
        <w:rPr>
          <w:rFonts w:hint="eastAsia" w:ascii="宋体" w:hAnsi="宋体" w:eastAsia="宋体" w:cs="宋体"/>
          <w:bCs/>
          <w:color w:val="auto"/>
          <w:sz w:val="24"/>
          <w:highlight w:val="none"/>
        </w:rPr>
        <w:t>具备</w:t>
      </w:r>
      <w:r>
        <w:rPr>
          <w:rFonts w:hint="eastAsia" w:ascii="宋体" w:hAnsi="宋体" w:eastAsia="宋体" w:cs="宋体"/>
          <w:bCs/>
          <w:color w:val="auto"/>
          <w:sz w:val="24"/>
          <w:highlight w:val="none"/>
          <w:lang w:val="en-US" w:eastAsia="zh-CN"/>
        </w:rPr>
        <w:t>安全员证书的，有一个得1分，本项最高得1分；</w:t>
      </w:r>
    </w:p>
    <w:p w14:paraId="704F81C3">
      <w:pPr>
        <w:spacing w:line="360" w:lineRule="auto"/>
        <w:ind w:firstLine="480"/>
        <w:jc w:val="left"/>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⑤除以上人员，具备建设工程机械岗位操作证的（操作项目为挖掘机操作工或工程自卸车操作工），有一人</w:t>
      </w:r>
      <w:r>
        <w:rPr>
          <w:rFonts w:hint="eastAsia" w:ascii="宋体" w:hAnsi="宋体" w:cs="宋体"/>
          <w:bCs/>
          <w:color w:val="auto"/>
          <w:sz w:val="24"/>
          <w:highlight w:val="none"/>
          <w:lang w:val="en-US" w:eastAsia="zh-CN"/>
        </w:rPr>
        <w:t>得</w:t>
      </w:r>
      <w:r>
        <w:rPr>
          <w:rFonts w:hint="eastAsia" w:ascii="宋体" w:hAnsi="宋体" w:eastAsia="宋体" w:cs="宋体"/>
          <w:bCs/>
          <w:color w:val="auto"/>
          <w:sz w:val="24"/>
          <w:highlight w:val="none"/>
          <w:lang w:val="en-US" w:eastAsia="zh-CN"/>
        </w:rPr>
        <w:t>1分，本项最多得1分。</w:t>
      </w:r>
    </w:p>
    <w:p w14:paraId="47CE9372">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本项最高得8分。（</w:t>
      </w:r>
      <w:r>
        <w:rPr>
          <w:rFonts w:hint="eastAsia" w:ascii="宋体" w:hAnsi="宋体" w:eastAsia="宋体" w:cs="宋体"/>
          <w:bCs/>
          <w:color w:val="auto"/>
          <w:sz w:val="24"/>
          <w:highlight w:val="none"/>
        </w:rPr>
        <w:t>上述人员岗位不可兼任，同一人员具备多张证书的不兼得分。提供：①法定的社保收缴部门出</w:t>
      </w:r>
      <w:r>
        <w:rPr>
          <w:rFonts w:hint="eastAsia" w:ascii="宋体" w:hAnsi="宋体" w:eastAsia="宋体" w:cs="宋体"/>
          <w:bCs/>
          <w:color w:val="auto"/>
          <w:sz w:val="24"/>
          <w:highlight w:val="none"/>
          <w:lang w:eastAsia="zh-CN"/>
        </w:rPr>
        <w:t>具的</w:t>
      </w:r>
      <w:r>
        <w:rPr>
          <w:rFonts w:hint="eastAsia" w:ascii="宋体" w:hAnsi="宋体" w:eastAsia="宋体" w:cs="宋体"/>
          <w:bCs/>
          <w:color w:val="auto"/>
          <w:sz w:val="24"/>
          <w:highlight w:val="none"/>
        </w:rPr>
        <w:t>由供应商本企业为其依法缴纳的近一年中任意一个月（不含投标当月）的社会保障资金的相关材料（提供相关主管部门证明或银行代扣证明）扫描件并加盖公章。②安全员的安全生产知识考核合格证书原件或带有可验证二维码的电子证书打印件。③职称证书的原件或公证件扫描件，职称证书无法显示专业的，另需提供毕业证书</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2001年及以后毕业的另</w:t>
      </w:r>
      <w:r>
        <w:rPr>
          <w:rFonts w:hint="eastAsia" w:ascii="宋体" w:hAnsi="宋体" w:eastAsia="宋体" w:cs="宋体"/>
          <w:bCs/>
          <w:color w:val="auto"/>
          <w:sz w:val="24"/>
          <w:highlight w:val="none"/>
          <w:lang w:eastAsia="zh-CN"/>
        </w:rPr>
        <w:t>需</w:t>
      </w:r>
      <w:r>
        <w:rPr>
          <w:rFonts w:hint="eastAsia" w:ascii="宋体" w:hAnsi="宋体" w:eastAsia="宋体" w:cs="宋体"/>
          <w:bCs/>
          <w:color w:val="auto"/>
          <w:sz w:val="24"/>
          <w:highlight w:val="none"/>
        </w:rPr>
        <w:t>提供中国高等教育学生信息网（网址http://www.chsi.com.cn）验证的《教育部学历证书电子注册备案表》电子件</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或职称申报表，以毕业证书或职称申报表上所填专业为准。④特种作业操作类证书带有可验证二维码原件或公证件扫描件。</w:t>
      </w:r>
      <w:r>
        <w:rPr>
          <w:rFonts w:hint="eastAsia" w:ascii="宋体" w:hAnsi="宋体" w:eastAsia="宋体" w:cs="宋体"/>
          <w:bCs/>
          <w:color w:val="auto"/>
          <w:sz w:val="24"/>
          <w:highlight w:val="none"/>
          <w:lang w:val="en-US" w:eastAsia="zh-CN"/>
        </w:rPr>
        <w:t>）</w:t>
      </w:r>
    </w:p>
    <w:p w14:paraId="0FC026F0">
      <w:pPr>
        <w:spacing w:line="360" w:lineRule="auto"/>
        <w:ind w:firstLine="480"/>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2.4机械设备</w:t>
      </w:r>
      <w:r>
        <w:rPr>
          <w:rFonts w:hint="eastAsia" w:ascii="宋体" w:hAnsi="宋体" w:eastAsia="宋体" w:cs="宋体"/>
          <w:bCs/>
          <w:color w:val="auto"/>
          <w:sz w:val="24"/>
          <w:highlight w:val="none"/>
        </w:rPr>
        <w:t>（</w:t>
      </w:r>
      <w:r>
        <w:rPr>
          <w:rFonts w:hint="eastAsia" w:ascii="宋体" w:hAnsi="宋体" w:eastAsia="宋体" w:cs="宋体"/>
          <w:bCs/>
          <w:color w:val="auto"/>
          <w:sz w:val="24"/>
          <w:highlight w:val="none"/>
          <w:lang w:val="en-US" w:eastAsia="zh-CN"/>
        </w:rPr>
        <w:t>7</w:t>
      </w:r>
      <w:r>
        <w:rPr>
          <w:rFonts w:hint="eastAsia" w:ascii="宋体" w:hAnsi="宋体" w:eastAsia="宋体" w:cs="宋体"/>
          <w:bCs/>
          <w:color w:val="auto"/>
          <w:sz w:val="24"/>
          <w:highlight w:val="none"/>
        </w:rPr>
        <w:t>分）</w:t>
      </w:r>
    </w:p>
    <w:p w14:paraId="2B2B96DF">
      <w:pPr>
        <w:spacing w:line="360" w:lineRule="auto"/>
        <w:ind w:firstLine="48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①投标供应商拥有自购或租赁</w:t>
      </w:r>
      <w:r>
        <w:rPr>
          <w:rFonts w:hint="eastAsia" w:ascii="宋体" w:hAnsi="宋体" w:cs="宋体"/>
          <w:bCs/>
          <w:color w:val="auto"/>
          <w:sz w:val="24"/>
          <w:highlight w:val="none"/>
          <w:lang w:eastAsia="zh-CN"/>
        </w:rPr>
        <w:t>厢式</w:t>
      </w:r>
      <w:r>
        <w:rPr>
          <w:rFonts w:hint="eastAsia" w:ascii="宋体" w:hAnsi="宋体" w:eastAsia="宋体" w:cs="宋体"/>
          <w:bCs/>
          <w:color w:val="auto"/>
          <w:sz w:val="24"/>
          <w:highlight w:val="none"/>
          <w:lang w:val="en-US" w:eastAsia="zh-CN"/>
        </w:rPr>
        <w:t>货车</w:t>
      </w:r>
      <w:r>
        <w:rPr>
          <w:rFonts w:hint="eastAsia" w:ascii="宋体" w:hAnsi="宋体" w:eastAsia="宋体" w:cs="宋体"/>
          <w:bCs/>
          <w:color w:val="auto"/>
          <w:sz w:val="24"/>
          <w:highlight w:val="none"/>
        </w:rPr>
        <w:t>，每</w:t>
      </w:r>
      <w:r>
        <w:rPr>
          <w:rFonts w:hint="eastAsia" w:ascii="宋体" w:hAnsi="宋体" w:eastAsia="宋体" w:cs="宋体"/>
          <w:bCs/>
          <w:color w:val="auto"/>
          <w:sz w:val="24"/>
          <w:highlight w:val="none"/>
          <w:lang w:val="en-US" w:eastAsia="zh-CN"/>
        </w:rPr>
        <w:t>辆</w:t>
      </w:r>
      <w:r>
        <w:rPr>
          <w:rFonts w:hint="eastAsia" w:ascii="宋体" w:hAnsi="宋体" w:eastAsia="宋体" w:cs="宋体"/>
          <w:bCs/>
          <w:color w:val="auto"/>
          <w:sz w:val="24"/>
          <w:highlight w:val="none"/>
        </w:rPr>
        <w:t>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分，本项最高</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p>
    <w:p w14:paraId="2F8F5561">
      <w:pPr>
        <w:spacing w:line="360" w:lineRule="auto"/>
        <w:ind w:firstLine="48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②投标供应商拥有自购或租赁</w:t>
      </w:r>
      <w:r>
        <w:rPr>
          <w:rFonts w:hint="eastAsia" w:ascii="宋体" w:hAnsi="宋体" w:eastAsia="宋体" w:cs="宋体"/>
          <w:bCs/>
          <w:color w:val="auto"/>
          <w:sz w:val="24"/>
          <w:highlight w:val="none"/>
          <w:lang w:val="en-US" w:eastAsia="zh-CN"/>
        </w:rPr>
        <w:t>湿扫车</w:t>
      </w:r>
      <w:r>
        <w:rPr>
          <w:rFonts w:hint="eastAsia" w:ascii="宋体" w:hAnsi="宋体" w:eastAsia="宋体" w:cs="宋体"/>
          <w:bCs/>
          <w:color w:val="auto"/>
          <w:sz w:val="24"/>
          <w:highlight w:val="none"/>
        </w:rPr>
        <w:t>，每台得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分，本项最高</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p>
    <w:p w14:paraId="2C5F6A0B">
      <w:pPr>
        <w:spacing w:line="360" w:lineRule="auto"/>
        <w:ind w:firstLine="48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③投标供应商拥有自购或租赁</w:t>
      </w:r>
      <w:r>
        <w:rPr>
          <w:rFonts w:hint="eastAsia" w:ascii="宋体" w:hAnsi="宋体" w:eastAsia="宋体" w:cs="宋体"/>
          <w:bCs/>
          <w:color w:val="auto"/>
          <w:sz w:val="24"/>
          <w:highlight w:val="none"/>
          <w:lang w:val="en-US" w:eastAsia="zh-CN"/>
        </w:rPr>
        <w:t>抢险车</w:t>
      </w:r>
      <w:r>
        <w:rPr>
          <w:rFonts w:hint="eastAsia" w:ascii="宋体" w:hAnsi="宋体" w:eastAsia="宋体" w:cs="宋体"/>
          <w:bCs/>
          <w:color w:val="auto"/>
          <w:sz w:val="24"/>
          <w:highlight w:val="none"/>
        </w:rPr>
        <w:t>，每台得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分，本项最高</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p>
    <w:p w14:paraId="49F4E946">
      <w:pPr>
        <w:spacing w:line="360" w:lineRule="auto"/>
        <w:ind w:firstLine="48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④</w:t>
      </w:r>
      <w:r>
        <w:rPr>
          <w:rFonts w:hint="eastAsia" w:ascii="宋体" w:hAnsi="宋体" w:eastAsia="宋体" w:cs="宋体"/>
          <w:bCs/>
          <w:color w:val="auto"/>
          <w:sz w:val="24"/>
          <w:highlight w:val="none"/>
          <w:lang w:val="en-US" w:eastAsia="zh-CN"/>
        </w:rPr>
        <w:t>为防止现场扬尘、路面清洁，投标人具有清洗车（具有高压冲洗功能）的</w:t>
      </w:r>
      <w:r>
        <w:rPr>
          <w:rFonts w:hint="eastAsia" w:ascii="宋体" w:hAnsi="宋体" w:eastAsia="宋体" w:cs="宋体"/>
          <w:bCs/>
          <w:color w:val="auto"/>
          <w:sz w:val="24"/>
          <w:highlight w:val="none"/>
        </w:rPr>
        <w:t>，每台得</w:t>
      </w:r>
      <w:r>
        <w:rPr>
          <w:rFonts w:hint="eastAsia" w:ascii="宋体" w:hAnsi="宋体" w:eastAsia="宋体" w:cs="宋体"/>
          <w:bCs/>
          <w:color w:val="auto"/>
          <w:sz w:val="24"/>
          <w:highlight w:val="none"/>
          <w:lang w:val="en-US" w:eastAsia="zh-CN"/>
        </w:rPr>
        <w:t>1</w:t>
      </w:r>
      <w:r>
        <w:rPr>
          <w:rFonts w:hint="eastAsia" w:ascii="宋体" w:hAnsi="宋体" w:eastAsia="宋体" w:cs="宋体"/>
          <w:bCs/>
          <w:color w:val="auto"/>
          <w:sz w:val="24"/>
          <w:highlight w:val="none"/>
        </w:rPr>
        <w:t>分，本项最高</w:t>
      </w:r>
      <w:r>
        <w:rPr>
          <w:rFonts w:hint="eastAsia" w:ascii="宋体" w:hAnsi="宋体" w:eastAsia="宋体" w:cs="宋体"/>
          <w:bCs/>
          <w:color w:val="auto"/>
          <w:sz w:val="24"/>
          <w:highlight w:val="none"/>
          <w:lang w:val="en-US" w:eastAsia="zh-CN"/>
        </w:rPr>
        <w:t>2</w:t>
      </w:r>
      <w:r>
        <w:rPr>
          <w:rFonts w:hint="eastAsia" w:ascii="宋体" w:hAnsi="宋体" w:eastAsia="宋体" w:cs="宋体"/>
          <w:bCs/>
          <w:color w:val="auto"/>
          <w:sz w:val="24"/>
          <w:highlight w:val="none"/>
        </w:rPr>
        <w:t>分</w:t>
      </w:r>
      <w:r>
        <w:rPr>
          <w:rFonts w:hint="eastAsia" w:ascii="宋体" w:hAnsi="宋体" w:eastAsia="宋体" w:cs="宋体"/>
          <w:bCs/>
          <w:color w:val="auto"/>
          <w:sz w:val="24"/>
          <w:highlight w:val="none"/>
          <w:lang w:eastAsia="zh-CN"/>
        </w:rPr>
        <w:t>。</w:t>
      </w:r>
    </w:p>
    <w:p w14:paraId="6D149B1F">
      <w:pPr>
        <w:keepNext w:val="0"/>
        <w:keepLines w:val="0"/>
        <w:pageBreakBefore w:val="0"/>
        <w:widowControl w:val="0"/>
        <w:kinsoku/>
        <w:wordWrap/>
        <w:overflowPunct/>
        <w:topLinePunct w:val="0"/>
        <w:autoSpaceDE/>
        <w:autoSpaceDN/>
        <w:bidi w:val="0"/>
        <w:adjustRightInd/>
        <w:snapToGrid/>
        <w:spacing w:line="360" w:lineRule="auto"/>
        <w:ind w:right="0" w:firstLine="48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Cs/>
          <w:color w:val="auto"/>
          <w:sz w:val="24"/>
          <w:highlight w:val="none"/>
          <w:lang w:val="en-US" w:eastAsia="zh-CN"/>
        </w:rPr>
        <w:t>本项最高得7分。</w:t>
      </w:r>
      <w:r>
        <w:rPr>
          <w:rFonts w:hint="eastAsia" w:ascii="宋体" w:hAnsi="宋体" w:eastAsia="宋体" w:cs="宋体"/>
          <w:bCs/>
          <w:color w:val="auto"/>
          <w:sz w:val="24"/>
          <w:highlight w:val="none"/>
        </w:rPr>
        <w:t>注：车辆设备自有的需提供车辆购置发票（发票上的购买单位应为投标单位）、照片</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行驶证</w:t>
      </w:r>
      <w:r>
        <w:rPr>
          <w:rFonts w:hint="eastAsia" w:ascii="宋体" w:hAnsi="宋体" w:eastAsia="宋体" w:cs="宋体"/>
          <w:bCs/>
          <w:color w:val="auto"/>
          <w:sz w:val="24"/>
          <w:highlight w:val="none"/>
          <w:lang w:val="en-US" w:eastAsia="zh-CN"/>
        </w:rPr>
        <w:t>及车辆登记证</w:t>
      </w:r>
      <w:r>
        <w:rPr>
          <w:rFonts w:hint="eastAsia" w:ascii="宋体" w:hAnsi="宋体" w:eastAsia="宋体" w:cs="宋体"/>
          <w:bCs/>
          <w:color w:val="auto"/>
          <w:sz w:val="24"/>
          <w:highlight w:val="none"/>
        </w:rPr>
        <w:t>；租赁的需提供购买方发票、租赁合同、机械设备租赁发票（发票上的应为投标单位）、设备照片</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行驶证</w:t>
      </w:r>
      <w:r>
        <w:rPr>
          <w:rFonts w:hint="eastAsia" w:ascii="宋体" w:hAnsi="宋体" w:eastAsia="宋体" w:cs="宋体"/>
          <w:bCs/>
          <w:color w:val="auto"/>
          <w:sz w:val="24"/>
          <w:highlight w:val="none"/>
          <w:lang w:val="en-US" w:eastAsia="zh-CN"/>
        </w:rPr>
        <w:t>及车辆登记证</w:t>
      </w:r>
      <w:r>
        <w:rPr>
          <w:rFonts w:hint="eastAsia" w:ascii="宋体" w:hAnsi="宋体" w:eastAsia="宋体" w:cs="宋体"/>
          <w:bCs/>
          <w:color w:val="auto"/>
          <w:sz w:val="24"/>
          <w:highlight w:val="none"/>
        </w:rPr>
        <w:t>原件扫描件加盖公章</w:t>
      </w:r>
      <w:r>
        <w:rPr>
          <w:rFonts w:hint="eastAsia" w:ascii="宋体" w:hAnsi="宋体" w:cs="宋体"/>
          <w:bCs/>
          <w:color w:val="auto"/>
          <w:sz w:val="24"/>
          <w:highlight w:val="none"/>
          <w:lang w:eastAsia="zh-CN"/>
        </w:rPr>
        <w:t>。</w:t>
      </w:r>
      <w:r>
        <w:rPr>
          <w:rFonts w:hint="eastAsia" w:ascii="宋体" w:hAnsi="宋体" w:eastAsia="宋体" w:cs="宋体"/>
          <w:bCs/>
          <w:color w:val="auto"/>
          <w:sz w:val="24"/>
          <w:highlight w:val="none"/>
        </w:rPr>
        <w:t>以上发票开票日期需在招标公告发布日之前，</w:t>
      </w:r>
      <w:r>
        <w:rPr>
          <w:rFonts w:hint="eastAsia" w:ascii="宋体" w:hAnsi="宋体" w:eastAsia="宋体" w:cs="宋体"/>
          <w:bCs/>
          <w:color w:val="auto"/>
          <w:sz w:val="24"/>
          <w:highlight w:val="none"/>
          <w:lang w:val="en-US" w:eastAsia="zh-CN"/>
        </w:rPr>
        <w:t>其中</w:t>
      </w:r>
      <w:r>
        <w:rPr>
          <w:rFonts w:hint="eastAsia" w:ascii="宋体" w:hAnsi="宋体" w:eastAsia="宋体" w:cs="宋体"/>
          <w:bCs/>
          <w:color w:val="auto"/>
          <w:sz w:val="24"/>
          <w:highlight w:val="none"/>
        </w:rPr>
        <w:t>③</w:t>
      </w:r>
      <w:r>
        <w:rPr>
          <w:rFonts w:hint="eastAsia" w:ascii="宋体" w:hAnsi="宋体" w:eastAsia="宋体" w:cs="宋体"/>
          <w:bCs/>
          <w:color w:val="auto"/>
          <w:sz w:val="24"/>
          <w:highlight w:val="none"/>
          <w:lang w:val="en-US" w:eastAsia="zh-CN"/>
        </w:rPr>
        <w:t>需要提供相关参数证明文件，</w:t>
      </w:r>
      <w:r>
        <w:rPr>
          <w:rFonts w:hint="eastAsia" w:ascii="宋体" w:hAnsi="宋体" w:eastAsia="宋体" w:cs="宋体"/>
          <w:bCs/>
          <w:color w:val="auto"/>
          <w:sz w:val="24"/>
          <w:highlight w:val="none"/>
        </w:rPr>
        <w:t>未按上述要求提供或提供不全均不得分。</w:t>
      </w:r>
      <w:r>
        <w:rPr>
          <w:rFonts w:hint="eastAsia" w:ascii="宋体" w:hAnsi="宋体" w:eastAsia="宋体" w:cs="宋体"/>
          <w:bCs/>
          <w:color w:val="auto"/>
          <w:sz w:val="24"/>
          <w:highlight w:val="none"/>
          <w:lang w:eastAsia="zh-CN"/>
        </w:rPr>
        <w:t>）</w:t>
      </w:r>
    </w:p>
    <w:p w14:paraId="6202957E">
      <w:pPr>
        <w:spacing w:line="360" w:lineRule="auto"/>
        <w:ind w:firstLine="482"/>
        <w:jc w:val="left"/>
        <w:rPr>
          <w:rFonts w:hint="eastAsia" w:ascii="宋体" w:hAnsi="宋体" w:eastAsia="宋体" w:cs="宋体"/>
          <w:b/>
          <w:bCs/>
          <w:color w:val="auto"/>
          <w:sz w:val="24"/>
          <w:szCs w:val="24"/>
          <w:highlight w:val="none"/>
        </w:rPr>
      </w:pPr>
      <w:r>
        <w:rPr>
          <w:rFonts w:hint="eastAsia" w:ascii="宋体" w:hAnsi="宋体" w:eastAsia="宋体" w:cs="宋体"/>
          <w:b/>
          <w:bCs w:val="0"/>
          <w:color w:val="auto"/>
          <w:kern w:val="0"/>
          <w:sz w:val="24"/>
          <w:szCs w:val="24"/>
          <w:highlight w:val="none"/>
          <w:lang w:val="en-US" w:eastAsia="zh-CN" w:bidi="ar"/>
        </w:rPr>
        <w:t>3.</w:t>
      </w:r>
      <w:r>
        <w:rPr>
          <w:rFonts w:hint="eastAsia" w:ascii="宋体" w:hAnsi="宋体" w:eastAsia="宋体" w:cs="宋体"/>
          <w:b/>
          <w:bCs/>
          <w:color w:val="auto"/>
          <w:sz w:val="24"/>
          <w:szCs w:val="24"/>
          <w:highlight w:val="none"/>
        </w:rPr>
        <w:t>技术文件（暗标）（</w:t>
      </w:r>
      <w:r>
        <w:rPr>
          <w:rFonts w:hint="eastAsia" w:ascii="宋体" w:hAnsi="宋体" w:eastAsia="宋体" w:cs="宋体"/>
          <w:b/>
          <w:bCs/>
          <w:color w:val="auto"/>
          <w:sz w:val="24"/>
          <w:szCs w:val="24"/>
          <w:highlight w:val="none"/>
          <w:lang w:val="en-US" w:eastAsia="zh-CN"/>
        </w:rPr>
        <w:t>49</w:t>
      </w:r>
      <w:r>
        <w:rPr>
          <w:rFonts w:hint="eastAsia" w:ascii="宋体" w:hAnsi="宋体" w:eastAsia="宋体" w:cs="宋体"/>
          <w:b/>
          <w:bCs/>
          <w:color w:val="auto"/>
          <w:sz w:val="24"/>
          <w:szCs w:val="24"/>
          <w:highlight w:val="none"/>
        </w:rPr>
        <w:t>分）</w:t>
      </w:r>
    </w:p>
    <w:p w14:paraId="182DFCFC">
      <w:pPr>
        <w:spacing w:line="360" w:lineRule="auto"/>
        <w:ind w:firstLine="482"/>
        <w:jc w:val="left"/>
        <w:rPr>
          <w:rFonts w:hint="eastAsia" w:ascii="宋体" w:hAnsi="宋体" w:eastAsia="宋体" w:cs="宋体"/>
          <w:b/>
          <w:color w:val="auto"/>
          <w:sz w:val="24"/>
          <w:szCs w:val="24"/>
          <w:highlight w:val="none"/>
          <w:u w:val="single"/>
          <w:lang w:val="zh-CN"/>
        </w:rPr>
      </w:pPr>
      <w:r>
        <w:rPr>
          <w:rFonts w:hint="eastAsia" w:ascii="宋体" w:hAnsi="宋体" w:eastAsia="宋体" w:cs="宋体"/>
          <w:b/>
          <w:color w:val="auto"/>
          <w:sz w:val="24"/>
          <w:szCs w:val="24"/>
          <w:highlight w:val="none"/>
          <w:u w:val="single"/>
          <w:lang w:val="zh-CN"/>
        </w:rPr>
        <w:t>注：技术</w:t>
      </w:r>
      <w:r>
        <w:rPr>
          <w:rFonts w:hint="eastAsia" w:ascii="宋体" w:hAnsi="宋体" w:eastAsia="宋体" w:cs="宋体"/>
          <w:b/>
          <w:color w:val="auto"/>
          <w:sz w:val="24"/>
          <w:szCs w:val="24"/>
          <w:highlight w:val="none"/>
          <w:u w:val="single"/>
        </w:rPr>
        <w:t>文件</w:t>
      </w:r>
      <w:r>
        <w:rPr>
          <w:rFonts w:hint="eastAsia" w:ascii="宋体" w:hAnsi="宋体" w:eastAsia="宋体" w:cs="宋体"/>
          <w:b/>
          <w:color w:val="auto"/>
          <w:sz w:val="24"/>
          <w:szCs w:val="24"/>
          <w:highlight w:val="none"/>
          <w:u w:val="single"/>
          <w:lang w:val="zh-CN"/>
        </w:rPr>
        <w:t>部分属于暗标，投标人在制作技术</w:t>
      </w:r>
      <w:r>
        <w:rPr>
          <w:rFonts w:hint="eastAsia" w:ascii="宋体" w:hAnsi="宋体" w:eastAsia="宋体" w:cs="宋体"/>
          <w:b/>
          <w:color w:val="auto"/>
          <w:sz w:val="24"/>
          <w:szCs w:val="24"/>
          <w:highlight w:val="none"/>
          <w:u w:val="single"/>
        </w:rPr>
        <w:t>文件</w:t>
      </w:r>
      <w:r>
        <w:rPr>
          <w:rFonts w:hint="eastAsia" w:ascii="宋体" w:hAnsi="宋体" w:eastAsia="宋体" w:cs="宋体"/>
          <w:b/>
          <w:color w:val="auto"/>
          <w:sz w:val="24"/>
          <w:szCs w:val="24"/>
          <w:highlight w:val="none"/>
          <w:u w:val="single"/>
          <w:lang w:val="zh-CN"/>
        </w:rPr>
        <w:t>部分相关内容时不得有体现投标人身份的内容，否则投标无效。</w:t>
      </w:r>
    </w:p>
    <w:p w14:paraId="3350576C">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eastAsia="zh-CN"/>
        </w:rPr>
        <w:t>（1）</w:t>
      </w:r>
      <w:r>
        <w:rPr>
          <w:rFonts w:hint="eastAsia" w:ascii="宋体" w:hAnsi="宋体" w:eastAsia="宋体" w:cs="宋体"/>
          <w:bCs/>
          <w:color w:val="auto"/>
          <w:sz w:val="24"/>
          <w:szCs w:val="24"/>
          <w:highlight w:val="none"/>
          <w:lang w:val="zh-CN"/>
        </w:rPr>
        <w:t>总体概述：项目组织总体设想、方案针对性（</w:t>
      </w:r>
      <w:r>
        <w:rPr>
          <w:rFonts w:hint="eastAsia" w:ascii="宋体" w:hAnsi="宋体" w:eastAsia="宋体" w:cs="宋体"/>
          <w:bCs/>
          <w:color w:val="auto"/>
          <w:sz w:val="24"/>
          <w:szCs w:val="24"/>
          <w:highlight w:val="none"/>
          <w:lang w:val="en-US" w:eastAsia="zh-CN"/>
        </w:rPr>
        <w:t>6</w:t>
      </w:r>
      <w:r>
        <w:rPr>
          <w:rFonts w:hint="eastAsia" w:ascii="宋体" w:hAnsi="宋体" w:eastAsia="宋体" w:cs="宋体"/>
          <w:bCs/>
          <w:color w:val="auto"/>
          <w:sz w:val="24"/>
          <w:szCs w:val="24"/>
          <w:highlight w:val="none"/>
          <w:lang w:val="zh-CN"/>
        </w:rPr>
        <w:t>分）</w:t>
      </w:r>
    </w:p>
    <w:p w14:paraId="0457E543">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①项目总体设想</w:t>
      </w:r>
    </w:p>
    <w:p w14:paraId="0B150722">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②方案针对性</w:t>
      </w:r>
      <w:r>
        <w:rPr>
          <w:rFonts w:hint="eastAsia" w:ascii="宋体" w:hAnsi="宋体" w:eastAsia="宋体" w:cs="宋体"/>
          <w:bCs/>
          <w:color w:val="auto"/>
          <w:sz w:val="24"/>
          <w:szCs w:val="24"/>
          <w:highlight w:val="none"/>
          <w:lang w:val="en-US" w:eastAsia="zh-CN"/>
        </w:rPr>
        <w:t>及</w:t>
      </w:r>
      <w:r>
        <w:rPr>
          <w:rFonts w:hint="eastAsia" w:ascii="宋体" w:hAnsi="宋体" w:eastAsia="宋体" w:cs="宋体"/>
          <w:bCs/>
          <w:color w:val="auto"/>
          <w:sz w:val="24"/>
          <w:szCs w:val="24"/>
          <w:highlight w:val="none"/>
          <w:lang w:val="zh-CN"/>
        </w:rPr>
        <w:t>环保施工措施计划</w:t>
      </w:r>
    </w:p>
    <w:p w14:paraId="0EF2174F">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对上述内容进行阐述，阐述内容须满足采购需求。内容翔实、需求贴合度高且条理清晰的该条得</w:t>
      </w:r>
      <w:r>
        <w:rPr>
          <w:rFonts w:hint="eastAsia" w:ascii="宋体" w:hAnsi="宋体" w:eastAsia="宋体" w:cs="宋体"/>
          <w:bCs/>
          <w:color w:val="auto"/>
          <w:sz w:val="24"/>
          <w:szCs w:val="24"/>
          <w:highlight w:val="none"/>
          <w:lang w:val="zh-CN" w:eastAsia="zh-CN"/>
        </w:rPr>
        <w:t>3</w:t>
      </w:r>
      <w:r>
        <w:rPr>
          <w:rFonts w:hint="eastAsia" w:ascii="宋体" w:hAnsi="宋体" w:eastAsia="宋体" w:cs="宋体"/>
          <w:bCs/>
          <w:color w:val="auto"/>
          <w:sz w:val="24"/>
          <w:szCs w:val="24"/>
          <w:highlight w:val="none"/>
          <w:lang w:val="zh-CN"/>
        </w:rPr>
        <w:t>分，内容较为简单、细节有待完善的得</w:t>
      </w:r>
      <w:r>
        <w:rPr>
          <w:rFonts w:hint="eastAsia" w:ascii="宋体" w:hAnsi="宋体" w:eastAsia="宋体" w:cs="宋体"/>
          <w:bCs/>
          <w:color w:val="auto"/>
          <w:sz w:val="24"/>
          <w:szCs w:val="24"/>
          <w:highlight w:val="none"/>
          <w:lang w:val="zh-CN" w:eastAsia="zh-CN"/>
        </w:rPr>
        <w:t>2</w:t>
      </w:r>
      <w:r>
        <w:rPr>
          <w:rFonts w:hint="eastAsia" w:ascii="宋体" w:hAnsi="宋体" w:eastAsia="宋体" w:cs="宋体"/>
          <w:bCs/>
          <w:color w:val="auto"/>
          <w:sz w:val="24"/>
          <w:szCs w:val="24"/>
          <w:highlight w:val="none"/>
          <w:lang w:val="zh-CN"/>
        </w:rPr>
        <w:t>分，内容粗糙、无针对性</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基本满足采购需求的该条得1分</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每缺少一条内容或内容存在不能满足采购需求，或存在逻辑错误、前后矛盾，或存在违反现行相关规范的，该条不得分。</w:t>
      </w:r>
    </w:p>
    <w:p w14:paraId="22A7C444">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（2）施工前准备及主要施工设备（</w:t>
      </w:r>
      <w:r>
        <w:rPr>
          <w:rFonts w:hint="eastAsia" w:ascii="宋体" w:hAnsi="宋体" w:eastAsia="宋体" w:cs="宋体"/>
          <w:bCs/>
          <w:color w:val="auto"/>
          <w:sz w:val="24"/>
          <w:szCs w:val="24"/>
          <w:highlight w:val="none"/>
          <w:lang w:val="zh-CN" w:eastAsia="zh-CN"/>
        </w:rPr>
        <w:t>9</w:t>
      </w:r>
      <w:r>
        <w:rPr>
          <w:rFonts w:hint="eastAsia" w:ascii="宋体" w:hAnsi="宋体" w:eastAsia="宋体" w:cs="宋体"/>
          <w:bCs/>
          <w:color w:val="auto"/>
          <w:sz w:val="24"/>
          <w:szCs w:val="24"/>
          <w:highlight w:val="none"/>
          <w:lang w:val="zh-CN"/>
        </w:rPr>
        <w:t>分）</w:t>
      </w:r>
    </w:p>
    <w:p w14:paraId="0AC8C35F">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①施工技术准备</w:t>
      </w:r>
    </w:p>
    <w:p w14:paraId="0D55FB72">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②施工现场准备</w:t>
      </w:r>
    </w:p>
    <w:p w14:paraId="00DC90FE">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③劳动力、材料、机械设备准备</w:t>
      </w:r>
    </w:p>
    <w:p w14:paraId="1477EB8C">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对上述内容进行阐述，阐述内容须满足采购需求。内容翔实、需求贴合度高且条理清晰的该条得</w:t>
      </w:r>
      <w:r>
        <w:rPr>
          <w:rFonts w:hint="eastAsia" w:ascii="宋体" w:hAnsi="宋体" w:eastAsia="宋体" w:cs="宋体"/>
          <w:bCs/>
          <w:color w:val="auto"/>
          <w:sz w:val="24"/>
          <w:szCs w:val="24"/>
          <w:highlight w:val="none"/>
          <w:lang w:val="zh-CN" w:eastAsia="zh-CN"/>
        </w:rPr>
        <w:t>3</w:t>
      </w:r>
      <w:r>
        <w:rPr>
          <w:rFonts w:hint="eastAsia" w:ascii="宋体" w:hAnsi="宋体" w:eastAsia="宋体" w:cs="宋体"/>
          <w:bCs/>
          <w:color w:val="auto"/>
          <w:sz w:val="24"/>
          <w:szCs w:val="24"/>
          <w:highlight w:val="none"/>
          <w:lang w:val="zh-CN"/>
        </w:rPr>
        <w:t>分，内容较为简单、细节有待完善的得</w:t>
      </w:r>
      <w:r>
        <w:rPr>
          <w:rFonts w:hint="eastAsia" w:ascii="宋体" w:hAnsi="宋体" w:eastAsia="宋体" w:cs="宋体"/>
          <w:bCs/>
          <w:color w:val="auto"/>
          <w:sz w:val="24"/>
          <w:szCs w:val="24"/>
          <w:highlight w:val="none"/>
          <w:lang w:val="zh-CN" w:eastAsia="zh-CN"/>
        </w:rPr>
        <w:t>2</w:t>
      </w:r>
      <w:r>
        <w:rPr>
          <w:rFonts w:hint="eastAsia" w:ascii="宋体" w:hAnsi="宋体" w:eastAsia="宋体" w:cs="宋体"/>
          <w:bCs/>
          <w:color w:val="auto"/>
          <w:sz w:val="24"/>
          <w:szCs w:val="24"/>
          <w:highlight w:val="none"/>
          <w:lang w:val="zh-CN"/>
        </w:rPr>
        <w:t>分，内容粗糙、无针对性</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基本满足采购需求的该条得1分</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每缺少一条内容或内容存在不能满足采购需求，或存在逻辑错误、前后矛盾，或存在违反现行相关规范的，该条不得分。</w:t>
      </w:r>
    </w:p>
    <w:p w14:paraId="6CAFB5B6">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（3）安全保证措施及防护管理措施（</w:t>
      </w:r>
      <w:r>
        <w:rPr>
          <w:rFonts w:hint="eastAsia" w:ascii="宋体" w:hAnsi="宋体" w:eastAsia="宋体" w:cs="宋体"/>
          <w:bCs/>
          <w:color w:val="auto"/>
          <w:sz w:val="24"/>
          <w:szCs w:val="24"/>
          <w:highlight w:val="none"/>
          <w:lang w:val="zh-CN" w:eastAsia="zh-CN"/>
        </w:rPr>
        <w:t>8</w:t>
      </w:r>
      <w:r>
        <w:rPr>
          <w:rFonts w:hint="eastAsia" w:ascii="宋体" w:hAnsi="宋体" w:eastAsia="宋体" w:cs="宋体"/>
          <w:bCs/>
          <w:color w:val="auto"/>
          <w:sz w:val="24"/>
          <w:szCs w:val="24"/>
          <w:highlight w:val="none"/>
          <w:lang w:val="zh-CN"/>
        </w:rPr>
        <w:t>分）</w:t>
      </w:r>
    </w:p>
    <w:p w14:paraId="12F8E71D">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①安全生产各项目规章制度</w:t>
      </w:r>
    </w:p>
    <w:p w14:paraId="7E08A7DD">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②施工现场安全设备配备</w:t>
      </w:r>
    </w:p>
    <w:p w14:paraId="422E5335">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③施工安全措施方案</w:t>
      </w:r>
    </w:p>
    <w:p w14:paraId="3225F194">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④施工现场安全预防方案</w:t>
      </w:r>
    </w:p>
    <w:p w14:paraId="7BFF4C31">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对上述内容进行阐述，阐述内容须满足采购需求。内容翔实、需求贴合度高且条理清晰的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2</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内容较为简单、细节有待完善的</w:t>
      </w:r>
      <w:r>
        <w:rPr>
          <w:rFonts w:hint="eastAsia" w:ascii="宋体" w:hAnsi="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1</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内容粗糙、无针对性</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基本满足采购需求的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0.5</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每缺少一条内容</w:t>
      </w:r>
      <w:r>
        <w:rPr>
          <w:rFonts w:hint="eastAsia" w:ascii="宋体" w:hAnsi="宋体" w:cs="宋体"/>
          <w:bCs/>
          <w:color w:val="auto"/>
          <w:sz w:val="24"/>
          <w:szCs w:val="24"/>
          <w:highlight w:val="none"/>
          <w:lang w:val="zh-CN"/>
        </w:rPr>
        <w:t>，或内容</w:t>
      </w:r>
      <w:r>
        <w:rPr>
          <w:rFonts w:hint="eastAsia" w:ascii="宋体" w:hAnsi="宋体" w:eastAsia="宋体" w:cs="宋体"/>
          <w:bCs/>
          <w:color w:val="auto"/>
          <w:sz w:val="24"/>
          <w:szCs w:val="24"/>
          <w:highlight w:val="none"/>
          <w:lang w:val="zh-CN"/>
        </w:rPr>
        <w:t>不能满足采购需求，或存在逻辑错误、前后矛盾，或存在违反现行相关规范的</w:t>
      </w:r>
      <w:r>
        <w:rPr>
          <w:rFonts w:hint="eastAsia" w:ascii="宋体" w:hAnsi="宋体" w:cs="宋体"/>
          <w:bCs/>
          <w:color w:val="auto"/>
          <w:sz w:val="24"/>
          <w:szCs w:val="24"/>
          <w:highlight w:val="none"/>
          <w:lang w:val="zh-CN"/>
        </w:rPr>
        <w:t>情况，</w:t>
      </w:r>
      <w:r>
        <w:rPr>
          <w:rFonts w:hint="eastAsia" w:ascii="宋体" w:hAnsi="宋体" w:eastAsia="宋体" w:cs="宋体"/>
          <w:bCs/>
          <w:color w:val="auto"/>
          <w:sz w:val="24"/>
          <w:szCs w:val="24"/>
          <w:highlight w:val="none"/>
          <w:lang w:val="zh-CN"/>
        </w:rPr>
        <w:t xml:space="preserve">该条不得分。  </w:t>
      </w:r>
    </w:p>
    <w:p w14:paraId="7E2857D5">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（4）拆除工程文明施工的技术组织措施（</w:t>
      </w:r>
      <w:r>
        <w:rPr>
          <w:rFonts w:hint="eastAsia" w:ascii="宋体" w:hAnsi="宋体" w:eastAsia="宋体" w:cs="宋体"/>
          <w:bCs/>
          <w:color w:val="auto"/>
          <w:sz w:val="24"/>
          <w:szCs w:val="24"/>
          <w:highlight w:val="none"/>
          <w:lang w:val="en-US" w:eastAsia="zh-CN"/>
        </w:rPr>
        <w:t>10</w:t>
      </w:r>
      <w:r>
        <w:rPr>
          <w:rFonts w:hint="eastAsia" w:ascii="宋体" w:hAnsi="宋体" w:eastAsia="宋体" w:cs="宋体"/>
          <w:bCs/>
          <w:color w:val="auto"/>
          <w:sz w:val="24"/>
          <w:szCs w:val="24"/>
          <w:highlight w:val="none"/>
          <w:lang w:val="zh-CN"/>
        </w:rPr>
        <w:t>分）</w:t>
      </w:r>
    </w:p>
    <w:p w14:paraId="31513E9E">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①文明施工目标</w:t>
      </w:r>
    </w:p>
    <w:p w14:paraId="5DAE87B0">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②文明施工措施</w:t>
      </w:r>
    </w:p>
    <w:p w14:paraId="7F37B02F">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③文明施工管理制度</w:t>
      </w:r>
    </w:p>
    <w:p w14:paraId="56054E1A">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④文明施工</w:t>
      </w:r>
      <w:r>
        <w:rPr>
          <w:rFonts w:hint="eastAsia" w:ascii="宋体" w:hAnsi="宋体" w:eastAsia="宋体" w:cs="宋体"/>
          <w:bCs/>
          <w:color w:val="auto"/>
          <w:sz w:val="24"/>
          <w:szCs w:val="24"/>
          <w:highlight w:val="none"/>
          <w:lang w:val="en-US" w:eastAsia="zh-CN"/>
        </w:rPr>
        <w:t>质量</w:t>
      </w:r>
      <w:r>
        <w:rPr>
          <w:rFonts w:hint="eastAsia" w:ascii="宋体" w:hAnsi="宋体" w:eastAsia="宋体" w:cs="宋体"/>
          <w:bCs/>
          <w:color w:val="auto"/>
          <w:sz w:val="24"/>
          <w:szCs w:val="24"/>
          <w:highlight w:val="none"/>
          <w:lang w:val="zh-CN"/>
        </w:rPr>
        <w:t>管理措施</w:t>
      </w:r>
    </w:p>
    <w:p w14:paraId="770D238A">
      <w:pPr>
        <w:spacing w:line="360" w:lineRule="auto"/>
        <w:ind w:firstLine="480"/>
        <w:jc w:val="left"/>
        <w:rPr>
          <w:rFonts w:hint="eastAsia" w:ascii="Times New Roman" w:hAnsi="Times New Roman" w:eastAsia="宋体" w:cs="Times New Roman"/>
          <w:highlight w:val="none"/>
          <w:lang w:val="zh-CN"/>
        </w:rPr>
      </w:pPr>
      <w:r>
        <w:rPr>
          <w:rFonts w:hint="eastAsia" w:ascii="宋体" w:hAnsi="宋体" w:eastAsia="宋体" w:cs="宋体"/>
          <w:bCs/>
          <w:color w:val="auto"/>
          <w:sz w:val="24"/>
          <w:szCs w:val="24"/>
          <w:highlight w:val="none"/>
          <w:lang w:val="zh-CN"/>
        </w:rPr>
        <w:t>⑤文明施工环境管理措施</w:t>
      </w:r>
    </w:p>
    <w:p w14:paraId="597822DD">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对上述内容进行阐述，阐述内容须满足采购需求。内容翔实、需求贴合度高且条理清晰的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2</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内容较为简单、细节有待完善的</w:t>
      </w:r>
      <w:r>
        <w:rPr>
          <w:rFonts w:hint="eastAsia" w:ascii="宋体" w:hAnsi="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1</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内容粗糙、无针对性</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基本满足采购需求的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0.5</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每缺少一条内容</w:t>
      </w:r>
      <w:r>
        <w:rPr>
          <w:rFonts w:hint="eastAsia" w:ascii="宋体" w:hAnsi="宋体" w:cs="宋体"/>
          <w:bCs/>
          <w:color w:val="auto"/>
          <w:sz w:val="24"/>
          <w:szCs w:val="24"/>
          <w:highlight w:val="none"/>
          <w:lang w:val="zh-CN"/>
        </w:rPr>
        <w:t>，或内容</w:t>
      </w:r>
      <w:r>
        <w:rPr>
          <w:rFonts w:hint="eastAsia" w:ascii="宋体" w:hAnsi="宋体" w:eastAsia="宋体" w:cs="宋体"/>
          <w:bCs/>
          <w:color w:val="auto"/>
          <w:sz w:val="24"/>
          <w:szCs w:val="24"/>
          <w:highlight w:val="none"/>
          <w:lang w:val="zh-CN"/>
        </w:rPr>
        <w:t>不能满足采购需求，或存在逻辑错误、前后矛盾，或存在违反现行相关规范的</w:t>
      </w:r>
      <w:r>
        <w:rPr>
          <w:rFonts w:hint="eastAsia" w:ascii="宋体" w:hAnsi="宋体" w:cs="宋体"/>
          <w:bCs/>
          <w:color w:val="auto"/>
          <w:sz w:val="24"/>
          <w:szCs w:val="24"/>
          <w:highlight w:val="none"/>
          <w:lang w:val="zh-CN"/>
        </w:rPr>
        <w:t>情况，</w:t>
      </w:r>
      <w:r>
        <w:rPr>
          <w:rFonts w:hint="eastAsia" w:ascii="宋体" w:hAnsi="宋体" w:eastAsia="宋体" w:cs="宋体"/>
          <w:bCs/>
          <w:color w:val="auto"/>
          <w:sz w:val="24"/>
          <w:szCs w:val="24"/>
          <w:highlight w:val="none"/>
          <w:lang w:val="zh-CN"/>
        </w:rPr>
        <w:t xml:space="preserve">该条不得分。   </w:t>
      </w:r>
    </w:p>
    <w:p w14:paraId="1758320E">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（5）劳动力安排（</w:t>
      </w:r>
      <w:r>
        <w:rPr>
          <w:rFonts w:hint="eastAsia" w:ascii="宋体" w:hAnsi="宋体" w:eastAsia="宋体" w:cs="宋体"/>
          <w:bCs/>
          <w:color w:val="auto"/>
          <w:sz w:val="24"/>
          <w:szCs w:val="24"/>
          <w:highlight w:val="none"/>
          <w:lang w:val="zh-CN" w:eastAsia="zh-CN"/>
        </w:rPr>
        <w:t>8</w:t>
      </w:r>
      <w:r>
        <w:rPr>
          <w:rFonts w:hint="eastAsia" w:ascii="宋体" w:hAnsi="宋体" w:eastAsia="宋体" w:cs="宋体"/>
          <w:bCs/>
          <w:color w:val="auto"/>
          <w:sz w:val="24"/>
          <w:szCs w:val="24"/>
          <w:highlight w:val="none"/>
          <w:lang w:val="zh-CN"/>
        </w:rPr>
        <w:t>分）</w:t>
      </w:r>
    </w:p>
    <w:p w14:paraId="710F1A50">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①劳动力安排计划</w:t>
      </w:r>
    </w:p>
    <w:p w14:paraId="4A285B1C">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②人员组织</w:t>
      </w:r>
    </w:p>
    <w:p w14:paraId="6CF688E1">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③人员管理计划</w:t>
      </w:r>
    </w:p>
    <w:p w14:paraId="1E9E127D">
      <w:pPr>
        <w:spacing w:line="360" w:lineRule="auto"/>
        <w:ind w:firstLine="480"/>
        <w:jc w:val="left"/>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rPr>
        <w:t>④人员培训计划的编制</w:t>
      </w:r>
    </w:p>
    <w:p w14:paraId="59D4C605">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对上述内容进行阐述，阐述内容须满足采购需求。内容翔实、需求贴合度高且条理清晰的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2</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内容较为简单、细节有待完善的</w:t>
      </w:r>
      <w:r>
        <w:rPr>
          <w:rFonts w:hint="eastAsia" w:ascii="宋体" w:hAnsi="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1</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内容粗糙、无针对性</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基本满足采购需求的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0.5</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每缺少一条内容</w:t>
      </w:r>
      <w:r>
        <w:rPr>
          <w:rFonts w:hint="eastAsia" w:ascii="宋体" w:hAnsi="宋体" w:cs="宋体"/>
          <w:bCs/>
          <w:color w:val="auto"/>
          <w:sz w:val="24"/>
          <w:szCs w:val="24"/>
          <w:highlight w:val="none"/>
          <w:lang w:val="zh-CN"/>
        </w:rPr>
        <w:t>，或内容</w:t>
      </w:r>
      <w:r>
        <w:rPr>
          <w:rFonts w:hint="eastAsia" w:ascii="宋体" w:hAnsi="宋体" w:eastAsia="宋体" w:cs="宋体"/>
          <w:bCs/>
          <w:color w:val="auto"/>
          <w:sz w:val="24"/>
          <w:szCs w:val="24"/>
          <w:highlight w:val="none"/>
          <w:lang w:val="zh-CN"/>
        </w:rPr>
        <w:t>不能满足采购需求，或存在逻辑错误、前后矛盾，或存在违反现行相关规范的</w:t>
      </w:r>
      <w:r>
        <w:rPr>
          <w:rFonts w:hint="eastAsia" w:ascii="宋体" w:hAnsi="宋体" w:cs="宋体"/>
          <w:bCs/>
          <w:color w:val="auto"/>
          <w:sz w:val="24"/>
          <w:szCs w:val="24"/>
          <w:highlight w:val="none"/>
          <w:lang w:val="zh-CN"/>
        </w:rPr>
        <w:t>情况，</w:t>
      </w:r>
      <w:r>
        <w:rPr>
          <w:rFonts w:hint="eastAsia" w:ascii="宋体" w:hAnsi="宋体" w:eastAsia="宋体" w:cs="宋体"/>
          <w:bCs/>
          <w:color w:val="auto"/>
          <w:sz w:val="24"/>
          <w:szCs w:val="24"/>
          <w:highlight w:val="none"/>
          <w:lang w:val="zh-CN"/>
        </w:rPr>
        <w:t xml:space="preserve">该条不得分。   </w:t>
      </w:r>
    </w:p>
    <w:p w14:paraId="61BED04D">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（6）安全生产应急预案（</w:t>
      </w:r>
      <w:r>
        <w:rPr>
          <w:rFonts w:hint="eastAsia" w:ascii="宋体" w:hAnsi="宋体" w:eastAsia="宋体" w:cs="宋体"/>
          <w:bCs/>
          <w:color w:val="auto"/>
          <w:sz w:val="24"/>
          <w:szCs w:val="24"/>
          <w:highlight w:val="none"/>
          <w:lang w:val="zh-CN" w:eastAsia="zh-CN"/>
        </w:rPr>
        <w:t>8</w:t>
      </w:r>
      <w:r>
        <w:rPr>
          <w:rFonts w:hint="eastAsia" w:ascii="宋体" w:hAnsi="宋体" w:eastAsia="宋体" w:cs="宋体"/>
          <w:bCs/>
          <w:color w:val="auto"/>
          <w:sz w:val="24"/>
          <w:szCs w:val="24"/>
          <w:highlight w:val="none"/>
          <w:lang w:val="zh-CN"/>
        </w:rPr>
        <w:t>分）</w:t>
      </w:r>
    </w:p>
    <w:p w14:paraId="139D21E5">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①事故类型和危害程度分析</w:t>
      </w:r>
    </w:p>
    <w:p w14:paraId="138FE7C7">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②组织机构及职责</w:t>
      </w:r>
    </w:p>
    <w:p w14:paraId="0744BC6C">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③应急物资设备的管理与维护</w:t>
      </w:r>
    </w:p>
    <w:p w14:paraId="4608E8DE">
      <w:pPr>
        <w:spacing w:line="360" w:lineRule="auto"/>
        <w:ind w:firstLine="480"/>
        <w:jc w:val="left"/>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④消防预案及处理预案</w:t>
      </w:r>
    </w:p>
    <w:p w14:paraId="5BCF012D">
      <w:pPr>
        <w:numPr>
          <w:ilvl w:val="0"/>
          <w:numId w:val="0"/>
        </w:numPr>
        <w:shd w:val="clear"/>
        <w:tabs>
          <w:tab w:val="left" w:pos="525"/>
          <w:tab w:val="left" w:pos="945"/>
          <w:tab w:val="left" w:pos="1155"/>
        </w:tabs>
        <w:spacing w:line="360" w:lineRule="auto"/>
        <w:ind w:left="0" w:leftChars="0" w:firstLine="523" w:firstLineChars="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对上述内容进行阐述，阐述内容须满足采购需求。内容翔实、需求贴合度高且条理清晰的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2</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内容较为简单、细节有待完善的</w:t>
      </w:r>
      <w:r>
        <w:rPr>
          <w:rFonts w:hint="eastAsia" w:ascii="宋体" w:hAnsi="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1</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内容粗糙、无针对性</w:t>
      </w:r>
      <w:r>
        <w:rPr>
          <w:rFonts w:hint="eastAsia" w:ascii="宋体" w:hAnsi="宋体" w:eastAsia="宋体" w:cs="宋体"/>
          <w:bCs/>
          <w:color w:val="auto"/>
          <w:sz w:val="24"/>
          <w:szCs w:val="24"/>
          <w:highlight w:val="none"/>
          <w:lang w:val="zh-CN" w:eastAsia="zh-CN"/>
        </w:rPr>
        <w:t>、</w:t>
      </w:r>
      <w:r>
        <w:rPr>
          <w:rFonts w:hint="eastAsia" w:ascii="宋体" w:hAnsi="宋体" w:eastAsia="宋体" w:cs="宋体"/>
          <w:bCs/>
          <w:color w:val="auto"/>
          <w:sz w:val="24"/>
          <w:szCs w:val="24"/>
          <w:highlight w:val="none"/>
          <w:lang w:val="zh-CN"/>
        </w:rPr>
        <w:t>基本满足采购需求的</w:t>
      </w:r>
      <w:r>
        <w:rPr>
          <w:rFonts w:hint="eastAsia" w:ascii="宋体" w:hAnsi="宋体" w:cs="宋体"/>
          <w:bCs/>
          <w:color w:val="auto"/>
          <w:sz w:val="24"/>
          <w:szCs w:val="24"/>
          <w:highlight w:val="none"/>
          <w:lang w:val="zh-CN"/>
        </w:rPr>
        <w:t>，该条</w:t>
      </w:r>
      <w:r>
        <w:rPr>
          <w:rFonts w:hint="eastAsia" w:ascii="宋体" w:hAnsi="宋体" w:eastAsia="宋体" w:cs="宋体"/>
          <w:bCs/>
          <w:color w:val="auto"/>
          <w:sz w:val="24"/>
          <w:szCs w:val="24"/>
          <w:highlight w:val="none"/>
          <w:lang w:val="zh-CN"/>
        </w:rPr>
        <w:t>得</w:t>
      </w:r>
      <w:r>
        <w:rPr>
          <w:rFonts w:hint="eastAsia" w:ascii="宋体" w:hAnsi="宋体" w:eastAsia="宋体" w:cs="宋体"/>
          <w:bCs/>
          <w:color w:val="auto"/>
          <w:sz w:val="24"/>
          <w:szCs w:val="24"/>
          <w:highlight w:val="none"/>
          <w:lang w:val="zh-CN" w:eastAsia="zh-CN"/>
        </w:rPr>
        <w:t>0.5</w:t>
      </w:r>
      <w:r>
        <w:rPr>
          <w:rFonts w:hint="eastAsia" w:ascii="宋体" w:hAnsi="宋体" w:eastAsia="宋体" w:cs="宋体"/>
          <w:bCs/>
          <w:color w:val="auto"/>
          <w:sz w:val="24"/>
          <w:szCs w:val="24"/>
          <w:highlight w:val="none"/>
          <w:lang w:val="zh-CN"/>
        </w:rPr>
        <w:t>分</w:t>
      </w:r>
      <w:r>
        <w:rPr>
          <w:rFonts w:hint="eastAsia" w:ascii="宋体" w:hAnsi="宋体" w:cs="宋体"/>
          <w:bCs/>
          <w:color w:val="auto"/>
          <w:sz w:val="24"/>
          <w:szCs w:val="24"/>
          <w:highlight w:val="none"/>
          <w:lang w:val="zh-CN"/>
        </w:rPr>
        <w:t>。</w:t>
      </w:r>
      <w:r>
        <w:rPr>
          <w:rFonts w:hint="eastAsia" w:ascii="宋体" w:hAnsi="宋体" w:eastAsia="宋体" w:cs="宋体"/>
          <w:bCs/>
          <w:color w:val="auto"/>
          <w:sz w:val="24"/>
          <w:szCs w:val="24"/>
          <w:highlight w:val="none"/>
          <w:lang w:val="zh-CN"/>
        </w:rPr>
        <w:t>每缺少一条内容</w:t>
      </w:r>
      <w:r>
        <w:rPr>
          <w:rFonts w:hint="eastAsia" w:ascii="宋体" w:hAnsi="宋体" w:cs="宋体"/>
          <w:bCs/>
          <w:color w:val="auto"/>
          <w:sz w:val="24"/>
          <w:szCs w:val="24"/>
          <w:highlight w:val="none"/>
          <w:lang w:val="zh-CN"/>
        </w:rPr>
        <w:t>，或内容</w:t>
      </w:r>
      <w:r>
        <w:rPr>
          <w:rFonts w:hint="eastAsia" w:ascii="宋体" w:hAnsi="宋体" w:eastAsia="宋体" w:cs="宋体"/>
          <w:bCs/>
          <w:color w:val="auto"/>
          <w:sz w:val="24"/>
          <w:szCs w:val="24"/>
          <w:highlight w:val="none"/>
          <w:lang w:val="zh-CN"/>
        </w:rPr>
        <w:t>不能满足采购需求，或存在逻辑错误、前后矛盾，或存在违反现行相关规范的</w:t>
      </w:r>
      <w:r>
        <w:rPr>
          <w:rFonts w:hint="eastAsia" w:ascii="宋体" w:hAnsi="宋体" w:cs="宋体"/>
          <w:bCs/>
          <w:color w:val="auto"/>
          <w:sz w:val="24"/>
          <w:szCs w:val="24"/>
          <w:highlight w:val="none"/>
          <w:lang w:val="zh-CN"/>
        </w:rPr>
        <w:t>情况，</w:t>
      </w:r>
      <w:r>
        <w:rPr>
          <w:rFonts w:hint="eastAsia" w:ascii="宋体" w:hAnsi="宋体" w:eastAsia="宋体" w:cs="宋体"/>
          <w:bCs/>
          <w:color w:val="auto"/>
          <w:sz w:val="24"/>
          <w:szCs w:val="24"/>
          <w:highlight w:val="none"/>
          <w:lang w:val="zh-CN"/>
        </w:rPr>
        <w:t>该条不得分。</w:t>
      </w:r>
    </w:p>
    <w:p w14:paraId="5E163C8E">
      <w:pPr>
        <w:numPr>
          <w:ilvl w:val="0"/>
          <w:numId w:val="0"/>
        </w:numPr>
        <w:tabs>
          <w:tab w:val="left" w:pos="525"/>
          <w:tab w:val="left" w:pos="945"/>
          <w:tab w:val="left" w:pos="1155"/>
        </w:tabs>
        <w:spacing w:line="360" w:lineRule="auto"/>
        <w:ind w:left="0" w:leftChars="0" w:firstLine="523" w:firstLineChars="0"/>
        <w:rPr>
          <w:rFonts w:hint="eastAsia" w:ascii="宋体" w:hAnsi="宋体" w:eastAsia="宋体" w:cs="宋体"/>
          <w:bCs/>
          <w:color w:val="auto"/>
          <w:sz w:val="24"/>
          <w:szCs w:val="24"/>
          <w:highlight w:val="none"/>
        </w:rPr>
      </w:pPr>
      <w:r>
        <w:rPr>
          <w:rFonts w:hint="eastAsia" w:hAnsi="宋体"/>
          <w:bCs/>
          <w:sz w:val="24"/>
          <w:highlight w:val="none"/>
        </w:rPr>
        <w:t>评委为</w:t>
      </w:r>
      <w:r>
        <w:rPr>
          <w:rFonts w:hAnsi="宋体"/>
          <w:bCs/>
          <w:sz w:val="24"/>
          <w:highlight w:val="none"/>
        </w:rPr>
        <w:t>5</w:t>
      </w:r>
      <w:r>
        <w:rPr>
          <w:rFonts w:hint="eastAsia" w:hAnsi="宋体"/>
          <w:bCs/>
          <w:sz w:val="24"/>
          <w:highlight w:val="none"/>
        </w:rPr>
        <w:t>人以上的单数（含</w:t>
      </w:r>
      <w:r>
        <w:rPr>
          <w:rFonts w:hAnsi="宋体"/>
          <w:bCs/>
          <w:sz w:val="24"/>
          <w:highlight w:val="none"/>
        </w:rPr>
        <w:t>5</w:t>
      </w:r>
      <w:r>
        <w:rPr>
          <w:rFonts w:hint="eastAsia" w:hAnsi="宋体"/>
          <w:bCs/>
          <w:sz w:val="24"/>
          <w:highlight w:val="none"/>
        </w:rPr>
        <w:t>人）时，计算分项得分时取平均值为供应商的得分，各分项得分合计即为供应商的总得分。投标文件无相应评分内容时，该项目为零分。供应商如对招标文件提出的合理要求不做出相应承诺或对采购人提出不合理要求的不予得标。每项评分的具体内容和方法由评委集体讨论</w:t>
      </w:r>
      <w:r>
        <w:rPr>
          <w:rFonts w:hint="eastAsia" w:hAnsi="宋体"/>
          <w:bCs/>
          <w:sz w:val="24"/>
          <w:highlight w:val="none"/>
          <w:lang w:eastAsia="zh-CN"/>
        </w:rPr>
        <w:t>，由</w:t>
      </w:r>
      <w:r>
        <w:rPr>
          <w:rFonts w:hint="eastAsia" w:hAnsi="宋体"/>
          <w:bCs/>
          <w:sz w:val="24"/>
          <w:highlight w:val="none"/>
        </w:rPr>
        <w:t>评委独立评分。所有评委打分的平均值为各供应商最终得分。最终得分前三名为推荐中标候选人。评分办法及评分细则的解释权</w:t>
      </w:r>
      <w:r>
        <w:rPr>
          <w:rFonts w:hint="eastAsia" w:hAnsi="宋体"/>
          <w:bCs/>
          <w:sz w:val="24"/>
          <w:highlight w:val="none"/>
          <w:lang w:eastAsia="zh-CN"/>
        </w:rPr>
        <w:t>属于</w:t>
      </w:r>
      <w:r>
        <w:rPr>
          <w:rFonts w:hint="eastAsia" w:hAnsi="宋体"/>
          <w:bCs/>
          <w:sz w:val="24"/>
          <w:highlight w:val="none"/>
        </w:rPr>
        <w:t>采购人。未列入本评分细则的其他条件不作为评分内容。</w:t>
      </w:r>
    </w:p>
    <w:p w14:paraId="7DB09303">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（十一）定标：</w:t>
      </w:r>
    </w:p>
    <w:p w14:paraId="7A04E5D4">
      <w:pPr>
        <w:numPr>
          <w:ilvl w:val="0"/>
          <w:numId w:val="0"/>
        </w:numPr>
        <w:tabs>
          <w:tab w:val="left" w:pos="525"/>
          <w:tab w:val="left" w:pos="945"/>
          <w:tab w:val="left" w:pos="1155"/>
        </w:tabs>
        <w:spacing w:line="360" w:lineRule="auto"/>
        <w:ind w:left="0" w:leftChars="0" w:firstLine="523" w:firstLineChars="0"/>
        <w:rPr>
          <w:rFonts w:hint="eastAsia"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1.</w:t>
      </w:r>
      <w:r>
        <w:rPr>
          <w:rFonts w:hint="eastAsia" w:hAnsi="宋体"/>
          <w:bCs/>
          <w:color w:val="auto"/>
          <w:sz w:val="24"/>
          <w:highlight w:val="none"/>
        </w:rPr>
        <w:t>评审委员会根据招标文件规定的评审方法和评分标准进行评审，按招标文件的要求依法推荐中标供应商。自评审结束之日起2个工作日内将评审报告送交采购人。采购人自收到评审报告之日起5个工作日内</w:t>
      </w:r>
      <w:r>
        <w:rPr>
          <w:rFonts w:hint="eastAsia" w:hAnsi="宋体"/>
          <w:bCs/>
          <w:color w:val="auto"/>
          <w:sz w:val="24"/>
          <w:highlight w:val="none"/>
          <w:lang w:eastAsia="zh-CN"/>
        </w:rPr>
        <w:t>按照</w:t>
      </w:r>
      <w:r>
        <w:rPr>
          <w:rFonts w:hint="eastAsia" w:hAnsi="宋体"/>
          <w:bCs/>
          <w:color w:val="auto"/>
          <w:sz w:val="24"/>
          <w:highlight w:val="none"/>
        </w:rPr>
        <w:t>招标文件的要求，在评审报告推荐的中标候选单位中，依法确定中标供应商。江苏万力通项目管理有限公司自中标供应商确定之日起2个工作日内，发出中标通知书，并在媒体江苏政府采购网上发布中标公告。江苏万力通项目管理有限公司和评标委员会对未中标原因不作解释。如有质疑，按《中华人民共和国政府采购法》、财政部《政府采购货物和服务招标投标管理办法》《政府采购质疑和投诉办法》等有关法规处理。质疑函应当列明具体的质疑事项及事实根据，认为自己合法权益受到损害的相关证据材料以及质疑供应商的名称、地址、邮编、联系人、联系电话、日期，同时该质疑函应由供应商法定代表人签字并加盖单位公章（原件），以书面形式送达。采购人在收到符合上述要求的书面质疑后规定时间内，对质疑内容作出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事宜的，将上报政府采购部门处理</w:t>
      </w:r>
      <w:r>
        <w:rPr>
          <w:rFonts w:hint="eastAsia" w:ascii="宋体" w:hAnsi="宋体"/>
          <w:bCs/>
          <w:color w:val="auto"/>
          <w:sz w:val="24"/>
          <w:szCs w:val="24"/>
          <w:highlight w:val="none"/>
        </w:rPr>
        <w:t>。</w:t>
      </w:r>
    </w:p>
    <w:p w14:paraId="28F1ED14">
      <w:pPr>
        <w:numPr>
          <w:ilvl w:val="0"/>
          <w:numId w:val="0"/>
        </w:numPr>
        <w:tabs>
          <w:tab w:val="left" w:pos="525"/>
          <w:tab w:val="left" w:pos="945"/>
          <w:tab w:val="left" w:pos="1155"/>
        </w:tabs>
        <w:spacing w:line="360" w:lineRule="auto"/>
        <w:ind w:left="0" w:leftChars="0" w:firstLine="523" w:firstLineChars="0"/>
        <w:rPr>
          <w:rFonts w:hint="eastAsia" w:ascii="宋体" w:hAnsi="宋体"/>
          <w:bCs/>
          <w:color w:val="auto"/>
          <w:sz w:val="24"/>
          <w:szCs w:val="24"/>
          <w:highlight w:val="none"/>
        </w:rPr>
      </w:pPr>
      <w:r>
        <w:rPr>
          <w:rFonts w:hint="eastAsia" w:ascii="宋体" w:hAnsi="宋体" w:cs="Times New Roman"/>
          <w:bCs/>
          <w:color w:val="auto"/>
          <w:sz w:val="24"/>
          <w:szCs w:val="24"/>
          <w:highlight w:val="none"/>
          <w:lang w:val="en-US" w:eastAsia="zh-CN" w:bidi="ar-SA"/>
        </w:rPr>
        <w:t>2.</w:t>
      </w:r>
      <w:r>
        <w:rPr>
          <w:rFonts w:hint="eastAsia" w:ascii="宋体" w:hAnsi="宋体"/>
          <w:bCs/>
          <w:color w:val="auto"/>
          <w:sz w:val="24"/>
          <w:szCs w:val="24"/>
          <w:highlight w:val="none"/>
        </w:rPr>
        <w:t>江苏万力通项目管理有限公司向中标供应商发出中标通知书。</w:t>
      </w:r>
    </w:p>
    <w:p w14:paraId="6420E3DE">
      <w:pPr>
        <w:numPr>
          <w:ilvl w:val="0"/>
          <w:numId w:val="0"/>
        </w:numPr>
        <w:tabs>
          <w:tab w:val="left" w:pos="525"/>
          <w:tab w:val="left" w:pos="945"/>
          <w:tab w:val="left" w:pos="1155"/>
        </w:tabs>
        <w:spacing w:line="360" w:lineRule="auto"/>
        <w:ind w:left="0" w:leftChars="0" w:firstLine="523" w:firstLineChars="0"/>
        <w:rPr>
          <w:rFonts w:ascii="宋体"/>
          <w:bCs/>
          <w:color w:val="auto"/>
          <w:sz w:val="24"/>
          <w:szCs w:val="24"/>
          <w:highlight w:val="none"/>
        </w:rPr>
      </w:pPr>
      <w:r>
        <w:rPr>
          <w:rFonts w:hint="eastAsia" w:ascii="宋体" w:cs="Times New Roman"/>
          <w:bCs/>
          <w:color w:val="auto"/>
          <w:sz w:val="24"/>
          <w:szCs w:val="24"/>
          <w:highlight w:val="none"/>
          <w:lang w:val="en-US" w:eastAsia="zh-CN" w:bidi="ar-SA"/>
        </w:rPr>
        <w:t>3.</w:t>
      </w:r>
      <w:r>
        <w:rPr>
          <w:rFonts w:hint="eastAsia" w:ascii="宋体" w:hAnsi="宋体"/>
          <w:bCs/>
          <w:color w:val="auto"/>
          <w:sz w:val="24"/>
          <w:szCs w:val="24"/>
          <w:highlight w:val="none"/>
        </w:rPr>
        <w:t>投标供应商电子投标文件将作为电子档案保存。</w:t>
      </w:r>
    </w:p>
    <w:p w14:paraId="5CD2A00D">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（十二）废标的确认：</w:t>
      </w:r>
    </w:p>
    <w:p w14:paraId="1752FBDA">
      <w:pPr>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在招标采购中，出现下列情况之一的，应予废标：</w:t>
      </w:r>
    </w:p>
    <w:p w14:paraId="6594879A">
      <w:pPr>
        <w:numPr>
          <w:ilvl w:val="0"/>
          <w:numId w:val="6"/>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符合专业条件的投标人或者对招标文件作出实质性响应的投标人不足三家；</w:t>
      </w:r>
    </w:p>
    <w:p w14:paraId="0E22FBA3">
      <w:pPr>
        <w:numPr>
          <w:ilvl w:val="0"/>
          <w:numId w:val="6"/>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出现影响采购公正的违法、违规行为；</w:t>
      </w:r>
    </w:p>
    <w:p w14:paraId="6F1C43C6">
      <w:pPr>
        <w:numPr>
          <w:ilvl w:val="0"/>
          <w:numId w:val="6"/>
        </w:numPr>
        <w:tabs>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投标人的报价均超过采购预算，采购人不能支付的；</w:t>
      </w:r>
    </w:p>
    <w:p w14:paraId="2A60FF89">
      <w:pPr>
        <w:numPr>
          <w:ilvl w:val="0"/>
          <w:numId w:val="6"/>
        </w:numPr>
        <w:tabs>
          <w:tab w:val="right" w:pos="180"/>
          <w:tab w:val="left" w:pos="525"/>
          <w:tab w:val="left" w:pos="945"/>
          <w:tab w:val="left" w:pos="1260"/>
        </w:tabs>
        <w:spacing w:line="360" w:lineRule="auto"/>
        <w:ind w:left="0" w:firstLine="525"/>
        <w:rPr>
          <w:rFonts w:ascii="宋体"/>
          <w:bCs/>
          <w:color w:val="auto"/>
          <w:sz w:val="24"/>
          <w:szCs w:val="24"/>
          <w:highlight w:val="none"/>
        </w:rPr>
      </w:pPr>
      <w:r>
        <w:rPr>
          <w:rFonts w:hint="eastAsia" w:ascii="宋体" w:hAnsi="宋体"/>
          <w:bCs/>
          <w:color w:val="auto"/>
          <w:sz w:val="24"/>
          <w:szCs w:val="24"/>
          <w:highlight w:val="none"/>
        </w:rPr>
        <w:t>因重大变故，采购任务取消。</w:t>
      </w:r>
    </w:p>
    <w:p w14:paraId="6638074E">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（十三）中标无效的确认：</w:t>
      </w:r>
    </w:p>
    <w:p w14:paraId="0E7D21B1">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（1）提供虚假材料谋取中标的；</w:t>
      </w:r>
    </w:p>
    <w:p w14:paraId="71823B6B">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（2）采取不正当手段诋毁、排挤其他供应商的；</w:t>
      </w:r>
    </w:p>
    <w:p w14:paraId="2C2E79F3">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（3）与采购人、其他供应商恶意串通的；</w:t>
      </w:r>
    </w:p>
    <w:p w14:paraId="0E091F58">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（4）向采购人行贿或者提供其他不正当利益的；</w:t>
      </w:r>
    </w:p>
    <w:p w14:paraId="0F043210">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（5）在投标过程中与采购人进行协商谈判、不按照招标文件和中标供应商的投标文件订立合同，或者与采购人另行订立背离合同实质性内容的协议的；</w:t>
      </w:r>
    </w:p>
    <w:p w14:paraId="2F01410B">
      <w:pPr>
        <w:tabs>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（6）拒绝有关部门监督检查或者提供虚假情况的。</w:t>
      </w:r>
    </w:p>
    <w:p w14:paraId="5E29036F">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6759B41">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（十四）签订</w:t>
      </w:r>
      <w:r>
        <w:rPr>
          <w:rFonts w:hint="eastAsia" w:ascii="黑体" w:hAnsi="宋体" w:eastAsia="黑体"/>
          <w:b/>
          <w:color w:val="auto"/>
          <w:sz w:val="24"/>
          <w:szCs w:val="24"/>
          <w:highlight w:val="none"/>
        </w:rPr>
        <w:t>、履行</w:t>
      </w:r>
      <w:r>
        <w:rPr>
          <w:rFonts w:hint="eastAsia" w:ascii="黑体" w:hAnsi="宋体" w:eastAsia="黑体"/>
          <w:bCs/>
          <w:color w:val="auto"/>
          <w:sz w:val="24"/>
          <w:szCs w:val="24"/>
          <w:highlight w:val="none"/>
        </w:rPr>
        <w:t>合同：</w:t>
      </w:r>
    </w:p>
    <w:p w14:paraId="48D1F5F6">
      <w:pPr>
        <w:numPr>
          <w:ilvl w:val="0"/>
          <w:numId w:val="7"/>
        </w:numPr>
        <w:tabs>
          <w:tab w:val="left" w:pos="525"/>
          <w:tab w:val="left" w:pos="945"/>
          <w:tab w:val="left" w:pos="1050"/>
        </w:tabs>
        <w:spacing w:line="360" w:lineRule="auto"/>
        <w:ind w:left="-105" w:firstLine="525"/>
        <w:rPr>
          <w:rFonts w:hint="eastAsia" w:ascii="宋体" w:hAnsi="宋体"/>
          <w:bCs/>
          <w:color w:val="auto"/>
          <w:sz w:val="24"/>
          <w:szCs w:val="24"/>
          <w:highlight w:val="none"/>
        </w:rPr>
      </w:pPr>
      <w:r>
        <w:rPr>
          <w:rFonts w:hint="eastAsia" w:ascii="宋体" w:hAnsi="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39D5C70B">
      <w:pPr>
        <w:numPr>
          <w:ilvl w:val="0"/>
          <w:numId w:val="7"/>
        </w:numPr>
        <w:tabs>
          <w:tab w:val="left" w:pos="525"/>
          <w:tab w:val="left" w:pos="945"/>
          <w:tab w:val="left" w:pos="1050"/>
        </w:tabs>
        <w:spacing w:line="360" w:lineRule="auto"/>
        <w:ind w:left="-105" w:firstLine="525"/>
        <w:rPr>
          <w:rFonts w:ascii="宋体"/>
          <w:bCs/>
          <w:color w:val="auto"/>
          <w:sz w:val="24"/>
          <w:szCs w:val="24"/>
          <w:highlight w:val="none"/>
        </w:rPr>
      </w:pPr>
      <w:r>
        <w:rPr>
          <w:rFonts w:hint="eastAsia" w:ascii="宋体" w:hAnsi="宋体"/>
          <w:bCs/>
          <w:color w:val="auto"/>
          <w:sz w:val="24"/>
          <w:szCs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5941C151">
      <w:pPr>
        <w:numPr>
          <w:ilvl w:val="0"/>
          <w:numId w:val="7"/>
        </w:numPr>
        <w:tabs>
          <w:tab w:val="left" w:pos="525"/>
          <w:tab w:val="left" w:pos="945"/>
          <w:tab w:val="left" w:pos="1050"/>
        </w:tabs>
        <w:spacing w:line="360" w:lineRule="auto"/>
        <w:ind w:left="-105" w:firstLine="525"/>
        <w:rPr>
          <w:rFonts w:ascii="宋体"/>
          <w:bCs/>
          <w:color w:val="auto"/>
          <w:sz w:val="24"/>
          <w:szCs w:val="24"/>
          <w:highlight w:val="none"/>
        </w:rPr>
      </w:pPr>
      <w:r>
        <w:rPr>
          <w:rFonts w:hint="eastAsia" w:ascii="宋体" w:hAnsi="宋体"/>
          <w:bCs/>
          <w:color w:val="auto"/>
          <w:sz w:val="24"/>
          <w:szCs w:val="24"/>
          <w:highlight w:val="none"/>
        </w:rPr>
        <w:t>中标方非因不可抗力未履行招、投标文件和合同规定的义务，一经查实，</w:t>
      </w:r>
      <w:r>
        <w:rPr>
          <w:rFonts w:hint="eastAsia" w:ascii="宋体" w:hAnsi="宋体"/>
          <w:color w:val="auto"/>
          <w:sz w:val="24"/>
          <w:highlight w:val="none"/>
        </w:rPr>
        <w:t>江苏万力通项目管理有限公司</w:t>
      </w:r>
      <w:r>
        <w:rPr>
          <w:rFonts w:hint="eastAsia" w:ascii="宋体" w:hAnsi="宋体"/>
          <w:bCs/>
          <w:color w:val="auto"/>
          <w:sz w:val="24"/>
          <w:szCs w:val="24"/>
          <w:highlight w:val="none"/>
        </w:rPr>
        <w:t>将根据具体情况提请政府采购管理部门作出相应处理。</w:t>
      </w:r>
    </w:p>
    <w:p w14:paraId="4AA235D7">
      <w:pPr>
        <w:tabs>
          <w:tab w:val="left" w:pos="945"/>
        </w:tabs>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（十五）注意事项：</w:t>
      </w:r>
    </w:p>
    <w:p w14:paraId="4BF844C8">
      <w:pPr>
        <w:tabs>
          <w:tab w:val="left" w:pos="945"/>
        </w:tabs>
        <w:spacing w:line="360" w:lineRule="auto"/>
        <w:ind w:firstLine="480"/>
        <w:rPr>
          <w:rFonts w:ascii="宋体"/>
          <w:bCs/>
          <w:color w:val="auto"/>
          <w:sz w:val="24"/>
          <w:szCs w:val="24"/>
          <w:highlight w:val="none"/>
        </w:rPr>
      </w:pPr>
      <w:r>
        <w:rPr>
          <w:rFonts w:hint="eastAsia" w:ascii="宋体" w:hAnsi="宋体"/>
          <w:bCs/>
          <w:color w:val="auto"/>
          <w:sz w:val="24"/>
          <w:szCs w:val="24"/>
          <w:highlight w:val="none"/>
        </w:rPr>
        <w:t>中标供应商有下列情形之一的，情节严重的，由财政部门将其列入不良行为记录名单，在一至三年内禁止参加政府采购活动，并予以通报：</w:t>
      </w:r>
    </w:p>
    <w:p w14:paraId="0E739808">
      <w:pPr>
        <w:numPr>
          <w:ilvl w:val="3"/>
          <w:numId w:val="5"/>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中标后无正当理由不与采购人签订合同的；</w:t>
      </w:r>
    </w:p>
    <w:p w14:paraId="039C298D">
      <w:pPr>
        <w:numPr>
          <w:ilvl w:val="3"/>
          <w:numId w:val="5"/>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将中标项目转让给他人，或者在投标文件中未说明，且未经过采购人同意，将中标项目分包给他人的；</w:t>
      </w:r>
    </w:p>
    <w:p w14:paraId="18F2B402">
      <w:pPr>
        <w:numPr>
          <w:ilvl w:val="3"/>
          <w:numId w:val="5"/>
        </w:numPr>
        <w:tabs>
          <w:tab w:val="left" w:pos="735"/>
          <w:tab w:val="left" w:pos="945"/>
          <w:tab w:val="left" w:pos="1155"/>
        </w:tabs>
        <w:spacing w:line="360" w:lineRule="auto"/>
        <w:ind w:left="0" w:firstLine="523"/>
        <w:rPr>
          <w:rFonts w:ascii="宋体"/>
          <w:bCs/>
          <w:color w:val="auto"/>
          <w:sz w:val="24"/>
          <w:szCs w:val="24"/>
          <w:highlight w:val="none"/>
        </w:rPr>
      </w:pPr>
      <w:r>
        <w:rPr>
          <w:rFonts w:hint="eastAsia" w:ascii="宋体" w:hAnsi="宋体"/>
          <w:bCs/>
          <w:color w:val="auto"/>
          <w:sz w:val="24"/>
          <w:szCs w:val="24"/>
          <w:highlight w:val="none"/>
        </w:rPr>
        <w:t>拒绝履行合同义务的。</w:t>
      </w:r>
    </w:p>
    <w:p w14:paraId="31F06387">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（十六）中标服务费：</w:t>
      </w:r>
    </w:p>
    <w:p w14:paraId="6E2711B9">
      <w:pPr>
        <w:tabs>
          <w:tab w:val="left" w:pos="1140"/>
        </w:tabs>
        <w:spacing w:line="360" w:lineRule="auto"/>
        <w:ind w:firstLine="480"/>
        <w:rPr>
          <w:rFonts w:hint="eastAsia" w:ascii="宋体" w:hAnsi="宋体"/>
          <w:bCs/>
          <w:color w:val="auto"/>
          <w:sz w:val="24"/>
          <w:highlight w:val="none"/>
        </w:rPr>
      </w:pPr>
      <w:r>
        <w:rPr>
          <w:rFonts w:hint="eastAsia" w:ascii="宋体" w:hAnsi="宋体"/>
          <w:color w:val="auto"/>
          <w:sz w:val="24"/>
          <w:highlight w:val="none"/>
        </w:rPr>
        <w:t>1.</w:t>
      </w:r>
      <w:r>
        <w:rPr>
          <w:rFonts w:hint="eastAsia" w:ascii="宋体" w:hAnsi="宋体"/>
          <w:sz w:val="24"/>
          <w:highlight w:val="none"/>
        </w:rPr>
        <w:t>本项目招标代理服务费以中标金额为计费基础，按差额定率累进法计算：</w:t>
      </w:r>
      <w:r>
        <w:rPr>
          <w:rFonts w:hint="eastAsia" w:ascii="宋体" w:hAnsi="宋体"/>
          <w:sz w:val="24"/>
          <w:highlight w:val="none"/>
          <w:lang w:eastAsia="zh-CN"/>
        </w:rPr>
        <w:t>100万元以下</w:t>
      </w:r>
      <w:r>
        <w:rPr>
          <w:rFonts w:ascii="宋体" w:hAnsi="宋体"/>
          <w:sz w:val="24"/>
          <w:highlight w:val="none"/>
        </w:rPr>
        <w:t>费率为1.</w:t>
      </w:r>
      <w:r>
        <w:rPr>
          <w:rFonts w:hint="eastAsia" w:ascii="宋体" w:hAnsi="宋体"/>
          <w:sz w:val="24"/>
          <w:highlight w:val="none"/>
        </w:rPr>
        <w:t>5</w:t>
      </w:r>
      <w:r>
        <w:rPr>
          <w:rFonts w:ascii="宋体" w:hAnsi="宋体"/>
          <w:sz w:val="24"/>
          <w:highlight w:val="none"/>
        </w:rPr>
        <w:t>%</w:t>
      </w:r>
      <w:r>
        <w:rPr>
          <w:rFonts w:hint="eastAsia" w:ascii="宋体" w:hAnsi="宋体"/>
          <w:sz w:val="24"/>
          <w:highlight w:val="none"/>
          <w:lang w:eastAsia="zh-CN"/>
        </w:rPr>
        <w:t>，</w:t>
      </w:r>
      <w:r>
        <w:rPr>
          <w:rFonts w:hint="eastAsia" w:ascii="宋体" w:hAnsi="宋体" w:eastAsia="宋体" w:cs="宋体"/>
          <w:color w:val="auto"/>
          <w:spacing w:val="0"/>
          <w:sz w:val="24"/>
          <w:szCs w:val="24"/>
          <w:highlight w:val="none"/>
        </w:rPr>
        <w:t>中标金额</w:t>
      </w:r>
      <w:r>
        <w:rPr>
          <w:rFonts w:hint="eastAsia" w:ascii="宋体" w:hAnsi="宋体" w:eastAsia="宋体" w:cs="宋体"/>
          <w:color w:val="auto"/>
          <w:spacing w:val="0"/>
          <w:sz w:val="24"/>
          <w:szCs w:val="24"/>
          <w:highlight w:val="none"/>
          <w:lang w:eastAsia="zh-CN"/>
        </w:rPr>
        <w:t>100万-500万</w:t>
      </w:r>
      <w:r>
        <w:rPr>
          <w:rFonts w:hint="eastAsia" w:ascii="宋体" w:hAnsi="宋体" w:eastAsia="宋体" w:cs="宋体"/>
          <w:color w:val="auto"/>
          <w:spacing w:val="0"/>
          <w:sz w:val="24"/>
          <w:szCs w:val="24"/>
          <w:highlight w:val="none"/>
        </w:rPr>
        <w:t>费率为中标金额的</w:t>
      </w:r>
      <w:r>
        <w:rPr>
          <w:rFonts w:hint="eastAsia" w:ascii="宋体" w:hAnsi="宋体" w:eastAsia="宋体" w:cs="宋体"/>
          <w:color w:val="auto"/>
          <w:spacing w:val="0"/>
          <w:sz w:val="24"/>
          <w:szCs w:val="24"/>
          <w:highlight w:val="none"/>
          <w:lang w:val="en-US" w:eastAsia="zh-CN"/>
        </w:rPr>
        <w:t>0.8</w:t>
      </w:r>
      <w:r>
        <w:rPr>
          <w:rFonts w:hint="eastAsia" w:ascii="宋体" w:hAnsi="宋体" w:eastAsia="宋体" w:cs="宋体"/>
          <w:color w:val="auto"/>
          <w:spacing w:val="0"/>
          <w:sz w:val="24"/>
          <w:szCs w:val="24"/>
          <w:highlight w:val="none"/>
        </w:rPr>
        <w:t>%</w:t>
      </w:r>
      <w:r>
        <w:rPr>
          <w:rFonts w:hint="eastAsia" w:ascii="宋体" w:hAnsi="宋体"/>
          <w:sz w:val="24"/>
          <w:highlight w:val="none"/>
          <w:lang w:eastAsia="zh-CN"/>
        </w:rPr>
        <w:t>，500万—1000万</w:t>
      </w:r>
      <w:r>
        <w:rPr>
          <w:rFonts w:ascii="宋体" w:hAnsi="宋体"/>
          <w:sz w:val="24"/>
          <w:highlight w:val="none"/>
        </w:rPr>
        <w:t>费率为</w:t>
      </w:r>
      <w:r>
        <w:rPr>
          <w:rFonts w:hint="eastAsia" w:ascii="宋体" w:hAnsi="宋体"/>
          <w:sz w:val="24"/>
          <w:highlight w:val="none"/>
        </w:rPr>
        <w:t>0.</w:t>
      </w:r>
      <w:r>
        <w:rPr>
          <w:rFonts w:hint="eastAsia" w:ascii="宋体" w:hAnsi="宋体"/>
          <w:sz w:val="24"/>
          <w:highlight w:val="none"/>
          <w:lang w:val="en-US" w:eastAsia="zh-CN"/>
        </w:rPr>
        <w:t>45</w:t>
      </w:r>
      <w:r>
        <w:rPr>
          <w:rFonts w:ascii="宋体" w:hAnsi="宋体"/>
          <w:sz w:val="24"/>
          <w:highlight w:val="none"/>
        </w:rPr>
        <w:t>%</w:t>
      </w:r>
      <w:r>
        <w:rPr>
          <w:rFonts w:hint="eastAsia" w:ascii="宋体" w:hAnsi="宋体"/>
          <w:bCs/>
          <w:sz w:val="24"/>
          <w:highlight w:val="none"/>
        </w:rPr>
        <w:t>；在此基础上打七折计取</w:t>
      </w:r>
      <w:r>
        <w:rPr>
          <w:rFonts w:hint="eastAsia" w:ascii="宋体" w:hAnsi="宋体"/>
          <w:bCs/>
          <w:color w:val="auto"/>
          <w:sz w:val="24"/>
          <w:highlight w:val="none"/>
        </w:rPr>
        <w:t>。</w:t>
      </w:r>
    </w:p>
    <w:p w14:paraId="6BDFE4AF">
      <w:pPr>
        <w:tabs>
          <w:tab w:val="left" w:pos="114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2.领取中标通知书时由中标供应商向采购代理机构一次性付清。</w:t>
      </w:r>
    </w:p>
    <w:p w14:paraId="0754FECB">
      <w:pPr>
        <w:tabs>
          <w:tab w:val="left" w:pos="1140"/>
        </w:tabs>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3.中标供应商如果未按规定缴纳采购代理服务费，采购代理机构将保留诉讼的权利。</w:t>
      </w:r>
    </w:p>
    <w:p w14:paraId="62BF76E7">
      <w:pPr>
        <w:spacing w:line="360" w:lineRule="auto"/>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（十七）合同融资、履约担保</w:t>
      </w:r>
    </w:p>
    <w:p w14:paraId="66416EDB">
      <w:pPr>
        <w:tabs>
          <w:tab w:val="left" w:pos="630"/>
          <w:tab w:val="left" w:pos="73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1.中标、成交供应商可采用合同融资形式，中标人可凭政府采购合同办理融资贷款，详见无锡市政府采购网“政采贷”专栏。</w:t>
      </w:r>
    </w:p>
    <w:p w14:paraId="7746B9D2">
      <w:pPr>
        <w:tabs>
          <w:tab w:val="left" w:pos="630"/>
          <w:tab w:val="left" w:pos="73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6F53AD90">
      <w:pPr>
        <w:tabs>
          <w:tab w:val="left" w:pos="630"/>
          <w:tab w:val="left" w:pos="735"/>
          <w:tab w:val="left" w:pos="945"/>
        </w:tabs>
        <w:spacing w:line="360" w:lineRule="auto"/>
        <w:ind w:firstLine="480"/>
        <w:rPr>
          <w:rFonts w:hint="eastAsia" w:ascii="宋体" w:hAnsi="宋体"/>
          <w:bCs/>
          <w:color w:val="auto"/>
          <w:sz w:val="24"/>
          <w:szCs w:val="24"/>
          <w:highlight w:val="none"/>
        </w:rPr>
      </w:pPr>
      <w:r>
        <w:rPr>
          <w:rFonts w:hint="eastAsia" w:ascii="宋体" w:hAnsi="宋体"/>
          <w:bCs/>
          <w:color w:val="auto"/>
          <w:sz w:val="24"/>
          <w:szCs w:val="24"/>
          <w:highlight w:val="none"/>
        </w:rPr>
        <w:t>中标、成交供应商可以采用电子履约保函形式，具体操作可登录江苏政府采购网的保险保函模块进行办理，也可通过“苏采云”系统链接访问（首次使用需注册）。</w:t>
      </w:r>
    </w:p>
    <w:p w14:paraId="78366C50">
      <w:pPr>
        <w:pStyle w:val="5"/>
        <w:rPr>
          <w:color w:val="auto"/>
          <w:highlight w:val="none"/>
        </w:rPr>
      </w:pPr>
    </w:p>
    <w:p w14:paraId="5AE634C5">
      <w:pPr>
        <w:spacing w:line="360" w:lineRule="auto"/>
        <w:jc w:val="center"/>
        <w:outlineLvl w:val="0"/>
        <w:rPr>
          <w:rFonts w:hint="eastAsia" w:ascii="黑体" w:hAnsi="Times New Roman" w:eastAsia="黑体" w:cs="Times New Roman"/>
          <w:b/>
          <w:color w:val="auto"/>
          <w:sz w:val="30"/>
          <w:szCs w:val="30"/>
          <w:highlight w:val="none"/>
        </w:rPr>
      </w:pPr>
      <w:r>
        <w:rPr>
          <w:rFonts w:hint="eastAsia" w:ascii="宋体" w:hAnsi="宋体"/>
          <w:bCs/>
          <w:color w:val="auto"/>
          <w:sz w:val="24"/>
          <w:szCs w:val="24"/>
          <w:highlight w:val="none"/>
        </w:rPr>
        <w:br w:type="page" w:clear="all"/>
      </w:r>
      <w:r>
        <w:rPr>
          <w:rFonts w:hint="eastAsia" w:ascii="黑体" w:hAnsi="Times New Roman" w:eastAsia="黑体" w:cs="Times New Roman"/>
          <w:b/>
          <w:color w:val="auto"/>
          <w:sz w:val="30"/>
          <w:szCs w:val="30"/>
          <w:highlight w:val="none"/>
        </w:rPr>
        <w:t>三、项目技术要求和有关说明</w:t>
      </w:r>
    </w:p>
    <w:p w14:paraId="1298834A">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1、采购标的需实现的功能或者目标，以及为落实政府采购政策需满足的要求：</w:t>
      </w:r>
    </w:p>
    <w:p w14:paraId="46DCDAF7">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（1）采购标的需实现的功能或者目标为推进街道城市建设高质量发展，大力提升城市精细化管理工作，持续改善街道城市环境面貌，达到打造最干净城市目标，提升城市品质。项目主要包括</w:t>
      </w:r>
      <w:r>
        <w:rPr>
          <w:rFonts w:hint="eastAsia" w:ascii="宋体" w:hAnsi="宋体" w:eastAsia="宋体" w:cs="宋体"/>
          <w:bCs/>
          <w:sz w:val="24"/>
          <w:szCs w:val="24"/>
          <w:highlight w:val="none"/>
          <w:lang w:val="en-US" w:eastAsia="zh-CN"/>
        </w:rPr>
        <w:t>与城市管理相关的违法建设及违法广告拆除、违停严管道路告示牌设置及维护、日常规范、突击保障、乱堆放清理等市容环境相关整治工作</w:t>
      </w:r>
      <w:r>
        <w:rPr>
          <w:rFonts w:hint="eastAsia" w:ascii="宋体" w:hAnsi="宋体" w:eastAsia="宋体" w:cs="宋体"/>
          <w:bCs/>
          <w:sz w:val="24"/>
          <w:szCs w:val="24"/>
          <w:highlight w:val="none"/>
        </w:rPr>
        <w:t>。</w:t>
      </w:r>
    </w:p>
    <w:p w14:paraId="1206A2D2">
      <w:pPr>
        <w:spacing w:line="360" w:lineRule="auto"/>
        <w:rPr>
          <w:rFonts w:hint="eastAsia" w:ascii="宋体" w:hAnsi="宋体" w:eastAsia="宋体" w:cs="宋体"/>
          <w:bCs/>
          <w:sz w:val="24"/>
          <w:szCs w:val="24"/>
          <w:highlight w:val="none"/>
        </w:rPr>
      </w:pPr>
      <w:r>
        <w:rPr>
          <w:rFonts w:hint="eastAsia" w:ascii="宋体" w:hAnsi="宋体" w:eastAsia="宋体" w:cs="宋体"/>
          <w:b/>
          <w:bCs w:val="0"/>
          <w:sz w:val="24"/>
          <w:szCs w:val="24"/>
          <w:highlight w:val="none"/>
        </w:rPr>
        <w:t>2、本项目需执行的国家相关标准、行业标准、地方标准或者其他标准、规范：</w:t>
      </w:r>
      <w:r>
        <w:rPr>
          <w:rFonts w:hint="eastAsia" w:ascii="宋体" w:hAnsi="宋体" w:eastAsia="宋体" w:cs="宋体"/>
          <w:b w:val="0"/>
          <w:bCs/>
          <w:sz w:val="24"/>
          <w:szCs w:val="24"/>
          <w:highlight w:val="none"/>
        </w:rPr>
        <w:t>《中华人民共和国政府采购法》、</w:t>
      </w:r>
      <w:r>
        <w:rPr>
          <w:rFonts w:hint="eastAsia" w:ascii="宋体" w:hAnsi="宋体" w:eastAsia="宋体" w:cs="宋体"/>
          <w:bCs/>
          <w:sz w:val="24"/>
          <w:szCs w:val="24"/>
          <w:highlight w:val="none"/>
        </w:rPr>
        <w:t>《建设工程施工发包与承包价格管理暂行规定》、《工程量清单计价规范》等其他法律法规以及江苏省和无锡市行业主管部门颁布的相关文件规定，如</w:t>
      </w:r>
      <w:r>
        <w:rPr>
          <w:rFonts w:hint="eastAsia" w:ascii="宋体" w:hAnsi="宋体" w:eastAsia="宋体" w:cs="宋体"/>
          <w:bCs/>
          <w:sz w:val="24"/>
          <w:szCs w:val="24"/>
          <w:highlight w:val="none"/>
          <w:lang w:eastAsia="zh-CN"/>
        </w:rPr>
        <w:t>地方性法规</w:t>
      </w:r>
      <w:r>
        <w:rPr>
          <w:rFonts w:hint="eastAsia" w:ascii="宋体" w:hAnsi="宋体" w:eastAsia="宋体" w:cs="宋体"/>
          <w:bCs/>
          <w:sz w:val="24"/>
          <w:szCs w:val="24"/>
          <w:highlight w:val="none"/>
        </w:rPr>
        <w:t>与国家法规相抵触，按国家法规执行。</w:t>
      </w:r>
    </w:p>
    <w:p w14:paraId="43477B17">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3、本项目需满足的质量、安全、技术规格、物理特性等要求：</w:t>
      </w:r>
    </w:p>
    <w:p w14:paraId="0562C441">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（1）质量要求：一次性通过验收，全部“合格”。</w:t>
      </w:r>
    </w:p>
    <w:p w14:paraId="12D83DE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（2）安全要求：安全要求应满足国家相关法律法规的要求，无安全责任事故，且不留安全隐患。</w:t>
      </w:r>
    </w:p>
    <w:p w14:paraId="613A9E75">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4、本项目采购标的的数量、采购项目交付或者实施的时间和地点要求：</w:t>
      </w:r>
    </w:p>
    <w:p w14:paraId="79B6FCF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（1）采购标的的数量：</w:t>
      </w:r>
      <w:r>
        <w:rPr>
          <w:rFonts w:hint="eastAsia" w:ascii="宋体" w:hAnsi="宋体" w:eastAsia="宋体" w:cs="宋体"/>
          <w:bCs/>
          <w:sz w:val="24"/>
          <w:szCs w:val="24"/>
          <w:highlight w:val="none"/>
          <w:lang w:eastAsia="zh-CN"/>
        </w:rPr>
        <w:t>2026年度江溪街道城市管理应急处置拆违拆临服务项目</w:t>
      </w:r>
      <w:r>
        <w:rPr>
          <w:rFonts w:hint="eastAsia" w:ascii="宋体" w:hAnsi="宋体" w:eastAsia="宋体" w:cs="宋体"/>
          <w:bCs/>
          <w:sz w:val="24"/>
          <w:szCs w:val="24"/>
          <w:highlight w:val="none"/>
        </w:rPr>
        <w:t>，主要内容包括与城市管理相关的违法建设及违法广告拆除、违停严管道路告示牌设置及维护、日常规范、突击保障、乱堆放清理等市容环境相关整治工作，详见招标文件。</w:t>
      </w:r>
    </w:p>
    <w:p w14:paraId="67838BE9">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（2）实施时间：一年（具体起始日期以合同签订日期为准）。</w:t>
      </w:r>
    </w:p>
    <w:p w14:paraId="77BBD905">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（3）实施地点：无锡市新吴区江溪街道范围内。</w:t>
      </w:r>
    </w:p>
    <w:p w14:paraId="39011D2B">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5、本项目采购标的需满足的服务标准、期限、效率等要求：</w:t>
      </w:r>
    </w:p>
    <w:p w14:paraId="7499D1C5">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（1）所有整治、拆违拆建工程</w:t>
      </w:r>
      <w:r>
        <w:rPr>
          <w:rFonts w:hint="eastAsia" w:ascii="宋体" w:hAnsi="宋体" w:cs="宋体"/>
          <w:bCs/>
          <w:sz w:val="24"/>
          <w:szCs w:val="24"/>
          <w:highlight w:val="none"/>
          <w:lang w:eastAsia="zh-CN"/>
        </w:rPr>
        <w:t>应执行</w:t>
      </w:r>
      <w:r>
        <w:rPr>
          <w:rFonts w:hint="eastAsia" w:ascii="宋体" w:hAnsi="宋体" w:eastAsia="宋体" w:cs="宋体"/>
          <w:bCs/>
          <w:sz w:val="24"/>
          <w:szCs w:val="24"/>
          <w:highlight w:val="none"/>
        </w:rPr>
        <w:t>国家现行的有关规定</w:t>
      </w:r>
      <w:r>
        <w:rPr>
          <w:rFonts w:hint="eastAsia" w:ascii="宋体" w:hAnsi="宋体" w:cs="宋体"/>
          <w:bCs/>
          <w:sz w:val="24"/>
          <w:szCs w:val="24"/>
          <w:highlight w:val="none"/>
          <w:lang w:eastAsia="zh-CN"/>
        </w:rPr>
        <w:t>和</w:t>
      </w:r>
      <w:r>
        <w:rPr>
          <w:rFonts w:hint="eastAsia" w:ascii="宋体" w:hAnsi="宋体" w:eastAsia="宋体" w:cs="宋体"/>
          <w:bCs/>
          <w:sz w:val="24"/>
          <w:szCs w:val="24"/>
          <w:highlight w:val="none"/>
        </w:rPr>
        <w:t>标准，并满足采购人的要求。</w:t>
      </w:r>
    </w:p>
    <w:p w14:paraId="26B4EB7F">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（2）服务期限：合同签订后一年。</w:t>
      </w:r>
    </w:p>
    <w:p w14:paraId="1B184214">
      <w:pPr>
        <w:widowControl/>
        <w:spacing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（3）服务效率：必须确保在服务期内24小时全天候待命，随叫随到</w:t>
      </w:r>
      <w:r>
        <w:rPr>
          <w:rFonts w:hint="eastAsia" w:ascii="宋体" w:hAnsi="宋体" w:cs="宋体"/>
          <w:bCs/>
          <w:sz w:val="24"/>
          <w:szCs w:val="24"/>
          <w:highlight w:val="none"/>
          <w:lang w:eastAsia="zh-CN"/>
        </w:rPr>
        <w:t>，无条件</w:t>
      </w:r>
      <w:r>
        <w:rPr>
          <w:rFonts w:hint="eastAsia" w:ascii="宋体" w:hAnsi="宋体" w:eastAsia="宋体" w:cs="宋体"/>
          <w:bCs/>
          <w:sz w:val="24"/>
          <w:szCs w:val="24"/>
          <w:highlight w:val="none"/>
        </w:rPr>
        <w:t>配合甲方工作</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rPr>
        <w:t>必须确保随叫随到（最多不超过30分钟到达现场）</w:t>
      </w:r>
      <w:r>
        <w:rPr>
          <w:rFonts w:hint="eastAsia" w:ascii="宋体" w:hAnsi="宋体" w:eastAsia="宋体" w:cs="宋体"/>
          <w:bCs/>
          <w:sz w:val="24"/>
          <w:szCs w:val="24"/>
          <w:highlight w:val="none"/>
          <w:lang w:val="en-US" w:eastAsia="zh-CN"/>
        </w:rPr>
        <w:t>，供应商须在此次投标中做出响应、否则按照不响应此次投标处理</w:t>
      </w:r>
      <w:r>
        <w:rPr>
          <w:rFonts w:hint="eastAsia" w:ascii="宋体" w:hAnsi="宋体" w:eastAsia="宋体" w:cs="宋体"/>
          <w:bCs/>
          <w:sz w:val="24"/>
          <w:szCs w:val="24"/>
          <w:highlight w:val="none"/>
        </w:rPr>
        <w:t>。</w:t>
      </w:r>
    </w:p>
    <w:p w14:paraId="1E0C78F8">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6、本项目验收标准：按国家现行法律法规的要求进行验收。</w:t>
      </w:r>
    </w:p>
    <w:p w14:paraId="631ABB81">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7、其他技术、服务要求：</w:t>
      </w:r>
    </w:p>
    <w:p w14:paraId="352CEAA0">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（1）质量标准：经甲方</w:t>
      </w:r>
      <w:r>
        <w:rPr>
          <w:rFonts w:hint="eastAsia" w:ascii="宋体" w:hAnsi="宋体" w:cs="宋体"/>
          <w:bCs/>
          <w:sz w:val="24"/>
          <w:szCs w:val="24"/>
          <w:highlight w:val="none"/>
          <w:lang w:eastAsia="zh-CN"/>
        </w:rPr>
        <w:t>两名</w:t>
      </w:r>
      <w:r>
        <w:rPr>
          <w:rFonts w:hint="eastAsia" w:ascii="宋体" w:hAnsi="宋体" w:eastAsia="宋体" w:cs="宋体"/>
          <w:bCs/>
          <w:sz w:val="24"/>
          <w:szCs w:val="24"/>
          <w:highlight w:val="none"/>
        </w:rPr>
        <w:t>及以上工作人员现场签证；符合安全生产规定，作业过程中未发生安全事故，且不留安全隐患；施工结束后，将现场清扫整理干净；符合工程质量方面的其他有关规定。</w:t>
      </w:r>
    </w:p>
    <w:p w14:paraId="3E7CEF04">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（2）时间响应要求：因是突击性项目，必须确保随叫随到（最多不超过30分钟到达现场）。</w:t>
      </w:r>
    </w:p>
    <w:p w14:paraId="7D25C251">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（3）安全施工要求：投标人主要负责人是安全生产第一责任人，施工过程中产生的一切安全及责任事故均由乙方独立承担。投标人应建立健全安全生产责任制度</w:t>
      </w:r>
      <w:r>
        <w:rPr>
          <w:rFonts w:hint="eastAsia" w:ascii="宋体" w:hAnsi="宋体" w:cs="宋体"/>
          <w:bCs/>
          <w:sz w:val="24"/>
          <w:szCs w:val="24"/>
          <w:highlight w:val="none"/>
          <w:lang w:eastAsia="zh-CN"/>
        </w:rPr>
        <w:t>，以及</w:t>
      </w:r>
      <w:r>
        <w:rPr>
          <w:rFonts w:hint="eastAsia" w:ascii="宋体" w:hAnsi="宋体" w:eastAsia="宋体" w:cs="宋体"/>
          <w:bCs/>
          <w:sz w:val="24"/>
          <w:szCs w:val="24"/>
          <w:highlight w:val="none"/>
        </w:rPr>
        <w:t>安全教育培训、安全生产检查和安全生产操作规程等各项规章制度；设立安全生产管理机构，配备专职安全员；向施工作业人员提供符合相关标准的劳动安全防护用品（具），为施工作业人员缴纳意外伤害保险。由投标人负责一切安全，施工过程中如发生安全事故，由投标人承担全部责任，且招标人有权追究投标人责任。</w:t>
      </w:r>
    </w:p>
    <w:p w14:paraId="00E3D1F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（4）投标人</w:t>
      </w:r>
      <w:r>
        <w:rPr>
          <w:rFonts w:hint="eastAsia" w:ascii="宋体" w:hAnsi="宋体" w:cs="宋体"/>
          <w:bCs/>
          <w:sz w:val="24"/>
          <w:szCs w:val="24"/>
          <w:highlight w:val="none"/>
          <w:lang w:eastAsia="zh-CN"/>
        </w:rPr>
        <w:t>应为</w:t>
      </w:r>
      <w:r>
        <w:rPr>
          <w:rFonts w:hint="eastAsia" w:ascii="宋体" w:hAnsi="宋体" w:eastAsia="宋体" w:cs="宋体"/>
          <w:bCs/>
          <w:sz w:val="24"/>
          <w:szCs w:val="24"/>
          <w:highlight w:val="none"/>
        </w:rPr>
        <w:t>本合同工程派遣或雇佣的所有人员</w:t>
      </w:r>
      <w:r>
        <w:rPr>
          <w:rFonts w:hint="eastAsia" w:ascii="宋体" w:hAnsi="宋体" w:cs="宋体"/>
          <w:bCs/>
          <w:sz w:val="24"/>
          <w:szCs w:val="24"/>
          <w:highlight w:val="none"/>
          <w:lang w:eastAsia="zh-CN"/>
        </w:rPr>
        <w:t>购买</w:t>
      </w:r>
      <w:r>
        <w:rPr>
          <w:rFonts w:hint="eastAsia" w:ascii="宋体" w:hAnsi="宋体" w:eastAsia="宋体" w:cs="宋体"/>
          <w:bCs/>
          <w:sz w:val="24"/>
          <w:szCs w:val="24"/>
          <w:highlight w:val="none"/>
        </w:rPr>
        <w:t>人身意外保险，并</w:t>
      </w:r>
      <w:r>
        <w:rPr>
          <w:rFonts w:hint="eastAsia" w:ascii="宋体" w:hAnsi="宋体" w:cs="宋体"/>
          <w:bCs/>
          <w:sz w:val="24"/>
          <w:szCs w:val="24"/>
          <w:highlight w:val="none"/>
          <w:lang w:eastAsia="zh-CN"/>
        </w:rPr>
        <w:t>确保</w:t>
      </w:r>
      <w:r>
        <w:rPr>
          <w:rFonts w:hint="eastAsia" w:ascii="宋体" w:hAnsi="宋体" w:eastAsia="宋体" w:cs="宋体"/>
          <w:bCs/>
          <w:sz w:val="24"/>
          <w:szCs w:val="24"/>
          <w:highlight w:val="none"/>
        </w:rPr>
        <w:t>在全部工作期间均有上述保险，该项保险的一切费用由投标人</w:t>
      </w:r>
      <w:r>
        <w:rPr>
          <w:rFonts w:hint="eastAsia" w:ascii="宋体" w:hAnsi="宋体" w:cs="宋体"/>
          <w:bCs/>
          <w:sz w:val="24"/>
          <w:szCs w:val="24"/>
          <w:highlight w:val="none"/>
          <w:lang w:eastAsia="zh-CN"/>
        </w:rPr>
        <w:t>承担</w:t>
      </w:r>
      <w:r>
        <w:rPr>
          <w:rFonts w:hint="eastAsia" w:ascii="宋体" w:hAnsi="宋体" w:eastAsia="宋体" w:cs="宋体"/>
          <w:bCs/>
          <w:sz w:val="24"/>
          <w:szCs w:val="24"/>
          <w:highlight w:val="none"/>
        </w:rPr>
        <w:t>。</w:t>
      </w:r>
    </w:p>
    <w:p w14:paraId="462B66A3">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（5）遇夜间、双休日或国家法定节假日，所有项目单价均不变。</w:t>
      </w:r>
    </w:p>
    <w:p w14:paraId="011151BA">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（6）在合同有效期内，所有项目单价保持不变，不受国家政策或其他因素影响。</w:t>
      </w:r>
    </w:p>
    <w:p w14:paraId="18820640">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（7）合同实际履行过程中，如遇不在上表中的项目，根据市场价报审计审定。</w:t>
      </w:r>
    </w:p>
    <w:p w14:paraId="7CCD72CC">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（8）数量为预估量，仅作为投标报价计算总价使用，不作为结算依据，最后按实际发生量结算。</w:t>
      </w:r>
    </w:p>
    <w:p w14:paraId="7C9402E8">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9）中标后，甲方将与中标单位签订固定单价（含税）合同，并作为结算依据，中标总价不作为结算依据，最终按实际发生量结算，如不发生工作量，到期合同自行解除，中标单位不得要求任何赔偿。由于实际工作量不可预估，因此投标人需自行承担风险。</w:t>
      </w:r>
    </w:p>
    <w:p w14:paraId="73F55C2D">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10</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其他：</w:t>
      </w:r>
      <w:r>
        <w:rPr>
          <w:rFonts w:hint="eastAsia" w:ascii="宋体" w:hAnsi="宋体" w:eastAsia="宋体" w:cs="宋体"/>
          <w:bCs/>
          <w:sz w:val="24"/>
          <w:szCs w:val="24"/>
          <w:highlight w:val="none"/>
          <w:lang w:val="zh-CN"/>
        </w:rPr>
        <w:t>供应商</w:t>
      </w:r>
      <w:r>
        <w:rPr>
          <w:rFonts w:hint="eastAsia" w:ascii="宋体" w:hAnsi="宋体" w:eastAsia="宋体" w:cs="宋体"/>
          <w:bCs/>
          <w:sz w:val="24"/>
          <w:szCs w:val="24"/>
          <w:highlight w:val="none"/>
          <w:lang w:val="en-US" w:eastAsia="zh-CN"/>
        </w:rPr>
        <w:t>如中标，需在中标后3天内提供招标文件中要求配备的车辆设备，且需要在甲方指定地点验车备案</w:t>
      </w:r>
      <w:r>
        <w:rPr>
          <w:rFonts w:hint="eastAsia" w:ascii="宋体" w:hAnsi="宋体" w:eastAsia="宋体" w:cs="宋体"/>
          <w:bCs/>
          <w:sz w:val="24"/>
          <w:szCs w:val="24"/>
          <w:highlight w:val="none"/>
          <w:lang w:val="zh-CN"/>
        </w:rPr>
        <w:t>。</w:t>
      </w:r>
      <w:r>
        <w:rPr>
          <w:rFonts w:hint="eastAsia" w:ascii="宋体" w:hAnsi="宋体" w:eastAsia="宋体" w:cs="宋体"/>
          <w:bCs/>
          <w:sz w:val="24"/>
          <w:szCs w:val="24"/>
          <w:highlight w:val="none"/>
          <w:lang w:val="en-US" w:eastAsia="zh-CN"/>
        </w:rPr>
        <w:t>供应商须在此次投标中做出响应、否则按照不响应此次投标处理。</w:t>
      </w:r>
    </w:p>
    <w:p w14:paraId="2E36768B">
      <w:pPr>
        <w:spacing w:line="360" w:lineRule="auto"/>
        <w:rPr>
          <w:rFonts w:hint="eastAsia" w:ascii="宋体" w:hAnsi="宋体" w:eastAsia="宋体" w:cs="宋体"/>
          <w:b/>
          <w:bCs w:val="0"/>
          <w:sz w:val="24"/>
          <w:szCs w:val="24"/>
          <w:highlight w:val="none"/>
          <w:lang w:eastAsia="zh-CN"/>
        </w:rPr>
      </w:pPr>
      <w:r>
        <w:rPr>
          <w:rFonts w:hint="eastAsia" w:ascii="宋体" w:hAnsi="宋体" w:eastAsia="宋体" w:cs="宋体"/>
          <w:b/>
          <w:bCs w:val="0"/>
          <w:sz w:val="24"/>
          <w:szCs w:val="24"/>
          <w:highlight w:val="none"/>
        </w:rPr>
        <w:t>8、付款方式：</w:t>
      </w:r>
      <w:r>
        <w:rPr>
          <w:rFonts w:hint="eastAsia" w:ascii="宋体" w:hAnsi="宋体" w:eastAsia="宋体" w:cs="宋体"/>
          <w:b/>
          <w:bCs w:val="0"/>
          <w:sz w:val="24"/>
          <w:szCs w:val="24"/>
          <w:highlight w:val="none"/>
          <w:lang w:eastAsia="zh-CN"/>
        </w:rPr>
        <w:t>结算按每季度送审，季度进度款支付至当</w:t>
      </w:r>
      <w:r>
        <w:rPr>
          <w:rFonts w:hint="eastAsia" w:ascii="宋体" w:hAnsi="宋体" w:cs="宋体"/>
          <w:b/>
          <w:bCs w:val="0"/>
          <w:sz w:val="24"/>
          <w:szCs w:val="24"/>
          <w:highlight w:val="none"/>
          <w:lang w:eastAsia="zh-CN"/>
        </w:rPr>
        <w:t>季度</w:t>
      </w:r>
      <w:r>
        <w:rPr>
          <w:rFonts w:hint="eastAsia" w:ascii="宋体" w:hAnsi="宋体" w:eastAsia="宋体" w:cs="宋体"/>
          <w:b/>
          <w:bCs w:val="0"/>
          <w:sz w:val="24"/>
          <w:szCs w:val="24"/>
          <w:highlight w:val="none"/>
          <w:lang w:eastAsia="zh-CN"/>
        </w:rPr>
        <w:t>审定金额的70%，每季度30%余款待第四季度审计结束后付清</w:t>
      </w:r>
      <w:r>
        <w:rPr>
          <w:rFonts w:hint="eastAsia" w:ascii="宋体" w:hAnsi="宋体" w:eastAsia="宋体" w:cs="宋体"/>
          <w:b/>
          <w:bCs w:val="0"/>
          <w:sz w:val="24"/>
          <w:szCs w:val="24"/>
          <w:highlight w:val="none"/>
        </w:rPr>
        <w:t>。</w:t>
      </w:r>
    </w:p>
    <w:p w14:paraId="2BBB092A">
      <w:pPr>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9、项目作业量清单：</w:t>
      </w:r>
    </w:p>
    <w:p w14:paraId="14DA60AD">
      <w:pPr>
        <w:spacing w:line="360" w:lineRule="auto"/>
        <w:jc w:val="center"/>
        <w:rPr>
          <w:rFonts w:hint="eastAsia" w:ascii="宋体" w:hAnsi="宋体" w:eastAsia="宋体" w:cs="宋体"/>
          <w:bCs/>
          <w:sz w:val="24"/>
          <w:szCs w:val="24"/>
          <w:highlight w:val="none"/>
          <w:lang w:val="en-US"/>
        </w:rPr>
      </w:pPr>
      <w:r>
        <w:rPr>
          <w:rFonts w:hint="eastAsia" w:ascii="宋体" w:hAnsi="宋体" w:eastAsia="宋体" w:cs="宋体"/>
          <w:bCs/>
          <w:sz w:val="24"/>
          <w:szCs w:val="24"/>
          <w:highlight w:val="none"/>
          <w:lang w:eastAsia="zh-CN"/>
        </w:rPr>
        <w:br w:type="page"/>
      </w:r>
      <w:r>
        <w:rPr>
          <w:rFonts w:hint="eastAsia" w:ascii="宋体" w:hAnsi="宋体" w:eastAsia="宋体" w:cs="宋体"/>
          <w:bCs/>
          <w:sz w:val="24"/>
          <w:szCs w:val="24"/>
          <w:highlight w:val="none"/>
          <w:lang w:eastAsia="zh-CN"/>
        </w:rPr>
        <w:t>2026年度江溪街道城市管理应急处置拆违拆临服务项目</w:t>
      </w:r>
      <w:r>
        <w:rPr>
          <w:rFonts w:hint="eastAsia" w:ascii="宋体" w:hAnsi="宋体" w:eastAsia="宋体" w:cs="宋体"/>
          <w:bCs/>
          <w:sz w:val="24"/>
          <w:szCs w:val="24"/>
          <w:highlight w:val="none"/>
          <w:lang w:val="en-US"/>
        </w:rPr>
        <w:t>清单</w:t>
      </w:r>
    </w:p>
    <w:tbl>
      <w:tblPr>
        <w:tblStyle w:val="43"/>
        <w:tblW w:w="97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46"/>
        <w:gridCol w:w="2488"/>
        <w:gridCol w:w="1758"/>
        <w:gridCol w:w="1040"/>
        <w:gridCol w:w="1367"/>
        <w:gridCol w:w="2238"/>
      </w:tblGrid>
      <w:tr w14:paraId="5D436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90" w:hRule="atLeast"/>
        </w:trPr>
        <w:tc>
          <w:tcPr>
            <w:tcW w:w="8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7698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序号</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4FE5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项目名称</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9079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规格</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D60B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单位</w:t>
            </w:r>
          </w:p>
        </w:tc>
        <w:tc>
          <w:tcPr>
            <w:tcW w:w="13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0F88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2026工程量</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2478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备注</w:t>
            </w:r>
          </w:p>
        </w:tc>
      </w:tr>
      <w:tr w14:paraId="50F65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nil"/>
              <w:left w:val="single" w:color="000000" w:sz="4" w:space="0"/>
              <w:bottom w:val="single" w:color="000000" w:sz="4" w:space="0"/>
              <w:right w:val="single" w:color="000000" w:sz="4" w:space="0"/>
            </w:tcBorders>
            <w:shd w:val="clear" w:color="auto" w:fill="auto"/>
            <w:noWrap/>
            <w:vAlign w:val="center"/>
          </w:tcPr>
          <w:p w14:paraId="481F8ED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53B8EE4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人工</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6B795415">
            <w:pPr>
              <w:jc w:val="center"/>
              <w:rPr>
                <w:rFonts w:hint="eastAsia" w:ascii="宋体" w:hAnsi="宋体" w:eastAsia="宋体" w:cs="宋体"/>
                <w:i w:val="0"/>
                <w:iCs w:val="0"/>
                <w:color w:val="auto"/>
                <w:sz w:val="22"/>
                <w:szCs w:val="22"/>
                <w:u w:val="none"/>
              </w:rPr>
            </w:pP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2F1B6AA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工日</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3603235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197E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最高限价210元</w:t>
            </w:r>
          </w:p>
        </w:tc>
      </w:tr>
      <w:tr w14:paraId="40B6F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0AF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6F8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面包车（含油费）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48249">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C23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车次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A37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F9CF5">
            <w:pPr>
              <w:jc w:val="center"/>
              <w:rPr>
                <w:rFonts w:hint="eastAsia" w:ascii="宋体" w:hAnsi="宋体" w:eastAsia="宋体" w:cs="宋体"/>
                <w:i w:val="0"/>
                <w:iCs w:val="0"/>
                <w:color w:val="auto"/>
                <w:sz w:val="22"/>
                <w:szCs w:val="22"/>
                <w:u w:val="none"/>
              </w:rPr>
            </w:pPr>
          </w:p>
        </w:tc>
      </w:tr>
      <w:tr w14:paraId="1203C8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7C7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FC9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焊工</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91FB6">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97D7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工日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01D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1B14F">
            <w:pPr>
              <w:jc w:val="center"/>
              <w:rPr>
                <w:rFonts w:hint="eastAsia" w:ascii="宋体" w:hAnsi="宋体" w:eastAsia="宋体" w:cs="宋体"/>
                <w:i w:val="0"/>
                <w:iCs w:val="0"/>
                <w:color w:val="auto"/>
                <w:sz w:val="22"/>
                <w:szCs w:val="22"/>
                <w:u w:val="none"/>
              </w:rPr>
            </w:pPr>
          </w:p>
        </w:tc>
      </w:tr>
      <w:tr w14:paraId="3DCCC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817F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EAC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乙炔气</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2EEA9">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29F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51F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902FC">
            <w:pPr>
              <w:jc w:val="center"/>
              <w:rPr>
                <w:rFonts w:hint="eastAsia" w:ascii="宋体" w:hAnsi="宋体" w:eastAsia="宋体" w:cs="宋体"/>
                <w:i w:val="0"/>
                <w:iCs w:val="0"/>
                <w:color w:val="auto"/>
                <w:sz w:val="22"/>
                <w:szCs w:val="22"/>
                <w:u w:val="none"/>
              </w:rPr>
            </w:pPr>
          </w:p>
        </w:tc>
      </w:tr>
      <w:tr w14:paraId="38EBA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785B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AEC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卡车（含油费）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5AA6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27BB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2A6D5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8712D">
            <w:pPr>
              <w:jc w:val="center"/>
              <w:rPr>
                <w:rFonts w:hint="eastAsia" w:ascii="宋体" w:hAnsi="宋体" w:eastAsia="宋体" w:cs="宋体"/>
                <w:i w:val="0"/>
                <w:iCs w:val="0"/>
                <w:color w:val="auto"/>
                <w:sz w:val="22"/>
                <w:szCs w:val="22"/>
                <w:u w:val="none"/>
              </w:rPr>
            </w:pPr>
          </w:p>
        </w:tc>
      </w:tr>
      <w:tr w14:paraId="023897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80DD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D572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卡车（含油费）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02B5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5T-10T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F68AA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280A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03DA7">
            <w:pPr>
              <w:jc w:val="center"/>
              <w:rPr>
                <w:rFonts w:hint="eastAsia" w:ascii="宋体" w:hAnsi="宋体" w:eastAsia="宋体" w:cs="宋体"/>
                <w:i w:val="0"/>
                <w:iCs w:val="0"/>
                <w:color w:val="auto"/>
                <w:sz w:val="22"/>
                <w:szCs w:val="22"/>
                <w:u w:val="none"/>
              </w:rPr>
            </w:pPr>
          </w:p>
        </w:tc>
      </w:tr>
      <w:tr w14:paraId="62D11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A0D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DF65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挖机（含油费）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5AED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0.6m3</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2275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D5CC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B8C0C">
            <w:pPr>
              <w:jc w:val="center"/>
              <w:rPr>
                <w:rFonts w:hint="eastAsia" w:ascii="宋体" w:hAnsi="宋体" w:eastAsia="宋体" w:cs="宋体"/>
                <w:i w:val="0"/>
                <w:iCs w:val="0"/>
                <w:color w:val="auto"/>
                <w:sz w:val="22"/>
                <w:szCs w:val="22"/>
                <w:u w:val="none"/>
              </w:rPr>
            </w:pPr>
          </w:p>
        </w:tc>
      </w:tr>
      <w:tr w14:paraId="27D93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8037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195D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挖机进出场费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376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0.6m3</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9A18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A714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24832">
            <w:pPr>
              <w:jc w:val="center"/>
              <w:rPr>
                <w:rFonts w:hint="eastAsia" w:ascii="宋体" w:hAnsi="宋体" w:eastAsia="宋体" w:cs="宋体"/>
                <w:i w:val="0"/>
                <w:iCs w:val="0"/>
                <w:color w:val="auto"/>
                <w:sz w:val="22"/>
                <w:szCs w:val="22"/>
                <w:u w:val="none"/>
              </w:rPr>
            </w:pPr>
          </w:p>
        </w:tc>
      </w:tr>
      <w:tr w14:paraId="1F2C80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A25D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7D69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挖机（含油费）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A520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1m3</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6D9C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612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80E81">
            <w:pPr>
              <w:jc w:val="center"/>
              <w:rPr>
                <w:rFonts w:hint="eastAsia" w:ascii="宋体" w:hAnsi="宋体" w:eastAsia="宋体" w:cs="宋体"/>
                <w:i w:val="0"/>
                <w:iCs w:val="0"/>
                <w:color w:val="auto"/>
                <w:sz w:val="22"/>
                <w:szCs w:val="22"/>
                <w:u w:val="none"/>
              </w:rPr>
            </w:pPr>
          </w:p>
        </w:tc>
      </w:tr>
      <w:tr w14:paraId="2B455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5782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51C1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挖机进出场费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E8FF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1m3</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0BA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4BF5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81AE1">
            <w:pPr>
              <w:jc w:val="center"/>
              <w:rPr>
                <w:rFonts w:hint="eastAsia" w:ascii="宋体" w:hAnsi="宋体" w:eastAsia="宋体" w:cs="宋体"/>
                <w:i w:val="0"/>
                <w:iCs w:val="0"/>
                <w:color w:val="auto"/>
                <w:sz w:val="22"/>
                <w:szCs w:val="22"/>
                <w:u w:val="none"/>
              </w:rPr>
            </w:pPr>
          </w:p>
        </w:tc>
      </w:tr>
      <w:tr w14:paraId="05F32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EE3A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C3A6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垃圾运输</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211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F1B9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车次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48CC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B817A">
            <w:pPr>
              <w:jc w:val="center"/>
              <w:rPr>
                <w:rFonts w:hint="eastAsia" w:ascii="宋体" w:hAnsi="宋体" w:eastAsia="宋体" w:cs="宋体"/>
                <w:i w:val="0"/>
                <w:iCs w:val="0"/>
                <w:color w:val="auto"/>
                <w:sz w:val="22"/>
                <w:szCs w:val="22"/>
                <w:u w:val="none"/>
              </w:rPr>
            </w:pPr>
          </w:p>
        </w:tc>
      </w:tr>
      <w:tr w14:paraId="2C900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CD1D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3DE8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垃圾运输</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4E37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7999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车次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61BE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B4D36">
            <w:pPr>
              <w:jc w:val="center"/>
              <w:rPr>
                <w:rFonts w:hint="eastAsia" w:ascii="宋体" w:hAnsi="宋体" w:eastAsia="宋体" w:cs="宋体"/>
                <w:i w:val="0"/>
                <w:iCs w:val="0"/>
                <w:color w:val="auto"/>
                <w:sz w:val="22"/>
                <w:szCs w:val="22"/>
                <w:u w:val="none"/>
              </w:rPr>
            </w:pPr>
          </w:p>
        </w:tc>
      </w:tr>
      <w:tr w14:paraId="4E5818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2C20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FEB9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警示桩</w:t>
            </w:r>
            <w:r>
              <w:rPr>
                <w:rFonts w:hint="eastAsia" w:ascii="宋体" w:hAnsi="宋体" w:cs="宋体"/>
                <w:i w:val="0"/>
                <w:iCs w:val="0"/>
                <w:color w:val="auto"/>
                <w:kern w:val="0"/>
                <w:sz w:val="22"/>
                <w:szCs w:val="22"/>
                <w:u w:val="none"/>
                <w:lang w:val="en-US" w:eastAsia="zh-CN" w:bidi="ar"/>
              </w:rPr>
              <w:t>（</w:t>
            </w:r>
            <w:r>
              <w:rPr>
                <w:rFonts w:hint="eastAsia" w:ascii="宋体" w:hAnsi="宋体" w:eastAsia="宋体" w:cs="宋体"/>
                <w:i w:val="0"/>
                <w:iCs w:val="0"/>
                <w:color w:val="auto"/>
                <w:kern w:val="0"/>
                <w:sz w:val="22"/>
                <w:szCs w:val="22"/>
                <w:u w:val="none"/>
                <w:lang w:val="en-US" w:eastAsia="zh-CN" w:bidi="ar"/>
              </w:rPr>
              <w:t>φ114*1200，贴五级反光膜基础，内设防盗钢筋）</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3BDD7">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36B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D7F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8DA40">
            <w:pPr>
              <w:jc w:val="center"/>
              <w:rPr>
                <w:rFonts w:hint="eastAsia" w:ascii="宋体" w:hAnsi="宋体" w:eastAsia="宋体" w:cs="宋体"/>
                <w:i w:val="0"/>
                <w:iCs w:val="0"/>
                <w:color w:val="auto"/>
                <w:sz w:val="22"/>
                <w:szCs w:val="22"/>
                <w:u w:val="none"/>
              </w:rPr>
            </w:pPr>
          </w:p>
        </w:tc>
      </w:tr>
      <w:tr w14:paraId="1BEDC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2C36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BBC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推土机</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3B3B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160型号</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0110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E2C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CE6BA">
            <w:pPr>
              <w:jc w:val="center"/>
              <w:rPr>
                <w:rFonts w:hint="eastAsia" w:ascii="宋体" w:hAnsi="宋体" w:eastAsia="宋体" w:cs="宋体"/>
                <w:i w:val="0"/>
                <w:iCs w:val="0"/>
                <w:color w:val="auto"/>
                <w:sz w:val="22"/>
                <w:szCs w:val="22"/>
                <w:u w:val="none"/>
              </w:rPr>
            </w:pPr>
          </w:p>
        </w:tc>
      </w:tr>
      <w:tr w14:paraId="1A283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AB01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DEC8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推土机进出场费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8F74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160型号</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A756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E0B3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95425">
            <w:pPr>
              <w:jc w:val="center"/>
              <w:rPr>
                <w:rFonts w:hint="eastAsia" w:ascii="宋体" w:hAnsi="宋体" w:eastAsia="宋体" w:cs="宋体"/>
                <w:i w:val="0"/>
                <w:iCs w:val="0"/>
                <w:color w:val="auto"/>
                <w:sz w:val="22"/>
                <w:szCs w:val="22"/>
                <w:u w:val="none"/>
              </w:rPr>
            </w:pPr>
          </w:p>
        </w:tc>
      </w:tr>
      <w:tr w14:paraId="3DA8D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76FB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16</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2FA8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汽车式吊车（含油费）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20A0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8-16T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EF55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DE42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D2143">
            <w:pPr>
              <w:jc w:val="center"/>
              <w:rPr>
                <w:rFonts w:hint="eastAsia" w:ascii="宋体" w:hAnsi="宋体" w:eastAsia="宋体" w:cs="宋体"/>
                <w:i w:val="0"/>
                <w:iCs w:val="0"/>
                <w:color w:val="auto"/>
                <w:sz w:val="22"/>
                <w:szCs w:val="22"/>
                <w:u w:val="none"/>
              </w:rPr>
            </w:pPr>
          </w:p>
        </w:tc>
      </w:tr>
      <w:tr w14:paraId="5A9FC5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CCEC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17</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7216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汽车式吊车（含油费）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35BA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25T-50T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37AB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2B8E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CDF7A">
            <w:pPr>
              <w:jc w:val="center"/>
              <w:rPr>
                <w:rFonts w:hint="eastAsia" w:ascii="宋体" w:hAnsi="宋体" w:eastAsia="宋体" w:cs="宋体"/>
                <w:i w:val="0"/>
                <w:iCs w:val="0"/>
                <w:color w:val="auto"/>
                <w:sz w:val="22"/>
                <w:szCs w:val="22"/>
                <w:u w:val="none"/>
              </w:rPr>
            </w:pPr>
          </w:p>
        </w:tc>
      </w:tr>
      <w:tr w14:paraId="1D7B0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2692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18</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8A31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汽车式吊车（含油费）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E9F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8B0D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21F7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A9C02">
            <w:pPr>
              <w:jc w:val="center"/>
              <w:rPr>
                <w:rFonts w:hint="eastAsia" w:ascii="宋体" w:hAnsi="宋体" w:eastAsia="宋体" w:cs="宋体"/>
                <w:i w:val="0"/>
                <w:iCs w:val="0"/>
                <w:color w:val="auto"/>
                <w:sz w:val="22"/>
                <w:szCs w:val="22"/>
                <w:u w:val="none"/>
              </w:rPr>
            </w:pPr>
          </w:p>
        </w:tc>
      </w:tr>
      <w:tr w14:paraId="72E0D2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02C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19</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F6E8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铲车</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D637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419B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978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B82FE">
            <w:pPr>
              <w:jc w:val="center"/>
              <w:rPr>
                <w:rFonts w:hint="eastAsia" w:ascii="宋体" w:hAnsi="宋体" w:eastAsia="宋体" w:cs="宋体"/>
                <w:i w:val="0"/>
                <w:iCs w:val="0"/>
                <w:color w:val="auto"/>
                <w:sz w:val="22"/>
                <w:szCs w:val="22"/>
                <w:u w:val="none"/>
              </w:rPr>
            </w:pPr>
          </w:p>
        </w:tc>
      </w:tr>
      <w:tr w14:paraId="4D142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3430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53D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铲车</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D41A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A41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09C0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05677">
            <w:pPr>
              <w:jc w:val="center"/>
              <w:rPr>
                <w:rFonts w:hint="eastAsia" w:ascii="宋体" w:hAnsi="宋体" w:eastAsia="宋体" w:cs="宋体"/>
                <w:i w:val="0"/>
                <w:iCs w:val="0"/>
                <w:color w:val="auto"/>
                <w:sz w:val="22"/>
                <w:szCs w:val="22"/>
                <w:u w:val="none"/>
              </w:rPr>
            </w:pPr>
          </w:p>
        </w:tc>
      </w:tr>
      <w:tr w14:paraId="7906E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35E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21</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1E78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叉车</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5A1F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3T</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50F8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D5DF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49948">
            <w:pPr>
              <w:jc w:val="center"/>
              <w:rPr>
                <w:rFonts w:hint="eastAsia" w:ascii="宋体" w:hAnsi="宋体" w:eastAsia="宋体" w:cs="宋体"/>
                <w:i w:val="0"/>
                <w:iCs w:val="0"/>
                <w:color w:val="auto"/>
                <w:sz w:val="22"/>
                <w:szCs w:val="22"/>
                <w:u w:val="none"/>
              </w:rPr>
            </w:pPr>
          </w:p>
        </w:tc>
      </w:tr>
      <w:tr w14:paraId="7C856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DB2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22</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7DDA8AA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曲臂车</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59FBC08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20m</w:t>
            </w: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39A1DC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7B605C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69AE0B">
            <w:pPr>
              <w:jc w:val="center"/>
              <w:rPr>
                <w:rFonts w:hint="eastAsia" w:ascii="宋体" w:hAnsi="宋体" w:eastAsia="宋体" w:cs="宋体"/>
                <w:i w:val="0"/>
                <w:iCs w:val="0"/>
                <w:color w:val="auto"/>
                <w:sz w:val="22"/>
                <w:szCs w:val="22"/>
                <w:u w:val="none"/>
              </w:rPr>
            </w:pPr>
          </w:p>
        </w:tc>
      </w:tr>
      <w:tr w14:paraId="05130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AB1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23</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0FD2C57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曲臂车进出场费用</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2CFE7DBD">
            <w:pPr>
              <w:jc w:val="center"/>
              <w:rPr>
                <w:rFonts w:hint="eastAsia" w:ascii="宋体" w:hAnsi="宋体" w:eastAsia="宋体" w:cs="宋体"/>
                <w:i w:val="0"/>
                <w:iCs w:val="0"/>
                <w:color w:val="auto"/>
                <w:sz w:val="22"/>
                <w:szCs w:val="22"/>
                <w:u w:val="none"/>
              </w:rPr>
            </w:pP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5131560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台次</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4B42DD5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78C01">
            <w:pPr>
              <w:jc w:val="center"/>
              <w:rPr>
                <w:rFonts w:hint="eastAsia" w:ascii="宋体" w:hAnsi="宋体" w:eastAsia="宋体" w:cs="宋体"/>
                <w:i w:val="0"/>
                <w:iCs w:val="0"/>
                <w:color w:val="auto"/>
                <w:sz w:val="22"/>
                <w:szCs w:val="22"/>
                <w:u w:val="none"/>
              </w:rPr>
            </w:pPr>
          </w:p>
        </w:tc>
      </w:tr>
      <w:tr w14:paraId="39E1B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48D9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24</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23E3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发电机（含油费）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169A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r>
              <w:rPr>
                <w:rFonts w:hint="eastAsia" w:ascii="宋体" w:hAnsi="宋体" w:cs="宋体"/>
                <w:i w:val="0"/>
                <w:iCs w:val="0"/>
                <w:color w:val="auto"/>
                <w:kern w:val="0"/>
                <w:sz w:val="22"/>
                <w:szCs w:val="22"/>
                <w:u w:val="none"/>
                <w:lang w:val="en-US" w:eastAsia="zh-CN" w:bidi="ar"/>
              </w:rPr>
              <w:t>kW</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EE5D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6E29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C08EA">
            <w:pPr>
              <w:jc w:val="center"/>
              <w:rPr>
                <w:rFonts w:hint="eastAsia" w:ascii="宋体" w:hAnsi="宋体" w:eastAsia="宋体" w:cs="宋体"/>
                <w:i w:val="0"/>
                <w:iCs w:val="0"/>
                <w:color w:val="auto"/>
                <w:sz w:val="22"/>
                <w:szCs w:val="22"/>
                <w:u w:val="none"/>
              </w:rPr>
            </w:pPr>
          </w:p>
        </w:tc>
      </w:tr>
      <w:tr w14:paraId="256422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593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25</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72C2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发电机（含油费）</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78EB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r>
              <w:rPr>
                <w:rFonts w:hint="eastAsia" w:ascii="宋体" w:hAnsi="宋体" w:cs="宋体"/>
                <w:i w:val="0"/>
                <w:iCs w:val="0"/>
                <w:color w:val="auto"/>
                <w:kern w:val="0"/>
                <w:sz w:val="22"/>
                <w:szCs w:val="22"/>
                <w:u w:val="none"/>
                <w:lang w:val="en-US" w:eastAsia="zh-CN" w:bidi="ar"/>
              </w:rPr>
              <w:t>kW</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D641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1E72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076CC">
            <w:pPr>
              <w:jc w:val="center"/>
              <w:rPr>
                <w:rFonts w:hint="eastAsia" w:ascii="宋体" w:hAnsi="宋体" w:eastAsia="宋体" w:cs="宋体"/>
                <w:i w:val="0"/>
                <w:iCs w:val="0"/>
                <w:color w:val="auto"/>
                <w:sz w:val="22"/>
                <w:szCs w:val="22"/>
                <w:u w:val="none"/>
              </w:rPr>
            </w:pPr>
          </w:p>
        </w:tc>
      </w:tr>
      <w:tr w14:paraId="6FB487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121F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26</w:t>
            </w:r>
          </w:p>
        </w:tc>
        <w:tc>
          <w:tcPr>
            <w:tcW w:w="2488" w:type="dxa"/>
            <w:tcBorders>
              <w:top w:val="single" w:color="000000" w:sz="4" w:space="0"/>
              <w:left w:val="single" w:color="000000" w:sz="4" w:space="0"/>
              <w:bottom w:val="nil"/>
              <w:right w:val="single" w:color="000000" w:sz="4" w:space="0"/>
            </w:tcBorders>
            <w:shd w:val="clear" w:color="auto" w:fill="auto"/>
            <w:vAlign w:val="center"/>
          </w:tcPr>
          <w:p w14:paraId="606F903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移动脚手架</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44E99">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C193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53C6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D1292">
            <w:pPr>
              <w:jc w:val="center"/>
              <w:rPr>
                <w:rFonts w:hint="eastAsia" w:ascii="宋体" w:hAnsi="宋体" w:eastAsia="宋体" w:cs="宋体"/>
                <w:i w:val="0"/>
                <w:iCs w:val="0"/>
                <w:color w:val="auto"/>
                <w:sz w:val="22"/>
                <w:szCs w:val="22"/>
                <w:u w:val="none"/>
              </w:rPr>
            </w:pPr>
          </w:p>
        </w:tc>
      </w:tr>
      <w:tr w14:paraId="3EE581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7E9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27</w:t>
            </w:r>
          </w:p>
        </w:tc>
        <w:tc>
          <w:tcPr>
            <w:tcW w:w="2488" w:type="dxa"/>
            <w:tcBorders>
              <w:top w:val="single" w:color="000000" w:sz="4" w:space="0"/>
              <w:left w:val="single" w:color="000000" w:sz="4" w:space="0"/>
              <w:bottom w:val="nil"/>
              <w:right w:val="single" w:color="000000" w:sz="4" w:space="0"/>
            </w:tcBorders>
            <w:shd w:val="clear" w:color="auto" w:fill="auto"/>
            <w:vAlign w:val="center"/>
          </w:tcPr>
          <w:p w14:paraId="3AB8FEE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单层彩钢板围挡</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50C4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0.3mm厚</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DF77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F27C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A11E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含人工、材料、安装等费用</w:t>
            </w:r>
          </w:p>
        </w:tc>
      </w:tr>
      <w:tr w14:paraId="00D7C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47F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28</w:t>
            </w:r>
          </w:p>
        </w:tc>
        <w:tc>
          <w:tcPr>
            <w:tcW w:w="2488" w:type="dxa"/>
            <w:tcBorders>
              <w:top w:val="single" w:color="000000" w:sz="4" w:space="0"/>
              <w:left w:val="single" w:color="000000" w:sz="4" w:space="0"/>
              <w:bottom w:val="nil"/>
              <w:right w:val="single" w:color="000000" w:sz="4" w:space="0"/>
            </w:tcBorders>
            <w:shd w:val="clear" w:color="auto" w:fill="auto"/>
            <w:vAlign w:val="center"/>
          </w:tcPr>
          <w:p w14:paraId="0A84B06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钢龙骨</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DC8B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镀锌钢管，规格综合考虑</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7D39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D1ED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EFBF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含人工、材料、安装等费用</w:t>
            </w:r>
          </w:p>
        </w:tc>
      </w:tr>
      <w:tr w14:paraId="75E6C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5EB0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29</w:t>
            </w:r>
          </w:p>
        </w:tc>
        <w:tc>
          <w:tcPr>
            <w:tcW w:w="2488" w:type="dxa"/>
            <w:tcBorders>
              <w:top w:val="single" w:color="000000" w:sz="4" w:space="0"/>
              <w:left w:val="single" w:color="000000" w:sz="4" w:space="0"/>
              <w:bottom w:val="nil"/>
              <w:right w:val="single" w:color="000000" w:sz="4" w:space="0"/>
            </w:tcBorders>
            <w:shd w:val="clear" w:color="auto" w:fill="auto"/>
            <w:vAlign w:val="center"/>
          </w:tcPr>
          <w:p w14:paraId="769EC47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绿皮网</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36988">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6DDC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F780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E1AF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含人工、材料、安装等费用</w:t>
            </w:r>
          </w:p>
        </w:tc>
      </w:tr>
      <w:tr w14:paraId="3706A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67B6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C172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覆盖绿网</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6648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8针绿色加密高密度聚乙烯HDPEF防尘网</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8C93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E799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CD8D9">
            <w:pPr>
              <w:jc w:val="center"/>
              <w:rPr>
                <w:rFonts w:hint="eastAsia" w:ascii="宋体" w:hAnsi="宋体" w:eastAsia="宋体" w:cs="宋体"/>
                <w:i w:val="0"/>
                <w:iCs w:val="0"/>
                <w:color w:val="auto"/>
                <w:sz w:val="22"/>
                <w:szCs w:val="22"/>
                <w:u w:val="none"/>
              </w:rPr>
            </w:pPr>
          </w:p>
        </w:tc>
      </w:tr>
      <w:tr w14:paraId="729B4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384C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31</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1BDD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外墙弹性涂料（2遍）</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9C4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外墙弹性涂料</w:t>
            </w: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B014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B7A1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085424">
            <w:pPr>
              <w:jc w:val="center"/>
              <w:rPr>
                <w:rFonts w:hint="eastAsia" w:ascii="宋体" w:hAnsi="宋体" w:eastAsia="宋体" w:cs="宋体"/>
                <w:i w:val="0"/>
                <w:iCs w:val="0"/>
                <w:color w:val="auto"/>
                <w:sz w:val="22"/>
                <w:szCs w:val="22"/>
                <w:u w:val="none"/>
              </w:rPr>
            </w:pPr>
          </w:p>
        </w:tc>
      </w:tr>
      <w:tr w14:paraId="5F4EF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1749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32</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9E25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C15混凝土垫层</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D6E36">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802B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797B0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2DCB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含人工等费用</w:t>
            </w:r>
          </w:p>
        </w:tc>
      </w:tr>
      <w:tr w14:paraId="2BF9C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CCAE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33</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8EAC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C20混凝土垫层</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BA86A">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63BD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A6AF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5338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含人工等费用</w:t>
            </w:r>
          </w:p>
        </w:tc>
      </w:tr>
      <w:tr w14:paraId="40EC79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E81A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34</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5993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C25混凝土垫层</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9A676">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793E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6089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1570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含人工等费用</w:t>
            </w:r>
          </w:p>
        </w:tc>
      </w:tr>
      <w:tr w14:paraId="611BE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5327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35</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BC4F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砖砌体</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0E326">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8DAA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E138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4AC81">
            <w:pPr>
              <w:jc w:val="center"/>
              <w:rPr>
                <w:rFonts w:hint="eastAsia" w:ascii="宋体" w:hAnsi="宋体" w:eastAsia="宋体" w:cs="宋体"/>
                <w:i w:val="0"/>
                <w:iCs w:val="0"/>
                <w:color w:val="auto"/>
                <w:sz w:val="22"/>
                <w:szCs w:val="22"/>
                <w:u w:val="none"/>
              </w:rPr>
            </w:pPr>
          </w:p>
        </w:tc>
      </w:tr>
      <w:tr w14:paraId="713AE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6B77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36</w:t>
            </w:r>
          </w:p>
        </w:tc>
        <w:tc>
          <w:tcPr>
            <w:tcW w:w="24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F034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墙面水泥砂浆粉刷</w:t>
            </w:r>
          </w:p>
        </w:tc>
        <w:tc>
          <w:tcPr>
            <w:tcW w:w="1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527A0">
            <w:pPr>
              <w:jc w:val="center"/>
              <w:rPr>
                <w:rFonts w:hint="eastAsia" w:ascii="宋体" w:hAnsi="宋体" w:eastAsia="宋体" w:cs="宋体"/>
                <w:i w:val="0"/>
                <w:iCs w:val="0"/>
                <w:color w:val="auto"/>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C1B2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35C6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2000</w:t>
            </w:r>
          </w:p>
        </w:tc>
        <w:tc>
          <w:tcPr>
            <w:tcW w:w="22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53796">
            <w:pPr>
              <w:jc w:val="center"/>
              <w:rPr>
                <w:rFonts w:hint="eastAsia" w:ascii="宋体" w:hAnsi="宋体" w:eastAsia="宋体" w:cs="宋体"/>
                <w:i w:val="0"/>
                <w:iCs w:val="0"/>
                <w:color w:val="auto"/>
                <w:sz w:val="22"/>
                <w:szCs w:val="22"/>
                <w:u w:val="none"/>
              </w:rPr>
            </w:pPr>
          </w:p>
        </w:tc>
      </w:tr>
      <w:tr w14:paraId="36501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77B7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37</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721760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花岗岩石球</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671B1F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D500（采购、运输及安装）</w:t>
            </w: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3402DF58">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448C45E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2238" w:type="dxa"/>
            <w:tcBorders>
              <w:top w:val="nil"/>
              <w:left w:val="single" w:color="000000" w:sz="4" w:space="0"/>
              <w:bottom w:val="single" w:color="000000" w:sz="4" w:space="0"/>
              <w:right w:val="single" w:color="000000" w:sz="4" w:space="0"/>
            </w:tcBorders>
            <w:shd w:val="clear" w:color="auto" w:fill="auto"/>
            <w:vAlign w:val="center"/>
          </w:tcPr>
          <w:p w14:paraId="78CA5238">
            <w:pPr>
              <w:jc w:val="center"/>
              <w:rPr>
                <w:rFonts w:hint="eastAsia" w:ascii="宋体" w:hAnsi="宋体" w:eastAsia="宋体" w:cs="宋体"/>
                <w:i w:val="0"/>
                <w:iCs w:val="0"/>
                <w:color w:val="auto"/>
                <w:sz w:val="22"/>
                <w:szCs w:val="22"/>
                <w:u w:val="none"/>
              </w:rPr>
            </w:pPr>
          </w:p>
        </w:tc>
      </w:tr>
      <w:tr w14:paraId="6CD65D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4DBA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38</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5236AEB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花岗岩石球</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19A559B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D600（采购、运输及安装）</w:t>
            </w: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672E156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02F7344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100</w:t>
            </w:r>
          </w:p>
        </w:tc>
        <w:tc>
          <w:tcPr>
            <w:tcW w:w="2238" w:type="dxa"/>
            <w:tcBorders>
              <w:top w:val="nil"/>
              <w:left w:val="single" w:color="000000" w:sz="4" w:space="0"/>
              <w:bottom w:val="single" w:color="000000" w:sz="4" w:space="0"/>
              <w:right w:val="single" w:color="000000" w:sz="4" w:space="0"/>
            </w:tcBorders>
            <w:shd w:val="clear" w:color="auto" w:fill="auto"/>
            <w:vAlign w:val="center"/>
          </w:tcPr>
          <w:p w14:paraId="3AAA4855">
            <w:pPr>
              <w:jc w:val="center"/>
              <w:rPr>
                <w:rFonts w:hint="eastAsia" w:ascii="宋体" w:hAnsi="宋体" w:eastAsia="宋体" w:cs="宋体"/>
                <w:i w:val="0"/>
                <w:iCs w:val="0"/>
                <w:color w:val="auto"/>
                <w:sz w:val="22"/>
                <w:szCs w:val="22"/>
                <w:u w:val="none"/>
              </w:rPr>
            </w:pPr>
          </w:p>
        </w:tc>
      </w:tr>
      <w:tr w14:paraId="3781E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6F15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39</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559D508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拒马</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3673E24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外框89圆*1.5mm厚，立杆50*1.5mm钢管，带反光贴，万向轮</w:t>
            </w: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3552D42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m</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79B8AE6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2238" w:type="dxa"/>
            <w:tcBorders>
              <w:top w:val="nil"/>
              <w:left w:val="single" w:color="000000" w:sz="4" w:space="0"/>
              <w:bottom w:val="single" w:color="000000" w:sz="4" w:space="0"/>
              <w:right w:val="single" w:color="000000" w:sz="4" w:space="0"/>
            </w:tcBorders>
            <w:shd w:val="clear" w:color="auto" w:fill="auto"/>
            <w:vAlign w:val="center"/>
          </w:tcPr>
          <w:p w14:paraId="23F723B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3000*1200*700（长*高*底宽）</w:t>
            </w:r>
          </w:p>
        </w:tc>
      </w:tr>
      <w:tr w14:paraId="24ED7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4CDA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40</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068E84E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暂列金</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0A4A7694">
            <w:pPr>
              <w:keepNext w:val="0"/>
              <w:keepLines w:val="0"/>
              <w:widowControl/>
              <w:suppressLineNumbers w:val="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本项为不可竞争费：200000.00 元</w:t>
            </w: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784BC42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项</w:t>
            </w: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3D8892F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238" w:type="dxa"/>
            <w:tcBorders>
              <w:top w:val="nil"/>
              <w:left w:val="single" w:color="000000" w:sz="4" w:space="0"/>
              <w:bottom w:val="single" w:color="000000" w:sz="4" w:space="0"/>
              <w:right w:val="single" w:color="000000" w:sz="4" w:space="0"/>
            </w:tcBorders>
            <w:shd w:val="clear" w:color="auto" w:fill="auto"/>
            <w:vAlign w:val="center"/>
          </w:tcPr>
          <w:p w14:paraId="6F4CB13D">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需由甲方提供联系单，</w:t>
            </w:r>
            <w:r>
              <w:rPr>
                <w:rFonts w:hint="eastAsia" w:ascii="宋体" w:hAnsi="宋体" w:cs="宋体"/>
                <w:i w:val="0"/>
                <w:iCs w:val="0"/>
                <w:color w:val="auto"/>
                <w:kern w:val="0"/>
                <w:sz w:val="22"/>
                <w:szCs w:val="22"/>
                <w:u w:val="none"/>
                <w:lang w:val="en-US" w:eastAsia="zh-CN" w:bidi="ar"/>
              </w:rPr>
              <w:t>并在</w:t>
            </w:r>
            <w:r>
              <w:rPr>
                <w:rFonts w:hint="eastAsia" w:ascii="宋体" w:hAnsi="宋体" w:eastAsia="宋体" w:cs="宋体"/>
                <w:i w:val="0"/>
                <w:iCs w:val="0"/>
                <w:color w:val="auto"/>
                <w:kern w:val="0"/>
                <w:sz w:val="22"/>
                <w:szCs w:val="22"/>
                <w:u w:val="none"/>
                <w:lang w:val="en-US" w:eastAsia="zh-CN" w:bidi="ar"/>
              </w:rPr>
              <w:t>甲方负责人签字后按签证格式流转</w:t>
            </w:r>
          </w:p>
        </w:tc>
      </w:tr>
      <w:tr w14:paraId="6C795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75C5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41</w:t>
            </w:r>
          </w:p>
        </w:tc>
        <w:tc>
          <w:tcPr>
            <w:tcW w:w="2488" w:type="dxa"/>
            <w:tcBorders>
              <w:top w:val="nil"/>
              <w:left w:val="single" w:color="000000" w:sz="4" w:space="0"/>
              <w:bottom w:val="single" w:color="000000" w:sz="4" w:space="0"/>
              <w:right w:val="single" w:color="000000" w:sz="4" w:space="0"/>
            </w:tcBorders>
            <w:shd w:val="clear" w:color="auto" w:fill="auto"/>
            <w:vAlign w:val="center"/>
          </w:tcPr>
          <w:p w14:paraId="7D60D3D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合计</w:t>
            </w:r>
          </w:p>
        </w:tc>
        <w:tc>
          <w:tcPr>
            <w:tcW w:w="1758" w:type="dxa"/>
            <w:tcBorders>
              <w:top w:val="nil"/>
              <w:left w:val="single" w:color="000000" w:sz="4" w:space="0"/>
              <w:bottom w:val="single" w:color="000000" w:sz="4" w:space="0"/>
              <w:right w:val="single" w:color="000000" w:sz="4" w:space="0"/>
            </w:tcBorders>
            <w:shd w:val="clear" w:color="auto" w:fill="auto"/>
            <w:vAlign w:val="center"/>
          </w:tcPr>
          <w:p w14:paraId="29CA6D61">
            <w:pPr>
              <w:jc w:val="center"/>
              <w:rPr>
                <w:rFonts w:hint="eastAsia" w:ascii="宋体" w:hAnsi="宋体" w:eastAsia="宋体" w:cs="宋体"/>
                <w:i w:val="0"/>
                <w:iCs w:val="0"/>
                <w:color w:val="auto"/>
                <w:sz w:val="22"/>
                <w:szCs w:val="22"/>
                <w:u w:val="none"/>
              </w:rPr>
            </w:pPr>
          </w:p>
        </w:tc>
        <w:tc>
          <w:tcPr>
            <w:tcW w:w="1040" w:type="dxa"/>
            <w:tcBorders>
              <w:top w:val="nil"/>
              <w:left w:val="single" w:color="000000" w:sz="4" w:space="0"/>
              <w:bottom w:val="single" w:color="000000" w:sz="4" w:space="0"/>
              <w:right w:val="single" w:color="000000" w:sz="4" w:space="0"/>
            </w:tcBorders>
            <w:shd w:val="clear" w:color="auto" w:fill="auto"/>
            <w:noWrap/>
            <w:vAlign w:val="center"/>
          </w:tcPr>
          <w:p w14:paraId="422DE567">
            <w:pPr>
              <w:jc w:val="center"/>
              <w:rPr>
                <w:rFonts w:hint="eastAsia" w:ascii="宋体" w:hAnsi="宋体" w:eastAsia="宋体" w:cs="宋体"/>
                <w:i w:val="0"/>
                <w:iCs w:val="0"/>
                <w:color w:val="auto"/>
                <w:sz w:val="22"/>
                <w:szCs w:val="22"/>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50D991EA">
            <w:pPr>
              <w:jc w:val="center"/>
              <w:rPr>
                <w:rFonts w:hint="eastAsia" w:ascii="宋体" w:hAnsi="宋体" w:eastAsia="宋体" w:cs="宋体"/>
                <w:i w:val="0"/>
                <w:iCs w:val="0"/>
                <w:color w:val="auto"/>
                <w:sz w:val="22"/>
                <w:szCs w:val="22"/>
                <w:u w:val="none"/>
              </w:rPr>
            </w:pPr>
          </w:p>
        </w:tc>
        <w:tc>
          <w:tcPr>
            <w:tcW w:w="2238" w:type="dxa"/>
            <w:tcBorders>
              <w:top w:val="nil"/>
              <w:left w:val="single" w:color="000000" w:sz="4" w:space="0"/>
              <w:bottom w:val="single" w:color="000000" w:sz="4" w:space="0"/>
              <w:right w:val="single" w:color="000000" w:sz="4" w:space="0"/>
            </w:tcBorders>
            <w:shd w:val="clear" w:color="auto" w:fill="auto"/>
            <w:vAlign w:val="center"/>
          </w:tcPr>
          <w:p w14:paraId="2790D953">
            <w:pPr>
              <w:jc w:val="center"/>
              <w:rPr>
                <w:rFonts w:hint="eastAsia" w:ascii="宋体" w:hAnsi="宋体" w:eastAsia="宋体" w:cs="宋体"/>
                <w:i w:val="0"/>
                <w:iCs w:val="0"/>
                <w:color w:val="auto"/>
                <w:sz w:val="22"/>
                <w:szCs w:val="22"/>
                <w:u w:val="none"/>
              </w:rPr>
            </w:pPr>
          </w:p>
        </w:tc>
      </w:tr>
    </w:tbl>
    <w:p w14:paraId="2BE9FB3F">
      <w:pPr>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10、</w:t>
      </w:r>
      <w:r>
        <w:rPr>
          <w:rFonts w:hint="eastAsia" w:ascii="宋体" w:hAnsi="宋体" w:eastAsia="宋体" w:cs="宋体"/>
          <w:bCs/>
          <w:sz w:val="24"/>
          <w:szCs w:val="24"/>
          <w:highlight w:val="none"/>
        </w:rPr>
        <w:t>考评细则评分表</w:t>
      </w:r>
    </w:p>
    <w:tbl>
      <w:tblPr>
        <w:tblStyle w:val="43"/>
        <w:tblW w:w="9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42"/>
        <w:gridCol w:w="3702"/>
        <w:gridCol w:w="571"/>
        <w:gridCol w:w="2839"/>
        <w:gridCol w:w="946"/>
      </w:tblGrid>
      <w:tr w14:paraId="54510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48" w:hRule="atLeast"/>
        </w:trPr>
        <w:tc>
          <w:tcPr>
            <w:tcW w:w="9900" w:type="dxa"/>
            <w:gridSpan w:val="5"/>
            <w:noWrap/>
            <w:tcMar>
              <w:top w:w="15" w:type="dxa"/>
              <w:left w:w="15" w:type="dxa"/>
              <w:right w:w="15" w:type="dxa"/>
            </w:tcMar>
            <w:vAlign w:val="center"/>
          </w:tcPr>
          <w:p w14:paraId="31874BC2">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lang w:eastAsia="zh-CN"/>
              </w:rPr>
              <w:t>2026年度江溪街道城市管理应急处置拆违拆临服务项目</w:t>
            </w:r>
            <w:r>
              <w:rPr>
                <w:rFonts w:hint="eastAsia" w:ascii="宋体" w:hAnsi="宋体" w:eastAsia="宋体" w:cs="宋体"/>
                <w:bCs/>
                <w:sz w:val="24"/>
                <w:szCs w:val="24"/>
                <w:highlight w:val="none"/>
              </w:rPr>
              <w:br w:type="textWrapping"/>
            </w:r>
            <w:r>
              <w:rPr>
                <w:rFonts w:hint="eastAsia" w:ascii="宋体" w:hAnsi="宋体" w:eastAsia="宋体" w:cs="宋体"/>
                <w:bCs/>
                <w:sz w:val="24"/>
                <w:szCs w:val="24"/>
                <w:highlight w:val="none"/>
              </w:rPr>
              <w:t>考评细则评分表</w:t>
            </w:r>
          </w:p>
        </w:tc>
      </w:tr>
      <w:tr w14:paraId="1450E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2" w:hRule="atLeast"/>
        </w:trPr>
        <w:tc>
          <w:tcPr>
            <w:tcW w:w="5544" w:type="dxa"/>
            <w:gridSpan w:val="2"/>
            <w:noWrap/>
            <w:tcMar>
              <w:top w:w="15" w:type="dxa"/>
              <w:left w:w="15" w:type="dxa"/>
              <w:right w:w="15" w:type="dxa"/>
            </w:tcMar>
            <w:vAlign w:val="center"/>
          </w:tcPr>
          <w:p w14:paraId="6B3E2641">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服务外包单位：</w:t>
            </w:r>
          </w:p>
        </w:tc>
        <w:tc>
          <w:tcPr>
            <w:tcW w:w="4356" w:type="dxa"/>
            <w:gridSpan w:val="3"/>
            <w:noWrap/>
            <w:tcMar>
              <w:top w:w="15" w:type="dxa"/>
              <w:left w:w="15" w:type="dxa"/>
              <w:right w:w="15" w:type="dxa"/>
            </w:tcMar>
            <w:vAlign w:val="center"/>
          </w:tcPr>
          <w:p w14:paraId="4BAB6C4C">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日期：</w:t>
            </w:r>
          </w:p>
        </w:tc>
      </w:tr>
      <w:tr w14:paraId="6A623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6" w:hRule="atLeast"/>
        </w:trPr>
        <w:tc>
          <w:tcPr>
            <w:tcW w:w="1842" w:type="dxa"/>
            <w:noWrap/>
            <w:tcMar>
              <w:top w:w="15" w:type="dxa"/>
              <w:left w:w="15" w:type="dxa"/>
              <w:right w:w="15" w:type="dxa"/>
            </w:tcMar>
            <w:vAlign w:val="center"/>
          </w:tcPr>
          <w:p w14:paraId="526A3600">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检查项目</w:t>
            </w:r>
          </w:p>
        </w:tc>
        <w:tc>
          <w:tcPr>
            <w:tcW w:w="3702" w:type="dxa"/>
            <w:noWrap/>
            <w:tcMar>
              <w:top w:w="15" w:type="dxa"/>
              <w:left w:w="15" w:type="dxa"/>
              <w:right w:w="15" w:type="dxa"/>
            </w:tcMar>
            <w:vAlign w:val="center"/>
          </w:tcPr>
          <w:p w14:paraId="23EF214D">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考核内容</w:t>
            </w:r>
          </w:p>
        </w:tc>
        <w:tc>
          <w:tcPr>
            <w:tcW w:w="571" w:type="dxa"/>
            <w:noWrap/>
            <w:tcMar>
              <w:top w:w="15" w:type="dxa"/>
              <w:left w:w="15" w:type="dxa"/>
              <w:right w:w="15" w:type="dxa"/>
            </w:tcMar>
            <w:vAlign w:val="center"/>
          </w:tcPr>
          <w:p w14:paraId="3DE6A7A5">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分值</w:t>
            </w:r>
          </w:p>
        </w:tc>
        <w:tc>
          <w:tcPr>
            <w:tcW w:w="2839" w:type="dxa"/>
            <w:noWrap/>
            <w:tcMar>
              <w:top w:w="15" w:type="dxa"/>
              <w:left w:w="15" w:type="dxa"/>
              <w:right w:w="15" w:type="dxa"/>
            </w:tcMar>
            <w:vAlign w:val="center"/>
          </w:tcPr>
          <w:p w14:paraId="398E94E7">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扣分标准</w:t>
            </w:r>
          </w:p>
        </w:tc>
        <w:tc>
          <w:tcPr>
            <w:tcW w:w="946" w:type="dxa"/>
            <w:noWrap/>
            <w:tcMar>
              <w:top w:w="15" w:type="dxa"/>
              <w:left w:w="15" w:type="dxa"/>
              <w:right w:w="15" w:type="dxa"/>
            </w:tcMar>
            <w:vAlign w:val="center"/>
          </w:tcPr>
          <w:p w14:paraId="5089D102">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得分</w:t>
            </w:r>
          </w:p>
        </w:tc>
      </w:tr>
      <w:tr w14:paraId="5A02B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1842" w:type="dxa"/>
            <w:vMerge w:val="restart"/>
            <w:noWrap/>
            <w:tcMar>
              <w:top w:w="15" w:type="dxa"/>
              <w:left w:w="15" w:type="dxa"/>
              <w:right w:w="15" w:type="dxa"/>
            </w:tcMar>
            <w:vAlign w:val="center"/>
          </w:tcPr>
          <w:p w14:paraId="70E70AF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 安全措施</w:t>
            </w:r>
            <w:r>
              <w:rPr>
                <w:rFonts w:hint="eastAsia" w:ascii="宋体" w:hAnsi="宋体" w:eastAsia="宋体" w:cs="宋体"/>
                <w:bCs/>
                <w:sz w:val="24"/>
                <w:szCs w:val="24"/>
                <w:highlight w:val="none"/>
              </w:rPr>
              <w:br w:type="textWrapping"/>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35</w:t>
            </w:r>
            <w:r>
              <w:rPr>
                <w:rFonts w:hint="eastAsia" w:ascii="宋体" w:hAnsi="宋体" w:eastAsia="宋体" w:cs="宋体"/>
                <w:bCs/>
                <w:sz w:val="24"/>
                <w:szCs w:val="24"/>
                <w:highlight w:val="none"/>
              </w:rPr>
              <w:t>分）</w:t>
            </w:r>
          </w:p>
        </w:tc>
        <w:tc>
          <w:tcPr>
            <w:tcW w:w="3702" w:type="dxa"/>
            <w:noWrap/>
            <w:tcMar>
              <w:top w:w="15" w:type="dxa"/>
              <w:left w:w="15" w:type="dxa"/>
              <w:right w:w="15" w:type="dxa"/>
            </w:tcMar>
            <w:vAlign w:val="center"/>
          </w:tcPr>
          <w:p w14:paraId="0A5FD063">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1.施工进场着装不统一不规范，不</w:t>
            </w:r>
            <w:r>
              <w:rPr>
                <w:rFonts w:hint="eastAsia" w:ascii="宋体" w:hAnsi="宋体" w:eastAsia="宋体" w:cs="宋体"/>
                <w:bCs/>
                <w:sz w:val="24"/>
                <w:szCs w:val="24"/>
                <w:highlight w:val="none"/>
                <w:lang w:eastAsia="zh-CN"/>
              </w:rPr>
              <w:t>戴</w:t>
            </w:r>
            <w:r>
              <w:rPr>
                <w:rFonts w:hint="eastAsia" w:ascii="宋体" w:hAnsi="宋体" w:eastAsia="宋体" w:cs="宋体"/>
                <w:bCs/>
                <w:sz w:val="24"/>
                <w:szCs w:val="24"/>
                <w:highlight w:val="none"/>
              </w:rPr>
              <w:t>安全头盔。</w:t>
            </w:r>
          </w:p>
        </w:tc>
        <w:tc>
          <w:tcPr>
            <w:tcW w:w="571" w:type="dxa"/>
            <w:noWrap/>
            <w:tcMar>
              <w:top w:w="15" w:type="dxa"/>
              <w:left w:w="15" w:type="dxa"/>
              <w:right w:w="15" w:type="dxa"/>
            </w:tcMar>
            <w:vAlign w:val="center"/>
          </w:tcPr>
          <w:p w14:paraId="0D58077E">
            <w:pPr>
              <w:spacing w:line="360" w:lineRule="auto"/>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61C1AE43">
            <w:pPr>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每</w:t>
            </w:r>
            <w:r>
              <w:rPr>
                <w:rFonts w:hint="eastAsia" w:ascii="宋体" w:hAnsi="宋体" w:eastAsia="宋体" w:cs="宋体"/>
                <w:bCs/>
                <w:sz w:val="24"/>
                <w:szCs w:val="24"/>
                <w:highlight w:val="none"/>
              </w:rPr>
              <w:t>发现1次，扣</w:t>
            </w:r>
            <w:r>
              <w:rPr>
                <w:rFonts w:hint="eastAsia" w:ascii="宋体" w:hAnsi="宋体" w:eastAsia="宋体" w:cs="宋体"/>
                <w:bCs/>
                <w:sz w:val="24"/>
                <w:szCs w:val="24"/>
                <w:highlight w:val="none"/>
                <w:lang w:val="en-US" w:eastAsia="zh-CN"/>
              </w:rPr>
              <w:t>0.5</w:t>
            </w:r>
            <w:r>
              <w:rPr>
                <w:rFonts w:hint="eastAsia" w:ascii="宋体" w:hAnsi="宋体" w:eastAsia="宋体" w:cs="宋体"/>
                <w:bCs/>
                <w:sz w:val="24"/>
                <w:szCs w:val="24"/>
                <w:highlight w:val="none"/>
              </w:rPr>
              <w:t>分。</w:t>
            </w:r>
          </w:p>
        </w:tc>
        <w:tc>
          <w:tcPr>
            <w:tcW w:w="946" w:type="dxa"/>
            <w:noWrap/>
            <w:tcMar>
              <w:top w:w="15" w:type="dxa"/>
              <w:left w:w="15" w:type="dxa"/>
              <w:right w:w="15" w:type="dxa"/>
            </w:tcMar>
            <w:vAlign w:val="center"/>
          </w:tcPr>
          <w:p w14:paraId="5FDBBFBE">
            <w:pPr>
              <w:spacing w:line="360" w:lineRule="auto"/>
              <w:rPr>
                <w:rFonts w:hint="eastAsia" w:ascii="宋体" w:hAnsi="宋体" w:eastAsia="宋体" w:cs="宋体"/>
                <w:bCs/>
                <w:sz w:val="24"/>
                <w:szCs w:val="24"/>
                <w:highlight w:val="none"/>
              </w:rPr>
            </w:pPr>
          </w:p>
        </w:tc>
      </w:tr>
      <w:tr w14:paraId="24CFA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1842" w:type="dxa"/>
            <w:vMerge w:val="continue"/>
            <w:noWrap/>
            <w:tcMar>
              <w:top w:w="15" w:type="dxa"/>
              <w:left w:w="15" w:type="dxa"/>
              <w:right w:w="15" w:type="dxa"/>
            </w:tcMar>
            <w:vAlign w:val="center"/>
          </w:tcPr>
          <w:p w14:paraId="36C278C2">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5CE19B9D">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2.超安全高度及高空不系安全带。</w:t>
            </w:r>
          </w:p>
        </w:tc>
        <w:tc>
          <w:tcPr>
            <w:tcW w:w="571" w:type="dxa"/>
            <w:noWrap/>
            <w:tcMar>
              <w:top w:w="15" w:type="dxa"/>
              <w:left w:w="15" w:type="dxa"/>
              <w:right w:w="15" w:type="dxa"/>
            </w:tcMar>
            <w:vAlign w:val="center"/>
          </w:tcPr>
          <w:p w14:paraId="7A337234">
            <w:pPr>
              <w:spacing w:line="360" w:lineRule="auto"/>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3ED70AE5">
            <w:pPr>
              <w:spacing w:line="360" w:lineRule="auto"/>
              <w:rPr>
                <w:rFonts w:hint="eastAsia" w:ascii="宋体" w:hAnsi="宋体" w:eastAsia="宋体" w:cs="宋体"/>
                <w:bCs/>
                <w:sz w:val="24"/>
                <w:szCs w:val="24"/>
                <w:highlight w:val="none"/>
              </w:rPr>
            </w:pPr>
            <w:r>
              <w:rPr>
                <w:rFonts w:hint="eastAsia" w:ascii="宋体" w:hAnsi="宋体" w:cs="宋体"/>
                <w:bCs/>
                <w:sz w:val="24"/>
                <w:szCs w:val="24"/>
                <w:highlight w:val="none"/>
                <w:lang w:eastAsia="zh-CN"/>
              </w:rPr>
              <w:t>每</w:t>
            </w:r>
            <w:r>
              <w:rPr>
                <w:rFonts w:hint="eastAsia" w:ascii="宋体" w:hAnsi="宋体" w:eastAsia="宋体" w:cs="宋体"/>
                <w:bCs/>
                <w:sz w:val="24"/>
                <w:szCs w:val="24"/>
                <w:highlight w:val="none"/>
              </w:rPr>
              <w:t>发现1次，扣</w:t>
            </w:r>
            <w:r>
              <w:rPr>
                <w:rFonts w:hint="eastAsia" w:ascii="宋体" w:hAnsi="宋体" w:eastAsia="宋体" w:cs="宋体"/>
                <w:bCs/>
                <w:sz w:val="24"/>
                <w:szCs w:val="24"/>
                <w:highlight w:val="none"/>
                <w:lang w:val="en-US" w:eastAsia="zh-CN"/>
              </w:rPr>
              <w:t>0.5</w:t>
            </w:r>
            <w:r>
              <w:rPr>
                <w:rFonts w:hint="eastAsia" w:ascii="宋体" w:hAnsi="宋体" w:eastAsia="宋体" w:cs="宋体"/>
                <w:bCs/>
                <w:sz w:val="24"/>
                <w:szCs w:val="24"/>
                <w:highlight w:val="none"/>
              </w:rPr>
              <w:t>分。</w:t>
            </w:r>
          </w:p>
        </w:tc>
        <w:tc>
          <w:tcPr>
            <w:tcW w:w="946" w:type="dxa"/>
            <w:noWrap/>
            <w:tcMar>
              <w:top w:w="15" w:type="dxa"/>
              <w:left w:w="15" w:type="dxa"/>
              <w:right w:w="15" w:type="dxa"/>
            </w:tcMar>
            <w:vAlign w:val="center"/>
          </w:tcPr>
          <w:p w14:paraId="75612438">
            <w:pPr>
              <w:spacing w:line="360" w:lineRule="auto"/>
              <w:rPr>
                <w:rFonts w:hint="eastAsia" w:ascii="宋体" w:hAnsi="宋体" w:eastAsia="宋体" w:cs="宋体"/>
                <w:bCs/>
                <w:sz w:val="24"/>
                <w:szCs w:val="24"/>
                <w:highlight w:val="none"/>
              </w:rPr>
            </w:pPr>
          </w:p>
        </w:tc>
      </w:tr>
      <w:tr w14:paraId="2285E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5" w:hRule="atLeast"/>
        </w:trPr>
        <w:tc>
          <w:tcPr>
            <w:tcW w:w="1842" w:type="dxa"/>
            <w:vMerge w:val="continue"/>
            <w:noWrap/>
            <w:tcMar>
              <w:top w:w="15" w:type="dxa"/>
              <w:left w:w="15" w:type="dxa"/>
              <w:right w:w="15" w:type="dxa"/>
            </w:tcMar>
            <w:vAlign w:val="center"/>
          </w:tcPr>
          <w:p w14:paraId="396C1350">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33B2BAF5">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3.在严禁烟火区域抽烟使用明火</w:t>
            </w:r>
            <w:r>
              <w:rPr>
                <w:rFonts w:hint="eastAsia" w:ascii="宋体" w:hAnsi="宋体" w:eastAsia="宋体" w:cs="宋体"/>
                <w:bCs/>
                <w:sz w:val="24"/>
                <w:szCs w:val="24"/>
                <w:highlight w:val="none"/>
                <w:lang w:eastAsia="zh-CN"/>
              </w:rPr>
              <w:t>。</w:t>
            </w:r>
          </w:p>
        </w:tc>
        <w:tc>
          <w:tcPr>
            <w:tcW w:w="571" w:type="dxa"/>
            <w:noWrap/>
            <w:tcMar>
              <w:top w:w="15" w:type="dxa"/>
              <w:left w:w="15" w:type="dxa"/>
              <w:right w:w="15" w:type="dxa"/>
            </w:tcMar>
            <w:vAlign w:val="center"/>
          </w:tcPr>
          <w:p w14:paraId="7807EE9F">
            <w:pPr>
              <w:spacing w:line="360" w:lineRule="auto"/>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323508D1">
            <w:pPr>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eastAsia="zh-CN"/>
              </w:rPr>
              <w:t>每</w:t>
            </w:r>
            <w:r>
              <w:rPr>
                <w:rFonts w:hint="eastAsia" w:ascii="宋体" w:hAnsi="宋体" w:eastAsia="宋体" w:cs="宋体"/>
                <w:bCs/>
                <w:sz w:val="24"/>
                <w:szCs w:val="24"/>
                <w:highlight w:val="none"/>
              </w:rPr>
              <w:t>发现1次，扣</w:t>
            </w:r>
            <w:r>
              <w:rPr>
                <w:rFonts w:hint="eastAsia" w:ascii="宋体" w:hAnsi="宋体" w:eastAsia="宋体" w:cs="宋体"/>
                <w:bCs/>
                <w:sz w:val="24"/>
                <w:szCs w:val="24"/>
                <w:highlight w:val="none"/>
                <w:lang w:val="en-US" w:eastAsia="zh-CN"/>
              </w:rPr>
              <w:t>0.5</w:t>
            </w:r>
            <w:r>
              <w:rPr>
                <w:rFonts w:hint="eastAsia" w:ascii="宋体" w:hAnsi="宋体" w:eastAsia="宋体" w:cs="宋体"/>
                <w:bCs/>
                <w:sz w:val="24"/>
                <w:szCs w:val="24"/>
                <w:highlight w:val="none"/>
              </w:rPr>
              <w:t>分。</w:t>
            </w:r>
          </w:p>
        </w:tc>
        <w:tc>
          <w:tcPr>
            <w:tcW w:w="946" w:type="dxa"/>
            <w:noWrap/>
            <w:tcMar>
              <w:top w:w="15" w:type="dxa"/>
              <w:left w:w="15" w:type="dxa"/>
              <w:right w:w="15" w:type="dxa"/>
            </w:tcMar>
            <w:vAlign w:val="center"/>
          </w:tcPr>
          <w:p w14:paraId="2C7EADE3">
            <w:pPr>
              <w:spacing w:line="360" w:lineRule="auto"/>
              <w:rPr>
                <w:rFonts w:hint="eastAsia" w:ascii="宋体" w:hAnsi="宋体" w:eastAsia="宋体" w:cs="宋体"/>
                <w:bCs/>
                <w:sz w:val="24"/>
                <w:szCs w:val="24"/>
                <w:highlight w:val="none"/>
              </w:rPr>
            </w:pPr>
          </w:p>
        </w:tc>
      </w:tr>
      <w:tr w14:paraId="0D463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55" w:hRule="atLeast"/>
        </w:trPr>
        <w:tc>
          <w:tcPr>
            <w:tcW w:w="1842" w:type="dxa"/>
            <w:vMerge w:val="continue"/>
            <w:noWrap/>
            <w:tcMar>
              <w:top w:w="15" w:type="dxa"/>
              <w:left w:w="15" w:type="dxa"/>
              <w:right w:w="15" w:type="dxa"/>
            </w:tcMar>
            <w:vAlign w:val="center"/>
          </w:tcPr>
          <w:p w14:paraId="44B4B5FD">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4063BBA7">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4.</w:t>
            </w:r>
            <w:r>
              <w:rPr>
                <w:rFonts w:hint="eastAsia" w:ascii="宋体" w:hAnsi="宋体" w:eastAsia="宋体" w:cs="宋体"/>
                <w:bCs/>
                <w:sz w:val="24"/>
                <w:szCs w:val="24"/>
                <w:highlight w:val="none"/>
              </w:rPr>
              <w:t>加强安全生产教育，防止出现安全责任事故。</w:t>
            </w:r>
          </w:p>
        </w:tc>
        <w:tc>
          <w:tcPr>
            <w:tcW w:w="571" w:type="dxa"/>
            <w:noWrap/>
            <w:tcMar>
              <w:top w:w="15" w:type="dxa"/>
              <w:left w:w="15" w:type="dxa"/>
              <w:right w:w="15" w:type="dxa"/>
            </w:tcMar>
            <w:vAlign w:val="center"/>
          </w:tcPr>
          <w:p w14:paraId="598B00C8">
            <w:pPr>
              <w:spacing w:line="360" w:lineRule="auto"/>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20</w:t>
            </w:r>
          </w:p>
        </w:tc>
        <w:tc>
          <w:tcPr>
            <w:tcW w:w="2839" w:type="dxa"/>
            <w:noWrap/>
            <w:tcMar>
              <w:top w:w="15" w:type="dxa"/>
              <w:left w:w="15" w:type="dxa"/>
              <w:right w:w="15" w:type="dxa"/>
            </w:tcMar>
            <w:vAlign w:val="center"/>
          </w:tcPr>
          <w:p w14:paraId="1C58FA73">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发现一次</w:t>
            </w:r>
            <w:r>
              <w:rPr>
                <w:rFonts w:hint="eastAsia" w:ascii="宋体" w:hAnsi="宋体" w:eastAsia="宋体" w:cs="宋体"/>
                <w:bCs/>
                <w:sz w:val="24"/>
                <w:szCs w:val="24"/>
                <w:highlight w:val="none"/>
                <w:lang w:val="en-US" w:eastAsia="zh-CN"/>
              </w:rPr>
              <w:t>全部扣除</w:t>
            </w:r>
            <w:r>
              <w:rPr>
                <w:rFonts w:hint="eastAsia" w:ascii="宋体" w:hAnsi="宋体" w:eastAsia="宋体" w:cs="宋体"/>
                <w:bCs/>
                <w:sz w:val="24"/>
                <w:szCs w:val="24"/>
                <w:highlight w:val="none"/>
                <w:lang w:eastAsia="zh-CN"/>
              </w:rPr>
              <w:t>。</w:t>
            </w:r>
          </w:p>
        </w:tc>
        <w:tc>
          <w:tcPr>
            <w:tcW w:w="946" w:type="dxa"/>
            <w:noWrap/>
            <w:tcMar>
              <w:top w:w="15" w:type="dxa"/>
              <w:left w:w="15" w:type="dxa"/>
              <w:right w:w="15" w:type="dxa"/>
            </w:tcMar>
            <w:vAlign w:val="center"/>
          </w:tcPr>
          <w:p w14:paraId="1C571481">
            <w:pPr>
              <w:spacing w:line="360" w:lineRule="auto"/>
              <w:rPr>
                <w:rFonts w:hint="eastAsia" w:ascii="宋体" w:hAnsi="宋体" w:eastAsia="宋体" w:cs="宋体"/>
                <w:bCs/>
                <w:sz w:val="24"/>
                <w:szCs w:val="24"/>
                <w:highlight w:val="none"/>
              </w:rPr>
            </w:pPr>
          </w:p>
        </w:tc>
      </w:tr>
      <w:tr w14:paraId="7310E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1842" w:type="dxa"/>
            <w:vMerge w:val="restart"/>
            <w:noWrap/>
            <w:tcMar>
              <w:top w:w="15" w:type="dxa"/>
              <w:left w:w="15" w:type="dxa"/>
              <w:right w:w="15" w:type="dxa"/>
            </w:tcMar>
            <w:vAlign w:val="center"/>
          </w:tcPr>
          <w:p w14:paraId="41C323D6">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 规范化作业 </w:t>
            </w:r>
            <w:r>
              <w:rPr>
                <w:rFonts w:hint="eastAsia" w:ascii="宋体" w:hAnsi="宋体" w:eastAsia="宋体" w:cs="宋体"/>
                <w:bCs/>
                <w:sz w:val="24"/>
                <w:szCs w:val="24"/>
                <w:highlight w:val="none"/>
              </w:rPr>
              <w:br w:type="textWrapping"/>
            </w:r>
            <w:r>
              <w:rPr>
                <w:rFonts w:hint="eastAsia" w:ascii="宋体" w:hAnsi="宋体" w:eastAsia="宋体" w:cs="宋体"/>
                <w:bCs/>
                <w:sz w:val="24"/>
                <w:szCs w:val="24"/>
                <w:highlight w:val="none"/>
              </w:rPr>
              <w:t>（1</w:t>
            </w:r>
            <w:r>
              <w:rPr>
                <w:rFonts w:hint="eastAsia" w:ascii="宋体" w:hAnsi="宋体" w:eastAsia="宋体" w:cs="宋体"/>
                <w:bCs/>
                <w:sz w:val="24"/>
                <w:szCs w:val="24"/>
                <w:highlight w:val="none"/>
                <w:lang w:val="en-US" w:eastAsia="zh-CN"/>
              </w:rPr>
              <w:t>0</w:t>
            </w:r>
            <w:r>
              <w:rPr>
                <w:rFonts w:hint="eastAsia" w:ascii="宋体" w:hAnsi="宋体" w:eastAsia="宋体" w:cs="宋体"/>
                <w:bCs/>
                <w:sz w:val="24"/>
                <w:szCs w:val="24"/>
                <w:highlight w:val="none"/>
              </w:rPr>
              <w:t>分）</w:t>
            </w:r>
          </w:p>
        </w:tc>
        <w:tc>
          <w:tcPr>
            <w:tcW w:w="3702" w:type="dxa"/>
            <w:noWrap/>
            <w:tcMar>
              <w:top w:w="15" w:type="dxa"/>
              <w:left w:w="15" w:type="dxa"/>
              <w:right w:w="15" w:type="dxa"/>
            </w:tcMar>
            <w:vAlign w:val="center"/>
          </w:tcPr>
          <w:p w14:paraId="3DBB6648">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1.进场作业区域未设置警戒线或围挡。</w:t>
            </w:r>
          </w:p>
        </w:tc>
        <w:tc>
          <w:tcPr>
            <w:tcW w:w="571" w:type="dxa"/>
            <w:noWrap/>
            <w:tcMar>
              <w:top w:w="15" w:type="dxa"/>
              <w:left w:w="15" w:type="dxa"/>
              <w:right w:w="15" w:type="dxa"/>
            </w:tcMar>
            <w:vAlign w:val="center"/>
          </w:tcPr>
          <w:p w14:paraId="1863F1BE">
            <w:pPr>
              <w:spacing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6F1F8B16">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对照要求落实好，发现一处扣</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分，扣完为止</w:t>
            </w:r>
            <w:r>
              <w:rPr>
                <w:rFonts w:hint="eastAsia" w:ascii="宋体" w:hAnsi="宋体" w:eastAsia="宋体" w:cs="宋体"/>
                <w:bCs/>
                <w:sz w:val="24"/>
                <w:szCs w:val="24"/>
                <w:highlight w:val="none"/>
                <w:lang w:eastAsia="zh-CN"/>
              </w:rPr>
              <w:t>。</w:t>
            </w:r>
          </w:p>
        </w:tc>
        <w:tc>
          <w:tcPr>
            <w:tcW w:w="946" w:type="dxa"/>
            <w:noWrap/>
            <w:tcMar>
              <w:top w:w="15" w:type="dxa"/>
              <w:left w:w="15" w:type="dxa"/>
              <w:right w:w="15" w:type="dxa"/>
            </w:tcMar>
            <w:vAlign w:val="center"/>
          </w:tcPr>
          <w:p w14:paraId="7A0A27D3">
            <w:pPr>
              <w:spacing w:line="360" w:lineRule="auto"/>
              <w:rPr>
                <w:rFonts w:hint="eastAsia" w:ascii="宋体" w:hAnsi="宋体" w:eastAsia="宋体" w:cs="宋体"/>
                <w:bCs/>
                <w:sz w:val="24"/>
                <w:szCs w:val="24"/>
                <w:highlight w:val="none"/>
              </w:rPr>
            </w:pPr>
          </w:p>
        </w:tc>
      </w:tr>
      <w:tr w14:paraId="13DCD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1842" w:type="dxa"/>
            <w:vMerge w:val="continue"/>
            <w:noWrap/>
            <w:tcMar>
              <w:top w:w="15" w:type="dxa"/>
              <w:left w:w="15" w:type="dxa"/>
              <w:right w:w="15" w:type="dxa"/>
            </w:tcMar>
            <w:vAlign w:val="center"/>
          </w:tcPr>
          <w:p w14:paraId="783AB647">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33CDFA4B">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2.机械未实施年检或操作人员没有相应操作证件。</w:t>
            </w:r>
          </w:p>
        </w:tc>
        <w:tc>
          <w:tcPr>
            <w:tcW w:w="571" w:type="dxa"/>
            <w:noWrap/>
            <w:tcMar>
              <w:top w:w="15" w:type="dxa"/>
              <w:left w:w="15" w:type="dxa"/>
              <w:right w:w="15" w:type="dxa"/>
            </w:tcMar>
            <w:vAlign w:val="center"/>
          </w:tcPr>
          <w:p w14:paraId="02EFAB45">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2839" w:type="dxa"/>
            <w:noWrap/>
            <w:tcMar>
              <w:top w:w="15" w:type="dxa"/>
              <w:left w:w="15" w:type="dxa"/>
              <w:right w:w="15" w:type="dxa"/>
            </w:tcMar>
            <w:vAlign w:val="center"/>
          </w:tcPr>
          <w:p w14:paraId="1396694D">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不符合标准的，全部扣除</w:t>
            </w:r>
            <w:r>
              <w:rPr>
                <w:rFonts w:hint="eastAsia" w:ascii="宋体" w:hAnsi="宋体" w:eastAsia="宋体" w:cs="宋体"/>
                <w:bCs/>
                <w:sz w:val="24"/>
                <w:szCs w:val="24"/>
                <w:highlight w:val="none"/>
                <w:lang w:eastAsia="zh-CN"/>
              </w:rPr>
              <w:t>。</w:t>
            </w:r>
          </w:p>
        </w:tc>
        <w:tc>
          <w:tcPr>
            <w:tcW w:w="946" w:type="dxa"/>
            <w:noWrap/>
            <w:tcMar>
              <w:top w:w="15" w:type="dxa"/>
              <w:left w:w="15" w:type="dxa"/>
              <w:right w:w="15" w:type="dxa"/>
            </w:tcMar>
            <w:vAlign w:val="center"/>
          </w:tcPr>
          <w:p w14:paraId="12388DF1">
            <w:pPr>
              <w:spacing w:line="360" w:lineRule="auto"/>
              <w:rPr>
                <w:rFonts w:hint="eastAsia" w:ascii="宋体" w:hAnsi="宋体" w:eastAsia="宋体" w:cs="宋体"/>
                <w:bCs/>
                <w:sz w:val="24"/>
                <w:szCs w:val="24"/>
                <w:highlight w:val="none"/>
              </w:rPr>
            </w:pPr>
          </w:p>
        </w:tc>
      </w:tr>
      <w:tr w14:paraId="5DD78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4" w:hRule="atLeast"/>
        </w:trPr>
        <w:tc>
          <w:tcPr>
            <w:tcW w:w="1842" w:type="dxa"/>
            <w:vMerge w:val="restart"/>
            <w:noWrap/>
            <w:tcMar>
              <w:top w:w="15" w:type="dxa"/>
              <w:left w:w="15" w:type="dxa"/>
              <w:right w:w="15" w:type="dxa"/>
            </w:tcMar>
            <w:vAlign w:val="center"/>
          </w:tcPr>
          <w:p w14:paraId="7B52A3A9">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 服务标准（</w:t>
            </w:r>
            <w:r>
              <w:rPr>
                <w:rFonts w:hint="eastAsia" w:ascii="宋体" w:hAnsi="宋体" w:eastAsia="宋体" w:cs="宋体"/>
                <w:bCs/>
                <w:sz w:val="24"/>
                <w:szCs w:val="24"/>
                <w:highlight w:val="none"/>
                <w:lang w:val="en-US" w:eastAsia="zh-CN"/>
              </w:rPr>
              <w:t>1</w:t>
            </w:r>
            <w:r>
              <w:rPr>
                <w:rFonts w:hint="eastAsia" w:ascii="宋体" w:hAnsi="宋体" w:eastAsia="宋体" w:cs="宋体"/>
                <w:bCs/>
                <w:sz w:val="24"/>
                <w:szCs w:val="24"/>
                <w:highlight w:val="none"/>
              </w:rPr>
              <w:t>0分）</w:t>
            </w:r>
          </w:p>
        </w:tc>
        <w:tc>
          <w:tcPr>
            <w:tcW w:w="3702" w:type="dxa"/>
            <w:noWrap/>
            <w:tcMar>
              <w:top w:w="15" w:type="dxa"/>
              <w:left w:w="15" w:type="dxa"/>
              <w:right w:w="15" w:type="dxa"/>
            </w:tcMar>
            <w:vAlign w:val="center"/>
          </w:tcPr>
          <w:p w14:paraId="39F0C896">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1.</w:t>
            </w:r>
            <w:r>
              <w:rPr>
                <w:rFonts w:hint="eastAsia" w:ascii="宋体" w:hAnsi="宋体" w:cs="宋体"/>
                <w:bCs/>
                <w:sz w:val="24"/>
                <w:szCs w:val="24"/>
                <w:highlight w:val="none"/>
                <w:lang w:eastAsia="zh-CN"/>
              </w:rPr>
              <w:t xml:space="preserve"> 与</w:t>
            </w:r>
            <w:r>
              <w:rPr>
                <w:rFonts w:hint="eastAsia" w:ascii="宋体" w:hAnsi="宋体" w:eastAsia="宋体" w:cs="宋体"/>
                <w:bCs/>
                <w:sz w:val="24"/>
                <w:szCs w:val="24"/>
                <w:highlight w:val="none"/>
              </w:rPr>
              <w:t>执法相对方发生口角和肢体冲突</w:t>
            </w:r>
            <w:r>
              <w:rPr>
                <w:rFonts w:hint="eastAsia" w:ascii="宋体" w:hAnsi="宋体" w:cs="宋体"/>
                <w:bCs/>
                <w:sz w:val="24"/>
                <w:szCs w:val="24"/>
                <w:highlight w:val="none"/>
                <w:lang w:eastAsia="zh-CN"/>
              </w:rPr>
              <w:t>，造成</w:t>
            </w:r>
            <w:r>
              <w:rPr>
                <w:rFonts w:hint="eastAsia" w:ascii="宋体" w:hAnsi="宋体" w:eastAsia="宋体" w:cs="宋体"/>
                <w:bCs/>
                <w:sz w:val="24"/>
                <w:szCs w:val="24"/>
                <w:highlight w:val="none"/>
              </w:rPr>
              <w:t>负面影响</w:t>
            </w:r>
            <w:r>
              <w:rPr>
                <w:rFonts w:hint="eastAsia" w:ascii="宋体" w:hAnsi="宋体" w:cs="宋体"/>
                <w:bCs/>
                <w:sz w:val="24"/>
                <w:szCs w:val="24"/>
                <w:highlight w:val="none"/>
                <w:lang w:eastAsia="zh-CN"/>
              </w:rPr>
              <w:t>且</w:t>
            </w:r>
            <w:r>
              <w:rPr>
                <w:rFonts w:hint="eastAsia" w:ascii="宋体" w:hAnsi="宋体" w:eastAsia="宋体" w:cs="宋体"/>
                <w:bCs/>
                <w:sz w:val="24"/>
                <w:szCs w:val="24"/>
                <w:highlight w:val="none"/>
              </w:rPr>
              <w:t>行为恶劣的</w:t>
            </w:r>
            <w:r>
              <w:rPr>
                <w:rFonts w:hint="eastAsia" w:ascii="宋体" w:hAnsi="宋体" w:eastAsia="宋体" w:cs="宋体"/>
                <w:bCs/>
                <w:sz w:val="24"/>
                <w:szCs w:val="24"/>
                <w:highlight w:val="none"/>
                <w:lang w:eastAsia="zh-CN"/>
              </w:rPr>
              <w:t>。</w:t>
            </w:r>
          </w:p>
        </w:tc>
        <w:tc>
          <w:tcPr>
            <w:tcW w:w="571" w:type="dxa"/>
            <w:noWrap/>
            <w:tcMar>
              <w:top w:w="15" w:type="dxa"/>
              <w:left w:w="15" w:type="dxa"/>
              <w:right w:w="15" w:type="dxa"/>
            </w:tcMar>
            <w:vAlign w:val="center"/>
          </w:tcPr>
          <w:p w14:paraId="2FBC231A">
            <w:pPr>
              <w:spacing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2BCA4B9C">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不配合执法的，发现一次</w:t>
            </w:r>
            <w:r>
              <w:rPr>
                <w:rFonts w:hint="eastAsia" w:ascii="宋体" w:hAnsi="宋体" w:cs="宋体"/>
                <w:bCs/>
                <w:sz w:val="24"/>
                <w:szCs w:val="24"/>
                <w:highlight w:val="none"/>
                <w:lang w:eastAsia="zh-CN"/>
              </w:rPr>
              <w:t>，全部</w:t>
            </w:r>
            <w:r>
              <w:rPr>
                <w:rFonts w:hint="eastAsia" w:ascii="宋体" w:hAnsi="宋体" w:eastAsia="宋体" w:cs="宋体"/>
                <w:bCs/>
                <w:sz w:val="24"/>
                <w:szCs w:val="24"/>
                <w:highlight w:val="none"/>
              </w:rPr>
              <w:t>扣除</w:t>
            </w:r>
            <w:r>
              <w:rPr>
                <w:rFonts w:hint="eastAsia" w:ascii="宋体" w:hAnsi="宋体" w:eastAsia="宋体" w:cs="宋体"/>
                <w:bCs/>
                <w:sz w:val="24"/>
                <w:szCs w:val="24"/>
                <w:highlight w:val="none"/>
                <w:lang w:eastAsia="zh-CN"/>
              </w:rPr>
              <w:t>。</w:t>
            </w:r>
          </w:p>
        </w:tc>
        <w:tc>
          <w:tcPr>
            <w:tcW w:w="946" w:type="dxa"/>
            <w:noWrap/>
            <w:tcMar>
              <w:top w:w="15" w:type="dxa"/>
              <w:left w:w="15" w:type="dxa"/>
              <w:right w:w="15" w:type="dxa"/>
            </w:tcMar>
            <w:vAlign w:val="center"/>
          </w:tcPr>
          <w:p w14:paraId="178053E1">
            <w:pPr>
              <w:spacing w:line="360" w:lineRule="auto"/>
              <w:rPr>
                <w:rFonts w:hint="eastAsia" w:ascii="宋体" w:hAnsi="宋体" w:eastAsia="宋体" w:cs="宋体"/>
                <w:bCs/>
                <w:sz w:val="24"/>
                <w:szCs w:val="24"/>
                <w:highlight w:val="none"/>
              </w:rPr>
            </w:pPr>
          </w:p>
        </w:tc>
      </w:tr>
      <w:tr w14:paraId="7CD55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1842" w:type="dxa"/>
            <w:vMerge w:val="continue"/>
            <w:noWrap/>
            <w:tcMar>
              <w:top w:w="15" w:type="dxa"/>
              <w:left w:w="15" w:type="dxa"/>
              <w:right w:w="15" w:type="dxa"/>
            </w:tcMar>
            <w:vAlign w:val="center"/>
          </w:tcPr>
          <w:p w14:paraId="6A785C63">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421D97CA">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2.未按时间节点准时入场</w:t>
            </w:r>
            <w:r>
              <w:rPr>
                <w:rFonts w:hint="eastAsia" w:ascii="宋体" w:hAnsi="宋体" w:cs="宋体"/>
                <w:bCs/>
                <w:sz w:val="24"/>
                <w:szCs w:val="24"/>
                <w:highlight w:val="none"/>
                <w:lang w:eastAsia="zh-CN"/>
              </w:rPr>
              <w:t>，延误</w:t>
            </w:r>
            <w:r>
              <w:rPr>
                <w:rFonts w:hint="eastAsia" w:ascii="宋体" w:hAnsi="宋体" w:eastAsia="宋体" w:cs="宋体"/>
                <w:bCs/>
                <w:sz w:val="24"/>
                <w:szCs w:val="24"/>
                <w:highlight w:val="none"/>
              </w:rPr>
              <w:t>工作时间</w:t>
            </w:r>
            <w:r>
              <w:rPr>
                <w:rFonts w:hint="eastAsia" w:ascii="宋体" w:hAnsi="宋体" w:eastAsia="宋体" w:cs="宋体"/>
                <w:bCs/>
                <w:sz w:val="24"/>
                <w:szCs w:val="24"/>
                <w:highlight w:val="none"/>
                <w:lang w:eastAsia="zh-CN"/>
              </w:rPr>
              <w:t>超过</w:t>
            </w:r>
            <w:r>
              <w:rPr>
                <w:rFonts w:hint="eastAsia" w:ascii="宋体" w:hAnsi="宋体" w:eastAsia="宋体" w:cs="宋体"/>
                <w:bCs/>
                <w:sz w:val="24"/>
                <w:szCs w:val="24"/>
                <w:highlight w:val="none"/>
              </w:rPr>
              <w:t>十分钟以上的。</w:t>
            </w:r>
          </w:p>
        </w:tc>
        <w:tc>
          <w:tcPr>
            <w:tcW w:w="571" w:type="dxa"/>
            <w:noWrap/>
            <w:tcMar>
              <w:top w:w="15" w:type="dxa"/>
              <w:left w:w="15" w:type="dxa"/>
              <w:right w:w="15" w:type="dxa"/>
            </w:tcMar>
            <w:vAlign w:val="center"/>
          </w:tcPr>
          <w:p w14:paraId="4BA21F6A">
            <w:pPr>
              <w:spacing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3398E32E">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发现一次扣1分。</w:t>
            </w:r>
          </w:p>
        </w:tc>
        <w:tc>
          <w:tcPr>
            <w:tcW w:w="946" w:type="dxa"/>
            <w:noWrap/>
            <w:tcMar>
              <w:top w:w="15" w:type="dxa"/>
              <w:left w:w="15" w:type="dxa"/>
              <w:right w:w="15" w:type="dxa"/>
            </w:tcMar>
            <w:vAlign w:val="center"/>
          </w:tcPr>
          <w:p w14:paraId="6CB8548C">
            <w:pPr>
              <w:spacing w:line="360" w:lineRule="auto"/>
              <w:rPr>
                <w:rFonts w:hint="eastAsia" w:ascii="宋体" w:hAnsi="宋体" w:eastAsia="宋体" w:cs="宋体"/>
                <w:bCs/>
                <w:sz w:val="24"/>
                <w:szCs w:val="24"/>
                <w:highlight w:val="none"/>
              </w:rPr>
            </w:pPr>
          </w:p>
        </w:tc>
      </w:tr>
      <w:tr w14:paraId="01A01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trPr>
        <w:tc>
          <w:tcPr>
            <w:tcW w:w="1842" w:type="dxa"/>
            <w:vMerge w:val="restart"/>
            <w:noWrap/>
            <w:tcMar>
              <w:top w:w="15" w:type="dxa"/>
              <w:left w:w="15" w:type="dxa"/>
              <w:right w:w="15" w:type="dxa"/>
            </w:tcMar>
            <w:vAlign w:val="center"/>
          </w:tcPr>
          <w:p w14:paraId="123187A7">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 工作标准</w:t>
            </w:r>
            <w:r>
              <w:rPr>
                <w:rFonts w:hint="eastAsia" w:ascii="宋体" w:hAnsi="宋体" w:eastAsia="宋体" w:cs="宋体"/>
                <w:bCs/>
                <w:sz w:val="24"/>
                <w:szCs w:val="24"/>
                <w:highlight w:val="none"/>
              </w:rPr>
              <w:br w:type="textWrapping"/>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45</w:t>
            </w:r>
            <w:r>
              <w:rPr>
                <w:rFonts w:hint="eastAsia" w:ascii="宋体" w:hAnsi="宋体" w:eastAsia="宋体" w:cs="宋体"/>
                <w:bCs/>
                <w:sz w:val="24"/>
                <w:szCs w:val="24"/>
                <w:highlight w:val="none"/>
              </w:rPr>
              <w:t>分）</w:t>
            </w:r>
          </w:p>
        </w:tc>
        <w:tc>
          <w:tcPr>
            <w:tcW w:w="3702" w:type="dxa"/>
            <w:noWrap/>
            <w:tcMar>
              <w:top w:w="15" w:type="dxa"/>
              <w:left w:w="15" w:type="dxa"/>
              <w:right w:w="15" w:type="dxa"/>
            </w:tcMar>
            <w:vAlign w:val="center"/>
          </w:tcPr>
          <w:p w14:paraId="46872E0E">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1.做好工作台账（人员、车辆机械、工作量核算及图片）。</w:t>
            </w:r>
          </w:p>
        </w:tc>
        <w:tc>
          <w:tcPr>
            <w:tcW w:w="571" w:type="dxa"/>
            <w:noWrap/>
            <w:tcMar>
              <w:top w:w="15" w:type="dxa"/>
              <w:left w:w="15" w:type="dxa"/>
              <w:right w:w="15" w:type="dxa"/>
            </w:tcMar>
            <w:vAlign w:val="center"/>
          </w:tcPr>
          <w:p w14:paraId="678021B8">
            <w:pPr>
              <w:spacing w:line="360" w:lineRule="auto"/>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61767F27">
            <w:pPr>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lang w:eastAsia="zh-CN"/>
              </w:rPr>
              <w:t>缺少</w:t>
            </w:r>
            <w:r>
              <w:rPr>
                <w:rFonts w:hint="eastAsia" w:ascii="宋体" w:hAnsi="宋体" w:eastAsia="宋体" w:cs="宋体"/>
                <w:bCs/>
                <w:sz w:val="24"/>
                <w:szCs w:val="24"/>
                <w:highlight w:val="none"/>
              </w:rPr>
              <w:t>其中一项</w:t>
            </w:r>
            <w:r>
              <w:rPr>
                <w:rFonts w:hint="eastAsia" w:ascii="宋体" w:hAnsi="宋体" w:eastAsia="宋体" w:cs="宋体"/>
                <w:bCs/>
                <w:sz w:val="24"/>
                <w:szCs w:val="24"/>
                <w:highlight w:val="none"/>
                <w:lang w:eastAsia="zh-CN"/>
              </w:rPr>
              <w:t>台账资料</w:t>
            </w:r>
            <w:r>
              <w:rPr>
                <w:rFonts w:hint="eastAsia" w:ascii="宋体" w:hAnsi="宋体" w:eastAsia="宋体" w:cs="宋体"/>
                <w:bCs/>
                <w:sz w:val="24"/>
                <w:szCs w:val="24"/>
                <w:highlight w:val="none"/>
              </w:rPr>
              <w:t>扣</w:t>
            </w:r>
            <w:r>
              <w:rPr>
                <w:rFonts w:hint="eastAsia" w:ascii="宋体" w:hAnsi="宋体" w:eastAsia="宋体" w:cs="宋体"/>
                <w:bCs/>
                <w:sz w:val="24"/>
                <w:szCs w:val="24"/>
                <w:highlight w:val="none"/>
                <w:lang w:val="en-US" w:eastAsia="zh-CN"/>
              </w:rPr>
              <w:t>0.5</w:t>
            </w:r>
            <w:r>
              <w:rPr>
                <w:rFonts w:hint="eastAsia" w:ascii="宋体" w:hAnsi="宋体" w:eastAsia="宋体" w:cs="宋体"/>
                <w:bCs/>
                <w:sz w:val="24"/>
                <w:szCs w:val="24"/>
                <w:highlight w:val="none"/>
              </w:rPr>
              <w:t>分</w:t>
            </w:r>
            <w:r>
              <w:rPr>
                <w:rFonts w:hint="eastAsia" w:ascii="宋体" w:hAnsi="宋体" w:eastAsia="宋体" w:cs="宋体"/>
                <w:bCs/>
                <w:sz w:val="24"/>
                <w:szCs w:val="24"/>
                <w:highlight w:val="none"/>
                <w:lang w:eastAsia="zh-CN"/>
              </w:rPr>
              <w:t>。</w:t>
            </w:r>
          </w:p>
        </w:tc>
        <w:tc>
          <w:tcPr>
            <w:tcW w:w="946" w:type="dxa"/>
            <w:noWrap/>
            <w:tcMar>
              <w:top w:w="15" w:type="dxa"/>
              <w:left w:w="15" w:type="dxa"/>
              <w:right w:w="15" w:type="dxa"/>
            </w:tcMar>
            <w:vAlign w:val="center"/>
          </w:tcPr>
          <w:p w14:paraId="186F4E2C">
            <w:pPr>
              <w:spacing w:line="360" w:lineRule="auto"/>
              <w:rPr>
                <w:rFonts w:hint="eastAsia" w:ascii="宋体" w:hAnsi="宋体" w:eastAsia="宋体" w:cs="宋体"/>
                <w:bCs/>
                <w:sz w:val="24"/>
                <w:szCs w:val="24"/>
                <w:highlight w:val="none"/>
              </w:rPr>
            </w:pPr>
          </w:p>
        </w:tc>
      </w:tr>
      <w:tr w14:paraId="6FB5D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41" w:hRule="atLeast"/>
        </w:trPr>
        <w:tc>
          <w:tcPr>
            <w:tcW w:w="1842" w:type="dxa"/>
            <w:vMerge w:val="continue"/>
            <w:noWrap/>
            <w:tcMar>
              <w:top w:w="15" w:type="dxa"/>
              <w:left w:w="15" w:type="dxa"/>
              <w:right w:w="15" w:type="dxa"/>
            </w:tcMar>
            <w:vAlign w:val="center"/>
          </w:tcPr>
          <w:p w14:paraId="561116A2">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01777944">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2.因任务不清拆错界限</w:t>
            </w:r>
            <w:r>
              <w:rPr>
                <w:rFonts w:hint="eastAsia" w:ascii="宋体" w:hAnsi="宋体" w:cs="宋体"/>
                <w:bCs/>
                <w:sz w:val="24"/>
                <w:szCs w:val="24"/>
                <w:highlight w:val="none"/>
                <w:lang w:eastAsia="zh-CN"/>
              </w:rPr>
              <w:t>，造成</w:t>
            </w:r>
            <w:r>
              <w:rPr>
                <w:rFonts w:hint="eastAsia" w:ascii="宋体" w:hAnsi="宋体" w:eastAsia="宋体" w:cs="宋体"/>
                <w:bCs/>
                <w:sz w:val="24"/>
                <w:szCs w:val="24"/>
                <w:highlight w:val="none"/>
              </w:rPr>
              <w:t>投诉的</w:t>
            </w:r>
            <w:r>
              <w:rPr>
                <w:rFonts w:hint="eastAsia" w:ascii="宋体" w:hAnsi="宋体" w:eastAsia="宋体" w:cs="宋体"/>
                <w:bCs/>
                <w:sz w:val="24"/>
                <w:szCs w:val="24"/>
                <w:highlight w:val="none"/>
                <w:lang w:eastAsia="zh-CN"/>
              </w:rPr>
              <w:t>。</w:t>
            </w:r>
          </w:p>
        </w:tc>
        <w:tc>
          <w:tcPr>
            <w:tcW w:w="571" w:type="dxa"/>
            <w:noWrap/>
            <w:tcMar>
              <w:top w:w="15" w:type="dxa"/>
              <w:left w:w="15" w:type="dxa"/>
              <w:right w:w="15" w:type="dxa"/>
            </w:tcMar>
            <w:vAlign w:val="center"/>
          </w:tcPr>
          <w:p w14:paraId="60F03606">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5</w:t>
            </w:r>
          </w:p>
        </w:tc>
        <w:tc>
          <w:tcPr>
            <w:tcW w:w="2839" w:type="dxa"/>
            <w:noWrap/>
            <w:tcMar>
              <w:top w:w="15" w:type="dxa"/>
              <w:left w:w="15" w:type="dxa"/>
              <w:right w:w="15" w:type="dxa"/>
            </w:tcMar>
            <w:vAlign w:val="center"/>
          </w:tcPr>
          <w:p w14:paraId="6B7B69E5">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存在上访、投诉等问题的</w:t>
            </w:r>
            <w:r>
              <w:rPr>
                <w:rFonts w:hint="eastAsia" w:ascii="宋体" w:hAnsi="宋体" w:cs="宋体"/>
                <w:bCs/>
                <w:sz w:val="24"/>
                <w:szCs w:val="24"/>
                <w:highlight w:val="none"/>
                <w:lang w:eastAsia="zh-CN"/>
              </w:rPr>
              <w:t>，扣</w:t>
            </w:r>
            <w:r>
              <w:rPr>
                <w:rFonts w:hint="eastAsia" w:ascii="宋体" w:hAnsi="宋体" w:eastAsia="宋体" w:cs="宋体"/>
                <w:bCs/>
                <w:sz w:val="24"/>
                <w:szCs w:val="24"/>
                <w:highlight w:val="none"/>
              </w:rPr>
              <w:t>5分。</w:t>
            </w:r>
          </w:p>
        </w:tc>
        <w:tc>
          <w:tcPr>
            <w:tcW w:w="946" w:type="dxa"/>
            <w:noWrap/>
            <w:tcMar>
              <w:top w:w="15" w:type="dxa"/>
              <w:left w:w="15" w:type="dxa"/>
              <w:right w:w="15" w:type="dxa"/>
            </w:tcMar>
            <w:vAlign w:val="center"/>
          </w:tcPr>
          <w:p w14:paraId="71C891D3">
            <w:pPr>
              <w:spacing w:line="360" w:lineRule="auto"/>
              <w:rPr>
                <w:rFonts w:hint="eastAsia" w:ascii="宋体" w:hAnsi="宋体" w:eastAsia="宋体" w:cs="宋体"/>
                <w:bCs/>
                <w:sz w:val="24"/>
                <w:szCs w:val="24"/>
                <w:highlight w:val="none"/>
              </w:rPr>
            </w:pPr>
          </w:p>
        </w:tc>
      </w:tr>
      <w:tr w14:paraId="1624F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13" w:hRule="atLeast"/>
        </w:trPr>
        <w:tc>
          <w:tcPr>
            <w:tcW w:w="1842" w:type="dxa"/>
            <w:vMerge w:val="continue"/>
            <w:noWrap/>
            <w:tcMar>
              <w:top w:w="15" w:type="dxa"/>
              <w:left w:w="15" w:type="dxa"/>
              <w:right w:w="15" w:type="dxa"/>
            </w:tcMar>
            <w:vAlign w:val="center"/>
          </w:tcPr>
          <w:p w14:paraId="75F20416">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5B63A3A3">
            <w:pPr>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3.工作完成后</w:t>
            </w:r>
            <w:r>
              <w:rPr>
                <w:rFonts w:hint="eastAsia" w:ascii="宋体" w:hAnsi="宋体" w:cs="宋体"/>
                <w:bCs/>
                <w:sz w:val="24"/>
                <w:szCs w:val="24"/>
                <w:highlight w:val="none"/>
                <w:lang w:eastAsia="zh-CN"/>
              </w:rPr>
              <w:t>，垃圾清运</w:t>
            </w:r>
            <w:r>
              <w:rPr>
                <w:rFonts w:hint="eastAsia" w:ascii="宋体" w:hAnsi="宋体" w:eastAsia="宋体" w:cs="宋体"/>
                <w:bCs/>
                <w:sz w:val="24"/>
                <w:szCs w:val="24"/>
                <w:highlight w:val="none"/>
              </w:rPr>
              <w:t>不彻底</w:t>
            </w:r>
            <w:r>
              <w:rPr>
                <w:rFonts w:hint="eastAsia" w:ascii="宋体" w:hAnsi="宋体" w:cs="宋体"/>
                <w:bCs/>
                <w:sz w:val="24"/>
                <w:szCs w:val="24"/>
                <w:highlight w:val="none"/>
                <w:lang w:eastAsia="zh-CN"/>
              </w:rPr>
              <w:t>、</w:t>
            </w:r>
            <w:r>
              <w:rPr>
                <w:rFonts w:hint="eastAsia" w:ascii="宋体" w:hAnsi="宋体" w:eastAsia="宋体" w:cs="宋体"/>
                <w:bCs/>
                <w:sz w:val="24"/>
                <w:szCs w:val="24"/>
                <w:highlight w:val="none"/>
              </w:rPr>
              <w:t>留有死角或平整度达不到要求的</w:t>
            </w:r>
            <w:r>
              <w:rPr>
                <w:rFonts w:hint="eastAsia" w:ascii="宋体" w:hAnsi="宋体" w:eastAsia="宋体" w:cs="宋体"/>
                <w:bCs/>
                <w:sz w:val="24"/>
                <w:szCs w:val="24"/>
                <w:highlight w:val="none"/>
                <w:lang w:eastAsia="zh-CN"/>
              </w:rPr>
              <w:t>。</w:t>
            </w:r>
          </w:p>
        </w:tc>
        <w:tc>
          <w:tcPr>
            <w:tcW w:w="571" w:type="dxa"/>
            <w:noWrap/>
            <w:tcMar>
              <w:top w:w="15" w:type="dxa"/>
              <w:left w:w="15" w:type="dxa"/>
              <w:right w:w="15" w:type="dxa"/>
            </w:tcMar>
            <w:vAlign w:val="center"/>
          </w:tcPr>
          <w:p w14:paraId="2D6FDB9C">
            <w:pPr>
              <w:spacing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5</w:t>
            </w:r>
          </w:p>
        </w:tc>
        <w:tc>
          <w:tcPr>
            <w:tcW w:w="2839" w:type="dxa"/>
            <w:noWrap/>
            <w:tcMar>
              <w:top w:w="15" w:type="dxa"/>
              <w:left w:w="15" w:type="dxa"/>
              <w:right w:w="15" w:type="dxa"/>
            </w:tcMar>
            <w:vAlign w:val="center"/>
          </w:tcPr>
          <w:p w14:paraId="3593FD62">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发现一次</w:t>
            </w:r>
            <w:r>
              <w:rPr>
                <w:rFonts w:hint="eastAsia" w:ascii="宋体" w:hAnsi="宋体" w:cs="宋体"/>
                <w:bCs/>
                <w:sz w:val="24"/>
                <w:szCs w:val="24"/>
                <w:highlight w:val="none"/>
                <w:lang w:eastAsia="zh-CN"/>
              </w:rPr>
              <w:t>，扣</w:t>
            </w:r>
            <w:r>
              <w:rPr>
                <w:rFonts w:hint="eastAsia" w:ascii="宋体" w:hAnsi="宋体" w:eastAsia="宋体" w:cs="宋体"/>
                <w:bCs/>
                <w:sz w:val="24"/>
                <w:szCs w:val="24"/>
                <w:highlight w:val="none"/>
                <w:lang w:val="en-US" w:eastAsia="zh-CN"/>
              </w:rPr>
              <w:t>0.5</w:t>
            </w:r>
            <w:r>
              <w:rPr>
                <w:rFonts w:hint="eastAsia" w:ascii="宋体" w:hAnsi="宋体" w:eastAsia="宋体" w:cs="宋体"/>
                <w:bCs/>
                <w:sz w:val="24"/>
                <w:szCs w:val="24"/>
                <w:highlight w:val="none"/>
              </w:rPr>
              <w:t>分。</w:t>
            </w:r>
          </w:p>
        </w:tc>
        <w:tc>
          <w:tcPr>
            <w:tcW w:w="946" w:type="dxa"/>
            <w:noWrap/>
            <w:tcMar>
              <w:top w:w="15" w:type="dxa"/>
              <w:left w:w="15" w:type="dxa"/>
              <w:right w:w="15" w:type="dxa"/>
            </w:tcMar>
            <w:vAlign w:val="center"/>
          </w:tcPr>
          <w:p w14:paraId="1175DF79">
            <w:pPr>
              <w:spacing w:line="360" w:lineRule="auto"/>
              <w:rPr>
                <w:rFonts w:hint="eastAsia" w:ascii="宋体" w:hAnsi="宋体" w:eastAsia="宋体" w:cs="宋体"/>
                <w:bCs/>
                <w:sz w:val="24"/>
                <w:szCs w:val="24"/>
                <w:highlight w:val="none"/>
              </w:rPr>
            </w:pPr>
          </w:p>
        </w:tc>
      </w:tr>
      <w:tr w14:paraId="5AEE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4" w:hRule="atLeast"/>
        </w:trPr>
        <w:tc>
          <w:tcPr>
            <w:tcW w:w="1842" w:type="dxa"/>
            <w:vMerge w:val="continue"/>
            <w:noWrap/>
            <w:tcMar>
              <w:top w:w="15" w:type="dxa"/>
              <w:left w:w="15" w:type="dxa"/>
              <w:right w:w="15" w:type="dxa"/>
            </w:tcMar>
            <w:vAlign w:val="center"/>
          </w:tcPr>
          <w:p w14:paraId="1365452B">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22F2AFBB">
            <w:pP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4.存在虚假工程量：</w:t>
            </w:r>
          </w:p>
          <w:p w14:paraId="71E99D1D">
            <w:pP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①虚报未施工或未完成工程量；</w:t>
            </w:r>
          </w:p>
          <w:p w14:paraId="3EC61333">
            <w:pP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②重复申报同一工程量；</w:t>
            </w:r>
          </w:p>
          <w:p w14:paraId="64A61A0C">
            <w:pP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③篡改测量数据、施工记录或影像资料；</w:t>
            </w:r>
          </w:p>
          <w:p w14:paraId="7EA28A9B">
            <w:pPr>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④其他虚构、夸大数据骗取工程款的行为。</w:t>
            </w:r>
          </w:p>
        </w:tc>
        <w:tc>
          <w:tcPr>
            <w:tcW w:w="571" w:type="dxa"/>
            <w:noWrap/>
            <w:tcMar>
              <w:top w:w="15" w:type="dxa"/>
              <w:left w:w="15" w:type="dxa"/>
              <w:right w:w="15" w:type="dxa"/>
            </w:tcMar>
            <w:vAlign w:val="center"/>
          </w:tcPr>
          <w:p w14:paraId="63AC64C7">
            <w:pPr>
              <w:spacing w:line="360" w:lineRule="auto"/>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30</w:t>
            </w:r>
          </w:p>
        </w:tc>
        <w:tc>
          <w:tcPr>
            <w:tcW w:w="2839" w:type="dxa"/>
            <w:noWrap/>
            <w:tcMar>
              <w:top w:w="15" w:type="dxa"/>
              <w:left w:w="15" w:type="dxa"/>
              <w:right w:w="15" w:type="dxa"/>
            </w:tcMar>
            <w:vAlign w:val="center"/>
          </w:tcPr>
          <w:p w14:paraId="7ECD6B4A">
            <w:pP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发现一次</w:t>
            </w:r>
            <w:r>
              <w:rPr>
                <w:rFonts w:hint="eastAsia" w:ascii="宋体" w:hAnsi="宋体" w:cs="宋体"/>
                <w:bCs/>
                <w:sz w:val="24"/>
                <w:szCs w:val="24"/>
                <w:highlight w:val="none"/>
                <w:lang w:eastAsia="zh-CN"/>
              </w:rPr>
              <w:t>，全部</w:t>
            </w:r>
            <w:r>
              <w:rPr>
                <w:rFonts w:hint="eastAsia" w:ascii="宋体" w:hAnsi="宋体" w:eastAsia="宋体" w:cs="宋体"/>
                <w:bCs/>
                <w:sz w:val="24"/>
                <w:szCs w:val="24"/>
                <w:highlight w:val="none"/>
                <w:lang w:val="en-US" w:eastAsia="zh-CN"/>
              </w:rPr>
              <w:t>扣除。</w:t>
            </w:r>
          </w:p>
        </w:tc>
        <w:tc>
          <w:tcPr>
            <w:tcW w:w="946" w:type="dxa"/>
            <w:noWrap/>
            <w:tcMar>
              <w:top w:w="15" w:type="dxa"/>
              <w:left w:w="15" w:type="dxa"/>
              <w:right w:w="15" w:type="dxa"/>
            </w:tcMar>
            <w:vAlign w:val="center"/>
          </w:tcPr>
          <w:p w14:paraId="3E7E9C07">
            <w:pPr>
              <w:spacing w:line="360" w:lineRule="auto"/>
              <w:rPr>
                <w:rFonts w:hint="eastAsia" w:ascii="宋体" w:hAnsi="宋体" w:eastAsia="宋体" w:cs="宋体"/>
                <w:bCs/>
                <w:sz w:val="24"/>
                <w:szCs w:val="24"/>
                <w:highlight w:val="none"/>
              </w:rPr>
            </w:pPr>
          </w:p>
        </w:tc>
      </w:tr>
      <w:tr w14:paraId="77BC9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9" w:hRule="atLeast"/>
        </w:trPr>
        <w:tc>
          <w:tcPr>
            <w:tcW w:w="1842" w:type="dxa"/>
            <w:vMerge w:val="restart"/>
            <w:noWrap/>
            <w:tcMar>
              <w:top w:w="15" w:type="dxa"/>
              <w:left w:w="15" w:type="dxa"/>
              <w:right w:w="15" w:type="dxa"/>
            </w:tcMar>
            <w:vAlign w:val="center"/>
          </w:tcPr>
          <w:p w14:paraId="66371C38">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 合同解除</w:t>
            </w:r>
          </w:p>
        </w:tc>
        <w:tc>
          <w:tcPr>
            <w:tcW w:w="3702" w:type="dxa"/>
            <w:noWrap/>
            <w:tcMar>
              <w:top w:w="15" w:type="dxa"/>
              <w:left w:w="15" w:type="dxa"/>
              <w:right w:w="15" w:type="dxa"/>
            </w:tcMar>
            <w:vAlign w:val="center"/>
          </w:tcPr>
          <w:p w14:paraId="09ACA28A">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1.因操作不当造成伤人或重大事故的。</w:t>
            </w:r>
          </w:p>
        </w:tc>
        <w:tc>
          <w:tcPr>
            <w:tcW w:w="571" w:type="dxa"/>
            <w:noWrap/>
            <w:tcMar>
              <w:top w:w="15" w:type="dxa"/>
              <w:left w:w="15" w:type="dxa"/>
              <w:right w:w="15" w:type="dxa"/>
            </w:tcMar>
            <w:vAlign w:val="center"/>
          </w:tcPr>
          <w:p w14:paraId="59E400D5">
            <w:pPr>
              <w:spacing w:line="360" w:lineRule="auto"/>
              <w:jc w:val="center"/>
              <w:rPr>
                <w:rFonts w:hint="eastAsia" w:ascii="宋体" w:hAnsi="宋体" w:eastAsia="宋体" w:cs="宋体"/>
                <w:bCs/>
                <w:sz w:val="24"/>
                <w:szCs w:val="24"/>
                <w:highlight w:val="none"/>
              </w:rPr>
            </w:pPr>
          </w:p>
        </w:tc>
        <w:tc>
          <w:tcPr>
            <w:tcW w:w="2839" w:type="dxa"/>
            <w:noWrap/>
            <w:tcMar>
              <w:top w:w="15" w:type="dxa"/>
              <w:left w:w="15" w:type="dxa"/>
              <w:right w:w="15" w:type="dxa"/>
            </w:tcMar>
            <w:vAlign w:val="center"/>
          </w:tcPr>
          <w:p w14:paraId="5E7566DA">
            <w:pPr>
              <w:spacing w:line="360" w:lineRule="auto"/>
              <w:rPr>
                <w:rFonts w:hint="eastAsia" w:ascii="宋体" w:hAnsi="宋体" w:eastAsia="宋体" w:cs="宋体"/>
                <w:bCs/>
                <w:sz w:val="24"/>
                <w:szCs w:val="24"/>
                <w:highlight w:val="none"/>
              </w:rPr>
            </w:pPr>
          </w:p>
        </w:tc>
        <w:tc>
          <w:tcPr>
            <w:tcW w:w="946" w:type="dxa"/>
            <w:noWrap/>
            <w:tcMar>
              <w:top w:w="15" w:type="dxa"/>
              <w:left w:w="15" w:type="dxa"/>
              <w:right w:w="15" w:type="dxa"/>
            </w:tcMar>
            <w:vAlign w:val="center"/>
          </w:tcPr>
          <w:p w14:paraId="5D26214C">
            <w:pPr>
              <w:spacing w:line="360" w:lineRule="auto"/>
              <w:rPr>
                <w:rFonts w:hint="eastAsia" w:ascii="宋体" w:hAnsi="宋体" w:eastAsia="宋体" w:cs="宋体"/>
                <w:bCs/>
                <w:sz w:val="24"/>
                <w:szCs w:val="24"/>
                <w:highlight w:val="none"/>
              </w:rPr>
            </w:pPr>
          </w:p>
        </w:tc>
      </w:tr>
      <w:tr w14:paraId="2191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9" w:hRule="atLeast"/>
        </w:trPr>
        <w:tc>
          <w:tcPr>
            <w:tcW w:w="1842" w:type="dxa"/>
            <w:vMerge w:val="continue"/>
            <w:noWrap/>
            <w:tcMar>
              <w:top w:w="15" w:type="dxa"/>
              <w:left w:w="15" w:type="dxa"/>
              <w:right w:w="15" w:type="dxa"/>
            </w:tcMar>
            <w:vAlign w:val="center"/>
          </w:tcPr>
          <w:p w14:paraId="469BFA9F">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21204CEA">
            <w:pPr>
              <w:spacing w:line="360" w:lineRule="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2.</w:t>
            </w:r>
            <w:r>
              <w:rPr>
                <w:rFonts w:hint="eastAsia" w:ascii="宋体" w:hAnsi="宋体" w:eastAsia="宋体" w:cs="宋体"/>
                <w:bCs/>
                <w:sz w:val="24"/>
                <w:szCs w:val="24"/>
                <w:highlight w:val="none"/>
              </w:rPr>
              <w:t>连续</w:t>
            </w: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个月得分低于</w:t>
            </w:r>
            <w:r>
              <w:rPr>
                <w:rFonts w:hint="eastAsia" w:ascii="宋体" w:hAnsi="宋体" w:eastAsia="宋体" w:cs="宋体"/>
                <w:bCs/>
                <w:sz w:val="24"/>
                <w:szCs w:val="24"/>
                <w:highlight w:val="none"/>
                <w:lang w:val="en-US" w:eastAsia="zh-CN"/>
              </w:rPr>
              <w:t>60</w:t>
            </w:r>
            <w:r>
              <w:rPr>
                <w:rFonts w:hint="eastAsia" w:ascii="宋体" w:hAnsi="宋体" w:eastAsia="宋体" w:cs="宋体"/>
                <w:bCs/>
                <w:sz w:val="24"/>
                <w:szCs w:val="24"/>
                <w:highlight w:val="none"/>
              </w:rPr>
              <w:t>分的</w:t>
            </w:r>
            <w:r>
              <w:rPr>
                <w:rFonts w:hint="eastAsia" w:ascii="宋体" w:hAnsi="宋体" w:eastAsia="宋体" w:cs="宋体"/>
                <w:bCs/>
                <w:sz w:val="24"/>
                <w:szCs w:val="24"/>
                <w:highlight w:val="none"/>
                <w:lang w:eastAsia="zh-CN"/>
              </w:rPr>
              <w:t>。</w:t>
            </w:r>
          </w:p>
        </w:tc>
        <w:tc>
          <w:tcPr>
            <w:tcW w:w="571" w:type="dxa"/>
            <w:noWrap/>
            <w:tcMar>
              <w:top w:w="15" w:type="dxa"/>
              <w:left w:w="15" w:type="dxa"/>
              <w:right w:w="15" w:type="dxa"/>
            </w:tcMar>
            <w:vAlign w:val="center"/>
          </w:tcPr>
          <w:p w14:paraId="13C02C33">
            <w:pPr>
              <w:spacing w:line="360" w:lineRule="auto"/>
              <w:jc w:val="center"/>
              <w:rPr>
                <w:rFonts w:hint="eastAsia" w:ascii="宋体" w:hAnsi="宋体" w:eastAsia="宋体" w:cs="宋体"/>
                <w:bCs/>
                <w:sz w:val="24"/>
                <w:szCs w:val="24"/>
                <w:highlight w:val="none"/>
              </w:rPr>
            </w:pPr>
          </w:p>
        </w:tc>
        <w:tc>
          <w:tcPr>
            <w:tcW w:w="2839" w:type="dxa"/>
            <w:noWrap/>
            <w:tcMar>
              <w:top w:w="15" w:type="dxa"/>
              <w:left w:w="15" w:type="dxa"/>
              <w:right w:w="15" w:type="dxa"/>
            </w:tcMar>
            <w:vAlign w:val="center"/>
          </w:tcPr>
          <w:p w14:paraId="52D826D6">
            <w:pPr>
              <w:spacing w:line="360" w:lineRule="auto"/>
              <w:rPr>
                <w:rFonts w:hint="eastAsia" w:ascii="宋体" w:hAnsi="宋体" w:eastAsia="宋体" w:cs="宋体"/>
                <w:bCs/>
                <w:sz w:val="24"/>
                <w:szCs w:val="24"/>
                <w:highlight w:val="none"/>
              </w:rPr>
            </w:pPr>
          </w:p>
        </w:tc>
        <w:tc>
          <w:tcPr>
            <w:tcW w:w="946" w:type="dxa"/>
            <w:noWrap/>
            <w:tcMar>
              <w:top w:w="15" w:type="dxa"/>
              <w:left w:w="15" w:type="dxa"/>
              <w:right w:w="15" w:type="dxa"/>
            </w:tcMar>
            <w:vAlign w:val="center"/>
          </w:tcPr>
          <w:p w14:paraId="5A4333F5">
            <w:pPr>
              <w:spacing w:line="360" w:lineRule="auto"/>
              <w:rPr>
                <w:rFonts w:hint="eastAsia" w:ascii="宋体" w:hAnsi="宋体" w:eastAsia="宋体" w:cs="宋体"/>
                <w:bCs/>
                <w:sz w:val="24"/>
                <w:szCs w:val="24"/>
                <w:highlight w:val="none"/>
              </w:rPr>
            </w:pPr>
          </w:p>
        </w:tc>
      </w:tr>
      <w:tr w14:paraId="3AD26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89" w:hRule="atLeast"/>
        </w:trPr>
        <w:tc>
          <w:tcPr>
            <w:tcW w:w="1842" w:type="dxa"/>
            <w:vMerge w:val="continue"/>
            <w:noWrap/>
            <w:tcMar>
              <w:top w:w="15" w:type="dxa"/>
              <w:left w:w="15" w:type="dxa"/>
              <w:right w:w="15" w:type="dxa"/>
            </w:tcMar>
            <w:vAlign w:val="center"/>
          </w:tcPr>
          <w:p w14:paraId="62480BF0">
            <w:pPr>
              <w:spacing w:line="360" w:lineRule="auto"/>
              <w:rPr>
                <w:rFonts w:hint="eastAsia" w:ascii="宋体" w:hAnsi="宋体" w:eastAsia="宋体" w:cs="宋体"/>
                <w:bCs/>
                <w:sz w:val="24"/>
                <w:szCs w:val="24"/>
                <w:highlight w:val="none"/>
              </w:rPr>
            </w:pPr>
          </w:p>
        </w:tc>
        <w:tc>
          <w:tcPr>
            <w:tcW w:w="3702" w:type="dxa"/>
            <w:noWrap/>
            <w:tcMar>
              <w:top w:w="15" w:type="dxa"/>
              <w:left w:w="15" w:type="dxa"/>
              <w:right w:w="15" w:type="dxa"/>
            </w:tcMar>
            <w:vAlign w:val="center"/>
          </w:tcPr>
          <w:p w14:paraId="2F509C21">
            <w:pPr>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3</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eastAsia="zh-CN"/>
              </w:rPr>
              <w:t>向甲方实施行贿行为，影响执法公务的公正性。</w:t>
            </w:r>
          </w:p>
        </w:tc>
        <w:tc>
          <w:tcPr>
            <w:tcW w:w="571" w:type="dxa"/>
            <w:noWrap/>
            <w:tcMar>
              <w:top w:w="15" w:type="dxa"/>
              <w:left w:w="15" w:type="dxa"/>
              <w:right w:w="15" w:type="dxa"/>
            </w:tcMar>
            <w:vAlign w:val="center"/>
          </w:tcPr>
          <w:p w14:paraId="13931BC2">
            <w:pPr>
              <w:spacing w:line="360" w:lineRule="auto"/>
              <w:jc w:val="center"/>
              <w:rPr>
                <w:rFonts w:hint="eastAsia" w:ascii="宋体" w:hAnsi="宋体" w:eastAsia="宋体" w:cs="宋体"/>
                <w:bCs/>
                <w:sz w:val="24"/>
                <w:szCs w:val="24"/>
                <w:highlight w:val="none"/>
              </w:rPr>
            </w:pPr>
          </w:p>
        </w:tc>
        <w:tc>
          <w:tcPr>
            <w:tcW w:w="2839" w:type="dxa"/>
            <w:noWrap/>
            <w:tcMar>
              <w:top w:w="15" w:type="dxa"/>
              <w:left w:w="15" w:type="dxa"/>
              <w:right w:w="15" w:type="dxa"/>
            </w:tcMar>
            <w:vAlign w:val="center"/>
          </w:tcPr>
          <w:p w14:paraId="52A50CAC">
            <w:pPr>
              <w:spacing w:line="360" w:lineRule="auto"/>
              <w:rPr>
                <w:rFonts w:hint="eastAsia" w:ascii="宋体" w:hAnsi="宋体" w:eastAsia="宋体" w:cs="宋体"/>
                <w:bCs/>
                <w:sz w:val="24"/>
                <w:szCs w:val="24"/>
                <w:highlight w:val="none"/>
              </w:rPr>
            </w:pPr>
          </w:p>
        </w:tc>
        <w:tc>
          <w:tcPr>
            <w:tcW w:w="946" w:type="dxa"/>
            <w:noWrap/>
            <w:tcMar>
              <w:top w:w="15" w:type="dxa"/>
              <w:left w:w="15" w:type="dxa"/>
              <w:right w:w="15" w:type="dxa"/>
            </w:tcMar>
            <w:vAlign w:val="center"/>
          </w:tcPr>
          <w:p w14:paraId="225BCD94">
            <w:pPr>
              <w:spacing w:line="360" w:lineRule="auto"/>
              <w:rPr>
                <w:rFonts w:hint="eastAsia" w:ascii="宋体" w:hAnsi="宋体" w:eastAsia="宋体" w:cs="宋体"/>
                <w:bCs/>
                <w:sz w:val="24"/>
                <w:szCs w:val="24"/>
                <w:highlight w:val="none"/>
              </w:rPr>
            </w:pPr>
          </w:p>
        </w:tc>
      </w:tr>
      <w:tr w14:paraId="3706D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7" w:hRule="atLeast"/>
        </w:trPr>
        <w:tc>
          <w:tcPr>
            <w:tcW w:w="5544" w:type="dxa"/>
            <w:gridSpan w:val="2"/>
            <w:noWrap/>
            <w:tcMar>
              <w:top w:w="15" w:type="dxa"/>
              <w:left w:w="15" w:type="dxa"/>
              <w:right w:w="15" w:type="dxa"/>
            </w:tcMar>
            <w:vAlign w:val="center"/>
          </w:tcPr>
          <w:p w14:paraId="470EFEAF">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合计</w:t>
            </w:r>
          </w:p>
        </w:tc>
        <w:tc>
          <w:tcPr>
            <w:tcW w:w="571" w:type="dxa"/>
            <w:noWrap/>
            <w:tcMar>
              <w:top w:w="15" w:type="dxa"/>
              <w:left w:w="15" w:type="dxa"/>
              <w:right w:w="15" w:type="dxa"/>
            </w:tcMar>
            <w:vAlign w:val="center"/>
          </w:tcPr>
          <w:p w14:paraId="6011B4ED">
            <w:pPr>
              <w:spacing w:line="360" w:lineRule="auto"/>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100</w:t>
            </w:r>
          </w:p>
        </w:tc>
        <w:tc>
          <w:tcPr>
            <w:tcW w:w="2839" w:type="dxa"/>
            <w:noWrap/>
            <w:tcMar>
              <w:top w:w="15" w:type="dxa"/>
              <w:left w:w="15" w:type="dxa"/>
              <w:right w:w="15" w:type="dxa"/>
            </w:tcMar>
            <w:vAlign w:val="center"/>
          </w:tcPr>
          <w:p w14:paraId="21343DEA">
            <w:pPr>
              <w:spacing w:line="360" w:lineRule="auto"/>
              <w:rPr>
                <w:rFonts w:hint="eastAsia" w:ascii="宋体" w:hAnsi="宋体" w:eastAsia="宋体" w:cs="宋体"/>
                <w:bCs/>
                <w:sz w:val="24"/>
                <w:szCs w:val="24"/>
                <w:highlight w:val="none"/>
              </w:rPr>
            </w:pPr>
          </w:p>
        </w:tc>
        <w:tc>
          <w:tcPr>
            <w:tcW w:w="946" w:type="dxa"/>
            <w:noWrap/>
            <w:tcMar>
              <w:top w:w="15" w:type="dxa"/>
              <w:left w:w="15" w:type="dxa"/>
              <w:right w:w="15" w:type="dxa"/>
            </w:tcMar>
            <w:vAlign w:val="center"/>
          </w:tcPr>
          <w:p w14:paraId="0FB6113F">
            <w:pPr>
              <w:spacing w:line="360" w:lineRule="auto"/>
              <w:rPr>
                <w:rFonts w:hint="eastAsia" w:ascii="宋体" w:hAnsi="宋体" w:eastAsia="宋体" w:cs="宋体"/>
                <w:bCs/>
                <w:sz w:val="24"/>
                <w:szCs w:val="24"/>
                <w:highlight w:val="none"/>
              </w:rPr>
            </w:pPr>
          </w:p>
        </w:tc>
      </w:tr>
      <w:tr w14:paraId="51BE4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1" w:hRule="atLeast"/>
        </w:trPr>
        <w:tc>
          <w:tcPr>
            <w:tcW w:w="9900" w:type="dxa"/>
            <w:gridSpan w:val="5"/>
            <w:noWrap/>
            <w:tcMar>
              <w:top w:w="15" w:type="dxa"/>
              <w:left w:w="15" w:type="dxa"/>
              <w:right w:w="15" w:type="dxa"/>
            </w:tcMar>
            <w:vAlign w:val="center"/>
          </w:tcPr>
          <w:p w14:paraId="6597A152">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备注：百分制考核，每月考核考评，</w:t>
            </w:r>
            <w:r>
              <w:rPr>
                <w:rFonts w:hint="eastAsia" w:ascii="宋体" w:hAnsi="宋体" w:eastAsia="宋体" w:cs="宋体"/>
                <w:bCs/>
                <w:sz w:val="24"/>
                <w:szCs w:val="24"/>
                <w:highlight w:val="none"/>
                <w:lang w:val="en-US" w:eastAsia="zh-CN"/>
              </w:rPr>
              <w:t>季</w:t>
            </w:r>
            <w:r>
              <w:rPr>
                <w:rFonts w:hint="eastAsia" w:ascii="宋体" w:hAnsi="宋体" w:eastAsia="宋体" w:cs="宋体"/>
                <w:bCs/>
                <w:sz w:val="24"/>
                <w:szCs w:val="24"/>
                <w:highlight w:val="none"/>
              </w:rPr>
              <w:t>度支付作为扣款依据。90分以上每分扣2000元，70-90分每分扣3000元。60-70分扣4000元。</w:t>
            </w:r>
          </w:p>
        </w:tc>
      </w:tr>
      <w:tr w14:paraId="214B6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trPr>
        <w:tc>
          <w:tcPr>
            <w:tcW w:w="9900" w:type="dxa"/>
            <w:gridSpan w:val="5"/>
            <w:noWrap/>
            <w:tcMar>
              <w:top w:w="15" w:type="dxa"/>
              <w:left w:w="15" w:type="dxa"/>
              <w:right w:w="15" w:type="dxa"/>
            </w:tcMar>
            <w:vAlign w:val="center"/>
          </w:tcPr>
          <w:p w14:paraId="723EC43F">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月考评综合得分：                                  月扣款金额：                                    </w:t>
            </w:r>
          </w:p>
        </w:tc>
      </w:tr>
      <w:tr w14:paraId="4A44E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98" w:hRule="atLeast"/>
        </w:trPr>
        <w:tc>
          <w:tcPr>
            <w:tcW w:w="9900" w:type="dxa"/>
            <w:gridSpan w:val="5"/>
            <w:noWrap/>
            <w:tcMar>
              <w:top w:w="15" w:type="dxa"/>
              <w:left w:w="15" w:type="dxa"/>
              <w:right w:w="15" w:type="dxa"/>
            </w:tcMar>
            <w:vAlign w:val="center"/>
          </w:tcPr>
          <w:p w14:paraId="73C12B16">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检查考核人员签名：</w:t>
            </w:r>
          </w:p>
        </w:tc>
      </w:tr>
    </w:tbl>
    <w:p w14:paraId="61FDFB05">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11、</w:t>
      </w:r>
      <w:r>
        <w:rPr>
          <w:rFonts w:hint="eastAsia" w:ascii="宋体" w:hAnsi="宋体" w:eastAsia="宋体" w:cs="宋体"/>
          <w:bCs/>
          <w:sz w:val="24"/>
          <w:szCs w:val="24"/>
          <w:highlight w:val="none"/>
        </w:rPr>
        <w:t>有关说明：</w:t>
      </w:r>
    </w:p>
    <w:p w14:paraId="62C0507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①</w:t>
      </w:r>
      <w:r>
        <w:rPr>
          <w:rFonts w:hint="eastAsia" w:ascii="宋体" w:hAnsi="宋体" w:eastAsia="宋体" w:cs="Times New Roman"/>
          <w:color w:val="auto"/>
          <w:sz w:val="24"/>
          <w:highlight w:val="none"/>
        </w:rPr>
        <w:t>投标总报价包括满足本项目要求的所有产品及其配件、包装、运杂、安装调试及售后服务等从项目中标起到项目正式交付以及质保期内所发生的一切费用。</w:t>
      </w:r>
    </w:p>
    <w:p w14:paraId="1203D985">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②</w:t>
      </w:r>
      <w:r>
        <w:rPr>
          <w:rFonts w:hint="eastAsia" w:ascii="宋体" w:hAnsi="宋体" w:eastAsia="宋体" w:cs="Times New Roman"/>
          <w:color w:val="auto"/>
          <w:sz w:val="24"/>
          <w:highlight w:val="none"/>
        </w:rPr>
        <w:t>通过中国海关报关验放进入中国境内且产自关境外的产品</w:t>
      </w:r>
      <w:r>
        <w:rPr>
          <w:rFonts w:hint="eastAsia" w:ascii="宋体" w:hAnsi="宋体" w:cs="Times New Roman"/>
          <w:color w:val="auto"/>
          <w:sz w:val="24"/>
          <w:highlight w:val="none"/>
          <w:lang w:eastAsia="zh-CN"/>
        </w:rPr>
        <w:t>，不</w:t>
      </w:r>
      <w:r>
        <w:rPr>
          <w:rFonts w:hint="eastAsia" w:ascii="宋体" w:hAnsi="宋体" w:eastAsia="宋体" w:cs="Times New Roman"/>
          <w:color w:val="auto"/>
          <w:sz w:val="24"/>
          <w:highlight w:val="none"/>
        </w:rPr>
        <w:t>在本项目的报价范围。</w:t>
      </w:r>
    </w:p>
    <w:p w14:paraId="5A8A8834">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③</w:t>
      </w:r>
      <w:r>
        <w:rPr>
          <w:rFonts w:hint="eastAsia" w:ascii="宋体" w:hAnsi="宋体" w:eastAsia="宋体" w:cs="Times New Roman"/>
          <w:color w:val="auto"/>
          <w:sz w:val="24"/>
          <w:highlight w:val="none"/>
        </w:rPr>
        <w:t>本项目中有信息安全产品的，必须选择经国家认证的信息安全产品，并提供由中国信息安全认证中心（中国网络安全审查技术与认证中心）颁发的有效认证证书复印件。</w:t>
      </w:r>
    </w:p>
    <w:p w14:paraId="5C91674C">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④</w:t>
      </w:r>
      <w:r>
        <w:rPr>
          <w:rFonts w:hint="eastAsia" w:ascii="宋体" w:hAnsi="宋体" w:eastAsia="宋体" w:cs="Times New Roman"/>
          <w:color w:val="auto"/>
          <w:sz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4789E188">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⑤</w:t>
      </w:r>
      <w:r>
        <w:rPr>
          <w:rFonts w:hint="eastAsia" w:ascii="宋体" w:hAnsi="宋体" w:eastAsia="宋体" w:cs="Times New Roman"/>
          <w:color w:val="auto"/>
          <w:sz w:val="24"/>
          <w:highlight w:val="none"/>
        </w:rPr>
        <w:t>投标人必须在满足招标文件要求的基础上进行报价，如有技术偏离请于投标偏离表中说明。</w:t>
      </w:r>
    </w:p>
    <w:p w14:paraId="00C44947">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⑥</w:t>
      </w:r>
      <w:r>
        <w:rPr>
          <w:rFonts w:hint="eastAsia" w:ascii="宋体" w:hAnsi="宋体" w:eastAsia="宋体" w:cs="Times New Roman"/>
          <w:color w:val="auto"/>
          <w:sz w:val="24"/>
          <w:highlight w:val="none"/>
        </w:rPr>
        <w:t>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23152952">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⑦</w:t>
      </w:r>
      <w:r>
        <w:rPr>
          <w:rFonts w:hint="eastAsia" w:ascii="宋体" w:hAnsi="宋体" w:eastAsia="宋体" w:cs="Times New Roman"/>
          <w:color w:val="auto"/>
          <w:sz w:val="24"/>
          <w:highlight w:val="none"/>
        </w:rPr>
        <w:t>根据国家扶持中小企业的有关政策，在我中心组织的采购项目中标的供应商，如需要政府采购合同融资，请按锡财购</w:t>
      </w:r>
      <w:r>
        <w:rPr>
          <w:rFonts w:hint="eastAsia" w:ascii="宋体" w:hAnsi="宋体" w:eastAsia="宋体" w:cs="Times New Roman"/>
          <w:color w:val="auto"/>
          <w:sz w:val="24"/>
          <w:highlight w:val="none"/>
          <w:lang w:eastAsia="zh-CN"/>
        </w:rPr>
        <w:t>〔2020〕17号</w:t>
      </w:r>
      <w:r>
        <w:rPr>
          <w:rFonts w:hint="eastAsia" w:ascii="宋体" w:hAnsi="宋体" w:eastAsia="宋体" w:cs="Times New Roman"/>
          <w:color w:val="auto"/>
          <w:sz w:val="24"/>
          <w:highlight w:val="none"/>
        </w:rPr>
        <w:t>文件执行。</w:t>
      </w:r>
    </w:p>
    <w:p w14:paraId="6B4F1498">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⑧</w:t>
      </w:r>
      <w:r>
        <w:rPr>
          <w:rFonts w:hint="eastAsia" w:ascii="宋体" w:hAnsi="宋体" w:eastAsia="宋体" w:cs="Times New Roman"/>
          <w:color w:val="auto"/>
          <w:sz w:val="24"/>
          <w:highlight w:val="none"/>
        </w:rPr>
        <w:t>中标供应商为残疾人福利性单位的，其《残疾人福利性单位声明函》将随中标公告同时发布，接受社会监督。投标人提供的《残疾人福利性单位声明函》与事实不符的，依照《</w:t>
      </w:r>
      <w:r>
        <w:rPr>
          <w:rFonts w:hint="eastAsia" w:ascii="宋体" w:hAnsi="宋体" w:eastAsia="宋体" w:cs="Times New Roman"/>
          <w:color w:val="auto"/>
          <w:sz w:val="24"/>
          <w:highlight w:val="none"/>
          <w:lang w:eastAsia="zh-CN"/>
        </w:rPr>
        <w:t>中华人民共和国政府采购法</w:t>
      </w:r>
      <w:r>
        <w:rPr>
          <w:rFonts w:hint="eastAsia" w:ascii="宋体" w:hAnsi="宋体" w:eastAsia="宋体" w:cs="Times New Roman"/>
          <w:color w:val="auto"/>
          <w:sz w:val="24"/>
          <w:highlight w:val="none"/>
        </w:rPr>
        <w:t>》第七十七条第一款的规定追究法律责任。</w:t>
      </w:r>
    </w:p>
    <w:p w14:paraId="7AE11133">
      <w:pPr>
        <w:spacing w:line="360" w:lineRule="auto"/>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⑨</w:t>
      </w:r>
      <w:r>
        <w:rPr>
          <w:rFonts w:hint="eastAsia" w:ascii="宋体" w:hAnsi="宋体" w:eastAsia="宋体" w:cs="Times New Roman"/>
          <w:color w:val="auto"/>
          <w:sz w:val="24"/>
          <w:highlight w:val="none"/>
        </w:rPr>
        <w:t>依据《政府采购促进中小企业发展管理办法》规定享受扶持政策获得政府采购合同的，小微企业不得将合同分包给大中型企业，中型企业不得将合同分包给大型企业。</w:t>
      </w:r>
    </w:p>
    <w:p w14:paraId="2B4E85D8">
      <w:pPr>
        <w:rPr>
          <w:rFonts w:hint="eastAsia" w:ascii="黑体" w:eastAsia="黑体"/>
          <w:b/>
          <w:color w:val="auto"/>
          <w:sz w:val="28"/>
          <w:szCs w:val="28"/>
          <w:highlight w:val="none"/>
        </w:rPr>
      </w:pPr>
      <w:r>
        <w:rPr>
          <w:rFonts w:hint="eastAsia" w:ascii="黑体" w:eastAsia="黑体"/>
          <w:b/>
          <w:color w:val="auto"/>
          <w:sz w:val="28"/>
          <w:szCs w:val="28"/>
          <w:highlight w:val="none"/>
        </w:rPr>
        <w:br w:type="page"/>
      </w:r>
    </w:p>
    <w:p w14:paraId="0457AE53">
      <w:pPr>
        <w:spacing w:line="360" w:lineRule="auto"/>
        <w:ind w:firstLine="560"/>
        <w:jc w:val="center"/>
        <w:outlineLvl w:val="0"/>
        <w:rPr>
          <w:rFonts w:hint="eastAsia" w:ascii="黑体" w:hAnsi="宋体" w:eastAsia="黑体"/>
          <w:b/>
          <w:color w:val="auto"/>
          <w:sz w:val="28"/>
          <w:szCs w:val="28"/>
          <w:highlight w:val="none"/>
        </w:rPr>
      </w:pPr>
      <w:r>
        <w:rPr>
          <w:rFonts w:hint="eastAsia" w:ascii="黑体" w:eastAsia="黑体"/>
          <w:b/>
          <w:color w:val="auto"/>
          <w:sz w:val="28"/>
          <w:szCs w:val="28"/>
          <w:highlight w:val="none"/>
        </w:rPr>
        <w:t>四、</w:t>
      </w:r>
      <w:r>
        <w:rPr>
          <w:rFonts w:hint="eastAsia" w:ascii="黑体" w:hAnsi="宋体" w:eastAsia="黑体"/>
          <w:b/>
          <w:color w:val="auto"/>
          <w:sz w:val="28"/>
          <w:szCs w:val="28"/>
          <w:highlight w:val="none"/>
        </w:rPr>
        <w:t>合同书（格式文本）</w:t>
      </w:r>
    </w:p>
    <w:p w14:paraId="57454442">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甲方（全称）：</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无锡市新吴区人民政府江溪街道办事处</w:t>
      </w:r>
      <w:r>
        <w:rPr>
          <w:rFonts w:ascii="宋体" w:hAnsi="宋体" w:eastAsia="宋体" w:cs="Times New Roman"/>
          <w:b w:val="0"/>
          <w:bCs w:val="0"/>
          <w:color w:val="auto"/>
          <w:kern w:val="44"/>
          <w:sz w:val="24"/>
          <w:szCs w:val="24"/>
          <w:highlight w:val="none"/>
          <w:u w:val="single"/>
          <w:lang w:val="en-US" w:eastAsia="zh-CN" w:bidi="ar-SA"/>
        </w:rPr>
        <w:t xml:space="preserve"> </w:t>
      </w:r>
    </w:p>
    <w:p w14:paraId="62DACD41">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乙方（全称）：</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p>
    <w:p w14:paraId="2C03E031">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受甲方委托，乙方承包2026年度江溪街道城市管理应急处置拆违拆临服务项目，根据《中华人民共和国民法典》，为明确双方权利义务，经双方协商一致，签订本合同。</w:t>
      </w:r>
    </w:p>
    <w:p w14:paraId="7E7CFE4C">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第一条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项目概况</w:t>
      </w:r>
    </w:p>
    <w:p w14:paraId="7E46986F">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、项目名称：2026年度江溪街道城市管理应急处置拆违拆临服务项目</w:t>
      </w:r>
      <w:r>
        <w:rPr>
          <w:rFonts w:ascii="宋体" w:hAnsi="宋体" w:eastAsia="宋体" w:cs="Times New Roman"/>
          <w:b w:val="0"/>
          <w:bCs w:val="0"/>
          <w:color w:val="auto"/>
          <w:kern w:val="44"/>
          <w:sz w:val="24"/>
          <w:szCs w:val="24"/>
          <w:highlight w:val="none"/>
          <w:lang w:val="en-US" w:eastAsia="zh-CN" w:bidi="ar-SA"/>
        </w:rPr>
        <w:t xml:space="preserve">                                                 </w:t>
      </w:r>
    </w:p>
    <w:p w14:paraId="243312D0">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、项目地点：无锡市新吴区江溪街道范围内</w:t>
      </w:r>
    </w:p>
    <w:p w14:paraId="1F35121C">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w:t>
      </w:r>
      <w:r>
        <w:rPr>
          <w:rFonts w:hint="eastAsia" w:ascii="Times New Roman" w:hAnsi="宋体" w:eastAsia="宋体" w:cs="Times New Roman"/>
          <w:sz w:val="24"/>
          <w:szCs w:val="24"/>
          <w:highlight w:val="none"/>
          <w:lang w:val="en-US" w:eastAsia="zh-CN"/>
        </w:rPr>
        <w:t>服务内容：</w:t>
      </w:r>
      <w:r>
        <w:rPr>
          <w:rFonts w:hint="eastAsia" w:ascii="宋体" w:hAnsi="宋体" w:eastAsia="宋体" w:cs="宋体"/>
          <w:bCs/>
          <w:sz w:val="24"/>
          <w:szCs w:val="24"/>
          <w:highlight w:val="none"/>
        </w:rPr>
        <w:t>项目主要包括</w:t>
      </w:r>
      <w:r>
        <w:rPr>
          <w:rFonts w:hint="eastAsia" w:ascii="宋体" w:hAnsi="宋体" w:eastAsia="宋体" w:cs="宋体"/>
          <w:bCs/>
          <w:sz w:val="24"/>
          <w:szCs w:val="24"/>
          <w:highlight w:val="none"/>
          <w:lang w:val="en-US" w:eastAsia="zh-CN"/>
        </w:rPr>
        <w:t>与城市管理相关的违法建设及违法广告拆除、违停严管道路告示牌设置及维护、日常规范、突击保障、乱堆放清理等市容环境相关整治工作</w:t>
      </w:r>
      <w:r>
        <w:rPr>
          <w:rFonts w:hint="eastAsia" w:ascii="宋体" w:hAnsi="宋体" w:eastAsia="宋体" w:cs="宋体"/>
          <w:bCs/>
          <w:sz w:val="24"/>
          <w:szCs w:val="24"/>
          <w:highlight w:val="none"/>
        </w:rPr>
        <w:t>。</w:t>
      </w:r>
      <w:r>
        <w:rPr>
          <w:rFonts w:ascii="宋体" w:hAnsi="宋体" w:eastAsia="宋体" w:cs="Times New Roman"/>
          <w:b w:val="0"/>
          <w:bCs w:val="0"/>
          <w:color w:val="auto"/>
          <w:kern w:val="44"/>
          <w:sz w:val="24"/>
          <w:szCs w:val="24"/>
          <w:highlight w:val="none"/>
          <w:lang w:val="en-US" w:eastAsia="zh-CN" w:bidi="ar-SA"/>
        </w:rPr>
        <w:t xml:space="preserve">                                                                                                </w:t>
      </w:r>
    </w:p>
    <w:p w14:paraId="1E8BA2CF">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第二条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项目履行期限</w:t>
      </w:r>
    </w:p>
    <w:p w14:paraId="7BCE116E">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项目期限：合同签订之日起一年（     年    月    日至      年    月    日）。</w:t>
      </w:r>
    </w:p>
    <w:p w14:paraId="592A704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合同规定的管理期满，本合同自然终止。</w:t>
      </w:r>
    </w:p>
    <w:p w14:paraId="09C29E66">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第三条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项目费用与付款方式</w:t>
      </w:r>
    </w:p>
    <w:p w14:paraId="0F2A8454">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合同金额：</w:t>
      </w:r>
    </w:p>
    <w:p w14:paraId="7F459343">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小写：</w:t>
      </w:r>
      <w:r>
        <w:rPr>
          <w:rFonts w:ascii="宋体" w:hAnsi="宋体" w:eastAsia="宋体" w:cs="Times New Roman"/>
          <w:b/>
          <w:bCs/>
          <w:color w:val="auto"/>
          <w:kern w:val="44"/>
          <w:sz w:val="24"/>
          <w:szCs w:val="24"/>
          <w:highlight w:val="none"/>
          <w:u w:val="single"/>
          <w:lang w:val="en-US" w:eastAsia="zh-CN" w:bidi="ar-SA"/>
        </w:rPr>
        <w:t xml:space="preserve">  </w:t>
      </w:r>
      <w:r>
        <w:rPr>
          <w:rFonts w:hint="eastAsia" w:ascii="宋体" w:hAnsi="宋体" w:eastAsia="宋体" w:cs="Times New Roman"/>
          <w:b/>
          <w:bCs/>
          <w:color w:val="auto"/>
          <w:kern w:val="44"/>
          <w:sz w:val="24"/>
          <w:szCs w:val="24"/>
          <w:highlight w:val="none"/>
          <w:u w:val="single"/>
          <w:lang w:val="en-US" w:eastAsia="zh-CN" w:bidi="ar-SA"/>
        </w:rPr>
        <w:t xml:space="preserve">    </w:t>
      </w:r>
      <w:r>
        <w:rPr>
          <w:rFonts w:ascii="宋体" w:hAnsi="宋体" w:eastAsia="宋体" w:cs="Times New Roman"/>
          <w:b/>
          <w:bCs/>
          <w:color w:val="auto"/>
          <w:kern w:val="44"/>
          <w:sz w:val="24"/>
          <w:szCs w:val="24"/>
          <w:highlight w:val="none"/>
          <w:u w:val="singl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元，大写：</w:t>
      </w:r>
      <w:r>
        <w:rPr>
          <w:rFonts w:ascii="宋体" w:hAnsi="宋体" w:eastAsia="宋体" w:cs="Times New Roman"/>
          <w:b/>
          <w:bCs/>
          <w:color w:val="auto"/>
          <w:kern w:val="44"/>
          <w:sz w:val="24"/>
          <w:szCs w:val="24"/>
          <w:highlight w:val="none"/>
          <w:u w:val="single"/>
          <w:lang w:val="en-US" w:eastAsia="zh-CN" w:bidi="ar-SA"/>
        </w:rPr>
        <w:t xml:space="preserve">  </w:t>
      </w:r>
      <w:r>
        <w:rPr>
          <w:rFonts w:hint="eastAsia" w:ascii="宋体" w:hAnsi="宋体" w:eastAsia="宋体" w:cs="Times New Roman"/>
          <w:b/>
          <w:bCs/>
          <w:color w:val="auto"/>
          <w:kern w:val="44"/>
          <w:sz w:val="24"/>
          <w:szCs w:val="24"/>
          <w:highlight w:val="none"/>
          <w:u w:val="single"/>
          <w:lang w:val="en-US" w:eastAsia="zh-CN" w:bidi="ar-SA"/>
        </w:rPr>
        <w:t xml:space="preserve">                           </w:t>
      </w:r>
      <w:r>
        <w:rPr>
          <w:rFonts w:ascii="宋体" w:hAnsi="宋体" w:eastAsia="宋体" w:cs="Times New Roman"/>
          <w:b/>
          <w:bCs/>
          <w:color w:val="auto"/>
          <w:kern w:val="44"/>
          <w:sz w:val="24"/>
          <w:szCs w:val="24"/>
          <w:highlight w:val="none"/>
          <w:u w:val="singl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w:t>
      </w:r>
    </w:p>
    <w:p w14:paraId="2DD667B3">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、本项目合同金额为预估费用，不作为结算依据，合同为固定单价合同，按实际发生工作量计算，由甲方至少两名工作人员现场签字认可合格，并经核定后结算。</w:t>
      </w:r>
    </w:p>
    <w:p w14:paraId="77A7818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、实际作业中产生不包括在中标清单中没有的子目，按照结算原则由甲方送相关部门审核后按实结算。</w:t>
      </w:r>
    </w:p>
    <w:p w14:paraId="5EE7B389">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3</w:t>
      </w:r>
      <w:r>
        <w:rPr>
          <w:rFonts w:hint="eastAsia" w:ascii="宋体" w:hAnsi="宋体" w:eastAsia="宋体" w:cs="Times New Roman"/>
          <w:b w:val="0"/>
          <w:bCs w:val="0"/>
          <w:color w:val="auto"/>
          <w:kern w:val="44"/>
          <w:sz w:val="24"/>
          <w:szCs w:val="24"/>
          <w:highlight w:val="none"/>
          <w:lang w:val="en-US" w:eastAsia="zh-CN" w:bidi="ar-SA"/>
        </w:rPr>
        <w:t>、支付方式：</w:t>
      </w:r>
      <w:r>
        <w:rPr>
          <w:rFonts w:hint="eastAsia" w:ascii="宋体" w:hAnsi="宋体" w:eastAsia="宋体" w:cs="Times New Roman"/>
          <w:b/>
          <w:bCs/>
          <w:color w:val="auto"/>
          <w:kern w:val="44"/>
          <w:sz w:val="24"/>
          <w:szCs w:val="24"/>
          <w:highlight w:val="none"/>
          <w:lang w:val="en-US" w:eastAsia="zh-CN" w:bidi="ar-SA"/>
        </w:rPr>
        <w:t>结算按每季度送审，季度进度款支付至当</w:t>
      </w:r>
      <w:r>
        <w:rPr>
          <w:rFonts w:hint="eastAsia" w:ascii="宋体" w:hAnsi="宋体" w:cs="Times New Roman"/>
          <w:b/>
          <w:bCs/>
          <w:color w:val="auto"/>
          <w:kern w:val="44"/>
          <w:sz w:val="24"/>
          <w:szCs w:val="24"/>
          <w:highlight w:val="none"/>
          <w:lang w:val="en-US" w:eastAsia="zh-CN" w:bidi="ar-SA"/>
        </w:rPr>
        <w:t>季度</w:t>
      </w:r>
      <w:r>
        <w:rPr>
          <w:rFonts w:hint="eastAsia" w:ascii="宋体" w:hAnsi="宋体" w:eastAsia="宋体" w:cs="Times New Roman"/>
          <w:b/>
          <w:bCs/>
          <w:color w:val="auto"/>
          <w:kern w:val="44"/>
          <w:sz w:val="24"/>
          <w:szCs w:val="24"/>
          <w:highlight w:val="none"/>
          <w:lang w:val="en-US" w:eastAsia="zh-CN" w:bidi="ar-SA"/>
        </w:rPr>
        <w:t>审定金额的70%，每季度30%余款待第四季度审计结束后付清。</w:t>
      </w:r>
      <w:r>
        <w:rPr>
          <w:rFonts w:ascii="宋体" w:hAnsi="宋体" w:eastAsia="宋体" w:cs="Times New Roman"/>
          <w:b w:val="0"/>
          <w:bCs w:val="0"/>
          <w:color w:val="auto"/>
          <w:kern w:val="44"/>
          <w:sz w:val="24"/>
          <w:szCs w:val="24"/>
          <w:highlight w:val="none"/>
          <w:lang w:val="en-US" w:eastAsia="zh-CN" w:bidi="ar-SA"/>
        </w:rPr>
        <w:t xml:space="preserve">                                                          </w:t>
      </w:r>
    </w:p>
    <w:p w14:paraId="1631D6B2">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第四条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甲方工作</w:t>
      </w:r>
    </w:p>
    <w:p w14:paraId="18F662F9">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、甲方对乙方作业实施监督管理，并有权督促乙方人员严格执行合同规定的各项条款。</w:t>
      </w:r>
    </w:p>
    <w:p w14:paraId="4A87FCB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、甲方按照合同规定的服务范围及服务标准对乙方的工作进行定期或不定期的检查或抽查。对一次性服务的项目，作业服务结束后</w:t>
      </w:r>
      <w:r>
        <w:rPr>
          <w:rFonts w:ascii="宋体" w:hAnsi="宋体" w:eastAsia="宋体" w:cs="Times New Roman"/>
          <w:b w:val="0"/>
          <w:bCs w:val="0"/>
          <w:color w:val="auto"/>
          <w:kern w:val="44"/>
          <w:sz w:val="24"/>
          <w:szCs w:val="24"/>
          <w:highlight w:val="none"/>
          <w:lang w:val="en-US" w:eastAsia="zh-CN" w:bidi="ar-SA"/>
        </w:rPr>
        <w:t>10</w:t>
      </w:r>
      <w:r>
        <w:rPr>
          <w:rFonts w:hint="eastAsia" w:ascii="宋体" w:hAnsi="宋体" w:eastAsia="宋体" w:cs="Times New Roman"/>
          <w:b w:val="0"/>
          <w:bCs w:val="0"/>
          <w:color w:val="auto"/>
          <w:kern w:val="44"/>
          <w:sz w:val="24"/>
          <w:szCs w:val="24"/>
          <w:highlight w:val="none"/>
          <w:lang w:val="en-US" w:eastAsia="zh-CN" w:bidi="ar-SA"/>
        </w:rPr>
        <w:t>天内进行验收，并在验收凭证上签字确认。</w:t>
      </w:r>
      <w:r>
        <w:rPr>
          <w:rFonts w:ascii="宋体" w:hAnsi="宋体" w:eastAsia="宋体" w:cs="Times New Roman"/>
          <w:b w:val="0"/>
          <w:bCs w:val="0"/>
          <w:color w:val="auto"/>
          <w:kern w:val="44"/>
          <w:sz w:val="24"/>
          <w:szCs w:val="24"/>
          <w:highlight w:val="none"/>
          <w:lang w:val="en-US" w:eastAsia="zh-CN" w:bidi="ar-SA"/>
        </w:rPr>
        <w:t xml:space="preserve">                                                         </w:t>
      </w:r>
    </w:p>
    <w:p w14:paraId="5FFEDC58">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第五条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乙方工作</w:t>
      </w:r>
    </w:p>
    <w:p w14:paraId="461312C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、乙方应在本合同签订后</w:t>
      </w:r>
      <w:r>
        <w:rPr>
          <w:rFonts w:ascii="宋体" w:hAnsi="宋体" w:eastAsia="宋体" w:cs="Times New Roman"/>
          <w:b w:val="0"/>
          <w:bCs w:val="0"/>
          <w:color w:val="auto"/>
          <w:kern w:val="44"/>
          <w:sz w:val="24"/>
          <w:szCs w:val="24"/>
          <w:highlight w:val="none"/>
          <w:lang w:val="en-US" w:eastAsia="zh-CN" w:bidi="ar-SA"/>
        </w:rPr>
        <w:t>10</w:t>
      </w:r>
      <w:r>
        <w:rPr>
          <w:rFonts w:hint="eastAsia" w:ascii="宋体" w:hAnsi="宋体" w:eastAsia="宋体" w:cs="Times New Roman"/>
          <w:b w:val="0"/>
          <w:bCs w:val="0"/>
          <w:color w:val="auto"/>
          <w:kern w:val="44"/>
          <w:sz w:val="24"/>
          <w:szCs w:val="24"/>
          <w:highlight w:val="none"/>
          <w:lang w:val="en-US" w:eastAsia="zh-CN" w:bidi="ar-SA"/>
        </w:rPr>
        <w:t>天内提供有关保险手续证明文件、员工身份证及操作证明的复印件，所需费用由乙方承担。</w:t>
      </w:r>
    </w:p>
    <w:p w14:paraId="293DC16F">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、乙方应严格按照本合同相关条款的规定和甲方要求提供服务，并接受甲方的监督、检查。</w:t>
      </w:r>
    </w:p>
    <w:p w14:paraId="7CDD1CF5">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3</w:t>
      </w:r>
      <w:r>
        <w:rPr>
          <w:rFonts w:hint="eastAsia" w:ascii="宋体" w:hAnsi="宋体" w:eastAsia="宋体" w:cs="Times New Roman"/>
          <w:b w:val="0"/>
          <w:bCs w:val="0"/>
          <w:color w:val="auto"/>
          <w:kern w:val="44"/>
          <w:sz w:val="24"/>
          <w:szCs w:val="24"/>
          <w:highlight w:val="none"/>
          <w:lang w:val="en-US" w:eastAsia="zh-CN" w:bidi="ar-SA"/>
        </w:rPr>
        <w:t>、乙方必须按合同规定，提供施工作业所需之设备、工具及器材。</w:t>
      </w:r>
    </w:p>
    <w:p w14:paraId="354A110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4</w:t>
      </w:r>
      <w:r>
        <w:rPr>
          <w:rFonts w:hint="eastAsia" w:ascii="宋体" w:hAnsi="宋体" w:eastAsia="宋体" w:cs="Times New Roman"/>
          <w:b w:val="0"/>
          <w:bCs w:val="0"/>
          <w:color w:val="auto"/>
          <w:kern w:val="44"/>
          <w:sz w:val="24"/>
          <w:szCs w:val="24"/>
          <w:highlight w:val="none"/>
          <w:lang w:val="en-US" w:eastAsia="zh-CN" w:bidi="ar-SA"/>
        </w:rPr>
        <w:t xml:space="preserve">、乙方应加强对其作业人员的安全生产教育培训，严格管理，遵守国家法律法规，安全施工。由乙方负责作业范围内的一切安全防护措施，并承担作业范围内的一切安全责任，甲方不承担任何责任。 </w:t>
      </w:r>
    </w:p>
    <w:p w14:paraId="7951E781">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5</w:t>
      </w:r>
      <w:r>
        <w:rPr>
          <w:rFonts w:hint="eastAsia" w:ascii="宋体" w:hAnsi="宋体" w:eastAsia="宋体" w:cs="Times New Roman"/>
          <w:b w:val="0"/>
          <w:bCs w:val="0"/>
          <w:color w:val="auto"/>
          <w:kern w:val="44"/>
          <w:sz w:val="24"/>
          <w:szCs w:val="24"/>
          <w:highlight w:val="none"/>
          <w:lang w:val="en-US" w:eastAsia="zh-CN" w:bidi="ar-SA"/>
        </w:rPr>
        <w:t>、乙方应按照本合同规定的服务范围配备作业人员，如因乙方安排等原因而导致人员缺额的，乙方必须自行调整补足。</w:t>
      </w:r>
    </w:p>
    <w:p w14:paraId="7CD1D1C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6</w:t>
      </w:r>
      <w:r>
        <w:rPr>
          <w:rFonts w:hint="eastAsia" w:ascii="宋体" w:hAnsi="宋体" w:eastAsia="宋体" w:cs="Times New Roman"/>
          <w:b w:val="0"/>
          <w:bCs w:val="0"/>
          <w:color w:val="auto"/>
          <w:kern w:val="44"/>
          <w:sz w:val="24"/>
          <w:szCs w:val="24"/>
          <w:highlight w:val="none"/>
          <w:lang w:val="en-US" w:eastAsia="zh-CN" w:bidi="ar-SA"/>
        </w:rPr>
        <w:t>、乙方须为作业人员购买保险，如果乙方人员在维修过程中发生意外，或因维护不到位、产品质量不过关等造成安全事故，产生人员伤亡或财产损失的，一律由乙方负责赔偿和善后工作，甲方不承担任何责任，并且安全事故如果对甲方造成财产损失或人员伤亡的，乙方必须赔偿甲方并承担法律责任。</w:t>
      </w:r>
    </w:p>
    <w:p w14:paraId="0BD537B3">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7</w:t>
      </w:r>
      <w:r>
        <w:rPr>
          <w:rFonts w:hint="eastAsia" w:ascii="宋体" w:hAnsi="宋体" w:eastAsia="宋体" w:cs="Times New Roman"/>
          <w:b w:val="0"/>
          <w:bCs w:val="0"/>
          <w:color w:val="auto"/>
          <w:kern w:val="44"/>
          <w:sz w:val="24"/>
          <w:szCs w:val="24"/>
          <w:highlight w:val="none"/>
          <w:lang w:val="en-US" w:eastAsia="zh-CN" w:bidi="ar-SA"/>
        </w:rPr>
        <w:t>、乙方在作业过程中，必须确保按规定、按时支付员工工资</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如因乙方拖欠员工工资而发生</w:t>
      </w:r>
      <w:r>
        <w:rPr>
          <w:rFonts w:hint="eastAsia" w:ascii="宋体" w:hAnsi="宋体" w:cs="Times New Roman"/>
          <w:b w:val="0"/>
          <w:bCs w:val="0"/>
          <w:color w:val="auto"/>
          <w:kern w:val="44"/>
          <w:sz w:val="24"/>
          <w:szCs w:val="24"/>
          <w:highlight w:val="none"/>
          <w:lang w:val="en-US" w:eastAsia="zh-CN" w:bidi="ar-SA"/>
        </w:rPr>
        <w:t>诉讼</w:t>
      </w:r>
      <w:r>
        <w:rPr>
          <w:rFonts w:hint="eastAsia" w:ascii="宋体" w:hAnsi="宋体" w:eastAsia="宋体" w:cs="Times New Roman"/>
          <w:b w:val="0"/>
          <w:bCs w:val="0"/>
          <w:color w:val="auto"/>
          <w:kern w:val="44"/>
          <w:sz w:val="24"/>
          <w:szCs w:val="24"/>
          <w:highlight w:val="none"/>
          <w:lang w:val="en-US" w:eastAsia="zh-CN" w:bidi="ar-SA"/>
        </w:rPr>
        <w:t>、上访等情况，一律与甲方无关。</w:t>
      </w:r>
    </w:p>
    <w:p w14:paraId="5A082D0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8</w:t>
      </w:r>
      <w:r>
        <w:rPr>
          <w:rFonts w:hint="eastAsia" w:ascii="宋体" w:hAnsi="宋体" w:eastAsia="宋体" w:cs="Times New Roman"/>
          <w:b w:val="0"/>
          <w:bCs w:val="0"/>
          <w:color w:val="auto"/>
          <w:kern w:val="44"/>
          <w:sz w:val="24"/>
          <w:szCs w:val="24"/>
          <w:highlight w:val="none"/>
          <w:lang w:val="en-US" w:eastAsia="zh-CN" w:bidi="ar-SA"/>
        </w:rPr>
        <w:t>、乙方不得将合同的全部或部分项目转包、分包给其他公司或个人，否则甲方有权单方面解除合同。</w:t>
      </w:r>
    </w:p>
    <w:p w14:paraId="5BD76E59">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9</w:t>
      </w:r>
      <w:r>
        <w:rPr>
          <w:rFonts w:hint="eastAsia" w:ascii="宋体" w:hAnsi="宋体" w:eastAsia="宋体" w:cs="Times New Roman"/>
          <w:b w:val="0"/>
          <w:bCs w:val="0"/>
          <w:color w:val="auto"/>
          <w:kern w:val="44"/>
          <w:sz w:val="24"/>
          <w:szCs w:val="24"/>
          <w:highlight w:val="none"/>
          <w:lang w:val="en-US" w:eastAsia="zh-CN" w:bidi="ar-SA"/>
        </w:rPr>
        <w:t>、由于实际工作需要，甲方需要乙方进行道路巡查和现场值守时，乙方应进行配合，费用按实际发生的人工、时间进行结算。</w:t>
      </w:r>
    </w:p>
    <w:p w14:paraId="58546E3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10</w:t>
      </w:r>
      <w:r>
        <w:rPr>
          <w:rFonts w:hint="eastAsia" w:ascii="宋体" w:hAnsi="宋体" w:eastAsia="宋体" w:cs="Times New Roman"/>
          <w:b w:val="0"/>
          <w:bCs w:val="0"/>
          <w:color w:val="auto"/>
          <w:kern w:val="44"/>
          <w:sz w:val="24"/>
          <w:szCs w:val="24"/>
          <w:highlight w:val="none"/>
          <w:lang w:val="en-US" w:eastAsia="zh-CN" w:bidi="ar-SA"/>
        </w:rPr>
        <w:t>、乙方需做好甲方设置的违停处罚警示广告设施管养工作，保证上面无乱张贴、结构牢固，显示正常，尤其是遇台风等恶劣天气时必须提前进行检查，确保安全无隐患，如发生安全事故，导致人员伤亡或财产损失，均由乙方承担全部责任，建议采取购买保险等措施，降低风险。</w:t>
      </w:r>
    </w:p>
    <w:p w14:paraId="3EF9A9E0">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11</w:t>
      </w:r>
      <w:r>
        <w:rPr>
          <w:rFonts w:hint="eastAsia" w:ascii="宋体" w:hAnsi="宋体" w:eastAsia="宋体" w:cs="Times New Roman"/>
          <w:b w:val="0"/>
          <w:bCs w:val="0"/>
          <w:color w:val="auto"/>
          <w:kern w:val="44"/>
          <w:sz w:val="24"/>
          <w:szCs w:val="24"/>
          <w:highlight w:val="none"/>
          <w:lang w:val="en-US" w:eastAsia="zh-CN" w:bidi="ar-SA"/>
        </w:rPr>
        <w:t>、如果乙方未及时响应甲方需求，甲方有权联系其他作业单位进行应急，所产生费用由乙方支付</w:t>
      </w:r>
      <w:r>
        <w:rPr>
          <w:rFonts w:hint="eastAsia" w:ascii="宋体" w:hAnsi="宋体" w:cs="Times New Roman"/>
          <w:b w:val="0"/>
          <w:bCs w:val="0"/>
          <w:color w:val="auto"/>
          <w:kern w:val="44"/>
          <w:sz w:val="24"/>
          <w:szCs w:val="24"/>
          <w:highlight w:val="none"/>
          <w:lang w:val="en-US" w:eastAsia="zh-CN" w:bidi="ar-SA"/>
        </w:rPr>
        <w:t>，计算</w:t>
      </w:r>
      <w:r>
        <w:rPr>
          <w:rFonts w:hint="eastAsia" w:ascii="宋体" w:hAnsi="宋体" w:eastAsia="宋体" w:cs="Times New Roman"/>
          <w:b w:val="0"/>
          <w:bCs w:val="0"/>
          <w:color w:val="auto"/>
          <w:kern w:val="44"/>
          <w:sz w:val="24"/>
          <w:szCs w:val="24"/>
          <w:highlight w:val="none"/>
          <w:lang w:val="en-US" w:eastAsia="zh-CN" w:bidi="ar-SA"/>
        </w:rPr>
        <w:t>一次违约，同时甲方有权根据情况决定是否追究乙方违约责任。</w:t>
      </w:r>
    </w:p>
    <w:p w14:paraId="40ADC2B0">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12</w:t>
      </w:r>
      <w:r>
        <w:rPr>
          <w:rFonts w:hint="eastAsia" w:ascii="宋体" w:hAnsi="宋体" w:eastAsia="宋体" w:cs="Times New Roman"/>
          <w:b w:val="0"/>
          <w:bCs w:val="0"/>
          <w:color w:val="auto"/>
          <w:kern w:val="44"/>
          <w:sz w:val="24"/>
          <w:szCs w:val="24"/>
          <w:highlight w:val="none"/>
          <w:lang w:val="en-US" w:eastAsia="zh-CN" w:bidi="ar-SA"/>
        </w:rPr>
        <w:t>、由于甲方突击整治较多，不可预见性较强，因此乙方必须有一支</w:t>
      </w:r>
      <w:r>
        <w:rPr>
          <w:rFonts w:ascii="宋体" w:hAnsi="宋体" w:eastAsia="宋体" w:cs="Times New Roman"/>
          <w:b w:val="0"/>
          <w:bCs w:val="0"/>
          <w:color w:val="auto"/>
          <w:kern w:val="44"/>
          <w:sz w:val="24"/>
          <w:szCs w:val="24"/>
          <w:highlight w:val="none"/>
          <w:lang w:val="en-US" w:eastAsia="zh-CN" w:bidi="ar-SA"/>
        </w:rPr>
        <w:t>24</w:t>
      </w:r>
      <w:r>
        <w:rPr>
          <w:rFonts w:hint="eastAsia" w:ascii="宋体" w:hAnsi="宋体" w:eastAsia="宋体" w:cs="Times New Roman"/>
          <w:b w:val="0"/>
          <w:bCs w:val="0"/>
          <w:color w:val="auto"/>
          <w:kern w:val="44"/>
          <w:sz w:val="24"/>
          <w:szCs w:val="24"/>
          <w:highlight w:val="none"/>
          <w:lang w:val="en-US" w:eastAsia="zh-CN" w:bidi="ar-SA"/>
        </w:rPr>
        <w:t>小时应急处置队伍，接到甲方通知后</w:t>
      </w:r>
      <w:r>
        <w:rPr>
          <w:rFonts w:ascii="宋体" w:hAnsi="宋体" w:eastAsia="宋体" w:cs="Times New Roman"/>
          <w:b w:val="0"/>
          <w:bCs w:val="0"/>
          <w:color w:val="auto"/>
          <w:kern w:val="44"/>
          <w:sz w:val="24"/>
          <w:szCs w:val="24"/>
          <w:highlight w:val="none"/>
          <w:lang w:val="en-US" w:eastAsia="zh-CN" w:bidi="ar-SA"/>
        </w:rPr>
        <w:t>30</w:t>
      </w:r>
      <w:r>
        <w:rPr>
          <w:rFonts w:hint="eastAsia" w:ascii="宋体" w:hAnsi="宋体" w:eastAsia="宋体" w:cs="Times New Roman"/>
          <w:b w:val="0"/>
          <w:bCs w:val="0"/>
          <w:color w:val="auto"/>
          <w:kern w:val="44"/>
          <w:sz w:val="24"/>
          <w:szCs w:val="24"/>
          <w:highlight w:val="none"/>
          <w:lang w:val="en-US" w:eastAsia="zh-CN" w:bidi="ar-SA"/>
        </w:rPr>
        <w:t>分钟内到达现场开展作业，夜间、双休日、国家法定节假日也必须确保执行到位，否则视为违约。</w:t>
      </w:r>
    </w:p>
    <w:p w14:paraId="1BA7F532">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13</w:t>
      </w:r>
      <w:r>
        <w:rPr>
          <w:rFonts w:hint="eastAsia" w:ascii="宋体" w:hAnsi="宋体" w:eastAsia="宋体" w:cs="Times New Roman"/>
          <w:b w:val="0"/>
          <w:bCs w:val="0"/>
          <w:color w:val="auto"/>
          <w:kern w:val="44"/>
          <w:sz w:val="24"/>
          <w:szCs w:val="24"/>
          <w:highlight w:val="none"/>
          <w:lang w:val="en-US" w:eastAsia="zh-CN" w:bidi="ar-SA"/>
        </w:rPr>
        <w:t>、签订合同后10日内，乙方须按合同价的10％向甲方提交履约保证金保函。本履约保证金直至工程竣工验收合格后10日历天内无利息退回乙方；乙方放弃中标项目的，不按规定时间与甲方签订合同的，在签订合同时向甲方提出附加条件或者更改合同实质性内容的，或者延期提交（拒不提交）所要求的履约担保的，甲方有权取消其中标资格。</w:t>
      </w:r>
    </w:p>
    <w:p w14:paraId="683CEAA4">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14</w:t>
      </w:r>
      <w:r>
        <w:rPr>
          <w:rFonts w:hint="eastAsia" w:ascii="宋体" w:hAnsi="宋体" w:eastAsia="宋体" w:cs="Times New Roman"/>
          <w:b w:val="0"/>
          <w:bCs w:val="0"/>
          <w:color w:val="auto"/>
          <w:kern w:val="44"/>
          <w:sz w:val="24"/>
          <w:szCs w:val="24"/>
          <w:highlight w:val="none"/>
          <w:lang w:val="en-US" w:eastAsia="zh-CN" w:bidi="ar-SA"/>
        </w:rPr>
        <w:t>、自甲乙双方合同签订之日起，如果乙方未及时响应甲方，或者以各种理由推脱，对甲方工作造成了较大影响的，甲方有权单方面解除合同，同时有权在今后的招标活动中将乙方排除在外。</w:t>
      </w:r>
      <w:r>
        <w:rPr>
          <w:rFonts w:ascii="宋体" w:hAnsi="宋体" w:eastAsia="宋体" w:cs="Times New Roman"/>
          <w:b w:val="0"/>
          <w:bCs w:val="0"/>
          <w:color w:val="auto"/>
          <w:kern w:val="44"/>
          <w:sz w:val="24"/>
          <w:szCs w:val="24"/>
          <w:highlight w:val="none"/>
          <w:lang w:val="en-US" w:eastAsia="zh-CN" w:bidi="ar-SA"/>
        </w:rPr>
        <w:t xml:space="preserve"> </w:t>
      </w:r>
    </w:p>
    <w:p w14:paraId="4E509ED4">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15、如在合同期内，由于乙方原因，导致发生安全事故，导致不良影响的，甲方有权单方面解除合同，同时有权在今后的招标活动中将乙方排除在外。</w:t>
      </w:r>
      <w:r>
        <w:rPr>
          <w:rFonts w:ascii="宋体" w:hAnsi="宋体" w:eastAsia="宋体" w:cs="Times New Roman"/>
          <w:b w:val="0"/>
          <w:bCs w:val="0"/>
          <w:color w:val="auto"/>
          <w:kern w:val="44"/>
          <w:sz w:val="24"/>
          <w:szCs w:val="24"/>
          <w:highlight w:val="none"/>
          <w:lang w:val="en-US" w:eastAsia="zh-CN" w:bidi="ar-SA"/>
        </w:rPr>
        <w:t xml:space="preserve"> </w:t>
      </w:r>
    </w:p>
    <w:p w14:paraId="6AEDA641">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16、如在合同期内，乙方能够较好地按照甲方的要求开展工作，响应及时、工作效率高、规范作业、处置得当的，在同等条件下，可优先考虑续约。</w:t>
      </w:r>
    </w:p>
    <w:p w14:paraId="3F7AF99C">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17、按照甲方和审计要求，做好现场签证材料（签证单、一点一图照片等），并及时提交送审。</w:t>
      </w:r>
      <w:r>
        <w:rPr>
          <w:rFonts w:ascii="宋体" w:hAnsi="宋体" w:eastAsia="宋体" w:cs="Times New Roman"/>
          <w:b w:val="0"/>
          <w:bCs w:val="0"/>
          <w:color w:val="auto"/>
          <w:kern w:val="44"/>
          <w:sz w:val="24"/>
          <w:szCs w:val="24"/>
          <w:highlight w:val="none"/>
          <w:lang w:val="en-US" w:eastAsia="zh-CN" w:bidi="ar-SA"/>
        </w:rPr>
        <w:t xml:space="preserve">    </w:t>
      </w:r>
    </w:p>
    <w:p w14:paraId="5442B039">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18、乙方在确保安全的前提下应尽量提高工作效率，能使用机械的应尽量使用机械，能多人同时作业的应加强配合，加快进度。如发生明显的人为工作效率低下的情况，计算一次违约。</w:t>
      </w:r>
      <w:r>
        <w:rPr>
          <w:rFonts w:ascii="宋体" w:hAnsi="宋体" w:eastAsia="宋体" w:cs="Times New Roman"/>
          <w:b w:val="0"/>
          <w:bCs w:val="0"/>
          <w:color w:val="auto"/>
          <w:kern w:val="44"/>
          <w:sz w:val="24"/>
          <w:szCs w:val="24"/>
          <w:highlight w:val="none"/>
          <w:lang w:val="en-US" w:eastAsia="zh-CN" w:bidi="ar-SA"/>
        </w:rPr>
        <w:t xml:space="preserve">                                                </w:t>
      </w:r>
    </w:p>
    <w:p w14:paraId="0F2F4C21">
      <w:pPr>
        <w:keepNext w:val="0"/>
        <w:keepLines w:val="0"/>
        <w:widowControl w:val="0"/>
        <w:numPr>
          <w:ilvl w:val="0"/>
          <w:numId w:val="0"/>
        </w:numPr>
        <w:spacing w:before="0" w:beforeLines="0" w:after="0" w:afterLines="0" w:line="360" w:lineRule="auto"/>
        <w:ind w:firstLine="482" w:firstLineChars="200"/>
        <w:jc w:val="left"/>
        <w:outlineLvl w:val="0"/>
        <w:rPr>
          <w:rFonts w:hint="eastAsia"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第六条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结算原则</w:t>
      </w:r>
    </w:p>
    <w:p w14:paraId="090C38E6">
      <w:pPr>
        <w:widowControl/>
        <w:numPr>
          <w:ilvl w:val="0"/>
          <w:numId w:val="0"/>
        </w:numPr>
        <w:spacing w:line="360" w:lineRule="auto"/>
        <w:ind w:firstLine="480" w:firstLineChars="200"/>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1、因应急项目的不确定性，服务期内</w:t>
      </w:r>
      <w:r>
        <w:rPr>
          <w:rFonts w:hint="eastAsia" w:ascii="宋体" w:hAnsi="宋体" w:eastAsia="宋体" w:cs="宋体"/>
          <w:color w:val="000000"/>
          <w:sz w:val="24"/>
          <w:highlight w:val="none"/>
          <w:lang w:eastAsia="zh-CN"/>
        </w:rPr>
        <w:t>发生工程量清单中未包含项目单价时，其相应综合单价由</w:t>
      </w:r>
      <w:r>
        <w:rPr>
          <w:rFonts w:hint="eastAsia" w:ascii="宋体" w:hAnsi="宋体" w:eastAsia="宋体" w:cs="宋体"/>
          <w:color w:val="000000"/>
          <w:sz w:val="24"/>
          <w:highlight w:val="none"/>
          <w:lang w:val="en-US" w:eastAsia="zh-CN"/>
        </w:rPr>
        <w:t>供应商</w:t>
      </w:r>
      <w:r>
        <w:rPr>
          <w:rFonts w:hint="eastAsia" w:ascii="宋体" w:hAnsi="宋体" w:eastAsia="宋体" w:cs="宋体"/>
          <w:color w:val="000000"/>
          <w:sz w:val="24"/>
          <w:highlight w:val="none"/>
          <w:lang w:eastAsia="zh-CN"/>
        </w:rPr>
        <w:t>提出，材料价格依据施工同期无锡市建设局公布的同期信息价，无信息价的材料按施工期间经</w:t>
      </w:r>
      <w:r>
        <w:rPr>
          <w:rFonts w:hint="eastAsia" w:ascii="宋体" w:hAnsi="宋体" w:eastAsia="宋体" w:cs="宋体"/>
          <w:color w:val="000000"/>
          <w:sz w:val="24"/>
          <w:highlight w:val="none"/>
          <w:lang w:val="en-US" w:eastAsia="zh-CN"/>
        </w:rPr>
        <w:t>采购人</w:t>
      </w:r>
      <w:r>
        <w:rPr>
          <w:rFonts w:hint="eastAsia" w:ascii="宋体" w:hAnsi="宋体" w:eastAsia="宋体" w:cs="宋体"/>
          <w:color w:val="000000"/>
          <w:sz w:val="24"/>
          <w:highlight w:val="none"/>
          <w:lang w:eastAsia="zh-CN"/>
        </w:rPr>
        <w:t>确认的市场价定价，不计取临时设施费、包干费、夜间施工增加费、冬雨季施工增加费、已完工程及设备保护费、赶工措施费、按质论价费</w:t>
      </w:r>
      <w:r>
        <w:rPr>
          <w:rFonts w:hint="eastAsia" w:ascii="宋体" w:hAnsi="宋体" w:cs="宋体"/>
          <w:color w:val="000000"/>
          <w:sz w:val="24"/>
          <w:highlight w:val="none"/>
          <w:lang w:eastAsia="zh-CN"/>
        </w:rPr>
        <w:t>。</w:t>
      </w:r>
      <w:r>
        <w:rPr>
          <w:rFonts w:hint="eastAsia" w:ascii="宋体" w:hAnsi="宋体" w:eastAsia="宋体" w:cs="宋体"/>
          <w:color w:val="000000"/>
          <w:sz w:val="24"/>
          <w:highlight w:val="none"/>
          <w:lang w:eastAsia="zh-CN"/>
        </w:rPr>
        <w:t>按上述原则计算出综合单价，让利原则为</w:t>
      </w:r>
      <w:r>
        <w:rPr>
          <w:rFonts w:hint="eastAsia" w:ascii="宋体" w:hAnsi="宋体" w:cs="宋体"/>
          <w:color w:val="000000"/>
          <w:sz w:val="24"/>
          <w:highlight w:val="none"/>
          <w:lang w:eastAsia="zh-CN"/>
        </w:rPr>
        <w:t>：土建</w:t>
      </w:r>
      <w:r>
        <w:rPr>
          <w:rFonts w:hint="eastAsia" w:ascii="宋体" w:hAnsi="宋体" w:eastAsia="宋体" w:cs="宋体"/>
          <w:color w:val="000000"/>
          <w:sz w:val="24"/>
          <w:highlight w:val="none"/>
          <w:lang w:eastAsia="zh-CN"/>
        </w:rPr>
        <w:t>15%、装饰17%、安装15%、市政（包含照明、智能化）19%、园林景观及水利20%（其中绿化为22%）、仿古建筑及修缮15%、桩基20%、基坑支护、管井降水、轻型井点降水等22%。</w:t>
      </w:r>
    </w:p>
    <w:p w14:paraId="3F6C8F20">
      <w:pPr>
        <w:widowControl/>
        <w:numPr>
          <w:ilvl w:val="0"/>
          <w:numId w:val="0"/>
        </w:numPr>
        <w:spacing w:line="360" w:lineRule="auto"/>
        <w:ind w:firstLine="480" w:firstLineChars="200"/>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2、</w:t>
      </w:r>
      <w:r>
        <w:rPr>
          <w:rFonts w:hint="eastAsia" w:ascii="宋体" w:hAnsi="宋体" w:eastAsia="宋体" w:cs="宋体"/>
          <w:color w:val="000000"/>
          <w:sz w:val="24"/>
          <w:szCs w:val="24"/>
          <w:highlight w:val="none"/>
          <w:lang w:eastAsia="zh-CN"/>
        </w:rPr>
        <w:t>本</w:t>
      </w:r>
      <w:r>
        <w:rPr>
          <w:rFonts w:hint="eastAsia" w:ascii="宋体" w:hAnsi="宋体" w:eastAsia="宋体" w:cs="宋体"/>
          <w:color w:val="000000"/>
          <w:sz w:val="24"/>
          <w:szCs w:val="24"/>
          <w:highlight w:val="none"/>
          <w:lang w:val="en-US" w:eastAsia="zh-CN"/>
        </w:rPr>
        <w:t>项目</w:t>
      </w:r>
      <w:r>
        <w:rPr>
          <w:rFonts w:hint="eastAsia" w:ascii="宋体" w:hAnsi="宋体" w:eastAsia="宋体" w:cs="宋体"/>
          <w:color w:val="000000"/>
          <w:sz w:val="24"/>
          <w:szCs w:val="24"/>
          <w:highlight w:val="none"/>
          <w:lang w:eastAsia="zh-CN"/>
        </w:rPr>
        <w:t>若发生不合理的不平衡报价，则按以下方式调整：如果投标报价高于市场价或套用定额（材料无信息指导价则按市场价）*K1（K1值取定范围：土建92%、装饰90%、安装92%、市政83%、园林景观及水利83%（其中绿化为81%）、仿古建筑及修缮92%、桩基90%、基坑支护、管井降水、轻型井点降水等88%）的综合单价</w:t>
      </w:r>
      <w:r>
        <w:rPr>
          <w:rFonts w:hint="eastAsia" w:ascii="宋体" w:hAnsi="宋体" w:cs="宋体"/>
          <w:color w:val="000000"/>
          <w:sz w:val="24"/>
          <w:szCs w:val="24"/>
          <w:highlight w:val="none"/>
          <w:lang w:eastAsia="zh-CN"/>
        </w:rPr>
        <w:t>，可</w:t>
      </w:r>
      <w:r>
        <w:rPr>
          <w:rFonts w:hint="eastAsia" w:ascii="宋体" w:hAnsi="宋体" w:eastAsia="宋体" w:cs="宋体"/>
          <w:color w:val="000000"/>
          <w:sz w:val="24"/>
          <w:szCs w:val="24"/>
          <w:highlight w:val="none"/>
          <w:lang w:eastAsia="zh-CN"/>
        </w:rPr>
        <w:t>界定为不平衡报价</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lang w:eastAsia="zh-CN"/>
        </w:rPr>
        <w:t>或投标报价低于市场价或套用定额（材料无信息指导价则按市场价）*K2（K2值取定范围：土建72%、装饰70%、安装72%、市政63%、园林景观及水利63%（其中绿化为61%）、仿古建筑及修缮72%、桩基70%、基坑支护、管井降水、轻型井点降水等68%）的综合单价</w:t>
      </w:r>
      <w:r>
        <w:rPr>
          <w:rFonts w:hint="eastAsia" w:ascii="宋体" w:hAnsi="宋体" w:cs="宋体"/>
          <w:color w:val="000000"/>
          <w:sz w:val="24"/>
          <w:szCs w:val="24"/>
          <w:highlight w:val="none"/>
          <w:lang w:eastAsia="zh-CN"/>
        </w:rPr>
        <w:t>，可</w:t>
      </w:r>
      <w:r>
        <w:rPr>
          <w:rFonts w:hint="eastAsia" w:ascii="宋体" w:hAnsi="宋体" w:eastAsia="宋体" w:cs="宋体"/>
          <w:color w:val="000000"/>
          <w:sz w:val="24"/>
          <w:szCs w:val="24"/>
          <w:highlight w:val="none"/>
          <w:lang w:eastAsia="zh-CN"/>
        </w:rPr>
        <w:t>界定为不平衡报价。②不平衡报价调整：如果投标报价高于市场价或套用定额（材料无信息指导价则按市场价）*K1的综合单价，则相关子目涉及实际工程量比原清单工程量增加部分超过15%及以上，超出原工程量清单115%部分的工程量</w:t>
      </w:r>
      <w:r>
        <w:rPr>
          <w:rFonts w:hint="eastAsia" w:ascii="宋体" w:hAnsi="宋体" w:cs="宋体"/>
          <w:color w:val="000000"/>
          <w:sz w:val="24"/>
          <w:szCs w:val="24"/>
          <w:highlight w:val="none"/>
          <w:lang w:eastAsia="zh-CN"/>
        </w:rPr>
        <w:t>，执行</w:t>
      </w:r>
      <w:r>
        <w:rPr>
          <w:rFonts w:hint="eastAsia" w:ascii="宋体" w:hAnsi="宋体" w:eastAsia="宋体" w:cs="宋体"/>
          <w:color w:val="000000"/>
          <w:sz w:val="24"/>
          <w:szCs w:val="24"/>
          <w:highlight w:val="none"/>
          <w:lang w:eastAsia="zh-CN"/>
        </w:rPr>
        <w:t>变更计价原则重新组价后结算。如果投标报价低于市场价或套用定额（材料无信息指导价则按市场价）*K2的综合单价，则相关子目涉及工程量比原工程量清单减少15%及以上，扣除减少15%以外部分的工程量</w:t>
      </w:r>
      <w:r>
        <w:rPr>
          <w:rFonts w:hint="eastAsia" w:ascii="宋体" w:hAnsi="宋体" w:cs="宋体"/>
          <w:color w:val="000000"/>
          <w:sz w:val="24"/>
          <w:szCs w:val="24"/>
          <w:highlight w:val="none"/>
          <w:lang w:eastAsia="zh-CN"/>
        </w:rPr>
        <w:t>，按</w:t>
      </w:r>
      <w:r>
        <w:rPr>
          <w:rFonts w:hint="eastAsia" w:ascii="宋体" w:hAnsi="宋体" w:eastAsia="宋体" w:cs="宋体"/>
          <w:color w:val="000000"/>
          <w:sz w:val="24"/>
          <w:szCs w:val="24"/>
          <w:highlight w:val="none"/>
          <w:lang w:eastAsia="zh-CN"/>
        </w:rPr>
        <w:t>变更计价原则组价与投标价之间的差额。清单范围内的工作项目及未界定为不平衡报价项目</w:t>
      </w:r>
      <w:r>
        <w:rPr>
          <w:rFonts w:hint="eastAsia" w:ascii="宋体" w:hAnsi="宋体" w:cs="宋体"/>
          <w:color w:val="000000"/>
          <w:sz w:val="24"/>
          <w:szCs w:val="24"/>
          <w:highlight w:val="none"/>
          <w:lang w:eastAsia="zh-CN"/>
        </w:rPr>
        <w:t>，执行</w:t>
      </w:r>
      <w:r>
        <w:rPr>
          <w:rFonts w:hint="eastAsia" w:ascii="宋体" w:hAnsi="宋体" w:eastAsia="宋体" w:cs="宋体"/>
          <w:color w:val="000000"/>
          <w:sz w:val="24"/>
          <w:szCs w:val="24"/>
          <w:highlight w:val="none"/>
          <w:lang w:eastAsia="zh-CN"/>
        </w:rPr>
        <w:t>招标文件结算条款。</w:t>
      </w:r>
    </w:p>
    <w:p w14:paraId="78D04FD9">
      <w:pPr>
        <w:spacing w:line="360" w:lineRule="auto"/>
        <w:ind w:firstLine="480" w:firstLineChars="200"/>
        <w:rPr>
          <w:rFonts w:hint="default" w:ascii="宋体" w:hAnsi="宋体" w:eastAsia="宋体" w:cs="Times New Roman"/>
          <w:b w:val="0"/>
          <w:bCs w:val="0"/>
          <w:color w:val="auto"/>
          <w:kern w:val="44"/>
          <w:sz w:val="24"/>
          <w:szCs w:val="24"/>
          <w:highlight w:val="none"/>
          <w:lang w:val="en-US" w:eastAsia="zh-CN" w:bidi="ar-SA"/>
        </w:rPr>
      </w:pPr>
      <w:r>
        <w:rPr>
          <w:rFonts w:hint="eastAsia" w:ascii="宋体" w:hAnsi="宋体" w:eastAsia="宋体" w:cs="宋体"/>
          <w:color w:val="000000"/>
          <w:sz w:val="24"/>
          <w:highlight w:val="none"/>
          <w:lang w:val="en-US" w:eastAsia="zh-CN" w:bidi="ar-SA"/>
        </w:rPr>
        <w:t>3、</w:t>
      </w:r>
      <w:r>
        <w:rPr>
          <w:rFonts w:hint="eastAsia" w:ascii="宋体" w:hAnsi="宋体" w:eastAsia="宋体" w:cs="宋体"/>
          <w:color w:val="000000"/>
          <w:sz w:val="24"/>
          <w:highlight w:val="none"/>
          <w:lang w:eastAsia="zh-CN"/>
        </w:rPr>
        <w:t>工程量按实计量，签证确认</w:t>
      </w:r>
      <w:r>
        <w:rPr>
          <w:rFonts w:hint="default" w:ascii="宋体" w:hAnsi="宋体" w:eastAsia="宋体" w:cs="Times New Roman"/>
          <w:b w:val="0"/>
          <w:bCs w:val="0"/>
          <w:color w:val="auto"/>
          <w:kern w:val="44"/>
          <w:sz w:val="24"/>
          <w:szCs w:val="24"/>
          <w:highlight w:val="none"/>
          <w:lang w:val="en-US" w:eastAsia="zh-CN" w:bidi="ar-SA"/>
        </w:rPr>
        <w:t>。</w:t>
      </w:r>
    </w:p>
    <w:p w14:paraId="796FBD1B">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第七条 违约责任</w:t>
      </w:r>
    </w:p>
    <w:p w14:paraId="6F3CC6CE">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、自甲乙双方合同签订之日起，如果乙方未及时响应甲方，甲方有权根据乙方违约对甲方造成的影响</w:t>
      </w:r>
      <w:r>
        <w:rPr>
          <w:rFonts w:hint="eastAsia" w:ascii="宋体" w:hAnsi="宋体" w:cs="Times New Roman"/>
          <w:b w:val="0"/>
          <w:bCs w:val="0"/>
          <w:color w:val="auto"/>
          <w:kern w:val="44"/>
          <w:sz w:val="24"/>
          <w:szCs w:val="24"/>
          <w:highlight w:val="none"/>
          <w:lang w:val="en-US" w:eastAsia="zh-CN" w:bidi="ar-SA"/>
        </w:rPr>
        <w:t>，对</w:t>
      </w:r>
      <w:r>
        <w:rPr>
          <w:rFonts w:hint="eastAsia" w:ascii="宋体" w:hAnsi="宋体" w:eastAsia="宋体" w:cs="Times New Roman"/>
          <w:b w:val="0"/>
          <w:bCs w:val="0"/>
          <w:color w:val="auto"/>
          <w:kern w:val="44"/>
          <w:sz w:val="24"/>
          <w:szCs w:val="24"/>
          <w:highlight w:val="none"/>
          <w:lang w:val="en-US" w:eastAsia="zh-CN" w:bidi="ar-SA"/>
        </w:rPr>
        <w:t>乙方履约保证金进行扣除</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第一次扣除</w:t>
      </w:r>
      <w:r>
        <w:rPr>
          <w:rFonts w:ascii="宋体" w:hAnsi="宋体" w:eastAsia="宋体" w:cs="Times New Roman"/>
          <w:b w:val="0"/>
          <w:bCs w:val="0"/>
          <w:color w:val="auto"/>
          <w:kern w:val="44"/>
          <w:sz w:val="24"/>
          <w:szCs w:val="24"/>
          <w:highlight w:val="none"/>
          <w:lang w:val="en-US" w:eastAsia="zh-CN" w:bidi="ar-SA"/>
        </w:rPr>
        <w:t>1000</w:t>
      </w:r>
      <w:r>
        <w:rPr>
          <w:rFonts w:hint="eastAsia" w:ascii="宋体" w:hAnsi="宋体" w:eastAsia="宋体" w:cs="Times New Roman"/>
          <w:b w:val="0"/>
          <w:bCs w:val="0"/>
          <w:color w:val="auto"/>
          <w:kern w:val="44"/>
          <w:sz w:val="24"/>
          <w:szCs w:val="24"/>
          <w:highlight w:val="none"/>
          <w:lang w:val="en-US" w:eastAsia="zh-CN" w:bidi="ar-SA"/>
        </w:rPr>
        <w:t>至</w:t>
      </w:r>
      <w:r>
        <w:rPr>
          <w:rFonts w:ascii="宋体" w:hAnsi="宋体" w:eastAsia="宋体" w:cs="Times New Roman"/>
          <w:b w:val="0"/>
          <w:bCs w:val="0"/>
          <w:color w:val="auto"/>
          <w:kern w:val="44"/>
          <w:sz w:val="24"/>
          <w:szCs w:val="24"/>
          <w:highlight w:val="none"/>
          <w:lang w:val="en-US" w:eastAsia="zh-CN" w:bidi="ar-SA"/>
        </w:rPr>
        <w:t>3000</w:t>
      </w:r>
      <w:r>
        <w:rPr>
          <w:rFonts w:hint="eastAsia" w:ascii="宋体" w:hAnsi="宋体" w:eastAsia="宋体" w:cs="Times New Roman"/>
          <w:b w:val="0"/>
          <w:bCs w:val="0"/>
          <w:color w:val="auto"/>
          <w:kern w:val="44"/>
          <w:sz w:val="24"/>
          <w:szCs w:val="24"/>
          <w:highlight w:val="none"/>
          <w:lang w:val="en-US" w:eastAsia="zh-CN" w:bidi="ar-SA"/>
        </w:rPr>
        <w:t>元；第二次扣除</w:t>
      </w:r>
      <w:r>
        <w:rPr>
          <w:rFonts w:hint="eastAsia" w:ascii="宋体" w:hAnsi="宋体" w:cs="Times New Roman"/>
          <w:b w:val="0"/>
          <w:bCs w:val="0"/>
          <w:color w:val="auto"/>
          <w:kern w:val="44"/>
          <w:sz w:val="24"/>
          <w:szCs w:val="24"/>
          <w:highlight w:val="none"/>
          <w:lang w:val="en-US" w:eastAsia="zh-CN" w:bidi="ar-SA"/>
        </w:rPr>
        <w:t>4000</w:t>
      </w:r>
      <w:r>
        <w:rPr>
          <w:rFonts w:hint="eastAsia" w:ascii="宋体" w:hAnsi="宋体" w:eastAsia="宋体" w:cs="Times New Roman"/>
          <w:b w:val="0"/>
          <w:bCs w:val="0"/>
          <w:color w:val="auto"/>
          <w:kern w:val="44"/>
          <w:sz w:val="24"/>
          <w:szCs w:val="24"/>
          <w:highlight w:val="none"/>
          <w:lang w:val="en-US" w:eastAsia="zh-CN" w:bidi="ar-SA"/>
        </w:rPr>
        <w:t>至</w:t>
      </w:r>
      <w:r>
        <w:rPr>
          <w:rFonts w:ascii="宋体" w:hAnsi="宋体" w:eastAsia="宋体" w:cs="Times New Roman"/>
          <w:b w:val="0"/>
          <w:bCs w:val="0"/>
          <w:color w:val="auto"/>
          <w:kern w:val="44"/>
          <w:sz w:val="24"/>
          <w:szCs w:val="24"/>
          <w:highlight w:val="none"/>
          <w:lang w:val="en-US" w:eastAsia="zh-CN" w:bidi="ar-SA"/>
        </w:rPr>
        <w:t>6000</w:t>
      </w:r>
      <w:r>
        <w:rPr>
          <w:rFonts w:hint="eastAsia" w:ascii="宋体" w:hAnsi="宋体" w:eastAsia="宋体" w:cs="Times New Roman"/>
          <w:b w:val="0"/>
          <w:bCs w:val="0"/>
          <w:color w:val="auto"/>
          <w:kern w:val="44"/>
          <w:sz w:val="24"/>
          <w:szCs w:val="24"/>
          <w:highlight w:val="none"/>
          <w:lang w:val="en-US" w:eastAsia="zh-CN" w:bidi="ar-SA"/>
        </w:rPr>
        <w:t>元</w:t>
      </w:r>
      <w:r>
        <w:rPr>
          <w:rFonts w:hint="eastAsia" w:ascii="宋体" w:hAnsi="宋体" w:cs="Times New Roman"/>
          <w:b w:val="0"/>
          <w:bCs w:val="0"/>
          <w:color w:val="auto"/>
          <w:kern w:val="44"/>
          <w:sz w:val="24"/>
          <w:szCs w:val="24"/>
          <w:highlight w:val="none"/>
          <w:lang w:val="en-US" w:eastAsia="zh-CN" w:bidi="ar-SA"/>
        </w:rPr>
        <w:t>，并</w:t>
      </w:r>
      <w:r>
        <w:rPr>
          <w:rFonts w:hint="eastAsia" w:ascii="宋体" w:hAnsi="宋体" w:eastAsia="宋体" w:cs="Times New Roman"/>
          <w:b w:val="0"/>
          <w:bCs w:val="0"/>
          <w:color w:val="auto"/>
          <w:kern w:val="44"/>
          <w:sz w:val="24"/>
          <w:szCs w:val="24"/>
          <w:highlight w:val="none"/>
          <w:lang w:val="en-US" w:eastAsia="zh-CN" w:bidi="ar-SA"/>
        </w:rPr>
        <w:t>对乙方进行书面警告；第三次扣除</w:t>
      </w:r>
      <w:r>
        <w:rPr>
          <w:rFonts w:hint="eastAsia" w:ascii="宋体" w:hAnsi="宋体" w:cs="Times New Roman"/>
          <w:b w:val="0"/>
          <w:bCs w:val="0"/>
          <w:color w:val="auto"/>
          <w:kern w:val="44"/>
          <w:sz w:val="24"/>
          <w:szCs w:val="24"/>
          <w:highlight w:val="none"/>
          <w:lang w:val="en-US" w:eastAsia="zh-CN" w:bidi="ar-SA"/>
        </w:rPr>
        <w:t>8000</w:t>
      </w:r>
      <w:r>
        <w:rPr>
          <w:rFonts w:hint="eastAsia" w:ascii="宋体" w:hAnsi="宋体" w:eastAsia="宋体" w:cs="Times New Roman"/>
          <w:b w:val="0"/>
          <w:bCs w:val="0"/>
          <w:color w:val="auto"/>
          <w:kern w:val="44"/>
          <w:sz w:val="24"/>
          <w:szCs w:val="24"/>
          <w:highlight w:val="none"/>
          <w:lang w:val="en-US" w:eastAsia="zh-CN" w:bidi="ar-SA"/>
        </w:rPr>
        <w:t>至</w:t>
      </w:r>
      <w:r>
        <w:rPr>
          <w:rFonts w:ascii="宋体" w:hAnsi="宋体" w:eastAsia="宋体" w:cs="Times New Roman"/>
          <w:b w:val="0"/>
          <w:bCs w:val="0"/>
          <w:color w:val="auto"/>
          <w:kern w:val="44"/>
          <w:sz w:val="24"/>
          <w:szCs w:val="24"/>
          <w:highlight w:val="none"/>
          <w:lang w:val="en-US" w:eastAsia="zh-CN" w:bidi="ar-SA"/>
        </w:rPr>
        <w:t>10000</w:t>
      </w:r>
      <w:r>
        <w:rPr>
          <w:rFonts w:hint="eastAsia" w:ascii="宋体" w:hAnsi="宋体" w:eastAsia="宋体" w:cs="Times New Roman"/>
          <w:b w:val="0"/>
          <w:bCs w:val="0"/>
          <w:color w:val="auto"/>
          <w:kern w:val="44"/>
          <w:sz w:val="24"/>
          <w:szCs w:val="24"/>
          <w:highlight w:val="none"/>
          <w:lang w:val="en-US" w:eastAsia="zh-CN" w:bidi="ar-SA"/>
        </w:rPr>
        <w:t>元，同时甲方有权单方面解除合同。</w:t>
      </w:r>
    </w:p>
    <w:p w14:paraId="537562E4">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、因乙方发生状况使合同不能履行，</w:t>
      </w:r>
      <w:r>
        <w:rPr>
          <w:rFonts w:hint="eastAsia" w:ascii="宋体" w:hAnsi="宋体" w:cs="Times New Roman"/>
          <w:b w:val="0"/>
          <w:bCs w:val="0"/>
          <w:color w:val="auto"/>
          <w:kern w:val="44"/>
          <w:sz w:val="24"/>
          <w:szCs w:val="24"/>
          <w:highlight w:val="none"/>
          <w:lang w:val="en-US" w:eastAsia="zh-CN" w:bidi="ar-SA"/>
        </w:rPr>
        <w:t>乙方应</w:t>
      </w:r>
      <w:r>
        <w:rPr>
          <w:rFonts w:hint="eastAsia" w:ascii="宋体" w:hAnsi="宋体" w:eastAsia="宋体" w:cs="Times New Roman"/>
          <w:b w:val="0"/>
          <w:bCs w:val="0"/>
          <w:color w:val="auto"/>
          <w:kern w:val="44"/>
          <w:sz w:val="24"/>
          <w:szCs w:val="24"/>
          <w:highlight w:val="none"/>
          <w:lang w:val="en-US" w:eastAsia="zh-CN" w:bidi="ar-SA"/>
        </w:rPr>
        <w:t>至少提前</w:t>
      </w:r>
      <w:r>
        <w:rPr>
          <w:rFonts w:ascii="宋体" w:hAnsi="宋体" w:eastAsia="宋体" w:cs="Times New Roman"/>
          <w:b w:val="0"/>
          <w:bCs w:val="0"/>
          <w:color w:val="auto"/>
          <w:kern w:val="44"/>
          <w:sz w:val="24"/>
          <w:szCs w:val="24"/>
          <w:highlight w:val="none"/>
          <w:lang w:val="en-US" w:eastAsia="zh-CN" w:bidi="ar-SA"/>
        </w:rPr>
        <w:t>30</w:t>
      </w:r>
      <w:r>
        <w:rPr>
          <w:rFonts w:hint="eastAsia" w:ascii="宋体" w:hAnsi="宋体" w:eastAsia="宋体" w:cs="Times New Roman"/>
          <w:b w:val="0"/>
          <w:bCs w:val="0"/>
          <w:color w:val="auto"/>
          <w:kern w:val="44"/>
          <w:sz w:val="24"/>
          <w:szCs w:val="24"/>
          <w:highlight w:val="none"/>
          <w:lang w:val="en-US" w:eastAsia="zh-CN" w:bidi="ar-SA"/>
        </w:rPr>
        <w:t>天通知甲方，且甲方有权追究乙方的违约责任。</w:t>
      </w:r>
    </w:p>
    <w:p w14:paraId="685491A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3</w:t>
      </w:r>
      <w:r>
        <w:rPr>
          <w:rFonts w:hint="eastAsia" w:ascii="宋体" w:hAnsi="宋体" w:eastAsia="宋体" w:cs="Times New Roman"/>
          <w:b w:val="0"/>
          <w:bCs w:val="0"/>
          <w:color w:val="auto"/>
          <w:kern w:val="44"/>
          <w:sz w:val="24"/>
          <w:szCs w:val="24"/>
          <w:highlight w:val="none"/>
          <w:lang w:val="en-US" w:eastAsia="zh-CN" w:bidi="ar-SA"/>
        </w:rPr>
        <w:t>、乙方不能达到合同要求的作业质量标准和有关技术规范标准</w:t>
      </w:r>
      <w:r>
        <w:rPr>
          <w:rFonts w:hint="eastAsia" w:ascii="宋体" w:hAnsi="宋体" w:cs="Times New Roman"/>
          <w:b w:val="0"/>
          <w:bCs w:val="0"/>
          <w:color w:val="auto"/>
          <w:kern w:val="44"/>
          <w:sz w:val="24"/>
          <w:szCs w:val="24"/>
          <w:highlight w:val="none"/>
          <w:lang w:val="en-US" w:eastAsia="zh-CN" w:bidi="ar-SA"/>
        </w:rPr>
        <w:t>时，</w:t>
      </w:r>
      <w:r>
        <w:rPr>
          <w:rFonts w:hint="eastAsia" w:ascii="宋体" w:hAnsi="宋体" w:eastAsia="宋体" w:cs="Times New Roman"/>
          <w:b w:val="0"/>
          <w:bCs w:val="0"/>
          <w:color w:val="auto"/>
          <w:kern w:val="44"/>
          <w:sz w:val="24"/>
          <w:szCs w:val="24"/>
          <w:highlight w:val="none"/>
          <w:lang w:val="en-US" w:eastAsia="zh-CN" w:bidi="ar-SA"/>
        </w:rPr>
        <w:t>乙方需赔偿因违约给甲方造成的损失。</w:t>
      </w:r>
    </w:p>
    <w:p w14:paraId="69C6C5A1">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4</w:t>
      </w:r>
      <w:r>
        <w:rPr>
          <w:rFonts w:hint="eastAsia" w:ascii="宋体" w:hAnsi="宋体" w:eastAsia="宋体" w:cs="Times New Roman"/>
          <w:b w:val="0"/>
          <w:bCs w:val="0"/>
          <w:color w:val="auto"/>
          <w:kern w:val="44"/>
          <w:sz w:val="24"/>
          <w:szCs w:val="24"/>
          <w:highlight w:val="none"/>
          <w:lang w:val="en-US" w:eastAsia="zh-CN" w:bidi="ar-SA"/>
        </w:rPr>
        <w:t>、由于乙方管理不善，引起政府职能部门处罚或安全措施不力造成事故的责任和因此发生的费用，由乙方承担。</w:t>
      </w:r>
    </w:p>
    <w:p w14:paraId="00BF165D">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5</w:t>
      </w:r>
      <w:r>
        <w:rPr>
          <w:rFonts w:hint="eastAsia" w:ascii="宋体" w:hAnsi="宋体" w:eastAsia="宋体" w:cs="Times New Roman"/>
          <w:b w:val="0"/>
          <w:bCs w:val="0"/>
          <w:color w:val="auto"/>
          <w:kern w:val="44"/>
          <w:sz w:val="24"/>
          <w:szCs w:val="24"/>
          <w:highlight w:val="none"/>
          <w:lang w:val="en-US" w:eastAsia="zh-CN" w:bidi="ar-SA"/>
        </w:rPr>
        <w:t>、乙方在作业期间应设立明显警示标志，如有必要，须在该处范围设置安全围栏</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如因乙方原因造成任何人员伤亡或财物损失的，责任由乙方承担。乙方应文明施工，由乙方负责施工范围内的一切安全防护措施，承担施工范围内的一切安全责任，并接受甲方及有关部门的监督。</w:t>
      </w:r>
    </w:p>
    <w:p w14:paraId="4E4E02B8">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6、乙方若存在以下任何行为，即视为违反了工程量真实性原则：</w:t>
      </w:r>
    </w:p>
    <w:p w14:paraId="0C945163">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①报告中虚增未施工或未完成的工程量；</w:t>
      </w:r>
    </w:p>
    <w:p w14:paraId="6E4BAAB7">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②重复提交同一工程量的申报；</w:t>
      </w:r>
    </w:p>
    <w:p w14:paraId="18C192A6">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③擅自篡改测量数据、施工记录或影像资料；</w:t>
      </w:r>
    </w:p>
    <w:p w14:paraId="721FE1BC">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④采取其他虚构或夸大工程量的手段骗取工程款项。</w:t>
      </w:r>
    </w:p>
    <w:p w14:paraId="0F0DF9B5">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甲方或有关审计部门将开展现场复测工作，通过比对原始记录与申报数据，形成核查报告。对于查实的违规行为，将采取以下措施：</w:t>
      </w:r>
    </w:p>
    <w:p w14:paraId="0C9AB5BD">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①要求乙方在三个工作日内对所有包含不实工程量的记录、报表及结算文件进行纠正。</w:t>
      </w:r>
    </w:p>
    <w:p w14:paraId="1665E6DD">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②对于发现的不实部分，甲方将拒绝支付相关款项，并将采取措施追回已不当支付的金额。</w:t>
      </w:r>
    </w:p>
    <w:p w14:paraId="5A0D9ED3">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③若乙方未能在规定时间内进行修正或继续提交虚假材料，甲方有权根据不实金额的20%收取违约金。若不实金额累计达到合同总额的5%或不实比例超过10%，甲方将终止合同。若乙方违反规定行为累计两次，甲方将终止合同，并将乙方列入黑</w:t>
      </w:r>
      <w:r>
        <w:rPr>
          <w:rFonts w:hint="eastAsia" w:ascii="宋体" w:hAnsi="宋体" w:cs="Times New Roman"/>
          <w:b w:val="0"/>
          <w:bCs w:val="0"/>
          <w:color w:val="auto"/>
          <w:kern w:val="44"/>
          <w:sz w:val="24"/>
          <w:szCs w:val="24"/>
          <w:highlight w:val="none"/>
          <w:lang w:val="en-US" w:eastAsia="zh-CN" w:bidi="ar-SA"/>
        </w:rPr>
        <w:t>名单</w:t>
      </w:r>
      <w:r>
        <w:rPr>
          <w:rFonts w:hint="eastAsia" w:ascii="宋体" w:hAnsi="宋体" w:eastAsia="宋体" w:cs="Times New Roman"/>
          <w:b w:val="0"/>
          <w:bCs w:val="0"/>
          <w:color w:val="auto"/>
          <w:kern w:val="44"/>
          <w:sz w:val="24"/>
          <w:szCs w:val="24"/>
          <w:highlight w:val="none"/>
          <w:lang w:val="en-US" w:eastAsia="zh-CN" w:bidi="ar-SA"/>
        </w:rPr>
        <w:t>。</w:t>
      </w:r>
    </w:p>
    <w:p w14:paraId="320C7988">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7、乙方若存在以下任一行为，即视为违反行贿规定：  </w:t>
      </w:r>
    </w:p>
    <w:p w14:paraId="18886492">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① 向甲方员工、监理、评审专家等提供现金、礼品、有价证券等利益；  </w:t>
      </w:r>
    </w:p>
    <w:p w14:paraId="6F55645A">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② 承诺提供不正当利益（如旅游、就业机会、分红等）；  </w:t>
      </w:r>
    </w:p>
    <w:p w14:paraId="788129E0">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③ 通过第三方（如分包商、顾问等）间接进行行贿。  </w:t>
      </w:r>
    </w:p>
    <w:p w14:paraId="7F13A7C1">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方一旦接获举报或线索，将在24小时内封存相关证据，并冻结乙方所有款项支付，同时向公安机关、检察机关报案，并移交完整的证据链（包括行贿物品、转账记录、录音录像等）。对于查实的行为，将采取以下措施：</w:t>
      </w:r>
    </w:p>
    <w:p w14:paraId="451BC280">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①针对违规情节较为轻微的情况，甲方将以书面形式发出警告，并督促其进行整改。</w:t>
      </w:r>
    </w:p>
    <w:p w14:paraId="5E3245FE">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②若累计收到三次书面警告或违规严重的情况，甲方将根据合同约定，立即终止合作关系，并依法没收全部履约保证金。</w:t>
      </w:r>
    </w:p>
    <w:p w14:paraId="34047F69">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③追偿甲方损失（包括重新招标费用、工期延误赔偿等），按合同总额的30%收取违约金。</w:t>
      </w:r>
    </w:p>
    <w:p w14:paraId="3D0951F3">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④将乙方及其关联企业列入甲方永久黑名单；向政府采购监管平台、建筑市场诚信信息平台报送相关信息；在法律允许的范围内，公开通报行贿事实。</w:t>
      </w:r>
    </w:p>
    <w:p w14:paraId="59ABA504">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第八条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合同争议解决途径</w:t>
      </w:r>
    </w:p>
    <w:p w14:paraId="7C145B37">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甲乙双方在履行合同的过程中如发生争议，应协商解决，协商不成的，可按下列第</w:t>
      </w:r>
      <w:r>
        <w:rPr>
          <w:rFonts w:hint="eastAsia" w:ascii="宋体" w:hAnsi="宋体" w:eastAsia="宋体" w:cs="Times New Roman"/>
          <w:b w:val="0"/>
          <w:bCs w:val="0"/>
          <w:color w:val="auto"/>
          <w:kern w:val="44"/>
          <w:sz w:val="24"/>
          <w:szCs w:val="24"/>
          <w:highlight w:val="none"/>
          <w:u w:val="singl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种方式解决。</w:t>
      </w:r>
    </w:p>
    <w:p w14:paraId="46E1A7B2">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、提交无锡市仲裁委员会仲裁。</w:t>
      </w:r>
    </w:p>
    <w:p w14:paraId="63C682D0">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、依法向新吴区人民法院提起诉讼。</w:t>
      </w:r>
    </w:p>
    <w:p w14:paraId="7F7C32E7">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第九条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乙方派驻的现场负责人及甲方代表</w:t>
      </w:r>
    </w:p>
    <w:p w14:paraId="619002D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姓名：</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职务：</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联系电话：</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 xml:space="preserve">              </w:t>
      </w:r>
    </w:p>
    <w:p w14:paraId="0DA4EA6A">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姓名：</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职务：</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联系电话：</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p>
    <w:p w14:paraId="68428883">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甲方代表：</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联系电话：</w:t>
      </w:r>
      <w:r>
        <w:rPr>
          <w:rFonts w:ascii="宋体" w:hAnsi="宋体" w:eastAsia="宋体" w:cs="Times New Roman"/>
          <w:b w:val="0"/>
          <w:bCs w:val="0"/>
          <w:color w:val="auto"/>
          <w:kern w:val="44"/>
          <w:sz w:val="24"/>
          <w:szCs w:val="24"/>
          <w:highlight w:val="none"/>
          <w:u w:val="single"/>
          <w:lang w:val="en-US" w:eastAsia="zh-CN" w:bidi="ar-SA"/>
        </w:rPr>
        <w:t xml:space="preserve">  </w:t>
      </w:r>
      <w:r>
        <w:rPr>
          <w:rFonts w:hint="eastAsia"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u w:val="singl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p>
    <w:p w14:paraId="09AEB11A">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第十条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附则</w:t>
      </w:r>
    </w:p>
    <w:p w14:paraId="1F00FEA7">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1、本合同执行期间，如遇不可抗力的自然灾害（台风、洪水、地震等）造成的经济损失双方应相互体谅，共同协商解决。</w:t>
      </w:r>
    </w:p>
    <w:p w14:paraId="33FA0088">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2、拆除物品归产权所有人，不归乙方所有。</w:t>
      </w:r>
    </w:p>
    <w:p w14:paraId="66EFE5F4">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3、合同备案：</w:t>
      </w:r>
    </w:p>
    <w:p w14:paraId="2D554BF7">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合同一式五份，供需双方各执二份，江苏万力通项目管理有限公司一份。</w:t>
      </w:r>
    </w:p>
    <w:p w14:paraId="0F4CF1A7">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4、合同生效：</w:t>
      </w:r>
    </w:p>
    <w:p w14:paraId="1A44CD0F">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本合同由供需双方签字、盖章后生效。</w:t>
      </w:r>
    </w:p>
    <w:p w14:paraId="4DA57663">
      <w:pPr>
        <w:keepNext w:val="0"/>
        <w:keepLines w:val="0"/>
        <w:widowControl w:val="0"/>
        <w:numPr>
          <w:ilvl w:val="0"/>
          <w:numId w:val="0"/>
        </w:numPr>
        <w:spacing w:before="0" w:beforeLines="0" w:after="0" w:afterLines="0" w:line="360" w:lineRule="auto"/>
        <w:ind w:firstLine="482" w:firstLineChars="200"/>
        <w:jc w:val="left"/>
        <w:outlineLvl w:val="0"/>
        <w:rPr>
          <w:rFonts w:ascii="宋体" w:hAnsi="宋体" w:eastAsia="宋体" w:cs="Times New Roman"/>
          <w:b/>
          <w:bCs/>
          <w:color w:val="auto"/>
          <w:kern w:val="44"/>
          <w:sz w:val="24"/>
          <w:szCs w:val="24"/>
          <w:highlight w:val="none"/>
          <w:lang w:val="en-US" w:eastAsia="zh-CN" w:bidi="ar-SA"/>
        </w:rPr>
      </w:pPr>
      <w:r>
        <w:rPr>
          <w:rFonts w:hint="eastAsia" w:ascii="宋体" w:hAnsi="宋体" w:eastAsia="宋体" w:cs="Times New Roman"/>
          <w:b/>
          <w:bCs/>
          <w:color w:val="auto"/>
          <w:kern w:val="44"/>
          <w:sz w:val="24"/>
          <w:szCs w:val="24"/>
          <w:highlight w:val="none"/>
          <w:lang w:val="en-US" w:eastAsia="zh-CN" w:bidi="ar-SA"/>
        </w:rPr>
        <w:t>第十一条</w:t>
      </w:r>
      <w:r>
        <w:rPr>
          <w:rFonts w:ascii="宋体" w:hAnsi="宋体" w:eastAsia="宋体" w:cs="Times New Roman"/>
          <w:b/>
          <w:bCs/>
          <w:color w:val="auto"/>
          <w:kern w:val="44"/>
          <w:sz w:val="24"/>
          <w:szCs w:val="24"/>
          <w:highlight w:val="none"/>
          <w:lang w:val="en-US" w:eastAsia="zh-CN" w:bidi="ar-SA"/>
        </w:rPr>
        <w:t xml:space="preserve"> </w:t>
      </w:r>
      <w:r>
        <w:rPr>
          <w:rFonts w:hint="eastAsia" w:ascii="宋体" w:hAnsi="宋体" w:eastAsia="宋体" w:cs="Times New Roman"/>
          <w:b/>
          <w:bCs/>
          <w:color w:val="auto"/>
          <w:kern w:val="44"/>
          <w:sz w:val="24"/>
          <w:szCs w:val="24"/>
          <w:highlight w:val="none"/>
          <w:lang w:val="en-US" w:eastAsia="zh-CN" w:bidi="ar-SA"/>
        </w:rPr>
        <w:t>补充条款</w:t>
      </w:r>
    </w:p>
    <w:p w14:paraId="7BEB7F1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1</w:t>
      </w:r>
      <w:r>
        <w:rPr>
          <w:rFonts w:hint="eastAsia" w:ascii="宋体" w:hAnsi="宋体" w:eastAsia="宋体" w:cs="Times New Roman"/>
          <w:b w:val="0"/>
          <w:bCs w:val="0"/>
          <w:color w:val="auto"/>
          <w:kern w:val="44"/>
          <w:sz w:val="24"/>
          <w:szCs w:val="24"/>
          <w:highlight w:val="none"/>
          <w:lang w:val="en-US" w:eastAsia="zh-CN" w:bidi="ar-SA"/>
        </w:rPr>
        <w:t>、本项目合同金额为预估费用，按实际发生工作量结算。如不发生工作量，到期合同自行解除，乙方不得要求任何赔偿。由于实际工作量不可预估，乙方自行承担风险。</w:t>
      </w:r>
    </w:p>
    <w:p w14:paraId="58336D1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ascii="宋体" w:hAnsi="宋体" w:eastAsia="宋体" w:cs="Times New Roman"/>
          <w:b w:val="0"/>
          <w:bCs w:val="0"/>
          <w:color w:val="auto"/>
          <w:kern w:val="44"/>
          <w:sz w:val="24"/>
          <w:szCs w:val="24"/>
          <w:highlight w:val="none"/>
          <w:lang w:val="en-US" w:eastAsia="zh-CN" w:bidi="ar-SA"/>
        </w:rPr>
        <w:t>2</w:t>
      </w:r>
      <w:r>
        <w:rPr>
          <w:rFonts w:hint="eastAsia" w:ascii="宋体" w:hAnsi="宋体" w:eastAsia="宋体" w:cs="Times New Roman"/>
          <w:b w:val="0"/>
          <w:bCs w:val="0"/>
          <w:color w:val="auto"/>
          <w:kern w:val="44"/>
          <w:sz w:val="24"/>
          <w:szCs w:val="24"/>
          <w:highlight w:val="none"/>
          <w:lang w:val="en-US" w:eastAsia="zh-CN" w:bidi="ar-SA"/>
        </w:rPr>
        <w:t>、本项目合同为固定单价合同，实际作业中产生但是乙方的中标清单中没有的子目，按照结算原则由甲方送相关部门审核后按实结算。</w:t>
      </w:r>
    </w:p>
    <w:p w14:paraId="079D92DF">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3、本项目合同附件的中标单价为含税单价，结算时只计算工作量，不再计算税金。</w:t>
      </w:r>
    </w:p>
    <w:p w14:paraId="17BB85EE">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4、本项目合同中的中标单价在合同期内固定不变，作为结算依据，乙方不得以人工涨价、机械涨价、最低工资上调、定额单价上调等任何理由改变中标单价。</w:t>
      </w:r>
    </w:p>
    <w:p w14:paraId="181E347B">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5、本项目合同中人工的工日指一个工人工作8个小时，在实际结算中，如果不足</w:t>
      </w:r>
      <w:r>
        <w:rPr>
          <w:rFonts w:hint="eastAsia" w:ascii="宋体" w:hAnsi="宋体" w:cs="Times New Roman"/>
          <w:b w:val="0"/>
          <w:bCs w:val="0"/>
          <w:color w:val="auto"/>
          <w:kern w:val="44"/>
          <w:sz w:val="24"/>
          <w:szCs w:val="24"/>
          <w:highlight w:val="none"/>
          <w:lang w:val="en-US" w:eastAsia="zh-CN" w:bidi="ar-SA"/>
        </w:rPr>
        <w:t>一个</w:t>
      </w:r>
      <w:r>
        <w:rPr>
          <w:rFonts w:hint="eastAsia" w:ascii="宋体" w:hAnsi="宋体" w:eastAsia="宋体" w:cs="Times New Roman"/>
          <w:b w:val="0"/>
          <w:bCs w:val="0"/>
          <w:color w:val="auto"/>
          <w:kern w:val="44"/>
          <w:sz w:val="24"/>
          <w:szCs w:val="24"/>
          <w:highlight w:val="none"/>
          <w:lang w:val="en-US" w:eastAsia="zh-CN" w:bidi="ar-SA"/>
        </w:rPr>
        <w:t>工日的在4小时（含）内按半个工日计算，4-8小时之内按一个工日计算。机械台班指一台机械工作8个小时，在实际结算中，如果不足一台班的在4小时（含）内按半个台班计算，4-8小时之内按一个台班计算。</w:t>
      </w:r>
    </w:p>
    <w:p w14:paraId="487B8AF7">
      <w:pPr>
        <w:keepNext w:val="0"/>
        <w:keepLines w:val="0"/>
        <w:widowControl w:val="0"/>
        <w:numPr>
          <w:ilvl w:val="0"/>
          <w:numId w:val="0"/>
        </w:numPr>
        <w:spacing w:before="0" w:beforeLines="0" w:after="0" w:afterLines="0" w:line="360" w:lineRule="auto"/>
        <w:ind w:firstLine="480" w:firstLineChars="200"/>
        <w:jc w:val="left"/>
        <w:outlineLvl w:val="0"/>
        <w:rPr>
          <w:rFonts w:hint="eastAsia" w:ascii="Times New Roman" w:hAnsi="Times New Roman" w:eastAsia="宋体" w:cs="Times New Roman"/>
          <w:highlight w:val="none"/>
          <w:lang w:val="en-US" w:eastAsia="zh-CN"/>
        </w:rPr>
      </w:pPr>
      <w:r>
        <w:rPr>
          <w:rFonts w:hint="eastAsia" w:ascii="宋体" w:hAnsi="宋体" w:eastAsia="宋体" w:cs="Times New Roman"/>
          <w:b w:val="0"/>
          <w:bCs w:val="0"/>
          <w:color w:val="auto"/>
          <w:kern w:val="44"/>
          <w:sz w:val="24"/>
          <w:szCs w:val="24"/>
          <w:highlight w:val="none"/>
          <w:lang w:val="en-US" w:eastAsia="zh-CN" w:bidi="ar-SA"/>
        </w:rPr>
        <w:t>6、</w:t>
      </w:r>
      <w:r>
        <w:rPr>
          <w:rFonts w:ascii="宋体" w:hAnsi="宋体" w:eastAsia="宋体" w:cs="Times New Roman"/>
          <w:b w:val="0"/>
          <w:bCs w:val="0"/>
          <w:color w:val="auto"/>
          <w:kern w:val="44"/>
          <w:sz w:val="24"/>
          <w:szCs w:val="24"/>
          <w:highlight w:val="none"/>
          <w:lang w:bidi="ar-SA"/>
        </w:rPr>
        <w:t>本项目合同中涉及的违停处罚警示广告设施的制作与安装（包括广告牌的维护等）</w:t>
      </w:r>
      <w:r>
        <w:rPr>
          <w:rFonts w:hint="eastAsia" w:ascii="宋体" w:hAnsi="宋体" w:eastAsia="宋体" w:cs="Times New Roman"/>
          <w:b w:val="0"/>
          <w:bCs w:val="0"/>
          <w:color w:val="auto"/>
          <w:kern w:val="44"/>
          <w:sz w:val="24"/>
          <w:szCs w:val="24"/>
          <w:highlight w:val="none"/>
          <w:lang w:eastAsia="zh-CN" w:bidi="ar-SA"/>
        </w:rPr>
        <w:t>、</w:t>
      </w:r>
      <w:r>
        <w:rPr>
          <w:rFonts w:ascii="宋体" w:hAnsi="宋体" w:eastAsia="宋体" w:cs="Times New Roman"/>
          <w:b w:val="0"/>
          <w:bCs w:val="0"/>
          <w:color w:val="auto"/>
          <w:kern w:val="44"/>
          <w:sz w:val="24"/>
          <w:szCs w:val="24"/>
          <w:highlight w:val="none"/>
          <w:lang w:bidi="ar-SA"/>
        </w:rPr>
        <w:t>拆除违法广告设施和违章建筑的中标单价</w:t>
      </w:r>
      <w:r>
        <w:rPr>
          <w:rFonts w:hint="eastAsia" w:ascii="宋体" w:hAnsi="宋体" w:eastAsia="宋体" w:cs="Times New Roman"/>
          <w:b w:val="0"/>
          <w:bCs w:val="0"/>
          <w:color w:val="auto"/>
          <w:kern w:val="44"/>
          <w:sz w:val="24"/>
          <w:szCs w:val="24"/>
          <w:highlight w:val="none"/>
          <w:lang w:val="en-US" w:eastAsia="zh-CN" w:bidi="ar-SA"/>
        </w:rPr>
        <w:t>应</w:t>
      </w:r>
      <w:r>
        <w:rPr>
          <w:rFonts w:ascii="宋体" w:hAnsi="宋体" w:eastAsia="宋体" w:cs="Times New Roman"/>
          <w:b w:val="0"/>
          <w:bCs w:val="0"/>
          <w:color w:val="auto"/>
          <w:kern w:val="44"/>
          <w:sz w:val="24"/>
          <w:szCs w:val="24"/>
          <w:highlight w:val="none"/>
          <w:lang w:bidi="ar-SA"/>
        </w:rPr>
        <w:t>包含人工、材料和机械等所有相关费用。</w:t>
      </w:r>
    </w:p>
    <w:p w14:paraId="78DA80F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        方：（公章）</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乙        方：（公章）</w:t>
      </w:r>
    </w:p>
    <w:p w14:paraId="1736D3E0">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地</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址：</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地</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址：</w:t>
      </w:r>
    </w:p>
    <w:p w14:paraId="0724F26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法定代表人：（签字）                 </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法定代表人：（签字）</w:t>
      </w:r>
    </w:p>
    <w:p w14:paraId="37B85E06">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委托代理人：（签字）</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委托代理人：（签字）</w:t>
      </w:r>
    </w:p>
    <w:p w14:paraId="69D3E9CD">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电</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话：</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电</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话：</w:t>
      </w:r>
    </w:p>
    <w:p w14:paraId="574CEBB8">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传</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真：</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传</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真：</w:t>
      </w:r>
    </w:p>
    <w:p w14:paraId="4E4D984C">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开户银行：</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开户银行：</w:t>
      </w:r>
    </w:p>
    <w:p w14:paraId="76F9E8FA">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账</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号：</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cs="Times New Roman"/>
          <w:b w:val="0"/>
          <w:bCs w:val="0"/>
          <w:color w:val="auto"/>
          <w:kern w:val="44"/>
          <w:sz w:val="24"/>
          <w:szCs w:val="24"/>
          <w:highlight w:val="none"/>
          <w:lang w:val="en-US" w:eastAsia="zh-CN" w:bidi="ar-SA"/>
        </w:rPr>
        <w:t>账号</w:t>
      </w:r>
      <w:r>
        <w:rPr>
          <w:rFonts w:hint="eastAsia" w:ascii="宋体" w:hAnsi="宋体" w:eastAsia="宋体" w:cs="Times New Roman"/>
          <w:b w:val="0"/>
          <w:bCs w:val="0"/>
          <w:color w:val="auto"/>
          <w:kern w:val="44"/>
          <w:sz w:val="24"/>
          <w:szCs w:val="24"/>
          <w:highlight w:val="none"/>
          <w:lang w:val="en-US" w:eastAsia="zh-CN" w:bidi="ar-SA"/>
        </w:rPr>
        <w:t>：</w:t>
      </w:r>
    </w:p>
    <w:p w14:paraId="47380A5C">
      <w:pPr>
        <w:keepNext w:val="0"/>
        <w:keepLines w:val="0"/>
        <w:widowControl w:val="0"/>
        <w:numPr>
          <w:ilvl w:val="0"/>
          <w:numId w:val="0"/>
        </w:numPr>
        <w:spacing w:before="0" w:beforeLines="0" w:after="0" w:afterLines="0" w:line="360" w:lineRule="auto"/>
        <w:ind w:firstLine="480" w:firstLineChars="200"/>
        <w:jc w:val="left"/>
        <w:outlineLvl w:val="0"/>
        <w:rPr>
          <w:rFonts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邮政编码：</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ab/>
      </w:r>
      <w:r>
        <w:rPr>
          <w:rFonts w:hint="eastAsia" w:ascii="宋体" w:hAnsi="宋体" w:eastAsia="宋体" w:cs="Times New Roman"/>
          <w:b w:val="0"/>
          <w:bCs w:val="0"/>
          <w:color w:val="auto"/>
          <w:kern w:val="44"/>
          <w:sz w:val="24"/>
          <w:szCs w:val="24"/>
          <w:highlight w:val="none"/>
          <w:lang w:val="en-US" w:eastAsia="zh-CN" w:bidi="ar-SA"/>
        </w:rPr>
        <w:t xml:space="preserve">  邮政编码：</w:t>
      </w:r>
    </w:p>
    <w:p w14:paraId="39C35DE7">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           年   月   日                            年   月   日</w:t>
      </w:r>
    </w:p>
    <w:p w14:paraId="2576C3F1">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p>
    <w:p w14:paraId="43861C69">
      <w:pPr>
        <w:keepNext w:val="0"/>
        <w:keepLines w:val="0"/>
        <w:widowControl w:val="0"/>
        <w:numPr>
          <w:ilvl w:val="0"/>
          <w:numId w:val="0"/>
        </w:numPr>
        <w:spacing w:before="0" w:beforeLines="0" w:after="0" w:afterLines="0" w:line="360" w:lineRule="auto"/>
        <w:ind w:firstLine="480" w:firstLineChars="200"/>
        <w:jc w:val="left"/>
        <w:outlineLvl w:val="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见证</w:t>
      </w:r>
      <w:r>
        <w:rPr>
          <w:rFonts w:ascii="宋体" w:hAnsi="宋体" w:eastAsia="宋体" w:cs="Times New Roman"/>
          <w:b w:val="0"/>
          <w:bCs w:val="0"/>
          <w:color w:val="auto"/>
          <w:kern w:val="44"/>
          <w:sz w:val="24"/>
          <w:szCs w:val="24"/>
          <w:highlight w:val="none"/>
          <w:lang w:val="en-US" w:eastAsia="zh-CN" w:bidi="ar-SA"/>
        </w:rPr>
        <w:t xml:space="preserve">方（盖章）：       </w:t>
      </w:r>
      <w:r>
        <w:rPr>
          <w:rFonts w:hint="eastAsia" w:ascii="宋体" w:hAnsi="宋体" w:eastAsia="宋体" w:cs="Times New Roman"/>
          <w:b w:val="0"/>
          <w:bCs w:val="0"/>
          <w:color w:val="auto"/>
          <w:kern w:val="44"/>
          <w:sz w:val="24"/>
          <w:szCs w:val="24"/>
          <w:highlight w:val="none"/>
          <w:lang w:val="en-US" w:eastAsia="zh-CN" w:bidi="ar-SA"/>
        </w:rPr>
        <w:t xml:space="preserve">                  </w:t>
      </w:r>
    </w:p>
    <w:p w14:paraId="38436940">
      <w:pPr>
        <w:widowControl/>
        <w:spacing w:line="360" w:lineRule="auto"/>
        <w:ind w:firstLine="480"/>
        <w:jc w:val="left"/>
        <w:rPr>
          <w:rFonts w:hint="eastAsia" w:ascii="宋体" w:hAnsi="宋体" w:eastAsia="宋体" w:cs="Times New Roman"/>
          <w:bCs/>
          <w:color w:val="auto"/>
          <w:sz w:val="24"/>
          <w:highlight w:val="none"/>
        </w:rPr>
      </w:pPr>
      <w:r>
        <w:rPr>
          <w:rFonts w:ascii="宋体" w:hAnsi="宋体" w:eastAsia="宋体" w:cs="Times New Roman"/>
          <w:b w:val="0"/>
          <w:bCs w:val="0"/>
          <w:color w:val="auto"/>
          <w:kern w:val="44"/>
          <w:sz w:val="24"/>
          <w:szCs w:val="24"/>
          <w:highlight w:val="none"/>
          <w:lang w:val="en-US" w:eastAsia="zh-CN" w:bidi="ar-SA"/>
        </w:rPr>
        <w:t xml:space="preserve">日期：   </w:t>
      </w:r>
      <w:r>
        <w:rPr>
          <w:rFonts w:hint="eastAsia"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年 </w:t>
      </w:r>
      <w:r>
        <w:rPr>
          <w:rFonts w:hint="eastAsia"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月 </w:t>
      </w:r>
      <w:r>
        <w:rPr>
          <w:rFonts w:hint="eastAsia" w:ascii="宋体" w:hAnsi="宋体" w:eastAsia="宋体" w:cs="Times New Roman"/>
          <w:b w:val="0"/>
          <w:bCs w:val="0"/>
          <w:color w:val="auto"/>
          <w:kern w:val="44"/>
          <w:sz w:val="24"/>
          <w:szCs w:val="24"/>
          <w:highlight w:val="none"/>
          <w:lang w:val="en-US" w:eastAsia="zh-CN" w:bidi="ar-SA"/>
        </w:rPr>
        <w:t xml:space="preserve"> </w:t>
      </w:r>
      <w:r>
        <w:rPr>
          <w:rFonts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eastAsia="宋体" w:cs="Times New Roman"/>
          <w:bCs/>
          <w:color w:val="auto"/>
          <w:sz w:val="24"/>
          <w:highlight w:val="none"/>
        </w:rPr>
        <w:t>日</w:t>
      </w:r>
    </w:p>
    <w:p w14:paraId="3EFCD1C5">
      <w:pPr>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br w:type="page"/>
      </w:r>
    </w:p>
    <w:p w14:paraId="31B436CF">
      <w:pPr>
        <w:spacing w:after="120" w:line="520" w:lineRule="exact"/>
        <w:rPr>
          <w:rFonts w:ascii="宋体" w:hAnsi="宋体" w:eastAsia="宋体" w:cs="宋体"/>
          <w:b/>
          <w:bCs/>
          <w:szCs w:val="21"/>
          <w:highlight w:val="none"/>
        </w:rPr>
      </w:pPr>
      <w:r>
        <w:rPr>
          <w:rFonts w:hint="eastAsia" w:ascii="宋体" w:hAnsi="宋体" w:eastAsia="宋体" w:cs="宋体"/>
          <w:b/>
          <w:bCs/>
          <w:szCs w:val="21"/>
          <w:highlight w:val="none"/>
          <w:lang w:val="en-US" w:eastAsia="zh-CN"/>
        </w:rPr>
        <w:t>附件1：</w:t>
      </w:r>
      <w:r>
        <w:rPr>
          <w:rFonts w:hint="eastAsia" w:ascii="宋体" w:hAnsi="宋体" w:eastAsia="宋体" w:cs="宋体"/>
          <w:b/>
          <w:bCs/>
          <w:szCs w:val="21"/>
          <w:highlight w:val="none"/>
        </w:rPr>
        <w:t>廉政协议书</w:t>
      </w:r>
    </w:p>
    <w:p w14:paraId="2CFD2E1A">
      <w:pPr>
        <w:spacing w:after="120" w:line="520" w:lineRule="exact"/>
        <w:jc w:val="center"/>
        <w:rPr>
          <w:rFonts w:ascii="宋体" w:hAnsi="宋体" w:eastAsia="宋体" w:cs="宋体"/>
          <w:b/>
          <w:bCs/>
          <w:szCs w:val="21"/>
          <w:highlight w:val="none"/>
        </w:rPr>
      </w:pPr>
      <w:r>
        <w:rPr>
          <w:rFonts w:hint="eastAsia" w:ascii="宋体" w:hAnsi="宋体" w:eastAsia="宋体" w:cs="宋体"/>
          <w:b/>
          <w:bCs/>
          <w:szCs w:val="21"/>
          <w:highlight w:val="none"/>
        </w:rPr>
        <w:t>廉政协议书</w:t>
      </w:r>
    </w:p>
    <w:p w14:paraId="2FD5D761">
      <w:pPr>
        <w:spacing w:line="360" w:lineRule="auto"/>
        <w:rPr>
          <w:rFonts w:ascii="宋体" w:hAnsi="宋体" w:eastAsia="宋体" w:cs="宋体"/>
          <w:b/>
          <w:szCs w:val="21"/>
          <w:highlight w:val="none"/>
          <w:u w:val="single"/>
        </w:rPr>
      </w:pPr>
      <w:r>
        <w:rPr>
          <w:rFonts w:hint="eastAsia" w:ascii="宋体" w:hAnsi="宋体" w:eastAsia="宋体" w:cs="宋体"/>
          <w:b/>
          <w:szCs w:val="21"/>
          <w:highlight w:val="none"/>
          <w:lang w:val="en-US" w:eastAsia="zh-CN"/>
        </w:rPr>
        <w:t>甲方</w:t>
      </w:r>
      <w:r>
        <w:rPr>
          <w:rFonts w:hint="eastAsia" w:ascii="宋体" w:hAnsi="宋体" w:eastAsia="宋体" w:cs="宋体"/>
          <w:b/>
          <w:szCs w:val="21"/>
          <w:highlight w:val="none"/>
        </w:rPr>
        <w:t>（全称）：</w:t>
      </w:r>
    </w:p>
    <w:p w14:paraId="161FF29D">
      <w:pPr>
        <w:spacing w:line="360" w:lineRule="auto"/>
        <w:rPr>
          <w:rFonts w:ascii="宋体" w:hAnsi="宋体" w:eastAsia="宋体" w:cs="宋体"/>
          <w:b/>
          <w:szCs w:val="21"/>
          <w:highlight w:val="none"/>
          <w:u w:val="single"/>
        </w:rPr>
      </w:pPr>
      <w:r>
        <w:rPr>
          <w:rFonts w:hint="eastAsia" w:ascii="宋体" w:hAnsi="宋体" w:eastAsia="宋体" w:cs="宋体"/>
          <w:b/>
          <w:szCs w:val="21"/>
          <w:highlight w:val="none"/>
          <w:lang w:val="en-US" w:eastAsia="zh-CN"/>
        </w:rPr>
        <w:t>乙方</w:t>
      </w:r>
      <w:r>
        <w:rPr>
          <w:rFonts w:hint="eastAsia" w:ascii="宋体" w:hAnsi="宋体" w:eastAsia="宋体" w:cs="宋体"/>
          <w:b/>
          <w:szCs w:val="21"/>
          <w:highlight w:val="none"/>
        </w:rPr>
        <w:t>（全称）：</w:t>
      </w:r>
      <w:r>
        <w:rPr>
          <w:rFonts w:hint="eastAsia" w:ascii="宋体" w:hAnsi="宋体" w:eastAsia="宋体" w:cs="宋体"/>
          <w:b/>
          <w:szCs w:val="21"/>
          <w:highlight w:val="none"/>
          <w:u w:val="single"/>
        </w:rPr>
        <w:t xml:space="preserve">                 </w:t>
      </w:r>
    </w:p>
    <w:p w14:paraId="0A37E4B4">
      <w:pPr>
        <w:widowControl w:val="0"/>
        <w:spacing w:line="360" w:lineRule="auto"/>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根据《中华人民共和国政府采购法》、《中华人民共和国招标投标法》和国家及省市区关于加强党风廉政建设的各项规定和要求，为规范双方的购销行为，杜绝采购项目执行中腐败现象的产生，确保正常的业务交往，甲乙双方共同就所有往来的业务及服务达成以下廉政协议：</w:t>
      </w:r>
    </w:p>
    <w:p w14:paraId="151685D1">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一、甲方承诺严格遵守上级部门规定的有关廉政规定：</w:t>
      </w:r>
    </w:p>
    <w:p w14:paraId="757EA441">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1.不得向乙方暗示、索取或接受礼品、礼金、有价证券、信用卡等。</w:t>
      </w:r>
    </w:p>
    <w:p w14:paraId="44A12A07">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2.不得接受乙方各种名义的宴请及安排的娱乐活动。</w:t>
      </w:r>
    </w:p>
    <w:p w14:paraId="63DCE0FC">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3.严格按照要求的采购货物和服务项目合同进行采购和实施，不得从合同渠道之外购进产品、服务。</w:t>
      </w:r>
    </w:p>
    <w:p w14:paraId="492A35FC">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4.不得要求乙方为甲方相关工作人员个人及配偶、子女提供通讯工具、交通工具、住房装修、婚丧嫁娶、工作安排。</w:t>
      </w:r>
    </w:p>
    <w:p w14:paraId="68B9B056">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5.不得指定购进合同渠道之外的物品。</w:t>
      </w:r>
    </w:p>
    <w:p w14:paraId="4EE79746">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6.不得在乙方报销应由甲方相关工作人员个人承担的费用。</w:t>
      </w:r>
    </w:p>
    <w:p w14:paraId="3437EA1C">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二、乙方承诺严格按照项目合同提供商品和服务，严格遵守国家反贿赂/商业贿赂的有关规定和要求：</w:t>
      </w:r>
    </w:p>
    <w:p w14:paraId="0D088761">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1.不得以任何理由向甲方工作人员赠送礼品、礼金、有价证券、信用卡等。</w:t>
      </w:r>
    </w:p>
    <w:p w14:paraId="1C390D6B">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2.不得以各种名义宴请甲方相关工作人员及提供娱乐活动。</w:t>
      </w:r>
    </w:p>
    <w:p w14:paraId="796BB347">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3.不得以任何理由为甲方相关工作人员个人</w:t>
      </w:r>
      <w:r>
        <w:rPr>
          <w:rFonts w:hint="eastAsia" w:ascii="宋体" w:hAnsi="宋体" w:cs="Times New Roman"/>
          <w:b w:val="0"/>
          <w:bCs w:val="0"/>
          <w:color w:val="auto"/>
          <w:kern w:val="44"/>
          <w:sz w:val="24"/>
          <w:szCs w:val="24"/>
          <w:highlight w:val="none"/>
          <w:lang w:val="en-US" w:eastAsia="zh-CN" w:bidi="ar-SA"/>
        </w:rPr>
        <w:t>及其</w:t>
      </w:r>
      <w:r>
        <w:rPr>
          <w:rFonts w:hint="eastAsia" w:ascii="宋体" w:hAnsi="宋体" w:eastAsia="宋体" w:cs="Times New Roman"/>
          <w:b w:val="0"/>
          <w:bCs w:val="0"/>
          <w:color w:val="auto"/>
          <w:kern w:val="44"/>
          <w:sz w:val="24"/>
          <w:szCs w:val="24"/>
          <w:highlight w:val="none"/>
          <w:lang w:val="en-US" w:eastAsia="zh-CN" w:bidi="ar-SA"/>
        </w:rPr>
        <w:t>配偶、子女提供通讯工具、交通工具、住房装修、婚丧嫁娶、工作安排、外出旅游等便利。</w:t>
      </w:r>
    </w:p>
    <w:p w14:paraId="2CE292A9">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4.不得以任何理由为甲方相关工作人员个人或</w:t>
      </w:r>
      <w:r>
        <w:rPr>
          <w:rFonts w:hint="eastAsia" w:ascii="宋体" w:hAnsi="宋体" w:cs="Times New Roman"/>
          <w:b w:val="0"/>
          <w:bCs w:val="0"/>
          <w:color w:val="auto"/>
          <w:kern w:val="44"/>
          <w:sz w:val="24"/>
          <w:szCs w:val="24"/>
          <w:highlight w:val="none"/>
          <w:lang w:val="en-US" w:eastAsia="zh-CN" w:bidi="ar-SA"/>
        </w:rPr>
        <w:t>其近亲属</w:t>
      </w:r>
      <w:r>
        <w:rPr>
          <w:rFonts w:hint="eastAsia" w:ascii="宋体" w:hAnsi="宋体" w:eastAsia="宋体" w:cs="Times New Roman"/>
          <w:b w:val="0"/>
          <w:bCs w:val="0"/>
          <w:color w:val="auto"/>
          <w:kern w:val="44"/>
          <w:sz w:val="24"/>
          <w:szCs w:val="24"/>
          <w:highlight w:val="none"/>
          <w:lang w:val="en-US" w:eastAsia="zh-CN" w:bidi="ar-SA"/>
        </w:rPr>
        <w:t>提供交易合同范围以外的商品、服务或报销应由个人承担的费用的便利。</w:t>
      </w:r>
    </w:p>
    <w:p w14:paraId="5E8B897E">
      <w:pPr>
        <w:widowControl w:val="0"/>
        <w:spacing w:line="360" w:lineRule="auto"/>
        <w:ind w:firstLine="48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三、如果有确切证据能够证明甲方员工或甲方委托的第三方公司员工存在上述非法行为</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乙方将采取适当措施保护双方的利益。仅为此目的</w:t>
      </w:r>
      <w:r>
        <w:rPr>
          <w:rFonts w:hint="eastAsia" w:ascii="宋体" w:hAnsi="宋体" w:cs="Times New Roman"/>
          <w:b w:val="0"/>
          <w:bCs w:val="0"/>
          <w:color w:val="auto"/>
          <w:kern w:val="44"/>
          <w:sz w:val="24"/>
          <w:szCs w:val="24"/>
          <w:highlight w:val="none"/>
          <w:lang w:val="en-US" w:eastAsia="zh-CN" w:bidi="ar-SA"/>
        </w:rPr>
        <w:t>，且</w:t>
      </w:r>
      <w:r>
        <w:rPr>
          <w:rFonts w:hint="eastAsia" w:ascii="宋体" w:hAnsi="宋体" w:eastAsia="宋体" w:cs="Times New Roman"/>
          <w:b w:val="0"/>
          <w:bCs w:val="0"/>
          <w:color w:val="auto"/>
          <w:kern w:val="44"/>
          <w:sz w:val="24"/>
          <w:szCs w:val="24"/>
          <w:highlight w:val="none"/>
          <w:lang w:val="en-US" w:eastAsia="zh-CN" w:bidi="ar-SA"/>
        </w:rPr>
        <w:t>无论主合同是否另设定有其他通知方式，乙方均可以电邮方式通知甲方。</w:t>
      </w:r>
    </w:p>
    <w:p w14:paraId="072F2A97">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四、乙方违反上述有关规定的，甲方有权按国家有关法律法规进行处理。所有由此产生的经济损失</w:t>
      </w:r>
      <w:r>
        <w:rPr>
          <w:rFonts w:hint="eastAsia" w:ascii="宋体" w:hAnsi="宋体" w:cs="Times New Roman"/>
          <w:b w:val="0"/>
          <w:bCs w:val="0"/>
          <w:color w:val="auto"/>
          <w:kern w:val="44"/>
          <w:sz w:val="24"/>
          <w:szCs w:val="24"/>
          <w:highlight w:val="none"/>
          <w:lang w:val="en-US" w:eastAsia="zh-CN" w:bidi="ar-SA"/>
        </w:rPr>
        <w:t>，由乙方</w:t>
      </w:r>
      <w:r>
        <w:rPr>
          <w:rFonts w:hint="eastAsia" w:ascii="宋体" w:hAnsi="宋体" w:eastAsia="宋体" w:cs="Times New Roman"/>
          <w:b w:val="0"/>
          <w:bCs w:val="0"/>
          <w:color w:val="auto"/>
          <w:kern w:val="44"/>
          <w:sz w:val="24"/>
          <w:szCs w:val="24"/>
          <w:highlight w:val="none"/>
          <w:lang w:val="en-US" w:eastAsia="zh-CN" w:bidi="ar-SA"/>
        </w:rPr>
        <w:t>承担赔偿责任。同时，乙方承诺：在乙方违反上述规定</w:t>
      </w:r>
      <w:r>
        <w:rPr>
          <w:rFonts w:hint="eastAsia" w:ascii="宋体" w:hAnsi="宋体" w:cs="Times New Roman"/>
          <w:b w:val="0"/>
          <w:bCs w:val="0"/>
          <w:color w:val="auto"/>
          <w:kern w:val="44"/>
          <w:sz w:val="24"/>
          <w:szCs w:val="24"/>
          <w:highlight w:val="none"/>
          <w:lang w:val="en-US" w:eastAsia="zh-CN" w:bidi="ar-SA"/>
        </w:rPr>
        <w:t>的行为</w:t>
      </w:r>
      <w:r>
        <w:rPr>
          <w:rFonts w:hint="eastAsia" w:ascii="宋体" w:hAnsi="宋体" w:eastAsia="宋体" w:cs="Times New Roman"/>
          <w:b w:val="0"/>
          <w:bCs w:val="0"/>
          <w:color w:val="auto"/>
          <w:kern w:val="44"/>
          <w:sz w:val="24"/>
          <w:szCs w:val="24"/>
          <w:highlight w:val="none"/>
          <w:lang w:val="en-US" w:eastAsia="zh-CN" w:bidi="ar-SA"/>
        </w:rPr>
        <w:t>被发现之日起2年内，乙方不参与甲方为招标人或采购人的招投标或采购活动；如乙方违反承诺参与甲方为招标人或采购人的招投标或采购活动并中标的，甲方有权要求按废标处理，取消乙方中标资格，重新进行招投标或采购，且乙方应赔偿甲方由此产生的招标/采购费用和其他损失。</w:t>
      </w:r>
    </w:p>
    <w:p w14:paraId="03CC88A3">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五、本协议具有与合同同等的法律效力。当合同与本协议有冲突时，以本协议为准。</w:t>
      </w:r>
    </w:p>
    <w:p w14:paraId="4A47C44B">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六、争议的解决：甲乙双方就执行本协议发生的争议，可向</w:t>
      </w:r>
      <w:r>
        <w:rPr>
          <w:rFonts w:hint="eastAsia" w:ascii="宋体" w:hAnsi="宋体" w:cs="Times New Roman"/>
          <w:b w:val="0"/>
          <w:bCs w:val="0"/>
          <w:color w:val="auto"/>
          <w:kern w:val="44"/>
          <w:sz w:val="24"/>
          <w:szCs w:val="24"/>
          <w:highlight w:val="none"/>
          <w:lang w:val="en-US" w:eastAsia="zh-CN" w:bidi="ar-SA"/>
        </w:rPr>
        <w:t>仲裁机构</w:t>
      </w:r>
      <w:r>
        <w:rPr>
          <w:rFonts w:hint="eastAsia" w:ascii="宋体" w:hAnsi="宋体" w:eastAsia="宋体" w:cs="Times New Roman"/>
          <w:b w:val="0"/>
          <w:bCs w:val="0"/>
          <w:color w:val="auto"/>
          <w:kern w:val="44"/>
          <w:sz w:val="24"/>
          <w:szCs w:val="24"/>
          <w:highlight w:val="none"/>
          <w:lang w:val="en-US" w:eastAsia="zh-CN" w:bidi="ar-SA"/>
        </w:rPr>
        <w:t>申请仲裁。</w:t>
      </w:r>
    </w:p>
    <w:p w14:paraId="733D7CBE">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七、本协议最终解释权、修订权归甲方所有。</w:t>
      </w:r>
    </w:p>
    <w:p w14:paraId="21FF1CCB">
      <w:pPr>
        <w:spacing w:line="360" w:lineRule="auto"/>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八、本协议自双方签字盖章之日起生效。本协议一式两份，甲方执一份，乙方执一份。</w:t>
      </w:r>
    </w:p>
    <w:p w14:paraId="4555DEF5">
      <w:pPr>
        <w:spacing w:line="440" w:lineRule="exact"/>
        <w:rPr>
          <w:rFonts w:hint="eastAsia" w:ascii="宋体" w:hAnsi="宋体" w:eastAsia="宋体" w:cs="Times New Roman"/>
          <w:b w:val="0"/>
          <w:bCs w:val="0"/>
          <w:color w:val="auto"/>
          <w:kern w:val="44"/>
          <w:sz w:val="24"/>
          <w:szCs w:val="24"/>
          <w:highlight w:val="none"/>
          <w:lang w:val="en-US" w:eastAsia="zh-CN" w:bidi="ar-SA"/>
        </w:rPr>
      </w:pPr>
    </w:p>
    <w:p w14:paraId="0BBBF52C">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甲方盖章：                            乙方盖章：</w:t>
      </w:r>
    </w:p>
    <w:p w14:paraId="2546282A">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法定代表人</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 xml:space="preserve">                          法定代表人</w:t>
      </w:r>
      <w:r>
        <w:rPr>
          <w:rFonts w:hint="eastAsia" w:ascii="宋体" w:hAnsi="宋体" w:cs="Times New Roman"/>
          <w:b w:val="0"/>
          <w:bCs w:val="0"/>
          <w:color w:val="auto"/>
          <w:kern w:val="44"/>
          <w:sz w:val="24"/>
          <w:szCs w:val="24"/>
          <w:highlight w:val="none"/>
          <w:lang w:val="en-US" w:eastAsia="zh-CN" w:bidi="ar-SA"/>
        </w:rPr>
        <w:t>：</w:t>
      </w:r>
    </w:p>
    <w:p w14:paraId="656F2F07">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（或授权代表）</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或授权代表</w:t>
      </w:r>
      <w:r>
        <w:rPr>
          <w:rFonts w:hint="eastAsia" w:ascii="宋体" w:hAnsi="宋体" w:cs="Times New Roman"/>
          <w:b w:val="0"/>
          <w:bCs w:val="0"/>
          <w:color w:val="auto"/>
          <w:kern w:val="44"/>
          <w:sz w:val="24"/>
          <w:szCs w:val="24"/>
          <w:highlight w:val="none"/>
          <w:lang w:val="en-US" w:eastAsia="zh-CN" w:bidi="ar-SA"/>
        </w:rPr>
        <w:t>）：</w:t>
      </w:r>
    </w:p>
    <w:p w14:paraId="65713670">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年   月   日                     年   月   日</w:t>
      </w:r>
    </w:p>
    <w:p w14:paraId="50A0B943">
      <w:pPr>
        <w:rPr>
          <w:rFonts w:hint="eastAsia" w:ascii="宋体" w:hAnsi="宋体" w:eastAsia="宋体" w:cs="宋体"/>
          <w:szCs w:val="21"/>
          <w:highlight w:val="none"/>
        </w:rPr>
      </w:pPr>
      <w:r>
        <w:rPr>
          <w:rFonts w:hint="eastAsia" w:ascii="宋体" w:hAnsi="宋体" w:eastAsia="宋体" w:cs="宋体"/>
          <w:szCs w:val="21"/>
          <w:highlight w:val="none"/>
        </w:rPr>
        <w:br w:type="page"/>
      </w:r>
    </w:p>
    <w:p w14:paraId="0577B3F5">
      <w:pPr>
        <w:rPr>
          <w:rFonts w:ascii="宋体" w:hAnsi="宋体" w:eastAsia="宋体" w:cs="宋体"/>
          <w:b/>
          <w:szCs w:val="21"/>
          <w:highlight w:val="none"/>
        </w:rPr>
      </w:pPr>
      <w:r>
        <w:rPr>
          <w:rFonts w:hint="eastAsia" w:ascii="宋体" w:hAnsi="宋体" w:eastAsia="宋体" w:cs="宋体"/>
          <w:b/>
          <w:szCs w:val="21"/>
          <w:highlight w:val="none"/>
        </w:rPr>
        <w:t>附件</w:t>
      </w:r>
      <w:r>
        <w:rPr>
          <w:rFonts w:hint="eastAsia" w:ascii="宋体" w:hAnsi="宋体" w:eastAsia="宋体" w:cs="宋体"/>
          <w:b/>
          <w:szCs w:val="21"/>
          <w:highlight w:val="none"/>
          <w:lang w:val="en-US" w:eastAsia="zh-CN"/>
        </w:rPr>
        <w:t>2</w:t>
      </w:r>
      <w:r>
        <w:rPr>
          <w:rFonts w:hint="eastAsia" w:ascii="宋体" w:hAnsi="宋体" w:eastAsia="宋体" w:cs="宋体"/>
          <w:b/>
          <w:szCs w:val="21"/>
          <w:highlight w:val="none"/>
        </w:rPr>
        <w:t>：安全服务协议</w:t>
      </w:r>
    </w:p>
    <w:p w14:paraId="76C39CD2">
      <w:pPr>
        <w:jc w:val="center"/>
        <w:rPr>
          <w:rFonts w:ascii="宋体" w:hAnsi="宋体" w:eastAsia="宋体" w:cs="宋体"/>
          <w:b/>
          <w:szCs w:val="21"/>
          <w:highlight w:val="none"/>
        </w:rPr>
      </w:pPr>
      <w:r>
        <w:rPr>
          <w:rFonts w:hint="eastAsia" w:ascii="宋体" w:hAnsi="宋体" w:eastAsia="宋体" w:cs="宋体"/>
          <w:b/>
          <w:szCs w:val="21"/>
          <w:highlight w:val="none"/>
        </w:rPr>
        <w:t>安全服务协议书</w:t>
      </w:r>
    </w:p>
    <w:p w14:paraId="78CC1759">
      <w:pPr>
        <w:spacing w:line="360" w:lineRule="auto"/>
        <w:ind w:firstLine="422"/>
        <w:rPr>
          <w:rFonts w:ascii="宋体" w:hAnsi="宋体" w:eastAsia="宋体" w:cs="宋体"/>
          <w:b/>
          <w:szCs w:val="21"/>
          <w:highlight w:val="none"/>
          <w:u w:val="single"/>
        </w:rPr>
      </w:pPr>
      <w:r>
        <w:rPr>
          <w:rFonts w:hint="eastAsia" w:ascii="宋体" w:hAnsi="宋体" w:eastAsia="宋体" w:cs="宋体"/>
          <w:b/>
          <w:szCs w:val="21"/>
          <w:highlight w:val="none"/>
          <w:lang w:val="en-US" w:eastAsia="zh-CN"/>
        </w:rPr>
        <w:t>甲方</w:t>
      </w:r>
      <w:r>
        <w:rPr>
          <w:rFonts w:hint="eastAsia" w:ascii="宋体" w:hAnsi="宋体" w:eastAsia="宋体" w:cs="宋体"/>
          <w:b/>
          <w:szCs w:val="21"/>
          <w:highlight w:val="none"/>
        </w:rPr>
        <w:t>（全称）：</w:t>
      </w:r>
    </w:p>
    <w:p w14:paraId="0ECEAB6F">
      <w:pPr>
        <w:spacing w:line="360" w:lineRule="auto"/>
        <w:ind w:firstLine="422"/>
        <w:rPr>
          <w:rFonts w:ascii="宋体" w:hAnsi="宋体" w:eastAsia="宋体" w:cs="宋体"/>
          <w:b/>
          <w:szCs w:val="21"/>
          <w:highlight w:val="none"/>
          <w:u w:val="single"/>
        </w:rPr>
      </w:pPr>
      <w:r>
        <w:rPr>
          <w:rFonts w:hint="eastAsia" w:ascii="宋体" w:hAnsi="宋体" w:eastAsia="宋体" w:cs="宋体"/>
          <w:b/>
          <w:szCs w:val="21"/>
          <w:highlight w:val="none"/>
          <w:lang w:val="en-US" w:eastAsia="zh-CN"/>
        </w:rPr>
        <w:t>乙方</w:t>
      </w:r>
      <w:r>
        <w:rPr>
          <w:rFonts w:hint="eastAsia" w:ascii="宋体" w:hAnsi="宋体" w:eastAsia="宋体" w:cs="宋体"/>
          <w:b/>
          <w:szCs w:val="21"/>
          <w:highlight w:val="none"/>
        </w:rPr>
        <w:t>（全称）：</w:t>
      </w:r>
      <w:r>
        <w:rPr>
          <w:rFonts w:hint="eastAsia" w:ascii="宋体" w:hAnsi="宋体" w:eastAsia="宋体" w:cs="宋体"/>
          <w:b/>
          <w:szCs w:val="21"/>
          <w:highlight w:val="none"/>
          <w:u w:val="single"/>
        </w:rPr>
        <w:t xml:space="preserve">                 </w:t>
      </w:r>
    </w:p>
    <w:p w14:paraId="18368AED">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为贯彻“安全第一，预防为主，综合治理”的方针，加强安全管理，明确双方的安全责任，确保乙方在甲方项目服务中的人身、生产和设备安全，根据国家有关法律法规，经双方协商一致签订本协议。</w:t>
      </w:r>
    </w:p>
    <w:p w14:paraId="7E61862C">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一、甲方安全责任 </w:t>
      </w:r>
    </w:p>
    <w:p w14:paraId="1DF0E676">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1、甲方有权要求乙方制定安全措施，并在开始进场或作业前报甲方安全部门备案。</w:t>
      </w:r>
    </w:p>
    <w:p w14:paraId="36166C26">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2、甲方有权检查、督促乙方执行有关安全生产方面的工作规定，对乙方不符合安全文明施工的行为进行制止、纠正并发出安全整改通知书，直至清退出场。 </w:t>
      </w:r>
    </w:p>
    <w:p w14:paraId="187DD49F">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3、甲方指派专人负责与乙方联系安全生产方面的工作。</w:t>
      </w:r>
    </w:p>
    <w:p w14:paraId="42F68238">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4、甲方有权对乙方参与作业的人员进行安全监督、教育和管理。</w:t>
      </w:r>
    </w:p>
    <w:p w14:paraId="1DF7E747">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5、发生以下情况停工整顿，因停工造成的责任由乙方承担：</w:t>
      </w:r>
    </w:p>
    <w:p w14:paraId="245880B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（1）发生人身伤亡事故；</w:t>
      </w:r>
    </w:p>
    <w:p w14:paraId="56535F29">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（2）发生厂内火灾事故；</w:t>
      </w:r>
    </w:p>
    <w:p w14:paraId="70F5879F">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（3）乙方发生违章作业、冒险作业不听劝告的；</w:t>
      </w:r>
    </w:p>
    <w:p w14:paraId="53333F7C">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（4）乙方作业现场脏、乱、差，不能满足安全和文明施工要求的。</w:t>
      </w:r>
    </w:p>
    <w:p w14:paraId="3BB5A173">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二、 乙方安全责任</w:t>
      </w:r>
    </w:p>
    <w:p w14:paraId="110F357B">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乙方作为设备养护、工程施工或相关服务等的承包单位，对作业过程中发生的人身伤害承担安全责任。乙方应切实履行以下安全责任：</w:t>
      </w:r>
    </w:p>
    <w:p w14:paraId="6CBF750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1、乙方在甲方区域内施工过程中禁止从事超越本单位资质等级许可的业务或者以其他施工单位的名义承揽甲方项目。</w:t>
      </w:r>
    </w:p>
    <w:p w14:paraId="69E460A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2、乙方在甲方区域内作业现场的安全，包括人身安全和财产安全。</w:t>
      </w:r>
    </w:p>
    <w:p w14:paraId="74CAE991">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现场施工/服务应遵守国家和地方关于劳动安全劳务/劳动用工方面的法律法规及规章制度，保证其用工的合法性。乙方必须按国家有关规定，为施工/服务人员办理人身保险，配备合格的劳动防护用品、安全用具。</w:t>
      </w:r>
    </w:p>
    <w:p w14:paraId="4CA11B49">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4、施工/服务现场临时用电必须符合《建筑与市政工程施工现场临时用电安全技术标准》JGJ/T 46-2024固定式配电箱应设置围栏并有明显的安全警示标志，严禁非专业人员接拆电线，防止发生触电事故，严禁使用电炉子等妨碍现场安全的用电设备。现场消火栓及其他消防器材配备齐全、位置合理，应有明显的警示标志。</w:t>
      </w:r>
    </w:p>
    <w:p w14:paraId="3164C9BC">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5、乙方用于养护及工程项目的施工机械、工器具及安全防护用具的数量和质量必须满足作业需要，乙方对因使用工器具不当所造成的人员伤害及设备损坏负责。</w:t>
      </w:r>
    </w:p>
    <w:p w14:paraId="56BE2F1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7、乙方负责施工/服务前和施工/服务中对作业人员的教育和管理。对未经安全生产教育培训的人员，严禁上岗作业。</w:t>
      </w:r>
    </w:p>
    <w:p w14:paraId="485FB606">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8、进入施工现场的乙方人员除遵守本单位的安全制度外，还必须遵守甲方安全管理制度，正确做好安全防护措施。</w:t>
      </w:r>
    </w:p>
    <w:p w14:paraId="306F372F">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9、开工前，乙方应组织人员对施工区域、作业环境及使用甲方提供的设施设备、工器具等进行检查，确认符合安全要求。</w:t>
      </w:r>
    </w:p>
    <w:p w14:paraId="1A2FE7B7">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10、乙方施工人员只能在甲方规定的施工区域内进行施工/服务作业，并装设临时围栏或警告标志（如需），禁止无关人员进入检维修及施工/服务现场。未经甲方同意，严禁进入甲方其他区域从事与施工/服务作业无关的作业及其他任何活动。</w:t>
      </w:r>
    </w:p>
    <w:p w14:paraId="675AE5F2">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11、乙方不得擅自使用与施工/服务无关的甲方设施、设备；不得擅自拆除、变更甲方防护设施及标识。</w:t>
      </w:r>
    </w:p>
    <w:p w14:paraId="38E6F6F2">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12、乙方施工/服务过程中需使用电、水源，应事先与甲方相关部门取得联系，不得私拉乱接。凡是要开洞、拆墙的，必须事先通知甲方并征得甲方同意。</w:t>
      </w:r>
    </w:p>
    <w:p w14:paraId="343716FF">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13、乙方施工过程中应做到工完、料尽、场地清，确保安全文明施工。</w:t>
      </w:r>
    </w:p>
    <w:p w14:paraId="499B2902">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14、乙方对因工作需要临时引进的第三方的各项安全事项负责。</w:t>
      </w:r>
    </w:p>
    <w:p w14:paraId="50BAF23F">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15、乙方进入甲方厂区必须满足苏州市防疫要求。</w:t>
      </w:r>
    </w:p>
    <w:p w14:paraId="36B8F0E6">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三、违约责任</w:t>
      </w:r>
    </w:p>
    <w:p w14:paraId="72D0908E">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1、由于甲方或乙方责任造成对方或第三方的人身伤害、设备损坏等财产损失，由责任方承担相应责任，并赔偿对方或第三方因此造成的全部损失。</w:t>
      </w:r>
    </w:p>
    <w:p w14:paraId="083CA7BF">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2、合同履行中，发现乙方提供的有关资质材料不真实或为无效资料的，甲方有权解除与乙方的主合同，并由乙方承担由此造成的一切损失。</w:t>
      </w:r>
    </w:p>
    <w:p w14:paraId="4396569E">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3、乙方未能正确、全面执行安全技术措施、施工/服务组织设计；或者作业人员未掌握本工程项目特点及施工/服务安全措施；或者用于作业的施工机械、工器具及安全防护用品不满足施工需要，甲方有权要求乙方立即停工整改，由此引起的后果及损失由乙方承担。</w:t>
      </w:r>
    </w:p>
    <w:p w14:paraId="655C7DBA">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4、乙方在施工/服务时，各种作业必须按本厂《安全操作规程》执行，特种作业人员必须持证上岗。对因违章造成甲方或第三方的财产损失和人身伤害，由乙方承担全部责任。</w:t>
      </w:r>
    </w:p>
    <w:p w14:paraId="7F6A8D0E">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5、甲方有权对乙方的施工场所进行安全监督、检查，对违章、违纪行为有权制止、纠正或处罚。对拒绝、阻挠甲方检查，或存在对甲方检查人员打击报复，甲方有权停止乙方施工，因此造成甲方的损失由乙方负责赔偿，乙方的损失由乙方自负。</w:t>
      </w:r>
    </w:p>
    <w:p w14:paraId="521762C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6、在施工/服务中如发生安全事故，乙方要迅速采取有效措施，组织抢救，防止事故扩大，减少人员伤亡和财产损失。</w:t>
      </w:r>
    </w:p>
    <w:p w14:paraId="68D844A0">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7、乙方使用甲方提供的设施设备、工器具等造成损坏的，应照价赔偿。</w:t>
      </w:r>
    </w:p>
    <w:p w14:paraId="279DD7C2">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8、乙方人员无故到未经允许的生产区域施工或擅自动用甲方的设施设备等，乙方按100元至500元/人次向甲方缴纳罚款。 </w:t>
      </w:r>
    </w:p>
    <w:p w14:paraId="2CF9832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9、在本项目内违章吸烟，造成事故的，视情节轻重，处以2000元以上罚款直至追究刑事责任。</w:t>
      </w:r>
    </w:p>
    <w:p w14:paraId="1C7AD0FB">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10、乙方施工/服务人员在甲方从事检维修及施工/服务过程中，累计发生</w:t>
      </w:r>
      <w:r>
        <w:rPr>
          <w:rFonts w:hint="eastAsia" w:ascii="宋体" w:hAnsi="宋体" w:cs="Times New Roman"/>
          <w:b w:val="0"/>
          <w:bCs w:val="0"/>
          <w:color w:val="auto"/>
          <w:kern w:val="44"/>
          <w:sz w:val="24"/>
          <w:szCs w:val="24"/>
          <w:highlight w:val="none"/>
          <w:lang w:val="en-US" w:eastAsia="zh-CN" w:bidi="ar-SA"/>
        </w:rPr>
        <w:t>两次</w:t>
      </w:r>
      <w:r>
        <w:rPr>
          <w:rFonts w:hint="eastAsia" w:ascii="宋体" w:hAnsi="宋体" w:eastAsia="宋体" w:cs="Times New Roman"/>
          <w:b w:val="0"/>
          <w:bCs w:val="0"/>
          <w:color w:val="auto"/>
          <w:kern w:val="44"/>
          <w:sz w:val="24"/>
          <w:szCs w:val="24"/>
          <w:highlight w:val="none"/>
          <w:lang w:val="en-US" w:eastAsia="zh-CN" w:bidi="ar-SA"/>
        </w:rPr>
        <w:t>及以上一般性违章行为的，该员工禁止在甲方从事检维修及施工/服务活动。乙方施工/服务人员在甲方作业中，发现累计发生两次及以上威胁自身生命及对甲方财产及人身安全构成重大威胁的违章行为，该单位将列入甲方采购服务黑名单。</w:t>
      </w:r>
    </w:p>
    <w:p w14:paraId="654CD544">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 xml:space="preserve">11、对于施工/服务现场的安全隐患，甲方出具《安全整改通知单》，情节严重的直接罚缴风险补偿金。    </w:t>
      </w:r>
    </w:p>
    <w:p w14:paraId="410B9C7E">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四、未尽事宜，甲乙双方另行协商后形成补充协议，补充协议与本协</w:t>
      </w:r>
      <w:r>
        <w:rPr>
          <w:rFonts w:hint="eastAsia" w:ascii="宋体" w:hAnsi="宋体" w:cs="Times New Roman"/>
          <w:b w:val="0"/>
          <w:bCs w:val="0"/>
          <w:color w:val="auto"/>
          <w:kern w:val="44"/>
          <w:sz w:val="24"/>
          <w:szCs w:val="24"/>
          <w:highlight w:val="none"/>
          <w:lang w:val="en-US" w:eastAsia="zh-CN" w:bidi="ar-SA"/>
        </w:rPr>
        <w:t>议具</w:t>
      </w:r>
      <w:r>
        <w:rPr>
          <w:rFonts w:hint="eastAsia" w:ascii="宋体" w:hAnsi="宋体" w:eastAsia="宋体" w:cs="Times New Roman"/>
          <w:b w:val="0"/>
          <w:bCs w:val="0"/>
          <w:color w:val="auto"/>
          <w:kern w:val="44"/>
          <w:sz w:val="24"/>
          <w:szCs w:val="24"/>
          <w:highlight w:val="none"/>
          <w:lang w:val="en-US" w:eastAsia="zh-CN" w:bidi="ar-SA"/>
        </w:rPr>
        <w:t>有同等效力。</w:t>
      </w:r>
    </w:p>
    <w:p w14:paraId="0C2B25C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五、 甲乙双方必须严格执行本协议</w:t>
      </w:r>
      <w:r>
        <w:rPr>
          <w:rFonts w:hint="eastAsia" w:ascii="宋体" w:hAnsi="宋体" w:cs="Times New Roman"/>
          <w:b w:val="0"/>
          <w:bCs w:val="0"/>
          <w:color w:val="auto"/>
          <w:kern w:val="44"/>
          <w:sz w:val="24"/>
          <w:szCs w:val="24"/>
          <w:highlight w:val="none"/>
          <w:lang w:val="en-US" w:eastAsia="zh-CN" w:bidi="ar-SA"/>
        </w:rPr>
        <w:t>，在</w:t>
      </w:r>
      <w:r>
        <w:rPr>
          <w:rFonts w:hint="eastAsia" w:ascii="宋体" w:hAnsi="宋体" w:eastAsia="宋体" w:cs="Times New Roman"/>
          <w:b w:val="0"/>
          <w:bCs w:val="0"/>
          <w:color w:val="auto"/>
          <w:kern w:val="44"/>
          <w:sz w:val="24"/>
          <w:szCs w:val="24"/>
          <w:highlight w:val="none"/>
          <w:lang w:val="en-US" w:eastAsia="zh-CN" w:bidi="ar-SA"/>
        </w:rPr>
        <w:t xml:space="preserve">协议执行过程中，如发生争议，由双方协商、调解解决；若经协商、调解不成的，任何一方可以向甲方所在地人民法院提起诉讼。 　　    </w:t>
      </w:r>
    </w:p>
    <w:p w14:paraId="428394CA">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六、 本协议经双方签字盖章后生效，履行期限至双方重新签订协议。</w:t>
      </w:r>
    </w:p>
    <w:p w14:paraId="433DBE7E">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七、本协议一式两份，甲乙双方各执壹份。</w:t>
      </w:r>
    </w:p>
    <w:p w14:paraId="02FABC25">
      <w:pPr>
        <w:widowControl w:val="0"/>
        <w:spacing w:line="440" w:lineRule="exact"/>
        <w:ind w:firstLine="480"/>
        <w:jc w:val="both"/>
        <w:rPr>
          <w:rFonts w:hint="eastAsia" w:ascii="宋体" w:hAnsi="宋体" w:eastAsia="宋体" w:cs="Times New Roman"/>
          <w:b w:val="0"/>
          <w:bCs w:val="0"/>
          <w:color w:val="auto"/>
          <w:kern w:val="44"/>
          <w:sz w:val="24"/>
          <w:szCs w:val="24"/>
          <w:highlight w:val="none"/>
          <w:lang w:val="en-US" w:eastAsia="zh-CN" w:bidi="ar-SA"/>
        </w:rPr>
      </w:pPr>
    </w:p>
    <w:p w14:paraId="49D32D8F">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甲方盖章：                            乙方盖章：</w:t>
      </w:r>
    </w:p>
    <w:p w14:paraId="1409BBF5">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eastAsia="宋体" w:cs="Times New Roman"/>
          <w:b w:val="0"/>
          <w:bCs w:val="0"/>
          <w:color w:val="auto"/>
          <w:kern w:val="44"/>
          <w:sz w:val="24"/>
          <w:szCs w:val="24"/>
          <w:highlight w:val="none"/>
          <w:lang w:val="en-US" w:eastAsia="zh-CN" w:bidi="ar-SA"/>
        </w:rPr>
        <w:t>法定代表人</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 xml:space="preserve">                          法定代表人</w:t>
      </w:r>
      <w:r>
        <w:rPr>
          <w:rFonts w:hint="eastAsia" w:ascii="宋体" w:hAnsi="宋体" w:cs="Times New Roman"/>
          <w:b w:val="0"/>
          <w:bCs w:val="0"/>
          <w:color w:val="auto"/>
          <w:kern w:val="44"/>
          <w:sz w:val="24"/>
          <w:szCs w:val="24"/>
          <w:highlight w:val="none"/>
          <w:lang w:val="en-US" w:eastAsia="zh-CN" w:bidi="ar-SA"/>
        </w:rPr>
        <w:t>：</w:t>
      </w:r>
    </w:p>
    <w:p w14:paraId="30C8765F">
      <w:pPr>
        <w:spacing w:line="440" w:lineRule="exact"/>
        <w:ind w:firstLine="420"/>
        <w:rPr>
          <w:rFonts w:hint="eastAsia" w:ascii="宋体" w:hAnsi="宋体" w:eastAsia="宋体" w:cs="Times New Roman"/>
          <w:b w:val="0"/>
          <w:bCs w:val="0"/>
          <w:color w:val="auto"/>
          <w:kern w:val="44"/>
          <w:sz w:val="24"/>
          <w:szCs w:val="24"/>
          <w:highlight w:val="none"/>
          <w:lang w:val="en-US" w:eastAsia="zh-CN" w:bidi="ar-SA"/>
        </w:rPr>
      </w:pP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或授权代表</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 xml:space="preserve">                        </w:t>
      </w:r>
      <w:r>
        <w:rPr>
          <w:rFonts w:hint="eastAsia" w:ascii="宋体" w:hAnsi="宋体" w:cs="Times New Roman"/>
          <w:b w:val="0"/>
          <w:bCs w:val="0"/>
          <w:color w:val="auto"/>
          <w:kern w:val="44"/>
          <w:sz w:val="24"/>
          <w:szCs w:val="24"/>
          <w:highlight w:val="none"/>
          <w:lang w:val="en-US" w:eastAsia="zh-CN" w:bidi="ar-SA"/>
        </w:rPr>
        <w:t>（</w:t>
      </w:r>
      <w:r>
        <w:rPr>
          <w:rFonts w:hint="eastAsia" w:ascii="宋体" w:hAnsi="宋体" w:eastAsia="宋体" w:cs="Times New Roman"/>
          <w:b w:val="0"/>
          <w:bCs w:val="0"/>
          <w:color w:val="auto"/>
          <w:kern w:val="44"/>
          <w:sz w:val="24"/>
          <w:szCs w:val="24"/>
          <w:highlight w:val="none"/>
          <w:lang w:val="en-US" w:eastAsia="zh-CN" w:bidi="ar-SA"/>
        </w:rPr>
        <w:t>或授权代表）</w:t>
      </w:r>
      <w:r>
        <w:rPr>
          <w:rFonts w:hint="eastAsia" w:ascii="宋体" w:hAnsi="宋体" w:cs="Times New Roman"/>
          <w:b w:val="0"/>
          <w:bCs w:val="0"/>
          <w:color w:val="auto"/>
          <w:kern w:val="44"/>
          <w:sz w:val="24"/>
          <w:szCs w:val="24"/>
          <w:highlight w:val="none"/>
          <w:lang w:val="en-US" w:eastAsia="zh-CN" w:bidi="ar-SA"/>
        </w:rPr>
        <w:t>：</w:t>
      </w:r>
    </w:p>
    <w:p w14:paraId="7DC1E54F">
      <w:pPr>
        <w:keepNext w:val="0"/>
        <w:keepLines w:val="0"/>
        <w:widowControl/>
        <w:suppressLineNumbers w:val="0"/>
        <w:spacing w:before="0" w:beforeAutospacing="0" w:after="0" w:afterAutospacing="0" w:line="360" w:lineRule="auto"/>
        <w:ind w:left="0" w:right="0" w:firstLine="48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Times New Roman"/>
          <w:b w:val="0"/>
          <w:bCs w:val="0"/>
          <w:color w:val="auto"/>
          <w:kern w:val="44"/>
          <w:sz w:val="24"/>
          <w:szCs w:val="24"/>
          <w:highlight w:val="none"/>
          <w:lang w:val="en-US" w:eastAsia="zh-CN" w:bidi="ar-SA"/>
        </w:rPr>
        <w:t>年   月   日                     年   月   日</w:t>
      </w:r>
    </w:p>
    <w:p w14:paraId="72E0A4CD">
      <w:pPr>
        <w:rPr>
          <w:rFonts w:hint="eastAsia" w:ascii="宋体" w:hAnsi="宋体"/>
          <w:bCs/>
          <w:color w:val="auto"/>
          <w:sz w:val="24"/>
          <w:highlight w:val="none"/>
        </w:rPr>
      </w:pPr>
      <w:r>
        <w:rPr>
          <w:rFonts w:hint="eastAsia" w:ascii="宋体" w:hAnsi="宋体"/>
          <w:bCs/>
          <w:color w:val="auto"/>
          <w:sz w:val="24"/>
          <w:highlight w:val="none"/>
        </w:rPr>
        <w:br w:type="page"/>
      </w:r>
    </w:p>
    <w:p w14:paraId="1ABB8811">
      <w:pPr>
        <w:tabs>
          <w:tab w:val="left" w:pos="1401"/>
        </w:tabs>
        <w:spacing w:line="360" w:lineRule="auto"/>
        <w:ind w:firstLine="482"/>
        <w:jc w:val="left"/>
        <w:rPr>
          <w:rFonts w:ascii="黑体" w:eastAsia="黑体"/>
          <w:bCs/>
          <w:color w:val="auto"/>
          <w:sz w:val="24"/>
          <w:szCs w:val="24"/>
          <w:highlight w:val="none"/>
        </w:rPr>
      </w:pPr>
      <w:r>
        <w:rPr>
          <w:rFonts w:hint="eastAsia" w:ascii="黑体" w:eastAsia="黑体"/>
          <w:bCs/>
          <w:color w:val="auto"/>
          <w:sz w:val="24"/>
          <w:szCs w:val="24"/>
          <w:highlight w:val="none"/>
        </w:rPr>
        <w:t>附件：投标文件格式</w:t>
      </w:r>
    </w:p>
    <w:p w14:paraId="73F8AACE">
      <w:pPr>
        <w:rPr>
          <w:rFonts w:ascii="黑体" w:hAnsi="Times New Roman" w:eastAsia="黑体" w:cs="Times New Roman"/>
          <w:bCs/>
          <w:color w:val="auto"/>
          <w:sz w:val="32"/>
          <w:highlight w:val="none"/>
        </w:rPr>
      </w:pPr>
    </w:p>
    <w:p w14:paraId="1B3FEFC6">
      <w:pPr>
        <w:widowControl w:val="0"/>
        <w:jc w:val="both"/>
        <w:rPr>
          <w:rFonts w:ascii="黑体" w:hAnsi="Times New Roman" w:eastAsia="黑体" w:cs="Times New Roman"/>
          <w:bCs/>
          <w:color w:val="auto"/>
          <w:sz w:val="32"/>
          <w:highlight w:val="none"/>
          <w:lang w:val="en-US" w:eastAsia="zh-CN" w:bidi="ar-SA"/>
        </w:rPr>
      </w:pPr>
    </w:p>
    <w:p w14:paraId="58E62F58">
      <w:pPr>
        <w:widowControl w:val="0"/>
        <w:jc w:val="both"/>
        <w:rPr>
          <w:rFonts w:ascii="黑体" w:hAnsi="Times New Roman" w:eastAsia="黑体" w:cs="Times New Roman"/>
          <w:bCs/>
          <w:color w:val="auto"/>
          <w:sz w:val="32"/>
          <w:highlight w:val="none"/>
          <w:lang w:val="en-US" w:eastAsia="zh-CN" w:bidi="ar-SA"/>
        </w:rPr>
      </w:pPr>
    </w:p>
    <w:p w14:paraId="1232D697">
      <w:pPr>
        <w:widowControl w:val="0"/>
        <w:jc w:val="both"/>
        <w:rPr>
          <w:rFonts w:ascii="黑体" w:hAnsi="Times New Roman" w:eastAsia="黑体" w:cs="Times New Roman"/>
          <w:bCs/>
          <w:color w:val="auto"/>
          <w:sz w:val="32"/>
          <w:highlight w:val="none"/>
          <w:lang w:val="en-US" w:eastAsia="zh-CN" w:bidi="ar-SA"/>
        </w:rPr>
      </w:pPr>
    </w:p>
    <w:p w14:paraId="000FE98A">
      <w:pPr>
        <w:widowControl w:val="0"/>
        <w:jc w:val="both"/>
        <w:rPr>
          <w:rFonts w:ascii="黑体" w:hAnsi="Times New Roman" w:eastAsia="黑体" w:cs="Times New Roman"/>
          <w:bCs/>
          <w:color w:val="auto"/>
          <w:sz w:val="32"/>
          <w:highlight w:val="none"/>
          <w:lang w:val="en-US" w:eastAsia="zh-CN" w:bidi="ar-SA"/>
        </w:rPr>
      </w:pPr>
    </w:p>
    <w:p w14:paraId="75F7E265">
      <w:pPr>
        <w:widowControl w:val="0"/>
        <w:jc w:val="both"/>
        <w:rPr>
          <w:rFonts w:ascii="黑体" w:hAnsi="Times New Roman" w:eastAsia="黑体" w:cs="Times New Roman"/>
          <w:bCs/>
          <w:color w:val="auto"/>
          <w:sz w:val="32"/>
          <w:highlight w:val="none"/>
          <w:lang w:val="en-US" w:eastAsia="zh-CN" w:bidi="ar-SA"/>
        </w:rPr>
      </w:pPr>
    </w:p>
    <w:p w14:paraId="7F69E648">
      <w:pPr>
        <w:widowControl w:val="0"/>
        <w:jc w:val="both"/>
        <w:rPr>
          <w:rFonts w:ascii="黑体" w:hAnsi="Times New Roman" w:eastAsia="黑体" w:cs="Times New Roman"/>
          <w:bCs/>
          <w:color w:val="auto"/>
          <w:sz w:val="32"/>
          <w:highlight w:val="none"/>
          <w:lang w:val="en-US" w:eastAsia="zh-CN" w:bidi="ar-SA"/>
        </w:rPr>
      </w:pPr>
    </w:p>
    <w:p w14:paraId="21AB42EB">
      <w:pPr>
        <w:rPr>
          <w:rFonts w:ascii="黑体" w:hAnsi="Times New Roman" w:eastAsia="黑体" w:cs="Times New Roman"/>
          <w:bCs/>
          <w:color w:val="auto"/>
          <w:sz w:val="32"/>
          <w:highlight w:val="none"/>
        </w:rPr>
      </w:pPr>
    </w:p>
    <w:p w14:paraId="04F5BE78">
      <w:pPr>
        <w:jc w:val="center"/>
        <w:rPr>
          <w:rFonts w:ascii="黑体" w:hAnsi="Times New Roman" w:eastAsia="黑体" w:cs="Times New Roman"/>
          <w:bCs/>
          <w:color w:val="auto"/>
          <w:sz w:val="52"/>
          <w:szCs w:val="52"/>
          <w:highlight w:val="none"/>
        </w:rPr>
      </w:pPr>
      <w:r>
        <w:rPr>
          <w:rFonts w:hint="eastAsia" w:ascii="黑体" w:hAnsi="Times New Roman" w:eastAsia="黑体" w:cs="Times New Roman"/>
          <w:bCs/>
          <w:color w:val="auto"/>
          <w:sz w:val="52"/>
          <w:szCs w:val="52"/>
          <w:highlight w:val="none"/>
        </w:rPr>
        <w:t>投</w:t>
      </w:r>
    </w:p>
    <w:p w14:paraId="466A5DEA">
      <w:pPr>
        <w:jc w:val="center"/>
        <w:rPr>
          <w:rFonts w:ascii="黑体" w:hAnsi="Times New Roman" w:eastAsia="黑体" w:cs="Times New Roman"/>
          <w:bCs/>
          <w:color w:val="auto"/>
          <w:sz w:val="72"/>
          <w:highlight w:val="none"/>
        </w:rPr>
      </w:pPr>
    </w:p>
    <w:p w14:paraId="55158286">
      <w:pPr>
        <w:jc w:val="center"/>
        <w:rPr>
          <w:rFonts w:ascii="黑体" w:hAnsi="Times New Roman" w:eastAsia="黑体" w:cs="Times New Roman"/>
          <w:bCs/>
          <w:color w:val="auto"/>
          <w:sz w:val="52"/>
          <w:szCs w:val="52"/>
          <w:highlight w:val="none"/>
        </w:rPr>
      </w:pPr>
      <w:r>
        <w:rPr>
          <w:rFonts w:hint="eastAsia" w:ascii="黑体" w:hAnsi="Times New Roman" w:eastAsia="黑体" w:cs="Times New Roman"/>
          <w:bCs/>
          <w:color w:val="auto"/>
          <w:sz w:val="52"/>
          <w:szCs w:val="52"/>
          <w:highlight w:val="none"/>
        </w:rPr>
        <w:t>标</w:t>
      </w:r>
    </w:p>
    <w:p w14:paraId="7C642EEF">
      <w:pPr>
        <w:jc w:val="center"/>
        <w:rPr>
          <w:rFonts w:ascii="黑体" w:hAnsi="Times New Roman" w:eastAsia="黑体" w:cs="Times New Roman"/>
          <w:bCs/>
          <w:color w:val="auto"/>
          <w:sz w:val="72"/>
          <w:highlight w:val="none"/>
        </w:rPr>
      </w:pPr>
    </w:p>
    <w:p w14:paraId="58B2EBE5">
      <w:pPr>
        <w:jc w:val="center"/>
        <w:rPr>
          <w:rFonts w:ascii="黑体" w:hAnsi="Times New Roman" w:eastAsia="黑体" w:cs="Times New Roman"/>
          <w:bCs/>
          <w:color w:val="auto"/>
          <w:sz w:val="52"/>
          <w:szCs w:val="52"/>
          <w:highlight w:val="none"/>
        </w:rPr>
      </w:pPr>
      <w:r>
        <w:rPr>
          <w:rFonts w:hint="eastAsia" w:ascii="黑体" w:hAnsi="Times New Roman" w:eastAsia="黑体" w:cs="Times New Roman"/>
          <w:bCs/>
          <w:color w:val="auto"/>
          <w:sz w:val="52"/>
          <w:szCs w:val="52"/>
          <w:highlight w:val="none"/>
        </w:rPr>
        <w:t>文</w:t>
      </w:r>
    </w:p>
    <w:p w14:paraId="6D804A0D">
      <w:pPr>
        <w:jc w:val="center"/>
        <w:rPr>
          <w:rFonts w:ascii="黑体" w:hAnsi="Times New Roman" w:eastAsia="黑体" w:cs="Times New Roman"/>
          <w:bCs/>
          <w:color w:val="auto"/>
          <w:sz w:val="52"/>
          <w:szCs w:val="52"/>
          <w:highlight w:val="none"/>
        </w:rPr>
      </w:pPr>
    </w:p>
    <w:p w14:paraId="3A9A7C7B">
      <w:pPr>
        <w:jc w:val="center"/>
        <w:rPr>
          <w:rFonts w:ascii="黑体" w:hAnsi="Times New Roman" w:eastAsia="黑体" w:cs="Times New Roman"/>
          <w:bCs/>
          <w:color w:val="auto"/>
          <w:sz w:val="52"/>
          <w:szCs w:val="52"/>
          <w:highlight w:val="none"/>
        </w:rPr>
      </w:pPr>
      <w:r>
        <w:rPr>
          <w:rFonts w:hint="eastAsia" w:ascii="黑体" w:hAnsi="Times New Roman" w:eastAsia="黑体" w:cs="Times New Roman"/>
          <w:bCs/>
          <w:color w:val="auto"/>
          <w:sz w:val="52"/>
          <w:szCs w:val="52"/>
          <w:highlight w:val="none"/>
        </w:rPr>
        <w:t>件</w:t>
      </w:r>
    </w:p>
    <w:p w14:paraId="03E11CD4">
      <w:pPr>
        <w:rPr>
          <w:rFonts w:ascii="楷体_GB2312" w:hAnsi="Times New Roman" w:eastAsia="楷体_GB2312" w:cs="Times New Roman"/>
          <w:bCs/>
          <w:color w:val="auto"/>
          <w:sz w:val="72"/>
          <w:highlight w:val="none"/>
        </w:rPr>
      </w:pPr>
    </w:p>
    <w:p w14:paraId="691B796C">
      <w:pPr>
        <w:rPr>
          <w:rFonts w:ascii="楷体_GB2312" w:hAnsi="Times New Roman" w:eastAsia="楷体_GB2312" w:cs="Times New Roman"/>
          <w:bCs/>
          <w:color w:val="auto"/>
          <w:sz w:val="28"/>
          <w:highlight w:val="none"/>
        </w:rPr>
      </w:pPr>
    </w:p>
    <w:p w14:paraId="3BDBFD6D">
      <w:pPr>
        <w:ind w:firstLine="560"/>
        <w:rPr>
          <w:rFonts w:hint="eastAsia" w:ascii="黑体" w:hAnsi="Times New Roman" w:eastAsia="黑体" w:cs="Times New Roman"/>
          <w:bCs/>
          <w:color w:val="auto"/>
          <w:sz w:val="28"/>
          <w:szCs w:val="28"/>
          <w:highlight w:val="none"/>
          <w:lang w:eastAsia="zh-CN"/>
        </w:rPr>
      </w:pPr>
      <w:r>
        <w:rPr>
          <w:rFonts w:hint="eastAsia" w:ascii="黑体" w:hAnsi="Times New Roman" w:eastAsia="黑体" w:cs="Times New Roman"/>
          <w:bCs/>
          <w:color w:val="auto"/>
          <w:sz w:val="28"/>
          <w:szCs w:val="28"/>
          <w:highlight w:val="none"/>
        </w:rPr>
        <w:t>采购项目编号：</w:t>
      </w:r>
      <w:r>
        <w:rPr>
          <w:rFonts w:hint="eastAsia" w:ascii="黑体" w:eastAsia="黑体" w:cs="Times New Roman"/>
          <w:bCs/>
          <w:color w:val="auto"/>
          <w:sz w:val="28"/>
          <w:szCs w:val="28"/>
          <w:highlight w:val="none"/>
          <w:lang w:eastAsia="zh-CN"/>
        </w:rPr>
        <w:t>JSZC-320214-WXZH-G2026-0004</w:t>
      </w:r>
    </w:p>
    <w:p w14:paraId="1A5E0306">
      <w:pPr>
        <w:ind w:firstLine="560"/>
        <w:rPr>
          <w:rFonts w:hint="eastAsia" w:ascii="黑体" w:hAnsi="Times New Roman" w:eastAsia="黑体" w:cs="Times New Roman"/>
          <w:bCs/>
          <w:color w:val="auto"/>
          <w:sz w:val="28"/>
          <w:szCs w:val="28"/>
          <w:highlight w:val="none"/>
          <w:lang w:eastAsia="zh-CN"/>
        </w:rPr>
      </w:pPr>
      <w:r>
        <w:rPr>
          <w:rFonts w:hint="eastAsia" w:ascii="黑体" w:hAnsi="Times New Roman" w:eastAsia="黑体" w:cs="Times New Roman"/>
          <w:bCs/>
          <w:color w:val="auto"/>
          <w:sz w:val="28"/>
          <w:szCs w:val="28"/>
          <w:highlight w:val="none"/>
        </w:rPr>
        <w:t>采购项目名称：</w:t>
      </w:r>
      <w:r>
        <w:rPr>
          <w:rFonts w:hint="eastAsia" w:ascii="黑体" w:hAnsi="Times New Roman" w:eastAsia="黑体" w:cs="Times New Roman"/>
          <w:bCs/>
          <w:color w:val="auto"/>
          <w:sz w:val="28"/>
          <w:szCs w:val="28"/>
          <w:highlight w:val="none"/>
          <w:lang w:eastAsia="zh-CN"/>
        </w:rPr>
        <w:t>2026年度江溪街道城市管理应急处置拆违拆临服务项目</w:t>
      </w:r>
    </w:p>
    <w:p w14:paraId="3B16AE5C">
      <w:pPr>
        <w:ind w:firstLine="560"/>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投标人：</w:t>
      </w:r>
    </w:p>
    <w:p w14:paraId="427969C1">
      <w:pPr>
        <w:rPr>
          <w:rFonts w:ascii="黑体" w:hAnsi="Times New Roman" w:eastAsia="黑体" w:cs="Times New Roman"/>
          <w:bCs/>
          <w:color w:val="auto"/>
          <w:sz w:val="32"/>
          <w:highlight w:val="none"/>
        </w:rPr>
      </w:pPr>
    </w:p>
    <w:p w14:paraId="7E15DE4E">
      <w:pPr>
        <w:jc w:val="center"/>
        <w:rPr>
          <w:rFonts w:ascii="黑体" w:hAnsi="Times New Roman" w:eastAsia="黑体" w:cs="Times New Roman"/>
          <w:bCs/>
          <w:color w:val="auto"/>
          <w:sz w:val="36"/>
          <w:szCs w:val="36"/>
          <w:highlight w:val="none"/>
        </w:rPr>
      </w:pPr>
      <w:r>
        <w:rPr>
          <w:rFonts w:hint="eastAsia" w:ascii="黑体" w:hAnsi="Times New Roman" w:eastAsia="黑体" w:cs="Times New Roman"/>
          <w:bCs/>
          <w:color w:val="auto"/>
          <w:sz w:val="36"/>
          <w:szCs w:val="36"/>
          <w:highlight w:val="none"/>
          <w:lang w:eastAsia="zh-CN"/>
        </w:rPr>
        <w:t>二〇二</w:t>
      </w:r>
      <w:r>
        <w:rPr>
          <w:rFonts w:hint="eastAsia" w:ascii="黑体" w:hAnsi="Times New Roman" w:eastAsia="黑体" w:cs="Times New Roman"/>
          <w:bCs/>
          <w:color w:val="auto"/>
          <w:sz w:val="36"/>
          <w:szCs w:val="36"/>
          <w:highlight w:val="none"/>
          <w:lang w:val="en-US" w:eastAsia="zh-CN"/>
        </w:rPr>
        <w:t>六</w:t>
      </w:r>
      <w:r>
        <w:rPr>
          <w:rFonts w:hint="eastAsia" w:ascii="黑体" w:hAnsi="Times New Roman" w:eastAsia="黑体" w:cs="Times New Roman"/>
          <w:bCs/>
          <w:color w:val="auto"/>
          <w:sz w:val="36"/>
          <w:szCs w:val="36"/>
          <w:highlight w:val="none"/>
        </w:rPr>
        <w:t>年</w:t>
      </w:r>
      <w:r>
        <w:rPr>
          <w:rFonts w:hint="eastAsia" w:ascii="黑体" w:hAnsi="Times New Roman" w:eastAsia="黑体" w:cs="Times New Roman"/>
          <w:bCs/>
          <w:color w:val="auto"/>
          <w:sz w:val="36"/>
          <w:szCs w:val="36"/>
          <w:highlight w:val="none"/>
          <w:lang w:val="en-US" w:eastAsia="zh-CN"/>
        </w:rPr>
        <w:t xml:space="preserve">  </w:t>
      </w:r>
      <w:r>
        <w:rPr>
          <w:rFonts w:hint="eastAsia" w:ascii="黑体" w:hAnsi="Times New Roman" w:eastAsia="黑体" w:cs="Times New Roman"/>
          <w:bCs/>
          <w:color w:val="auto"/>
          <w:sz w:val="36"/>
          <w:szCs w:val="36"/>
          <w:highlight w:val="none"/>
        </w:rPr>
        <w:t>月</w:t>
      </w:r>
    </w:p>
    <w:p w14:paraId="77EA6DFB">
      <w:pPr>
        <w:rPr>
          <w:rFonts w:hint="eastAsia" w:ascii="黑体" w:hAnsi="宋体" w:eastAsia="黑体" w:cs="Times New Roman"/>
          <w:bCs/>
          <w:color w:val="auto"/>
          <w:sz w:val="24"/>
          <w:szCs w:val="24"/>
          <w:highlight w:val="none"/>
        </w:rPr>
      </w:pPr>
      <w:bookmarkStart w:id="3" w:name="一．报价函（格式）"/>
      <w:bookmarkEnd w:id="3"/>
      <w:r>
        <w:rPr>
          <w:rFonts w:hint="eastAsia" w:ascii="黑体" w:hAnsi="宋体" w:eastAsia="黑体" w:cs="Times New Roman"/>
          <w:bCs/>
          <w:color w:val="auto"/>
          <w:sz w:val="24"/>
          <w:szCs w:val="24"/>
          <w:highlight w:val="none"/>
        </w:rPr>
        <w:br w:type="page" w:clear="all"/>
      </w:r>
    </w:p>
    <w:p w14:paraId="240BAF7D">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（一）投标函（格式）：</w:t>
      </w:r>
    </w:p>
    <w:p w14:paraId="45FEBF33">
      <w:pPr>
        <w:spacing w:line="360" w:lineRule="auto"/>
        <w:jc w:val="center"/>
        <w:rPr>
          <w:rFonts w:ascii="宋体" w:hAnsi="Times New Roman" w:eastAsia="宋体" w:cs="Times New Roman"/>
          <w:bCs/>
          <w:color w:val="auto"/>
          <w:sz w:val="24"/>
          <w:szCs w:val="24"/>
          <w:highlight w:val="none"/>
        </w:rPr>
      </w:pPr>
      <w:r>
        <w:rPr>
          <w:rFonts w:hint="eastAsia" w:ascii="黑体" w:hAnsi="Times New Roman" w:eastAsia="黑体" w:cs="Times New Roman"/>
          <w:bCs/>
          <w:color w:val="auto"/>
          <w:sz w:val="28"/>
          <w:szCs w:val="28"/>
          <w:highlight w:val="none"/>
        </w:rPr>
        <w:t>投标函</w:t>
      </w:r>
    </w:p>
    <w:p w14:paraId="3041B72C">
      <w:pP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致</w:t>
      </w:r>
      <w:r>
        <w:rPr>
          <w:rFonts w:hint="eastAsia" w:ascii="宋体" w:hAnsi="宋体" w:eastAsia="宋体" w:cs="Times New Roman"/>
          <w:bCs/>
          <w:color w:val="auto"/>
          <w:sz w:val="24"/>
          <w:szCs w:val="24"/>
          <w:highlight w:val="none"/>
          <w:lang w:eastAsia="zh-CN"/>
        </w:rPr>
        <w:t>无锡市新吴区人民政府江溪街道办事处</w:t>
      </w:r>
      <w:r>
        <w:rPr>
          <w:rFonts w:hint="eastAsia" w:ascii="宋体" w:hAnsi="宋体" w:eastAsia="宋体" w:cs="Times New Roman"/>
          <w:bCs/>
          <w:color w:val="auto"/>
          <w:sz w:val="24"/>
          <w:szCs w:val="24"/>
          <w:highlight w:val="none"/>
        </w:rPr>
        <w:t>：</w:t>
      </w:r>
    </w:p>
    <w:p w14:paraId="76F2CA52">
      <w:pPr>
        <w:spacing w:line="360" w:lineRule="auto"/>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我方收到贵方编号</w:t>
      </w:r>
      <w:r>
        <w:rPr>
          <w:rFonts w:hint="eastAsia" w:ascii="宋体" w:hAnsi="宋体" w:cs="Times New Roman"/>
          <w:bCs/>
          <w:color w:val="auto"/>
          <w:sz w:val="24"/>
          <w:szCs w:val="24"/>
          <w:highlight w:val="none"/>
          <w:lang w:eastAsia="zh-CN"/>
        </w:rPr>
        <w:t>JSZC-320214-WXZH-G2026-0004</w:t>
      </w:r>
      <w:r>
        <w:rPr>
          <w:rFonts w:hint="eastAsia" w:ascii="宋体" w:hAnsi="宋体" w:eastAsia="宋体" w:cs="Times New Roman"/>
          <w:bCs/>
          <w:color w:val="auto"/>
          <w:sz w:val="24"/>
          <w:szCs w:val="24"/>
          <w:highlight w:val="none"/>
        </w:rPr>
        <w:t>招标文件，经仔细阅读和研究，我方决定参加此项目的投标。</w:t>
      </w:r>
    </w:p>
    <w:p w14:paraId="1241C2A7">
      <w:pPr>
        <w:numPr>
          <w:ilvl w:val="0"/>
          <w:numId w:val="8"/>
        </w:numPr>
        <w:tabs>
          <w:tab w:val="left" w:pos="315"/>
          <w:tab w:val="left" w:pos="840"/>
          <w:tab w:val="left" w:pos="945"/>
          <w:tab w:val="left" w:pos="1050"/>
          <w:tab w:val="left" w:pos="1260"/>
        </w:tabs>
        <w:spacing w:line="360" w:lineRule="auto"/>
        <w:ind w:left="0" w:firstLine="525"/>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我方愿意按照招标文件的一切要求，提供本项目的投标，投标总价见《开标一览表》。</w:t>
      </w:r>
    </w:p>
    <w:p w14:paraId="295E122A">
      <w:pPr>
        <w:numPr>
          <w:ilvl w:val="0"/>
          <w:numId w:val="8"/>
        </w:numPr>
        <w:tabs>
          <w:tab w:val="left" w:pos="0"/>
          <w:tab w:val="left" w:pos="315"/>
          <w:tab w:val="left" w:pos="525"/>
          <w:tab w:val="left" w:pos="840"/>
          <w:tab w:val="left" w:pos="945"/>
          <w:tab w:val="left" w:pos="1050"/>
        </w:tabs>
        <w:spacing w:line="360" w:lineRule="auto"/>
        <w:ind w:left="0" w:firstLine="523"/>
        <w:rPr>
          <w:rFonts w:hint="eastAsia" w:ascii="Times New Roman" w:hAnsi="Times New Roman" w:eastAsia="宋体" w:cs="Times New Roman"/>
          <w:bCs/>
          <w:color w:val="auto"/>
          <w:highlight w:val="none"/>
        </w:rPr>
      </w:pPr>
      <w:r>
        <w:rPr>
          <w:rFonts w:hint="eastAsia" w:ascii="宋体" w:hAnsi="宋体" w:eastAsia="宋体" w:cs="Times New Roman"/>
          <w:bCs/>
          <w:color w:val="auto"/>
          <w:sz w:val="24"/>
          <w:szCs w:val="24"/>
          <w:highlight w:val="none"/>
        </w:rPr>
        <w:t>我方愿意提供江苏万力通项目管理有限公司在招标文件中要求的文件、资料。</w:t>
      </w:r>
    </w:p>
    <w:p w14:paraId="22B0110C">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我方同意按照招标文件中的规定，本投标文件投标的有效期限为开标之日起</w:t>
      </w:r>
      <w:r>
        <w:rPr>
          <w:rFonts w:ascii="宋体" w:hAnsi="宋体" w:eastAsia="宋体" w:cs="Times New Roman"/>
          <w:bCs/>
          <w:color w:val="auto"/>
          <w:sz w:val="24"/>
          <w:szCs w:val="24"/>
          <w:highlight w:val="none"/>
        </w:rPr>
        <w:t>90</w:t>
      </w:r>
      <w:r>
        <w:rPr>
          <w:rFonts w:hint="eastAsia" w:ascii="宋体" w:hAnsi="宋体" w:eastAsia="宋体" w:cs="Times New Roman"/>
          <w:bCs/>
          <w:color w:val="auto"/>
          <w:sz w:val="24"/>
          <w:szCs w:val="24"/>
          <w:highlight w:val="none"/>
        </w:rPr>
        <w:t>天。</w:t>
      </w:r>
    </w:p>
    <w:p w14:paraId="58ED21D2">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如果我方的投标文件被接受，我方将履行招标文件中规定的每一项要求，按期、按质、按量，完成交货任务。</w:t>
      </w:r>
    </w:p>
    <w:p w14:paraId="15D62152">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我方认为贵局有权决定中标者。</w:t>
      </w:r>
    </w:p>
    <w:p w14:paraId="5608D083">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我方愿意遵守《中华人民共和国政府采购法》，并</w:t>
      </w:r>
      <w:r>
        <w:rPr>
          <w:rFonts w:hint="eastAsia" w:ascii="宋体" w:hAnsi="宋体" w:eastAsia="宋体" w:cs="Times New Roman"/>
          <w:bCs/>
          <w:color w:val="auto"/>
          <w:sz w:val="24"/>
          <w:szCs w:val="24"/>
          <w:highlight w:val="none"/>
          <w:lang w:eastAsia="zh-CN"/>
        </w:rPr>
        <w:t>按照</w:t>
      </w:r>
      <w:r>
        <w:rPr>
          <w:rFonts w:hint="eastAsia" w:ascii="宋体" w:hAnsi="宋体" w:eastAsia="宋体" w:cs="Times New Roman"/>
          <w:bCs/>
          <w:color w:val="auto"/>
          <w:sz w:val="24"/>
          <w:szCs w:val="24"/>
          <w:highlight w:val="none"/>
        </w:rPr>
        <w:t>《中华人民共和国民法典》、财政部《政府采购货物和服务招标投标管理办法》</w:t>
      </w:r>
      <w:r>
        <w:rPr>
          <w:rFonts w:hint="eastAsia" w:ascii="宋体" w:hAnsi="宋体" w:eastAsia="宋体" w:cs="Times New Roman"/>
          <w:color w:val="auto"/>
          <w:sz w:val="24"/>
          <w:szCs w:val="24"/>
          <w:highlight w:val="none"/>
        </w:rPr>
        <w:t>和</w:t>
      </w:r>
      <w:r>
        <w:rPr>
          <w:rFonts w:hint="eastAsia" w:ascii="宋体" w:hAnsi="宋体" w:eastAsia="宋体" w:cs="Times New Roman"/>
          <w:bCs/>
          <w:color w:val="auto"/>
          <w:sz w:val="24"/>
          <w:szCs w:val="24"/>
          <w:highlight w:val="none"/>
        </w:rPr>
        <w:t>合同条款履行自己的全部责任。</w:t>
      </w:r>
    </w:p>
    <w:p w14:paraId="281D77EC">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我方认可并遵守招标文件的所有规定，放弃对招标文件提出质疑的权利。</w:t>
      </w:r>
    </w:p>
    <w:p w14:paraId="60DAE926">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1C884B26">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如果我方被确定为中标供应商，我方愿意</w:t>
      </w:r>
      <w:r>
        <w:rPr>
          <w:rFonts w:hint="eastAsia" w:ascii="宋体" w:hAnsi="宋体" w:eastAsia="宋体" w:cs="Times New Roman"/>
          <w:color w:val="auto"/>
          <w:sz w:val="24"/>
          <w:szCs w:val="24"/>
          <w:highlight w:val="none"/>
        </w:rPr>
        <w:t>向</w:t>
      </w:r>
      <w:r>
        <w:rPr>
          <w:rFonts w:hint="eastAsia" w:ascii="宋体" w:hAnsi="宋体" w:eastAsia="宋体" w:cs="Times New Roman"/>
          <w:bCs/>
          <w:color w:val="auto"/>
          <w:sz w:val="24"/>
          <w:szCs w:val="24"/>
          <w:highlight w:val="none"/>
        </w:rPr>
        <w:t>采购人缴纳履约保证金。且我方如无不可抗力，又未履行招标文件、投标文件和合同条款的，一经查实，我方愿意赔偿由此而造成的一切损失，并同意接受按招标文件的相关要求对我方进行的处理。</w:t>
      </w:r>
    </w:p>
    <w:p w14:paraId="3504FB69">
      <w:pPr>
        <w:numPr>
          <w:ilvl w:val="0"/>
          <w:numId w:val="8"/>
        </w:numPr>
        <w:tabs>
          <w:tab w:val="left" w:pos="0"/>
          <w:tab w:val="left" w:pos="315"/>
          <w:tab w:val="left" w:pos="525"/>
          <w:tab w:val="left" w:pos="945"/>
          <w:tab w:val="left" w:pos="1050"/>
        </w:tabs>
        <w:spacing w:line="360" w:lineRule="auto"/>
        <w:ind w:left="0" w:firstLine="523"/>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方决不提供虚假材料谋取中标、决不采取不正当手段诋毁、排挤其他供应商、决不与采购人、其他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359ADDDC">
      <w:pPr>
        <w:spacing w:line="400" w:lineRule="exact"/>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投标人（盖章）：</w:t>
      </w:r>
    </w:p>
    <w:p w14:paraId="0955420B">
      <w:pPr>
        <w:spacing w:line="400" w:lineRule="exact"/>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法定代表人或法定代表人授权代表签字或盖章：</w:t>
      </w:r>
    </w:p>
    <w:p w14:paraId="3D360906">
      <w:pPr>
        <w:spacing w:line="400" w:lineRule="exact"/>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电话：                         传真：</w:t>
      </w:r>
    </w:p>
    <w:p w14:paraId="6C543C19">
      <w:pPr>
        <w:spacing w:line="40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通讯地址：                     邮编：</w:t>
      </w:r>
    </w:p>
    <w:p w14:paraId="03E2F429">
      <w:pPr>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（二）（投标人）关于资格的声明函（格式）：</w:t>
      </w:r>
    </w:p>
    <w:p w14:paraId="72360624">
      <w:pPr>
        <w:spacing w:line="360" w:lineRule="auto"/>
        <w:rPr>
          <w:rFonts w:ascii="黑体" w:hAnsi="Times New Roman" w:eastAsia="黑体" w:cs="Times New Roman"/>
          <w:bCs/>
          <w:color w:val="auto"/>
          <w:sz w:val="36"/>
          <w:highlight w:val="none"/>
        </w:rPr>
      </w:pPr>
    </w:p>
    <w:p w14:paraId="19B6CF28">
      <w:pPr>
        <w:jc w:val="center"/>
        <w:rPr>
          <w:rFonts w:ascii="黑体" w:hAnsi="Times New Roman" w:eastAsia="黑体" w:cs="Times New Roman"/>
          <w:bCs/>
          <w:color w:val="auto"/>
          <w:sz w:val="28"/>
          <w:szCs w:val="28"/>
          <w:highlight w:val="none"/>
        </w:rPr>
      </w:pPr>
      <w:bookmarkStart w:id="4" w:name="报价方关于资格的声明函（格式）"/>
      <w:bookmarkEnd w:id="4"/>
      <w:r>
        <w:rPr>
          <w:rFonts w:hint="eastAsia" w:ascii="黑体" w:hAnsi="Times New Roman" w:eastAsia="黑体" w:cs="Times New Roman"/>
          <w:bCs/>
          <w:color w:val="auto"/>
          <w:sz w:val="28"/>
          <w:szCs w:val="28"/>
          <w:highlight w:val="none"/>
        </w:rPr>
        <w:t>关于资格的声明函</w:t>
      </w:r>
    </w:p>
    <w:p w14:paraId="6307CBF5">
      <w:pPr>
        <w:jc w:val="center"/>
        <w:rPr>
          <w:rFonts w:ascii="黑体" w:hAnsi="Times New Roman" w:eastAsia="黑体" w:cs="Times New Roman"/>
          <w:bCs/>
          <w:color w:val="auto"/>
          <w:sz w:val="32"/>
          <w:highlight w:val="none"/>
        </w:rPr>
      </w:pPr>
    </w:p>
    <w:p w14:paraId="738FE9F5">
      <w:pPr>
        <w:spacing w:line="480" w:lineRule="auto"/>
        <w:jc w:val="center"/>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采购项目编号：</w:t>
      </w:r>
    </w:p>
    <w:p w14:paraId="299664EE">
      <w:pPr>
        <w:tabs>
          <w:tab w:val="left" w:pos="6300"/>
        </w:tabs>
        <w:spacing w:line="480" w:lineRule="auto"/>
        <w:jc w:val="center"/>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日期：</w:t>
      </w:r>
    </w:p>
    <w:p w14:paraId="2333082E">
      <w:pP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无锡市新吴区人民政府江溪街道办事处</w:t>
      </w:r>
      <w:r>
        <w:rPr>
          <w:rFonts w:hint="eastAsia" w:ascii="宋体" w:hAnsi="宋体" w:eastAsia="宋体" w:cs="Times New Roman"/>
          <w:bCs/>
          <w:color w:val="auto"/>
          <w:sz w:val="24"/>
          <w:szCs w:val="24"/>
          <w:highlight w:val="none"/>
        </w:rPr>
        <w:t>：</w:t>
      </w:r>
    </w:p>
    <w:p w14:paraId="644991FB">
      <w:pPr>
        <w:spacing w:line="480" w:lineRule="auto"/>
        <w:rPr>
          <w:rFonts w:ascii="宋体" w:hAnsi="Times New Roman" w:eastAsia="宋体" w:cs="Times New Roman"/>
          <w:bCs/>
          <w:color w:val="auto"/>
          <w:sz w:val="24"/>
          <w:szCs w:val="24"/>
          <w:highlight w:val="none"/>
        </w:rPr>
      </w:pPr>
    </w:p>
    <w:p w14:paraId="3BFB0A77">
      <w:pPr>
        <w:spacing w:line="480" w:lineRule="auto"/>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我公司（单位）参加本次项目（</w:t>
      </w:r>
      <w:r>
        <w:rPr>
          <w:rFonts w:hint="eastAsia" w:ascii="宋体" w:hAnsi="宋体" w:cs="Times New Roman"/>
          <w:bCs/>
          <w:color w:val="auto"/>
          <w:sz w:val="24"/>
          <w:szCs w:val="24"/>
          <w:highlight w:val="none"/>
          <w:lang w:eastAsia="zh-CN"/>
        </w:rPr>
        <w:t>JSZC-320214-WXZH-G2026-0004</w:t>
      </w:r>
      <w:r>
        <w:rPr>
          <w:rFonts w:hint="eastAsia" w:ascii="宋体" w:hAnsi="宋体" w:eastAsia="宋体" w:cs="Times New Roman"/>
          <w:bCs/>
          <w:color w:val="auto"/>
          <w:sz w:val="24"/>
          <w:szCs w:val="24"/>
          <w:highlight w:val="none"/>
        </w:rPr>
        <w:t>）政府采购活动前三年内，在经营活动中没有重大违法记录，我公司（单位）愿针对本次项目（</w:t>
      </w:r>
      <w:r>
        <w:rPr>
          <w:rFonts w:hint="eastAsia" w:ascii="宋体" w:hAnsi="宋体" w:cs="Times New Roman"/>
          <w:bCs/>
          <w:color w:val="auto"/>
          <w:sz w:val="24"/>
          <w:szCs w:val="24"/>
          <w:highlight w:val="none"/>
          <w:lang w:eastAsia="zh-CN"/>
        </w:rPr>
        <w:t>JSZC-320214-WXZH-G2026-0004</w:t>
      </w:r>
      <w:r>
        <w:rPr>
          <w:rFonts w:hint="eastAsia" w:ascii="宋体" w:hAnsi="宋体" w:eastAsia="宋体" w:cs="Times New Roman"/>
          <w:bCs/>
          <w:color w:val="auto"/>
          <w:sz w:val="24"/>
          <w:szCs w:val="24"/>
          <w:highlight w:val="none"/>
        </w:rPr>
        <w:t>）进行投标，投标文件中所有关于投标资格的文件、证明、陈述均是真实的、准确的。若有违背，我公司（单位）愿意承担由此而产生的一切后果。</w:t>
      </w:r>
    </w:p>
    <w:p w14:paraId="710AB267">
      <w:pPr>
        <w:spacing w:line="480" w:lineRule="auto"/>
        <w:rPr>
          <w:rFonts w:ascii="宋体" w:hAnsi="Times New Roman" w:eastAsia="宋体" w:cs="Times New Roman"/>
          <w:bCs/>
          <w:color w:val="auto"/>
          <w:sz w:val="24"/>
          <w:szCs w:val="24"/>
          <w:highlight w:val="none"/>
        </w:rPr>
      </w:pPr>
    </w:p>
    <w:p w14:paraId="45828560">
      <w:pP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投标人（盖章）：</w:t>
      </w:r>
    </w:p>
    <w:p w14:paraId="66112BD9">
      <w:pPr>
        <w:spacing w:line="48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法定代表人或法定代表人授权代表（签字或盖章）：</w:t>
      </w:r>
    </w:p>
    <w:p w14:paraId="0454566A">
      <w:pPr>
        <w:spacing w:line="480" w:lineRule="auto"/>
        <w:rPr>
          <w:rFonts w:ascii="宋体" w:hAnsi="Times New Roman" w:eastAsia="宋体" w:cs="Times New Roman"/>
          <w:bCs/>
          <w:color w:val="auto"/>
          <w:sz w:val="24"/>
          <w:szCs w:val="24"/>
          <w:highlight w:val="none"/>
        </w:rPr>
      </w:pPr>
    </w:p>
    <w:p w14:paraId="670586BD">
      <w:pPr>
        <w:ind w:firstLine="480"/>
        <w:rPr>
          <w:rFonts w:hint="eastAsia" w:ascii="黑体" w:hAnsi="宋体" w:eastAsia="黑体" w:cs="Times New Roman"/>
          <w:bCs/>
          <w:color w:val="auto"/>
          <w:sz w:val="24"/>
          <w:szCs w:val="24"/>
          <w:highlight w:val="none"/>
        </w:rPr>
      </w:pPr>
    </w:p>
    <w:p w14:paraId="281F0596">
      <w:pPr>
        <w:ind w:firstLine="480"/>
        <w:rPr>
          <w:rFonts w:hint="eastAsia" w:ascii="黑体" w:hAnsi="宋体" w:eastAsia="黑体" w:cs="Times New Roman"/>
          <w:bCs/>
          <w:color w:val="auto"/>
          <w:sz w:val="24"/>
          <w:szCs w:val="24"/>
          <w:highlight w:val="none"/>
        </w:rPr>
      </w:pPr>
    </w:p>
    <w:p w14:paraId="43AA284E">
      <w:pPr>
        <w:ind w:firstLine="480"/>
        <w:rPr>
          <w:rFonts w:hint="eastAsia" w:ascii="黑体" w:hAnsi="宋体" w:eastAsia="黑体" w:cs="Times New Roman"/>
          <w:bCs/>
          <w:color w:val="auto"/>
          <w:sz w:val="24"/>
          <w:szCs w:val="24"/>
          <w:highlight w:val="none"/>
        </w:rPr>
      </w:pPr>
    </w:p>
    <w:p w14:paraId="2EB28500">
      <w:pPr>
        <w:ind w:firstLine="480"/>
        <w:rPr>
          <w:rFonts w:hint="eastAsia" w:ascii="黑体" w:hAnsi="宋体" w:eastAsia="黑体" w:cs="Times New Roman"/>
          <w:bCs/>
          <w:color w:val="auto"/>
          <w:sz w:val="24"/>
          <w:szCs w:val="24"/>
          <w:highlight w:val="none"/>
        </w:rPr>
      </w:pPr>
    </w:p>
    <w:p w14:paraId="5134AE10">
      <w:pPr>
        <w:ind w:firstLine="480"/>
        <w:rPr>
          <w:rFonts w:hint="eastAsia" w:ascii="黑体" w:hAnsi="宋体" w:eastAsia="黑体" w:cs="Times New Roman"/>
          <w:bCs/>
          <w:color w:val="auto"/>
          <w:sz w:val="24"/>
          <w:szCs w:val="24"/>
          <w:highlight w:val="none"/>
        </w:rPr>
      </w:pPr>
    </w:p>
    <w:p w14:paraId="12AFE923">
      <w:pPr>
        <w:ind w:firstLine="480"/>
        <w:rPr>
          <w:rFonts w:hint="eastAsia" w:ascii="黑体" w:hAnsi="宋体" w:eastAsia="黑体" w:cs="Times New Roman"/>
          <w:bCs/>
          <w:color w:val="auto"/>
          <w:sz w:val="24"/>
          <w:szCs w:val="24"/>
          <w:highlight w:val="none"/>
        </w:rPr>
      </w:pPr>
    </w:p>
    <w:p w14:paraId="6110B845">
      <w:pPr>
        <w:ind w:firstLine="480"/>
        <w:rPr>
          <w:rFonts w:hint="eastAsia" w:ascii="黑体" w:hAnsi="宋体" w:eastAsia="黑体" w:cs="Times New Roman"/>
          <w:bCs/>
          <w:color w:val="auto"/>
          <w:sz w:val="24"/>
          <w:szCs w:val="24"/>
          <w:highlight w:val="none"/>
        </w:rPr>
      </w:pPr>
    </w:p>
    <w:p w14:paraId="6BAEC789">
      <w:pPr>
        <w:ind w:firstLine="420"/>
        <w:rPr>
          <w:rFonts w:hint="eastAsia" w:ascii="黑体" w:hAnsi="宋体" w:eastAsia="黑体" w:cs="Times New Roman"/>
          <w:bCs/>
          <w:color w:val="auto"/>
          <w:sz w:val="24"/>
          <w:szCs w:val="24"/>
          <w:highlight w:val="none"/>
        </w:rPr>
      </w:pPr>
      <w:r>
        <w:rPr>
          <w:rFonts w:hint="eastAsia" w:ascii="Times New Roman" w:hAnsi="Times New Roman" w:eastAsia="宋体" w:cs="Times New Roman"/>
          <w:color w:val="auto"/>
          <w:highlight w:val="none"/>
        </w:rPr>
        <w:t>备注：上述所称“重大违法记录”，是指供应商因违法经营受到刑事处罚或者责令停产停业、吊销许可证或者执照、较大数额罚款等行政处罚。</w:t>
      </w:r>
    </w:p>
    <w:p w14:paraId="45D1401F">
      <w:pPr>
        <w:ind w:firstLine="480"/>
        <w:rPr>
          <w:rFonts w:hint="eastAsia" w:ascii="黑体" w:hAnsi="宋体" w:eastAsia="黑体" w:cs="Times New Roman"/>
          <w:bCs/>
          <w:color w:val="auto"/>
          <w:sz w:val="24"/>
          <w:szCs w:val="24"/>
          <w:highlight w:val="none"/>
        </w:rPr>
      </w:pPr>
    </w:p>
    <w:p w14:paraId="5C36030F">
      <w:pPr>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（三）（投标人）法定代表人授权委托书（格式）：</w:t>
      </w:r>
    </w:p>
    <w:p w14:paraId="190C9BBA">
      <w:pPr>
        <w:rPr>
          <w:rFonts w:ascii="黑体" w:hAnsi="Times New Roman" w:eastAsia="黑体" w:cs="Times New Roman"/>
          <w:bCs/>
          <w:color w:val="auto"/>
          <w:sz w:val="28"/>
          <w:szCs w:val="28"/>
          <w:highlight w:val="none"/>
        </w:rPr>
      </w:pPr>
    </w:p>
    <w:p w14:paraId="0F5BE905">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法定代表人授权委托书</w:t>
      </w:r>
    </w:p>
    <w:p w14:paraId="426EB750">
      <w:pPr>
        <w:spacing w:line="360" w:lineRule="auto"/>
        <w:jc w:val="center"/>
        <w:rPr>
          <w:rFonts w:ascii="楷体_GB2312" w:hAnsi="Times New Roman" w:eastAsia="楷体_GB2312" w:cs="Times New Roman"/>
          <w:bCs/>
          <w:color w:val="auto"/>
          <w:sz w:val="36"/>
          <w:highlight w:val="none"/>
        </w:rPr>
      </w:pPr>
    </w:p>
    <w:p w14:paraId="24AEA318">
      <w:pPr>
        <w:spacing w:line="480" w:lineRule="auto"/>
        <w:jc w:val="center"/>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采购项目编号：</w:t>
      </w:r>
    </w:p>
    <w:p w14:paraId="6F72B314">
      <w:pPr>
        <w:spacing w:line="580" w:lineRule="exact"/>
        <w:ind w:firstLine="40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日期：</w:t>
      </w:r>
    </w:p>
    <w:p w14:paraId="361E7305">
      <w:pPr>
        <w:spacing w:line="600" w:lineRule="exact"/>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lang w:eastAsia="zh-CN"/>
        </w:rPr>
        <w:t>无锡市新吴区人民政府江溪街道办事处</w:t>
      </w:r>
      <w:r>
        <w:rPr>
          <w:rFonts w:hint="eastAsia" w:ascii="宋体" w:hAnsi="宋体" w:eastAsia="宋体" w:cs="Times New Roman"/>
          <w:bCs/>
          <w:color w:val="auto"/>
          <w:sz w:val="24"/>
          <w:szCs w:val="24"/>
          <w:highlight w:val="none"/>
        </w:rPr>
        <w:t>：</w:t>
      </w:r>
    </w:p>
    <w:p w14:paraId="00BA011D">
      <w:pPr>
        <w:spacing w:line="60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系中华人民共和国合法公司（单位），特授权</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代表我公司（单位）全权办理针对本项目（</w:t>
      </w:r>
      <w:r>
        <w:rPr>
          <w:rFonts w:hint="eastAsia" w:ascii="宋体" w:hAnsi="宋体" w:cs="Times New Roman"/>
          <w:bCs/>
          <w:color w:val="auto"/>
          <w:sz w:val="24"/>
          <w:szCs w:val="24"/>
          <w:highlight w:val="none"/>
          <w:lang w:eastAsia="zh-CN"/>
        </w:rPr>
        <w:t>JSZC-320214-WXZH-G2026-0004</w:t>
      </w:r>
      <w:r>
        <w:rPr>
          <w:rFonts w:hint="eastAsia" w:ascii="宋体" w:hAnsi="宋体" w:eastAsia="宋体" w:cs="Times New Roman"/>
          <w:bCs/>
          <w:color w:val="auto"/>
          <w:sz w:val="24"/>
          <w:szCs w:val="24"/>
          <w:highlight w:val="none"/>
        </w:rPr>
        <w:t>）的投标、参与开标、评标、签约等具体工作，并签署全部有关的文件、协议及合同。</w:t>
      </w:r>
    </w:p>
    <w:p w14:paraId="25D34D9E">
      <w:pPr>
        <w:spacing w:line="580" w:lineRule="exact"/>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我公司（单位）对被授权代表的签名负全部责任。</w:t>
      </w:r>
    </w:p>
    <w:p w14:paraId="491434C6">
      <w:pPr>
        <w:spacing w:line="580" w:lineRule="exact"/>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在撤销授权的书面通知送达你处以前，本授权书一直有效，被授权代表签署的所有文件（在授权书有效期内签署的）不因授权的撤销而失效。</w:t>
      </w:r>
    </w:p>
    <w:p w14:paraId="15E79CBC">
      <w:pPr>
        <w:spacing w:line="580" w:lineRule="exact"/>
        <w:ind w:firstLine="4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被授权代表情况：</w:t>
      </w:r>
    </w:p>
    <w:p w14:paraId="73603C92">
      <w:pPr>
        <w:spacing w:line="580" w:lineRule="exact"/>
        <w:ind w:firstLine="525"/>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姓名：         性别：               电话：</w:t>
      </w:r>
    </w:p>
    <w:p w14:paraId="0030B1BC">
      <w:pPr>
        <w:spacing w:line="580" w:lineRule="exact"/>
        <w:ind w:firstLine="3240"/>
        <w:rPr>
          <w:rFonts w:ascii="宋体" w:hAnsi="Times New Roman" w:eastAsia="宋体" w:cs="Times New Roman"/>
          <w:bCs/>
          <w:color w:val="auto"/>
          <w:sz w:val="24"/>
          <w:szCs w:val="24"/>
          <w:highlight w:val="none"/>
        </w:rPr>
      </w:pPr>
    </w:p>
    <w:p w14:paraId="227BE80A">
      <w:pPr>
        <w:spacing w:line="580" w:lineRule="exact"/>
        <w:ind w:firstLine="3240"/>
        <w:rPr>
          <w:rFonts w:ascii="宋体" w:hAnsi="Times New Roman" w:eastAsia="宋体" w:cs="Times New Roman"/>
          <w:bCs/>
          <w:color w:val="auto"/>
          <w:sz w:val="24"/>
          <w:szCs w:val="24"/>
          <w:highlight w:val="none"/>
        </w:rPr>
      </w:pPr>
    </w:p>
    <w:p w14:paraId="1C1660C8">
      <w:pPr>
        <w:spacing w:line="580" w:lineRule="exact"/>
        <w:ind w:firstLine="4180"/>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单位名称（盖章）：</w:t>
      </w:r>
    </w:p>
    <w:p w14:paraId="1B773DD6">
      <w:pPr>
        <w:spacing w:line="580" w:lineRule="exact"/>
        <w:ind w:firstLine="40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法定代表人（签字或盖章）：</w:t>
      </w:r>
    </w:p>
    <w:p w14:paraId="3D68F814">
      <w:pPr>
        <w:spacing w:line="580" w:lineRule="exact"/>
        <w:ind w:firstLine="420"/>
        <w:rPr>
          <w:rFonts w:ascii="宋体" w:hAnsi="Times New Roman" w:eastAsia="宋体" w:cs="Times New Roman"/>
          <w:bCs/>
          <w:color w:val="auto"/>
          <w:sz w:val="24"/>
          <w:szCs w:val="24"/>
          <w:highlight w:val="none"/>
        </w:rPr>
      </w:pPr>
    </w:p>
    <w:p w14:paraId="72AFB5D4">
      <w:pPr>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（四）（投标人）中小企业声明函（格式）：</w:t>
      </w:r>
    </w:p>
    <w:p w14:paraId="3D840C05">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t>中小企业声明函（服务）</w:t>
      </w:r>
    </w:p>
    <w:p w14:paraId="115DB891">
      <w:pPr>
        <w:spacing w:line="580" w:lineRule="exact"/>
        <w:ind w:firstLine="480"/>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本公司（联合体）郑重声明，根据《政府采购促进中小企业发展管理办法》（财库﹝2020﹞46 号）的规定，本公司（联合体）参加</w:t>
      </w:r>
      <w:r>
        <w:rPr>
          <w:rFonts w:ascii="宋体" w:hAnsi="宋体" w:eastAsia="宋体" w:cs="Times New Roman"/>
          <w:bCs/>
          <w:color w:val="auto"/>
          <w:sz w:val="24"/>
          <w:szCs w:val="24"/>
          <w:highlight w:val="none"/>
          <w:u w:val="single"/>
        </w:rPr>
        <w:t>（单位名称）</w:t>
      </w:r>
      <w:r>
        <w:rPr>
          <w:rFonts w:ascii="宋体" w:hAnsi="宋体" w:eastAsia="宋体" w:cs="Times New Roman"/>
          <w:bCs/>
          <w:color w:val="auto"/>
          <w:sz w:val="24"/>
          <w:szCs w:val="24"/>
          <w:highlight w:val="none"/>
        </w:rPr>
        <w:t>的</w:t>
      </w:r>
      <w:r>
        <w:rPr>
          <w:rFonts w:ascii="宋体" w:hAnsi="宋体" w:eastAsia="宋体" w:cs="Times New Roman"/>
          <w:bCs/>
          <w:color w:val="auto"/>
          <w:sz w:val="24"/>
          <w:szCs w:val="24"/>
          <w:highlight w:val="none"/>
          <w:u w:val="single"/>
        </w:rPr>
        <w:t>（项目名称）</w:t>
      </w:r>
      <w:r>
        <w:rPr>
          <w:rFonts w:ascii="宋体" w:hAnsi="宋体" w:eastAsia="宋体" w:cs="Times New Roman"/>
          <w:bCs/>
          <w:color w:val="auto"/>
          <w:sz w:val="24"/>
          <w:szCs w:val="24"/>
          <w:highlight w:val="none"/>
        </w:rPr>
        <w:t>采购活动，服务全部由符合政策要求的中小企业承接。相关企业（含联合体中的中小企业、签订分包意向协议的中小企业）的具体情况如下：</w:t>
      </w:r>
    </w:p>
    <w:p w14:paraId="3B5EB676">
      <w:pPr>
        <w:spacing w:line="580" w:lineRule="exact"/>
        <w:ind w:firstLine="480"/>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1.</w:t>
      </w:r>
      <w:r>
        <w:rPr>
          <w:rFonts w:ascii="宋体" w:hAnsi="宋体" w:eastAsia="宋体" w:cs="Times New Roman"/>
          <w:bCs/>
          <w:color w:val="auto"/>
          <w:sz w:val="24"/>
          <w:szCs w:val="24"/>
          <w:highlight w:val="none"/>
          <w:u w:val="single"/>
        </w:rPr>
        <w:t xml:space="preserve"> （标的名称） </w:t>
      </w:r>
      <w:r>
        <w:rPr>
          <w:rFonts w:ascii="宋体" w:hAnsi="宋体" w:eastAsia="宋体" w:cs="Times New Roman"/>
          <w:bCs/>
          <w:color w:val="auto"/>
          <w:sz w:val="24"/>
          <w:szCs w:val="24"/>
          <w:highlight w:val="none"/>
        </w:rPr>
        <w:t>，属于</w:t>
      </w:r>
      <w:r>
        <w:rPr>
          <w:rFonts w:ascii="宋体" w:hAnsi="宋体" w:eastAsia="宋体" w:cs="Times New Roman"/>
          <w:bCs/>
          <w:color w:val="auto"/>
          <w:sz w:val="24"/>
          <w:szCs w:val="24"/>
          <w:highlight w:val="none"/>
          <w:u w:val="single"/>
        </w:rPr>
        <w:t>（采购文件中明确的所属行业）</w:t>
      </w:r>
      <w:r>
        <w:rPr>
          <w:rFonts w:ascii="宋体" w:hAnsi="宋体" w:eastAsia="宋体" w:cs="Times New Roman"/>
          <w:bCs/>
          <w:color w:val="auto"/>
          <w:sz w:val="24"/>
          <w:szCs w:val="24"/>
          <w:highlight w:val="none"/>
        </w:rPr>
        <w:t>； 承建（承接）企业为</w:t>
      </w:r>
      <w:r>
        <w:rPr>
          <w:rFonts w:ascii="宋体" w:hAnsi="宋体" w:eastAsia="宋体" w:cs="Times New Roman"/>
          <w:bCs/>
          <w:color w:val="auto"/>
          <w:sz w:val="24"/>
          <w:szCs w:val="24"/>
          <w:highlight w:val="none"/>
          <w:u w:val="single"/>
        </w:rPr>
        <w:t>（企业名称）</w:t>
      </w:r>
      <w:r>
        <w:rPr>
          <w:rFonts w:ascii="宋体" w:hAnsi="宋体" w:eastAsia="宋体" w:cs="Times New Roman"/>
          <w:bCs/>
          <w:color w:val="auto"/>
          <w:sz w:val="24"/>
          <w:szCs w:val="24"/>
          <w:highlight w:val="none"/>
        </w:rPr>
        <w:t>，从业人员</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人，营业收入为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万元，资产总额为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万元，属于</w:t>
      </w:r>
      <w:r>
        <w:rPr>
          <w:rFonts w:ascii="宋体" w:hAnsi="宋体" w:eastAsia="宋体" w:cs="Times New Roman"/>
          <w:bCs/>
          <w:color w:val="auto"/>
          <w:sz w:val="24"/>
          <w:szCs w:val="24"/>
          <w:highlight w:val="none"/>
          <w:u w:val="single"/>
        </w:rPr>
        <w:t>（中型企业、 小型企业、微型企业）</w:t>
      </w:r>
      <w:r>
        <w:rPr>
          <w:rFonts w:ascii="宋体" w:hAnsi="宋体" w:eastAsia="宋体" w:cs="Times New Roman"/>
          <w:bCs/>
          <w:color w:val="auto"/>
          <w:sz w:val="24"/>
          <w:szCs w:val="24"/>
          <w:highlight w:val="none"/>
        </w:rPr>
        <w:t>；</w:t>
      </w:r>
    </w:p>
    <w:p w14:paraId="23373154">
      <w:pPr>
        <w:spacing w:line="58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2.</w:t>
      </w:r>
      <w:r>
        <w:rPr>
          <w:rFonts w:ascii="宋体" w:hAnsi="宋体" w:eastAsia="宋体" w:cs="Times New Roman"/>
          <w:bCs/>
          <w:color w:val="auto"/>
          <w:sz w:val="24"/>
          <w:szCs w:val="24"/>
          <w:highlight w:val="none"/>
          <w:u w:val="single"/>
        </w:rPr>
        <w:t xml:space="preserve"> （标的名称） </w:t>
      </w:r>
      <w:r>
        <w:rPr>
          <w:rFonts w:ascii="宋体" w:hAnsi="宋体" w:eastAsia="宋体" w:cs="Times New Roman"/>
          <w:bCs/>
          <w:color w:val="auto"/>
          <w:sz w:val="24"/>
          <w:szCs w:val="24"/>
          <w:highlight w:val="none"/>
        </w:rPr>
        <w:t>，属于</w:t>
      </w:r>
      <w:r>
        <w:rPr>
          <w:rFonts w:ascii="宋体" w:hAnsi="宋体" w:eastAsia="宋体" w:cs="Times New Roman"/>
          <w:bCs/>
          <w:color w:val="auto"/>
          <w:sz w:val="24"/>
          <w:szCs w:val="24"/>
          <w:highlight w:val="none"/>
          <w:u w:val="single"/>
        </w:rPr>
        <w:t>（采购文件中明确的所属行业）</w:t>
      </w:r>
      <w:r>
        <w:rPr>
          <w:rFonts w:ascii="宋体" w:hAnsi="宋体" w:eastAsia="宋体" w:cs="Times New Roman"/>
          <w:bCs/>
          <w:color w:val="auto"/>
          <w:sz w:val="24"/>
          <w:szCs w:val="24"/>
          <w:highlight w:val="none"/>
        </w:rPr>
        <w:t>； 承建（承接）企业为</w:t>
      </w:r>
      <w:r>
        <w:rPr>
          <w:rFonts w:ascii="宋体" w:hAnsi="宋体" w:eastAsia="宋体" w:cs="Times New Roman"/>
          <w:bCs/>
          <w:color w:val="auto"/>
          <w:sz w:val="24"/>
          <w:szCs w:val="24"/>
          <w:highlight w:val="none"/>
          <w:u w:val="single"/>
        </w:rPr>
        <w:t>（企业名称）</w:t>
      </w:r>
      <w:r>
        <w:rPr>
          <w:rFonts w:ascii="宋体" w:hAnsi="宋体" w:eastAsia="宋体" w:cs="Times New Roman"/>
          <w:bCs/>
          <w:color w:val="auto"/>
          <w:sz w:val="24"/>
          <w:szCs w:val="24"/>
          <w:highlight w:val="none"/>
        </w:rPr>
        <w:t>，从业人员</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人，营业收入为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万元，资产总额为</w:t>
      </w:r>
      <w:r>
        <w:rPr>
          <w:rFonts w:hint="eastAsia" w:ascii="宋体" w:hAnsi="宋体" w:eastAsia="宋体" w:cs="Times New Roman"/>
          <w:bCs/>
          <w:color w:val="auto"/>
          <w:sz w:val="24"/>
          <w:szCs w:val="24"/>
          <w:highlight w:val="none"/>
          <w:u w:val="single"/>
        </w:rPr>
        <w:t xml:space="preserve">    </w:t>
      </w:r>
      <w:r>
        <w:rPr>
          <w:rFonts w:ascii="宋体" w:hAnsi="宋体" w:eastAsia="宋体" w:cs="Times New Roman"/>
          <w:bCs/>
          <w:color w:val="auto"/>
          <w:sz w:val="24"/>
          <w:szCs w:val="24"/>
          <w:highlight w:val="none"/>
        </w:rPr>
        <w:t>万元，属于</w:t>
      </w:r>
      <w:r>
        <w:rPr>
          <w:rFonts w:ascii="宋体" w:hAnsi="宋体" w:eastAsia="宋体" w:cs="Times New Roman"/>
          <w:bCs/>
          <w:color w:val="auto"/>
          <w:sz w:val="24"/>
          <w:szCs w:val="24"/>
          <w:highlight w:val="none"/>
          <w:u w:val="single"/>
        </w:rPr>
        <w:t>（中型企业、 小型企业、微型企业）</w:t>
      </w:r>
      <w:r>
        <w:rPr>
          <w:rFonts w:ascii="宋体" w:hAnsi="宋体" w:eastAsia="宋体" w:cs="Times New Roman"/>
          <w:bCs/>
          <w:color w:val="auto"/>
          <w:sz w:val="24"/>
          <w:szCs w:val="24"/>
          <w:highlight w:val="none"/>
        </w:rPr>
        <w:t>；</w:t>
      </w:r>
    </w:p>
    <w:p w14:paraId="6F95152B">
      <w:pPr>
        <w:spacing w:line="580" w:lineRule="exact"/>
        <w:ind w:firstLine="480"/>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w:t>
      </w:r>
    </w:p>
    <w:p w14:paraId="427A5C24">
      <w:pPr>
        <w:spacing w:line="580" w:lineRule="exact"/>
        <w:ind w:firstLine="480"/>
        <w:rPr>
          <w:rFonts w:hint="eastAsia"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t>以上企业，不属于大企业的分支机构，不存在控股股东为大企业的情形，也不存在与大企业的负责人为同一人的情形。 本企业对上述声明内容的真实性负责。如有虚假，将依法承担相应责任。</w:t>
      </w:r>
    </w:p>
    <w:p w14:paraId="1D27AD37">
      <w:pPr>
        <w:rPr>
          <w:rFonts w:hint="eastAsia" w:ascii="黑体" w:hAnsi="宋体" w:eastAsia="黑体" w:cs="Times New Roman"/>
          <w:bCs/>
          <w:color w:val="auto"/>
          <w:sz w:val="24"/>
          <w:szCs w:val="24"/>
          <w:highlight w:val="none"/>
        </w:rPr>
      </w:pPr>
    </w:p>
    <w:p w14:paraId="2F90633C">
      <w:pPr>
        <w:rPr>
          <w:rFonts w:hint="eastAsia" w:ascii="黑体" w:hAnsi="宋体" w:eastAsia="黑体" w:cs="Times New Roman"/>
          <w:bCs/>
          <w:color w:val="auto"/>
          <w:sz w:val="24"/>
          <w:szCs w:val="24"/>
          <w:highlight w:val="none"/>
        </w:rPr>
      </w:pPr>
    </w:p>
    <w:p w14:paraId="54AC4D46">
      <w:pPr>
        <w:spacing w:line="360" w:lineRule="auto"/>
        <w:ind w:firstLine="48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企业名称（盖章）：</w:t>
      </w:r>
    </w:p>
    <w:p w14:paraId="51A33CBF">
      <w:pPr>
        <w:spacing w:line="360" w:lineRule="auto"/>
        <w:ind w:firstLine="480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日　　　　　　期：</w:t>
      </w:r>
    </w:p>
    <w:p w14:paraId="3D743B5F">
      <w:pPr>
        <w:spacing w:line="360" w:lineRule="auto"/>
        <w:rPr>
          <w:rFonts w:hint="eastAsia" w:ascii="宋体" w:hAnsi="宋体" w:eastAsia="宋体" w:cs="Times New Roman"/>
          <w:bCs/>
          <w:color w:val="auto"/>
          <w:sz w:val="24"/>
          <w:szCs w:val="24"/>
          <w:highlight w:val="none"/>
        </w:rPr>
      </w:pPr>
    </w:p>
    <w:p w14:paraId="32A63261">
      <w:pPr>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注：1.</w:t>
      </w:r>
      <w:r>
        <w:rPr>
          <w:rFonts w:ascii="Times New Roman" w:hAnsi="Times New Roman" w:eastAsia="宋体" w:cs="Times New Roman"/>
          <w:color w:val="auto"/>
          <w:highlight w:val="none"/>
        </w:rPr>
        <w:t>从业人员、营业收入、资产总额填报上一年度数据，无上一年度数据的新成立企业可不填报。</w:t>
      </w:r>
    </w:p>
    <w:p w14:paraId="7AEED12F">
      <w:pPr>
        <w:ind w:firstLine="420"/>
        <w:rPr>
          <w:rFonts w:ascii="Times New Roman" w:hAnsi="Times New Roman" w:eastAsia="宋体" w:cs="Times New Roman"/>
          <w:color w:val="auto"/>
          <w:highlight w:val="none"/>
        </w:rPr>
      </w:pPr>
      <w:r>
        <w:rPr>
          <w:rFonts w:hint="eastAsia" w:ascii="Times New Roman" w:hAnsi="Times New Roman" w:eastAsia="宋体" w:cs="Times New Roman"/>
          <w:color w:val="auto"/>
          <w:highlight w:val="none"/>
        </w:rPr>
        <w:t>2.中标供应商的《</w:t>
      </w:r>
      <w:r>
        <w:rPr>
          <w:rFonts w:ascii="Times New Roman" w:hAnsi="Times New Roman" w:eastAsia="宋体" w:cs="Times New Roman"/>
          <w:color w:val="auto"/>
          <w:highlight w:val="none"/>
        </w:rPr>
        <w:t>中小企业声明函</w:t>
      </w:r>
      <w:r>
        <w:rPr>
          <w:rFonts w:hint="eastAsia" w:ascii="Times New Roman" w:hAnsi="Times New Roman" w:eastAsia="宋体" w:cs="Times New Roman"/>
          <w:color w:val="auto"/>
          <w:highlight w:val="none"/>
        </w:rPr>
        <w:t>》将随中标公告进行公示。供应商按照本办法规定提</w:t>
      </w:r>
      <w:r>
        <w:rPr>
          <w:rFonts w:hint="eastAsia" w:ascii="Times New Roman" w:hAnsi="Times New Roman" w:eastAsia="宋体" w:cs="Times New Roman"/>
          <w:color w:val="auto"/>
          <w:highlight w:val="none"/>
          <w:lang w:eastAsia="zh-CN"/>
        </w:rPr>
        <w:t>供的</w:t>
      </w:r>
      <w:r>
        <w:rPr>
          <w:rFonts w:hint="eastAsia" w:ascii="Times New Roman" w:hAnsi="Times New Roman" w:eastAsia="宋体" w:cs="Times New Roman"/>
          <w:color w:val="auto"/>
          <w:highlight w:val="none"/>
        </w:rPr>
        <w:t>声明函内容不实的，属于提供虚假材料谋取中标</w:t>
      </w:r>
      <w:r>
        <w:rPr>
          <w:rFonts w:hint="eastAsia" w:ascii="Times New Roman" w:hAnsi="Times New Roman" w:eastAsia="宋体" w:cs="Times New Roman"/>
          <w:color w:val="auto"/>
          <w:highlight w:val="none"/>
          <w:lang w:eastAsia="zh-CN"/>
        </w:rPr>
        <w:t>，将</w:t>
      </w:r>
      <w:r>
        <w:rPr>
          <w:rFonts w:hint="eastAsia" w:ascii="Times New Roman" w:hAnsi="Times New Roman" w:eastAsia="宋体" w:cs="Times New Roman"/>
          <w:color w:val="auto"/>
          <w:highlight w:val="none"/>
        </w:rPr>
        <w:t>依照《中华人民共和国政府采购法》等国家有关规定追究相应责任。</w:t>
      </w:r>
    </w:p>
    <w:p w14:paraId="78F18D09">
      <w:pPr>
        <w:ind w:firstLine="420"/>
        <w:rPr>
          <w:rFonts w:hint="eastAsia" w:ascii="黑体" w:hAnsi="宋体" w:eastAsia="黑体" w:cs="Times New Roman"/>
          <w:bCs/>
          <w:color w:val="auto"/>
          <w:sz w:val="24"/>
          <w:szCs w:val="24"/>
          <w:highlight w:val="none"/>
        </w:rPr>
      </w:pPr>
      <w:r>
        <w:rPr>
          <w:rFonts w:hint="eastAsia" w:ascii="Times New Roman" w:hAnsi="Times New Roman" w:eastAsia="宋体" w:cs="Times New Roman"/>
          <w:color w:val="auto"/>
          <w:highlight w:val="none"/>
        </w:rPr>
        <w:t>3.投标时本表附在《明细报价表》之后（如有）。</w:t>
      </w:r>
      <w:r>
        <w:rPr>
          <w:rFonts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（五）（投标人）残疾人福利性单位声明函（格式）：</w:t>
      </w:r>
    </w:p>
    <w:p w14:paraId="04D25726">
      <w:pPr>
        <w:spacing w:line="480" w:lineRule="auto"/>
        <w:rPr>
          <w:rFonts w:ascii="宋体" w:hAnsi="Times New Roman" w:eastAsia="宋体" w:cs="Times New Roman"/>
          <w:bCs/>
          <w:color w:val="auto"/>
          <w:sz w:val="24"/>
          <w:szCs w:val="24"/>
          <w:highlight w:val="none"/>
        </w:rPr>
      </w:pPr>
    </w:p>
    <w:p w14:paraId="0A19A436">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残疾人福利性单位声明函</w:t>
      </w:r>
    </w:p>
    <w:p w14:paraId="7AEAE080">
      <w:pPr>
        <w:jc w:val="center"/>
        <w:rPr>
          <w:rFonts w:ascii="黑体" w:hAnsi="Times New Roman" w:eastAsia="黑体" w:cs="Times New Roman"/>
          <w:bCs/>
          <w:color w:val="auto"/>
          <w:sz w:val="28"/>
          <w:szCs w:val="28"/>
          <w:highlight w:val="none"/>
        </w:rPr>
      </w:pPr>
    </w:p>
    <w:p w14:paraId="687387B1">
      <w:pPr>
        <w:spacing w:line="58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单位的______项目采购活动提供本单位制造的货物（由本单位承担工程/提供服务），或者提供其他残疾人福利性单位制造的货物（不包括使用非残疾人福利性单位注册商标的货物）。</w:t>
      </w:r>
    </w:p>
    <w:p w14:paraId="0C28C2AB">
      <w:pPr>
        <w:spacing w:line="58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本单位对上述声明的真实性负责。如有虚假，将依法承担相应责任。</w:t>
      </w:r>
    </w:p>
    <w:p w14:paraId="1996C11F">
      <w:pPr>
        <w:spacing w:line="580" w:lineRule="exact"/>
        <w:ind w:firstLine="480"/>
        <w:rPr>
          <w:rFonts w:hint="eastAsia" w:ascii="宋体" w:hAnsi="宋体" w:eastAsia="宋体" w:cs="Times New Roman"/>
          <w:bCs/>
          <w:color w:val="auto"/>
          <w:sz w:val="24"/>
          <w:szCs w:val="24"/>
          <w:highlight w:val="none"/>
        </w:rPr>
      </w:pPr>
    </w:p>
    <w:p w14:paraId="23A862AE">
      <w:pPr>
        <w:spacing w:line="580" w:lineRule="exact"/>
        <w:ind w:firstLine="480"/>
        <w:rPr>
          <w:rFonts w:hint="eastAsia" w:ascii="宋体" w:hAnsi="宋体" w:eastAsia="宋体" w:cs="Times New Roman"/>
          <w:bCs/>
          <w:color w:val="auto"/>
          <w:sz w:val="24"/>
          <w:szCs w:val="24"/>
          <w:highlight w:val="none"/>
        </w:rPr>
      </w:pPr>
    </w:p>
    <w:p w14:paraId="3347553B">
      <w:pPr>
        <w:spacing w:line="58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单位名称（盖章）：</w:t>
      </w:r>
    </w:p>
    <w:p w14:paraId="76E4C333">
      <w:pPr>
        <w:spacing w:line="580" w:lineRule="exact"/>
        <w:ind w:firstLine="480"/>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日期：</w:t>
      </w:r>
    </w:p>
    <w:p w14:paraId="6150A5AC">
      <w:pPr>
        <w:ind w:firstLine="480"/>
        <w:rPr>
          <w:rFonts w:hint="eastAsia" w:ascii="黑体" w:hAnsi="宋体" w:eastAsia="黑体" w:cs="Times New Roman"/>
          <w:bCs/>
          <w:color w:val="auto"/>
          <w:sz w:val="24"/>
          <w:szCs w:val="24"/>
          <w:highlight w:val="none"/>
        </w:rPr>
      </w:pPr>
    </w:p>
    <w:p w14:paraId="6C449019">
      <w:pPr>
        <w:ind w:firstLine="480"/>
        <w:rPr>
          <w:rFonts w:hint="eastAsia" w:ascii="黑体" w:hAnsi="宋体" w:eastAsia="黑体" w:cs="Times New Roman"/>
          <w:bCs/>
          <w:color w:val="auto"/>
          <w:sz w:val="24"/>
          <w:szCs w:val="24"/>
          <w:highlight w:val="none"/>
        </w:rPr>
      </w:pPr>
    </w:p>
    <w:p w14:paraId="5BAA82DE">
      <w:pPr>
        <w:ind w:firstLine="480"/>
        <w:rPr>
          <w:rFonts w:hint="eastAsia" w:ascii="黑体" w:hAnsi="宋体" w:eastAsia="黑体" w:cs="Times New Roman"/>
          <w:bCs/>
          <w:color w:val="auto"/>
          <w:sz w:val="24"/>
          <w:szCs w:val="24"/>
          <w:highlight w:val="none"/>
        </w:rPr>
      </w:pPr>
    </w:p>
    <w:p w14:paraId="6F3406B0">
      <w:pPr>
        <w:ind w:firstLine="480"/>
        <w:rPr>
          <w:rFonts w:hint="eastAsia" w:ascii="黑体" w:hAnsi="宋体" w:eastAsia="黑体" w:cs="Times New Roman"/>
          <w:bCs/>
          <w:color w:val="auto"/>
          <w:sz w:val="24"/>
          <w:szCs w:val="24"/>
          <w:highlight w:val="none"/>
        </w:rPr>
      </w:pPr>
    </w:p>
    <w:p w14:paraId="3AE2EE0A">
      <w:pPr>
        <w:ind w:firstLine="480"/>
        <w:rPr>
          <w:rFonts w:hint="eastAsia" w:ascii="黑体" w:hAnsi="宋体" w:eastAsia="黑体" w:cs="Times New Roman"/>
          <w:bCs/>
          <w:color w:val="auto"/>
          <w:sz w:val="24"/>
          <w:szCs w:val="24"/>
          <w:highlight w:val="none"/>
        </w:rPr>
      </w:pPr>
    </w:p>
    <w:p w14:paraId="7C2DA4AD">
      <w:pPr>
        <w:ind w:firstLine="480"/>
        <w:rPr>
          <w:rFonts w:hint="eastAsia" w:ascii="黑体" w:hAnsi="宋体" w:eastAsia="黑体" w:cs="Times New Roman"/>
          <w:bCs/>
          <w:color w:val="auto"/>
          <w:sz w:val="24"/>
          <w:szCs w:val="24"/>
          <w:highlight w:val="none"/>
        </w:rPr>
      </w:pPr>
    </w:p>
    <w:p w14:paraId="444B9B16">
      <w:pPr>
        <w:ind w:firstLine="480"/>
        <w:rPr>
          <w:rFonts w:hint="eastAsia" w:ascii="黑体" w:hAnsi="宋体" w:eastAsia="黑体" w:cs="Times New Roman"/>
          <w:bCs/>
          <w:color w:val="auto"/>
          <w:sz w:val="24"/>
          <w:szCs w:val="24"/>
          <w:highlight w:val="none"/>
        </w:rPr>
      </w:pPr>
    </w:p>
    <w:p w14:paraId="4FE140D7">
      <w:pPr>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（六）承诺书（格式）：</w:t>
      </w:r>
    </w:p>
    <w:p w14:paraId="64521775">
      <w:pPr>
        <w:jc w:val="center"/>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承诺书一</w:t>
      </w:r>
    </w:p>
    <w:p w14:paraId="14218F9A">
      <w:pPr>
        <w:jc w:val="center"/>
        <w:rPr>
          <w:rFonts w:ascii="宋体" w:hAnsi="宋体" w:eastAsia="宋体" w:cs="Times New Roman"/>
          <w:bCs/>
          <w:sz w:val="28"/>
          <w:szCs w:val="28"/>
          <w:highlight w:val="none"/>
        </w:rPr>
      </w:pPr>
    </w:p>
    <w:p w14:paraId="7CDAD975">
      <w:pPr>
        <w:spacing w:line="480" w:lineRule="auto"/>
        <w:rPr>
          <w:rFonts w:ascii="宋体" w:hAnsi="宋体" w:eastAsia="宋体" w:cs="Times New Roman"/>
          <w:sz w:val="24"/>
          <w:highlight w:val="none"/>
        </w:rPr>
      </w:pPr>
      <w:r>
        <w:rPr>
          <w:rFonts w:hint="eastAsia" w:ascii="宋体" w:hAnsi="宋体" w:eastAsia="宋体" w:cs="Times New Roman"/>
          <w:sz w:val="24"/>
          <w:highlight w:val="none"/>
        </w:rPr>
        <w:t>（投标供应商名称）在此承诺：</w:t>
      </w:r>
    </w:p>
    <w:p w14:paraId="22DB15FC">
      <w:pPr>
        <w:spacing w:line="440" w:lineRule="exact"/>
        <w:ind w:firstLine="480" w:firstLineChars="200"/>
        <w:rPr>
          <w:rFonts w:hint="eastAsia" w:ascii="宋体" w:hAnsi="宋体" w:eastAsia="宋体" w:cs="Times New Roman"/>
          <w:sz w:val="24"/>
          <w:highlight w:val="none"/>
        </w:rPr>
      </w:pPr>
      <w:r>
        <w:rPr>
          <w:rFonts w:ascii="宋体" w:hAnsi="宋体" w:eastAsia="宋体" w:cs="Times New Roman"/>
          <w:sz w:val="24"/>
          <w:highlight w:val="none"/>
        </w:rPr>
        <w:t>我公司</w:t>
      </w:r>
      <w:r>
        <w:rPr>
          <w:rFonts w:hint="eastAsia" w:ascii="宋体" w:hAnsi="宋体" w:eastAsia="宋体" w:cs="Times New Roman"/>
          <w:sz w:val="24"/>
          <w:highlight w:val="none"/>
          <w:lang w:eastAsia="zh-CN"/>
        </w:rPr>
        <w:t>（</w:t>
      </w:r>
      <w:r>
        <w:rPr>
          <w:rFonts w:ascii="宋体" w:hAnsi="宋体" w:eastAsia="宋体" w:cs="Times New Roman"/>
          <w:sz w:val="24"/>
          <w:highlight w:val="none"/>
        </w:rPr>
        <w:t>单位</w:t>
      </w:r>
      <w:r>
        <w:rPr>
          <w:rFonts w:hint="eastAsia" w:ascii="宋体" w:hAnsi="宋体" w:eastAsia="宋体" w:cs="Times New Roman"/>
          <w:sz w:val="24"/>
          <w:highlight w:val="none"/>
          <w:lang w:eastAsia="zh-CN"/>
        </w:rPr>
        <w:t>）</w:t>
      </w:r>
      <w:r>
        <w:rPr>
          <w:rFonts w:ascii="宋体" w:hAnsi="宋体" w:eastAsia="宋体" w:cs="Times New Roman"/>
          <w:sz w:val="24"/>
          <w:highlight w:val="none"/>
        </w:rPr>
        <w:t>愿针对此次</w:t>
      </w:r>
      <w:r>
        <w:rPr>
          <w:rFonts w:hint="eastAsia" w:ascii="宋体" w:hAnsi="宋体" w:eastAsia="宋体" w:cs="Times New Roman"/>
          <w:sz w:val="24"/>
          <w:highlight w:val="none"/>
          <w:u w:val="single"/>
          <w:lang w:eastAsia="zh-CN"/>
        </w:rPr>
        <w:t>2026年度江溪街道城市管理应急处置拆违拆临服务项目</w:t>
      </w:r>
      <w:r>
        <w:rPr>
          <w:rFonts w:hint="eastAsia" w:ascii="宋体" w:hAnsi="宋体" w:eastAsia="宋体" w:cs="Times New Roman"/>
          <w:sz w:val="24"/>
          <w:highlight w:val="none"/>
        </w:rPr>
        <w:t>（项目名称）</w:t>
      </w:r>
      <w:r>
        <w:rPr>
          <w:rFonts w:ascii="宋体" w:hAnsi="宋体" w:eastAsia="宋体" w:cs="Times New Roman"/>
          <w:sz w:val="24"/>
          <w:highlight w:val="none"/>
        </w:rPr>
        <w:t>进行投标。</w:t>
      </w:r>
    </w:p>
    <w:p w14:paraId="4A07495B">
      <w:pPr>
        <w:spacing w:line="440" w:lineRule="exact"/>
        <w:ind w:firstLine="480" w:firstLineChars="200"/>
        <w:rPr>
          <w:rFonts w:hint="eastAsia" w:ascii="宋体" w:hAnsi="宋体" w:eastAsia="宋体" w:cs="Times New Roman"/>
          <w:sz w:val="24"/>
          <w:highlight w:val="none"/>
        </w:rPr>
      </w:pPr>
      <w:r>
        <w:rPr>
          <w:rFonts w:ascii="宋体" w:hAnsi="宋体" w:eastAsia="宋体" w:cs="Times New Roman"/>
          <w:sz w:val="24"/>
          <w:highlight w:val="none"/>
        </w:rPr>
        <w:t>我公司符合《中华人民共和国政府采购法》第二十二条的规定，在此郑重承诺具备以下条件：</w:t>
      </w:r>
    </w:p>
    <w:p w14:paraId="3D8F76E2">
      <w:pPr>
        <w:spacing w:line="440" w:lineRule="exact"/>
        <w:ind w:left="359" w:leftChars="171"/>
        <w:rPr>
          <w:rFonts w:ascii="宋体" w:hAnsi="宋体" w:eastAsia="宋体" w:cs="Times New Roman"/>
          <w:sz w:val="24"/>
          <w:highlight w:val="none"/>
        </w:rPr>
      </w:pPr>
      <w:r>
        <w:rPr>
          <w:rFonts w:hint="eastAsia" w:ascii="宋体" w:hAnsi="宋体" w:eastAsia="宋体" w:cs="Times New Roman"/>
          <w:sz w:val="24"/>
          <w:highlight w:val="none"/>
          <w:lang w:eastAsia="zh-CN"/>
        </w:rPr>
        <w:t>（</w:t>
      </w:r>
      <w:r>
        <w:rPr>
          <w:rFonts w:ascii="宋体" w:hAnsi="宋体" w:eastAsia="宋体" w:cs="Times New Roman"/>
          <w:sz w:val="24"/>
          <w:highlight w:val="none"/>
        </w:rPr>
        <w:t>一</w:t>
      </w:r>
      <w:r>
        <w:rPr>
          <w:rFonts w:hint="eastAsia" w:ascii="宋体" w:hAnsi="宋体" w:eastAsia="宋体" w:cs="Times New Roman"/>
          <w:sz w:val="24"/>
          <w:highlight w:val="none"/>
          <w:lang w:eastAsia="zh-CN"/>
        </w:rPr>
        <w:t>）</w:t>
      </w:r>
      <w:r>
        <w:rPr>
          <w:rFonts w:ascii="宋体" w:hAnsi="宋体" w:eastAsia="宋体" w:cs="Times New Roman"/>
          <w:sz w:val="24"/>
          <w:highlight w:val="none"/>
        </w:rPr>
        <w:t>具有独立承担民事责任的能力；</w:t>
      </w:r>
      <w:r>
        <w:rPr>
          <w:rFonts w:ascii="宋体" w:hAnsi="宋体" w:eastAsia="宋体" w:cs="Times New Roman"/>
          <w:sz w:val="24"/>
          <w:highlight w:val="none"/>
        </w:rPr>
        <w:cr/>
      </w:r>
      <w:r>
        <w:rPr>
          <w:rFonts w:hint="eastAsia" w:ascii="宋体" w:hAnsi="宋体" w:eastAsia="宋体" w:cs="Times New Roman"/>
          <w:sz w:val="24"/>
          <w:highlight w:val="none"/>
          <w:lang w:eastAsia="zh-CN"/>
        </w:rPr>
        <w:t>（</w:t>
      </w:r>
      <w:r>
        <w:rPr>
          <w:rFonts w:ascii="宋体" w:hAnsi="宋体" w:eastAsia="宋体" w:cs="Times New Roman"/>
          <w:sz w:val="24"/>
          <w:highlight w:val="none"/>
        </w:rPr>
        <w:t>二</w:t>
      </w:r>
      <w:r>
        <w:rPr>
          <w:rFonts w:hint="eastAsia" w:ascii="宋体" w:hAnsi="宋体" w:eastAsia="宋体" w:cs="Times New Roman"/>
          <w:sz w:val="24"/>
          <w:highlight w:val="none"/>
          <w:lang w:eastAsia="zh-CN"/>
        </w:rPr>
        <w:t>）</w:t>
      </w:r>
      <w:r>
        <w:rPr>
          <w:rFonts w:ascii="宋体" w:hAnsi="宋体" w:eastAsia="宋体" w:cs="Times New Roman"/>
          <w:sz w:val="24"/>
          <w:highlight w:val="none"/>
        </w:rPr>
        <w:t>具有良好的商业信誉和健全的财务会计制度；</w:t>
      </w:r>
      <w:r>
        <w:rPr>
          <w:rFonts w:ascii="宋体" w:hAnsi="宋体" w:eastAsia="宋体" w:cs="Times New Roman"/>
          <w:sz w:val="24"/>
          <w:highlight w:val="none"/>
        </w:rPr>
        <w:cr/>
      </w:r>
      <w:r>
        <w:rPr>
          <w:rFonts w:hint="eastAsia" w:ascii="宋体" w:hAnsi="宋体" w:eastAsia="宋体" w:cs="Times New Roman"/>
          <w:sz w:val="24"/>
          <w:highlight w:val="none"/>
          <w:lang w:eastAsia="zh-CN"/>
        </w:rPr>
        <w:t>（</w:t>
      </w:r>
      <w:r>
        <w:rPr>
          <w:rFonts w:ascii="宋体" w:hAnsi="宋体" w:eastAsia="宋体" w:cs="Times New Roman"/>
          <w:sz w:val="24"/>
          <w:highlight w:val="none"/>
        </w:rPr>
        <w:t>三</w:t>
      </w:r>
      <w:r>
        <w:rPr>
          <w:rFonts w:hint="eastAsia" w:ascii="宋体" w:hAnsi="宋体" w:eastAsia="宋体" w:cs="Times New Roman"/>
          <w:sz w:val="24"/>
          <w:highlight w:val="none"/>
          <w:lang w:eastAsia="zh-CN"/>
        </w:rPr>
        <w:t>）</w:t>
      </w:r>
      <w:r>
        <w:rPr>
          <w:rFonts w:ascii="宋体" w:hAnsi="宋体" w:eastAsia="宋体" w:cs="Times New Roman"/>
          <w:sz w:val="24"/>
          <w:highlight w:val="none"/>
        </w:rPr>
        <w:t>具有履行合同所必需的设备和专业技术能力；</w:t>
      </w:r>
      <w:r>
        <w:rPr>
          <w:rFonts w:ascii="宋体" w:hAnsi="宋体" w:eastAsia="宋体" w:cs="Times New Roman"/>
          <w:sz w:val="24"/>
          <w:highlight w:val="none"/>
        </w:rPr>
        <w:cr/>
      </w:r>
      <w:r>
        <w:rPr>
          <w:rFonts w:hint="eastAsia" w:ascii="宋体" w:hAnsi="宋体" w:eastAsia="宋体" w:cs="Times New Roman"/>
          <w:sz w:val="24"/>
          <w:highlight w:val="none"/>
          <w:lang w:eastAsia="zh-CN"/>
        </w:rPr>
        <w:t>（</w:t>
      </w:r>
      <w:r>
        <w:rPr>
          <w:rFonts w:ascii="宋体" w:hAnsi="宋体" w:eastAsia="宋体" w:cs="Times New Roman"/>
          <w:sz w:val="24"/>
          <w:highlight w:val="none"/>
        </w:rPr>
        <w:t>四</w:t>
      </w:r>
      <w:r>
        <w:rPr>
          <w:rFonts w:hint="eastAsia" w:ascii="宋体" w:hAnsi="宋体" w:eastAsia="宋体" w:cs="Times New Roman"/>
          <w:sz w:val="24"/>
          <w:highlight w:val="none"/>
          <w:lang w:eastAsia="zh-CN"/>
        </w:rPr>
        <w:t>）</w:t>
      </w:r>
      <w:r>
        <w:rPr>
          <w:rFonts w:ascii="宋体" w:hAnsi="宋体" w:eastAsia="宋体" w:cs="Times New Roman"/>
          <w:sz w:val="24"/>
          <w:highlight w:val="none"/>
        </w:rPr>
        <w:t>有依法缴纳税收和社会保障资金的良好记录；</w:t>
      </w:r>
      <w:r>
        <w:rPr>
          <w:rFonts w:ascii="宋体" w:hAnsi="宋体" w:eastAsia="宋体" w:cs="Times New Roman"/>
          <w:sz w:val="24"/>
          <w:highlight w:val="none"/>
        </w:rPr>
        <w:cr/>
      </w:r>
      <w:r>
        <w:rPr>
          <w:rFonts w:hint="eastAsia" w:ascii="宋体" w:hAnsi="宋体" w:eastAsia="宋体" w:cs="Times New Roman"/>
          <w:sz w:val="24"/>
          <w:highlight w:val="none"/>
          <w:lang w:eastAsia="zh-CN"/>
        </w:rPr>
        <w:t>（</w:t>
      </w:r>
      <w:r>
        <w:rPr>
          <w:rFonts w:ascii="宋体" w:hAnsi="宋体" w:eastAsia="宋体" w:cs="Times New Roman"/>
          <w:sz w:val="24"/>
          <w:highlight w:val="none"/>
        </w:rPr>
        <w:t>五</w:t>
      </w:r>
      <w:r>
        <w:rPr>
          <w:rFonts w:hint="eastAsia" w:ascii="宋体" w:hAnsi="宋体" w:eastAsia="宋体" w:cs="Times New Roman"/>
          <w:sz w:val="24"/>
          <w:highlight w:val="none"/>
          <w:lang w:eastAsia="zh-CN"/>
        </w:rPr>
        <w:t>）</w:t>
      </w:r>
      <w:r>
        <w:rPr>
          <w:rFonts w:ascii="宋体" w:hAnsi="宋体" w:eastAsia="宋体" w:cs="Times New Roman"/>
          <w:sz w:val="24"/>
          <w:highlight w:val="none"/>
        </w:rPr>
        <w:t>近三年内，在经营活动中没有重大违法记录；</w:t>
      </w:r>
      <w:r>
        <w:rPr>
          <w:rFonts w:ascii="宋体" w:hAnsi="宋体" w:eastAsia="宋体" w:cs="Times New Roman"/>
          <w:sz w:val="24"/>
          <w:highlight w:val="none"/>
        </w:rPr>
        <w:cr/>
      </w:r>
      <w:r>
        <w:rPr>
          <w:rFonts w:hint="eastAsia" w:ascii="宋体" w:hAnsi="宋体" w:eastAsia="宋体" w:cs="Times New Roman"/>
          <w:sz w:val="24"/>
          <w:highlight w:val="none"/>
          <w:lang w:eastAsia="zh-CN"/>
        </w:rPr>
        <w:t>（</w:t>
      </w:r>
      <w:r>
        <w:rPr>
          <w:rFonts w:ascii="宋体" w:hAnsi="宋体" w:eastAsia="宋体" w:cs="Times New Roman"/>
          <w:sz w:val="24"/>
          <w:highlight w:val="none"/>
        </w:rPr>
        <w:t>六</w:t>
      </w:r>
      <w:r>
        <w:rPr>
          <w:rFonts w:hint="eastAsia" w:ascii="宋体" w:hAnsi="宋体" w:eastAsia="宋体" w:cs="Times New Roman"/>
          <w:sz w:val="24"/>
          <w:highlight w:val="none"/>
          <w:lang w:eastAsia="zh-CN"/>
        </w:rPr>
        <w:t>）</w:t>
      </w:r>
      <w:r>
        <w:rPr>
          <w:rFonts w:ascii="宋体" w:hAnsi="宋体" w:eastAsia="宋体" w:cs="Times New Roman"/>
          <w:sz w:val="24"/>
          <w:highlight w:val="none"/>
        </w:rPr>
        <w:t>投标文件中所有关于投标资格的文件、证明、陈述均是真实的、准确的。</w:t>
      </w:r>
      <w:r>
        <w:rPr>
          <w:rFonts w:ascii="宋体" w:hAnsi="宋体" w:eastAsia="宋体" w:cs="Times New Roman"/>
          <w:sz w:val="24"/>
          <w:highlight w:val="none"/>
        </w:rPr>
        <w:cr/>
      </w:r>
      <w:r>
        <w:rPr>
          <w:rFonts w:ascii="宋体" w:hAnsi="宋体" w:eastAsia="宋体" w:cs="Times New Roman"/>
          <w:sz w:val="24"/>
          <w:highlight w:val="none"/>
        </w:rPr>
        <w:t>若有违背，我公司</w:t>
      </w:r>
      <w:r>
        <w:rPr>
          <w:rFonts w:hint="eastAsia" w:ascii="宋体" w:hAnsi="宋体" w:eastAsia="宋体" w:cs="Times New Roman"/>
          <w:sz w:val="24"/>
          <w:highlight w:val="none"/>
          <w:lang w:eastAsia="zh-CN"/>
        </w:rPr>
        <w:t>（</w:t>
      </w:r>
      <w:r>
        <w:rPr>
          <w:rFonts w:ascii="宋体" w:hAnsi="宋体" w:eastAsia="宋体" w:cs="Times New Roman"/>
          <w:sz w:val="24"/>
          <w:highlight w:val="none"/>
        </w:rPr>
        <w:t>单位</w:t>
      </w:r>
      <w:r>
        <w:rPr>
          <w:rFonts w:hint="eastAsia" w:ascii="宋体" w:hAnsi="宋体" w:eastAsia="宋体" w:cs="Times New Roman"/>
          <w:sz w:val="24"/>
          <w:highlight w:val="none"/>
          <w:lang w:eastAsia="zh-CN"/>
        </w:rPr>
        <w:t>）</w:t>
      </w:r>
      <w:r>
        <w:rPr>
          <w:rFonts w:ascii="宋体" w:hAnsi="宋体" w:eastAsia="宋体" w:cs="Times New Roman"/>
          <w:sz w:val="24"/>
          <w:highlight w:val="none"/>
        </w:rPr>
        <w:t>愿意承担由此而产生的一切后果</w:t>
      </w:r>
      <w:r>
        <w:rPr>
          <w:rFonts w:hint="eastAsia" w:ascii="宋体" w:hAnsi="宋体" w:eastAsia="宋体" w:cs="Times New Roman"/>
          <w:sz w:val="24"/>
          <w:highlight w:val="none"/>
        </w:rPr>
        <w:t>。</w:t>
      </w:r>
    </w:p>
    <w:p w14:paraId="6F514A84">
      <w:pPr>
        <w:spacing w:line="480" w:lineRule="auto"/>
        <w:rPr>
          <w:rFonts w:ascii="宋体" w:hAnsi="宋体" w:eastAsia="宋体" w:cs="Times New Roman"/>
          <w:sz w:val="24"/>
          <w:highlight w:val="none"/>
        </w:rPr>
      </w:pPr>
    </w:p>
    <w:p w14:paraId="4D982756">
      <w:pPr>
        <w:spacing w:line="480" w:lineRule="auto"/>
        <w:ind w:firstLine="5400" w:firstLineChars="2250"/>
        <w:rPr>
          <w:rFonts w:ascii="宋体" w:hAnsi="宋体" w:eastAsia="宋体" w:cs="Times New Roman"/>
          <w:bCs/>
          <w:sz w:val="24"/>
          <w:highlight w:val="none"/>
        </w:rPr>
      </w:pPr>
    </w:p>
    <w:p w14:paraId="383BF1EF">
      <w:pPr>
        <w:spacing w:line="480" w:lineRule="auto"/>
        <w:ind w:firstLine="3720" w:firstLineChars="1550"/>
        <w:rPr>
          <w:rFonts w:ascii="宋体" w:hAnsi="宋体" w:eastAsia="宋体" w:cs="Times New Roman"/>
          <w:bCs/>
          <w:sz w:val="24"/>
          <w:highlight w:val="none"/>
        </w:rPr>
      </w:pPr>
      <w:r>
        <w:rPr>
          <w:rFonts w:hint="eastAsia" w:ascii="宋体" w:hAnsi="宋体" w:eastAsia="宋体" w:cs="Times New Roman"/>
          <w:bCs/>
          <w:sz w:val="24"/>
          <w:highlight w:val="none"/>
        </w:rPr>
        <w:t>投标供应商（盖章）：</w:t>
      </w:r>
    </w:p>
    <w:p w14:paraId="5263D7E8">
      <w:pPr>
        <w:spacing w:line="480" w:lineRule="auto"/>
        <w:ind w:firstLine="960" w:firstLineChars="400"/>
        <w:rPr>
          <w:rFonts w:ascii="宋体" w:hAnsi="宋体" w:eastAsia="宋体" w:cs="Times New Roman"/>
          <w:bCs/>
          <w:sz w:val="24"/>
          <w:highlight w:val="none"/>
        </w:rPr>
      </w:pPr>
      <w:r>
        <w:rPr>
          <w:rFonts w:hint="eastAsia" w:ascii="宋体" w:hAnsi="宋体" w:eastAsia="宋体" w:cs="Times New Roman"/>
          <w:bCs/>
          <w:sz w:val="24"/>
          <w:highlight w:val="none"/>
        </w:rPr>
        <w:t>法定代表人或法定代表人授权代表签字或盖章：</w:t>
      </w:r>
    </w:p>
    <w:p w14:paraId="016718AF">
      <w:pPr>
        <w:jc w:val="center"/>
        <w:rPr>
          <w:rFonts w:ascii="宋体" w:hAnsi="宋体" w:eastAsia="宋体" w:cs="Times New Roman"/>
          <w:b/>
          <w:sz w:val="32"/>
          <w:szCs w:val="32"/>
          <w:highlight w:val="none"/>
        </w:rPr>
      </w:pPr>
      <w:r>
        <w:rPr>
          <w:rFonts w:ascii="宋体" w:hAnsi="宋体" w:eastAsia="宋体" w:cs="Times New Roman"/>
          <w:bCs/>
          <w:sz w:val="24"/>
          <w:highlight w:val="none"/>
        </w:rPr>
        <w:br w:type="page"/>
      </w:r>
      <w:r>
        <w:rPr>
          <w:rFonts w:hint="eastAsia" w:ascii="Times New Roman" w:hAnsi="Times New Roman" w:eastAsia="宋体" w:cs="Times New Roman"/>
          <w:b/>
          <w:sz w:val="28"/>
          <w:szCs w:val="28"/>
          <w:highlight w:val="none"/>
        </w:rPr>
        <w:t>承诺书二</w:t>
      </w:r>
    </w:p>
    <w:p w14:paraId="5AA24870">
      <w:pPr>
        <w:spacing w:line="360" w:lineRule="auto"/>
        <w:rPr>
          <w:rFonts w:ascii="宋体" w:hAnsi="宋体" w:eastAsia="宋体" w:cs="Times New Roman"/>
          <w:sz w:val="24"/>
          <w:highlight w:val="none"/>
        </w:rPr>
      </w:pPr>
    </w:p>
    <w:p w14:paraId="0A118BAA">
      <w:pPr>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致：</w:t>
      </w:r>
      <w:r>
        <w:rPr>
          <w:rFonts w:hint="eastAsia" w:ascii="宋体" w:hAnsi="宋体" w:eastAsia="宋体" w:cs="Times New Roman"/>
          <w:b/>
          <w:sz w:val="24"/>
          <w:highlight w:val="none"/>
        </w:rPr>
        <w:t>无锡市新吴区人民政府江溪街道办事处</w:t>
      </w:r>
    </w:p>
    <w:p w14:paraId="20A21E38">
      <w:pPr>
        <w:spacing w:before="240" w:line="360" w:lineRule="auto"/>
        <w:ind w:firstLine="480"/>
        <w:rPr>
          <w:rFonts w:hint="eastAsia" w:ascii="宋体" w:hAnsi="宋体" w:eastAsia="宋体" w:cs="Times New Roman"/>
          <w:sz w:val="24"/>
          <w:highlight w:val="none"/>
        </w:rPr>
      </w:pPr>
      <w:r>
        <w:rPr>
          <w:rFonts w:hint="eastAsia" w:ascii="宋体" w:hAnsi="宋体" w:eastAsia="宋体" w:cs="Times New Roman"/>
          <w:sz w:val="24"/>
          <w:highlight w:val="none"/>
        </w:rPr>
        <w:t>我公司自愿参加采购人项目的报价，并接受对我公司的资格审查，我公司承诺：我公司未处于被责令停业、报价资格被取消或者财产被接管、冻结和破产状态，近三年以来企业没有因骗取成交或者严重违约以及发生重大工程质量事故、安全事故、文明施工不良记录等问题，没有被有关部门暂停报价资格并在暂停期内。我公司、法定代表人、项目负责人均不存在向采购人或者采购代理机构行贿或者提供其他不正当利益；向公开招标小组成员行贿或者提供其他不正当利益等严重失信行为。</w:t>
      </w:r>
    </w:p>
    <w:p w14:paraId="5FC41E0A">
      <w:pPr>
        <w:spacing w:before="240" w:line="360" w:lineRule="auto"/>
        <w:ind w:firstLine="480"/>
        <w:rPr>
          <w:rFonts w:ascii="宋体" w:hAnsi="宋体" w:eastAsia="宋体" w:cs="Times New Roman"/>
          <w:sz w:val="24"/>
          <w:highlight w:val="none"/>
        </w:rPr>
      </w:pPr>
      <w:r>
        <w:rPr>
          <w:rFonts w:hint="eastAsia" w:ascii="宋体" w:hAnsi="宋体" w:eastAsia="宋体" w:cs="Times New Roman"/>
          <w:sz w:val="24"/>
          <w:highlight w:val="none"/>
        </w:rPr>
        <w:t>我公司知道虚假的声明与资料是严重的违法行为，此次投标文件提供的资料如有虚假，本企业愿意承担因我方就此弄虚作假所引起的一切法律后果，愿意接受行政主管部门及其他有关部门依法给予的处罚。同时我公司将无条件地自动放弃该项目的报价资格和成交资格；如果我公司已经收到了成交通知书，我公司无条件地承认，我公司所收到的该项目成交通知书为无效文件，对采购人不具有任何法律约束力；由此造成的任何后果和损失由我公司承担。</w:t>
      </w:r>
    </w:p>
    <w:p w14:paraId="52D706C1">
      <w:pPr>
        <w:spacing w:before="240" w:line="360" w:lineRule="auto"/>
        <w:ind w:firstLine="480"/>
        <w:rPr>
          <w:rFonts w:ascii="宋体" w:hAnsi="宋体" w:eastAsia="宋体" w:cs="Times New Roman"/>
          <w:sz w:val="24"/>
          <w:highlight w:val="none"/>
        </w:rPr>
      </w:pPr>
    </w:p>
    <w:p w14:paraId="582A4B74">
      <w:pPr>
        <w:spacing w:before="240" w:line="360" w:lineRule="auto"/>
        <w:ind w:firstLine="480"/>
        <w:rPr>
          <w:rFonts w:ascii="宋体" w:hAnsi="宋体" w:eastAsia="宋体" w:cs="Times New Roman"/>
          <w:sz w:val="24"/>
          <w:highlight w:val="none"/>
        </w:rPr>
      </w:pPr>
    </w:p>
    <w:p w14:paraId="426C3EEF">
      <w:pPr>
        <w:spacing w:before="240" w:line="360" w:lineRule="auto"/>
        <w:ind w:firstLine="480"/>
        <w:rPr>
          <w:rFonts w:ascii="宋体" w:hAnsi="宋体" w:eastAsia="宋体" w:cs="Times New Roman"/>
          <w:sz w:val="24"/>
          <w:highlight w:val="none"/>
        </w:rPr>
      </w:pPr>
    </w:p>
    <w:p w14:paraId="681C5772">
      <w:pPr>
        <w:wordWrap w:val="0"/>
        <w:spacing w:before="240" w:line="360" w:lineRule="auto"/>
        <w:ind w:right="480" w:firstLine="5640" w:firstLineChars="2350"/>
        <w:rPr>
          <w:rFonts w:ascii="宋体" w:hAnsi="宋体" w:eastAsia="宋体" w:cs="Times New Roman"/>
          <w:sz w:val="24"/>
          <w:highlight w:val="none"/>
        </w:rPr>
      </w:pPr>
      <w:r>
        <w:rPr>
          <w:rFonts w:hint="eastAsia" w:ascii="宋体" w:hAnsi="宋体" w:eastAsia="宋体" w:cs="Times New Roman"/>
          <w:sz w:val="24"/>
          <w:highlight w:val="none"/>
        </w:rPr>
        <w:t>投标供应商：（盖章）</w:t>
      </w:r>
    </w:p>
    <w:p w14:paraId="6A1E2979">
      <w:pPr>
        <w:wordWrap w:val="0"/>
        <w:spacing w:before="240" w:line="360" w:lineRule="auto"/>
        <w:ind w:right="480" w:firstLine="5640" w:firstLineChars="2350"/>
        <w:rPr>
          <w:rFonts w:ascii="Times New Roman" w:hAnsi="Times New Roman" w:eastAsia="宋体" w:cs="Times New Roman"/>
          <w:sz w:val="24"/>
          <w:highlight w:val="none"/>
        </w:rPr>
      </w:pPr>
      <w:r>
        <w:rPr>
          <w:rFonts w:hint="eastAsia" w:ascii="宋体" w:hAnsi="宋体" w:eastAsia="宋体" w:cs="Times New Roman"/>
          <w:sz w:val="24"/>
          <w:highlight w:val="none"/>
        </w:rPr>
        <w:t xml:space="preserve">法定代表人签名或盖章：          </w:t>
      </w:r>
    </w:p>
    <w:p w14:paraId="730CDC79">
      <w:pPr>
        <w:wordWrap w:val="0"/>
        <w:spacing w:before="240" w:line="360" w:lineRule="auto"/>
        <w:ind w:right="480" w:firstLine="5760" w:firstLineChars="2400"/>
        <w:rPr>
          <w:rFonts w:ascii="宋体" w:hAnsi="宋体" w:eastAsia="宋体" w:cs="Times New Roman"/>
          <w:sz w:val="24"/>
          <w:highlight w:val="none"/>
        </w:rPr>
      </w:pPr>
      <w:r>
        <w:rPr>
          <w:rFonts w:hint="eastAsia" w:ascii="宋体" w:hAnsi="宋体" w:eastAsia="宋体" w:cs="Times New Roman"/>
          <w:sz w:val="24"/>
          <w:highlight w:val="none"/>
        </w:rPr>
        <w:t>年    月    日</w:t>
      </w:r>
    </w:p>
    <w:p w14:paraId="50BC0793">
      <w:pPr>
        <w:spacing w:before="240" w:line="360" w:lineRule="auto"/>
        <w:ind w:firstLine="480"/>
        <w:jc w:val="right"/>
        <w:rPr>
          <w:rFonts w:ascii="宋体" w:hAnsi="宋体" w:eastAsia="宋体" w:cs="Times New Roman"/>
          <w:sz w:val="24"/>
          <w:highlight w:val="none"/>
        </w:rPr>
      </w:pPr>
    </w:p>
    <w:p w14:paraId="219031F9">
      <w:pPr>
        <w:autoSpaceDE w:val="0"/>
        <w:autoSpaceDN w:val="0"/>
        <w:ind w:firstLine="420" w:firstLineChars="200"/>
        <w:rPr>
          <w:rFonts w:ascii="宋体" w:hAnsi="Times New Roman" w:eastAsia="宋体" w:cs="Times New Roman"/>
          <w:highlight w:val="none"/>
        </w:rPr>
      </w:pPr>
    </w:p>
    <w:p w14:paraId="54BF939A">
      <w:pPr>
        <w:spacing w:before="240" w:line="360" w:lineRule="auto"/>
        <w:ind w:firstLine="480"/>
        <w:jc w:val="right"/>
        <w:rPr>
          <w:rFonts w:ascii="宋体" w:hAnsi="宋体" w:eastAsia="宋体" w:cs="Times New Roman"/>
          <w:sz w:val="24"/>
          <w:highlight w:val="none"/>
        </w:rPr>
      </w:pPr>
    </w:p>
    <w:p w14:paraId="0BFD8181">
      <w:pPr>
        <w:rPr>
          <w:rFonts w:hint="eastAsia"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br w:type="page"/>
      </w:r>
    </w:p>
    <w:p w14:paraId="62646C79">
      <w:pPr>
        <w:jc w:val="center"/>
        <w:rPr>
          <w:rFonts w:ascii="Times New Roman" w:hAnsi="Times New Roman" w:eastAsia="宋体" w:cs="Times New Roman"/>
          <w:b/>
          <w:sz w:val="28"/>
          <w:szCs w:val="28"/>
          <w:highlight w:val="none"/>
        </w:rPr>
      </w:pPr>
      <w:r>
        <w:rPr>
          <w:rFonts w:hint="eastAsia" w:ascii="Times New Roman" w:hAnsi="Times New Roman" w:eastAsia="宋体" w:cs="Times New Roman"/>
          <w:b/>
          <w:sz w:val="28"/>
          <w:szCs w:val="28"/>
          <w:highlight w:val="none"/>
        </w:rPr>
        <w:t>承诺书三（廉洁承诺书格式）</w:t>
      </w:r>
    </w:p>
    <w:p w14:paraId="1E35A42B">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为了积极配合贵单位的招标工作，有效遏制不公平竞争和违规违纪问题的发生，确保招标工作的公平、公正、公开，我们保证认真贯彻《中华人民共和国招标投标法》等相关规定以及相关廉洁要求，特向贵局承诺如下事项：</w:t>
      </w:r>
    </w:p>
    <w:p w14:paraId="121CD303">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1、自觉遵守国家法律法规及有关廉政建设制度。</w:t>
      </w:r>
    </w:p>
    <w:p w14:paraId="68790B5A">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2、主动了解贵单位招投标纪律，积极配合贵局执行招投标廉政建设的有关规定。</w:t>
      </w:r>
    </w:p>
    <w:p w14:paraId="477D3110">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3、不使用不正当手段妨碍、排挤其他投标供应商或串通投标。</w:t>
      </w:r>
    </w:p>
    <w:p w14:paraId="189E2D27">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4、按照招标文件规定的方式进行投标，不隐瞒本单位投标资质的真实情况，投标资质符合规定。</w:t>
      </w:r>
    </w:p>
    <w:p w14:paraId="2A579E02">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7453F4D3">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6、不向设计招标的单位及个人购置或</w:t>
      </w:r>
      <w:r>
        <w:rPr>
          <w:rFonts w:hint="eastAsia" w:ascii="宋体" w:hAnsi="宋体" w:eastAsia="宋体" w:cs="Times New Roman"/>
          <w:sz w:val="24"/>
          <w:highlight w:val="none"/>
          <w:lang w:eastAsia="zh-CN"/>
        </w:rPr>
        <w:t>提供通信</w:t>
      </w:r>
      <w:r>
        <w:rPr>
          <w:rFonts w:hint="eastAsia" w:ascii="宋体" w:hAnsi="宋体" w:eastAsia="宋体" w:cs="Times New Roman"/>
          <w:sz w:val="24"/>
          <w:highlight w:val="none"/>
        </w:rPr>
        <w:t>工具、交通工具和高档办公用品等。</w:t>
      </w:r>
    </w:p>
    <w:p w14:paraId="1337DE24">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7、不向涉及招标的单位及个人的配偶、子女、亲属分包此次招标项目。</w:t>
      </w:r>
    </w:p>
    <w:p w14:paraId="205DD94A">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8、不向涉及招标的单位及个人支付好处费、介绍费。</w:t>
      </w:r>
    </w:p>
    <w:p w14:paraId="2CE5F9F4">
      <w:pPr>
        <w:spacing w:line="520" w:lineRule="exact"/>
        <w:ind w:firstLine="480" w:firstLineChars="200"/>
        <w:rPr>
          <w:rFonts w:ascii="宋体" w:hAnsi="宋体" w:eastAsia="宋体" w:cs="Times New Roman"/>
          <w:sz w:val="24"/>
          <w:highlight w:val="none"/>
        </w:rPr>
      </w:pPr>
      <w:r>
        <w:rPr>
          <w:rFonts w:hint="eastAsia" w:ascii="宋体" w:hAnsi="宋体" w:eastAsia="宋体" w:cs="Times New Roman"/>
          <w:sz w:val="24"/>
          <w:highlight w:val="none"/>
        </w:rPr>
        <w:t>9、一旦发现相关人员在招标过程中有索要财物等不廉洁行为，坚决予以抵制，并及时向贵局纪检部门举报。</w:t>
      </w:r>
    </w:p>
    <w:p w14:paraId="7EDB58C7">
      <w:pPr>
        <w:spacing w:line="520" w:lineRule="exact"/>
        <w:ind w:firstLine="480"/>
        <w:rPr>
          <w:rFonts w:hint="eastAsia" w:ascii="宋体" w:hAnsi="宋体" w:eastAsia="宋体" w:cs="Times New Roman"/>
          <w:color w:val="auto"/>
          <w:sz w:val="24"/>
          <w:highlight w:val="none"/>
        </w:rPr>
      </w:pPr>
      <w:r>
        <w:rPr>
          <w:rFonts w:hint="eastAsia" w:ascii="宋体" w:hAnsi="宋体" w:eastAsia="宋体" w:cs="Times New Roman"/>
          <w:sz w:val="24"/>
          <w:highlight w:val="none"/>
        </w:rPr>
        <w:t>我们若违反上述承诺</w:t>
      </w:r>
      <w:r>
        <w:rPr>
          <w:rFonts w:hint="eastAsia" w:ascii="宋体" w:hAnsi="宋体" w:cs="Times New Roman"/>
          <w:sz w:val="24"/>
          <w:highlight w:val="none"/>
          <w:lang w:eastAsia="zh-CN"/>
        </w:rPr>
        <w:t>，自</w:t>
      </w:r>
      <w:r>
        <w:rPr>
          <w:rFonts w:hint="eastAsia" w:ascii="宋体" w:hAnsi="宋体" w:eastAsia="宋体" w:cs="Times New Roman"/>
          <w:sz w:val="24"/>
          <w:highlight w:val="none"/>
        </w:rPr>
        <w:t>愿</w:t>
      </w:r>
      <w:r>
        <w:rPr>
          <w:rFonts w:hint="eastAsia" w:ascii="宋体" w:hAnsi="宋体" w:eastAsia="宋体" w:cs="Times New Roman"/>
          <w:sz w:val="24"/>
          <w:highlight w:val="none"/>
          <w:lang w:eastAsia="zh-CN"/>
        </w:rPr>
        <w:t>接受</w:t>
      </w:r>
      <w:r>
        <w:rPr>
          <w:rFonts w:hint="eastAsia" w:ascii="宋体" w:hAnsi="宋体" w:eastAsia="宋体" w:cs="Times New Roman"/>
          <w:sz w:val="24"/>
          <w:highlight w:val="none"/>
        </w:rPr>
        <w:t>取消投标资格及其他任何形式的处理。</w:t>
      </w:r>
    </w:p>
    <w:p w14:paraId="54FC389A">
      <w:pPr>
        <w:spacing w:before="240" w:line="360" w:lineRule="auto"/>
        <w:ind w:right="480" w:firstLine="480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投标供应商：（公章）</w:t>
      </w:r>
    </w:p>
    <w:p w14:paraId="41242865">
      <w:pPr>
        <w:spacing w:before="240" w:line="360" w:lineRule="auto"/>
        <w:ind w:firstLine="480"/>
        <w:jc w:val="right"/>
        <w:rPr>
          <w:rFonts w:hint="eastAsia" w:ascii="宋体" w:hAnsi="宋体" w:eastAsia="宋体" w:cs="Times New Roman"/>
          <w:color w:val="auto"/>
          <w:sz w:val="24"/>
          <w:highlight w:val="none"/>
        </w:rPr>
      </w:pPr>
      <w:r>
        <w:rPr>
          <w:rFonts w:ascii="宋体" w:hAnsi="宋体" w:eastAsia="宋体" w:cs="Times New Roman"/>
          <w:color w:val="auto"/>
          <w:sz w:val="24"/>
          <w:highlight w:val="none"/>
        </w:rPr>
        <w:t>法定代表人</w:t>
      </w:r>
      <w:r>
        <w:rPr>
          <w:rFonts w:hint="eastAsia" w:ascii="宋体" w:hAnsi="宋体" w:eastAsia="宋体" w:cs="Times New Roman"/>
          <w:color w:val="auto"/>
          <w:sz w:val="24"/>
          <w:highlight w:val="none"/>
        </w:rPr>
        <w:t>或其授权代理人</w:t>
      </w:r>
      <w:r>
        <w:rPr>
          <w:rFonts w:ascii="宋体" w:hAnsi="宋体" w:eastAsia="宋体" w:cs="Times New Roman"/>
          <w:color w:val="auto"/>
          <w:sz w:val="24"/>
          <w:highlight w:val="none"/>
        </w:rPr>
        <w:t>：   （签字</w:t>
      </w:r>
      <w:r>
        <w:rPr>
          <w:rFonts w:hint="eastAsia" w:ascii="宋体" w:hAnsi="宋体" w:eastAsia="宋体" w:cs="Times New Roman"/>
          <w:color w:val="auto"/>
          <w:sz w:val="24"/>
          <w:highlight w:val="none"/>
        </w:rPr>
        <w:t>和盖章</w:t>
      </w:r>
      <w:r>
        <w:rPr>
          <w:rFonts w:ascii="宋体" w:hAnsi="宋体" w:eastAsia="宋体" w:cs="Times New Roman"/>
          <w:color w:val="auto"/>
          <w:sz w:val="24"/>
          <w:highlight w:val="none"/>
        </w:rPr>
        <w:t>）</w:t>
      </w:r>
    </w:p>
    <w:p w14:paraId="33B29E3B">
      <w:pPr>
        <w:widowControl w:val="0"/>
        <w:ind w:firstLine="420"/>
        <w:jc w:val="both"/>
        <w:rPr>
          <w:rFonts w:ascii="Times New Roman" w:hAnsi="Times New Roman" w:eastAsia="宋体" w:cs="Times New Roman"/>
          <w:color w:val="auto"/>
          <w:sz w:val="21"/>
          <w:szCs w:val="22"/>
          <w:highlight w:val="none"/>
          <w:lang w:val="en-US" w:eastAsia="zh-CN" w:bidi="ar-SA"/>
        </w:rPr>
      </w:pPr>
    </w:p>
    <w:p w14:paraId="7A7A07BA">
      <w:pPr>
        <w:spacing w:line="480" w:lineRule="auto"/>
        <w:ind w:firstLine="420"/>
        <w:rPr>
          <w:rFonts w:ascii="宋体" w:hAnsi="Times New Roman" w:eastAsia="宋体" w:cs="Times New Roman"/>
          <w:bCs/>
          <w:color w:val="auto"/>
          <w:sz w:val="24"/>
          <w:szCs w:val="24"/>
          <w:highlight w:val="none"/>
        </w:rPr>
      </w:pP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szCs w:val="22"/>
          <w:highlight w:val="none"/>
        </w:rPr>
        <w:t xml:space="preserve">                      年    月    日</w:t>
      </w:r>
    </w:p>
    <w:p w14:paraId="7A1951E5">
      <w:pPr>
        <w:ind w:firstLine="480"/>
        <w:rPr>
          <w:rFonts w:hint="eastAsia" w:ascii="黑体" w:hAnsi="宋体" w:eastAsia="黑体" w:cs="Times New Roman"/>
          <w:bCs/>
          <w:color w:val="auto"/>
          <w:sz w:val="24"/>
          <w:szCs w:val="24"/>
          <w:highlight w:val="none"/>
        </w:rPr>
      </w:pPr>
    </w:p>
    <w:p w14:paraId="3A41A792">
      <w:pPr>
        <w:jc w:val="left"/>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br w:type="page" w:clear="all"/>
      </w:r>
      <w:r>
        <w:rPr>
          <w:rFonts w:hint="eastAsia" w:ascii="黑体" w:hAnsi="宋体" w:eastAsia="黑体" w:cs="Times New Roman"/>
          <w:bCs/>
          <w:color w:val="auto"/>
          <w:sz w:val="24"/>
          <w:szCs w:val="24"/>
          <w:highlight w:val="none"/>
        </w:rPr>
        <w:t>（七）开标一览表（格式）：</w:t>
      </w:r>
    </w:p>
    <w:p w14:paraId="54CB1254">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开标一览表</w:t>
      </w:r>
    </w:p>
    <w:p w14:paraId="5A30CF67">
      <w:pPr>
        <w:spacing w:line="300" w:lineRule="auto"/>
        <w:rPr>
          <w:rFonts w:hint="eastAsia" w:ascii="宋体" w:hAnsi="宋体" w:eastAsia="宋体" w:cs="宋体"/>
          <w:color w:val="auto"/>
          <w:highlight w:val="none"/>
        </w:rPr>
      </w:pPr>
    </w:p>
    <w:p w14:paraId="48C54645">
      <w:pPr>
        <w:spacing w:line="360" w:lineRule="auto"/>
        <w:rPr>
          <w:rFonts w:hint="eastAsia" w:ascii="黑体" w:hAnsi="Times New Roman" w:eastAsia="黑体" w:cs="Times New Roman"/>
          <w:bCs/>
          <w:color w:val="auto"/>
          <w:sz w:val="24"/>
          <w:szCs w:val="24"/>
          <w:highlight w:val="none"/>
        </w:rPr>
      </w:pPr>
      <w:r>
        <w:rPr>
          <w:rFonts w:hint="eastAsia" w:ascii="黑体" w:hAnsi="Times New Roman" w:eastAsia="黑体" w:cs="Times New Roman"/>
          <w:bCs/>
          <w:color w:val="auto"/>
          <w:sz w:val="24"/>
          <w:szCs w:val="24"/>
          <w:highlight w:val="none"/>
        </w:rPr>
        <w:t>投标人名称（盖章）</w:t>
      </w:r>
    </w:p>
    <w:p w14:paraId="533D3187">
      <w:pPr>
        <w:spacing w:line="360" w:lineRule="auto"/>
        <w:rPr>
          <w:rFonts w:hint="eastAsia" w:ascii="黑体" w:hAnsi="Times New Roman" w:eastAsia="黑体" w:cs="Times New Roman"/>
          <w:bCs/>
          <w:color w:val="auto"/>
          <w:sz w:val="24"/>
          <w:szCs w:val="24"/>
          <w:highlight w:val="none"/>
          <w:lang w:eastAsia="zh-CN"/>
        </w:rPr>
      </w:pPr>
      <w:r>
        <w:rPr>
          <w:rFonts w:hint="eastAsia" w:ascii="黑体" w:hAnsi="Times New Roman" w:eastAsia="黑体" w:cs="Times New Roman"/>
          <w:bCs/>
          <w:color w:val="auto"/>
          <w:sz w:val="24"/>
          <w:szCs w:val="24"/>
          <w:highlight w:val="none"/>
        </w:rPr>
        <w:t>采购项目编号：</w:t>
      </w:r>
      <w:r>
        <w:rPr>
          <w:rFonts w:hint="eastAsia" w:ascii="黑体" w:eastAsia="黑体" w:cs="Times New Roman"/>
          <w:bCs/>
          <w:color w:val="auto"/>
          <w:sz w:val="24"/>
          <w:szCs w:val="24"/>
          <w:highlight w:val="none"/>
          <w:lang w:eastAsia="zh-CN"/>
        </w:rPr>
        <w:t>JSZC-320214-WXZH-G2026-0004</w:t>
      </w:r>
    </w:p>
    <w:tbl>
      <w:tblPr>
        <w:tblStyle w:val="4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6613"/>
      </w:tblGrid>
      <w:tr w14:paraId="3B45D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2338" w:type="dxa"/>
            <w:noWrap w:val="0"/>
            <w:vAlign w:val="center"/>
          </w:tcPr>
          <w:p w14:paraId="2F73F015">
            <w:pPr>
              <w:widowControl w:val="0"/>
              <w:snapToGrid w:val="0"/>
              <w:spacing w:line="300" w:lineRule="auto"/>
              <w:jc w:val="center"/>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项目总报价</w:t>
            </w:r>
          </w:p>
        </w:tc>
        <w:tc>
          <w:tcPr>
            <w:tcW w:w="6613" w:type="dxa"/>
            <w:noWrap w:val="0"/>
            <w:vAlign w:val="center"/>
          </w:tcPr>
          <w:p w14:paraId="20C01D96">
            <w:pPr>
              <w:widowControl w:val="0"/>
              <w:snapToGrid w:val="0"/>
              <w:spacing w:line="300" w:lineRule="auto"/>
              <w:jc w:val="both"/>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小写：</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元</w:t>
            </w:r>
          </w:p>
          <w:p w14:paraId="66EF10A9">
            <w:pPr>
              <w:widowControl w:val="0"/>
              <w:snapToGrid w:val="0"/>
              <w:spacing w:line="300" w:lineRule="auto"/>
              <w:jc w:val="both"/>
              <w:rPr>
                <w:rFonts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大写：</w:t>
            </w:r>
            <w:r>
              <w:rPr>
                <w:rFonts w:hint="eastAsia" w:ascii="宋体" w:hAnsi="宋体" w:eastAsia="宋体" w:cs="宋体"/>
                <w:bCs/>
                <w:color w:val="auto"/>
                <w:kern w:val="2"/>
                <w:sz w:val="24"/>
                <w:szCs w:val="24"/>
                <w:highlight w:val="none"/>
                <w:u w:val="single"/>
                <w:lang w:val="en-US" w:eastAsia="zh-CN" w:bidi="ar-SA"/>
              </w:rPr>
              <w:t xml:space="preserve">                             </w:t>
            </w:r>
            <w:r>
              <w:rPr>
                <w:rFonts w:hint="eastAsia" w:ascii="宋体" w:hAnsi="宋体" w:eastAsia="宋体" w:cs="宋体"/>
                <w:bCs/>
                <w:color w:val="auto"/>
                <w:kern w:val="2"/>
                <w:sz w:val="24"/>
                <w:szCs w:val="24"/>
                <w:highlight w:val="none"/>
                <w:lang w:val="en-US" w:eastAsia="zh-CN" w:bidi="ar-SA"/>
              </w:rPr>
              <w:t>元</w:t>
            </w:r>
          </w:p>
        </w:tc>
      </w:tr>
      <w:tr w14:paraId="2B9C2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36D723B1">
            <w:pPr>
              <w:adjustRightInd w:val="0"/>
              <w:snapToGrid w:val="0"/>
              <w:spacing w:line="300" w:lineRule="auto"/>
              <w:jc w:val="center"/>
              <w:rPr>
                <w:rFonts w:ascii="Times New Roman" w:hAnsi="宋体" w:eastAsia="宋体" w:cs="宋体"/>
                <w:color w:val="auto"/>
                <w:sz w:val="24"/>
                <w:highlight w:val="none"/>
              </w:rPr>
            </w:pPr>
            <w:r>
              <w:rPr>
                <w:rFonts w:hint="eastAsia" w:ascii="Times New Roman" w:hAnsi="宋体" w:eastAsia="宋体" w:cs="Times New Roman"/>
                <w:color w:val="auto"/>
                <w:sz w:val="24"/>
                <w:highlight w:val="none"/>
              </w:rPr>
              <w:t>服务期</w:t>
            </w:r>
          </w:p>
        </w:tc>
        <w:tc>
          <w:tcPr>
            <w:tcW w:w="6613" w:type="dxa"/>
            <w:noWrap w:val="0"/>
            <w:vAlign w:val="center"/>
          </w:tcPr>
          <w:p w14:paraId="03B60A85">
            <w:pPr>
              <w:adjustRightInd w:val="0"/>
              <w:snapToGrid w:val="0"/>
              <w:spacing w:line="300" w:lineRule="auto"/>
              <w:rPr>
                <w:rFonts w:ascii="Times New Roman" w:hAnsi="宋体" w:eastAsia="宋体" w:cs="宋体"/>
                <w:color w:val="auto"/>
                <w:sz w:val="24"/>
                <w:szCs w:val="28"/>
                <w:highlight w:val="none"/>
              </w:rPr>
            </w:pPr>
          </w:p>
        </w:tc>
      </w:tr>
      <w:tr w14:paraId="4467E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5ED0CD2C">
            <w:pPr>
              <w:adjustRightInd w:val="0"/>
              <w:snapToGrid w:val="0"/>
              <w:spacing w:line="300" w:lineRule="auto"/>
              <w:jc w:val="center"/>
              <w:rPr>
                <w:rFonts w:ascii="Times New Roman" w:hAnsi="Times New Roman" w:eastAsia="宋体" w:cs="宋体"/>
                <w:color w:val="auto"/>
                <w:kern w:val="0"/>
                <w:sz w:val="24"/>
                <w:highlight w:val="none"/>
              </w:rPr>
            </w:pPr>
            <w:r>
              <w:rPr>
                <w:rFonts w:hint="eastAsia" w:ascii="Times New Roman" w:hAnsi="Times New Roman" w:eastAsia="宋体" w:cs="宋体"/>
                <w:color w:val="auto"/>
                <w:kern w:val="0"/>
                <w:sz w:val="24"/>
                <w:highlight w:val="none"/>
              </w:rPr>
              <w:t>质量要求</w:t>
            </w:r>
          </w:p>
        </w:tc>
        <w:tc>
          <w:tcPr>
            <w:tcW w:w="6613" w:type="dxa"/>
            <w:noWrap w:val="0"/>
            <w:vAlign w:val="center"/>
          </w:tcPr>
          <w:p w14:paraId="6E46A5CD">
            <w:pPr>
              <w:adjustRightInd w:val="0"/>
              <w:snapToGrid w:val="0"/>
              <w:spacing w:line="300" w:lineRule="auto"/>
              <w:rPr>
                <w:rFonts w:ascii="Times New Roman" w:hAnsi="宋体" w:eastAsia="宋体" w:cs="宋体"/>
                <w:color w:val="auto"/>
                <w:sz w:val="24"/>
                <w:szCs w:val="28"/>
                <w:highlight w:val="none"/>
              </w:rPr>
            </w:pPr>
          </w:p>
        </w:tc>
      </w:tr>
      <w:tr w14:paraId="5C90D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2AB33C1D">
            <w:pPr>
              <w:adjustRightInd w:val="0"/>
              <w:snapToGrid w:val="0"/>
              <w:spacing w:line="300" w:lineRule="auto"/>
              <w:jc w:val="center"/>
              <w:rPr>
                <w:rFonts w:ascii="Times New Roman" w:hAnsi="宋体" w:eastAsia="宋体" w:cs="宋体"/>
                <w:color w:val="auto"/>
                <w:sz w:val="24"/>
                <w:highlight w:val="none"/>
              </w:rPr>
            </w:pPr>
            <w:r>
              <w:rPr>
                <w:rFonts w:hint="eastAsia" w:ascii="Times New Roman" w:hAnsi="宋体" w:eastAsia="宋体" w:cs="宋体"/>
                <w:color w:val="auto"/>
                <w:kern w:val="0"/>
                <w:sz w:val="24"/>
                <w:highlight w:val="none"/>
              </w:rPr>
              <w:t>安全要求</w:t>
            </w:r>
          </w:p>
        </w:tc>
        <w:tc>
          <w:tcPr>
            <w:tcW w:w="6613" w:type="dxa"/>
            <w:noWrap w:val="0"/>
            <w:vAlign w:val="center"/>
          </w:tcPr>
          <w:p w14:paraId="56620CEC">
            <w:pPr>
              <w:adjustRightInd w:val="0"/>
              <w:snapToGrid w:val="0"/>
              <w:spacing w:line="300" w:lineRule="auto"/>
              <w:rPr>
                <w:rFonts w:ascii="Times New Roman" w:hAnsi="宋体" w:eastAsia="宋体" w:cs="宋体"/>
                <w:color w:val="auto"/>
                <w:sz w:val="24"/>
                <w:szCs w:val="28"/>
                <w:highlight w:val="none"/>
              </w:rPr>
            </w:pPr>
          </w:p>
        </w:tc>
      </w:tr>
      <w:tr w14:paraId="30E75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6895079F">
            <w:pPr>
              <w:adjustRightInd w:val="0"/>
              <w:snapToGrid w:val="0"/>
              <w:spacing w:line="300" w:lineRule="auto"/>
              <w:jc w:val="center"/>
              <w:rPr>
                <w:rFonts w:hint="default" w:ascii="Times New Roman" w:hAnsi="宋体" w:eastAsia="宋体" w:cs="宋体"/>
                <w:color w:val="auto"/>
                <w:kern w:val="0"/>
                <w:sz w:val="24"/>
                <w:highlight w:val="none"/>
                <w:lang w:val="en-US" w:eastAsia="zh-CN"/>
              </w:rPr>
            </w:pPr>
            <w:r>
              <w:rPr>
                <w:rFonts w:hint="eastAsia" w:ascii="Times New Roman" w:hAnsi="宋体" w:eastAsia="宋体" w:cs="宋体"/>
                <w:color w:val="auto"/>
                <w:kern w:val="0"/>
                <w:sz w:val="24"/>
                <w:highlight w:val="none"/>
                <w:lang w:val="en-US" w:eastAsia="zh-CN"/>
              </w:rPr>
              <w:t>项目负责人</w:t>
            </w:r>
          </w:p>
        </w:tc>
        <w:tc>
          <w:tcPr>
            <w:tcW w:w="6613" w:type="dxa"/>
            <w:noWrap w:val="0"/>
            <w:vAlign w:val="center"/>
          </w:tcPr>
          <w:p w14:paraId="07AC5FDD">
            <w:pPr>
              <w:adjustRightInd w:val="0"/>
              <w:snapToGrid w:val="0"/>
              <w:spacing w:line="300" w:lineRule="auto"/>
              <w:rPr>
                <w:rFonts w:ascii="Times New Roman" w:hAnsi="宋体" w:eastAsia="宋体" w:cs="宋体"/>
                <w:color w:val="auto"/>
                <w:sz w:val="24"/>
                <w:szCs w:val="28"/>
                <w:highlight w:val="none"/>
              </w:rPr>
            </w:pPr>
          </w:p>
        </w:tc>
      </w:tr>
    </w:tbl>
    <w:p w14:paraId="08C9F5DE">
      <w:pPr>
        <w:spacing w:before="5"/>
        <w:rPr>
          <w:rFonts w:ascii="Times New Roman" w:hAnsi="Times New Roman" w:eastAsia="宋体" w:cs="Times New Roman"/>
          <w:b/>
          <w:bCs/>
          <w:color w:val="auto"/>
          <w:sz w:val="24"/>
          <w:szCs w:val="24"/>
          <w:highlight w:val="none"/>
        </w:rPr>
      </w:pPr>
    </w:p>
    <w:p w14:paraId="5E92E725">
      <w:pPr>
        <w:spacing w:before="5"/>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法定代表人或法定代表人授权代表签字或盖章：</w:t>
      </w:r>
    </w:p>
    <w:p w14:paraId="39C53827">
      <w:pPr>
        <w:spacing w:line="400" w:lineRule="exact"/>
        <w:rPr>
          <w:rFonts w:ascii="黑体" w:hAnsi="Times New Roman" w:eastAsia="黑体" w:cs="Times New Roman"/>
          <w:bCs/>
          <w:color w:val="auto"/>
          <w:sz w:val="32"/>
          <w:highlight w:val="none"/>
        </w:rPr>
      </w:pPr>
    </w:p>
    <w:p w14:paraId="7272FE23">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填写说明：</w:t>
      </w:r>
    </w:p>
    <w:p w14:paraId="014270AE">
      <w:pP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1.评标时一律按开标一览表中内容为准，开标一览表中必须盖章或签字。</w:t>
      </w:r>
    </w:p>
    <w:p w14:paraId="22C7AF52">
      <w:pPr>
        <w:spacing w:line="5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2.供应商的投标报价的总额应是供应商在报价文件中提出的各项支付金额的总和，也应是完成投标文件所列采购需求的全部费用。</w:t>
      </w:r>
    </w:p>
    <w:p w14:paraId="717AF4B0">
      <w:pPr>
        <w:rPr>
          <w:rFonts w:hint="eastAsia" w:ascii="黑体" w:hAnsi="宋体" w:eastAsia="黑体"/>
          <w:bCs/>
          <w:color w:val="auto"/>
          <w:sz w:val="24"/>
          <w:szCs w:val="24"/>
          <w:highlight w:val="none"/>
        </w:rPr>
        <w:sectPr>
          <w:headerReference r:id="rId4" w:type="first"/>
          <w:headerReference r:id="rId3" w:type="default"/>
          <w:footerReference r:id="rId5" w:type="default"/>
          <w:pgSz w:w="11906" w:h="16838"/>
          <w:pgMar w:top="1134" w:right="1134" w:bottom="1134" w:left="1134" w:header="624" w:footer="907" w:gutter="0"/>
          <w:pgBorders>
            <w:top w:val="none" w:sz="0" w:space="0"/>
            <w:left w:val="none" w:sz="0" w:space="0"/>
            <w:bottom w:val="none" w:sz="0" w:space="0"/>
            <w:right w:val="none" w:sz="0" w:space="0"/>
          </w:pgBorders>
          <w:cols w:space="0" w:num="1"/>
          <w:titlePg/>
          <w:docGrid w:linePitch="360" w:charSpace="0"/>
        </w:sectPr>
      </w:pPr>
      <w:r>
        <w:rPr>
          <w:rFonts w:hint="eastAsia" w:ascii="黑体" w:hAnsi="宋体" w:eastAsia="黑体" w:cs="Times New Roman"/>
          <w:bCs/>
          <w:color w:val="auto"/>
          <w:sz w:val="24"/>
          <w:szCs w:val="24"/>
          <w:highlight w:val="none"/>
        </w:rPr>
        <w:br w:type="page" w:clear="all"/>
      </w:r>
    </w:p>
    <w:p w14:paraId="51806320">
      <w:pPr>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t>（八）报价明细表（格式）：</w:t>
      </w:r>
    </w:p>
    <w:p w14:paraId="093915AA">
      <w:pPr>
        <w:spacing w:line="400" w:lineRule="exact"/>
        <w:jc w:val="center"/>
        <w:rPr>
          <w:rFonts w:hint="eastAsia"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报价明细表</w:t>
      </w:r>
    </w:p>
    <w:p w14:paraId="57D388FB">
      <w:pPr>
        <w:spacing w:line="400" w:lineRule="exact"/>
        <w:ind w:firstLine="840"/>
        <w:rPr>
          <w:rFonts w:hint="eastAsia" w:ascii="宋体" w:hAnsi="宋体" w:eastAsia="宋体" w:cs="宋体"/>
          <w:color w:val="auto"/>
          <w:sz w:val="24"/>
          <w:highlight w:val="none"/>
        </w:rPr>
      </w:pPr>
    </w:p>
    <w:p w14:paraId="191F661F">
      <w:pPr>
        <w:spacing w:line="360" w:lineRule="auto"/>
        <w:rPr>
          <w:rFonts w:hint="eastAsia" w:ascii="黑体" w:hAnsi="Times New Roman" w:eastAsia="黑体" w:cs="Times New Roman"/>
          <w:bCs/>
          <w:color w:val="auto"/>
          <w:sz w:val="24"/>
          <w:szCs w:val="24"/>
          <w:highlight w:val="none"/>
          <w:lang w:eastAsia="zh-CN"/>
        </w:rPr>
      </w:pPr>
      <w:r>
        <w:rPr>
          <w:rFonts w:hint="eastAsia" w:ascii="黑体" w:hAnsi="Times New Roman" w:eastAsia="黑体" w:cs="Times New Roman"/>
          <w:bCs/>
          <w:color w:val="auto"/>
          <w:sz w:val="24"/>
          <w:szCs w:val="24"/>
          <w:highlight w:val="none"/>
        </w:rPr>
        <w:t>投标人名称（盖章）                 采购项目编号：</w:t>
      </w:r>
      <w:r>
        <w:rPr>
          <w:rFonts w:hint="eastAsia" w:ascii="黑体" w:eastAsia="黑体" w:cs="Times New Roman"/>
          <w:bCs/>
          <w:color w:val="auto"/>
          <w:sz w:val="24"/>
          <w:szCs w:val="24"/>
          <w:highlight w:val="none"/>
          <w:lang w:eastAsia="zh-CN"/>
        </w:rPr>
        <w:t>JSZC-320214-WXZH-G2026-0004</w:t>
      </w:r>
    </w:p>
    <w:tbl>
      <w:tblPr>
        <w:tblStyle w:val="43"/>
        <w:tblW w:w="9654"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24"/>
        <w:gridCol w:w="1884"/>
        <w:gridCol w:w="1316"/>
        <w:gridCol w:w="766"/>
        <w:gridCol w:w="1031"/>
        <w:gridCol w:w="1150"/>
        <w:gridCol w:w="1236"/>
        <w:gridCol w:w="1647"/>
      </w:tblGrid>
      <w:tr w14:paraId="58A7E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146" w:hRule="atLeast"/>
        </w:trPr>
        <w:tc>
          <w:tcPr>
            <w:tcW w:w="624" w:type="dxa"/>
            <w:shd w:val="clear" w:color="auto" w:fill="auto"/>
            <w:noWrap/>
            <w:vAlign w:val="center"/>
          </w:tcPr>
          <w:p w14:paraId="19E3DF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序号</w:t>
            </w:r>
          </w:p>
        </w:tc>
        <w:tc>
          <w:tcPr>
            <w:tcW w:w="2018" w:type="dxa"/>
            <w:shd w:val="clear" w:color="auto" w:fill="auto"/>
            <w:vAlign w:val="center"/>
          </w:tcPr>
          <w:p w14:paraId="6708B0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项目名称</w:t>
            </w:r>
          </w:p>
        </w:tc>
        <w:tc>
          <w:tcPr>
            <w:tcW w:w="1368" w:type="dxa"/>
            <w:shd w:val="clear" w:color="auto" w:fill="auto"/>
            <w:vAlign w:val="center"/>
          </w:tcPr>
          <w:p w14:paraId="19CCF3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规格</w:t>
            </w:r>
          </w:p>
        </w:tc>
        <w:tc>
          <w:tcPr>
            <w:tcW w:w="664" w:type="dxa"/>
            <w:shd w:val="clear" w:color="auto" w:fill="auto"/>
            <w:noWrap/>
            <w:vAlign w:val="center"/>
          </w:tcPr>
          <w:p w14:paraId="4E1EA8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单位</w:t>
            </w:r>
          </w:p>
        </w:tc>
        <w:tc>
          <w:tcPr>
            <w:tcW w:w="1094" w:type="dxa"/>
            <w:shd w:val="clear" w:color="auto" w:fill="auto"/>
            <w:vAlign w:val="center"/>
          </w:tcPr>
          <w:p w14:paraId="617323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2026工程量</w:t>
            </w:r>
          </w:p>
        </w:tc>
        <w:tc>
          <w:tcPr>
            <w:tcW w:w="1215" w:type="dxa"/>
            <w:shd w:val="clear" w:color="auto" w:fill="auto"/>
            <w:vAlign w:val="center"/>
          </w:tcPr>
          <w:p w14:paraId="04B83D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综合单价（元，含管理、运输等所有费用）</w:t>
            </w:r>
          </w:p>
        </w:tc>
        <w:tc>
          <w:tcPr>
            <w:tcW w:w="1243" w:type="dxa"/>
            <w:shd w:val="clear" w:color="auto" w:fill="auto"/>
            <w:vAlign w:val="center"/>
          </w:tcPr>
          <w:p w14:paraId="6222FC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合价（元）</w:t>
            </w:r>
          </w:p>
        </w:tc>
        <w:tc>
          <w:tcPr>
            <w:tcW w:w="1428" w:type="dxa"/>
            <w:shd w:val="clear" w:color="auto" w:fill="auto"/>
            <w:vAlign w:val="center"/>
          </w:tcPr>
          <w:p w14:paraId="7F2214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备注</w:t>
            </w:r>
          </w:p>
        </w:tc>
      </w:tr>
      <w:tr w14:paraId="63A55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095EC7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2018" w:type="dxa"/>
            <w:shd w:val="clear" w:color="auto" w:fill="auto"/>
            <w:vAlign w:val="center"/>
          </w:tcPr>
          <w:p w14:paraId="487ECD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人工</w:t>
            </w:r>
          </w:p>
        </w:tc>
        <w:tc>
          <w:tcPr>
            <w:tcW w:w="1368" w:type="dxa"/>
            <w:shd w:val="clear" w:color="auto" w:fill="auto"/>
            <w:vAlign w:val="center"/>
          </w:tcPr>
          <w:p w14:paraId="779C65AB">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20DE7A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0" w:type="auto"/>
            <w:shd w:val="clear" w:color="auto" w:fill="auto"/>
            <w:noWrap/>
            <w:vAlign w:val="center"/>
          </w:tcPr>
          <w:p w14:paraId="719E98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5000</w:t>
            </w:r>
          </w:p>
        </w:tc>
        <w:tc>
          <w:tcPr>
            <w:tcW w:w="0" w:type="auto"/>
            <w:shd w:val="clear" w:color="auto" w:fill="auto"/>
            <w:noWrap/>
            <w:vAlign w:val="center"/>
          </w:tcPr>
          <w:p w14:paraId="2B95C3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4D252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68DA65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最高限价210元</w:t>
            </w:r>
          </w:p>
        </w:tc>
      </w:tr>
      <w:tr w14:paraId="7E4C9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5E9E55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2018" w:type="dxa"/>
            <w:shd w:val="clear" w:color="auto" w:fill="auto"/>
            <w:vAlign w:val="center"/>
          </w:tcPr>
          <w:p w14:paraId="264383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面包车（含油费）</w:t>
            </w:r>
          </w:p>
        </w:tc>
        <w:tc>
          <w:tcPr>
            <w:tcW w:w="1368" w:type="dxa"/>
            <w:shd w:val="clear" w:color="auto" w:fill="auto"/>
            <w:vAlign w:val="center"/>
          </w:tcPr>
          <w:p w14:paraId="0C2A6F20">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25C38A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车次</w:t>
            </w:r>
          </w:p>
        </w:tc>
        <w:tc>
          <w:tcPr>
            <w:tcW w:w="0" w:type="auto"/>
            <w:shd w:val="clear" w:color="auto" w:fill="auto"/>
            <w:noWrap/>
            <w:vAlign w:val="center"/>
          </w:tcPr>
          <w:p w14:paraId="4E15A6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0" w:type="auto"/>
            <w:shd w:val="clear" w:color="auto" w:fill="auto"/>
            <w:noWrap/>
            <w:vAlign w:val="center"/>
          </w:tcPr>
          <w:p w14:paraId="022FCD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4F3813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3617028D">
            <w:pPr>
              <w:jc w:val="center"/>
              <w:rPr>
                <w:rFonts w:hint="eastAsia" w:ascii="宋体" w:hAnsi="宋体" w:eastAsia="宋体" w:cs="宋体"/>
                <w:i w:val="0"/>
                <w:iCs w:val="0"/>
                <w:color w:val="000000"/>
                <w:sz w:val="22"/>
                <w:szCs w:val="22"/>
                <w:u w:val="none"/>
              </w:rPr>
            </w:pPr>
          </w:p>
        </w:tc>
      </w:tr>
      <w:tr w14:paraId="2C0D8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1D2787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2018" w:type="dxa"/>
            <w:shd w:val="clear" w:color="auto" w:fill="auto"/>
            <w:vAlign w:val="center"/>
          </w:tcPr>
          <w:p w14:paraId="46496D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焊工</w:t>
            </w:r>
          </w:p>
        </w:tc>
        <w:tc>
          <w:tcPr>
            <w:tcW w:w="1368" w:type="dxa"/>
            <w:shd w:val="clear" w:color="auto" w:fill="auto"/>
            <w:vAlign w:val="center"/>
          </w:tcPr>
          <w:p w14:paraId="12E6E3F4">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0775A29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工日</w:t>
            </w:r>
          </w:p>
        </w:tc>
        <w:tc>
          <w:tcPr>
            <w:tcW w:w="0" w:type="auto"/>
            <w:shd w:val="clear" w:color="auto" w:fill="auto"/>
            <w:noWrap/>
            <w:vAlign w:val="center"/>
          </w:tcPr>
          <w:p w14:paraId="33DAD4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shd w:val="clear" w:color="auto" w:fill="auto"/>
            <w:noWrap/>
            <w:vAlign w:val="center"/>
          </w:tcPr>
          <w:p w14:paraId="5D41FA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C671B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08936ED1">
            <w:pPr>
              <w:jc w:val="center"/>
              <w:rPr>
                <w:rFonts w:hint="eastAsia" w:ascii="宋体" w:hAnsi="宋体" w:eastAsia="宋体" w:cs="宋体"/>
                <w:i w:val="0"/>
                <w:iCs w:val="0"/>
                <w:color w:val="000000"/>
                <w:sz w:val="22"/>
                <w:szCs w:val="22"/>
                <w:u w:val="none"/>
              </w:rPr>
            </w:pPr>
          </w:p>
        </w:tc>
      </w:tr>
      <w:tr w14:paraId="24520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684B2B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2018" w:type="dxa"/>
            <w:shd w:val="clear" w:color="auto" w:fill="auto"/>
            <w:vAlign w:val="center"/>
          </w:tcPr>
          <w:p w14:paraId="14979C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乙炔气</w:t>
            </w:r>
          </w:p>
        </w:tc>
        <w:tc>
          <w:tcPr>
            <w:tcW w:w="1368" w:type="dxa"/>
            <w:shd w:val="clear" w:color="auto" w:fill="auto"/>
            <w:vAlign w:val="center"/>
          </w:tcPr>
          <w:p w14:paraId="1A8E0A92">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661897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0" w:type="auto"/>
            <w:shd w:val="clear" w:color="auto" w:fill="auto"/>
            <w:noWrap/>
            <w:vAlign w:val="center"/>
          </w:tcPr>
          <w:p w14:paraId="051C20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0E0C15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79A6C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FBBA26E">
            <w:pPr>
              <w:jc w:val="center"/>
              <w:rPr>
                <w:rFonts w:hint="eastAsia" w:ascii="宋体" w:hAnsi="宋体" w:eastAsia="宋体" w:cs="宋体"/>
                <w:i w:val="0"/>
                <w:iCs w:val="0"/>
                <w:color w:val="000000"/>
                <w:sz w:val="22"/>
                <w:szCs w:val="22"/>
                <w:u w:val="none"/>
              </w:rPr>
            </w:pPr>
          </w:p>
        </w:tc>
      </w:tr>
      <w:tr w14:paraId="2CC70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6D2F50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2018" w:type="dxa"/>
            <w:shd w:val="clear" w:color="auto" w:fill="auto"/>
            <w:vAlign w:val="center"/>
          </w:tcPr>
          <w:p w14:paraId="3A0896B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卡车（含油费）</w:t>
            </w:r>
          </w:p>
        </w:tc>
        <w:tc>
          <w:tcPr>
            <w:tcW w:w="1368" w:type="dxa"/>
            <w:shd w:val="clear" w:color="auto" w:fill="auto"/>
            <w:vAlign w:val="center"/>
          </w:tcPr>
          <w:p w14:paraId="4837CA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5T</w:t>
            </w:r>
          </w:p>
        </w:tc>
        <w:tc>
          <w:tcPr>
            <w:tcW w:w="0" w:type="auto"/>
            <w:shd w:val="clear" w:color="auto" w:fill="auto"/>
            <w:noWrap/>
            <w:vAlign w:val="center"/>
          </w:tcPr>
          <w:p w14:paraId="057D3FB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2651AD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shd w:val="clear" w:color="auto" w:fill="auto"/>
            <w:noWrap/>
            <w:vAlign w:val="center"/>
          </w:tcPr>
          <w:p w14:paraId="674C86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FB187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30C5AFFD">
            <w:pPr>
              <w:jc w:val="center"/>
              <w:rPr>
                <w:rFonts w:hint="eastAsia" w:ascii="宋体" w:hAnsi="宋体" w:eastAsia="宋体" w:cs="宋体"/>
                <w:i w:val="0"/>
                <w:iCs w:val="0"/>
                <w:color w:val="000000"/>
                <w:sz w:val="22"/>
                <w:szCs w:val="22"/>
                <w:u w:val="none"/>
              </w:rPr>
            </w:pPr>
          </w:p>
        </w:tc>
      </w:tr>
      <w:tr w14:paraId="23DB5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181E5C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2018" w:type="dxa"/>
            <w:shd w:val="clear" w:color="auto" w:fill="auto"/>
            <w:vAlign w:val="center"/>
          </w:tcPr>
          <w:p w14:paraId="23B354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卡车（含油费）</w:t>
            </w:r>
          </w:p>
        </w:tc>
        <w:tc>
          <w:tcPr>
            <w:tcW w:w="1368" w:type="dxa"/>
            <w:shd w:val="clear" w:color="auto" w:fill="auto"/>
            <w:vAlign w:val="center"/>
          </w:tcPr>
          <w:p w14:paraId="2BC24B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5T-10T</w:t>
            </w:r>
          </w:p>
        </w:tc>
        <w:tc>
          <w:tcPr>
            <w:tcW w:w="0" w:type="auto"/>
            <w:shd w:val="clear" w:color="auto" w:fill="auto"/>
            <w:noWrap/>
            <w:vAlign w:val="center"/>
          </w:tcPr>
          <w:p w14:paraId="7F06C1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62A7E5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0" w:type="auto"/>
            <w:shd w:val="clear" w:color="auto" w:fill="auto"/>
            <w:noWrap/>
            <w:vAlign w:val="center"/>
          </w:tcPr>
          <w:p w14:paraId="7D4899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59C4B9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117D627F">
            <w:pPr>
              <w:jc w:val="center"/>
              <w:rPr>
                <w:rFonts w:hint="eastAsia" w:ascii="宋体" w:hAnsi="宋体" w:eastAsia="宋体" w:cs="宋体"/>
                <w:i w:val="0"/>
                <w:iCs w:val="0"/>
                <w:color w:val="000000"/>
                <w:sz w:val="22"/>
                <w:szCs w:val="22"/>
                <w:u w:val="none"/>
              </w:rPr>
            </w:pPr>
          </w:p>
        </w:tc>
      </w:tr>
      <w:tr w14:paraId="77481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27F086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2018" w:type="dxa"/>
            <w:shd w:val="clear" w:color="auto" w:fill="auto"/>
            <w:vAlign w:val="center"/>
          </w:tcPr>
          <w:p w14:paraId="35B840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挖机（含油费）</w:t>
            </w:r>
          </w:p>
        </w:tc>
        <w:tc>
          <w:tcPr>
            <w:tcW w:w="1368" w:type="dxa"/>
            <w:shd w:val="clear" w:color="auto" w:fill="auto"/>
            <w:vAlign w:val="center"/>
          </w:tcPr>
          <w:p w14:paraId="6EA928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0.6m3</w:t>
            </w:r>
          </w:p>
        </w:tc>
        <w:tc>
          <w:tcPr>
            <w:tcW w:w="0" w:type="auto"/>
            <w:shd w:val="clear" w:color="auto" w:fill="auto"/>
            <w:noWrap/>
            <w:vAlign w:val="center"/>
          </w:tcPr>
          <w:p w14:paraId="3918AF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417C1D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w:t>
            </w:r>
          </w:p>
        </w:tc>
        <w:tc>
          <w:tcPr>
            <w:tcW w:w="0" w:type="auto"/>
            <w:shd w:val="clear" w:color="auto" w:fill="auto"/>
            <w:noWrap/>
            <w:vAlign w:val="center"/>
          </w:tcPr>
          <w:p w14:paraId="277C7C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00ED77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18B68516">
            <w:pPr>
              <w:jc w:val="center"/>
              <w:rPr>
                <w:rFonts w:hint="eastAsia" w:ascii="宋体" w:hAnsi="宋体" w:eastAsia="宋体" w:cs="宋体"/>
                <w:i w:val="0"/>
                <w:iCs w:val="0"/>
                <w:color w:val="000000"/>
                <w:sz w:val="22"/>
                <w:szCs w:val="22"/>
                <w:u w:val="none"/>
              </w:rPr>
            </w:pPr>
          </w:p>
        </w:tc>
      </w:tr>
      <w:tr w14:paraId="5A5BD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34D2D7F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2018" w:type="dxa"/>
            <w:shd w:val="clear" w:color="auto" w:fill="auto"/>
            <w:vAlign w:val="center"/>
          </w:tcPr>
          <w:p w14:paraId="19EED1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挖机进出场费</w:t>
            </w:r>
          </w:p>
        </w:tc>
        <w:tc>
          <w:tcPr>
            <w:tcW w:w="1368" w:type="dxa"/>
            <w:shd w:val="clear" w:color="auto" w:fill="auto"/>
            <w:vAlign w:val="center"/>
          </w:tcPr>
          <w:p w14:paraId="5C1B26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0.6m3</w:t>
            </w:r>
          </w:p>
        </w:tc>
        <w:tc>
          <w:tcPr>
            <w:tcW w:w="0" w:type="auto"/>
            <w:shd w:val="clear" w:color="auto" w:fill="auto"/>
            <w:noWrap/>
            <w:vAlign w:val="center"/>
          </w:tcPr>
          <w:p w14:paraId="6F5094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台/次</w:t>
            </w:r>
          </w:p>
        </w:tc>
        <w:tc>
          <w:tcPr>
            <w:tcW w:w="0" w:type="auto"/>
            <w:shd w:val="clear" w:color="auto" w:fill="auto"/>
            <w:noWrap/>
            <w:vAlign w:val="center"/>
          </w:tcPr>
          <w:p w14:paraId="1222FA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w:t>
            </w:r>
          </w:p>
        </w:tc>
        <w:tc>
          <w:tcPr>
            <w:tcW w:w="0" w:type="auto"/>
            <w:shd w:val="clear" w:color="auto" w:fill="auto"/>
            <w:noWrap/>
            <w:vAlign w:val="center"/>
          </w:tcPr>
          <w:p w14:paraId="032A6D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475BD1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20926A74">
            <w:pPr>
              <w:jc w:val="center"/>
              <w:rPr>
                <w:rFonts w:hint="eastAsia" w:ascii="宋体" w:hAnsi="宋体" w:eastAsia="宋体" w:cs="宋体"/>
                <w:i w:val="0"/>
                <w:iCs w:val="0"/>
                <w:color w:val="000000"/>
                <w:sz w:val="22"/>
                <w:szCs w:val="22"/>
                <w:u w:val="none"/>
              </w:rPr>
            </w:pPr>
          </w:p>
        </w:tc>
      </w:tr>
      <w:tr w14:paraId="201F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02F5D4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2018" w:type="dxa"/>
            <w:shd w:val="clear" w:color="auto" w:fill="auto"/>
            <w:vAlign w:val="center"/>
          </w:tcPr>
          <w:p w14:paraId="402F7A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挖机（含油费）</w:t>
            </w:r>
          </w:p>
        </w:tc>
        <w:tc>
          <w:tcPr>
            <w:tcW w:w="1368" w:type="dxa"/>
            <w:shd w:val="clear" w:color="auto" w:fill="auto"/>
            <w:vAlign w:val="center"/>
          </w:tcPr>
          <w:p w14:paraId="6142C2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1m3</w:t>
            </w:r>
          </w:p>
        </w:tc>
        <w:tc>
          <w:tcPr>
            <w:tcW w:w="0" w:type="auto"/>
            <w:shd w:val="clear" w:color="auto" w:fill="auto"/>
            <w:noWrap/>
            <w:vAlign w:val="center"/>
          </w:tcPr>
          <w:p w14:paraId="7F3322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3AA061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0" w:type="auto"/>
            <w:shd w:val="clear" w:color="auto" w:fill="auto"/>
            <w:noWrap/>
            <w:vAlign w:val="center"/>
          </w:tcPr>
          <w:p w14:paraId="03DBA6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3BD953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4D7D4B7C">
            <w:pPr>
              <w:jc w:val="center"/>
              <w:rPr>
                <w:rFonts w:hint="eastAsia" w:ascii="宋体" w:hAnsi="宋体" w:eastAsia="宋体" w:cs="宋体"/>
                <w:i w:val="0"/>
                <w:iCs w:val="0"/>
                <w:color w:val="000000"/>
                <w:sz w:val="22"/>
                <w:szCs w:val="22"/>
                <w:u w:val="none"/>
              </w:rPr>
            </w:pPr>
          </w:p>
        </w:tc>
      </w:tr>
      <w:tr w14:paraId="35F93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6832DA1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2018" w:type="dxa"/>
            <w:shd w:val="clear" w:color="auto" w:fill="auto"/>
            <w:vAlign w:val="center"/>
          </w:tcPr>
          <w:p w14:paraId="540BEE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挖机进出场费</w:t>
            </w:r>
          </w:p>
        </w:tc>
        <w:tc>
          <w:tcPr>
            <w:tcW w:w="1368" w:type="dxa"/>
            <w:shd w:val="clear" w:color="auto" w:fill="auto"/>
            <w:vAlign w:val="center"/>
          </w:tcPr>
          <w:p w14:paraId="380279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1m3</w:t>
            </w:r>
          </w:p>
        </w:tc>
        <w:tc>
          <w:tcPr>
            <w:tcW w:w="0" w:type="auto"/>
            <w:shd w:val="clear" w:color="auto" w:fill="auto"/>
            <w:noWrap/>
            <w:vAlign w:val="center"/>
          </w:tcPr>
          <w:p w14:paraId="63E70D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台/次</w:t>
            </w:r>
          </w:p>
        </w:tc>
        <w:tc>
          <w:tcPr>
            <w:tcW w:w="0" w:type="auto"/>
            <w:shd w:val="clear" w:color="auto" w:fill="auto"/>
            <w:noWrap/>
            <w:vAlign w:val="center"/>
          </w:tcPr>
          <w:p w14:paraId="425ACE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120</w:t>
            </w:r>
          </w:p>
        </w:tc>
        <w:tc>
          <w:tcPr>
            <w:tcW w:w="0" w:type="auto"/>
            <w:shd w:val="clear" w:color="auto" w:fill="auto"/>
            <w:noWrap/>
            <w:vAlign w:val="center"/>
          </w:tcPr>
          <w:p w14:paraId="155EA7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251E41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0C85F97E">
            <w:pPr>
              <w:jc w:val="center"/>
              <w:rPr>
                <w:rFonts w:hint="eastAsia" w:ascii="宋体" w:hAnsi="宋体" w:eastAsia="宋体" w:cs="宋体"/>
                <w:i w:val="0"/>
                <w:iCs w:val="0"/>
                <w:color w:val="000000"/>
                <w:sz w:val="22"/>
                <w:szCs w:val="22"/>
                <w:u w:val="none"/>
              </w:rPr>
            </w:pPr>
          </w:p>
        </w:tc>
      </w:tr>
      <w:tr w14:paraId="04332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724CDE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2018" w:type="dxa"/>
            <w:shd w:val="clear" w:color="auto" w:fill="auto"/>
            <w:vAlign w:val="center"/>
          </w:tcPr>
          <w:p w14:paraId="6AD815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垃圾运输</w:t>
            </w:r>
          </w:p>
        </w:tc>
        <w:tc>
          <w:tcPr>
            <w:tcW w:w="1368" w:type="dxa"/>
            <w:shd w:val="clear" w:color="auto" w:fill="auto"/>
            <w:vAlign w:val="center"/>
          </w:tcPr>
          <w:p w14:paraId="26466F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5t</w:t>
            </w:r>
          </w:p>
        </w:tc>
        <w:tc>
          <w:tcPr>
            <w:tcW w:w="0" w:type="auto"/>
            <w:shd w:val="clear" w:color="auto" w:fill="auto"/>
            <w:noWrap/>
            <w:vAlign w:val="center"/>
          </w:tcPr>
          <w:p w14:paraId="43B7F74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车次</w:t>
            </w:r>
          </w:p>
        </w:tc>
        <w:tc>
          <w:tcPr>
            <w:tcW w:w="0" w:type="auto"/>
            <w:shd w:val="clear" w:color="auto" w:fill="auto"/>
            <w:noWrap/>
            <w:vAlign w:val="center"/>
          </w:tcPr>
          <w:p w14:paraId="37831F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w:t>
            </w:r>
          </w:p>
        </w:tc>
        <w:tc>
          <w:tcPr>
            <w:tcW w:w="0" w:type="auto"/>
            <w:shd w:val="clear" w:color="auto" w:fill="auto"/>
            <w:noWrap/>
            <w:vAlign w:val="center"/>
          </w:tcPr>
          <w:p w14:paraId="3336F2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A7540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17D04923">
            <w:pPr>
              <w:jc w:val="center"/>
              <w:rPr>
                <w:rFonts w:hint="eastAsia" w:ascii="宋体" w:hAnsi="宋体" w:eastAsia="宋体" w:cs="宋体"/>
                <w:i w:val="0"/>
                <w:iCs w:val="0"/>
                <w:color w:val="000000"/>
                <w:sz w:val="22"/>
                <w:szCs w:val="22"/>
                <w:u w:val="none"/>
              </w:rPr>
            </w:pPr>
          </w:p>
        </w:tc>
      </w:tr>
      <w:tr w14:paraId="6D449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5275AC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2018" w:type="dxa"/>
            <w:shd w:val="clear" w:color="auto" w:fill="auto"/>
            <w:vAlign w:val="center"/>
          </w:tcPr>
          <w:p w14:paraId="070705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垃圾运输</w:t>
            </w:r>
          </w:p>
        </w:tc>
        <w:tc>
          <w:tcPr>
            <w:tcW w:w="1368" w:type="dxa"/>
            <w:shd w:val="clear" w:color="auto" w:fill="auto"/>
            <w:vAlign w:val="center"/>
          </w:tcPr>
          <w:p w14:paraId="5FEC17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8t</w:t>
            </w:r>
          </w:p>
        </w:tc>
        <w:tc>
          <w:tcPr>
            <w:tcW w:w="0" w:type="auto"/>
            <w:shd w:val="clear" w:color="auto" w:fill="auto"/>
            <w:noWrap/>
            <w:vAlign w:val="center"/>
          </w:tcPr>
          <w:p w14:paraId="5A0E84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车次</w:t>
            </w:r>
          </w:p>
        </w:tc>
        <w:tc>
          <w:tcPr>
            <w:tcW w:w="0" w:type="auto"/>
            <w:shd w:val="clear" w:color="auto" w:fill="auto"/>
            <w:noWrap/>
            <w:vAlign w:val="center"/>
          </w:tcPr>
          <w:p w14:paraId="70B240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1900</w:t>
            </w:r>
          </w:p>
        </w:tc>
        <w:tc>
          <w:tcPr>
            <w:tcW w:w="0" w:type="auto"/>
            <w:shd w:val="clear" w:color="auto" w:fill="auto"/>
            <w:noWrap/>
            <w:vAlign w:val="center"/>
          </w:tcPr>
          <w:p w14:paraId="7FE62D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09137E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FD56473">
            <w:pPr>
              <w:jc w:val="center"/>
              <w:rPr>
                <w:rFonts w:hint="eastAsia" w:ascii="宋体" w:hAnsi="宋体" w:eastAsia="宋体" w:cs="宋体"/>
                <w:i w:val="0"/>
                <w:iCs w:val="0"/>
                <w:color w:val="000000"/>
                <w:sz w:val="22"/>
                <w:szCs w:val="22"/>
                <w:u w:val="none"/>
              </w:rPr>
            </w:pPr>
          </w:p>
        </w:tc>
      </w:tr>
      <w:tr w14:paraId="63898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1" w:hRule="atLeast"/>
        </w:trPr>
        <w:tc>
          <w:tcPr>
            <w:tcW w:w="0" w:type="auto"/>
            <w:shd w:val="clear" w:color="auto" w:fill="auto"/>
            <w:noWrap/>
            <w:vAlign w:val="center"/>
          </w:tcPr>
          <w:p w14:paraId="08EDFC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2018" w:type="dxa"/>
            <w:shd w:val="clear" w:color="auto" w:fill="auto"/>
            <w:vAlign w:val="center"/>
          </w:tcPr>
          <w:p w14:paraId="3EC87C1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警示桩</w:t>
            </w:r>
            <w:r>
              <w:rPr>
                <w:rFonts w:hint="eastAsia" w:ascii="宋体" w:hAnsi="宋体" w:cs="宋体"/>
                <w:i w:val="0"/>
                <w:iCs w:val="0"/>
                <w:color w:val="000000"/>
                <w:kern w:val="0"/>
                <w:sz w:val="22"/>
                <w:szCs w:val="22"/>
                <w:u w:val="none"/>
                <w:lang w:val="en-US" w:eastAsia="zh-CN" w:bidi="ar"/>
              </w:rPr>
              <w:t>（</w:t>
            </w:r>
            <w:r>
              <w:rPr>
                <w:rFonts w:hint="eastAsia" w:ascii="宋体" w:hAnsi="宋体" w:eastAsia="宋体" w:cs="宋体"/>
                <w:i w:val="0"/>
                <w:iCs w:val="0"/>
                <w:color w:val="000000"/>
                <w:kern w:val="0"/>
                <w:sz w:val="22"/>
                <w:szCs w:val="22"/>
                <w:u w:val="none"/>
                <w:lang w:val="en-US" w:eastAsia="zh-CN" w:bidi="ar"/>
              </w:rPr>
              <w:t>φ114*1200，贴五级反光膜基础，内设防盗钢筋）</w:t>
            </w:r>
          </w:p>
        </w:tc>
        <w:tc>
          <w:tcPr>
            <w:tcW w:w="1368" w:type="dxa"/>
            <w:shd w:val="clear" w:color="auto" w:fill="auto"/>
            <w:vAlign w:val="center"/>
          </w:tcPr>
          <w:p w14:paraId="77EB30DD">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49CF99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根</w:t>
            </w:r>
          </w:p>
        </w:tc>
        <w:tc>
          <w:tcPr>
            <w:tcW w:w="0" w:type="auto"/>
            <w:shd w:val="clear" w:color="auto" w:fill="auto"/>
            <w:noWrap/>
            <w:vAlign w:val="center"/>
          </w:tcPr>
          <w:p w14:paraId="6EE1BD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80</w:t>
            </w:r>
          </w:p>
        </w:tc>
        <w:tc>
          <w:tcPr>
            <w:tcW w:w="0" w:type="auto"/>
            <w:shd w:val="clear" w:color="auto" w:fill="auto"/>
            <w:noWrap/>
            <w:vAlign w:val="center"/>
          </w:tcPr>
          <w:p w14:paraId="48C4DE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7BC823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0B006477">
            <w:pPr>
              <w:jc w:val="center"/>
              <w:rPr>
                <w:rFonts w:hint="eastAsia" w:ascii="宋体" w:hAnsi="宋体" w:eastAsia="宋体" w:cs="宋体"/>
                <w:i w:val="0"/>
                <w:iCs w:val="0"/>
                <w:color w:val="000000"/>
                <w:sz w:val="22"/>
                <w:szCs w:val="22"/>
                <w:u w:val="none"/>
              </w:rPr>
            </w:pPr>
          </w:p>
        </w:tc>
      </w:tr>
      <w:tr w14:paraId="704E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13A3E5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2018" w:type="dxa"/>
            <w:shd w:val="clear" w:color="auto" w:fill="auto"/>
            <w:vAlign w:val="center"/>
          </w:tcPr>
          <w:p w14:paraId="40A56D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推土机</w:t>
            </w:r>
          </w:p>
        </w:tc>
        <w:tc>
          <w:tcPr>
            <w:tcW w:w="1368" w:type="dxa"/>
            <w:shd w:val="clear" w:color="auto" w:fill="auto"/>
            <w:vAlign w:val="center"/>
          </w:tcPr>
          <w:p w14:paraId="084CE0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160型号</w:t>
            </w:r>
          </w:p>
        </w:tc>
        <w:tc>
          <w:tcPr>
            <w:tcW w:w="0" w:type="auto"/>
            <w:shd w:val="clear" w:color="auto" w:fill="auto"/>
            <w:noWrap/>
            <w:vAlign w:val="center"/>
          </w:tcPr>
          <w:p w14:paraId="3F94C6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0143DC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shd w:val="clear" w:color="auto" w:fill="auto"/>
            <w:noWrap/>
            <w:vAlign w:val="center"/>
          </w:tcPr>
          <w:p w14:paraId="0E1734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5E577BA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5C8C26F4">
            <w:pPr>
              <w:jc w:val="center"/>
              <w:rPr>
                <w:rFonts w:hint="eastAsia" w:ascii="宋体" w:hAnsi="宋体" w:eastAsia="宋体" w:cs="宋体"/>
                <w:i w:val="0"/>
                <w:iCs w:val="0"/>
                <w:color w:val="000000"/>
                <w:sz w:val="22"/>
                <w:szCs w:val="22"/>
                <w:u w:val="none"/>
              </w:rPr>
            </w:pPr>
          </w:p>
        </w:tc>
      </w:tr>
      <w:tr w14:paraId="381A9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216F0AE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2018" w:type="dxa"/>
            <w:shd w:val="clear" w:color="auto" w:fill="auto"/>
            <w:vAlign w:val="center"/>
          </w:tcPr>
          <w:p w14:paraId="5FEDA4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推土机进出场费</w:t>
            </w:r>
          </w:p>
        </w:tc>
        <w:tc>
          <w:tcPr>
            <w:tcW w:w="1368" w:type="dxa"/>
            <w:shd w:val="clear" w:color="auto" w:fill="auto"/>
            <w:vAlign w:val="center"/>
          </w:tcPr>
          <w:p w14:paraId="7B019F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160型号</w:t>
            </w:r>
          </w:p>
        </w:tc>
        <w:tc>
          <w:tcPr>
            <w:tcW w:w="0" w:type="auto"/>
            <w:shd w:val="clear" w:color="auto" w:fill="auto"/>
            <w:noWrap/>
            <w:vAlign w:val="center"/>
          </w:tcPr>
          <w:p w14:paraId="634D6B6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台/次</w:t>
            </w:r>
          </w:p>
        </w:tc>
        <w:tc>
          <w:tcPr>
            <w:tcW w:w="0" w:type="auto"/>
            <w:shd w:val="clear" w:color="auto" w:fill="auto"/>
            <w:noWrap/>
            <w:vAlign w:val="center"/>
          </w:tcPr>
          <w:p w14:paraId="683DEB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0" w:type="auto"/>
            <w:shd w:val="clear" w:color="auto" w:fill="auto"/>
            <w:noWrap/>
            <w:vAlign w:val="center"/>
          </w:tcPr>
          <w:p w14:paraId="32C815C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6A8B5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0D700270">
            <w:pPr>
              <w:jc w:val="center"/>
              <w:rPr>
                <w:rFonts w:hint="eastAsia" w:ascii="宋体" w:hAnsi="宋体" w:eastAsia="宋体" w:cs="宋体"/>
                <w:i w:val="0"/>
                <w:iCs w:val="0"/>
                <w:color w:val="000000"/>
                <w:sz w:val="22"/>
                <w:szCs w:val="22"/>
                <w:u w:val="none"/>
              </w:rPr>
            </w:pPr>
          </w:p>
        </w:tc>
      </w:tr>
      <w:tr w14:paraId="3E7DD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2C110F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2018" w:type="dxa"/>
            <w:shd w:val="clear" w:color="auto" w:fill="auto"/>
            <w:vAlign w:val="center"/>
          </w:tcPr>
          <w:p w14:paraId="6F35DB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汽车式吊车（含油费）</w:t>
            </w:r>
          </w:p>
        </w:tc>
        <w:tc>
          <w:tcPr>
            <w:tcW w:w="1368" w:type="dxa"/>
            <w:shd w:val="clear" w:color="auto" w:fill="auto"/>
            <w:vAlign w:val="center"/>
          </w:tcPr>
          <w:p w14:paraId="33A635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8-16T</w:t>
            </w:r>
          </w:p>
        </w:tc>
        <w:tc>
          <w:tcPr>
            <w:tcW w:w="0" w:type="auto"/>
            <w:shd w:val="clear" w:color="auto" w:fill="auto"/>
            <w:noWrap/>
            <w:vAlign w:val="center"/>
          </w:tcPr>
          <w:p w14:paraId="725977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229150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w:t>
            </w:r>
          </w:p>
        </w:tc>
        <w:tc>
          <w:tcPr>
            <w:tcW w:w="0" w:type="auto"/>
            <w:shd w:val="clear" w:color="auto" w:fill="auto"/>
            <w:noWrap/>
            <w:vAlign w:val="center"/>
          </w:tcPr>
          <w:p w14:paraId="7A2AB7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2595AF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5C87EF4C">
            <w:pPr>
              <w:jc w:val="center"/>
              <w:rPr>
                <w:rFonts w:hint="eastAsia" w:ascii="宋体" w:hAnsi="宋体" w:eastAsia="宋体" w:cs="宋体"/>
                <w:i w:val="0"/>
                <w:iCs w:val="0"/>
                <w:color w:val="000000"/>
                <w:sz w:val="22"/>
                <w:szCs w:val="22"/>
                <w:u w:val="none"/>
              </w:rPr>
            </w:pPr>
          </w:p>
        </w:tc>
      </w:tr>
      <w:tr w14:paraId="39F20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4C54553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2018" w:type="dxa"/>
            <w:shd w:val="clear" w:color="auto" w:fill="auto"/>
            <w:vAlign w:val="center"/>
          </w:tcPr>
          <w:p w14:paraId="052DB8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汽车式吊车（含油费）</w:t>
            </w:r>
          </w:p>
        </w:tc>
        <w:tc>
          <w:tcPr>
            <w:tcW w:w="1368" w:type="dxa"/>
            <w:shd w:val="clear" w:color="auto" w:fill="auto"/>
            <w:vAlign w:val="center"/>
          </w:tcPr>
          <w:p w14:paraId="4BB7A9E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25T-50T</w:t>
            </w:r>
          </w:p>
        </w:tc>
        <w:tc>
          <w:tcPr>
            <w:tcW w:w="0" w:type="auto"/>
            <w:shd w:val="clear" w:color="auto" w:fill="auto"/>
            <w:noWrap/>
            <w:vAlign w:val="center"/>
          </w:tcPr>
          <w:p w14:paraId="2461A1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11A61F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0A77F9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3CA7EB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0A3A4DA">
            <w:pPr>
              <w:jc w:val="center"/>
              <w:rPr>
                <w:rFonts w:hint="eastAsia" w:ascii="宋体" w:hAnsi="宋体" w:eastAsia="宋体" w:cs="宋体"/>
                <w:i w:val="0"/>
                <w:iCs w:val="0"/>
                <w:color w:val="000000"/>
                <w:sz w:val="22"/>
                <w:szCs w:val="22"/>
                <w:u w:val="none"/>
              </w:rPr>
            </w:pPr>
          </w:p>
        </w:tc>
      </w:tr>
      <w:tr w14:paraId="65C19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29F31E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2018" w:type="dxa"/>
            <w:shd w:val="clear" w:color="auto" w:fill="auto"/>
            <w:vAlign w:val="center"/>
          </w:tcPr>
          <w:p w14:paraId="3255D3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汽车式吊车（含油费）</w:t>
            </w:r>
          </w:p>
        </w:tc>
        <w:tc>
          <w:tcPr>
            <w:tcW w:w="1368" w:type="dxa"/>
            <w:shd w:val="clear" w:color="auto" w:fill="auto"/>
            <w:vAlign w:val="center"/>
          </w:tcPr>
          <w:p w14:paraId="3AAC7D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100T</w:t>
            </w:r>
          </w:p>
        </w:tc>
        <w:tc>
          <w:tcPr>
            <w:tcW w:w="0" w:type="auto"/>
            <w:shd w:val="clear" w:color="auto" w:fill="auto"/>
            <w:noWrap/>
            <w:vAlign w:val="center"/>
          </w:tcPr>
          <w:p w14:paraId="024C60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042B0B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shd w:val="clear" w:color="auto" w:fill="auto"/>
            <w:noWrap/>
            <w:vAlign w:val="center"/>
          </w:tcPr>
          <w:p w14:paraId="0491A6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ED27B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4661C769">
            <w:pPr>
              <w:jc w:val="center"/>
              <w:rPr>
                <w:rFonts w:hint="eastAsia" w:ascii="宋体" w:hAnsi="宋体" w:eastAsia="宋体" w:cs="宋体"/>
                <w:i w:val="0"/>
                <w:iCs w:val="0"/>
                <w:color w:val="000000"/>
                <w:sz w:val="22"/>
                <w:szCs w:val="22"/>
                <w:u w:val="none"/>
              </w:rPr>
            </w:pPr>
          </w:p>
        </w:tc>
      </w:tr>
      <w:tr w14:paraId="2BB69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6ADAD8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2018" w:type="dxa"/>
            <w:shd w:val="clear" w:color="auto" w:fill="auto"/>
            <w:vAlign w:val="center"/>
          </w:tcPr>
          <w:p w14:paraId="5B2B6E8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铲车</w:t>
            </w:r>
          </w:p>
        </w:tc>
        <w:tc>
          <w:tcPr>
            <w:tcW w:w="1368" w:type="dxa"/>
            <w:shd w:val="clear" w:color="auto" w:fill="auto"/>
            <w:vAlign w:val="center"/>
          </w:tcPr>
          <w:p w14:paraId="1A64E4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5T</w:t>
            </w:r>
          </w:p>
        </w:tc>
        <w:tc>
          <w:tcPr>
            <w:tcW w:w="0" w:type="auto"/>
            <w:shd w:val="clear" w:color="auto" w:fill="auto"/>
            <w:noWrap/>
            <w:vAlign w:val="center"/>
          </w:tcPr>
          <w:p w14:paraId="036FEF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67EE29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shd w:val="clear" w:color="auto" w:fill="auto"/>
            <w:noWrap/>
            <w:vAlign w:val="center"/>
          </w:tcPr>
          <w:p w14:paraId="08D78F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57760E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2D667F32">
            <w:pPr>
              <w:jc w:val="center"/>
              <w:rPr>
                <w:rFonts w:hint="eastAsia" w:ascii="宋体" w:hAnsi="宋体" w:eastAsia="宋体" w:cs="宋体"/>
                <w:i w:val="0"/>
                <w:iCs w:val="0"/>
                <w:color w:val="000000"/>
                <w:sz w:val="22"/>
                <w:szCs w:val="22"/>
                <w:u w:val="none"/>
              </w:rPr>
            </w:pPr>
          </w:p>
        </w:tc>
      </w:tr>
      <w:tr w14:paraId="2B602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43AB46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2018" w:type="dxa"/>
            <w:shd w:val="clear" w:color="auto" w:fill="auto"/>
            <w:vAlign w:val="center"/>
          </w:tcPr>
          <w:p w14:paraId="006E63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铲车</w:t>
            </w:r>
          </w:p>
        </w:tc>
        <w:tc>
          <w:tcPr>
            <w:tcW w:w="1368" w:type="dxa"/>
            <w:shd w:val="clear" w:color="auto" w:fill="auto"/>
            <w:vAlign w:val="center"/>
          </w:tcPr>
          <w:p w14:paraId="47C89E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3T</w:t>
            </w:r>
          </w:p>
        </w:tc>
        <w:tc>
          <w:tcPr>
            <w:tcW w:w="0" w:type="auto"/>
            <w:shd w:val="clear" w:color="auto" w:fill="auto"/>
            <w:noWrap/>
            <w:vAlign w:val="center"/>
          </w:tcPr>
          <w:p w14:paraId="183BE8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4ED8A1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054727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B5C0D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042EC681">
            <w:pPr>
              <w:jc w:val="center"/>
              <w:rPr>
                <w:rFonts w:hint="eastAsia" w:ascii="宋体" w:hAnsi="宋体" w:eastAsia="宋体" w:cs="宋体"/>
                <w:i w:val="0"/>
                <w:iCs w:val="0"/>
                <w:color w:val="000000"/>
                <w:sz w:val="22"/>
                <w:szCs w:val="22"/>
                <w:u w:val="none"/>
              </w:rPr>
            </w:pPr>
          </w:p>
        </w:tc>
      </w:tr>
      <w:tr w14:paraId="2DD12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637986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21</w:t>
            </w:r>
          </w:p>
        </w:tc>
        <w:tc>
          <w:tcPr>
            <w:tcW w:w="2018" w:type="dxa"/>
            <w:shd w:val="clear" w:color="auto" w:fill="auto"/>
            <w:vAlign w:val="center"/>
          </w:tcPr>
          <w:p w14:paraId="17EE07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叉车</w:t>
            </w:r>
          </w:p>
        </w:tc>
        <w:tc>
          <w:tcPr>
            <w:tcW w:w="1368" w:type="dxa"/>
            <w:shd w:val="clear" w:color="auto" w:fill="auto"/>
            <w:vAlign w:val="center"/>
          </w:tcPr>
          <w:p w14:paraId="74D748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3T</w:t>
            </w:r>
          </w:p>
        </w:tc>
        <w:tc>
          <w:tcPr>
            <w:tcW w:w="0" w:type="auto"/>
            <w:shd w:val="clear" w:color="auto" w:fill="auto"/>
            <w:noWrap/>
            <w:vAlign w:val="center"/>
          </w:tcPr>
          <w:p w14:paraId="516E02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7D38B8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29E979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3A7F2F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561D7955">
            <w:pPr>
              <w:jc w:val="center"/>
              <w:rPr>
                <w:rFonts w:hint="eastAsia" w:ascii="宋体" w:hAnsi="宋体" w:eastAsia="宋体" w:cs="宋体"/>
                <w:i w:val="0"/>
                <w:iCs w:val="0"/>
                <w:color w:val="000000"/>
                <w:sz w:val="22"/>
                <w:szCs w:val="22"/>
                <w:u w:val="none"/>
              </w:rPr>
            </w:pPr>
          </w:p>
        </w:tc>
      </w:tr>
      <w:tr w14:paraId="020E0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2994C3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22</w:t>
            </w:r>
          </w:p>
        </w:tc>
        <w:tc>
          <w:tcPr>
            <w:tcW w:w="2018" w:type="dxa"/>
            <w:shd w:val="clear" w:color="auto" w:fill="auto"/>
            <w:vAlign w:val="center"/>
          </w:tcPr>
          <w:p w14:paraId="63B8D3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曲臂车</w:t>
            </w:r>
          </w:p>
        </w:tc>
        <w:tc>
          <w:tcPr>
            <w:tcW w:w="1368" w:type="dxa"/>
            <w:shd w:val="clear" w:color="auto" w:fill="auto"/>
            <w:vAlign w:val="center"/>
          </w:tcPr>
          <w:p w14:paraId="37AD911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20m</w:t>
            </w:r>
          </w:p>
        </w:tc>
        <w:tc>
          <w:tcPr>
            <w:tcW w:w="0" w:type="auto"/>
            <w:shd w:val="clear" w:color="auto" w:fill="auto"/>
            <w:noWrap/>
            <w:vAlign w:val="center"/>
          </w:tcPr>
          <w:p w14:paraId="46C65D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49F4CC6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293591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466AF44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A3DC498">
            <w:pPr>
              <w:jc w:val="center"/>
              <w:rPr>
                <w:rFonts w:hint="eastAsia" w:ascii="宋体" w:hAnsi="宋体" w:eastAsia="宋体" w:cs="宋体"/>
                <w:i w:val="0"/>
                <w:iCs w:val="0"/>
                <w:color w:val="000000"/>
                <w:sz w:val="22"/>
                <w:szCs w:val="22"/>
                <w:u w:val="none"/>
              </w:rPr>
            </w:pPr>
          </w:p>
        </w:tc>
      </w:tr>
      <w:tr w14:paraId="151E0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75DABB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23</w:t>
            </w:r>
          </w:p>
        </w:tc>
        <w:tc>
          <w:tcPr>
            <w:tcW w:w="2018" w:type="dxa"/>
            <w:shd w:val="clear" w:color="auto" w:fill="auto"/>
            <w:vAlign w:val="center"/>
          </w:tcPr>
          <w:p w14:paraId="7FEC2D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曲臂车进出场费用</w:t>
            </w:r>
          </w:p>
        </w:tc>
        <w:tc>
          <w:tcPr>
            <w:tcW w:w="1368" w:type="dxa"/>
            <w:shd w:val="clear" w:color="auto" w:fill="auto"/>
            <w:vAlign w:val="center"/>
          </w:tcPr>
          <w:p w14:paraId="6497F1BA">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5E9A30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台次</w:t>
            </w:r>
          </w:p>
        </w:tc>
        <w:tc>
          <w:tcPr>
            <w:tcW w:w="0" w:type="auto"/>
            <w:shd w:val="clear" w:color="auto" w:fill="auto"/>
            <w:noWrap/>
            <w:vAlign w:val="center"/>
          </w:tcPr>
          <w:p w14:paraId="4F8A47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5E1BEE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551A1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1E7C2FB5">
            <w:pPr>
              <w:jc w:val="center"/>
              <w:rPr>
                <w:rFonts w:hint="eastAsia" w:ascii="宋体" w:hAnsi="宋体" w:eastAsia="宋体" w:cs="宋体"/>
                <w:i w:val="0"/>
                <w:iCs w:val="0"/>
                <w:color w:val="000000"/>
                <w:sz w:val="22"/>
                <w:szCs w:val="22"/>
                <w:u w:val="none"/>
              </w:rPr>
            </w:pPr>
          </w:p>
        </w:tc>
      </w:tr>
      <w:tr w14:paraId="6F1C0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001991E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24</w:t>
            </w:r>
          </w:p>
        </w:tc>
        <w:tc>
          <w:tcPr>
            <w:tcW w:w="2018" w:type="dxa"/>
            <w:shd w:val="clear" w:color="auto" w:fill="auto"/>
            <w:vAlign w:val="center"/>
          </w:tcPr>
          <w:p w14:paraId="00DD4B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发电机（含油费）</w:t>
            </w:r>
          </w:p>
        </w:tc>
        <w:tc>
          <w:tcPr>
            <w:tcW w:w="1368" w:type="dxa"/>
            <w:shd w:val="clear" w:color="auto" w:fill="auto"/>
            <w:vAlign w:val="center"/>
          </w:tcPr>
          <w:p w14:paraId="347A57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r>
              <w:rPr>
                <w:rFonts w:hint="eastAsia" w:ascii="宋体" w:hAnsi="宋体" w:cs="宋体"/>
                <w:i w:val="0"/>
                <w:iCs w:val="0"/>
                <w:color w:val="000000"/>
                <w:kern w:val="0"/>
                <w:sz w:val="22"/>
                <w:szCs w:val="22"/>
                <w:u w:val="none"/>
                <w:lang w:val="en-US" w:eastAsia="zh-CN" w:bidi="ar"/>
              </w:rPr>
              <w:t>kW</w:t>
            </w:r>
          </w:p>
        </w:tc>
        <w:tc>
          <w:tcPr>
            <w:tcW w:w="0" w:type="auto"/>
            <w:shd w:val="clear" w:color="auto" w:fill="auto"/>
            <w:noWrap/>
            <w:vAlign w:val="center"/>
          </w:tcPr>
          <w:p w14:paraId="27B713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2817F72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shd w:val="clear" w:color="auto" w:fill="auto"/>
            <w:noWrap/>
            <w:vAlign w:val="center"/>
          </w:tcPr>
          <w:p w14:paraId="208908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4DC90D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68E10BED">
            <w:pPr>
              <w:jc w:val="center"/>
              <w:rPr>
                <w:rFonts w:hint="eastAsia" w:ascii="宋体" w:hAnsi="宋体" w:eastAsia="宋体" w:cs="宋体"/>
                <w:i w:val="0"/>
                <w:iCs w:val="0"/>
                <w:color w:val="000000"/>
                <w:sz w:val="22"/>
                <w:szCs w:val="22"/>
                <w:u w:val="none"/>
              </w:rPr>
            </w:pPr>
          </w:p>
        </w:tc>
      </w:tr>
      <w:tr w14:paraId="6A6B1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36F6AA0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2018" w:type="dxa"/>
            <w:shd w:val="clear" w:color="auto" w:fill="auto"/>
            <w:vAlign w:val="center"/>
          </w:tcPr>
          <w:p w14:paraId="299D86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发电机（含油费）</w:t>
            </w:r>
          </w:p>
        </w:tc>
        <w:tc>
          <w:tcPr>
            <w:tcW w:w="1368" w:type="dxa"/>
            <w:shd w:val="clear" w:color="auto" w:fill="auto"/>
            <w:vAlign w:val="center"/>
          </w:tcPr>
          <w:p w14:paraId="175B7B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r>
              <w:rPr>
                <w:rFonts w:hint="eastAsia" w:ascii="宋体" w:hAnsi="宋体" w:cs="宋体"/>
                <w:i w:val="0"/>
                <w:iCs w:val="0"/>
                <w:color w:val="000000"/>
                <w:kern w:val="0"/>
                <w:sz w:val="22"/>
                <w:szCs w:val="22"/>
                <w:u w:val="none"/>
                <w:lang w:val="en-US" w:eastAsia="zh-CN" w:bidi="ar"/>
              </w:rPr>
              <w:t>kW</w:t>
            </w:r>
          </w:p>
        </w:tc>
        <w:tc>
          <w:tcPr>
            <w:tcW w:w="0" w:type="auto"/>
            <w:shd w:val="clear" w:color="auto" w:fill="auto"/>
            <w:noWrap/>
            <w:vAlign w:val="center"/>
          </w:tcPr>
          <w:p w14:paraId="382A24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台班</w:t>
            </w:r>
          </w:p>
        </w:tc>
        <w:tc>
          <w:tcPr>
            <w:tcW w:w="0" w:type="auto"/>
            <w:shd w:val="clear" w:color="auto" w:fill="auto"/>
            <w:noWrap/>
            <w:vAlign w:val="center"/>
          </w:tcPr>
          <w:p w14:paraId="0756E6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59EDBB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3F63F8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03C5395">
            <w:pPr>
              <w:jc w:val="center"/>
              <w:rPr>
                <w:rFonts w:hint="eastAsia" w:ascii="宋体" w:hAnsi="宋体" w:eastAsia="宋体" w:cs="宋体"/>
                <w:i w:val="0"/>
                <w:iCs w:val="0"/>
                <w:color w:val="000000"/>
                <w:sz w:val="22"/>
                <w:szCs w:val="22"/>
                <w:u w:val="none"/>
              </w:rPr>
            </w:pPr>
          </w:p>
        </w:tc>
      </w:tr>
      <w:tr w14:paraId="25E7D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6A745B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26</w:t>
            </w:r>
          </w:p>
        </w:tc>
        <w:tc>
          <w:tcPr>
            <w:tcW w:w="2018" w:type="dxa"/>
            <w:shd w:val="clear" w:color="auto" w:fill="auto"/>
            <w:vAlign w:val="center"/>
          </w:tcPr>
          <w:p w14:paraId="7C583D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移动脚手架</w:t>
            </w:r>
          </w:p>
        </w:tc>
        <w:tc>
          <w:tcPr>
            <w:tcW w:w="1368" w:type="dxa"/>
            <w:shd w:val="clear" w:color="auto" w:fill="auto"/>
            <w:vAlign w:val="center"/>
          </w:tcPr>
          <w:p w14:paraId="63ECB519">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639302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0" w:type="auto"/>
            <w:shd w:val="clear" w:color="auto" w:fill="auto"/>
            <w:noWrap/>
            <w:vAlign w:val="center"/>
          </w:tcPr>
          <w:p w14:paraId="62530F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600</w:t>
            </w:r>
          </w:p>
        </w:tc>
        <w:tc>
          <w:tcPr>
            <w:tcW w:w="0" w:type="auto"/>
            <w:shd w:val="clear" w:color="auto" w:fill="auto"/>
            <w:noWrap/>
            <w:vAlign w:val="center"/>
          </w:tcPr>
          <w:p w14:paraId="69DAA6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4A6583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59F4AF44">
            <w:pPr>
              <w:jc w:val="center"/>
              <w:rPr>
                <w:rFonts w:hint="eastAsia" w:ascii="宋体" w:hAnsi="宋体" w:eastAsia="宋体" w:cs="宋体"/>
                <w:i w:val="0"/>
                <w:iCs w:val="0"/>
                <w:color w:val="000000"/>
                <w:sz w:val="22"/>
                <w:szCs w:val="22"/>
                <w:u w:val="none"/>
              </w:rPr>
            </w:pPr>
          </w:p>
        </w:tc>
      </w:tr>
      <w:tr w14:paraId="47388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1" w:hRule="atLeast"/>
        </w:trPr>
        <w:tc>
          <w:tcPr>
            <w:tcW w:w="0" w:type="auto"/>
            <w:shd w:val="clear" w:color="auto" w:fill="auto"/>
            <w:noWrap/>
            <w:vAlign w:val="center"/>
          </w:tcPr>
          <w:p w14:paraId="48C762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27</w:t>
            </w:r>
          </w:p>
        </w:tc>
        <w:tc>
          <w:tcPr>
            <w:tcW w:w="2018" w:type="dxa"/>
            <w:shd w:val="clear" w:color="auto" w:fill="auto"/>
            <w:vAlign w:val="center"/>
          </w:tcPr>
          <w:p w14:paraId="4D3FEC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单层彩钢板围挡</w:t>
            </w:r>
          </w:p>
        </w:tc>
        <w:tc>
          <w:tcPr>
            <w:tcW w:w="1368" w:type="dxa"/>
            <w:shd w:val="clear" w:color="auto" w:fill="auto"/>
            <w:vAlign w:val="center"/>
          </w:tcPr>
          <w:p w14:paraId="3E4A24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0.3mm厚</w:t>
            </w:r>
          </w:p>
        </w:tc>
        <w:tc>
          <w:tcPr>
            <w:tcW w:w="0" w:type="auto"/>
            <w:shd w:val="clear" w:color="auto" w:fill="auto"/>
            <w:noWrap/>
            <w:vAlign w:val="center"/>
          </w:tcPr>
          <w:p w14:paraId="4B3E0C0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0" w:type="auto"/>
            <w:shd w:val="clear" w:color="auto" w:fill="auto"/>
            <w:noWrap/>
            <w:vAlign w:val="center"/>
          </w:tcPr>
          <w:p w14:paraId="7E7EBB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0" w:type="auto"/>
            <w:shd w:val="clear" w:color="auto" w:fill="auto"/>
            <w:noWrap/>
            <w:vAlign w:val="center"/>
          </w:tcPr>
          <w:p w14:paraId="6D86CD8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EB008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620807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含人工、材料、安装等费用</w:t>
            </w:r>
          </w:p>
        </w:tc>
      </w:tr>
      <w:tr w14:paraId="55D83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1" w:hRule="atLeast"/>
        </w:trPr>
        <w:tc>
          <w:tcPr>
            <w:tcW w:w="0" w:type="auto"/>
            <w:shd w:val="clear" w:color="auto" w:fill="auto"/>
            <w:noWrap/>
            <w:vAlign w:val="center"/>
          </w:tcPr>
          <w:p w14:paraId="48DD59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28</w:t>
            </w:r>
          </w:p>
        </w:tc>
        <w:tc>
          <w:tcPr>
            <w:tcW w:w="2018" w:type="dxa"/>
            <w:shd w:val="clear" w:color="auto" w:fill="auto"/>
            <w:vAlign w:val="center"/>
          </w:tcPr>
          <w:p w14:paraId="4931FC9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钢龙骨</w:t>
            </w:r>
          </w:p>
        </w:tc>
        <w:tc>
          <w:tcPr>
            <w:tcW w:w="1368" w:type="dxa"/>
            <w:shd w:val="clear" w:color="auto" w:fill="auto"/>
            <w:vAlign w:val="center"/>
          </w:tcPr>
          <w:p w14:paraId="739A2C4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镀锌钢管，规格综合考虑</w:t>
            </w:r>
          </w:p>
        </w:tc>
        <w:tc>
          <w:tcPr>
            <w:tcW w:w="0" w:type="auto"/>
            <w:shd w:val="clear" w:color="auto" w:fill="auto"/>
            <w:noWrap/>
            <w:vAlign w:val="center"/>
          </w:tcPr>
          <w:p w14:paraId="158692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t</w:t>
            </w:r>
          </w:p>
        </w:tc>
        <w:tc>
          <w:tcPr>
            <w:tcW w:w="0" w:type="auto"/>
            <w:shd w:val="clear" w:color="auto" w:fill="auto"/>
            <w:noWrap/>
            <w:vAlign w:val="center"/>
          </w:tcPr>
          <w:p w14:paraId="5A20C9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0" w:type="auto"/>
            <w:shd w:val="clear" w:color="auto" w:fill="auto"/>
            <w:noWrap/>
            <w:vAlign w:val="center"/>
          </w:tcPr>
          <w:p w14:paraId="1E7B72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57B6B0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4E4EED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含人工、材料、安装等费用</w:t>
            </w:r>
          </w:p>
        </w:tc>
      </w:tr>
      <w:tr w14:paraId="6BD1A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1" w:hRule="atLeast"/>
        </w:trPr>
        <w:tc>
          <w:tcPr>
            <w:tcW w:w="0" w:type="auto"/>
            <w:shd w:val="clear" w:color="auto" w:fill="auto"/>
            <w:noWrap/>
            <w:vAlign w:val="center"/>
          </w:tcPr>
          <w:p w14:paraId="22E2BD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29</w:t>
            </w:r>
          </w:p>
        </w:tc>
        <w:tc>
          <w:tcPr>
            <w:tcW w:w="2018" w:type="dxa"/>
            <w:shd w:val="clear" w:color="auto" w:fill="auto"/>
            <w:vAlign w:val="center"/>
          </w:tcPr>
          <w:p w14:paraId="60E85FE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绿皮网</w:t>
            </w:r>
          </w:p>
        </w:tc>
        <w:tc>
          <w:tcPr>
            <w:tcW w:w="1368" w:type="dxa"/>
            <w:shd w:val="clear" w:color="auto" w:fill="auto"/>
            <w:vAlign w:val="center"/>
          </w:tcPr>
          <w:p w14:paraId="22B1D389">
            <w:pPr>
              <w:jc w:val="center"/>
              <w:rPr>
                <w:rFonts w:hint="eastAsia" w:ascii="宋体" w:hAnsi="宋体" w:eastAsia="宋体" w:cs="宋体"/>
                <w:i w:val="0"/>
                <w:iCs w:val="0"/>
                <w:color w:val="auto"/>
                <w:sz w:val="22"/>
                <w:szCs w:val="22"/>
                <w:u w:val="none"/>
              </w:rPr>
            </w:pPr>
          </w:p>
        </w:tc>
        <w:tc>
          <w:tcPr>
            <w:tcW w:w="0" w:type="auto"/>
            <w:shd w:val="clear" w:color="auto" w:fill="auto"/>
            <w:noWrap/>
            <w:vAlign w:val="center"/>
          </w:tcPr>
          <w:p w14:paraId="465B8A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0" w:type="auto"/>
            <w:shd w:val="clear" w:color="auto" w:fill="auto"/>
            <w:noWrap/>
            <w:vAlign w:val="center"/>
          </w:tcPr>
          <w:p w14:paraId="39EB05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0" w:type="auto"/>
            <w:shd w:val="clear" w:color="auto" w:fill="auto"/>
            <w:noWrap/>
            <w:vAlign w:val="center"/>
          </w:tcPr>
          <w:p w14:paraId="702AE55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3FA137A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3AF338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含人工、材料、安装等费用</w:t>
            </w:r>
          </w:p>
        </w:tc>
      </w:tr>
      <w:tr w14:paraId="75A80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0" w:type="auto"/>
            <w:shd w:val="clear" w:color="auto" w:fill="auto"/>
            <w:noWrap/>
            <w:vAlign w:val="center"/>
          </w:tcPr>
          <w:p w14:paraId="2002E2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2018" w:type="dxa"/>
            <w:shd w:val="clear" w:color="auto" w:fill="auto"/>
            <w:vAlign w:val="center"/>
          </w:tcPr>
          <w:p w14:paraId="502A33F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覆盖绿网</w:t>
            </w:r>
          </w:p>
        </w:tc>
        <w:tc>
          <w:tcPr>
            <w:tcW w:w="1368" w:type="dxa"/>
            <w:shd w:val="clear" w:color="auto" w:fill="auto"/>
            <w:vAlign w:val="center"/>
          </w:tcPr>
          <w:p w14:paraId="22F5E7C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8针绿色加密高密度聚乙烯HDPEF防尘网</w:t>
            </w:r>
          </w:p>
        </w:tc>
        <w:tc>
          <w:tcPr>
            <w:tcW w:w="0" w:type="auto"/>
            <w:shd w:val="clear" w:color="auto" w:fill="auto"/>
            <w:noWrap/>
            <w:vAlign w:val="center"/>
          </w:tcPr>
          <w:p w14:paraId="09D5C47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0" w:type="auto"/>
            <w:shd w:val="clear" w:color="auto" w:fill="auto"/>
            <w:noWrap/>
            <w:vAlign w:val="center"/>
          </w:tcPr>
          <w:p w14:paraId="32F15C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20000</w:t>
            </w:r>
          </w:p>
        </w:tc>
        <w:tc>
          <w:tcPr>
            <w:tcW w:w="0" w:type="auto"/>
            <w:shd w:val="clear" w:color="auto" w:fill="auto"/>
            <w:noWrap/>
            <w:vAlign w:val="center"/>
          </w:tcPr>
          <w:p w14:paraId="39E4B2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5D2EBF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397438F">
            <w:pPr>
              <w:jc w:val="center"/>
              <w:rPr>
                <w:rFonts w:hint="eastAsia" w:ascii="宋体" w:hAnsi="宋体" w:eastAsia="宋体" w:cs="宋体"/>
                <w:i w:val="0"/>
                <w:iCs w:val="0"/>
                <w:color w:val="000000"/>
                <w:sz w:val="22"/>
                <w:szCs w:val="22"/>
                <w:u w:val="none"/>
              </w:rPr>
            </w:pPr>
          </w:p>
        </w:tc>
      </w:tr>
      <w:tr w14:paraId="10F30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6130D7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31</w:t>
            </w:r>
          </w:p>
        </w:tc>
        <w:tc>
          <w:tcPr>
            <w:tcW w:w="2018" w:type="dxa"/>
            <w:shd w:val="clear" w:color="auto" w:fill="auto"/>
            <w:vAlign w:val="center"/>
          </w:tcPr>
          <w:p w14:paraId="1D5A1C12">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外墙弹性涂料（2遍）</w:t>
            </w:r>
          </w:p>
        </w:tc>
        <w:tc>
          <w:tcPr>
            <w:tcW w:w="1368" w:type="dxa"/>
            <w:shd w:val="clear" w:color="auto" w:fill="auto"/>
            <w:vAlign w:val="center"/>
          </w:tcPr>
          <w:p w14:paraId="0779D75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外墙弹性涂料</w:t>
            </w:r>
          </w:p>
        </w:tc>
        <w:tc>
          <w:tcPr>
            <w:tcW w:w="0" w:type="auto"/>
            <w:shd w:val="clear" w:color="auto" w:fill="auto"/>
            <w:noWrap/>
            <w:vAlign w:val="center"/>
          </w:tcPr>
          <w:p w14:paraId="0B798B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0" w:type="auto"/>
            <w:shd w:val="clear" w:color="auto" w:fill="auto"/>
            <w:noWrap/>
            <w:vAlign w:val="center"/>
          </w:tcPr>
          <w:p w14:paraId="1277333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0" w:type="auto"/>
            <w:shd w:val="clear" w:color="auto" w:fill="auto"/>
            <w:noWrap/>
            <w:vAlign w:val="center"/>
          </w:tcPr>
          <w:p w14:paraId="016C220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00552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7DF779A3">
            <w:pPr>
              <w:jc w:val="center"/>
              <w:rPr>
                <w:rFonts w:hint="eastAsia" w:ascii="宋体" w:hAnsi="宋体" w:eastAsia="宋体" w:cs="宋体"/>
                <w:i w:val="0"/>
                <w:iCs w:val="0"/>
                <w:color w:val="000000"/>
                <w:sz w:val="22"/>
                <w:szCs w:val="22"/>
                <w:u w:val="none"/>
              </w:rPr>
            </w:pPr>
          </w:p>
        </w:tc>
      </w:tr>
      <w:tr w14:paraId="046DF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1B9538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32</w:t>
            </w:r>
          </w:p>
        </w:tc>
        <w:tc>
          <w:tcPr>
            <w:tcW w:w="2018" w:type="dxa"/>
            <w:shd w:val="clear" w:color="auto" w:fill="auto"/>
            <w:vAlign w:val="center"/>
          </w:tcPr>
          <w:p w14:paraId="0E85EF9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C15混凝土垫层</w:t>
            </w:r>
          </w:p>
        </w:tc>
        <w:tc>
          <w:tcPr>
            <w:tcW w:w="1368" w:type="dxa"/>
            <w:shd w:val="clear" w:color="auto" w:fill="auto"/>
            <w:vAlign w:val="center"/>
          </w:tcPr>
          <w:p w14:paraId="01E452F3">
            <w:pPr>
              <w:jc w:val="center"/>
              <w:rPr>
                <w:rFonts w:hint="eastAsia" w:ascii="宋体" w:hAnsi="宋体" w:eastAsia="宋体" w:cs="宋体"/>
                <w:i w:val="0"/>
                <w:iCs w:val="0"/>
                <w:color w:val="auto"/>
                <w:sz w:val="22"/>
                <w:szCs w:val="22"/>
                <w:u w:val="none"/>
              </w:rPr>
            </w:pPr>
          </w:p>
        </w:tc>
        <w:tc>
          <w:tcPr>
            <w:tcW w:w="0" w:type="auto"/>
            <w:shd w:val="clear" w:color="auto" w:fill="auto"/>
            <w:noWrap/>
            <w:vAlign w:val="center"/>
          </w:tcPr>
          <w:p w14:paraId="6E81694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0" w:type="auto"/>
            <w:shd w:val="clear" w:color="auto" w:fill="auto"/>
            <w:noWrap/>
            <w:vAlign w:val="center"/>
          </w:tcPr>
          <w:p w14:paraId="17D6DE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w:t>
            </w:r>
          </w:p>
        </w:tc>
        <w:tc>
          <w:tcPr>
            <w:tcW w:w="0" w:type="auto"/>
            <w:shd w:val="clear" w:color="auto" w:fill="auto"/>
            <w:noWrap/>
            <w:vAlign w:val="center"/>
          </w:tcPr>
          <w:p w14:paraId="5748E53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B3F8A9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015281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含人工等费用</w:t>
            </w:r>
          </w:p>
        </w:tc>
      </w:tr>
      <w:tr w14:paraId="098DD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2DC86F1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w:t>
            </w:r>
          </w:p>
        </w:tc>
        <w:tc>
          <w:tcPr>
            <w:tcW w:w="2018" w:type="dxa"/>
            <w:shd w:val="clear" w:color="auto" w:fill="auto"/>
            <w:vAlign w:val="center"/>
          </w:tcPr>
          <w:p w14:paraId="0FB6976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C20混凝土垫层</w:t>
            </w:r>
          </w:p>
        </w:tc>
        <w:tc>
          <w:tcPr>
            <w:tcW w:w="1368" w:type="dxa"/>
            <w:shd w:val="clear" w:color="auto" w:fill="auto"/>
            <w:vAlign w:val="center"/>
          </w:tcPr>
          <w:p w14:paraId="504CD65B">
            <w:pPr>
              <w:jc w:val="center"/>
              <w:rPr>
                <w:rFonts w:hint="eastAsia" w:ascii="宋体" w:hAnsi="宋体" w:eastAsia="宋体" w:cs="宋体"/>
                <w:i w:val="0"/>
                <w:iCs w:val="0"/>
                <w:color w:val="auto"/>
                <w:sz w:val="22"/>
                <w:szCs w:val="22"/>
                <w:u w:val="none"/>
              </w:rPr>
            </w:pPr>
          </w:p>
        </w:tc>
        <w:tc>
          <w:tcPr>
            <w:tcW w:w="0" w:type="auto"/>
            <w:shd w:val="clear" w:color="auto" w:fill="auto"/>
            <w:noWrap/>
            <w:vAlign w:val="center"/>
          </w:tcPr>
          <w:p w14:paraId="024EDB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0" w:type="auto"/>
            <w:shd w:val="clear" w:color="auto" w:fill="auto"/>
            <w:noWrap/>
            <w:vAlign w:val="center"/>
          </w:tcPr>
          <w:p w14:paraId="4E28B3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0" w:type="auto"/>
            <w:shd w:val="clear" w:color="auto" w:fill="auto"/>
            <w:noWrap/>
            <w:vAlign w:val="center"/>
          </w:tcPr>
          <w:p w14:paraId="696DE71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493659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2D9AC87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含人工等费用</w:t>
            </w:r>
          </w:p>
        </w:tc>
      </w:tr>
      <w:tr w14:paraId="62FF4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0" w:type="auto"/>
            <w:shd w:val="clear" w:color="auto" w:fill="auto"/>
            <w:noWrap/>
            <w:vAlign w:val="center"/>
          </w:tcPr>
          <w:p w14:paraId="167C6D8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34</w:t>
            </w:r>
          </w:p>
        </w:tc>
        <w:tc>
          <w:tcPr>
            <w:tcW w:w="2018" w:type="dxa"/>
            <w:shd w:val="clear" w:color="auto" w:fill="auto"/>
            <w:vAlign w:val="center"/>
          </w:tcPr>
          <w:p w14:paraId="6E170FC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C25混凝土垫层</w:t>
            </w:r>
          </w:p>
        </w:tc>
        <w:tc>
          <w:tcPr>
            <w:tcW w:w="1368" w:type="dxa"/>
            <w:shd w:val="clear" w:color="auto" w:fill="auto"/>
            <w:vAlign w:val="center"/>
          </w:tcPr>
          <w:p w14:paraId="1DAAD4A0">
            <w:pPr>
              <w:jc w:val="center"/>
              <w:rPr>
                <w:rFonts w:hint="eastAsia" w:ascii="宋体" w:hAnsi="宋体" w:eastAsia="宋体" w:cs="宋体"/>
                <w:i w:val="0"/>
                <w:iCs w:val="0"/>
                <w:color w:val="auto"/>
                <w:sz w:val="22"/>
                <w:szCs w:val="22"/>
                <w:u w:val="none"/>
              </w:rPr>
            </w:pPr>
          </w:p>
        </w:tc>
        <w:tc>
          <w:tcPr>
            <w:tcW w:w="0" w:type="auto"/>
            <w:shd w:val="clear" w:color="auto" w:fill="auto"/>
            <w:noWrap/>
            <w:vAlign w:val="center"/>
          </w:tcPr>
          <w:p w14:paraId="76D7E3D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0" w:type="auto"/>
            <w:shd w:val="clear" w:color="auto" w:fill="auto"/>
            <w:noWrap/>
            <w:vAlign w:val="center"/>
          </w:tcPr>
          <w:p w14:paraId="5BA4A0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w:t>
            </w:r>
          </w:p>
        </w:tc>
        <w:tc>
          <w:tcPr>
            <w:tcW w:w="0" w:type="auto"/>
            <w:shd w:val="clear" w:color="auto" w:fill="auto"/>
            <w:noWrap/>
            <w:vAlign w:val="center"/>
          </w:tcPr>
          <w:p w14:paraId="20B895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24FE5C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58050F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含人工等费用</w:t>
            </w:r>
          </w:p>
        </w:tc>
      </w:tr>
      <w:tr w14:paraId="24D00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0CD247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35</w:t>
            </w:r>
          </w:p>
        </w:tc>
        <w:tc>
          <w:tcPr>
            <w:tcW w:w="2018" w:type="dxa"/>
            <w:shd w:val="clear" w:color="auto" w:fill="auto"/>
            <w:vAlign w:val="center"/>
          </w:tcPr>
          <w:p w14:paraId="312923C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砖砌体</w:t>
            </w:r>
          </w:p>
        </w:tc>
        <w:tc>
          <w:tcPr>
            <w:tcW w:w="1368" w:type="dxa"/>
            <w:shd w:val="clear" w:color="auto" w:fill="auto"/>
            <w:vAlign w:val="center"/>
          </w:tcPr>
          <w:p w14:paraId="40084C91">
            <w:pPr>
              <w:jc w:val="center"/>
              <w:rPr>
                <w:rFonts w:hint="eastAsia" w:ascii="宋体" w:hAnsi="宋体" w:eastAsia="宋体" w:cs="宋体"/>
                <w:i w:val="0"/>
                <w:iCs w:val="0"/>
                <w:color w:val="auto"/>
                <w:sz w:val="22"/>
                <w:szCs w:val="22"/>
                <w:u w:val="none"/>
              </w:rPr>
            </w:pPr>
          </w:p>
        </w:tc>
        <w:tc>
          <w:tcPr>
            <w:tcW w:w="0" w:type="auto"/>
            <w:shd w:val="clear" w:color="auto" w:fill="auto"/>
            <w:noWrap/>
            <w:vAlign w:val="center"/>
          </w:tcPr>
          <w:p w14:paraId="1B5B93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m3</w:t>
            </w:r>
          </w:p>
        </w:tc>
        <w:tc>
          <w:tcPr>
            <w:tcW w:w="0" w:type="auto"/>
            <w:shd w:val="clear" w:color="auto" w:fill="auto"/>
            <w:noWrap/>
            <w:vAlign w:val="center"/>
          </w:tcPr>
          <w:p w14:paraId="3AB994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w:t>
            </w:r>
          </w:p>
        </w:tc>
        <w:tc>
          <w:tcPr>
            <w:tcW w:w="0" w:type="auto"/>
            <w:shd w:val="clear" w:color="auto" w:fill="auto"/>
            <w:noWrap/>
            <w:vAlign w:val="center"/>
          </w:tcPr>
          <w:p w14:paraId="312EDC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0600D3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32E03098">
            <w:pPr>
              <w:jc w:val="center"/>
              <w:rPr>
                <w:rFonts w:hint="eastAsia" w:ascii="宋体" w:hAnsi="宋体" w:eastAsia="宋体" w:cs="宋体"/>
                <w:i w:val="0"/>
                <w:iCs w:val="0"/>
                <w:color w:val="000000"/>
                <w:sz w:val="22"/>
                <w:szCs w:val="22"/>
                <w:u w:val="none"/>
              </w:rPr>
            </w:pPr>
          </w:p>
        </w:tc>
      </w:tr>
      <w:tr w14:paraId="1EE35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23FEDE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36</w:t>
            </w:r>
          </w:p>
        </w:tc>
        <w:tc>
          <w:tcPr>
            <w:tcW w:w="2018" w:type="dxa"/>
            <w:shd w:val="clear" w:color="auto" w:fill="auto"/>
            <w:vAlign w:val="center"/>
          </w:tcPr>
          <w:p w14:paraId="0F4503BA">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墙面水泥砂浆粉刷</w:t>
            </w:r>
          </w:p>
        </w:tc>
        <w:tc>
          <w:tcPr>
            <w:tcW w:w="1368" w:type="dxa"/>
            <w:shd w:val="clear" w:color="auto" w:fill="auto"/>
            <w:vAlign w:val="center"/>
          </w:tcPr>
          <w:p w14:paraId="63BDFE1E">
            <w:pPr>
              <w:jc w:val="center"/>
              <w:rPr>
                <w:rFonts w:hint="eastAsia" w:ascii="宋体" w:hAnsi="宋体" w:eastAsia="宋体" w:cs="宋体"/>
                <w:i w:val="0"/>
                <w:iCs w:val="0"/>
                <w:color w:val="auto"/>
                <w:sz w:val="22"/>
                <w:szCs w:val="22"/>
                <w:u w:val="none"/>
              </w:rPr>
            </w:pPr>
          </w:p>
        </w:tc>
        <w:tc>
          <w:tcPr>
            <w:tcW w:w="0" w:type="auto"/>
            <w:shd w:val="clear" w:color="auto" w:fill="auto"/>
            <w:noWrap/>
            <w:vAlign w:val="center"/>
          </w:tcPr>
          <w:p w14:paraId="236C5E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m2</w:t>
            </w:r>
          </w:p>
        </w:tc>
        <w:tc>
          <w:tcPr>
            <w:tcW w:w="0" w:type="auto"/>
            <w:shd w:val="clear" w:color="auto" w:fill="auto"/>
            <w:noWrap/>
            <w:vAlign w:val="center"/>
          </w:tcPr>
          <w:p w14:paraId="0FA87F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2000</w:t>
            </w:r>
          </w:p>
        </w:tc>
        <w:tc>
          <w:tcPr>
            <w:tcW w:w="0" w:type="auto"/>
            <w:shd w:val="clear" w:color="auto" w:fill="auto"/>
            <w:noWrap/>
            <w:vAlign w:val="center"/>
          </w:tcPr>
          <w:p w14:paraId="0FBF86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3BC8B7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1DEAA8D7">
            <w:pPr>
              <w:jc w:val="center"/>
              <w:rPr>
                <w:rFonts w:hint="eastAsia" w:ascii="宋体" w:hAnsi="宋体" w:eastAsia="宋体" w:cs="宋体"/>
                <w:i w:val="0"/>
                <w:iCs w:val="0"/>
                <w:color w:val="000000"/>
                <w:sz w:val="22"/>
                <w:szCs w:val="22"/>
                <w:u w:val="none"/>
              </w:rPr>
            </w:pPr>
          </w:p>
        </w:tc>
      </w:tr>
      <w:tr w14:paraId="34D29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01ACF1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37</w:t>
            </w:r>
          </w:p>
        </w:tc>
        <w:tc>
          <w:tcPr>
            <w:tcW w:w="2018" w:type="dxa"/>
            <w:shd w:val="clear" w:color="auto" w:fill="auto"/>
            <w:vAlign w:val="center"/>
          </w:tcPr>
          <w:p w14:paraId="7CAE17B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花岗岩石球</w:t>
            </w:r>
          </w:p>
        </w:tc>
        <w:tc>
          <w:tcPr>
            <w:tcW w:w="1368" w:type="dxa"/>
            <w:shd w:val="clear" w:color="auto" w:fill="auto"/>
            <w:vAlign w:val="center"/>
          </w:tcPr>
          <w:p w14:paraId="5528F827">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D500（采购、运输及安装）</w:t>
            </w:r>
          </w:p>
        </w:tc>
        <w:tc>
          <w:tcPr>
            <w:tcW w:w="0" w:type="auto"/>
            <w:shd w:val="clear" w:color="auto" w:fill="auto"/>
            <w:noWrap/>
            <w:vAlign w:val="center"/>
          </w:tcPr>
          <w:p w14:paraId="7DE915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shd w:val="clear" w:color="auto" w:fill="auto"/>
            <w:noWrap/>
            <w:vAlign w:val="center"/>
          </w:tcPr>
          <w:p w14:paraId="0705D55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shd w:val="clear" w:color="auto" w:fill="auto"/>
            <w:noWrap/>
            <w:vAlign w:val="center"/>
          </w:tcPr>
          <w:p w14:paraId="2D5BD6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0F7822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32BA6146">
            <w:pPr>
              <w:jc w:val="center"/>
              <w:rPr>
                <w:rFonts w:hint="eastAsia" w:ascii="宋体" w:hAnsi="宋体" w:eastAsia="宋体" w:cs="宋体"/>
                <w:i w:val="0"/>
                <w:iCs w:val="0"/>
                <w:color w:val="000000"/>
                <w:sz w:val="22"/>
                <w:szCs w:val="22"/>
                <w:u w:val="none"/>
              </w:rPr>
            </w:pPr>
          </w:p>
        </w:tc>
      </w:tr>
      <w:tr w14:paraId="10182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87" w:hRule="atLeast"/>
        </w:trPr>
        <w:tc>
          <w:tcPr>
            <w:tcW w:w="0" w:type="auto"/>
            <w:shd w:val="clear" w:color="auto" w:fill="auto"/>
            <w:noWrap/>
            <w:vAlign w:val="center"/>
          </w:tcPr>
          <w:p w14:paraId="2A83A78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38</w:t>
            </w:r>
          </w:p>
        </w:tc>
        <w:tc>
          <w:tcPr>
            <w:tcW w:w="2018" w:type="dxa"/>
            <w:shd w:val="clear" w:color="auto" w:fill="auto"/>
            <w:vAlign w:val="center"/>
          </w:tcPr>
          <w:p w14:paraId="4CC8877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花岗岩石球</w:t>
            </w:r>
          </w:p>
        </w:tc>
        <w:tc>
          <w:tcPr>
            <w:tcW w:w="1368" w:type="dxa"/>
            <w:shd w:val="clear" w:color="auto" w:fill="auto"/>
            <w:vAlign w:val="center"/>
          </w:tcPr>
          <w:p w14:paraId="3EE4C619">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D600（采购、运输及安装）</w:t>
            </w:r>
          </w:p>
        </w:tc>
        <w:tc>
          <w:tcPr>
            <w:tcW w:w="0" w:type="auto"/>
            <w:shd w:val="clear" w:color="auto" w:fill="auto"/>
            <w:noWrap/>
            <w:vAlign w:val="center"/>
          </w:tcPr>
          <w:p w14:paraId="5BD21F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个</w:t>
            </w:r>
          </w:p>
        </w:tc>
        <w:tc>
          <w:tcPr>
            <w:tcW w:w="0" w:type="auto"/>
            <w:shd w:val="clear" w:color="auto" w:fill="auto"/>
            <w:noWrap/>
            <w:vAlign w:val="center"/>
          </w:tcPr>
          <w:p w14:paraId="335722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0" w:type="auto"/>
            <w:shd w:val="clear" w:color="auto" w:fill="auto"/>
            <w:noWrap/>
            <w:vAlign w:val="center"/>
          </w:tcPr>
          <w:p w14:paraId="5314EF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F8725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550CC696">
            <w:pPr>
              <w:jc w:val="center"/>
              <w:rPr>
                <w:rFonts w:hint="eastAsia" w:ascii="宋体" w:hAnsi="宋体" w:eastAsia="宋体" w:cs="宋体"/>
                <w:i w:val="0"/>
                <w:iCs w:val="0"/>
                <w:color w:val="000000"/>
                <w:sz w:val="22"/>
                <w:szCs w:val="22"/>
                <w:u w:val="none"/>
              </w:rPr>
            </w:pPr>
          </w:p>
        </w:tc>
      </w:tr>
      <w:tr w14:paraId="7A980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9" w:hRule="atLeast"/>
        </w:trPr>
        <w:tc>
          <w:tcPr>
            <w:tcW w:w="0" w:type="auto"/>
            <w:shd w:val="clear" w:color="auto" w:fill="auto"/>
            <w:noWrap/>
            <w:vAlign w:val="center"/>
          </w:tcPr>
          <w:p w14:paraId="1176CD3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39</w:t>
            </w:r>
          </w:p>
        </w:tc>
        <w:tc>
          <w:tcPr>
            <w:tcW w:w="2018" w:type="dxa"/>
            <w:shd w:val="clear" w:color="auto" w:fill="auto"/>
            <w:vAlign w:val="center"/>
          </w:tcPr>
          <w:p w14:paraId="51C6AD75">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拒马</w:t>
            </w:r>
          </w:p>
        </w:tc>
        <w:tc>
          <w:tcPr>
            <w:tcW w:w="1368" w:type="dxa"/>
            <w:shd w:val="clear" w:color="auto" w:fill="auto"/>
            <w:vAlign w:val="center"/>
          </w:tcPr>
          <w:p w14:paraId="6A0A84E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外框89圆*1.5mm厚，立杆50*1.5mm钢管，带反光贴，万向轮</w:t>
            </w:r>
          </w:p>
        </w:tc>
        <w:tc>
          <w:tcPr>
            <w:tcW w:w="0" w:type="auto"/>
            <w:shd w:val="clear" w:color="auto" w:fill="auto"/>
            <w:noWrap/>
            <w:vAlign w:val="center"/>
          </w:tcPr>
          <w:p w14:paraId="4312A6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m</w:t>
            </w:r>
          </w:p>
        </w:tc>
        <w:tc>
          <w:tcPr>
            <w:tcW w:w="0" w:type="auto"/>
            <w:shd w:val="clear" w:color="auto" w:fill="auto"/>
            <w:noWrap/>
            <w:vAlign w:val="center"/>
          </w:tcPr>
          <w:p w14:paraId="61651B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0" w:type="auto"/>
            <w:shd w:val="clear" w:color="auto" w:fill="auto"/>
            <w:noWrap/>
            <w:vAlign w:val="center"/>
          </w:tcPr>
          <w:p w14:paraId="02233B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6AEB96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6FCC0ED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3000*1200*700（长*高*底宽）</w:t>
            </w:r>
          </w:p>
        </w:tc>
      </w:tr>
      <w:tr w14:paraId="54B67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1269" w:hRule="atLeast"/>
        </w:trPr>
        <w:tc>
          <w:tcPr>
            <w:tcW w:w="0" w:type="auto"/>
            <w:shd w:val="clear" w:color="auto" w:fill="auto"/>
            <w:noWrap/>
            <w:vAlign w:val="center"/>
          </w:tcPr>
          <w:p w14:paraId="2A2717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40</w:t>
            </w:r>
          </w:p>
        </w:tc>
        <w:tc>
          <w:tcPr>
            <w:tcW w:w="2018" w:type="dxa"/>
            <w:shd w:val="clear" w:color="auto" w:fill="auto"/>
            <w:vAlign w:val="center"/>
          </w:tcPr>
          <w:p w14:paraId="1BB4B5FE">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暂列金</w:t>
            </w:r>
          </w:p>
        </w:tc>
        <w:tc>
          <w:tcPr>
            <w:tcW w:w="1368" w:type="dxa"/>
            <w:shd w:val="clear" w:color="auto" w:fill="auto"/>
            <w:vAlign w:val="center"/>
          </w:tcPr>
          <w:p w14:paraId="25319E8C">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本项为不可竞争费</w:t>
            </w:r>
          </w:p>
        </w:tc>
        <w:tc>
          <w:tcPr>
            <w:tcW w:w="0" w:type="auto"/>
            <w:shd w:val="clear" w:color="auto" w:fill="auto"/>
            <w:noWrap/>
            <w:vAlign w:val="center"/>
          </w:tcPr>
          <w:p w14:paraId="1A8ED9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项</w:t>
            </w:r>
          </w:p>
        </w:tc>
        <w:tc>
          <w:tcPr>
            <w:tcW w:w="0" w:type="auto"/>
            <w:shd w:val="clear" w:color="auto" w:fill="auto"/>
            <w:noWrap/>
            <w:vAlign w:val="center"/>
          </w:tcPr>
          <w:p w14:paraId="34EDFA2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0" w:type="auto"/>
            <w:shd w:val="clear" w:color="auto" w:fill="auto"/>
            <w:noWrap/>
            <w:vAlign w:val="center"/>
          </w:tcPr>
          <w:p w14:paraId="5B198F58">
            <w:pPr>
              <w:jc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12DF1F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200000.00 </w:t>
            </w:r>
          </w:p>
        </w:tc>
        <w:tc>
          <w:tcPr>
            <w:tcW w:w="1428" w:type="dxa"/>
            <w:shd w:val="clear" w:color="auto" w:fill="auto"/>
            <w:vAlign w:val="center"/>
          </w:tcPr>
          <w:p w14:paraId="1F0F7FF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需由甲方提供联系单，</w:t>
            </w:r>
            <w:r>
              <w:rPr>
                <w:rFonts w:hint="eastAsia" w:ascii="宋体" w:hAnsi="宋体" w:cs="宋体"/>
                <w:i w:val="0"/>
                <w:iCs w:val="0"/>
                <w:color w:val="000000"/>
                <w:kern w:val="0"/>
                <w:sz w:val="22"/>
                <w:szCs w:val="22"/>
                <w:u w:val="none"/>
                <w:lang w:val="en-US" w:eastAsia="zh-CN" w:bidi="ar"/>
              </w:rPr>
              <w:t>并在</w:t>
            </w:r>
            <w:r>
              <w:rPr>
                <w:rFonts w:hint="eastAsia" w:ascii="宋体" w:hAnsi="宋体" w:eastAsia="宋体" w:cs="宋体"/>
                <w:i w:val="0"/>
                <w:iCs w:val="0"/>
                <w:color w:val="000000"/>
                <w:kern w:val="0"/>
                <w:sz w:val="22"/>
                <w:szCs w:val="22"/>
                <w:u w:val="none"/>
                <w:lang w:val="en-US" w:eastAsia="zh-CN" w:bidi="ar"/>
              </w:rPr>
              <w:t>甲方负责人签字后按签证格式流转</w:t>
            </w:r>
          </w:p>
        </w:tc>
      </w:tr>
      <w:tr w14:paraId="2F1FC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95" w:hRule="atLeast"/>
        </w:trPr>
        <w:tc>
          <w:tcPr>
            <w:tcW w:w="0" w:type="auto"/>
            <w:shd w:val="clear" w:color="auto" w:fill="auto"/>
            <w:noWrap/>
            <w:vAlign w:val="center"/>
          </w:tcPr>
          <w:p w14:paraId="721708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41</w:t>
            </w:r>
          </w:p>
        </w:tc>
        <w:tc>
          <w:tcPr>
            <w:tcW w:w="2018" w:type="dxa"/>
            <w:shd w:val="clear" w:color="auto" w:fill="auto"/>
            <w:vAlign w:val="center"/>
          </w:tcPr>
          <w:p w14:paraId="0A2F5E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合计</w:t>
            </w:r>
          </w:p>
        </w:tc>
        <w:tc>
          <w:tcPr>
            <w:tcW w:w="1368" w:type="dxa"/>
            <w:shd w:val="clear" w:color="auto" w:fill="auto"/>
            <w:vAlign w:val="center"/>
          </w:tcPr>
          <w:p w14:paraId="5C14C331">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66EF1359">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60B8AC24">
            <w:pPr>
              <w:jc w:val="center"/>
              <w:rPr>
                <w:rFonts w:hint="eastAsia" w:ascii="宋体" w:hAnsi="宋体" w:eastAsia="宋体" w:cs="宋体"/>
                <w:i w:val="0"/>
                <w:iCs w:val="0"/>
                <w:color w:val="000000"/>
                <w:sz w:val="22"/>
                <w:szCs w:val="22"/>
                <w:u w:val="none"/>
              </w:rPr>
            </w:pPr>
          </w:p>
        </w:tc>
        <w:tc>
          <w:tcPr>
            <w:tcW w:w="0" w:type="auto"/>
            <w:shd w:val="clear" w:color="auto" w:fill="auto"/>
            <w:noWrap/>
            <w:vAlign w:val="center"/>
          </w:tcPr>
          <w:p w14:paraId="602FDC67">
            <w:pPr>
              <w:jc w:val="center"/>
              <w:rPr>
                <w:rFonts w:hint="eastAsia" w:ascii="宋体" w:hAnsi="宋体" w:eastAsia="宋体" w:cs="宋体"/>
                <w:i w:val="0"/>
                <w:iCs w:val="0"/>
                <w:color w:val="000000"/>
                <w:sz w:val="22"/>
                <w:szCs w:val="22"/>
                <w:u w:val="none"/>
              </w:rPr>
            </w:pPr>
          </w:p>
        </w:tc>
        <w:tc>
          <w:tcPr>
            <w:tcW w:w="1243" w:type="dxa"/>
            <w:shd w:val="clear" w:color="auto" w:fill="auto"/>
            <w:vAlign w:val="center"/>
          </w:tcPr>
          <w:p w14:paraId="7EEFE3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p>
        </w:tc>
        <w:tc>
          <w:tcPr>
            <w:tcW w:w="1428" w:type="dxa"/>
            <w:shd w:val="clear" w:color="auto" w:fill="auto"/>
            <w:vAlign w:val="center"/>
          </w:tcPr>
          <w:p w14:paraId="4418C81B">
            <w:pPr>
              <w:jc w:val="center"/>
              <w:rPr>
                <w:rFonts w:hint="eastAsia" w:ascii="宋体" w:hAnsi="宋体" w:eastAsia="宋体" w:cs="宋体"/>
                <w:i w:val="0"/>
                <w:iCs w:val="0"/>
                <w:color w:val="000000"/>
                <w:sz w:val="22"/>
                <w:szCs w:val="22"/>
                <w:u w:val="none"/>
              </w:rPr>
            </w:pPr>
          </w:p>
        </w:tc>
      </w:tr>
    </w:tbl>
    <w:p w14:paraId="3571FC94">
      <w:pPr>
        <w:widowControl w:val="0"/>
        <w:ind w:left="0" w:leftChars="0" w:firstLine="0" w:firstLineChars="0"/>
        <w:jc w:val="both"/>
        <w:rPr>
          <w:rFonts w:hint="eastAsia" w:ascii="宋体" w:hAnsi="宋体" w:eastAsia="宋体" w:cs="Times New Roman"/>
          <w:color w:val="auto"/>
          <w:sz w:val="24"/>
          <w:szCs w:val="24"/>
          <w:highlight w:val="none"/>
          <w:lang w:val="en-US" w:eastAsia="zh-CN" w:bidi="ar-SA"/>
        </w:rPr>
      </w:pPr>
    </w:p>
    <w:p w14:paraId="1D7B5D37">
      <w:pPr>
        <w:widowControl w:val="0"/>
        <w:ind w:firstLine="0"/>
        <w:jc w:val="both"/>
        <w:rPr>
          <w:rFonts w:hint="eastAsia" w:ascii="宋体" w:hAnsi="宋体" w:eastAsia="宋体" w:cs="Times New Roman"/>
          <w:color w:val="auto"/>
          <w:sz w:val="24"/>
          <w:szCs w:val="24"/>
          <w:highlight w:val="none"/>
          <w:lang w:val="en-US" w:eastAsia="zh-CN" w:bidi="ar-SA"/>
        </w:rPr>
      </w:pPr>
    </w:p>
    <w:p w14:paraId="3ED7F1D1">
      <w:pPr>
        <w:spacing w:line="400" w:lineRule="exact"/>
        <w:ind w:firstLine="360" w:firstLineChars="150"/>
        <w:rPr>
          <w:rFonts w:hint="eastAsia" w:ascii="Times New Roman" w:hAnsi="Times New Roman" w:eastAsia="宋体" w:cs="Times New Roman"/>
          <w:highlight w:val="none"/>
        </w:rPr>
      </w:pPr>
      <w:r>
        <w:rPr>
          <w:rFonts w:hint="eastAsia" w:ascii="宋体" w:hAnsi="宋体" w:eastAsia="宋体" w:cs="宋体"/>
          <w:sz w:val="24"/>
          <w:highlight w:val="none"/>
        </w:rPr>
        <w:t>注：</w:t>
      </w:r>
    </w:p>
    <w:p w14:paraId="6999345B">
      <w:pPr>
        <w:spacing w:line="400" w:lineRule="exact"/>
        <w:ind w:firstLine="360" w:firstLineChars="150"/>
        <w:rPr>
          <w:rFonts w:hint="eastAsia" w:ascii="宋体" w:hAnsi="宋体" w:eastAsia="宋体" w:cs="宋体"/>
          <w:sz w:val="24"/>
          <w:highlight w:val="none"/>
        </w:rPr>
      </w:pPr>
      <w:r>
        <w:rPr>
          <w:rFonts w:hint="eastAsia" w:ascii="宋体" w:hAnsi="宋体" w:eastAsia="宋体" w:cs="宋体"/>
          <w:sz w:val="24"/>
          <w:highlight w:val="none"/>
        </w:rPr>
        <w:t>（1）投标人应当根据“采购需求”的内容在上表中详细填写；</w:t>
      </w:r>
    </w:p>
    <w:p w14:paraId="7791FCA7">
      <w:pPr>
        <w:spacing w:line="400" w:lineRule="exact"/>
        <w:ind w:firstLine="360" w:firstLineChars="150"/>
        <w:rPr>
          <w:rFonts w:hint="eastAsia" w:ascii="宋体" w:hAnsi="宋体" w:eastAsia="宋体" w:cs="宋体"/>
          <w:sz w:val="24"/>
          <w:highlight w:val="none"/>
          <w:lang w:eastAsia="zh-CN"/>
        </w:rPr>
      </w:pPr>
      <w:r>
        <w:rPr>
          <w:rFonts w:hint="eastAsia" w:ascii="宋体" w:hAnsi="宋体" w:eastAsia="宋体" w:cs="宋体"/>
          <w:sz w:val="24"/>
          <w:highlight w:val="none"/>
        </w:rPr>
        <w:t>（2）上述表格如有不尽之处，投标人必须自行添加相应内容并填写完善</w:t>
      </w:r>
      <w:r>
        <w:rPr>
          <w:rFonts w:hint="eastAsia" w:ascii="宋体" w:hAnsi="宋体" w:eastAsia="宋体" w:cs="宋体"/>
          <w:sz w:val="24"/>
          <w:highlight w:val="none"/>
          <w:lang w:eastAsia="zh-CN"/>
        </w:rPr>
        <w:t>；</w:t>
      </w:r>
    </w:p>
    <w:p w14:paraId="4B10E4B9">
      <w:pPr>
        <w:spacing w:line="400" w:lineRule="exact"/>
        <w:ind w:firstLine="360" w:firstLineChars="150"/>
        <w:rPr>
          <w:rFonts w:hint="eastAsia" w:ascii="宋体" w:hAnsi="宋体" w:eastAsia="宋体" w:cs="Times New Roman"/>
          <w:color w:val="auto"/>
          <w:sz w:val="24"/>
          <w:highlight w:val="none"/>
        </w:rPr>
      </w:pPr>
      <w:r>
        <w:rPr>
          <w:rFonts w:hint="eastAsia" w:ascii="宋体" w:hAnsi="宋体" w:eastAsia="宋体" w:cs="宋体"/>
          <w:sz w:val="24"/>
          <w:highlight w:val="none"/>
        </w:rPr>
        <w:t>（3）表格不够可自行延长。</w:t>
      </w:r>
    </w:p>
    <w:p w14:paraId="543D2472">
      <w:pPr>
        <w:spacing w:line="48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供应商（盖章）：</w:t>
      </w:r>
    </w:p>
    <w:p w14:paraId="48AC0AAC">
      <w:pPr>
        <w:spacing w:line="480" w:lineRule="auto"/>
        <w:rPr>
          <w:rFonts w:hint="eastAsia" w:ascii="宋体" w:hAnsi="宋体" w:eastAsia="宋体" w:cs="Times New Roman"/>
          <w:bCs/>
          <w:color w:val="auto"/>
          <w:sz w:val="24"/>
          <w:highlight w:val="none"/>
        </w:rPr>
      </w:pPr>
      <w:r>
        <w:rPr>
          <w:rFonts w:hint="eastAsia" w:ascii="宋体" w:hAnsi="宋体" w:eastAsia="宋体" w:cs="Times New Roman"/>
          <w:bCs/>
          <w:color w:val="auto"/>
          <w:sz w:val="24"/>
          <w:highlight w:val="none"/>
        </w:rPr>
        <w:t>法定代表人或授权代表签字或盖章：</w:t>
      </w:r>
    </w:p>
    <w:p w14:paraId="438E63E7">
      <w:pPr>
        <w:rPr>
          <w:rFonts w:hint="eastAsia" w:ascii="黑体" w:hAnsi="宋体" w:eastAsia="黑体" w:cs="Times New Roman"/>
          <w:bCs/>
          <w:color w:val="auto"/>
          <w:sz w:val="24"/>
          <w:szCs w:val="24"/>
          <w:highlight w:val="none"/>
        </w:rPr>
      </w:pPr>
      <w:r>
        <w:rPr>
          <w:rFonts w:hint="eastAsia" w:ascii="宋体" w:hAnsi="宋体" w:eastAsia="宋体" w:cs="Times New Roman"/>
          <w:bCs/>
          <w:color w:val="auto"/>
          <w:sz w:val="24"/>
          <w:highlight w:val="none"/>
        </w:rPr>
        <w:t>日期：</w:t>
      </w:r>
      <w:r>
        <w:rPr>
          <w:rFonts w:hint="eastAsia" w:ascii="黑体" w:hAnsi="宋体" w:eastAsia="黑体" w:cs="Times New Roman"/>
          <w:bCs/>
          <w:color w:val="auto"/>
          <w:sz w:val="24"/>
          <w:szCs w:val="24"/>
          <w:highlight w:val="none"/>
        </w:rPr>
        <w:br w:type="page" w:clear="all"/>
      </w:r>
    </w:p>
    <w:p w14:paraId="360E4423">
      <w:pPr>
        <w:spacing w:line="480" w:lineRule="auto"/>
        <w:rPr>
          <w:rFonts w:ascii="黑体" w:hAnsi="Times New Roman" w:eastAsia="黑体" w:cs="Times New Roman"/>
          <w:bCs/>
          <w:color w:val="auto"/>
          <w:sz w:val="28"/>
          <w:szCs w:val="28"/>
          <w:highlight w:val="none"/>
        </w:rPr>
      </w:pPr>
      <w:r>
        <w:rPr>
          <w:rFonts w:hint="eastAsia" w:ascii="黑体" w:hAnsi="宋体" w:eastAsia="黑体" w:cs="Times New Roman"/>
          <w:bCs/>
          <w:color w:val="auto"/>
          <w:sz w:val="24"/>
          <w:szCs w:val="24"/>
          <w:highlight w:val="none"/>
        </w:rPr>
        <w:t>（九）投标偏离表（格式）：</w:t>
      </w:r>
    </w:p>
    <w:p w14:paraId="2E11E114">
      <w:pPr>
        <w:ind w:firstLine="490"/>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投标偏离表</w:t>
      </w:r>
    </w:p>
    <w:p w14:paraId="6564100B">
      <w:pPr>
        <w:spacing w:line="400" w:lineRule="exact"/>
        <w:jc w:val="center"/>
        <w:rPr>
          <w:rFonts w:ascii="黑体" w:hAnsi="Times New Roman" w:eastAsia="黑体" w:cs="Times New Roman"/>
          <w:bCs/>
          <w:color w:val="auto"/>
          <w:sz w:val="28"/>
          <w:szCs w:val="28"/>
          <w:highlight w:val="none"/>
        </w:rPr>
      </w:pPr>
    </w:p>
    <w:p w14:paraId="1E10A6B4">
      <w:pPr>
        <w:spacing w:line="400" w:lineRule="exact"/>
        <w:rPr>
          <w:rFonts w:hint="eastAsia" w:ascii="黑体" w:hAnsi="Times New Roman" w:eastAsia="黑体" w:cs="Times New Roman"/>
          <w:bCs/>
          <w:color w:val="auto"/>
          <w:sz w:val="24"/>
          <w:szCs w:val="24"/>
          <w:highlight w:val="none"/>
          <w:lang w:eastAsia="zh-CN"/>
        </w:rPr>
      </w:pPr>
      <w:r>
        <w:rPr>
          <w:rFonts w:hint="eastAsia" w:ascii="黑体" w:hAnsi="Times New Roman" w:eastAsia="黑体" w:cs="Times New Roman"/>
          <w:bCs/>
          <w:color w:val="auto"/>
          <w:sz w:val="24"/>
          <w:szCs w:val="24"/>
          <w:highlight w:val="none"/>
        </w:rPr>
        <w:t>投标人名称（盖章）     采购项目编号：</w:t>
      </w:r>
      <w:r>
        <w:rPr>
          <w:rFonts w:hint="eastAsia" w:ascii="黑体" w:eastAsia="黑体" w:cs="Times New Roman"/>
          <w:bCs/>
          <w:color w:val="auto"/>
          <w:sz w:val="24"/>
          <w:szCs w:val="24"/>
          <w:highlight w:val="none"/>
          <w:lang w:eastAsia="zh-CN"/>
        </w:rPr>
        <w:t>JSZC-320214-WXZH-G2026-0004</w:t>
      </w:r>
    </w:p>
    <w:tbl>
      <w:tblPr>
        <w:tblStyle w:val="43"/>
        <w:tblW w:w="0" w:type="auto"/>
        <w:tblInd w:w="-15" w:type="dxa"/>
        <w:tblLayout w:type="fixed"/>
        <w:tblCellMar>
          <w:top w:w="15" w:type="dxa"/>
          <w:left w:w="15" w:type="dxa"/>
          <w:bottom w:w="0" w:type="dxa"/>
          <w:right w:w="15" w:type="dxa"/>
        </w:tblCellMar>
      </w:tblPr>
      <w:tblGrid>
        <w:gridCol w:w="1905"/>
        <w:gridCol w:w="2835"/>
        <w:gridCol w:w="2835"/>
        <w:gridCol w:w="2310"/>
      </w:tblGrid>
      <w:tr w14:paraId="3EE8A997">
        <w:tblPrEx>
          <w:tblCellMar>
            <w:top w:w="15" w:type="dxa"/>
            <w:left w:w="15" w:type="dxa"/>
            <w:bottom w:w="0" w:type="dxa"/>
            <w:right w:w="15" w:type="dxa"/>
          </w:tblCellMar>
        </w:tblPrEx>
        <w:trPr>
          <w:cantSplit/>
          <w:trHeight w:val="555"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B635AF7">
            <w:pPr>
              <w:jc w:val="center"/>
              <w:rPr>
                <w:rFonts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89DD945">
            <w:pPr>
              <w:jc w:val="center"/>
              <w:rPr>
                <w:rFonts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CE942F6">
            <w:pPr>
              <w:jc w:val="center"/>
              <w:rPr>
                <w:rFonts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0F02E9DA">
            <w:pPr>
              <w:jc w:val="center"/>
              <w:rPr>
                <w:rFonts w:ascii="宋体" w:hAnsi="Times New Roman"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偏离说明</w:t>
            </w:r>
          </w:p>
        </w:tc>
      </w:tr>
      <w:tr w14:paraId="11EC57F2">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C1A5D7F">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91F5F95">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4596F00">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E9F18F0">
            <w:pPr>
              <w:jc w:val="center"/>
              <w:rPr>
                <w:rFonts w:ascii="宋体" w:hAnsi="Times New Roman" w:eastAsia="宋体" w:cs="Times New Roman"/>
                <w:bCs/>
                <w:color w:val="auto"/>
                <w:highlight w:val="none"/>
              </w:rPr>
            </w:pPr>
          </w:p>
        </w:tc>
      </w:tr>
      <w:tr w14:paraId="7102D0E8">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0DA1394">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ADA8F71">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BEB7997">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41B3479">
            <w:pPr>
              <w:jc w:val="center"/>
              <w:rPr>
                <w:rFonts w:ascii="宋体" w:hAnsi="Times New Roman" w:eastAsia="宋体" w:cs="Times New Roman"/>
                <w:bCs/>
                <w:color w:val="auto"/>
                <w:highlight w:val="none"/>
              </w:rPr>
            </w:pPr>
          </w:p>
        </w:tc>
      </w:tr>
      <w:tr w14:paraId="79E4F03B">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6C231A97">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42DE3B4">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972171C">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59F123CB">
            <w:pPr>
              <w:jc w:val="center"/>
              <w:rPr>
                <w:rFonts w:ascii="宋体" w:hAnsi="Times New Roman" w:eastAsia="宋体" w:cs="Times New Roman"/>
                <w:bCs/>
                <w:color w:val="auto"/>
                <w:highlight w:val="none"/>
              </w:rPr>
            </w:pPr>
          </w:p>
        </w:tc>
      </w:tr>
      <w:tr w14:paraId="7482635D">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ED4BE26">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D428E14">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693BC066">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23548561">
            <w:pPr>
              <w:jc w:val="center"/>
              <w:rPr>
                <w:rFonts w:ascii="宋体" w:hAnsi="Times New Roman" w:eastAsia="宋体" w:cs="Times New Roman"/>
                <w:bCs/>
                <w:color w:val="auto"/>
                <w:highlight w:val="none"/>
              </w:rPr>
            </w:pPr>
          </w:p>
        </w:tc>
      </w:tr>
      <w:tr w14:paraId="48A991E1">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306456F">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5695ABB9">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D38894C">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792E4E88">
            <w:pPr>
              <w:jc w:val="center"/>
              <w:rPr>
                <w:rFonts w:ascii="宋体" w:hAnsi="Times New Roman" w:eastAsia="宋体" w:cs="Times New Roman"/>
                <w:bCs/>
                <w:color w:val="auto"/>
                <w:highlight w:val="none"/>
              </w:rPr>
            </w:pPr>
          </w:p>
        </w:tc>
      </w:tr>
      <w:tr w14:paraId="66D43AE4">
        <w:tblPrEx>
          <w:tblCellMar>
            <w:top w:w="15" w:type="dxa"/>
            <w:left w:w="15" w:type="dxa"/>
            <w:bottom w:w="0" w:type="dxa"/>
            <w:right w:w="15" w:type="dxa"/>
          </w:tblCellMar>
        </w:tblPrEx>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EE420E6">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396E2BEA">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21507207">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0C5A8A5">
            <w:pPr>
              <w:jc w:val="center"/>
              <w:rPr>
                <w:rFonts w:ascii="宋体" w:hAnsi="Times New Roman" w:eastAsia="宋体" w:cs="Times New Roman"/>
                <w:bCs/>
                <w:color w:val="auto"/>
                <w:highlight w:val="none"/>
              </w:rPr>
            </w:pPr>
          </w:p>
        </w:tc>
      </w:tr>
      <w:tr w14:paraId="0EAFA1E1">
        <w:trPr>
          <w:cantSplit/>
          <w:trHeight w:val="510" w:hRule="atLeast"/>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A7C0B80">
            <w:pPr>
              <w:jc w:val="cente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14A254E2">
            <w:pPr>
              <w:rPr>
                <w:rFonts w:ascii="宋体" w:hAnsi="Times New Roman" w:eastAsia="宋体" w:cs="Times New Roman"/>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ign w:val="center"/>
          </w:tcPr>
          <w:p w14:paraId="468C3A14">
            <w:pPr>
              <w:jc w:val="center"/>
              <w:rPr>
                <w:rFonts w:ascii="宋体" w:hAnsi="Times New Roman" w:eastAsia="宋体" w:cs="Times New Roman"/>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ign w:val="center"/>
          </w:tcPr>
          <w:p w14:paraId="19BEFB4A">
            <w:pPr>
              <w:jc w:val="center"/>
              <w:rPr>
                <w:rFonts w:ascii="宋体" w:hAnsi="Times New Roman" w:eastAsia="宋体" w:cs="Times New Roman"/>
                <w:bCs/>
                <w:color w:val="auto"/>
                <w:highlight w:val="none"/>
              </w:rPr>
            </w:pPr>
          </w:p>
        </w:tc>
      </w:tr>
    </w:tbl>
    <w:p w14:paraId="1F7B94B8">
      <w:pPr>
        <w:rPr>
          <w:rFonts w:ascii="宋体" w:hAnsi="Times New Roman" w:eastAsia="宋体" w:cs="Times New Roman"/>
          <w:b/>
          <w:color w:val="auto"/>
          <w:sz w:val="24"/>
          <w:szCs w:val="24"/>
          <w:highlight w:val="none"/>
        </w:rPr>
      </w:pPr>
    </w:p>
    <w:p w14:paraId="76A3812B">
      <w:pPr>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法定代表人或法定代表人授权代表签字或盖章：</w:t>
      </w:r>
    </w:p>
    <w:p w14:paraId="22065D3D">
      <w:pPr>
        <w:rPr>
          <w:rFonts w:ascii="宋体" w:hAnsi="Times New Roman" w:eastAsia="宋体" w:cs="Times New Roman"/>
          <w:bCs/>
          <w:color w:val="auto"/>
          <w:sz w:val="30"/>
          <w:highlight w:val="none"/>
        </w:rPr>
      </w:pPr>
    </w:p>
    <w:p w14:paraId="4DEB24A3">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注：（</w:t>
      </w:r>
      <w:r>
        <w:rPr>
          <w:rFonts w:ascii="宋体" w:hAnsi="宋体" w:eastAsia="宋体" w:cs="Times New Roman"/>
          <w:bCs/>
          <w:color w:val="auto"/>
          <w:sz w:val="24"/>
          <w:szCs w:val="24"/>
          <w:highlight w:val="none"/>
        </w:rPr>
        <w:t>1</w:t>
      </w:r>
      <w:r>
        <w:rPr>
          <w:rFonts w:hint="eastAsia" w:ascii="宋体" w:hAnsi="宋体" w:eastAsia="宋体" w:cs="Times New Roman"/>
          <w:bCs/>
          <w:color w:val="auto"/>
          <w:sz w:val="24"/>
          <w:szCs w:val="24"/>
          <w:highlight w:val="none"/>
        </w:rPr>
        <w:t>）本表不得删除；</w:t>
      </w:r>
    </w:p>
    <w:p w14:paraId="2215B5D9">
      <w:pPr>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w:t>
      </w:r>
      <w:r>
        <w:rPr>
          <w:rFonts w:ascii="宋体" w:hAnsi="宋体" w:eastAsia="宋体" w:cs="Times New Roman"/>
          <w:bCs/>
          <w:color w:val="auto"/>
          <w:sz w:val="24"/>
          <w:szCs w:val="24"/>
          <w:highlight w:val="none"/>
        </w:rPr>
        <w:t>2</w:t>
      </w:r>
      <w:r>
        <w:rPr>
          <w:rFonts w:hint="eastAsia" w:ascii="宋体" w:hAnsi="宋体" w:eastAsia="宋体" w:cs="Times New Roman"/>
          <w:bCs/>
          <w:color w:val="auto"/>
          <w:sz w:val="24"/>
          <w:szCs w:val="24"/>
          <w:highlight w:val="none"/>
        </w:rPr>
        <w:t>）如无任何服务偏离，请于本表“偏离说明”中注明“无偏离”；</w:t>
      </w:r>
    </w:p>
    <w:p w14:paraId="3C6EE21A">
      <w:pPr>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（3）如有服务偏离项，请于本表中列明偏离内容，如需要可自行延长，其余无偏离内容</w:t>
      </w:r>
      <w:r>
        <w:rPr>
          <w:rFonts w:hint="eastAsia" w:ascii="宋体" w:hAnsi="宋体" w:cs="Times New Roman"/>
          <w:bCs/>
          <w:color w:val="auto"/>
          <w:sz w:val="24"/>
          <w:szCs w:val="24"/>
          <w:highlight w:val="none"/>
          <w:lang w:eastAsia="zh-CN"/>
        </w:rPr>
        <w:t>无需</w:t>
      </w:r>
      <w:r>
        <w:rPr>
          <w:rFonts w:hint="eastAsia" w:ascii="宋体" w:hAnsi="宋体" w:eastAsia="宋体" w:cs="Times New Roman"/>
          <w:bCs/>
          <w:color w:val="auto"/>
          <w:sz w:val="24"/>
          <w:szCs w:val="24"/>
          <w:highlight w:val="none"/>
        </w:rPr>
        <w:t>赘述。</w:t>
      </w:r>
    </w:p>
    <w:p w14:paraId="0563223E">
      <w:pPr>
        <w:ind w:firstLine="420"/>
        <w:rPr>
          <w:rFonts w:hint="eastAsia" w:ascii="黑体" w:hAnsi="宋体" w:eastAsia="黑体" w:cs="Times New Roman"/>
          <w:bCs/>
          <w:color w:val="auto"/>
          <w:sz w:val="24"/>
          <w:szCs w:val="24"/>
          <w:highlight w:val="none"/>
        </w:rPr>
      </w:pPr>
    </w:p>
    <w:p w14:paraId="2A13EFB3">
      <w:pPr>
        <w:ind w:firstLine="420"/>
        <w:rPr>
          <w:rFonts w:hint="eastAsia" w:ascii="黑体" w:hAnsi="宋体" w:eastAsia="黑体" w:cs="Times New Roman"/>
          <w:bCs/>
          <w:color w:val="auto"/>
          <w:sz w:val="24"/>
          <w:szCs w:val="24"/>
          <w:highlight w:val="none"/>
        </w:rPr>
      </w:pPr>
    </w:p>
    <w:p w14:paraId="45EDD868">
      <w:pPr>
        <w:ind w:firstLine="5520"/>
        <w:rPr>
          <w:rFonts w:hint="eastAsia" w:ascii="黑体" w:hAnsi="宋体" w:eastAsia="黑体" w:cs="Times New Roman"/>
          <w:bCs/>
          <w:color w:val="auto"/>
          <w:sz w:val="24"/>
          <w:szCs w:val="24"/>
          <w:highlight w:val="none"/>
        </w:rPr>
      </w:pPr>
      <w:r>
        <w:rPr>
          <w:rFonts w:ascii="黑体" w:hAnsi="宋体" w:eastAsia="黑体" w:cs="Times New Roman"/>
          <w:bCs/>
          <w:color w:val="auto"/>
          <w:sz w:val="24"/>
          <w:szCs w:val="24"/>
          <w:highlight w:val="none"/>
        </w:rPr>
        <w:br w:type="page" w:clear="all"/>
      </w:r>
    </w:p>
    <w:p w14:paraId="16D5D9A4">
      <w:pPr>
        <w:spacing w:line="480" w:lineRule="auto"/>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（十）人员配置表</w:t>
      </w:r>
      <w:r>
        <w:rPr>
          <w:rFonts w:hint="eastAsia" w:ascii="黑体" w:hAnsi="宋体" w:eastAsia="黑体" w:cs="Times New Roman"/>
          <w:bCs/>
          <w:color w:val="auto"/>
          <w:sz w:val="24"/>
          <w:szCs w:val="24"/>
          <w:highlight w:val="none"/>
          <w:lang w:eastAsia="zh-CN"/>
        </w:rPr>
        <w:t>（</w:t>
      </w:r>
      <w:r>
        <w:rPr>
          <w:rFonts w:hint="eastAsia" w:ascii="黑体" w:hAnsi="宋体" w:eastAsia="黑体" w:cs="Times New Roman"/>
          <w:bCs/>
          <w:color w:val="auto"/>
          <w:sz w:val="24"/>
          <w:szCs w:val="24"/>
          <w:highlight w:val="none"/>
          <w:lang w:val="en-US" w:eastAsia="zh-CN"/>
        </w:rPr>
        <w:t>格式</w:t>
      </w:r>
      <w:r>
        <w:rPr>
          <w:rFonts w:hint="eastAsia" w:ascii="黑体" w:hAnsi="宋体" w:eastAsia="黑体" w:cs="Times New Roman"/>
          <w:bCs/>
          <w:color w:val="auto"/>
          <w:sz w:val="24"/>
          <w:szCs w:val="24"/>
          <w:highlight w:val="none"/>
          <w:lang w:eastAsia="zh-CN"/>
        </w:rPr>
        <w:t>）</w:t>
      </w:r>
    </w:p>
    <w:p w14:paraId="59224B4F">
      <w:pPr>
        <w:keepNext w:val="0"/>
        <w:keepLines w:val="0"/>
        <w:pageBreakBefore w:val="0"/>
        <w:widowControl w:val="0"/>
        <w:spacing w:line="360" w:lineRule="auto"/>
        <w:ind w:firstLine="0"/>
        <w:jc w:val="center"/>
        <w:rPr>
          <w:rFonts w:hint="eastAsia" w:ascii="黑体" w:hAnsi="Times New Roman" w:eastAsia="黑体" w:cs="Times New Roman"/>
          <w:bCs/>
          <w:color w:val="auto"/>
          <w:sz w:val="24"/>
          <w:highlight w:val="none"/>
        </w:rPr>
      </w:pPr>
    </w:p>
    <w:p w14:paraId="0DF4354D">
      <w:pPr>
        <w:keepNext w:val="0"/>
        <w:keepLines w:val="0"/>
        <w:pageBreakBefore w:val="0"/>
        <w:widowControl w:val="0"/>
        <w:spacing w:line="360" w:lineRule="auto"/>
        <w:ind w:firstLine="0"/>
        <w:jc w:val="center"/>
        <w:rPr>
          <w:rFonts w:hint="eastAsia" w:ascii="黑体" w:hAnsi="Times New Roman" w:eastAsia="黑体" w:cs="Times New Roman"/>
          <w:bCs/>
          <w:color w:val="auto"/>
          <w:sz w:val="24"/>
          <w:highlight w:val="none"/>
        </w:rPr>
      </w:pPr>
      <w:r>
        <w:rPr>
          <w:rFonts w:hint="eastAsia" w:ascii="黑体" w:hAnsi="Times New Roman" w:eastAsia="黑体" w:cs="Times New Roman"/>
          <w:bCs/>
          <w:color w:val="auto"/>
          <w:sz w:val="24"/>
          <w:highlight w:val="none"/>
        </w:rPr>
        <w:t>人员配置表</w:t>
      </w:r>
    </w:p>
    <w:p w14:paraId="72B30783">
      <w:pPr>
        <w:keepNext w:val="0"/>
        <w:keepLines w:val="0"/>
        <w:pageBreakBefore w:val="0"/>
        <w:widowControl w:val="0"/>
        <w:spacing w:line="360" w:lineRule="auto"/>
        <w:ind w:firstLine="0"/>
        <w:rPr>
          <w:rFonts w:hint="eastAsia" w:ascii="黑体" w:hAnsi="Times New Roman" w:eastAsia="黑体" w:cs="Times New Roman"/>
          <w:bCs/>
          <w:color w:val="auto"/>
          <w:sz w:val="24"/>
          <w:highlight w:val="none"/>
        </w:rPr>
      </w:pPr>
      <w:r>
        <w:rPr>
          <w:rFonts w:hint="eastAsia" w:ascii="黑体" w:hAnsi="Times New Roman" w:eastAsia="黑体" w:cs="Times New Roman"/>
          <w:bCs/>
          <w:color w:val="auto"/>
          <w:sz w:val="24"/>
          <w:highlight w:val="none"/>
        </w:rPr>
        <w:t>供应商名称（盖章）                               政府采购编号：</w:t>
      </w:r>
    </w:p>
    <w:tbl>
      <w:tblPr>
        <w:tblStyle w:val="43"/>
        <w:tblpPr w:leftFromText="180" w:rightFromText="180" w:vertAnchor="text" w:horzAnchor="page" w:tblpX="1125" w:tblpY="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786"/>
        <w:gridCol w:w="1755"/>
        <w:gridCol w:w="1276"/>
        <w:gridCol w:w="1418"/>
        <w:gridCol w:w="3543"/>
      </w:tblGrid>
      <w:tr w14:paraId="18BCDD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969" w:type="dxa"/>
            <w:noWrap w:val="0"/>
            <w:vAlign w:val="center"/>
          </w:tcPr>
          <w:p w14:paraId="008A6F5B">
            <w:pPr>
              <w:keepNext w:val="0"/>
              <w:keepLines w:val="0"/>
              <w:pageBreakBefore w:val="0"/>
              <w:widowControl w:val="0"/>
              <w:spacing w:line="360" w:lineRule="auto"/>
              <w:ind w:left="0" w:firstLine="0"/>
              <w:jc w:val="both"/>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序号</w:t>
            </w:r>
          </w:p>
        </w:tc>
        <w:tc>
          <w:tcPr>
            <w:tcW w:w="786" w:type="dxa"/>
            <w:noWrap w:val="0"/>
            <w:vAlign w:val="center"/>
          </w:tcPr>
          <w:p w14:paraId="53681FCD">
            <w:pPr>
              <w:keepNext w:val="0"/>
              <w:keepLines w:val="0"/>
              <w:pageBreakBefore w:val="0"/>
              <w:widowControl w:val="0"/>
              <w:spacing w:line="360" w:lineRule="auto"/>
              <w:ind w:left="0" w:firstLine="0"/>
              <w:jc w:val="both"/>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姓名</w:t>
            </w:r>
          </w:p>
        </w:tc>
        <w:tc>
          <w:tcPr>
            <w:tcW w:w="1755" w:type="dxa"/>
            <w:noWrap w:val="0"/>
            <w:vAlign w:val="center"/>
          </w:tcPr>
          <w:p w14:paraId="7182BE4C">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项目组</w:t>
            </w:r>
          </w:p>
          <w:p w14:paraId="6E87D429">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岗位</w:t>
            </w:r>
          </w:p>
        </w:tc>
        <w:tc>
          <w:tcPr>
            <w:tcW w:w="1276" w:type="dxa"/>
            <w:noWrap w:val="0"/>
            <w:vAlign w:val="center"/>
          </w:tcPr>
          <w:p w14:paraId="4C1D91F9">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职称</w:t>
            </w:r>
          </w:p>
        </w:tc>
        <w:tc>
          <w:tcPr>
            <w:tcW w:w="1418" w:type="dxa"/>
            <w:noWrap w:val="0"/>
            <w:vAlign w:val="center"/>
          </w:tcPr>
          <w:p w14:paraId="716664AC">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证书</w:t>
            </w:r>
          </w:p>
        </w:tc>
        <w:tc>
          <w:tcPr>
            <w:tcW w:w="3543" w:type="dxa"/>
            <w:noWrap w:val="0"/>
            <w:vAlign w:val="center"/>
          </w:tcPr>
          <w:p w14:paraId="07F853BA">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工作经验</w:t>
            </w:r>
          </w:p>
        </w:tc>
      </w:tr>
      <w:tr w14:paraId="3C280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9" w:type="dxa"/>
            <w:noWrap w:val="0"/>
            <w:vAlign w:val="center"/>
          </w:tcPr>
          <w:p w14:paraId="7A7284F1">
            <w:pPr>
              <w:keepNext w:val="0"/>
              <w:keepLines w:val="0"/>
              <w:pageBreakBefore w:val="0"/>
              <w:widowControl w:val="0"/>
              <w:spacing w:line="360" w:lineRule="auto"/>
              <w:ind w:firstLine="0"/>
              <w:jc w:val="center"/>
              <w:outlineLvl w:val="0"/>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1</w:t>
            </w:r>
          </w:p>
        </w:tc>
        <w:tc>
          <w:tcPr>
            <w:tcW w:w="786" w:type="dxa"/>
            <w:noWrap w:val="0"/>
            <w:vAlign w:val="center"/>
          </w:tcPr>
          <w:p w14:paraId="00B27FE4">
            <w:pPr>
              <w:keepNext w:val="0"/>
              <w:keepLines w:val="0"/>
              <w:pageBreakBefore w:val="0"/>
              <w:widowControl w:val="0"/>
              <w:spacing w:line="360" w:lineRule="auto"/>
              <w:ind w:firstLine="0"/>
              <w:jc w:val="center"/>
              <w:outlineLvl w:val="9"/>
              <w:rPr>
                <w:rFonts w:ascii="黑体" w:hAnsi="宋体" w:eastAsia="黑体" w:cs="Times New Roman"/>
                <w:bCs/>
                <w:color w:val="auto"/>
                <w:sz w:val="24"/>
                <w:highlight w:val="none"/>
              </w:rPr>
            </w:pPr>
          </w:p>
        </w:tc>
        <w:tc>
          <w:tcPr>
            <w:tcW w:w="1755" w:type="dxa"/>
            <w:noWrap w:val="0"/>
            <w:vAlign w:val="center"/>
          </w:tcPr>
          <w:p w14:paraId="202253EC">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276" w:type="dxa"/>
            <w:noWrap w:val="0"/>
            <w:vAlign w:val="center"/>
          </w:tcPr>
          <w:p w14:paraId="4C2FA781">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418" w:type="dxa"/>
            <w:noWrap w:val="0"/>
            <w:vAlign w:val="top"/>
          </w:tcPr>
          <w:p w14:paraId="4E9B2ABA">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3543" w:type="dxa"/>
            <w:noWrap w:val="0"/>
            <w:vAlign w:val="center"/>
          </w:tcPr>
          <w:p w14:paraId="35FCC22B">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r>
      <w:tr w14:paraId="585C7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9" w:type="dxa"/>
            <w:noWrap w:val="0"/>
            <w:vAlign w:val="center"/>
          </w:tcPr>
          <w:p w14:paraId="20DC0DDA">
            <w:pPr>
              <w:keepNext w:val="0"/>
              <w:keepLines w:val="0"/>
              <w:pageBreakBefore w:val="0"/>
              <w:widowControl w:val="0"/>
              <w:spacing w:line="360" w:lineRule="auto"/>
              <w:ind w:firstLine="0"/>
              <w:jc w:val="center"/>
              <w:outlineLvl w:val="0"/>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2</w:t>
            </w:r>
          </w:p>
        </w:tc>
        <w:tc>
          <w:tcPr>
            <w:tcW w:w="786" w:type="dxa"/>
            <w:noWrap w:val="0"/>
            <w:vAlign w:val="center"/>
          </w:tcPr>
          <w:p w14:paraId="122BB1C4">
            <w:pPr>
              <w:keepNext w:val="0"/>
              <w:keepLines w:val="0"/>
              <w:pageBreakBefore w:val="0"/>
              <w:widowControl w:val="0"/>
              <w:spacing w:line="360" w:lineRule="auto"/>
              <w:ind w:firstLine="0"/>
              <w:jc w:val="center"/>
              <w:outlineLvl w:val="9"/>
              <w:rPr>
                <w:rFonts w:ascii="黑体" w:hAnsi="宋体" w:eastAsia="黑体" w:cs="Times New Roman"/>
                <w:bCs/>
                <w:color w:val="auto"/>
                <w:sz w:val="24"/>
                <w:highlight w:val="none"/>
              </w:rPr>
            </w:pPr>
          </w:p>
        </w:tc>
        <w:tc>
          <w:tcPr>
            <w:tcW w:w="1755" w:type="dxa"/>
            <w:noWrap w:val="0"/>
            <w:vAlign w:val="center"/>
          </w:tcPr>
          <w:p w14:paraId="0584B1A6">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276" w:type="dxa"/>
            <w:noWrap w:val="0"/>
            <w:vAlign w:val="center"/>
          </w:tcPr>
          <w:p w14:paraId="641F6B7B">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418" w:type="dxa"/>
            <w:noWrap w:val="0"/>
            <w:vAlign w:val="top"/>
          </w:tcPr>
          <w:p w14:paraId="13E94A63">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3543" w:type="dxa"/>
            <w:noWrap w:val="0"/>
            <w:vAlign w:val="center"/>
          </w:tcPr>
          <w:p w14:paraId="38881A2C">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r>
      <w:tr w14:paraId="0D1B9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69" w:type="dxa"/>
            <w:noWrap w:val="0"/>
            <w:vAlign w:val="center"/>
          </w:tcPr>
          <w:p w14:paraId="21B520EF">
            <w:pPr>
              <w:keepNext w:val="0"/>
              <w:keepLines w:val="0"/>
              <w:pageBreakBefore w:val="0"/>
              <w:widowControl w:val="0"/>
              <w:spacing w:line="360" w:lineRule="auto"/>
              <w:ind w:firstLine="0"/>
              <w:outlineLvl w:val="0"/>
              <w:rPr>
                <w:rFonts w:ascii="宋体" w:hAnsi="宋体" w:eastAsia="宋体" w:cs="Times New Roman"/>
                <w:bCs/>
                <w:color w:val="auto"/>
                <w:sz w:val="24"/>
                <w:highlight w:val="none"/>
              </w:rPr>
            </w:pPr>
            <w:r>
              <w:rPr>
                <w:rFonts w:ascii="宋体" w:hAnsi="宋体" w:eastAsia="宋体" w:cs="Times New Roman"/>
                <w:bCs/>
                <w:color w:val="auto"/>
                <w:sz w:val="24"/>
                <w:highlight w:val="none"/>
              </w:rPr>
              <w:t>…</w:t>
            </w:r>
          </w:p>
        </w:tc>
        <w:tc>
          <w:tcPr>
            <w:tcW w:w="786" w:type="dxa"/>
            <w:noWrap w:val="0"/>
            <w:vAlign w:val="center"/>
          </w:tcPr>
          <w:p w14:paraId="7A458B2F">
            <w:pPr>
              <w:keepNext w:val="0"/>
              <w:keepLines w:val="0"/>
              <w:pageBreakBefore w:val="0"/>
              <w:widowControl w:val="0"/>
              <w:spacing w:line="360" w:lineRule="auto"/>
              <w:ind w:firstLine="0"/>
              <w:jc w:val="center"/>
              <w:outlineLvl w:val="9"/>
              <w:rPr>
                <w:rFonts w:ascii="黑体" w:hAnsi="宋体" w:eastAsia="黑体" w:cs="Times New Roman"/>
                <w:bCs/>
                <w:color w:val="auto"/>
                <w:sz w:val="24"/>
                <w:highlight w:val="none"/>
              </w:rPr>
            </w:pPr>
          </w:p>
        </w:tc>
        <w:tc>
          <w:tcPr>
            <w:tcW w:w="1755" w:type="dxa"/>
            <w:noWrap w:val="0"/>
            <w:vAlign w:val="center"/>
          </w:tcPr>
          <w:p w14:paraId="0CDA1BCD">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276" w:type="dxa"/>
            <w:noWrap w:val="0"/>
            <w:vAlign w:val="center"/>
          </w:tcPr>
          <w:p w14:paraId="58887ECC">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418" w:type="dxa"/>
            <w:noWrap w:val="0"/>
            <w:vAlign w:val="top"/>
          </w:tcPr>
          <w:p w14:paraId="3E230583">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3543" w:type="dxa"/>
            <w:noWrap w:val="0"/>
            <w:vAlign w:val="center"/>
          </w:tcPr>
          <w:p w14:paraId="47D3A7B9">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r>
    </w:tbl>
    <w:p w14:paraId="4C02487C">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法定代表人或法定代表人授权代表签字或盖章：</w:t>
      </w:r>
    </w:p>
    <w:p w14:paraId="175119ED">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备注：附评分标准中需要提交的证明材料。如出现证明材料原件扫描件内容不完整或字迹、内容、盖章模糊不清等情况均不得分。</w:t>
      </w:r>
    </w:p>
    <w:p w14:paraId="6981BE4B">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表格不够可自行扩展。</w:t>
      </w:r>
    </w:p>
    <w:p w14:paraId="6DC10C4F">
      <w:pPr>
        <w:keepNext w:val="0"/>
        <w:keepLines w:val="0"/>
        <w:pageBreakBefore w:val="0"/>
        <w:widowControl w:val="0"/>
        <w:spacing w:line="360" w:lineRule="auto"/>
        <w:ind w:firstLine="0"/>
        <w:rPr>
          <w:rFonts w:hint="eastAsia" w:ascii="宋体" w:hAnsi="宋体" w:eastAsia="宋体" w:cs="Times New Roman"/>
          <w:color w:val="auto"/>
          <w:sz w:val="24"/>
          <w:highlight w:val="none"/>
        </w:rPr>
      </w:pPr>
    </w:p>
    <w:p w14:paraId="037566EA">
      <w:pPr>
        <w:keepNext w:val="0"/>
        <w:keepLines w:val="0"/>
        <w:pageBreakBefore w:val="0"/>
        <w:widowControl w:val="0"/>
        <w:spacing w:line="360" w:lineRule="auto"/>
        <w:ind w:firstLine="0"/>
        <w:rPr>
          <w:rFonts w:ascii="宋体" w:hAnsi="宋体" w:eastAsia="宋体" w:cs="Times New Roman"/>
          <w:color w:val="auto"/>
          <w:sz w:val="24"/>
          <w:highlight w:val="none"/>
        </w:rPr>
      </w:pPr>
    </w:p>
    <w:p w14:paraId="69049CBF">
      <w:pPr>
        <w:keepNext w:val="0"/>
        <w:keepLines w:val="0"/>
        <w:pageBreakBefore w:val="0"/>
        <w:widowControl w:val="0"/>
        <w:spacing w:line="320" w:lineRule="exact"/>
        <w:ind w:firstLine="0"/>
        <w:rPr>
          <w:rFonts w:hint="eastAsia" w:ascii="仿宋_GB2312" w:hAnsi="Times New Roman" w:eastAsia="仿宋_GB2312" w:cs="Times New Roman"/>
          <w:color w:val="auto"/>
          <w:sz w:val="28"/>
          <w:szCs w:val="20"/>
          <w:highlight w:val="none"/>
        </w:rPr>
      </w:pPr>
    </w:p>
    <w:p w14:paraId="188C41B6">
      <w:pPr>
        <w:keepNext w:val="0"/>
        <w:keepLines w:val="0"/>
        <w:pageBreakBefore w:val="0"/>
        <w:widowControl w:val="0"/>
        <w:spacing w:line="360" w:lineRule="auto"/>
        <w:ind w:firstLine="0"/>
        <w:rPr>
          <w:rFonts w:hint="eastAsia" w:ascii="宋体" w:hAnsi="宋体" w:eastAsia="宋体" w:cs="Times New Roman"/>
          <w:color w:val="auto"/>
          <w:sz w:val="24"/>
          <w:highlight w:val="none"/>
        </w:rPr>
      </w:pPr>
    </w:p>
    <w:p w14:paraId="5D912A7C">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745E793A">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606DE83F">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1461DF88">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2BC907CC">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59C763F4">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101A044D">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7B6C5F08">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6D01402E">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659229CA">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5F6AA8C1">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34F1C5C7">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8"/>
          <w:szCs w:val="28"/>
          <w:highlight w:val="none"/>
        </w:rPr>
      </w:pPr>
    </w:p>
    <w:p w14:paraId="00494080">
      <w:pPr>
        <w:spacing w:line="480" w:lineRule="auto"/>
        <w:rPr>
          <w:rFonts w:hint="eastAsia" w:ascii="黑体" w:hAnsi="宋体" w:eastAsia="黑体" w:cs="Times New Roman"/>
          <w:bCs/>
          <w:color w:val="auto"/>
          <w:sz w:val="24"/>
          <w:szCs w:val="24"/>
          <w:highlight w:val="none"/>
          <w:lang w:eastAsia="zh-CN"/>
        </w:rPr>
      </w:pPr>
      <w:r>
        <w:rPr>
          <w:rFonts w:hint="eastAsia" w:ascii="黑体" w:hAnsi="宋体" w:eastAsia="黑体" w:cs="Times New Roman"/>
          <w:bCs/>
          <w:color w:val="auto"/>
          <w:sz w:val="24"/>
          <w:szCs w:val="24"/>
          <w:highlight w:val="none"/>
          <w:lang w:val="en-US" w:eastAsia="zh-CN"/>
        </w:rPr>
        <w:t>（十一）</w:t>
      </w:r>
      <w:r>
        <w:rPr>
          <w:rFonts w:hint="eastAsia" w:ascii="黑体" w:hAnsi="宋体" w:eastAsia="黑体" w:cs="Times New Roman"/>
          <w:bCs/>
          <w:color w:val="auto"/>
          <w:sz w:val="24"/>
          <w:szCs w:val="24"/>
          <w:highlight w:val="none"/>
        </w:rPr>
        <w:t>投入本项目的设备明细表</w:t>
      </w:r>
      <w:r>
        <w:rPr>
          <w:rFonts w:hint="eastAsia" w:ascii="黑体" w:hAnsi="宋体" w:eastAsia="黑体" w:cs="Times New Roman"/>
          <w:bCs/>
          <w:color w:val="auto"/>
          <w:sz w:val="24"/>
          <w:szCs w:val="24"/>
          <w:highlight w:val="none"/>
          <w:lang w:eastAsia="zh-CN"/>
        </w:rPr>
        <w:t>（</w:t>
      </w:r>
      <w:r>
        <w:rPr>
          <w:rFonts w:hint="eastAsia" w:ascii="黑体" w:hAnsi="宋体" w:eastAsia="黑体" w:cs="Times New Roman"/>
          <w:bCs/>
          <w:color w:val="auto"/>
          <w:sz w:val="24"/>
          <w:szCs w:val="24"/>
          <w:highlight w:val="none"/>
          <w:lang w:val="en-US" w:eastAsia="zh-CN"/>
        </w:rPr>
        <w:t>格式</w:t>
      </w:r>
      <w:r>
        <w:rPr>
          <w:rFonts w:hint="eastAsia" w:ascii="黑体" w:hAnsi="宋体" w:eastAsia="黑体" w:cs="Times New Roman"/>
          <w:bCs/>
          <w:color w:val="auto"/>
          <w:sz w:val="24"/>
          <w:szCs w:val="24"/>
          <w:highlight w:val="none"/>
          <w:lang w:eastAsia="zh-CN"/>
        </w:rPr>
        <w:t>）</w:t>
      </w:r>
    </w:p>
    <w:p w14:paraId="67198437">
      <w:pPr>
        <w:keepNext/>
        <w:widowControl w:val="0"/>
        <w:jc w:val="center"/>
        <w:outlineLvl w:val="2"/>
        <w:rPr>
          <w:rFonts w:hint="eastAsia" w:ascii="宋体" w:hAnsi="宋体" w:eastAsia="楷体_GB2312" w:cs="Times New Roman"/>
          <w:b/>
          <w:bCs/>
          <w:color w:val="auto"/>
          <w:sz w:val="28"/>
          <w:szCs w:val="28"/>
          <w:highlight w:val="none"/>
          <w:lang w:val="en-US" w:eastAsia="zh-CN" w:bidi="ar-SA"/>
        </w:rPr>
      </w:pPr>
    </w:p>
    <w:p w14:paraId="0CA0B9C9">
      <w:pPr>
        <w:widowControl w:val="0"/>
        <w:ind w:firstLine="420"/>
        <w:jc w:val="both"/>
        <w:rPr>
          <w:rFonts w:hint="eastAsia" w:ascii="Times New Roman" w:hAnsi="Times New Roman" w:eastAsia="宋体" w:cs="Times New Roman"/>
          <w:color w:val="auto"/>
          <w:sz w:val="21"/>
          <w:szCs w:val="24"/>
          <w:highlight w:val="none"/>
          <w:lang w:val="en-US" w:eastAsia="zh-CN" w:bidi="ar-SA"/>
        </w:rPr>
      </w:pPr>
    </w:p>
    <w:p w14:paraId="7F4CADC7">
      <w:pPr>
        <w:keepNext/>
        <w:widowControl w:val="0"/>
        <w:ind w:left="0" w:firstLine="0"/>
        <w:jc w:val="center"/>
        <w:outlineLvl w:val="2"/>
        <w:rPr>
          <w:rFonts w:hint="eastAsia" w:ascii="Times New Roman" w:hAnsi="Times New Roman" w:eastAsia="楷体_GB2312" w:cs="Times New Roman"/>
          <w:b/>
          <w:bCs/>
          <w:color w:val="auto"/>
          <w:sz w:val="15"/>
          <w:highlight w:val="none"/>
          <w:lang w:val="en-US" w:eastAsia="zh-CN" w:bidi="ar-SA"/>
        </w:rPr>
      </w:pPr>
      <w:r>
        <w:rPr>
          <w:rFonts w:hint="eastAsia" w:ascii="黑体" w:hAnsi="Times New Roman" w:eastAsia="黑体" w:cs="Times New Roman"/>
          <w:b/>
          <w:bCs/>
          <w:color w:val="auto"/>
          <w:sz w:val="24"/>
          <w:szCs w:val="21"/>
          <w:highlight w:val="none"/>
          <w:lang w:val="en-US" w:eastAsia="zh-CN" w:bidi="ar-SA"/>
        </w:rPr>
        <w:t>投入本项目的设备明细表</w:t>
      </w:r>
    </w:p>
    <w:p w14:paraId="6CD0C9A0">
      <w:pPr>
        <w:keepNext w:val="0"/>
        <w:keepLines w:val="0"/>
        <w:pageBreakBefore w:val="0"/>
        <w:widowControl w:val="0"/>
        <w:spacing w:line="360" w:lineRule="auto"/>
        <w:ind w:firstLine="0"/>
        <w:rPr>
          <w:rFonts w:hint="eastAsia" w:ascii="黑体" w:hAnsi="Times New Roman" w:eastAsia="黑体" w:cs="Times New Roman"/>
          <w:bCs/>
          <w:color w:val="auto"/>
          <w:sz w:val="24"/>
          <w:highlight w:val="none"/>
        </w:rPr>
      </w:pPr>
      <w:r>
        <w:rPr>
          <w:rFonts w:hint="eastAsia" w:ascii="黑体" w:hAnsi="Times New Roman" w:eastAsia="黑体" w:cs="Times New Roman"/>
          <w:bCs/>
          <w:color w:val="auto"/>
          <w:sz w:val="24"/>
          <w:highlight w:val="none"/>
        </w:rPr>
        <w:t>供应商名称（盖章）                               政府采购编号：</w:t>
      </w:r>
    </w:p>
    <w:tbl>
      <w:tblPr>
        <w:tblStyle w:val="43"/>
        <w:tblpPr w:leftFromText="180" w:rightFromText="180" w:vertAnchor="text" w:horzAnchor="page" w:tblpX="1125" w:tblpY="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9"/>
        <w:gridCol w:w="2354"/>
        <w:gridCol w:w="1843"/>
        <w:gridCol w:w="2126"/>
        <w:gridCol w:w="2835"/>
      </w:tblGrid>
      <w:tr w14:paraId="7AF4E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rPr>
        <w:tc>
          <w:tcPr>
            <w:tcW w:w="589" w:type="dxa"/>
            <w:noWrap w:val="0"/>
            <w:vAlign w:val="center"/>
          </w:tcPr>
          <w:p w14:paraId="61A3F05C">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序号</w:t>
            </w:r>
          </w:p>
        </w:tc>
        <w:tc>
          <w:tcPr>
            <w:tcW w:w="2354" w:type="dxa"/>
            <w:noWrap w:val="0"/>
            <w:vAlign w:val="center"/>
          </w:tcPr>
          <w:p w14:paraId="4184D158">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名称</w:t>
            </w:r>
          </w:p>
        </w:tc>
        <w:tc>
          <w:tcPr>
            <w:tcW w:w="1843" w:type="dxa"/>
            <w:noWrap w:val="0"/>
            <w:vAlign w:val="center"/>
          </w:tcPr>
          <w:p w14:paraId="0E65F71D">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自有或租赁</w:t>
            </w:r>
          </w:p>
        </w:tc>
        <w:tc>
          <w:tcPr>
            <w:tcW w:w="2126" w:type="dxa"/>
            <w:noWrap w:val="0"/>
            <w:vAlign w:val="center"/>
          </w:tcPr>
          <w:p w14:paraId="66CFB6B5">
            <w:pPr>
              <w:keepNext w:val="0"/>
              <w:keepLines w:val="0"/>
              <w:pageBreakBefore w:val="0"/>
              <w:widowControl w:val="0"/>
              <w:spacing w:line="360" w:lineRule="auto"/>
              <w:ind w:firstLine="0"/>
              <w:jc w:val="center"/>
              <w:outlineLvl w:val="0"/>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购入年份或租赁期限</w:t>
            </w:r>
          </w:p>
        </w:tc>
        <w:tc>
          <w:tcPr>
            <w:tcW w:w="2835" w:type="dxa"/>
            <w:noWrap w:val="0"/>
            <w:vAlign w:val="center"/>
          </w:tcPr>
          <w:p w14:paraId="12B423C8">
            <w:pPr>
              <w:keepNext w:val="0"/>
              <w:keepLines w:val="0"/>
              <w:pageBreakBefore w:val="0"/>
              <w:widowControl w:val="0"/>
              <w:spacing w:line="360" w:lineRule="auto"/>
              <w:ind w:firstLine="0"/>
              <w:jc w:val="center"/>
              <w:outlineLvl w:val="0"/>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备注</w:t>
            </w:r>
          </w:p>
        </w:tc>
      </w:tr>
      <w:tr w14:paraId="3F06F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9" w:type="dxa"/>
            <w:noWrap w:val="0"/>
            <w:vAlign w:val="center"/>
          </w:tcPr>
          <w:p w14:paraId="26AE9ADB">
            <w:pPr>
              <w:keepNext w:val="0"/>
              <w:keepLines w:val="0"/>
              <w:pageBreakBefore w:val="0"/>
              <w:widowControl w:val="0"/>
              <w:spacing w:line="360" w:lineRule="auto"/>
              <w:ind w:firstLine="0"/>
              <w:jc w:val="center"/>
              <w:outlineLvl w:val="0"/>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1</w:t>
            </w:r>
          </w:p>
        </w:tc>
        <w:tc>
          <w:tcPr>
            <w:tcW w:w="2354" w:type="dxa"/>
            <w:noWrap w:val="0"/>
            <w:vAlign w:val="center"/>
          </w:tcPr>
          <w:p w14:paraId="12F0FD1F">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843" w:type="dxa"/>
            <w:noWrap w:val="0"/>
            <w:vAlign w:val="center"/>
          </w:tcPr>
          <w:p w14:paraId="323EF475">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2126" w:type="dxa"/>
            <w:noWrap w:val="0"/>
            <w:vAlign w:val="top"/>
          </w:tcPr>
          <w:p w14:paraId="636FBD11">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2835" w:type="dxa"/>
            <w:noWrap w:val="0"/>
            <w:vAlign w:val="center"/>
          </w:tcPr>
          <w:p w14:paraId="1A82E63E">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r>
      <w:tr w14:paraId="316BB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9" w:type="dxa"/>
            <w:noWrap w:val="0"/>
            <w:vAlign w:val="center"/>
          </w:tcPr>
          <w:p w14:paraId="68725435">
            <w:pPr>
              <w:keepNext w:val="0"/>
              <w:keepLines w:val="0"/>
              <w:pageBreakBefore w:val="0"/>
              <w:widowControl w:val="0"/>
              <w:spacing w:line="360" w:lineRule="auto"/>
              <w:ind w:firstLine="0"/>
              <w:jc w:val="center"/>
              <w:outlineLvl w:val="0"/>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2</w:t>
            </w:r>
          </w:p>
        </w:tc>
        <w:tc>
          <w:tcPr>
            <w:tcW w:w="2354" w:type="dxa"/>
            <w:noWrap w:val="0"/>
            <w:vAlign w:val="center"/>
          </w:tcPr>
          <w:p w14:paraId="137C947B">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843" w:type="dxa"/>
            <w:noWrap w:val="0"/>
            <w:vAlign w:val="center"/>
          </w:tcPr>
          <w:p w14:paraId="202F2E02">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2126" w:type="dxa"/>
            <w:noWrap w:val="0"/>
            <w:vAlign w:val="top"/>
          </w:tcPr>
          <w:p w14:paraId="56C1FD19">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2835" w:type="dxa"/>
            <w:noWrap w:val="0"/>
            <w:vAlign w:val="center"/>
          </w:tcPr>
          <w:p w14:paraId="18FC30DA">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r>
      <w:tr w14:paraId="0EF27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89" w:type="dxa"/>
            <w:noWrap w:val="0"/>
            <w:vAlign w:val="center"/>
          </w:tcPr>
          <w:p w14:paraId="05C2750E">
            <w:pPr>
              <w:keepNext w:val="0"/>
              <w:keepLines w:val="0"/>
              <w:pageBreakBefore w:val="0"/>
              <w:widowControl w:val="0"/>
              <w:spacing w:line="360" w:lineRule="auto"/>
              <w:ind w:firstLine="0"/>
              <w:jc w:val="center"/>
              <w:outlineLvl w:val="0"/>
              <w:rPr>
                <w:rFonts w:ascii="宋体" w:hAnsi="宋体" w:eastAsia="宋体" w:cs="Times New Roman"/>
                <w:bCs/>
                <w:color w:val="auto"/>
                <w:sz w:val="24"/>
                <w:highlight w:val="none"/>
              </w:rPr>
            </w:pPr>
            <w:r>
              <w:rPr>
                <w:rFonts w:ascii="宋体" w:hAnsi="宋体" w:eastAsia="宋体" w:cs="Times New Roman"/>
                <w:bCs/>
                <w:color w:val="auto"/>
                <w:sz w:val="24"/>
                <w:highlight w:val="none"/>
              </w:rPr>
              <w:t>…</w:t>
            </w:r>
          </w:p>
        </w:tc>
        <w:tc>
          <w:tcPr>
            <w:tcW w:w="2354" w:type="dxa"/>
            <w:noWrap w:val="0"/>
            <w:vAlign w:val="center"/>
          </w:tcPr>
          <w:p w14:paraId="0BDEBA30">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1843" w:type="dxa"/>
            <w:noWrap w:val="0"/>
            <w:vAlign w:val="center"/>
          </w:tcPr>
          <w:p w14:paraId="171A4DCB">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2126" w:type="dxa"/>
            <w:noWrap w:val="0"/>
            <w:vAlign w:val="top"/>
          </w:tcPr>
          <w:p w14:paraId="1D2C017A">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c>
          <w:tcPr>
            <w:tcW w:w="2835" w:type="dxa"/>
            <w:noWrap w:val="0"/>
            <w:vAlign w:val="center"/>
          </w:tcPr>
          <w:p w14:paraId="28544DCA">
            <w:pPr>
              <w:keepNext w:val="0"/>
              <w:keepLines w:val="0"/>
              <w:pageBreakBefore w:val="0"/>
              <w:widowControl w:val="0"/>
              <w:spacing w:line="360" w:lineRule="auto"/>
              <w:ind w:firstLine="0"/>
              <w:jc w:val="center"/>
              <w:outlineLvl w:val="9"/>
              <w:rPr>
                <w:rFonts w:ascii="宋体" w:hAnsi="宋体" w:eastAsia="宋体" w:cs="Times New Roman"/>
                <w:bCs/>
                <w:color w:val="auto"/>
                <w:sz w:val="24"/>
                <w:highlight w:val="none"/>
              </w:rPr>
            </w:pPr>
          </w:p>
        </w:tc>
      </w:tr>
    </w:tbl>
    <w:p w14:paraId="2F168B99">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法定代表人或法定代表人授权代表签字或盖章：</w:t>
      </w:r>
    </w:p>
    <w:p w14:paraId="2F86E4C3">
      <w:pPr>
        <w:keepNext w:val="0"/>
        <w:keepLines w:val="0"/>
        <w:pageBreakBefore w:val="0"/>
        <w:widowControl w:val="0"/>
        <w:spacing w:line="360" w:lineRule="auto"/>
        <w:ind w:firstLine="0"/>
        <w:rPr>
          <w:rFonts w:hint="eastAsia" w:ascii="宋体" w:hAnsi="宋体" w:eastAsia="宋体" w:cs="Times New Roman"/>
          <w:b w:val="0"/>
          <w:bCs w:val="0"/>
          <w:color w:val="auto"/>
          <w:sz w:val="24"/>
          <w:szCs w:val="24"/>
          <w:highlight w:val="none"/>
        </w:rPr>
      </w:pPr>
      <w:r>
        <w:rPr>
          <w:rFonts w:hint="eastAsia" w:ascii="宋体" w:hAnsi="宋体" w:eastAsia="宋体" w:cs="Times New Roman"/>
          <w:b w:val="0"/>
          <w:bCs w:val="0"/>
          <w:color w:val="auto"/>
          <w:sz w:val="24"/>
          <w:szCs w:val="24"/>
          <w:highlight w:val="none"/>
        </w:rPr>
        <w:t>备注：</w:t>
      </w:r>
      <w:r>
        <w:rPr>
          <w:rStyle w:val="287"/>
          <w:rFonts w:hint="eastAsia" w:ascii="宋体" w:hAnsi="宋体" w:eastAsia="宋体" w:cs="宋体"/>
          <w:color w:val="auto"/>
          <w:sz w:val="26"/>
          <w:szCs w:val="26"/>
          <w:highlight w:val="none"/>
        </w:rPr>
        <w:t>附评分标准中需要提交的证明材料。如出现证明材料原件扫描件内容不完整或字迹、内容、盖章模糊不清等情况均不得分</w:t>
      </w:r>
      <w:r>
        <w:rPr>
          <w:rFonts w:hint="eastAsia" w:ascii="宋体" w:hAnsi="宋体" w:eastAsia="宋体" w:cs="Times New Roman"/>
          <w:b w:val="0"/>
          <w:bCs w:val="0"/>
          <w:color w:val="auto"/>
          <w:sz w:val="24"/>
          <w:szCs w:val="24"/>
          <w:highlight w:val="none"/>
        </w:rPr>
        <w:t>。</w:t>
      </w:r>
    </w:p>
    <w:p w14:paraId="34ECB957">
      <w:pPr>
        <w:spacing w:line="360" w:lineRule="auto"/>
        <w:ind w:firstLine="480"/>
        <w:rPr>
          <w:rFonts w:hint="eastAsia" w:ascii="黑体" w:hAnsi="宋体" w:eastAsia="黑体" w:cs="Times New Roman"/>
          <w:bCs/>
          <w:color w:val="auto"/>
          <w:sz w:val="24"/>
          <w:szCs w:val="24"/>
          <w:highlight w:val="none"/>
        </w:rPr>
      </w:pPr>
      <w:r>
        <w:rPr>
          <w:rFonts w:hint="eastAsia" w:ascii="宋体" w:hAnsi="宋体" w:eastAsia="宋体" w:cs="Times New Roman"/>
          <w:b w:val="0"/>
          <w:bCs w:val="0"/>
          <w:color w:val="auto"/>
          <w:sz w:val="24"/>
          <w:szCs w:val="24"/>
          <w:highlight w:val="none"/>
        </w:rPr>
        <w:t>表格不够可自行扩展。</w:t>
      </w:r>
    </w:p>
    <w:p w14:paraId="4C14CAD9">
      <w:pPr>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br w:type="page"/>
      </w:r>
    </w:p>
    <w:p w14:paraId="4FBAEC7A">
      <w:pPr>
        <w:spacing w:line="360" w:lineRule="auto"/>
        <w:ind w:firstLine="480"/>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lang w:eastAsia="zh-CN"/>
        </w:rPr>
        <w:t>（</w:t>
      </w:r>
      <w:r>
        <w:rPr>
          <w:rFonts w:hint="eastAsia" w:ascii="黑体" w:hAnsi="宋体" w:eastAsia="黑体" w:cs="Times New Roman"/>
          <w:bCs/>
          <w:color w:val="auto"/>
          <w:sz w:val="24"/>
          <w:szCs w:val="24"/>
          <w:highlight w:val="none"/>
          <w:lang w:val="en-US" w:eastAsia="zh-CN"/>
        </w:rPr>
        <w:t>十二</w:t>
      </w:r>
      <w:r>
        <w:rPr>
          <w:rFonts w:hint="eastAsia" w:ascii="黑体" w:hAnsi="宋体" w:eastAsia="黑体" w:cs="Times New Roman"/>
          <w:bCs/>
          <w:color w:val="auto"/>
          <w:sz w:val="24"/>
          <w:szCs w:val="24"/>
          <w:highlight w:val="none"/>
          <w:lang w:eastAsia="zh-CN"/>
        </w:rPr>
        <w:t>）</w:t>
      </w:r>
      <w:r>
        <w:rPr>
          <w:rFonts w:hint="eastAsia" w:ascii="黑体" w:hAnsi="宋体" w:eastAsia="黑体" w:cs="Times New Roman"/>
          <w:bCs/>
          <w:color w:val="auto"/>
          <w:sz w:val="24"/>
          <w:szCs w:val="24"/>
          <w:highlight w:val="none"/>
        </w:rPr>
        <w:t>技术方案（格式自拟）</w:t>
      </w:r>
    </w:p>
    <w:p w14:paraId="31A880FC">
      <w:pPr>
        <w:spacing w:line="360" w:lineRule="auto"/>
        <w:ind w:firstLine="480"/>
        <w:jc w:val="center"/>
        <w:rPr>
          <w:rFonts w:hint="eastAsia" w:ascii="宋体" w:hAnsi="宋体" w:eastAsia="宋体" w:cs="Times New Roman"/>
          <w:bCs/>
          <w:color w:val="auto"/>
          <w:sz w:val="24"/>
          <w:szCs w:val="24"/>
          <w:highlight w:val="none"/>
        </w:rPr>
      </w:pPr>
    </w:p>
    <w:p w14:paraId="74B4D20A">
      <w:pPr>
        <w:spacing w:line="360" w:lineRule="auto"/>
        <w:ind w:firstLine="480"/>
        <w:jc w:val="center"/>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技术方案</w:t>
      </w:r>
    </w:p>
    <w:p w14:paraId="443F6C1C">
      <w:pPr>
        <w:widowControl w:val="0"/>
        <w:ind w:firstLine="0"/>
        <w:jc w:val="both"/>
        <w:rPr>
          <w:rFonts w:ascii="Times New Roman" w:hAnsi="Times New Roman" w:eastAsia="宋体" w:cs="Times New Roman"/>
          <w:color w:val="auto"/>
          <w:sz w:val="24"/>
          <w:szCs w:val="21"/>
          <w:highlight w:val="none"/>
          <w:lang w:val="en-US" w:eastAsia="zh-CN" w:bidi="ar-SA"/>
        </w:rPr>
      </w:pPr>
      <w:r>
        <w:rPr>
          <w:rFonts w:hint="eastAsia" w:ascii="Times New Roman" w:hAnsi="Times New Roman" w:eastAsia="宋体" w:cs="Times New Roman"/>
          <w:color w:val="auto"/>
          <w:sz w:val="24"/>
          <w:szCs w:val="21"/>
          <w:highlight w:val="none"/>
          <w:lang w:val="en-US" w:eastAsia="zh-CN" w:bidi="ar-SA"/>
        </w:rPr>
        <w:t>投标供应商应按评分点编制完整的服务方案，</w:t>
      </w:r>
      <w:r>
        <w:rPr>
          <w:rFonts w:ascii="Times New Roman" w:hAnsi="Times New Roman" w:eastAsia="宋体" w:cs="Times New Roman"/>
          <w:color w:val="auto"/>
          <w:sz w:val="24"/>
          <w:szCs w:val="21"/>
          <w:highlight w:val="none"/>
          <w:lang w:val="en-US" w:eastAsia="zh-CN" w:bidi="ar-SA"/>
        </w:rPr>
        <w:t>以便评审。</w:t>
      </w:r>
    </w:p>
    <w:p w14:paraId="1A7AD192">
      <w:pPr>
        <w:widowControl w:val="0"/>
        <w:ind w:firstLine="0"/>
        <w:jc w:val="both"/>
        <w:rPr>
          <w:rFonts w:ascii="Times New Roman" w:hAnsi="Times New Roman" w:eastAsia="宋体" w:cs="Times New Roman"/>
          <w:color w:val="auto"/>
          <w:sz w:val="24"/>
          <w:szCs w:val="21"/>
          <w:highlight w:val="none"/>
          <w:lang w:val="en-US" w:eastAsia="zh-CN" w:bidi="ar-SA"/>
        </w:rPr>
      </w:pPr>
    </w:p>
    <w:p w14:paraId="3E882FE0">
      <w:pPr>
        <w:spacing w:line="360" w:lineRule="auto"/>
        <w:ind w:firstLine="482"/>
        <w:rPr>
          <w:rFonts w:hint="eastAsia"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p>
    <w:p w14:paraId="09A176F3">
      <w:pPr>
        <w:spacing w:line="360" w:lineRule="auto"/>
        <w:ind w:firstLine="482"/>
        <w:rPr>
          <w:rFonts w:hint="eastAsia"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不得有体现投标人身份的内容是指：</w:t>
      </w:r>
    </w:p>
    <w:p w14:paraId="125D0233">
      <w:pPr>
        <w:spacing w:line="360" w:lineRule="auto"/>
        <w:ind w:firstLine="482"/>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①技术部分不得出现能够体现投标人身份、名称的相关描述、材料、文件等内容；</w:t>
      </w:r>
    </w:p>
    <w:p w14:paraId="152A21AB">
      <w:pPr>
        <w:spacing w:line="360" w:lineRule="auto"/>
        <w:ind w:firstLine="482"/>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②技术部分不得更改，不得在其中涂改、标注或做任何可以辨认投标人及所属人员身份的名称、印章、商标等标记；</w:t>
      </w:r>
    </w:p>
    <w:p w14:paraId="0C5A4702">
      <w:pPr>
        <w:spacing w:line="360" w:lineRule="auto"/>
        <w:ind w:firstLine="482"/>
        <w:rPr>
          <w:rFonts w:hint="eastAsia"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③技术部分应当版面整洁、字迹清楚、不许批注或进行底纹、阴影、水印等特殊设置，不得采用任何不符合常规、有别于其他投标人的特殊做法；</w:t>
      </w:r>
    </w:p>
    <w:p w14:paraId="1BA3FC8D">
      <w:pPr>
        <w:spacing w:line="360" w:lineRule="auto"/>
        <w:ind w:firstLine="482"/>
        <w:rPr>
          <w:rFonts w:hint="eastAsia" w:ascii="宋体" w:hAnsi="宋体"/>
          <w:bCs/>
          <w:color w:val="auto"/>
          <w:sz w:val="24"/>
          <w:szCs w:val="24"/>
          <w:highlight w:val="none"/>
        </w:rPr>
      </w:pPr>
      <w:r>
        <w:rPr>
          <w:rFonts w:hint="eastAsia" w:ascii="宋体" w:hAnsi="宋体" w:eastAsia="宋体" w:cs="Times New Roman"/>
          <w:b/>
          <w:color w:val="auto"/>
          <w:sz w:val="24"/>
          <w:szCs w:val="21"/>
          <w:highlight w:val="none"/>
        </w:rPr>
        <w:t>④不得有其他体现投标人身份的内容。</w:t>
      </w:r>
    </w:p>
    <w:sectPr>
      <w:headerReference r:id="rId7" w:type="first"/>
      <w:headerReference r:id="rId6" w:type="default"/>
      <w:footerReference r:id="rId8" w:type="default"/>
      <w:pgSz w:w="11906" w:h="16838"/>
      <w:pgMar w:top="1134" w:right="1134" w:bottom="1134" w:left="1134" w:header="624" w:footer="907" w:gutter="0"/>
      <w:pgBorders>
        <w:top w:val="none" w:sz="0" w:space="0"/>
        <w:left w:val="none" w:sz="0" w:space="0"/>
        <w:bottom w:val="none" w:sz="0" w:space="0"/>
        <w:right w:val="none" w:sz="0" w:space="0"/>
      </w:pgBorders>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77722">
    <w:pPr>
      <w:widowControl w:val="0"/>
      <w:jc w:val="center"/>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21"/>
        <w:lang w:val="en-US" w:eastAsia="zh-CN" w:bidi="ar-SA"/>
      </w:rPr>
      <w:t xml:space="preserve">- </w:t>
    </w:r>
    <w:r>
      <w:rPr>
        <w:rFonts w:ascii="Times New Roman" w:hAnsi="Times New Roman" w:eastAsia="宋体" w:cs="Times New Roman"/>
        <w:sz w:val="18"/>
        <w:szCs w:val="21"/>
        <w:lang w:val="en-US" w:eastAsia="zh-CN" w:bidi="ar-SA"/>
      </w:rPr>
      <w:fldChar w:fldCharType="begin"/>
    </w:r>
    <w:r>
      <w:rPr>
        <w:rFonts w:ascii="Times New Roman" w:hAnsi="Times New Roman" w:eastAsia="宋体" w:cs="Times New Roman"/>
        <w:sz w:val="18"/>
        <w:szCs w:val="21"/>
        <w:lang w:val="en-US" w:eastAsia="zh-CN" w:bidi="ar-SA"/>
      </w:rPr>
      <w:instrText xml:space="preserve"> PAGE </w:instrText>
    </w:r>
    <w:r>
      <w:rPr>
        <w:rFonts w:ascii="Times New Roman" w:hAnsi="Times New Roman" w:eastAsia="宋体" w:cs="Times New Roman"/>
        <w:sz w:val="18"/>
        <w:szCs w:val="21"/>
        <w:lang w:val="en-US" w:eastAsia="zh-CN" w:bidi="ar-SA"/>
      </w:rPr>
      <w:fldChar w:fldCharType="separate"/>
    </w:r>
    <w:r>
      <w:rPr>
        <w:rFonts w:ascii="Times New Roman" w:hAnsi="Times New Roman" w:eastAsia="宋体" w:cs="Times New Roman"/>
        <w:sz w:val="18"/>
        <w:szCs w:val="21"/>
        <w:lang w:val="en-US" w:eastAsia="zh-CN" w:bidi="ar-SA"/>
      </w:rPr>
      <w:t>1</w:t>
    </w:r>
    <w:r>
      <w:rPr>
        <w:rFonts w:ascii="Times New Roman" w:hAnsi="Times New Roman" w:eastAsia="宋体" w:cs="Times New Roman"/>
        <w:sz w:val="18"/>
        <w:szCs w:val="21"/>
        <w:lang w:val="en-US" w:eastAsia="zh-CN" w:bidi="ar-SA"/>
      </w:rPr>
      <w:fldChar w:fldCharType="end"/>
    </w:r>
    <w:r>
      <w:rPr>
        <w:rFonts w:ascii="Times New Roman" w:hAnsi="Times New Roman" w:eastAsia="宋体" w:cs="Times New Roman"/>
        <w:sz w:val="18"/>
        <w:szCs w:val="21"/>
        <w:lang w:val="en-US" w:eastAsia="zh-CN" w:bidi="ar-S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FD9A0C">
    <w:pPr>
      <w:pStyle w:val="24"/>
      <w:jc w:val="center"/>
    </w:pPr>
    <w:r>
      <w:rPr>
        <w:szCs w:val="21"/>
      </w:rPr>
      <w:t xml:space="preserve">- </w:t>
    </w:r>
    <w:r>
      <w:rPr>
        <w:szCs w:val="21"/>
      </w:rPr>
      <w:fldChar w:fldCharType="begin"/>
    </w:r>
    <w:r>
      <w:rPr>
        <w:szCs w:val="21"/>
      </w:rPr>
      <w:instrText xml:space="preserve"> PAGE </w:instrText>
    </w:r>
    <w:r>
      <w:rPr>
        <w:szCs w:val="21"/>
      </w:rPr>
      <w:fldChar w:fldCharType="separate"/>
    </w:r>
    <w:r>
      <w:rPr>
        <w:szCs w:val="21"/>
      </w:rPr>
      <w:t>1</w:t>
    </w:r>
    <w:r>
      <w:rPr>
        <w:szCs w:val="21"/>
      </w:rPr>
      <w:fldChar w:fldCharType="end"/>
    </w:r>
    <w:r>
      <w:rPr>
        <w:szCs w:val="21"/>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7BA32F">
    <w:pPr>
      <w:widowControl w:val="0"/>
      <w:pBdr>
        <w:bottom w:val="single" w:color="000000" w:sz="6" w:space="1"/>
      </w:pBdr>
      <w:jc w:val="center"/>
      <w:rPr>
        <w:rFonts w:ascii="Times New Roman" w:hAnsi="Times New Roman" w:eastAsia="宋体" w:cs="Times New Roman"/>
        <w:sz w:val="18"/>
        <w:szCs w:val="18"/>
        <w:lang w:val="en-US" w:eastAsia="zh-CN" w:bidi="ar-SA"/>
      </w:rPr>
    </w:pPr>
    <w:r>
      <w:rPr>
        <w:rFonts w:hint="eastAsia" w:ascii="宋体" w:hAnsi="宋体" w:cs="Times New Roman"/>
        <w:sz w:val="18"/>
        <w:szCs w:val="18"/>
        <w:lang w:val="en-US" w:eastAsia="zh-CN" w:bidi="ar-SA"/>
      </w:rPr>
      <w:t>JSZC-320214-WXZH-G2026-0004</w:t>
    </w:r>
    <w:r>
      <w:rPr>
        <w:rFonts w:hint="eastAsia" w:ascii="宋体" w:hAnsi="宋体" w:eastAsia="宋体" w:cs="Times New Roman"/>
        <w:sz w:val="18"/>
        <w:szCs w:val="18"/>
        <w:lang w:val="en-US" w:eastAsia="zh-CN" w:bidi="ar-SA"/>
      </w:rPr>
      <w:t xml:space="preserve">                2026年度江溪街道城市管理应急处置拆违拆临服务项目公开招标文件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88F930">
    <w:pPr>
      <w:widowControl w:val="0"/>
      <w:pBdr>
        <w:bottom w:val="single" w:color="000000" w:sz="6" w:space="1"/>
      </w:pBdr>
      <w:jc w:val="center"/>
      <w:rPr>
        <w:rFonts w:ascii="Times New Roman" w:hAnsi="Times New Roman" w:eastAsia="宋体" w:cs="Times New Roman"/>
        <w:sz w:val="18"/>
        <w:szCs w:val="18"/>
        <w:lang w:val="en-US" w:eastAsia="zh-CN" w:bidi="ar-SA"/>
      </w:rPr>
    </w:pPr>
    <w:r>
      <w:rPr>
        <w:rFonts w:hint="eastAsia" w:ascii="宋体" w:hAnsi="宋体" w:cs="Times New Roman"/>
        <w:sz w:val="18"/>
        <w:szCs w:val="18"/>
        <w:lang w:val="en-US" w:eastAsia="zh-CN" w:bidi="ar-SA"/>
      </w:rPr>
      <w:t>JSZC-320214-WXZH-G2026-0004</w:t>
    </w:r>
    <w:r>
      <w:rPr>
        <w:rFonts w:hint="eastAsia" w:ascii="宋体" w:hAnsi="宋体" w:eastAsia="宋体" w:cs="Times New Roman"/>
        <w:sz w:val="18"/>
        <w:szCs w:val="18"/>
        <w:lang w:val="en-US" w:eastAsia="zh-CN" w:bidi="ar-SA"/>
      </w:rPr>
      <w:t>2026年度江溪街道城市管理应急处置拆违拆临服务项目公开招标文件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AEBD76">
    <w:pPr>
      <w:pStyle w:val="26"/>
    </w:pPr>
    <w:r>
      <w:rPr>
        <w:rFonts w:hint="eastAsia" w:ascii="宋体" w:hAnsi="宋体"/>
        <w:lang w:eastAsia="zh-CN"/>
      </w:rPr>
      <w:t>JSZC-320214-WXZH-G2026-0004</w:t>
    </w:r>
    <w:r>
      <w:rPr>
        <w:rFonts w:hint="eastAsia" w:ascii="宋体" w:hAnsi="宋体"/>
      </w:rPr>
      <w:t xml:space="preserve">                </w:t>
    </w:r>
    <w:r>
      <w:rPr>
        <w:rFonts w:hint="eastAsia" w:ascii="宋体" w:hAnsi="宋体"/>
        <w:lang w:eastAsia="zh-CN"/>
      </w:rPr>
      <w:t>2026年度江溪街道城市管理应急处置拆违拆临服务项目</w:t>
    </w:r>
    <w:r>
      <w:rPr>
        <w:rFonts w:hint="eastAsia" w:ascii="宋体" w:hAnsi="宋体"/>
      </w:rPr>
      <w:t>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92EA9">
    <w:pPr>
      <w:pStyle w:val="26"/>
    </w:pPr>
    <w:r>
      <w:rPr>
        <w:rFonts w:hint="eastAsia" w:ascii="宋体" w:hAnsi="宋体"/>
        <w:lang w:eastAsia="zh-CN"/>
      </w:rPr>
      <w:t>JSZC-320214-WXZH-G2026-0004</w:t>
    </w:r>
    <w:r>
      <w:rPr>
        <w:rFonts w:hint="eastAsia" w:ascii="宋体" w:hAnsi="宋体"/>
        <w:lang w:val="en-US" w:eastAsia="zh-CN"/>
      </w:rPr>
      <w:t xml:space="preserve">            </w:t>
    </w:r>
    <w:r>
      <w:rPr>
        <w:rFonts w:hint="eastAsia" w:ascii="宋体" w:hAnsi="宋体"/>
        <w:lang w:eastAsia="zh-CN"/>
      </w:rPr>
      <w:t>2026年度江溪街道城市管理应急处置拆违拆临服务项目</w:t>
    </w:r>
    <w:r>
      <w:rPr>
        <w:rFonts w:hint="eastAsia" w:ascii="宋体" w:hAnsi="宋体"/>
      </w:rPr>
      <w:t>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rFonts w:ascii="宋体" w:hAnsi="宋体" w:eastAsia="宋体" w:cs="Times New Roman"/>
        <w:color w:val="000000"/>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1">
    <w:nsid w:val="C8879AEF"/>
    <w:multiLevelType w:val="multilevel"/>
    <w:tmpl w:val="C8879AEF"/>
    <w:lvl w:ilvl="0" w:tentative="0">
      <w:start w:val="1"/>
      <w:numFmt w:val="decimal"/>
      <w:lvlText w:val="%1．"/>
      <w:lvlJc w:val="left"/>
      <w:pPr>
        <w:tabs>
          <w:tab w:val="left" w:pos="570"/>
        </w:tabs>
        <w:ind w:left="570"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bullet"/>
      <w:pStyle w:val="30"/>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3">
    <w:nsid w:val="F4B5D9F5"/>
    <w:multiLevelType w:val="multilevel"/>
    <w:tmpl w:val="F4B5D9F5"/>
    <w:lvl w:ilvl="0" w:tentative="0">
      <w:start w:val="1"/>
      <w:numFmt w:val="decimal"/>
      <w:lvlText w:val="%1．"/>
      <w:lvlJc w:val="left"/>
      <w:pPr>
        <w:tabs>
          <w:tab w:val="left" w:pos="552"/>
        </w:tabs>
        <w:ind w:left="447" w:hanging="420"/>
      </w:pPr>
      <w:rPr>
        <w:rFonts w:hint="eastAsia"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upperLetter"/>
      <w:pStyle w:val="7"/>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248C179"/>
    <w:multiLevelType w:val="multilevel"/>
    <w:tmpl w:val="0248C17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abstractNum w:abstractNumId="6">
    <w:nsid w:val="2470EC97"/>
    <w:multiLevelType w:val="multilevel"/>
    <w:tmpl w:val="2470EC97"/>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59ADCABA"/>
    <w:multiLevelType w:val="multilevel"/>
    <w:tmpl w:val="59ADCABA"/>
    <w:lvl w:ilvl="0" w:tentative="0">
      <w:start w:val="1"/>
      <w:numFmt w:val="chineseCountingThousand"/>
      <w:lvlText w:val="第%1部分"/>
      <w:lvlJc w:val="left"/>
      <w:pPr>
        <w:tabs>
          <w:tab w:val="left" w:pos="1800"/>
        </w:tabs>
        <w:ind w:left="425" w:hanging="425"/>
      </w:pPr>
      <w:rPr>
        <w:rFonts w:hint="eastAsia"/>
        <w:lang w:val="en-US"/>
      </w:rPr>
    </w:lvl>
    <w:lvl w:ilvl="1" w:tentative="0">
      <w:start w:val="1"/>
      <w:numFmt w:val="decimal"/>
      <w:pStyle w:val="55"/>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4"/>
  </w:num>
  <w:num w:numId="2">
    <w:abstractNumId w:val="2"/>
  </w:num>
  <w:num w:numId="3">
    <w:abstractNumId w:val="7"/>
  </w:num>
  <w:num w:numId="4">
    <w:abstractNumId w:val="0"/>
  </w:num>
  <w:num w:numId="5">
    <w:abstractNumId w:val="5"/>
  </w:num>
  <w:num w:numId="6">
    <w:abstractNumId w:val="1"/>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36A"/>
    <w:rsid w:val="00043144"/>
    <w:rsid w:val="00130362"/>
    <w:rsid w:val="002A04A4"/>
    <w:rsid w:val="004719FA"/>
    <w:rsid w:val="004727DB"/>
    <w:rsid w:val="005B4E6E"/>
    <w:rsid w:val="006304B1"/>
    <w:rsid w:val="0069744B"/>
    <w:rsid w:val="006F1117"/>
    <w:rsid w:val="00733E26"/>
    <w:rsid w:val="007606F3"/>
    <w:rsid w:val="007731D4"/>
    <w:rsid w:val="007A5CC9"/>
    <w:rsid w:val="00941473"/>
    <w:rsid w:val="009C766F"/>
    <w:rsid w:val="009E40D2"/>
    <w:rsid w:val="00A038F8"/>
    <w:rsid w:val="00A72F94"/>
    <w:rsid w:val="00B7225B"/>
    <w:rsid w:val="00B92181"/>
    <w:rsid w:val="00BF3FE7"/>
    <w:rsid w:val="00C3783F"/>
    <w:rsid w:val="00D2036A"/>
    <w:rsid w:val="00D41B7C"/>
    <w:rsid w:val="00D77F3F"/>
    <w:rsid w:val="00DC43C6"/>
    <w:rsid w:val="00E66B34"/>
    <w:rsid w:val="00E80280"/>
    <w:rsid w:val="00EB5761"/>
    <w:rsid w:val="00EF5061"/>
    <w:rsid w:val="01115B19"/>
    <w:rsid w:val="0182314E"/>
    <w:rsid w:val="01CB20DE"/>
    <w:rsid w:val="02105DD0"/>
    <w:rsid w:val="02925FE5"/>
    <w:rsid w:val="03405D46"/>
    <w:rsid w:val="03A82039"/>
    <w:rsid w:val="03BE7AAE"/>
    <w:rsid w:val="03C50E3C"/>
    <w:rsid w:val="03DB41BC"/>
    <w:rsid w:val="03DF0B20"/>
    <w:rsid w:val="03F4527E"/>
    <w:rsid w:val="04BB3B56"/>
    <w:rsid w:val="05917228"/>
    <w:rsid w:val="05C64C6B"/>
    <w:rsid w:val="06C76C7A"/>
    <w:rsid w:val="08030185"/>
    <w:rsid w:val="082E5202"/>
    <w:rsid w:val="09A30302"/>
    <w:rsid w:val="09C37BCC"/>
    <w:rsid w:val="0A01741B"/>
    <w:rsid w:val="0A116B8A"/>
    <w:rsid w:val="0A140428"/>
    <w:rsid w:val="0A401D4A"/>
    <w:rsid w:val="0B27035A"/>
    <w:rsid w:val="0BF70001"/>
    <w:rsid w:val="0C4843B9"/>
    <w:rsid w:val="0C85098B"/>
    <w:rsid w:val="0CB63A18"/>
    <w:rsid w:val="0E0D7668"/>
    <w:rsid w:val="0E2343D8"/>
    <w:rsid w:val="0E7F0CE8"/>
    <w:rsid w:val="0E8A0CB9"/>
    <w:rsid w:val="0EBF7623"/>
    <w:rsid w:val="0F15371B"/>
    <w:rsid w:val="0F4E7F38"/>
    <w:rsid w:val="0F8E4EE0"/>
    <w:rsid w:val="0F9D0EBF"/>
    <w:rsid w:val="0F9D4A1B"/>
    <w:rsid w:val="0FB75ADD"/>
    <w:rsid w:val="10FD7E68"/>
    <w:rsid w:val="12096398"/>
    <w:rsid w:val="12176D07"/>
    <w:rsid w:val="12661A3D"/>
    <w:rsid w:val="130E39E7"/>
    <w:rsid w:val="132E255A"/>
    <w:rsid w:val="14072DAB"/>
    <w:rsid w:val="14261483"/>
    <w:rsid w:val="14E024D3"/>
    <w:rsid w:val="14F72E20"/>
    <w:rsid w:val="157028B8"/>
    <w:rsid w:val="15A42B29"/>
    <w:rsid w:val="15F64E85"/>
    <w:rsid w:val="16247C45"/>
    <w:rsid w:val="16CD208A"/>
    <w:rsid w:val="174F2812"/>
    <w:rsid w:val="17575DF8"/>
    <w:rsid w:val="1A090616"/>
    <w:rsid w:val="1AB377E9"/>
    <w:rsid w:val="1C56667E"/>
    <w:rsid w:val="1D1F1166"/>
    <w:rsid w:val="1F3802BD"/>
    <w:rsid w:val="1FB042F7"/>
    <w:rsid w:val="1FD1193E"/>
    <w:rsid w:val="20DB35F6"/>
    <w:rsid w:val="23825FAA"/>
    <w:rsid w:val="23922871"/>
    <w:rsid w:val="2412732E"/>
    <w:rsid w:val="24617CE7"/>
    <w:rsid w:val="24C820E3"/>
    <w:rsid w:val="24E46F1D"/>
    <w:rsid w:val="254554E2"/>
    <w:rsid w:val="258424AE"/>
    <w:rsid w:val="25910727"/>
    <w:rsid w:val="266F7EA5"/>
    <w:rsid w:val="268C786C"/>
    <w:rsid w:val="26A15889"/>
    <w:rsid w:val="276F7F45"/>
    <w:rsid w:val="27A72484"/>
    <w:rsid w:val="27C46B92"/>
    <w:rsid w:val="28CC5361"/>
    <w:rsid w:val="2900009D"/>
    <w:rsid w:val="2903193C"/>
    <w:rsid w:val="29235B3A"/>
    <w:rsid w:val="295758FE"/>
    <w:rsid w:val="29842A7C"/>
    <w:rsid w:val="298C18E5"/>
    <w:rsid w:val="299756C3"/>
    <w:rsid w:val="2A4F75F1"/>
    <w:rsid w:val="2A6B7798"/>
    <w:rsid w:val="2AA9230C"/>
    <w:rsid w:val="2AF14141"/>
    <w:rsid w:val="2B137DE1"/>
    <w:rsid w:val="2B960C8F"/>
    <w:rsid w:val="2C567FD4"/>
    <w:rsid w:val="2D5B3AF4"/>
    <w:rsid w:val="2DF61A6F"/>
    <w:rsid w:val="2E9372BE"/>
    <w:rsid w:val="2F9E3464"/>
    <w:rsid w:val="2FE778C1"/>
    <w:rsid w:val="30191A45"/>
    <w:rsid w:val="30B023A9"/>
    <w:rsid w:val="30B12AB3"/>
    <w:rsid w:val="310503B1"/>
    <w:rsid w:val="31943A79"/>
    <w:rsid w:val="33CC023E"/>
    <w:rsid w:val="342F7A89"/>
    <w:rsid w:val="3439473C"/>
    <w:rsid w:val="35777939"/>
    <w:rsid w:val="360311CD"/>
    <w:rsid w:val="36266C69"/>
    <w:rsid w:val="36D3294D"/>
    <w:rsid w:val="37E44C73"/>
    <w:rsid w:val="37ED7A3F"/>
    <w:rsid w:val="37F0752F"/>
    <w:rsid w:val="391E6E6D"/>
    <w:rsid w:val="392F1CE1"/>
    <w:rsid w:val="395215F5"/>
    <w:rsid w:val="39936453"/>
    <w:rsid w:val="39C40E54"/>
    <w:rsid w:val="39F1434E"/>
    <w:rsid w:val="3A667F7C"/>
    <w:rsid w:val="3ABB3E24"/>
    <w:rsid w:val="3AED5FA8"/>
    <w:rsid w:val="3B077069"/>
    <w:rsid w:val="3B196D9D"/>
    <w:rsid w:val="3C7E77FF"/>
    <w:rsid w:val="3D803103"/>
    <w:rsid w:val="3D850719"/>
    <w:rsid w:val="3E570308"/>
    <w:rsid w:val="3E852F8C"/>
    <w:rsid w:val="3E907376"/>
    <w:rsid w:val="3E9C21BE"/>
    <w:rsid w:val="3EC80C8D"/>
    <w:rsid w:val="3F0B0D59"/>
    <w:rsid w:val="3F0D4EBA"/>
    <w:rsid w:val="3F2301EA"/>
    <w:rsid w:val="3FA0651D"/>
    <w:rsid w:val="3FE91433"/>
    <w:rsid w:val="3FFA719D"/>
    <w:rsid w:val="41036EC8"/>
    <w:rsid w:val="414F52C6"/>
    <w:rsid w:val="417E3DFD"/>
    <w:rsid w:val="41870F04"/>
    <w:rsid w:val="41D45730"/>
    <w:rsid w:val="421A105E"/>
    <w:rsid w:val="42613D77"/>
    <w:rsid w:val="43212B30"/>
    <w:rsid w:val="43D877F5"/>
    <w:rsid w:val="43E048FB"/>
    <w:rsid w:val="445C6678"/>
    <w:rsid w:val="44765B8C"/>
    <w:rsid w:val="451900C5"/>
    <w:rsid w:val="452B0E2F"/>
    <w:rsid w:val="45310AF0"/>
    <w:rsid w:val="45513D03"/>
    <w:rsid w:val="45A55DFD"/>
    <w:rsid w:val="466B0DF4"/>
    <w:rsid w:val="46EF0BE7"/>
    <w:rsid w:val="476B0980"/>
    <w:rsid w:val="47916495"/>
    <w:rsid w:val="486E697A"/>
    <w:rsid w:val="48E81FE4"/>
    <w:rsid w:val="48F21359"/>
    <w:rsid w:val="49504653"/>
    <w:rsid w:val="49BC1967"/>
    <w:rsid w:val="4A331C29"/>
    <w:rsid w:val="4A4655A2"/>
    <w:rsid w:val="4AB8212E"/>
    <w:rsid w:val="4B616322"/>
    <w:rsid w:val="4BB70638"/>
    <w:rsid w:val="4BF4363A"/>
    <w:rsid w:val="4C5E3A20"/>
    <w:rsid w:val="4C7107E7"/>
    <w:rsid w:val="4C83051A"/>
    <w:rsid w:val="4CB20768"/>
    <w:rsid w:val="4DB43081"/>
    <w:rsid w:val="4DD74FC1"/>
    <w:rsid w:val="4E7274C0"/>
    <w:rsid w:val="4EB726FD"/>
    <w:rsid w:val="4EE5726A"/>
    <w:rsid w:val="4F381A8F"/>
    <w:rsid w:val="4F3D0E54"/>
    <w:rsid w:val="4F4641AC"/>
    <w:rsid w:val="4F905428"/>
    <w:rsid w:val="507C3BFE"/>
    <w:rsid w:val="5163465C"/>
    <w:rsid w:val="51A90A23"/>
    <w:rsid w:val="530B2686"/>
    <w:rsid w:val="531B76FE"/>
    <w:rsid w:val="535A6AB4"/>
    <w:rsid w:val="53890B0C"/>
    <w:rsid w:val="53F46EC7"/>
    <w:rsid w:val="53FA0ECE"/>
    <w:rsid w:val="5402441A"/>
    <w:rsid w:val="54EF4217"/>
    <w:rsid w:val="55540CA5"/>
    <w:rsid w:val="558176A9"/>
    <w:rsid w:val="55FE64DE"/>
    <w:rsid w:val="561843C9"/>
    <w:rsid w:val="5785783C"/>
    <w:rsid w:val="57C2639A"/>
    <w:rsid w:val="581D5CC6"/>
    <w:rsid w:val="588D4BFA"/>
    <w:rsid w:val="58920462"/>
    <w:rsid w:val="5895585D"/>
    <w:rsid w:val="58D259FC"/>
    <w:rsid w:val="592F5CB1"/>
    <w:rsid w:val="59464DA9"/>
    <w:rsid w:val="59631A75"/>
    <w:rsid w:val="59FD190B"/>
    <w:rsid w:val="5A1530F9"/>
    <w:rsid w:val="5B5C08B4"/>
    <w:rsid w:val="5C2869E8"/>
    <w:rsid w:val="5C9F314E"/>
    <w:rsid w:val="5CC21EBE"/>
    <w:rsid w:val="5DCE5DE6"/>
    <w:rsid w:val="5E6006BB"/>
    <w:rsid w:val="5E8720EC"/>
    <w:rsid w:val="5F775CBC"/>
    <w:rsid w:val="5F934ECE"/>
    <w:rsid w:val="5FB52C88"/>
    <w:rsid w:val="5FE13A7D"/>
    <w:rsid w:val="5FF02075"/>
    <w:rsid w:val="60395667"/>
    <w:rsid w:val="60E84E6B"/>
    <w:rsid w:val="61B2122D"/>
    <w:rsid w:val="61DC274E"/>
    <w:rsid w:val="62886432"/>
    <w:rsid w:val="62C06FE2"/>
    <w:rsid w:val="62DE0A75"/>
    <w:rsid w:val="638906B4"/>
    <w:rsid w:val="64833355"/>
    <w:rsid w:val="64A82DBC"/>
    <w:rsid w:val="66081D64"/>
    <w:rsid w:val="665C5C0C"/>
    <w:rsid w:val="66684D3E"/>
    <w:rsid w:val="66AB75B9"/>
    <w:rsid w:val="66E005EB"/>
    <w:rsid w:val="66F2031E"/>
    <w:rsid w:val="670E33AA"/>
    <w:rsid w:val="67634240"/>
    <w:rsid w:val="67B30113"/>
    <w:rsid w:val="69CE559A"/>
    <w:rsid w:val="6AB35F0F"/>
    <w:rsid w:val="6B0D1BCA"/>
    <w:rsid w:val="6B0D5727"/>
    <w:rsid w:val="6B24065D"/>
    <w:rsid w:val="6B397E3F"/>
    <w:rsid w:val="6B945E48"/>
    <w:rsid w:val="6BCB7ABB"/>
    <w:rsid w:val="6CDE737B"/>
    <w:rsid w:val="6D615047"/>
    <w:rsid w:val="6DB40274"/>
    <w:rsid w:val="6DC81DD9"/>
    <w:rsid w:val="6EAD563F"/>
    <w:rsid w:val="6EC322E1"/>
    <w:rsid w:val="6FBA08E8"/>
    <w:rsid w:val="70425E72"/>
    <w:rsid w:val="70D80585"/>
    <w:rsid w:val="7130216F"/>
    <w:rsid w:val="71F633B8"/>
    <w:rsid w:val="72127AC6"/>
    <w:rsid w:val="722F0506"/>
    <w:rsid w:val="724C4EA1"/>
    <w:rsid w:val="72BB1F0C"/>
    <w:rsid w:val="7443214A"/>
    <w:rsid w:val="748527D2"/>
    <w:rsid w:val="74DD43BC"/>
    <w:rsid w:val="74DE7D54"/>
    <w:rsid w:val="74EA1FA1"/>
    <w:rsid w:val="750822A1"/>
    <w:rsid w:val="759F5B15"/>
    <w:rsid w:val="761E4DFD"/>
    <w:rsid w:val="764C7A4B"/>
    <w:rsid w:val="76612DCA"/>
    <w:rsid w:val="76931D5E"/>
    <w:rsid w:val="775F6F40"/>
    <w:rsid w:val="783F4B4D"/>
    <w:rsid w:val="790740FD"/>
    <w:rsid w:val="799139C7"/>
    <w:rsid w:val="79A41B69"/>
    <w:rsid w:val="79B773AA"/>
    <w:rsid w:val="79BD71CD"/>
    <w:rsid w:val="7B3D1B7D"/>
    <w:rsid w:val="7C4A4A2C"/>
    <w:rsid w:val="7C63789C"/>
    <w:rsid w:val="7CA12173"/>
    <w:rsid w:val="7CE0713F"/>
    <w:rsid w:val="7E223911"/>
    <w:rsid w:val="7E906943"/>
    <w:rsid w:val="7F01514B"/>
    <w:rsid w:val="7F2D4191"/>
    <w:rsid w:val="7F4F1977"/>
    <w:rsid w:val="7F565496"/>
    <w:rsid w:val="7FA02BB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nhideWhenUsed="0" w:uiPriority="99" w:semiHidden="0" w:name="index 4"/>
    <w:lsdException w:qFormat="1" w:unhideWhenUsed="0" w:uiPriority="99" w:semiHidden="0"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nhideWhenUsed="0" w:uiPriority="99" w:semiHidden="0"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qFormat="1" w:uiPriority="99" w:semiHidden="0" w:name="Block Text"/>
    <w:lsdException w:qFormat="1" w:unhideWhenUsed="0" w:uiPriority="0"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234"/>
    <w:qFormat/>
    <w:uiPriority w:val="99"/>
    <w:pPr>
      <w:keepNext/>
      <w:jc w:val="center"/>
      <w:outlineLvl w:val="0"/>
    </w:pPr>
    <w:rPr>
      <w:rFonts w:ascii="楷体_GB2312" w:eastAsia="楷体_GB2312"/>
      <w:b/>
      <w:sz w:val="28"/>
    </w:rPr>
  </w:style>
  <w:style w:type="paragraph" w:styleId="3">
    <w:name w:val="heading 2"/>
    <w:basedOn w:val="1"/>
    <w:next w:val="1"/>
    <w:link w:val="235"/>
    <w:qFormat/>
    <w:uiPriority w:val="99"/>
    <w:pPr>
      <w:keepNext/>
      <w:jc w:val="center"/>
      <w:outlineLvl w:val="1"/>
    </w:pPr>
    <w:rPr>
      <w:rFonts w:ascii="楷体_GB2312" w:eastAsia="楷体_GB2312"/>
      <w:b/>
      <w:bCs/>
      <w:sz w:val="18"/>
    </w:rPr>
  </w:style>
  <w:style w:type="paragraph" w:styleId="4">
    <w:name w:val="heading 3"/>
    <w:basedOn w:val="1"/>
    <w:next w:val="5"/>
    <w:link w:val="236"/>
    <w:qFormat/>
    <w:uiPriority w:val="99"/>
    <w:pPr>
      <w:keepNext/>
      <w:jc w:val="center"/>
      <w:outlineLvl w:val="2"/>
    </w:pPr>
    <w:rPr>
      <w:rFonts w:eastAsia="楷体_GB2312"/>
      <w:b/>
      <w:bCs/>
      <w:sz w:val="15"/>
    </w:rPr>
  </w:style>
  <w:style w:type="paragraph" w:styleId="6">
    <w:name w:val="heading 4"/>
    <w:basedOn w:val="1"/>
    <w:next w:val="1"/>
    <w:link w:val="237"/>
    <w:qFormat/>
    <w:uiPriority w:val="99"/>
    <w:pPr>
      <w:keepNext/>
      <w:jc w:val="center"/>
      <w:outlineLvl w:val="3"/>
    </w:pPr>
    <w:rPr>
      <w:rFonts w:eastAsia="楷体_GB2312"/>
      <w:b/>
      <w:bCs/>
      <w:sz w:val="13"/>
    </w:rPr>
  </w:style>
  <w:style w:type="paragraph" w:styleId="7">
    <w:name w:val="heading 5"/>
    <w:basedOn w:val="1"/>
    <w:next w:val="1"/>
    <w:link w:val="238"/>
    <w:qFormat/>
    <w:uiPriority w:val="99"/>
    <w:pPr>
      <w:keepNext/>
      <w:numPr>
        <w:ilvl w:val="0"/>
        <w:numId w:val="1"/>
      </w:numPr>
      <w:outlineLvl w:val="4"/>
    </w:pPr>
    <w:rPr>
      <w:rFonts w:ascii="楷体_GB2312" w:eastAsia="楷体_GB2312"/>
      <w:bCs/>
      <w:sz w:val="28"/>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39"/>
    <w:qFormat/>
    <w:uiPriority w:val="0"/>
    <w:pPr>
      <w:ind w:firstLine="420"/>
    </w:pPr>
    <w:rPr>
      <w:szCs w:val="24"/>
    </w:rPr>
  </w:style>
  <w:style w:type="paragraph" w:styleId="8">
    <w:name w:val="toc 7"/>
    <w:basedOn w:val="1"/>
    <w:next w:val="1"/>
    <w:qFormat/>
    <w:uiPriority w:val="39"/>
    <w:pPr>
      <w:spacing w:after="57"/>
      <w:ind w:left="1701"/>
    </w:pPr>
  </w:style>
  <w:style w:type="paragraph" w:styleId="9">
    <w:name w:val="index 5"/>
    <w:basedOn w:val="1"/>
    <w:next w:val="1"/>
    <w:qFormat/>
    <w:uiPriority w:val="99"/>
    <w:pPr>
      <w:ind w:left="800"/>
    </w:pPr>
  </w:style>
  <w:style w:type="paragraph" w:styleId="10">
    <w:name w:val="Document Map"/>
    <w:basedOn w:val="1"/>
    <w:next w:val="1"/>
    <w:link w:val="240"/>
    <w:qFormat/>
    <w:uiPriority w:val="99"/>
    <w:pPr>
      <w:shd w:val="clear" w:color="auto" w:fill="000080"/>
    </w:pPr>
    <w:rPr>
      <w:sz w:val="20"/>
    </w:rPr>
  </w:style>
  <w:style w:type="paragraph" w:styleId="11">
    <w:name w:val="annotation text"/>
    <w:basedOn w:val="1"/>
    <w:link w:val="241"/>
    <w:qFormat/>
    <w:uiPriority w:val="0"/>
    <w:pPr>
      <w:jc w:val="left"/>
    </w:pPr>
    <w:rPr>
      <w:sz w:val="20"/>
      <w:szCs w:val="24"/>
    </w:rPr>
  </w:style>
  <w:style w:type="paragraph" w:styleId="12">
    <w:name w:val="Body Text"/>
    <w:basedOn w:val="1"/>
    <w:next w:val="1"/>
    <w:link w:val="242"/>
    <w:qFormat/>
    <w:uiPriority w:val="99"/>
    <w:rPr>
      <w:rFonts w:ascii="华文中宋" w:eastAsia="华文中宋"/>
      <w:bCs/>
      <w:sz w:val="28"/>
    </w:rPr>
  </w:style>
  <w:style w:type="paragraph" w:styleId="13">
    <w:name w:val="Body Text Indent"/>
    <w:basedOn w:val="1"/>
    <w:link w:val="243"/>
    <w:qFormat/>
    <w:uiPriority w:val="0"/>
    <w:pPr>
      <w:ind w:firstLine="576"/>
    </w:pPr>
    <w:rPr>
      <w:b/>
      <w:sz w:val="30"/>
    </w:rPr>
  </w:style>
  <w:style w:type="paragraph" w:styleId="14">
    <w:name w:val="Block Text"/>
    <w:basedOn w:val="1"/>
    <w:unhideWhenUsed/>
    <w:qFormat/>
    <w:uiPriority w:val="99"/>
    <w:pPr>
      <w:spacing w:after="120"/>
      <w:ind w:left="1440" w:right="1440"/>
    </w:pPr>
  </w:style>
  <w:style w:type="paragraph" w:styleId="15">
    <w:name w:val="index 4"/>
    <w:basedOn w:val="1"/>
    <w:next w:val="1"/>
    <w:qFormat/>
    <w:uiPriority w:val="99"/>
    <w:pPr>
      <w:widowControl w:val="0"/>
      <w:spacing w:line="240" w:lineRule="auto"/>
      <w:ind w:left="600" w:firstLine="0"/>
      <w:jc w:val="both"/>
    </w:pPr>
    <w:rPr>
      <w:rFonts w:ascii="Times New Roman" w:hAnsi="Times New Roman" w:cs="Times New Roman"/>
      <w:color w:val="auto"/>
      <w:sz w:val="21"/>
      <w:szCs w:val="24"/>
      <w:lang w:eastAsia="zh-CN"/>
    </w:rPr>
  </w:style>
  <w:style w:type="paragraph" w:styleId="16">
    <w:name w:val="toc 5"/>
    <w:basedOn w:val="1"/>
    <w:next w:val="1"/>
    <w:qFormat/>
    <w:uiPriority w:val="39"/>
    <w:pPr>
      <w:spacing w:after="57"/>
      <w:ind w:left="1134"/>
    </w:pPr>
  </w:style>
  <w:style w:type="paragraph" w:styleId="17">
    <w:name w:val="toc 3"/>
    <w:basedOn w:val="1"/>
    <w:next w:val="1"/>
    <w:qFormat/>
    <w:uiPriority w:val="39"/>
    <w:pPr>
      <w:spacing w:after="57"/>
      <w:ind w:left="567"/>
    </w:pPr>
  </w:style>
  <w:style w:type="paragraph" w:styleId="18">
    <w:name w:val="Plain Text"/>
    <w:basedOn w:val="1"/>
    <w:link w:val="244"/>
    <w:qFormat/>
    <w:uiPriority w:val="0"/>
    <w:rPr>
      <w:rFonts w:ascii="宋体" w:hAnsi="Courier New"/>
      <w:szCs w:val="21"/>
    </w:rPr>
  </w:style>
  <w:style w:type="paragraph" w:styleId="19">
    <w:name w:val="toc 8"/>
    <w:basedOn w:val="1"/>
    <w:next w:val="1"/>
    <w:qFormat/>
    <w:uiPriority w:val="39"/>
    <w:pPr>
      <w:spacing w:after="57"/>
      <w:ind w:left="1984"/>
    </w:pPr>
  </w:style>
  <w:style w:type="paragraph" w:styleId="20">
    <w:name w:val="Date"/>
    <w:basedOn w:val="1"/>
    <w:next w:val="1"/>
    <w:link w:val="245"/>
    <w:qFormat/>
    <w:uiPriority w:val="99"/>
    <w:rPr>
      <w:rFonts w:eastAsia="黑体"/>
      <w:b/>
      <w:sz w:val="36"/>
    </w:rPr>
  </w:style>
  <w:style w:type="paragraph" w:styleId="21">
    <w:name w:val="Body Text Indent 2"/>
    <w:basedOn w:val="1"/>
    <w:link w:val="246"/>
    <w:qFormat/>
    <w:uiPriority w:val="99"/>
    <w:pPr>
      <w:ind w:left="900"/>
    </w:pPr>
    <w:rPr>
      <w:rFonts w:ascii="楷体_GB2312" w:eastAsia="楷体_GB2312"/>
      <w:b/>
      <w:sz w:val="28"/>
    </w:rPr>
  </w:style>
  <w:style w:type="paragraph" w:styleId="22">
    <w:name w:val="endnote text"/>
    <w:basedOn w:val="1"/>
    <w:link w:val="232"/>
    <w:qFormat/>
    <w:uiPriority w:val="99"/>
    <w:rPr>
      <w:sz w:val="20"/>
    </w:rPr>
  </w:style>
  <w:style w:type="paragraph" w:styleId="23">
    <w:name w:val="Balloon Text"/>
    <w:basedOn w:val="1"/>
    <w:link w:val="247"/>
    <w:qFormat/>
    <w:uiPriority w:val="99"/>
    <w:rPr>
      <w:sz w:val="18"/>
      <w:szCs w:val="18"/>
    </w:rPr>
  </w:style>
  <w:style w:type="paragraph" w:styleId="24">
    <w:name w:val="footer"/>
    <w:basedOn w:val="1"/>
    <w:next w:val="25"/>
    <w:link w:val="248"/>
    <w:qFormat/>
    <w:uiPriority w:val="99"/>
    <w:pPr>
      <w:tabs>
        <w:tab w:val="center" w:pos="4153"/>
        <w:tab w:val="right" w:pos="8306"/>
      </w:tabs>
      <w:jc w:val="left"/>
    </w:pPr>
    <w:rPr>
      <w:sz w:val="18"/>
      <w:szCs w:val="18"/>
    </w:rPr>
  </w:style>
  <w:style w:type="paragraph" w:customStyle="1" w:styleId="25">
    <w:name w:val="TOC Heading1"/>
    <w:next w:val="1"/>
    <w:qFormat/>
    <w:uiPriority w:val="0"/>
    <w:pPr>
      <w:wordWrap w:val="0"/>
    </w:pPr>
    <w:rPr>
      <w:rFonts w:ascii="Times New Roman" w:hAnsi="Times New Roman" w:eastAsia="宋体" w:cs="Times New Roman"/>
      <w:sz w:val="32"/>
      <w:lang w:val="en-US" w:eastAsia="zh-CN" w:bidi="ar-SA"/>
    </w:rPr>
  </w:style>
  <w:style w:type="paragraph" w:styleId="26">
    <w:name w:val="header"/>
    <w:basedOn w:val="1"/>
    <w:link w:val="249"/>
    <w:qFormat/>
    <w:uiPriority w:val="0"/>
    <w:pPr>
      <w:pBdr>
        <w:bottom w:val="single" w:color="000000" w:sz="6" w:space="1"/>
      </w:pBdr>
      <w:tabs>
        <w:tab w:val="center" w:pos="4153"/>
        <w:tab w:val="right" w:pos="8306"/>
      </w:tabs>
      <w:jc w:val="center"/>
    </w:pPr>
    <w:rPr>
      <w:sz w:val="18"/>
      <w:szCs w:val="18"/>
    </w:rPr>
  </w:style>
  <w:style w:type="paragraph" w:styleId="27">
    <w:name w:val="toc 1"/>
    <w:basedOn w:val="1"/>
    <w:next w:val="1"/>
    <w:qFormat/>
    <w:uiPriority w:val="39"/>
    <w:pPr>
      <w:spacing w:after="57"/>
    </w:pPr>
  </w:style>
  <w:style w:type="paragraph" w:styleId="28">
    <w:name w:val="toc 4"/>
    <w:basedOn w:val="1"/>
    <w:next w:val="1"/>
    <w:qFormat/>
    <w:uiPriority w:val="39"/>
    <w:pPr>
      <w:spacing w:after="57"/>
      <w:ind w:left="850"/>
    </w:pPr>
  </w:style>
  <w:style w:type="paragraph" w:styleId="29">
    <w:name w:val="Subtitle"/>
    <w:basedOn w:val="1"/>
    <w:next w:val="1"/>
    <w:link w:val="95"/>
    <w:qFormat/>
    <w:uiPriority w:val="11"/>
    <w:pPr>
      <w:spacing w:before="200" w:after="200"/>
    </w:pPr>
    <w:rPr>
      <w:sz w:val="24"/>
      <w:szCs w:val="24"/>
    </w:rPr>
  </w:style>
  <w:style w:type="paragraph" w:styleId="30">
    <w:name w:val="List"/>
    <w:basedOn w:val="1"/>
    <w:qFormat/>
    <w:uiPriority w:val="0"/>
    <w:pPr>
      <w:numPr>
        <w:ilvl w:val="0"/>
        <w:numId w:val="2"/>
      </w:numPr>
      <w:spacing w:after="20" w:line="288" w:lineRule="auto"/>
    </w:pPr>
    <w:rPr>
      <w:lang w:val="en-GB"/>
    </w:rPr>
  </w:style>
  <w:style w:type="paragraph" w:styleId="31">
    <w:name w:val="footnote text"/>
    <w:basedOn w:val="1"/>
    <w:next w:val="9"/>
    <w:link w:val="250"/>
    <w:qFormat/>
    <w:uiPriority w:val="0"/>
    <w:pPr>
      <w:spacing w:before="120" w:line="360" w:lineRule="auto"/>
      <w:ind w:firstLine="425"/>
      <w:jc w:val="left"/>
    </w:pPr>
    <w:rPr>
      <w:sz w:val="18"/>
    </w:rPr>
  </w:style>
  <w:style w:type="paragraph" w:styleId="32">
    <w:name w:val="toc 6"/>
    <w:basedOn w:val="1"/>
    <w:next w:val="1"/>
    <w:qFormat/>
    <w:uiPriority w:val="39"/>
    <w:pPr>
      <w:spacing w:after="57"/>
      <w:ind w:left="1417"/>
    </w:pPr>
  </w:style>
  <w:style w:type="paragraph" w:styleId="33">
    <w:name w:val="Body Text Indent 3"/>
    <w:basedOn w:val="1"/>
    <w:link w:val="251"/>
    <w:qFormat/>
    <w:uiPriority w:val="99"/>
    <w:pPr>
      <w:ind w:left="359" w:firstLine="359"/>
    </w:pPr>
    <w:rPr>
      <w:sz w:val="20"/>
    </w:rPr>
  </w:style>
  <w:style w:type="paragraph" w:styleId="34">
    <w:name w:val="table of figures"/>
    <w:basedOn w:val="1"/>
    <w:next w:val="1"/>
    <w:qFormat/>
    <w:uiPriority w:val="99"/>
  </w:style>
  <w:style w:type="paragraph" w:styleId="35">
    <w:name w:val="toc 2"/>
    <w:basedOn w:val="1"/>
    <w:next w:val="1"/>
    <w:qFormat/>
    <w:uiPriority w:val="39"/>
    <w:pPr>
      <w:spacing w:after="57"/>
      <w:ind w:left="283"/>
    </w:pPr>
  </w:style>
  <w:style w:type="paragraph" w:styleId="36">
    <w:name w:val="toc 9"/>
    <w:basedOn w:val="1"/>
    <w:next w:val="1"/>
    <w:qFormat/>
    <w:uiPriority w:val="39"/>
    <w:pPr>
      <w:spacing w:after="57"/>
      <w:ind w:left="2268"/>
    </w:pPr>
  </w:style>
  <w:style w:type="paragraph" w:styleId="37">
    <w:name w:val="Body Text 2"/>
    <w:basedOn w:val="1"/>
    <w:link w:val="252"/>
    <w:qFormat/>
    <w:uiPriority w:val="99"/>
    <w:pPr>
      <w:spacing w:after="120" w:line="480" w:lineRule="auto"/>
    </w:pPr>
    <w:rPr>
      <w:sz w:val="20"/>
    </w:rPr>
  </w:style>
  <w:style w:type="paragraph" w:styleId="38">
    <w:name w:val="Normal (Web)"/>
    <w:basedOn w:val="1"/>
    <w:link w:val="253"/>
    <w:qFormat/>
    <w:uiPriority w:val="0"/>
    <w:pPr>
      <w:widowControl/>
      <w:spacing w:before="100" w:beforeAutospacing="1" w:after="100" w:afterAutospacing="1" w:line="288" w:lineRule="auto"/>
      <w:ind w:firstLine="420"/>
      <w:jc w:val="left"/>
    </w:pPr>
    <w:rPr>
      <w:rFonts w:ascii="宋体" w:hAnsi="宋体"/>
      <w:sz w:val="24"/>
      <w:szCs w:val="24"/>
    </w:rPr>
  </w:style>
  <w:style w:type="paragraph" w:styleId="39">
    <w:name w:val="Title"/>
    <w:basedOn w:val="1"/>
    <w:next w:val="1"/>
    <w:link w:val="94"/>
    <w:qFormat/>
    <w:uiPriority w:val="10"/>
    <w:pPr>
      <w:spacing w:before="300" w:after="200"/>
      <w:contextualSpacing/>
    </w:pPr>
    <w:rPr>
      <w:sz w:val="48"/>
      <w:szCs w:val="48"/>
    </w:rPr>
  </w:style>
  <w:style w:type="paragraph" w:styleId="40">
    <w:name w:val="annotation subject"/>
    <w:basedOn w:val="11"/>
    <w:next w:val="11"/>
    <w:link w:val="254"/>
    <w:qFormat/>
    <w:uiPriority w:val="0"/>
    <w:rPr>
      <w:b/>
      <w:bCs/>
    </w:rPr>
  </w:style>
  <w:style w:type="paragraph" w:styleId="41">
    <w:name w:val="Body Text First Indent"/>
    <w:basedOn w:val="12"/>
    <w:link w:val="255"/>
    <w:qFormat/>
    <w:uiPriority w:val="99"/>
    <w:pPr>
      <w:spacing w:after="120"/>
      <w:ind w:firstLine="420"/>
    </w:pPr>
    <w:rPr>
      <w:rFonts w:eastAsia="华文中宋"/>
    </w:rPr>
  </w:style>
  <w:style w:type="paragraph" w:styleId="42">
    <w:name w:val="Body Text First Indent 2"/>
    <w:basedOn w:val="13"/>
    <w:qFormat/>
    <w:uiPriority w:val="0"/>
    <w:pPr>
      <w:spacing w:after="120"/>
      <w:ind w:left="420" w:firstLine="420"/>
    </w:pPr>
    <w:rPr>
      <w:rFonts w:ascii="Cambria" w:hAnsi="Cambria" w:eastAsia="华文细黑"/>
      <w:sz w:val="21"/>
    </w:rPr>
  </w:style>
  <w:style w:type="table" w:styleId="44">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qFormat/>
    <w:uiPriority w:val="99"/>
    <w:rPr>
      <w:rFonts w:cs="Times New Roman"/>
      <w:b/>
      <w:bCs/>
    </w:rPr>
  </w:style>
  <w:style w:type="character" w:styleId="47">
    <w:name w:val="endnote reference"/>
    <w:qFormat/>
    <w:uiPriority w:val="99"/>
    <w:rPr>
      <w:vertAlign w:val="superscript"/>
    </w:rPr>
  </w:style>
  <w:style w:type="character" w:styleId="48">
    <w:name w:val="page number"/>
    <w:qFormat/>
    <w:uiPriority w:val="0"/>
    <w:rPr>
      <w:rFonts w:cs="Times New Roman"/>
    </w:rPr>
  </w:style>
  <w:style w:type="character" w:styleId="49">
    <w:name w:val="FollowedHyperlink"/>
    <w:qFormat/>
    <w:uiPriority w:val="99"/>
    <w:rPr>
      <w:rFonts w:cs="Times New Roman"/>
      <w:color w:val="000000"/>
      <w:u w:val="none"/>
    </w:rPr>
  </w:style>
  <w:style w:type="character" w:styleId="50">
    <w:name w:val="HTML Typewriter"/>
    <w:qFormat/>
    <w:uiPriority w:val="99"/>
    <w:rPr>
      <w:rFonts w:ascii="宋体" w:hAnsi="宋体" w:eastAsia="宋体" w:cs="宋体"/>
      <w:sz w:val="24"/>
      <w:szCs w:val="24"/>
    </w:rPr>
  </w:style>
  <w:style w:type="character" w:styleId="51">
    <w:name w:val="Hyperlink"/>
    <w:qFormat/>
    <w:uiPriority w:val="0"/>
    <w:rPr>
      <w:color w:val="000000"/>
      <w:u w:val="none"/>
    </w:rPr>
  </w:style>
  <w:style w:type="character" w:styleId="52">
    <w:name w:val="HTML Code"/>
    <w:basedOn w:val="45"/>
    <w:semiHidden/>
    <w:unhideWhenUsed/>
    <w:qFormat/>
    <w:uiPriority w:val="99"/>
    <w:rPr>
      <w:rFonts w:ascii="Courier New" w:hAnsi="Courier New"/>
      <w:sz w:val="20"/>
    </w:rPr>
  </w:style>
  <w:style w:type="character" w:styleId="53">
    <w:name w:val="annotation reference"/>
    <w:qFormat/>
    <w:uiPriority w:val="0"/>
    <w:rPr>
      <w:sz w:val="21"/>
      <w:szCs w:val="21"/>
    </w:rPr>
  </w:style>
  <w:style w:type="character" w:styleId="54">
    <w:name w:val="footnote reference"/>
    <w:qFormat/>
    <w:uiPriority w:val="99"/>
    <w:rPr>
      <w:vertAlign w:val="superscript"/>
    </w:rPr>
  </w:style>
  <w:style w:type="paragraph" w:customStyle="1" w:styleId="55">
    <w:name w:val="标题 21"/>
    <w:basedOn w:val="1"/>
    <w:next w:val="1"/>
    <w:qFormat/>
    <w:uiPriority w:val="0"/>
    <w:pPr>
      <w:keepNext/>
      <w:keepLines/>
      <w:numPr>
        <w:ilvl w:val="1"/>
        <w:numId w:val="3"/>
      </w:numPr>
      <w:spacing w:before="260" w:after="260" w:line="416" w:lineRule="auto"/>
      <w:outlineLvl w:val="1"/>
    </w:pPr>
    <w:rPr>
      <w:rFonts w:ascii="Arial" w:hAnsi="Arial" w:eastAsia="黑体"/>
      <w:b/>
      <w:bCs/>
      <w:sz w:val="32"/>
      <w:szCs w:val="32"/>
    </w:rPr>
  </w:style>
  <w:style w:type="character" w:customStyle="1" w:styleId="56">
    <w:name w:val="Heading 1 Char"/>
    <w:basedOn w:val="45"/>
    <w:qFormat/>
    <w:uiPriority w:val="9"/>
    <w:rPr>
      <w:rFonts w:ascii="Arial" w:hAnsi="Arial" w:eastAsia="Arial" w:cs="Arial"/>
      <w:sz w:val="40"/>
      <w:szCs w:val="40"/>
    </w:rPr>
  </w:style>
  <w:style w:type="character" w:customStyle="1" w:styleId="57">
    <w:name w:val="Heading 2 Char"/>
    <w:basedOn w:val="45"/>
    <w:qFormat/>
    <w:uiPriority w:val="9"/>
    <w:rPr>
      <w:rFonts w:ascii="Arial" w:hAnsi="Arial" w:eastAsia="Arial" w:cs="Arial"/>
      <w:sz w:val="34"/>
    </w:rPr>
  </w:style>
  <w:style w:type="character" w:customStyle="1" w:styleId="58">
    <w:name w:val="Heading 3 Char"/>
    <w:basedOn w:val="45"/>
    <w:qFormat/>
    <w:uiPriority w:val="9"/>
    <w:rPr>
      <w:rFonts w:ascii="Arial" w:hAnsi="Arial" w:eastAsia="Arial" w:cs="Arial"/>
      <w:sz w:val="30"/>
      <w:szCs w:val="30"/>
    </w:rPr>
  </w:style>
  <w:style w:type="character" w:customStyle="1" w:styleId="59">
    <w:name w:val="Heading 4 Char"/>
    <w:basedOn w:val="45"/>
    <w:qFormat/>
    <w:uiPriority w:val="9"/>
    <w:rPr>
      <w:rFonts w:ascii="Arial" w:hAnsi="Arial" w:eastAsia="Arial" w:cs="Arial"/>
      <w:b/>
      <w:bCs/>
      <w:sz w:val="26"/>
      <w:szCs w:val="26"/>
    </w:rPr>
  </w:style>
  <w:style w:type="character" w:customStyle="1" w:styleId="60">
    <w:name w:val="Heading 5 Char"/>
    <w:basedOn w:val="45"/>
    <w:qFormat/>
    <w:uiPriority w:val="9"/>
    <w:rPr>
      <w:rFonts w:ascii="Arial" w:hAnsi="Arial" w:eastAsia="Arial" w:cs="Arial"/>
      <w:b/>
      <w:bCs/>
      <w:sz w:val="24"/>
      <w:szCs w:val="24"/>
    </w:rPr>
  </w:style>
  <w:style w:type="character" w:customStyle="1" w:styleId="61">
    <w:name w:val="Heading 6 Char"/>
    <w:basedOn w:val="45"/>
    <w:qFormat/>
    <w:uiPriority w:val="9"/>
    <w:rPr>
      <w:rFonts w:ascii="Arial" w:hAnsi="Arial" w:eastAsia="Arial" w:cs="Arial"/>
      <w:b/>
      <w:bCs/>
      <w:sz w:val="22"/>
      <w:szCs w:val="22"/>
    </w:rPr>
  </w:style>
  <w:style w:type="character" w:customStyle="1" w:styleId="62">
    <w:name w:val="Heading 7 Char"/>
    <w:basedOn w:val="45"/>
    <w:qFormat/>
    <w:uiPriority w:val="9"/>
    <w:rPr>
      <w:rFonts w:ascii="Arial" w:hAnsi="Arial" w:eastAsia="Arial" w:cs="Arial"/>
      <w:b/>
      <w:bCs/>
      <w:i/>
      <w:iCs/>
      <w:sz w:val="22"/>
      <w:szCs w:val="22"/>
    </w:rPr>
  </w:style>
  <w:style w:type="character" w:customStyle="1" w:styleId="63">
    <w:name w:val="Heading 8 Char"/>
    <w:basedOn w:val="45"/>
    <w:qFormat/>
    <w:uiPriority w:val="9"/>
    <w:rPr>
      <w:rFonts w:ascii="Arial" w:hAnsi="Arial" w:eastAsia="Arial" w:cs="Arial"/>
      <w:i/>
      <w:iCs/>
      <w:sz w:val="22"/>
      <w:szCs w:val="22"/>
    </w:rPr>
  </w:style>
  <w:style w:type="character" w:customStyle="1" w:styleId="64">
    <w:name w:val="Heading 9 Char"/>
    <w:basedOn w:val="45"/>
    <w:qFormat/>
    <w:uiPriority w:val="9"/>
    <w:rPr>
      <w:rFonts w:ascii="Arial" w:hAnsi="Arial" w:eastAsia="Arial" w:cs="Arial"/>
      <w:i/>
      <w:iCs/>
      <w:sz w:val="21"/>
      <w:szCs w:val="21"/>
    </w:rPr>
  </w:style>
  <w:style w:type="character" w:customStyle="1" w:styleId="65">
    <w:name w:val="Title Char"/>
    <w:basedOn w:val="45"/>
    <w:qFormat/>
    <w:uiPriority w:val="10"/>
    <w:rPr>
      <w:sz w:val="48"/>
      <w:szCs w:val="48"/>
    </w:rPr>
  </w:style>
  <w:style w:type="character" w:customStyle="1" w:styleId="66">
    <w:name w:val="Subtitle Char"/>
    <w:basedOn w:val="45"/>
    <w:qFormat/>
    <w:uiPriority w:val="11"/>
    <w:rPr>
      <w:sz w:val="24"/>
      <w:szCs w:val="24"/>
    </w:rPr>
  </w:style>
  <w:style w:type="character" w:customStyle="1" w:styleId="67">
    <w:name w:val="Quote Char"/>
    <w:qFormat/>
    <w:uiPriority w:val="29"/>
    <w:rPr>
      <w:i/>
    </w:rPr>
  </w:style>
  <w:style w:type="character" w:customStyle="1" w:styleId="68">
    <w:name w:val="Intense Quote Char"/>
    <w:qFormat/>
    <w:uiPriority w:val="30"/>
    <w:rPr>
      <w:i/>
    </w:rPr>
  </w:style>
  <w:style w:type="character" w:customStyle="1" w:styleId="69">
    <w:name w:val="Header Char"/>
    <w:basedOn w:val="45"/>
    <w:qFormat/>
    <w:uiPriority w:val="99"/>
  </w:style>
  <w:style w:type="character" w:customStyle="1" w:styleId="70">
    <w:name w:val="Footer Char"/>
    <w:basedOn w:val="45"/>
    <w:qFormat/>
    <w:uiPriority w:val="99"/>
  </w:style>
  <w:style w:type="character" w:customStyle="1" w:styleId="71">
    <w:name w:val="Endnote Text Char"/>
    <w:qFormat/>
    <w:uiPriority w:val="99"/>
    <w:rPr>
      <w:sz w:val="20"/>
    </w:rPr>
  </w:style>
  <w:style w:type="paragraph" w:customStyle="1" w:styleId="72">
    <w:name w:val="TOC 标题1"/>
    <w:unhideWhenUsed/>
    <w:qFormat/>
    <w:uiPriority w:val="39"/>
    <w:rPr>
      <w:rFonts w:ascii="Times New Roman" w:hAnsi="Times New Roman" w:eastAsia="宋体" w:cs="Times New Roman"/>
      <w:lang w:val="en-US" w:eastAsia="zh-CN" w:bidi="ar-SA"/>
    </w:rPr>
  </w:style>
  <w:style w:type="paragraph" w:customStyle="1" w:styleId="73">
    <w:name w:val="正文文本1"/>
    <w:basedOn w:val="1"/>
    <w:qFormat/>
    <w:uiPriority w:val="0"/>
    <w:rPr>
      <w:rFonts w:ascii="华文中宋" w:eastAsia="华文中宋"/>
      <w:bCs/>
      <w:sz w:val="28"/>
    </w:rPr>
  </w:style>
  <w:style w:type="paragraph" w:customStyle="1" w:styleId="74">
    <w:name w:val="正文首行缩进1"/>
    <w:basedOn w:val="1"/>
    <w:unhideWhenUsed/>
    <w:qFormat/>
    <w:uiPriority w:val="0"/>
    <w:pPr>
      <w:spacing w:after="120"/>
      <w:ind w:firstLine="420"/>
    </w:pPr>
    <w:rPr>
      <w:rFonts w:ascii="Times New Roman"/>
      <w:bCs/>
      <w:sz w:val="21"/>
    </w:rPr>
  </w:style>
  <w:style w:type="paragraph" w:customStyle="1" w:styleId="75">
    <w:name w:val="标题 11"/>
    <w:basedOn w:val="1"/>
    <w:next w:val="1"/>
    <w:link w:val="76"/>
    <w:qFormat/>
    <w:uiPriority w:val="9"/>
    <w:pPr>
      <w:keepNext/>
      <w:keepLines/>
      <w:spacing w:before="480" w:after="200"/>
      <w:outlineLvl w:val="0"/>
    </w:pPr>
    <w:rPr>
      <w:rFonts w:ascii="Arial" w:hAnsi="Arial" w:eastAsia="Arial" w:cs="Arial"/>
      <w:sz w:val="40"/>
      <w:szCs w:val="40"/>
    </w:rPr>
  </w:style>
  <w:style w:type="character" w:customStyle="1" w:styleId="76">
    <w:name w:val="Heading 1 Char_0d9d6434-8aef-434f-b4cf-07c27d364c24"/>
    <w:link w:val="75"/>
    <w:qFormat/>
    <w:uiPriority w:val="9"/>
    <w:rPr>
      <w:rFonts w:ascii="Arial" w:hAnsi="Arial" w:eastAsia="Arial" w:cs="Arial"/>
      <w:sz w:val="40"/>
      <w:szCs w:val="40"/>
    </w:rPr>
  </w:style>
  <w:style w:type="paragraph" w:customStyle="1" w:styleId="77">
    <w:name w:val="标题 22"/>
    <w:basedOn w:val="1"/>
    <w:next w:val="1"/>
    <w:link w:val="78"/>
    <w:qFormat/>
    <w:uiPriority w:val="9"/>
    <w:pPr>
      <w:keepNext/>
      <w:keepLines/>
      <w:spacing w:before="360" w:after="200"/>
      <w:outlineLvl w:val="1"/>
    </w:pPr>
    <w:rPr>
      <w:rFonts w:ascii="Arial" w:hAnsi="Arial" w:eastAsia="Arial" w:cs="Arial"/>
      <w:sz w:val="34"/>
    </w:rPr>
  </w:style>
  <w:style w:type="character" w:customStyle="1" w:styleId="78">
    <w:name w:val="Heading 2 Char_23f81bc3-ec57-4402-8e13-eaba3a985afa"/>
    <w:link w:val="77"/>
    <w:qFormat/>
    <w:uiPriority w:val="9"/>
    <w:rPr>
      <w:rFonts w:ascii="Arial" w:hAnsi="Arial" w:eastAsia="Arial" w:cs="Arial"/>
      <w:sz w:val="34"/>
    </w:rPr>
  </w:style>
  <w:style w:type="paragraph" w:customStyle="1" w:styleId="79">
    <w:name w:val="标题 31"/>
    <w:basedOn w:val="1"/>
    <w:next w:val="1"/>
    <w:link w:val="80"/>
    <w:qFormat/>
    <w:uiPriority w:val="9"/>
    <w:pPr>
      <w:keepNext/>
      <w:keepLines/>
      <w:spacing w:before="320" w:after="200"/>
      <w:outlineLvl w:val="2"/>
    </w:pPr>
    <w:rPr>
      <w:rFonts w:ascii="Arial" w:hAnsi="Arial" w:eastAsia="Arial" w:cs="Arial"/>
      <w:sz w:val="30"/>
      <w:szCs w:val="30"/>
    </w:rPr>
  </w:style>
  <w:style w:type="character" w:customStyle="1" w:styleId="80">
    <w:name w:val="Heading 3 Char_a972020d-e2de-423e-8ccf-32b62e9782f5"/>
    <w:link w:val="79"/>
    <w:qFormat/>
    <w:uiPriority w:val="9"/>
    <w:rPr>
      <w:rFonts w:ascii="Arial" w:hAnsi="Arial" w:eastAsia="Arial" w:cs="Arial"/>
      <w:sz w:val="30"/>
      <w:szCs w:val="30"/>
    </w:rPr>
  </w:style>
  <w:style w:type="paragraph" w:customStyle="1" w:styleId="81">
    <w:name w:val="标题 41"/>
    <w:basedOn w:val="1"/>
    <w:next w:val="1"/>
    <w:link w:val="82"/>
    <w:qFormat/>
    <w:uiPriority w:val="9"/>
    <w:pPr>
      <w:keepNext/>
      <w:keepLines/>
      <w:spacing w:before="320" w:after="200"/>
      <w:outlineLvl w:val="3"/>
    </w:pPr>
    <w:rPr>
      <w:rFonts w:ascii="Arial" w:hAnsi="Arial" w:eastAsia="Arial" w:cs="Arial"/>
      <w:b/>
      <w:bCs/>
      <w:sz w:val="26"/>
      <w:szCs w:val="26"/>
    </w:rPr>
  </w:style>
  <w:style w:type="character" w:customStyle="1" w:styleId="82">
    <w:name w:val="Heading 4 Char_c737420b-353d-4424-86d3-425d70bb16f0"/>
    <w:link w:val="81"/>
    <w:qFormat/>
    <w:uiPriority w:val="9"/>
    <w:rPr>
      <w:rFonts w:ascii="Arial" w:hAnsi="Arial" w:eastAsia="Arial" w:cs="Arial"/>
      <w:b/>
      <w:bCs/>
      <w:sz w:val="26"/>
      <w:szCs w:val="26"/>
    </w:rPr>
  </w:style>
  <w:style w:type="paragraph" w:customStyle="1" w:styleId="83">
    <w:name w:val="标题 51"/>
    <w:basedOn w:val="1"/>
    <w:next w:val="1"/>
    <w:link w:val="84"/>
    <w:qFormat/>
    <w:uiPriority w:val="9"/>
    <w:pPr>
      <w:keepNext/>
      <w:keepLines/>
      <w:spacing w:before="320" w:after="200"/>
      <w:outlineLvl w:val="4"/>
    </w:pPr>
    <w:rPr>
      <w:rFonts w:ascii="Arial" w:hAnsi="Arial" w:eastAsia="Arial" w:cs="Arial"/>
      <w:b/>
      <w:bCs/>
      <w:sz w:val="24"/>
      <w:szCs w:val="24"/>
    </w:rPr>
  </w:style>
  <w:style w:type="character" w:customStyle="1" w:styleId="84">
    <w:name w:val="Heading 5 Char_f1483993-90ab-4a83-891e-aa61b1a8567c"/>
    <w:link w:val="83"/>
    <w:qFormat/>
    <w:uiPriority w:val="9"/>
    <w:rPr>
      <w:rFonts w:ascii="Arial" w:hAnsi="Arial" w:eastAsia="Arial" w:cs="Arial"/>
      <w:b/>
      <w:bCs/>
      <w:sz w:val="24"/>
      <w:szCs w:val="24"/>
    </w:rPr>
  </w:style>
  <w:style w:type="paragraph" w:customStyle="1" w:styleId="85">
    <w:name w:val="标题 61"/>
    <w:basedOn w:val="1"/>
    <w:next w:val="1"/>
    <w:link w:val="86"/>
    <w:qFormat/>
    <w:uiPriority w:val="9"/>
    <w:pPr>
      <w:keepNext/>
      <w:keepLines/>
      <w:spacing w:before="320" w:after="200"/>
      <w:outlineLvl w:val="5"/>
    </w:pPr>
    <w:rPr>
      <w:rFonts w:ascii="Arial" w:hAnsi="Arial" w:eastAsia="Arial" w:cs="Arial"/>
      <w:b/>
      <w:bCs/>
      <w:sz w:val="22"/>
      <w:szCs w:val="22"/>
    </w:rPr>
  </w:style>
  <w:style w:type="character" w:customStyle="1" w:styleId="86">
    <w:name w:val="Heading 6 Char_95307583-6a43-4f74-9f95-be30b6ad72b6"/>
    <w:link w:val="85"/>
    <w:qFormat/>
    <w:uiPriority w:val="9"/>
    <w:rPr>
      <w:rFonts w:ascii="Arial" w:hAnsi="Arial" w:eastAsia="Arial" w:cs="Arial"/>
      <w:b/>
      <w:bCs/>
      <w:sz w:val="22"/>
      <w:szCs w:val="22"/>
    </w:rPr>
  </w:style>
  <w:style w:type="paragraph" w:customStyle="1" w:styleId="87">
    <w:name w:val="标题 71"/>
    <w:basedOn w:val="1"/>
    <w:next w:val="1"/>
    <w:link w:val="88"/>
    <w:qFormat/>
    <w:uiPriority w:val="9"/>
    <w:pPr>
      <w:keepNext/>
      <w:keepLines/>
      <w:spacing w:before="320" w:after="200"/>
      <w:outlineLvl w:val="6"/>
    </w:pPr>
    <w:rPr>
      <w:rFonts w:ascii="Arial" w:hAnsi="Arial" w:eastAsia="Arial" w:cs="Arial"/>
      <w:b/>
      <w:bCs/>
      <w:i/>
      <w:iCs/>
      <w:sz w:val="22"/>
      <w:szCs w:val="22"/>
    </w:rPr>
  </w:style>
  <w:style w:type="character" w:customStyle="1" w:styleId="88">
    <w:name w:val="Heading 7 Char_f24e9cd0-472e-495e-8828-91abe7bea686"/>
    <w:link w:val="87"/>
    <w:qFormat/>
    <w:uiPriority w:val="9"/>
    <w:rPr>
      <w:rFonts w:ascii="Arial" w:hAnsi="Arial" w:eastAsia="Arial" w:cs="Arial"/>
      <w:b/>
      <w:bCs/>
      <w:i/>
      <w:iCs/>
      <w:sz w:val="22"/>
      <w:szCs w:val="22"/>
    </w:rPr>
  </w:style>
  <w:style w:type="paragraph" w:customStyle="1" w:styleId="89">
    <w:name w:val="标题 81"/>
    <w:basedOn w:val="1"/>
    <w:next w:val="1"/>
    <w:link w:val="90"/>
    <w:qFormat/>
    <w:uiPriority w:val="9"/>
    <w:pPr>
      <w:keepNext/>
      <w:keepLines/>
      <w:spacing w:before="320" w:after="200"/>
      <w:outlineLvl w:val="7"/>
    </w:pPr>
    <w:rPr>
      <w:rFonts w:ascii="Arial" w:hAnsi="Arial" w:eastAsia="Arial" w:cs="Arial"/>
      <w:i/>
      <w:iCs/>
      <w:sz w:val="22"/>
      <w:szCs w:val="22"/>
    </w:rPr>
  </w:style>
  <w:style w:type="character" w:customStyle="1" w:styleId="90">
    <w:name w:val="Heading 8 Char_949354d7-fea5-452e-b32d-28b774b8e361"/>
    <w:link w:val="89"/>
    <w:qFormat/>
    <w:uiPriority w:val="9"/>
    <w:rPr>
      <w:rFonts w:ascii="Arial" w:hAnsi="Arial" w:eastAsia="Arial" w:cs="Arial"/>
      <w:i/>
      <w:iCs/>
      <w:sz w:val="22"/>
      <w:szCs w:val="22"/>
    </w:rPr>
  </w:style>
  <w:style w:type="paragraph" w:customStyle="1" w:styleId="91">
    <w:name w:val="标题 91"/>
    <w:basedOn w:val="1"/>
    <w:next w:val="1"/>
    <w:link w:val="92"/>
    <w:qFormat/>
    <w:uiPriority w:val="9"/>
    <w:pPr>
      <w:keepNext/>
      <w:keepLines/>
      <w:spacing w:before="320" w:after="200"/>
      <w:outlineLvl w:val="8"/>
    </w:pPr>
    <w:rPr>
      <w:rFonts w:ascii="Arial" w:hAnsi="Arial" w:eastAsia="Arial" w:cs="Arial"/>
      <w:i/>
      <w:iCs/>
      <w:szCs w:val="21"/>
    </w:rPr>
  </w:style>
  <w:style w:type="character" w:customStyle="1" w:styleId="92">
    <w:name w:val="Heading 9 Char_334f07fe-e714-48c5-92e4-af04d7a4d58e"/>
    <w:link w:val="91"/>
    <w:qFormat/>
    <w:uiPriority w:val="9"/>
    <w:rPr>
      <w:rFonts w:ascii="Arial" w:hAnsi="Arial" w:eastAsia="Arial" w:cs="Arial"/>
      <w:i/>
      <w:iCs/>
      <w:sz w:val="21"/>
      <w:szCs w:val="21"/>
    </w:rPr>
  </w:style>
  <w:style w:type="paragraph" w:styleId="93">
    <w:name w:val="No Spacing"/>
    <w:qFormat/>
    <w:uiPriority w:val="1"/>
    <w:rPr>
      <w:rFonts w:ascii="Times New Roman" w:hAnsi="Times New Roman" w:eastAsia="宋体" w:cs="Times New Roman"/>
      <w:lang w:val="en-US" w:eastAsia="zh-CN" w:bidi="ar-SA"/>
    </w:rPr>
  </w:style>
  <w:style w:type="character" w:customStyle="1" w:styleId="94">
    <w:name w:val="标题 字符"/>
    <w:link w:val="39"/>
    <w:qFormat/>
    <w:uiPriority w:val="10"/>
    <w:rPr>
      <w:sz w:val="48"/>
      <w:szCs w:val="48"/>
    </w:rPr>
  </w:style>
  <w:style w:type="character" w:customStyle="1" w:styleId="95">
    <w:name w:val="副标题 字符"/>
    <w:link w:val="29"/>
    <w:qFormat/>
    <w:uiPriority w:val="11"/>
    <w:rPr>
      <w:sz w:val="24"/>
      <w:szCs w:val="24"/>
    </w:rPr>
  </w:style>
  <w:style w:type="paragraph" w:styleId="96">
    <w:name w:val="Quote"/>
    <w:basedOn w:val="1"/>
    <w:next w:val="1"/>
    <w:link w:val="97"/>
    <w:qFormat/>
    <w:uiPriority w:val="29"/>
    <w:pPr>
      <w:ind w:left="720" w:right="720"/>
    </w:pPr>
    <w:rPr>
      <w:i/>
    </w:rPr>
  </w:style>
  <w:style w:type="character" w:customStyle="1" w:styleId="97">
    <w:name w:val="引用 字符"/>
    <w:link w:val="96"/>
    <w:qFormat/>
    <w:uiPriority w:val="29"/>
    <w:rPr>
      <w:i/>
    </w:rPr>
  </w:style>
  <w:style w:type="paragraph" w:styleId="98">
    <w:name w:val="Intense Quote"/>
    <w:basedOn w:val="1"/>
    <w:next w:val="1"/>
    <w:link w:val="9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9">
    <w:name w:val="明显引用 字符"/>
    <w:link w:val="98"/>
    <w:qFormat/>
    <w:uiPriority w:val="30"/>
    <w:rPr>
      <w:i/>
    </w:rPr>
  </w:style>
  <w:style w:type="paragraph" w:customStyle="1" w:styleId="100">
    <w:name w:val="页眉1"/>
    <w:basedOn w:val="1"/>
    <w:link w:val="101"/>
    <w:qFormat/>
    <w:uiPriority w:val="99"/>
    <w:pPr>
      <w:tabs>
        <w:tab w:val="center" w:pos="7143"/>
        <w:tab w:val="right" w:pos="14287"/>
      </w:tabs>
    </w:pPr>
  </w:style>
  <w:style w:type="character" w:customStyle="1" w:styleId="101">
    <w:name w:val="Header Char_0b364515-3a76-4734-91ae-7a75fdd67d1d"/>
    <w:link w:val="100"/>
    <w:qFormat/>
    <w:uiPriority w:val="99"/>
  </w:style>
  <w:style w:type="paragraph" w:customStyle="1" w:styleId="102">
    <w:name w:val="页脚1"/>
    <w:basedOn w:val="1"/>
    <w:link w:val="105"/>
    <w:qFormat/>
    <w:uiPriority w:val="99"/>
    <w:pPr>
      <w:tabs>
        <w:tab w:val="center" w:pos="7143"/>
        <w:tab w:val="right" w:pos="14287"/>
      </w:tabs>
    </w:pPr>
  </w:style>
  <w:style w:type="character" w:customStyle="1" w:styleId="103">
    <w:name w:val="Footer Char_7e8afb0f-436d-41ae-8f0b-04c613e42983"/>
    <w:qFormat/>
    <w:uiPriority w:val="99"/>
  </w:style>
  <w:style w:type="paragraph" w:customStyle="1" w:styleId="104">
    <w:name w:val="题注1"/>
    <w:basedOn w:val="1"/>
    <w:next w:val="1"/>
    <w:qFormat/>
    <w:uiPriority w:val="35"/>
    <w:pPr>
      <w:spacing w:line="276" w:lineRule="auto"/>
    </w:pPr>
    <w:rPr>
      <w:b/>
      <w:bCs/>
      <w:color w:val="4F81BD"/>
      <w:sz w:val="18"/>
      <w:szCs w:val="18"/>
    </w:rPr>
  </w:style>
  <w:style w:type="character" w:customStyle="1" w:styleId="105">
    <w:name w:val="Caption Char"/>
    <w:link w:val="102"/>
    <w:qFormat/>
    <w:uiPriority w:val="99"/>
  </w:style>
  <w:style w:type="table" w:customStyle="1" w:styleId="106">
    <w:name w:val="Table Grid Light"/>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style>
  <w:style w:type="table" w:customStyle="1" w:styleId="107">
    <w:name w:val="无格式表格 11"/>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8">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sz="4" w:space="0"/>
          <w:bottom w:val="single" w:color="000000"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band1Horz">
      <w:tcPr>
        <w:tcBorders>
          <w:top w:val="single" w:color="000000" w:sz="4" w:space="0"/>
          <w:bottom w:val="single" w:color="000000" w:sz="4" w:space="0"/>
        </w:tcBorders>
      </w:tcPr>
    </w:tblStylePr>
  </w:style>
  <w:style w:type="table" w:customStyle="1" w:styleId="10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fill="F1F1F1"/>
      </w:tcPr>
    </w:tblStylePr>
    <w:tblStylePr w:type="band1Horz">
      <w:rPr>
        <w:rFonts w:ascii="Arial" w:hAnsi="Arial"/>
        <w:color w:val="404040"/>
        <w:sz w:val="22"/>
      </w:rPr>
      <w:tcPr>
        <w:shd w:val="clear" w:color="F1F1F1" w:fill="F1F1F1"/>
      </w:tcPr>
    </w:tblStylePr>
  </w:style>
  <w:style w:type="table" w:customStyle="1" w:styleId="112">
    <w:name w:val="网格表 1 浅色1"/>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top w:w="0" w:type="dxa"/>
        <w:left w:w="0" w:type="dxa"/>
        <w:bottom w:w="0" w:type="dxa"/>
        <w:right w:w="0" w:type="dxa"/>
      </w:tblCellMar>
    </w:tblPr>
    <w:tblStylePr w:type="firstRow">
      <w:rPr>
        <w:b/>
        <w:color w:val="404040"/>
      </w:rPr>
      <w:tcPr>
        <w:tcBorders>
          <w:bottom w:val="single" w:color="696969"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style>
  <w:style w:type="table" w:customStyle="1" w:styleId="113">
    <w:name w:val="Grid Table 1 Light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b/>
        <w:color w:val="404040"/>
      </w:rPr>
      <w:tcPr>
        <w:tcBorders>
          <w:bottom w:val="single" w:color="98B5D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114">
    <w:name w:val="Grid Table 1 Light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b/>
        <w:color w:val="404040"/>
      </w:rPr>
      <w:tcPr>
        <w:tcBorders>
          <w:bottom w:val="single" w:color="DA9896"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115">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b/>
        <w:color w:val="404040"/>
      </w:rPr>
      <w:tcPr>
        <w:tcBorders>
          <w:bottom w:val="single" w:color="C4D79E"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116">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b/>
        <w:color w:val="404040"/>
      </w:rPr>
      <w:tcPr>
        <w:tcBorders>
          <w:bottom w:val="single" w:color="B4A4C8"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117">
    <w:name w:val="Grid Table 1 Light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b/>
        <w:color w:val="404040"/>
      </w:rPr>
      <w:tcPr>
        <w:tcBorders>
          <w:bottom w:val="single" w:color="95CEDD"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118">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b/>
        <w:color w:val="404040"/>
      </w:rPr>
      <w:tcPr>
        <w:tcBorders>
          <w:bottom w:val="single" w:color="FAC192"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table" w:customStyle="1" w:styleId="119">
    <w:name w:val="网格表 2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single" w:color="696969" w:sz="12" w:space="0"/>
          <w:right w:val="nil"/>
        </w:tcBorders>
        <w:shd w:val="clear" w:color="FFFFFF" w:fill="auto"/>
      </w:tcPr>
    </w:tblStylePr>
    <w:tblStylePr w:type="lastRow">
      <w:rPr>
        <w:b/>
        <w:color w:val="404040"/>
      </w:rPr>
      <w:tcPr>
        <w:tcBorders>
          <w:top w:val="single" w:color="69696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0">
    <w:name w:val="Grid Table 2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single" w:color="5D8BC2" w:sz="12" w:space="0"/>
          <w:right w:val="nil"/>
        </w:tcBorders>
        <w:shd w:val="clear" w:color="FFFFFF" w:fill="auto"/>
      </w:tcPr>
    </w:tblStylePr>
    <w:tblStylePr w:type="lastRow">
      <w:rPr>
        <w:b/>
        <w:color w:val="404040"/>
      </w:rPr>
      <w:tcPr>
        <w:tcBorders>
          <w:top w:val="single" w:color="5D8BC2"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21">
    <w:name w:val="Grid Table 2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single" w:color="D99795" w:sz="12" w:space="0"/>
          <w:right w:val="nil"/>
        </w:tcBorders>
        <w:shd w:val="clear" w:color="FFFFFF" w:fill="auto"/>
      </w:tcPr>
    </w:tblStylePr>
    <w:tblStylePr w:type="lastRow">
      <w:rPr>
        <w:b/>
        <w:color w:val="404040"/>
      </w:rPr>
      <w:tcPr>
        <w:tcBorders>
          <w:top w:val="single" w:color="D997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2">
    <w:name w:val="Grid Table 2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single" w:color="9BBB59" w:sz="12" w:space="0"/>
          <w:right w:val="nil"/>
        </w:tcBorders>
        <w:shd w:val="clear" w:color="FFFFFF" w:fill="auto"/>
      </w:tcPr>
    </w:tblStylePr>
    <w:tblStylePr w:type="lastRow">
      <w:rPr>
        <w:b/>
        <w:color w:val="404040"/>
      </w:rPr>
      <w:tcPr>
        <w:tcBorders>
          <w:top w:val="single" w:color="9BBB59"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23">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single" w:color="B2A1C6" w:sz="12" w:space="0"/>
          <w:right w:val="nil"/>
        </w:tcBorders>
        <w:shd w:val="clear" w:color="FFFFFF" w:fill="auto"/>
      </w:tcPr>
    </w:tblStylePr>
    <w:tblStylePr w:type="lastRow">
      <w:rPr>
        <w:b/>
        <w:color w:val="404040"/>
      </w:rPr>
      <w:tcPr>
        <w:tcBorders>
          <w:top w:val="single" w:color="B2A1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24">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single" w:color="4BACC6" w:sz="12" w:space="0"/>
          <w:right w:val="nil"/>
        </w:tcBorders>
        <w:shd w:val="clear" w:color="FFFFFF" w:fill="auto"/>
      </w:tcPr>
    </w:tblStylePr>
    <w:tblStylePr w:type="lastRow">
      <w:rPr>
        <w:b/>
        <w:color w:val="404040"/>
      </w:rPr>
      <w:tcPr>
        <w:tcBorders>
          <w:top w:val="single" w:color="4BACC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25">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single" w:color="F79646" w:sz="12" w:space="0"/>
          <w:right w:val="nil"/>
        </w:tcBorders>
        <w:shd w:val="clear" w:color="FFFFFF" w:fill="auto"/>
      </w:tcPr>
    </w:tblStylePr>
    <w:tblStylePr w:type="lastRow">
      <w:rPr>
        <w:b/>
        <w:color w:val="404040"/>
      </w:rPr>
      <w:tcPr>
        <w:tcBorders>
          <w:top w:val="single" w:color="F7964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26">
    <w:name w:val="网格表 31"/>
    <w:qFormat/>
    <w:uiPriority w:val="99"/>
    <w:tblPr>
      <w:tblBorders>
        <w:bottom w:val="single" w:color="696969" w:sz="4" w:space="0"/>
        <w:insideH w:val="single" w:color="696969" w:sz="4" w:space="0"/>
        <w:insideV w:val="single" w:color="69696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27">
    <w:name w:val="Grid Table 3 - Accent 1"/>
    <w:qFormat/>
    <w:uiPriority w:val="99"/>
    <w:tblPr>
      <w:tblBorders>
        <w:bottom w:val="single" w:color="5D8BC2" w:sz="4" w:space="0"/>
        <w:insideH w:val="single" w:color="5D8BC2" w:sz="4" w:space="0"/>
        <w:insideV w:val="single" w:color="5D8BC2"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fill="DBE5F1"/>
      </w:tcPr>
    </w:tblStylePr>
    <w:tblStylePr w:type="band1Horz">
      <w:rPr>
        <w:rFonts w:ascii="Arial" w:hAnsi="Arial"/>
        <w:color w:val="404040"/>
        <w:sz w:val="22"/>
      </w:rPr>
      <w:tcPr>
        <w:shd w:val="clear" w:color="DBE5F1" w:fill="DBE5F1"/>
      </w:tcPr>
    </w:tblStylePr>
  </w:style>
  <w:style w:type="table" w:customStyle="1" w:styleId="128">
    <w:name w:val="Grid Table 3 - Accent 2"/>
    <w:qFormat/>
    <w:uiPriority w:val="99"/>
    <w:tblPr>
      <w:tblBorders>
        <w:bottom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29">
    <w:name w:val="Grid Table 3 - Accent 3"/>
    <w:qFormat/>
    <w:uiPriority w:val="99"/>
    <w:tblPr>
      <w:tblBorders>
        <w:bottom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0">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1">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2">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33">
    <w:name w:val="网格表 41"/>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sz="4" w:space="0"/>
          <w:left w:val="single" w:color="000000" w:sz="4" w:space="0"/>
          <w:bottom w:val="single" w:color="000000" w:sz="4" w:space="0"/>
          <w:right w:val="single" w:color="000000" w:sz="4" w:space="0"/>
        </w:tcBorders>
        <w:shd w:val="clear" w:color="000000" w:fill="000000"/>
      </w:tcPr>
    </w:tblStylePr>
    <w:tblStylePr w:type="lastRow">
      <w:rPr>
        <w:b/>
        <w:color w:val="404040"/>
      </w:rPr>
      <w:tcPr>
        <w:tcBorders>
          <w:top w:val="single" w:color="000000"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fill="CACACA"/>
      </w:tcPr>
    </w:tblStylePr>
    <w:tblStylePr w:type="band1Horz">
      <w:rPr>
        <w:rFonts w:ascii="Arial" w:hAnsi="Arial"/>
        <w:color w:val="404040"/>
        <w:sz w:val="22"/>
      </w:rPr>
      <w:tcPr>
        <w:shd w:val="clear" w:color="CACACA" w:fill="CACACA"/>
      </w:tcPr>
    </w:tblStylePr>
  </w:style>
  <w:style w:type="table" w:customStyle="1" w:styleId="134">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sz="4" w:space="0"/>
          <w:left w:val="single" w:color="5D8BC2" w:sz="4" w:space="0"/>
          <w:bottom w:val="single" w:color="5D8BC2" w:sz="4" w:space="0"/>
          <w:right w:val="single" w:color="5D8BC2" w:sz="4" w:space="0"/>
        </w:tcBorders>
        <w:shd w:val="clear" w:color="5D8BC2" w:fill="5D8BC2"/>
      </w:tcPr>
    </w:tblStylePr>
    <w:tblStylePr w:type="lastRow">
      <w:rPr>
        <w:b/>
        <w:color w:val="404040"/>
      </w:rPr>
      <w:tcPr>
        <w:tcBorders>
          <w:top w:val="single" w:color="5D8BC2"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fill="DCE6F2"/>
      </w:tcPr>
    </w:tblStylePr>
    <w:tblStylePr w:type="band1Horz">
      <w:rPr>
        <w:rFonts w:ascii="Arial" w:hAnsi="Arial"/>
        <w:color w:val="404040"/>
        <w:sz w:val="22"/>
      </w:rPr>
      <w:tcPr>
        <w:shd w:val="clear" w:color="DCE6F2" w:fill="DCE6F2"/>
      </w:tcPr>
    </w:tblStylePr>
  </w:style>
  <w:style w:type="table" w:customStyle="1" w:styleId="135">
    <w:name w:val="Grid Table 4 - Accent 2"/>
    <w:qFormat/>
    <w:uiPriority w:val="59"/>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sz="4" w:space="0"/>
          <w:left w:val="single" w:color="D99795" w:sz="4" w:space="0"/>
          <w:bottom w:val="single" w:color="D99795" w:sz="4" w:space="0"/>
          <w:right w:val="single" w:color="D99795" w:sz="4" w:space="0"/>
        </w:tcBorders>
        <w:shd w:val="clear" w:color="D99795" w:fill="D99795"/>
      </w:tcPr>
    </w:tblStylePr>
    <w:tblStylePr w:type="lastRow">
      <w:rPr>
        <w:b/>
        <w:color w:val="404040"/>
      </w:rPr>
      <w:tcPr>
        <w:tcBorders>
          <w:top w:val="single" w:color="D9979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fill="F2DCDC"/>
      </w:tcPr>
    </w:tblStylePr>
    <w:tblStylePr w:type="band1Horz">
      <w:rPr>
        <w:rFonts w:ascii="Arial" w:hAnsi="Arial"/>
        <w:color w:val="404040"/>
        <w:sz w:val="22"/>
      </w:rPr>
      <w:tcPr>
        <w:shd w:val="clear" w:color="F2DCDC" w:fill="F2DCDC"/>
      </w:tcPr>
    </w:tblStylePr>
  </w:style>
  <w:style w:type="table" w:customStyle="1" w:styleId="136">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sz="4" w:space="0"/>
          <w:left w:val="single" w:color="9BBB59" w:sz="4" w:space="0"/>
          <w:bottom w:val="single" w:color="9BBB59" w:sz="4" w:space="0"/>
          <w:right w:val="single" w:color="9BBB59" w:sz="4" w:space="0"/>
        </w:tcBorders>
        <w:shd w:val="clear" w:color="9BBB59" w:fill="9BBB59"/>
      </w:tcPr>
    </w:tblStylePr>
    <w:tblStylePr w:type="lastRow">
      <w:rPr>
        <w:b/>
        <w:color w:val="404040"/>
      </w:rPr>
      <w:tcPr>
        <w:tcBorders>
          <w:top w:val="single" w:color="9BBB59"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fill="EAF1DD"/>
      </w:tcPr>
    </w:tblStylePr>
    <w:tblStylePr w:type="band1Horz">
      <w:rPr>
        <w:rFonts w:ascii="Arial" w:hAnsi="Arial"/>
        <w:color w:val="404040"/>
        <w:sz w:val="22"/>
      </w:rPr>
      <w:tcPr>
        <w:shd w:val="clear" w:color="EAF1DD" w:fill="EAF1DD"/>
      </w:tcPr>
    </w:tblStylePr>
  </w:style>
  <w:style w:type="table" w:customStyle="1" w:styleId="137">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sz="4" w:space="0"/>
          <w:left w:val="single" w:color="B2A1C6" w:sz="4" w:space="0"/>
          <w:bottom w:val="single" w:color="B2A1C6" w:sz="4" w:space="0"/>
          <w:right w:val="single" w:color="B2A1C6" w:sz="4" w:space="0"/>
        </w:tcBorders>
        <w:shd w:val="clear" w:color="B2A1C6" w:fill="B2A1C6"/>
      </w:tcPr>
    </w:tblStylePr>
    <w:tblStylePr w:type="lastRow">
      <w:rPr>
        <w:b/>
        <w:color w:val="404040"/>
      </w:rPr>
      <w:tcPr>
        <w:tcBorders>
          <w:top w:val="single" w:color="B2A1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fill="E5DFEC"/>
      </w:tcPr>
    </w:tblStylePr>
    <w:tblStylePr w:type="band1Horz">
      <w:rPr>
        <w:rFonts w:ascii="Arial" w:hAnsi="Arial"/>
        <w:color w:val="404040"/>
        <w:sz w:val="22"/>
      </w:rPr>
      <w:tcPr>
        <w:shd w:val="clear" w:color="E5DFEC" w:fill="E5DFEC"/>
      </w:tcPr>
    </w:tblStylePr>
  </w:style>
  <w:style w:type="table" w:customStyle="1" w:styleId="138">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sz="4" w:space="0"/>
          <w:left w:val="single" w:color="4BACC6" w:sz="4" w:space="0"/>
          <w:bottom w:val="single" w:color="4BACC6" w:sz="4" w:space="0"/>
          <w:right w:val="single" w:color="4BACC6" w:sz="4" w:space="0"/>
        </w:tcBorders>
        <w:shd w:val="clear" w:color="4BACC6" w:fill="4BACC6"/>
      </w:tcPr>
    </w:tblStylePr>
    <w:tblStylePr w:type="lastRow">
      <w:rPr>
        <w:b/>
        <w:color w:val="404040"/>
      </w:rPr>
      <w:tcPr>
        <w:tcBorders>
          <w:top w:val="single" w:color="4BACC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fill="DAEEF3"/>
      </w:tcPr>
    </w:tblStylePr>
    <w:tblStylePr w:type="band1Horz">
      <w:rPr>
        <w:rFonts w:ascii="Arial" w:hAnsi="Arial"/>
        <w:color w:val="404040"/>
        <w:sz w:val="22"/>
      </w:rPr>
      <w:tcPr>
        <w:shd w:val="clear" w:color="DAEEF3" w:fill="DAEEF3"/>
      </w:tcPr>
    </w:tblStylePr>
  </w:style>
  <w:style w:type="table" w:customStyle="1" w:styleId="139">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sz="4" w:space="0"/>
          <w:left w:val="single" w:color="F79646" w:sz="4" w:space="0"/>
          <w:bottom w:val="single" w:color="F79646" w:sz="4" w:space="0"/>
          <w:right w:val="single" w:color="F79646" w:sz="4" w:space="0"/>
        </w:tcBorders>
        <w:shd w:val="clear" w:color="F79646" w:fill="F79646"/>
      </w:tcPr>
    </w:tblStylePr>
    <w:tblStylePr w:type="lastRow">
      <w:rPr>
        <w:b/>
        <w:color w:val="404040"/>
      </w:rPr>
      <w:tcPr>
        <w:tcBorders>
          <w:top w:val="single" w:color="F7964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fill="FDE9D9"/>
      </w:tcPr>
    </w:tblStylePr>
    <w:tblStylePr w:type="band1Horz">
      <w:rPr>
        <w:rFonts w:ascii="Arial" w:hAnsi="Arial"/>
        <w:color w:val="404040"/>
        <w:sz w:val="22"/>
      </w:rPr>
      <w:tcPr>
        <w:shd w:val="clear" w:color="FDE9D9" w:fill="FDE9D9"/>
      </w:tcPr>
    </w:tblStylePr>
  </w:style>
  <w:style w:type="table" w:customStyle="1" w:styleId="14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rFonts w:ascii="Arial" w:hAnsi="Arial"/>
        <w:b/>
        <w:color w:val="FFFFFF"/>
        <w:sz w:val="22"/>
      </w:rPr>
      <w:tcPr>
        <w:tcBorders>
          <w:top w:val="single" w:color="FFFFFF" w:sz="4" w:space="0"/>
        </w:tcBorders>
        <w:shd w:val="clear" w:color="000000" w:fill="000000"/>
      </w:tcPr>
    </w:tblStylePr>
    <w:tblStylePr w:type="firstCol">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1">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rFonts w:ascii="Arial" w:hAnsi="Arial"/>
        <w:b/>
        <w:color w:val="FFFFFF"/>
        <w:sz w:val="22"/>
      </w:rPr>
      <w:tcPr>
        <w:tcBorders>
          <w:top w:val="single" w:color="FFFFFF" w:sz="4" w:space="0"/>
        </w:tcBorders>
        <w:shd w:val="clear" w:color="4F81BD" w:fill="4F81BD"/>
      </w:tcPr>
    </w:tblStylePr>
    <w:tblStylePr w:type="firstCol">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band1Vert">
      <w:tcPr>
        <w:shd w:val="clear" w:color="AEC5E0" w:fill="AEC5E0"/>
      </w:tcPr>
    </w:tblStylePr>
    <w:tblStylePr w:type="band1Horz">
      <w:tcPr>
        <w:shd w:val="clear" w:color="AEC5E0" w:fill="AEC5E0"/>
      </w:tcPr>
    </w:tblStylePr>
  </w:style>
  <w:style w:type="table" w:customStyle="1" w:styleId="142">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rFonts w:ascii="Arial" w:hAnsi="Arial"/>
        <w:b/>
        <w:color w:val="FFFFFF"/>
        <w:sz w:val="22"/>
      </w:rPr>
      <w:tcPr>
        <w:tcBorders>
          <w:top w:val="single" w:color="FFFFFF" w:sz="4" w:space="0"/>
        </w:tcBorders>
        <w:shd w:val="clear" w:color="C0504D" w:fill="C0504D"/>
      </w:tcPr>
    </w:tblStylePr>
    <w:tblStylePr w:type="firstCol">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band1Vert">
      <w:tcPr>
        <w:shd w:val="clear" w:color="E2AEAD" w:fill="E2AEAD"/>
      </w:tcPr>
    </w:tblStylePr>
    <w:tblStylePr w:type="band1Horz">
      <w:tcPr>
        <w:shd w:val="clear" w:color="E2AEAD" w:fill="E2AEAD"/>
      </w:tcPr>
    </w:tblStylePr>
  </w:style>
  <w:style w:type="table" w:customStyle="1" w:styleId="143">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rFonts w:ascii="Arial" w:hAnsi="Arial"/>
        <w:b/>
        <w:color w:val="FFFFFF"/>
        <w:sz w:val="22"/>
      </w:rPr>
      <w:tcPr>
        <w:tcBorders>
          <w:top w:val="single" w:color="FFFFFF" w:sz="4" w:space="0"/>
        </w:tcBorders>
        <w:shd w:val="clear" w:color="9BBB59" w:fill="9BBB59"/>
      </w:tcPr>
    </w:tblStylePr>
    <w:tblStylePr w:type="firstCol">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band1Vert">
      <w:tcPr>
        <w:shd w:val="clear" w:color="D1DFB2" w:fill="D1DFB2"/>
      </w:tcPr>
    </w:tblStylePr>
    <w:tblStylePr w:type="band1Horz">
      <w:tcPr>
        <w:shd w:val="clear" w:color="D1DFB2" w:fill="D1DFB2"/>
      </w:tcPr>
    </w:tblStylePr>
  </w:style>
  <w:style w:type="table" w:customStyle="1" w:styleId="144">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rFonts w:ascii="Arial" w:hAnsi="Arial"/>
        <w:b/>
        <w:color w:val="FFFFFF"/>
        <w:sz w:val="22"/>
      </w:rPr>
      <w:tcPr>
        <w:tcBorders>
          <w:top w:val="single" w:color="FFFFFF" w:sz="4" w:space="0"/>
        </w:tcBorders>
        <w:shd w:val="clear" w:color="8064A2" w:fill="8064A2"/>
      </w:tcPr>
    </w:tblStylePr>
    <w:tblStylePr w:type="firstCol">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band1Vert">
      <w:tcPr>
        <w:shd w:val="clear" w:color="C4B7D4" w:fill="C4B7D4"/>
      </w:tcPr>
    </w:tblStylePr>
    <w:tblStylePr w:type="band1Horz">
      <w:tcPr>
        <w:shd w:val="clear" w:color="C4B7D4" w:fill="C4B7D4"/>
      </w:tcPr>
    </w:tblStylePr>
  </w:style>
  <w:style w:type="table" w:customStyle="1" w:styleId="145">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rFonts w:ascii="Arial" w:hAnsi="Arial"/>
        <w:b/>
        <w:color w:val="FFFFFF"/>
        <w:sz w:val="22"/>
      </w:rPr>
      <w:tcPr>
        <w:tcBorders>
          <w:top w:val="single" w:color="FFFFFF" w:sz="4" w:space="0"/>
        </w:tcBorders>
        <w:shd w:val="clear" w:color="4BACC6" w:fill="4BACC6"/>
      </w:tcPr>
    </w:tblStylePr>
    <w:tblStylePr w:type="firstCol">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band1Vert">
      <w:tcPr>
        <w:shd w:val="clear" w:color="ACD8E4" w:fill="ACD8E4"/>
      </w:tcPr>
    </w:tblStylePr>
    <w:tblStylePr w:type="band1Horz">
      <w:tcPr>
        <w:shd w:val="clear" w:color="ACD8E4" w:fill="ACD8E4"/>
      </w:tcPr>
    </w:tblStylePr>
  </w:style>
  <w:style w:type="table" w:customStyle="1" w:styleId="146">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rFonts w:ascii="Arial" w:hAnsi="Arial"/>
        <w:b/>
        <w:color w:val="FFFFFF"/>
        <w:sz w:val="22"/>
      </w:rPr>
      <w:tcPr>
        <w:tcBorders>
          <w:top w:val="single" w:color="FFFFFF" w:sz="4" w:space="0"/>
        </w:tcBorders>
        <w:shd w:val="clear" w:color="F79646" w:fill="F79646"/>
      </w:tcPr>
    </w:tblStylePr>
    <w:tblStylePr w:type="firstCol">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band1Vert">
      <w:tcPr>
        <w:shd w:val="clear" w:color="FBCEAA" w:fill="FBCEAA"/>
      </w:tcPr>
    </w:tblStylePr>
    <w:tblStylePr w:type="band1Horz">
      <w:tcPr>
        <w:shd w:val="clear" w:color="FBCEAA" w:fill="FBCEAA"/>
      </w:tcPr>
    </w:tblStylePr>
  </w:style>
  <w:style w:type="table" w:customStyle="1" w:styleId="147">
    <w:name w:val="网格表 6 彩色1"/>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b/>
        <w:color w:val="7F7F7F"/>
      </w:rPr>
      <w:tcPr>
        <w:tcBorders>
          <w:bottom w:val="single" w:color="7E7E7E" w:sz="12" w:space="0"/>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Arial" w:hAnsi="Arial"/>
        <w:color w:val="7F7F7F"/>
        <w:sz w:val="22"/>
      </w:rPr>
      <w:tcPr>
        <w:shd w:val="clear" w:color="CACACA" w:fill="CACACA"/>
      </w:tcPr>
    </w:tblStylePr>
    <w:tblStylePr w:type="band2Horz">
      <w:rPr>
        <w:rFonts w:ascii="Arial" w:hAnsi="Arial"/>
        <w:color w:val="7F7F7F"/>
        <w:sz w:val="22"/>
      </w:rPr>
    </w:tblStylePr>
  </w:style>
  <w:style w:type="table" w:customStyle="1" w:styleId="148">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b/>
        <w:color w:val="A7C0DE"/>
      </w:rPr>
      <w:tcPr>
        <w:tcBorders>
          <w:bottom w:val="single" w:color="A6BFDD" w:sz="12" w:space="0"/>
        </w:tcBorders>
      </w:tcPr>
    </w:tblStylePr>
    <w:tblStylePr w:type="lastRow">
      <w:rPr>
        <w:b/>
        <w:color w:val="A7C0DE"/>
      </w:rPr>
    </w:tblStylePr>
    <w:tblStylePr w:type="firstCol">
      <w:rPr>
        <w:b/>
        <w:color w:val="A7C0DE"/>
      </w:rPr>
    </w:tblStylePr>
    <w:tblStylePr w:type="lastCol">
      <w:rPr>
        <w:b/>
        <w:color w:val="A7C0DE"/>
      </w:r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49">
    <w:name w:val="Grid Table 6 Colorful - Accent 2"/>
    <w:qFormat/>
    <w:uiPriority w:val="99"/>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b/>
        <w:color w:val="D99795"/>
      </w:rPr>
      <w:tcPr>
        <w:tcBorders>
          <w:bottom w:val="single" w:color="D99795" w:sz="12" w:space="0"/>
        </w:tcBorders>
      </w:tcPr>
    </w:tblStylePr>
    <w:tblStylePr w:type="lastRow">
      <w:rPr>
        <w:b/>
        <w:color w:val="D99795"/>
      </w:rPr>
    </w:tblStylePr>
    <w:tblStylePr w:type="firstCol">
      <w:rPr>
        <w:b/>
        <w:color w:val="D99795"/>
      </w:rPr>
    </w:tblStylePr>
    <w:tblStylePr w:type="lastCol">
      <w:rPr>
        <w:b/>
        <w:color w:val="D99795"/>
      </w:r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0">
    <w:name w:val="Grid Table 6 Colorful - Accent 3"/>
    <w:qFormat/>
    <w:uiPriority w:val="99"/>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b/>
        <w:color w:val="9BBB59"/>
      </w:rPr>
      <w:tcPr>
        <w:tcBorders>
          <w:bottom w:val="single" w:color="9BBB59" w:sz="12" w:space="0"/>
        </w:tcBorders>
      </w:tcPr>
    </w:tblStylePr>
    <w:tblStylePr w:type="lastRow">
      <w:rPr>
        <w:b/>
        <w:color w:val="9BBB59"/>
      </w:rPr>
    </w:tblStylePr>
    <w:tblStylePr w:type="firstCol">
      <w:rPr>
        <w:b/>
        <w:color w:val="9BBB59"/>
      </w:rPr>
    </w:tblStylePr>
    <w:tblStylePr w:type="lastCol">
      <w:rPr>
        <w:b/>
        <w:color w:val="9BBB59"/>
      </w:r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51">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b/>
        <w:color w:val="B2A1C7"/>
      </w:rPr>
      <w:tcPr>
        <w:tcBorders>
          <w:bottom w:val="single" w:color="B2A1C6" w:sz="12" w:space="0"/>
        </w:tcBorders>
      </w:tcPr>
    </w:tblStylePr>
    <w:tblStylePr w:type="lastRow">
      <w:rPr>
        <w:b/>
        <w:color w:val="B2A1C7"/>
      </w:rPr>
    </w:tblStylePr>
    <w:tblStylePr w:type="firstCol">
      <w:rPr>
        <w:b/>
        <w:color w:val="B2A1C7"/>
      </w:rPr>
    </w:tblStylePr>
    <w:tblStylePr w:type="lastCol">
      <w:rPr>
        <w:b/>
        <w:color w:val="B2A1C7"/>
      </w:r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2">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tblStylePr w:type="firstRow">
      <w:rPr>
        <w:b/>
        <w:color w:val="266778"/>
      </w:rPr>
      <w:tcPr>
        <w:tcBorders>
          <w:bottom w:val="single" w:color="4BACC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53">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tblStylePr w:type="firstRow">
      <w:rPr>
        <w:b/>
        <w:color w:val="266778"/>
      </w:rPr>
      <w:tcPr>
        <w:tcBorders>
          <w:bottom w:val="single" w:color="F79646" w:sz="12" w:space="0"/>
        </w:tcBorders>
      </w:tcPr>
    </w:tblStylePr>
    <w:tblStylePr w:type="lastRow">
      <w:rPr>
        <w:b/>
        <w:color w:val="266778"/>
      </w:rPr>
    </w:tblStylePr>
    <w:tblStylePr w:type="firstCol">
      <w:rPr>
        <w:b/>
        <w:color w:val="266778"/>
      </w:rPr>
    </w:tblStylePr>
    <w:tblStylePr w:type="lastCol">
      <w:rPr>
        <w:b/>
        <w:color w:val="266778"/>
      </w:rPr>
    </w:tblStylePr>
    <w:tblStylePr w:type="band1Vert">
      <w:tcPr>
        <w:shd w:val="clear" w:color="FDE9D9" w:fill="FDE9D9"/>
      </w:tcPr>
    </w:tblStylePr>
    <w:tblStylePr w:type="band1Horz">
      <w:rPr>
        <w:rFonts w:ascii="Arial" w:hAnsi="Arial"/>
        <w:color w:val="266778"/>
        <w:sz w:val="22"/>
      </w:rPr>
      <w:tcPr>
        <w:shd w:val="clear" w:color="FDE9D9" w:fill="FDE9D9"/>
      </w:tcPr>
    </w:tblStylePr>
    <w:tblStylePr w:type="band2Horz">
      <w:rPr>
        <w:rFonts w:ascii="Arial" w:hAnsi="Arial"/>
        <w:color w:val="266778"/>
        <w:sz w:val="22"/>
      </w:rPr>
    </w:tblStylePr>
  </w:style>
  <w:style w:type="table" w:customStyle="1" w:styleId="154">
    <w:name w:val="网格表 7 彩色1"/>
    <w:qFormat/>
    <w:uiPriority w:val="99"/>
    <w:tblPr>
      <w:tblBorders>
        <w:bottom w:val="single" w:color="7E7E7E" w:sz="4" w:space="0"/>
        <w:right w:val="single" w:color="7E7E7E" w:sz="4" w:space="0"/>
        <w:insideH w:val="single" w:color="7E7E7E" w:sz="4" w:space="0"/>
        <w:insideV w:val="single" w:color="7E7E7E" w:sz="4" w:space="0"/>
      </w:tblBorders>
      <w:tblCellMar>
        <w:top w:w="0" w:type="dxa"/>
        <w:left w:w="0" w:type="dxa"/>
        <w:bottom w:w="0" w:type="dxa"/>
        <w:right w:w="0" w:type="dxa"/>
      </w:tblCellMar>
    </w:tblPr>
    <w:tblStylePr w:type="firstRow">
      <w:rPr>
        <w:rFonts w:ascii="Arial" w:hAnsi="Arial"/>
        <w:b/>
        <w:color w:val="7F7F7F"/>
        <w:sz w:val="22"/>
      </w:rPr>
      <w:tcPr>
        <w:tcBorders>
          <w:top w:val="nil"/>
          <w:left w:val="nil"/>
          <w:bottom w:val="single" w:color="7E7E7E" w:sz="4" w:space="0"/>
          <w:right w:val="nil"/>
        </w:tcBorders>
        <w:shd w:val="clear" w:color="FFFFFF" w:fill="FFFFFF"/>
      </w:tcPr>
    </w:tblStylePr>
    <w:tblStylePr w:type="lastRow">
      <w:rPr>
        <w:rFonts w:ascii="Arial" w:hAnsi="Arial"/>
        <w:b/>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F1F1F1" w:fill="F1F1F1"/>
      </w:tcPr>
    </w:tblStylePr>
    <w:tblStylePr w:type="band1Horz">
      <w:rPr>
        <w:rFonts w:ascii="Arial" w:hAnsi="Arial"/>
        <w:color w:val="7F7F7F"/>
        <w:sz w:val="22"/>
      </w:rPr>
      <w:tcPr>
        <w:shd w:val="clear" w:color="F1F1F1" w:fill="F1F1F1"/>
      </w:tcPr>
    </w:tblStylePr>
    <w:tblStylePr w:type="band2Horz">
      <w:rPr>
        <w:rFonts w:ascii="Arial" w:hAnsi="Arial"/>
        <w:color w:val="7F7F7F"/>
        <w:sz w:val="22"/>
      </w:rPr>
    </w:tblStylePr>
  </w:style>
  <w:style w:type="table" w:customStyle="1" w:styleId="155">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tblStylePr w:type="firstRow">
      <w:rPr>
        <w:rFonts w:ascii="Arial" w:hAnsi="Arial"/>
        <w:b/>
        <w:color w:val="A7C0DE"/>
        <w:sz w:val="22"/>
      </w:rPr>
      <w:tcPr>
        <w:tcBorders>
          <w:top w:val="nil"/>
          <w:left w:val="nil"/>
          <w:bottom w:val="single" w:color="A6BFDD" w:sz="4" w:space="0"/>
          <w:right w:val="nil"/>
        </w:tcBorders>
        <w:shd w:val="clear" w:color="FFFFFF" w:fill="FFFFFF"/>
      </w:tcPr>
    </w:tblStylePr>
    <w:tblStylePr w:type="lastRow">
      <w:rPr>
        <w:rFonts w:ascii="Arial" w:hAnsi="Arial"/>
        <w:b/>
        <w:color w:val="A7C0DE"/>
        <w:sz w:val="22"/>
      </w:rPr>
      <w:tcPr>
        <w:tcBorders>
          <w:top w:val="single" w:color="A6BFDD" w:sz="4" w:space="0"/>
          <w:left w:val="nil"/>
          <w:bottom w:val="nil"/>
          <w:right w:val="nil"/>
        </w:tcBorders>
        <w:shd w:val="clear" w:color="FFFFFF" w:fill="FFFFFF"/>
      </w:tcPr>
    </w:tblStylePr>
    <w:tblStylePr w:type="firstCol">
      <w:pPr>
        <w:jc w:val="right"/>
      </w:pPr>
      <w:rPr>
        <w:rFonts w:ascii="Arial" w:hAnsi="Arial"/>
        <w:i/>
        <w:color w:val="A7C0DE"/>
        <w:sz w:val="22"/>
      </w:rPr>
      <w:tcPr>
        <w:tcBorders>
          <w:top w:val="nil"/>
          <w:left w:val="nil"/>
          <w:bottom w:val="nil"/>
          <w:right w:val="single" w:color="A6BFDD" w:sz="4" w:space="0"/>
        </w:tcBorders>
        <w:shd w:val="clear" w:color="FFFFFF" w:fill="auto"/>
      </w:tcPr>
    </w:tblStylePr>
    <w:tblStylePr w:type="lastCol">
      <w:rPr>
        <w:rFonts w:ascii="Arial" w:hAnsi="Arial"/>
        <w:i/>
        <w:color w:val="A7C0DE"/>
        <w:sz w:val="22"/>
      </w:rPr>
      <w:tcPr>
        <w:tcBorders>
          <w:top w:val="nil"/>
          <w:left w:val="single" w:color="A6BFDD" w:sz="4" w:space="0"/>
          <w:bottom w:val="nil"/>
          <w:right w:val="nil"/>
        </w:tcBorders>
        <w:shd w:val="clear" w:color="FFFFFF" w:fill="auto"/>
      </w:tcPr>
    </w:tblStylePr>
    <w:tblStylePr w:type="band1Vert">
      <w:tcPr>
        <w:shd w:val="clear" w:color="DBE5F1" w:fill="DBE5F1"/>
      </w:tcPr>
    </w:tblStylePr>
    <w:tblStylePr w:type="band1Horz">
      <w:rPr>
        <w:rFonts w:ascii="Arial" w:hAnsi="Arial"/>
        <w:color w:val="A7C0DE"/>
        <w:sz w:val="22"/>
      </w:rPr>
      <w:tcPr>
        <w:shd w:val="clear" w:color="DBE5F1" w:fill="DBE5F1"/>
      </w:tcPr>
    </w:tblStylePr>
    <w:tblStylePr w:type="band2Horz">
      <w:rPr>
        <w:rFonts w:ascii="Arial" w:hAnsi="Arial"/>
        <w:color w:val="A7C0DE"/>
        <w:sz w:val="22"/>
      </w:rPr>
    </w:tblStylePr>
  </w:style>
  <w:style w:type="table" w:customStyle="1" w:styleId="156">
    <w:name w:val="Grid Table 7 Colorful - Accent 2"/>
    <w:qFormat/>
    <w:uiPriority w:val="99"/>
    <w:tblPr>
      <w:tblBorders>
        <w:bottom w:val="single" w:color="D99795" w:sz="4" w:space="0"/>
        <w:right w:val="single" w:color="D99795" w:sz="4" w:space="0"/>
        <w:insideH w:val="single" w:color="D99795" w:sz="4" w:space="0"/>
        <w:insideV w:val="single" w:color="D99795" w:sz="4" w:space="0"/>
      </w:tblBorders>
      <w:tblCellMar>
        <w:top w:w="0" w:type="dxa"/>
        <w:left w:w="0" w:type="dxa"/>
        <w:bottom w:w="0" w:type="dxa"/>
        <w:right w:w="0" w:type="dxa"/>
      </w:tblCellMar>
    </w:tblPr>
    <w:tblStylePr w:type="firstRow">
      <w:rPr>
        <w:rFonts w:ascii="Arial" w:hAnsi="Arial"/>
        <w:b/>
        <w:color w:val="D99795"/>
        <w:sz w:val="22"/>
      </w:rPr>
      <w:tcPr>
        <w:tcBorders>
          <w:top w:val="nil"/>
          <w:left w:val="nil"/>
          <w:bottom w:val="single" w:color="D99795" w:sz="4" w:space="0"/>
          <w:right w:val="nil"/>
        </w:tcBorders>
        <w:shd w:val="clear" w:color="FFFFFF" w:fill="FFFFFF"/>
      </w:tcPr>
    </w:tblStylePr>
    <w:tblStylePr w:type="lastRow">
      <w:rPr>
        <w:rFonts w:ascii="Arial" w:hAnsi="Arial"/>
        <w:b/>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F2DCDC" w:fill="F2DCDC"/>
      </w:tcPr>
    </w:tblStylePr>
    <w:tblStylePr w:type="band1Horz">
      <w:rPr>
        <w:rFonts w:ascii="Arial" w:hAnsi="Arial"/>
        <w:color w:val="D99795"/>
        <w:sz w:val="22"/>
      </w:rPr>
      <w:tcPr>
        <w:shd w:val="clear" w:color="F2DCDC" w:fill="F2DCDC"/>
      </w:tcPr>
    </w:tblStylePr>
    <w:tblStylePr w:type="band2Horz">
      <w:rPr>
        <w:rFonts w:ascii="Arial" w:hAnsi="Arial"/>
        <w:color w:val="D99795"/>
        <w:sz w:val="22"/>
      </w:rPr>
    </w:tblStylePr>
  </w:style>
  <w:style w:type="table" w:customStyle="1" w:styleId="157">
    <w:name w:val="Grid Table 7 Colorful - Accent 3"/>
    <w:qFormat/>
    <w:uiPriority w:val="99"/>
    <w:tblPr>
      <w:tblBorders>
        <w:bottom w:val="single" w:color="9BBB59" w:sz="4" w:space="0"/>
        <w:right w:val="single" w:color="9BBB59" w:sz="4" w:space="0"/>
        <w:insideH w:val="single" w:color="9BBB59" w:sz="4" w:space="0"/>
        <w:insideV w:val="single" w:color="9BBB59" w:sz="4" w:space="0"/>
      </w:tblBorders>
      <w:tblCellMar>
        <w:top w:w="0" w:type="dxa"/>
        <w:left w:w="0" w:type="dxa"/>
        <w:bottom w:w="0" w:type="dxa"/>
        <w:right w:w="0" w:type="dxa"/>
      </w:tblCellMar>
    </w:tblPr>
    <w:tblStylePr w:type="firstRow">
      <w:rPr>
        <w:rFonts w:ascii="Arial" w:hAnsi="Arial"/>
        <w:b/>
        <w:color w:val="9BBB59"/>
        <w:sz w:val="22"/>
      </w:rPr>
      <w:tcPr>
        <w:tcBorders>
          <w:top w:val="nil"/>
          <w:left w:val="nil"/>
          <w:bottom w:val="single" w:color="9BBB59" w:sz="4" w:space="0"/>
          <w:right w:val="nil"/>
        </w:tcBorders>
        <w:shd w:val="clear" w:color="FFFFFF" w:fill="FFFFFF"/>
      </w:tcPr>
    </w:tblStylePr>
    <w:tblStylePr w:type="lastRow">
      <w:rPr>
        <w:rFonts w:ascii="Arial" w:hAnsi="Arial"/>
        <w:b/>
        <w:color w:val="9BBB59"/>
        <w:sz w:val="22"/>
      </w:rPr>
      <w:tcPr>
        <w:tcBorders>
          <w:top w:val="single" w:color="9BBB59" w:sz="4" w:space="0"/>
          <w:left w:val="nil"/>
          <w:bottom w:val="nil"/>
          <w:right w:val="nil"/>
        </w:tcBorders>
        <w:shd w:val="clear" w:color="FFFFFF" w:fill="FFFFFF"/>
      </w:tcPr>
    </w:tblStylePr>
    <w:tblStylePr w:type="firstCol">
      <w:pPr>
        <w:jc w:val="right"/>
      </w:pPr>
      <w:rPr>
        <w:rFonts w:ascii="Arial" w:hAnsi="Arial"/>
        <w:i/>
        <w:color w:val="9BBB59"/>
        <w:sz w:val="22"/>
      </w:rPr>
      <w:tcPr>
        <w:tcBorders>
          <w:top w:val="nil"/>
          <w:left w:val="nil"/>
          <w:bottom w:val="nil"/>
          <w:right w:val="single" w:color="9BBB59" w:sz="4" w:space="0"/>
        </w:tcBorders>
        <w:shd w:val="clear" w:color="FFFFFF" w:fill="auto"/>
      </w:tcPr>
    </w:tblStylePr>
    <w:tblStylePr w:type="lastCol">
      <w:rPr>
        <w:rFonts w:ascii="Arial" w:hAnsi="Arial"/>
        <w:i/>
        <w:color w:val="9BBB59"/>
        <w:sz w:val="22"/>
      </w:rPr>
      <w:tcPr>
        <w:tcBorders>
          <w:top w:val="nil"/>
          <w:left w:val="single" w:color="9BBB59" w:sz="4" w:space="0"/>
          <w:bottom w:val="nil"/>
          <w:right w:val="nil"/>
        </w:tcBorders>
        <w:shd w:val="clear" w:color="FFFFFF" w:fill="auto"/>
      </w:tcPr>
    </w:tblStylePr>
    <w:tblStylePr w:type="band1Vert">
      <w:tcPr>
        <w:shd w:val="clear" w:color="EAF1DD" w:fill="EAF1DD"/>
      </w:tcPr>
    </w:tblStylePr>
    <w:tblStylePr w:type="band1Horz">
      <w:rPr>
        <w:rFonts w:ascii="Arial" w:hAnsi="Arial"/>
        <w:color w:val="9BBB59"/>
        <w:sz w:val="22"/>
      </w:rPr>
      <w:tcPr>
        <w:shd w:val="clear" w:color="EAF1DD" w:fill="EAF1DD"/>
      </w:tcPr>
    </w:tblStylePr>
    <w:tblStylePr w:type="band2Horz">
      <w:rPr>
        <w:rFonts w:ascii="Arial" w:hAnsi="Arial"/>
        <w:color w:val="9BBB59"/>
        <w:sz w:val="22"/>
      </w:rPr>
    </w:tblStylePr>
  </w:style>
  <w:style w:type="table" w:customStyle="1" w:styleId="158">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tblStylePr w:type="firstRow">
      <w:rPr>
        <w:rFonts w:ascii="Arial" w:hAnsi="Arial"/>
        <w:b/>
        <w:color w:val="B2A1C7"/>
        <w:sz w:val="22"/>
      </w:rPr>
      <w:tcPr>
        <w:tcBorders>
          <w:top w:val="nil"/>
          <w:left w:val="nil"/>
          <w:bottom w:val="single" w:color="B2A1C6" w:sz="4" w:space="0"/>
          <w:right w:val="nil"/>
        </w:tcBorders>
        <w:shd w:val="clear" w:color="FFFFFF" w:fill="FFFFFF"/>
      </w:tcPr>
    </w:tblStylePr>
    <w:tblStylePr w:type="lastRow">
      <w:rPr>
        <w:rFonts w:ascii="Arial" w:hAnsi="Arial"/>
        <w:b/>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E5DFEC" w:fill="E5DFEC"/>
      </w:tcPr>
    </w:tblStylePr>
    <w:tblStylePr w:type="band1Horz">
      <w:rPr>
        <w:rFonts w:ascii="Arial" w:hAnsi="Arial"/>
        <w:color w:val="B2A1C7"/>
        <w:sz w:val="22"/>
      </w:rPr>
      <w:tcPr>
        <w:shd w:val="clear" w:color="E5DFEC" w:fill="E5DFEC"/>
      </w:tcPr>
    </w:tblStylePr>
    <w:tblStylePr w:type="band2Horz">
      <w:rPr>
        <w:rFonts w:ascii="Arial" w:hAnsi="Arial"/>
        <w:color w:val="B2A1C7"/>
        <w:sz w:val="22"/>
      </w:rPr>
    </w:tblStylePr>
  </w:style>
  <w:style w:type="table" w:customStyle="1" w:styleId="159">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tblStylePr w:type="firstRow">
      <w:rPr>
        <w:rFonts w:ascii="Arial" w:hAnsi="Arial"/>
        <w:b/>
        <w:color w:val="266778"/>
        <w:sz w:val="22"/>
      </w:rPr>
      <w:tcPr>
        <w:tcBorders>
          <w:top w:val="nil"/>
          <w:left w:val="nil"/>
          <w:bottom w:val="single" w:color="99D0DE" w:sz="4" w:space="0"/>
          <w:right w:val="nil"/>
        </w:tcBorders>
        <w:shd w:val="clear" w:color="FFFFFF" w:fill="FFFFFF"/>
      </w:tcPr>
    </w:tblStylePr>
    <w:tblStylePr w:type="lastRow">
      <w:rPr>
        <w:rFonts w:ascii="Arial" w:hAnsi="Arial"/>
        <w:b/>
        <w:color w:val="266778"/>
        <w:sz w:val="22"/>
      </w:rPr>
      <w:tcPr>
        <w:tcBorders>
          <w:top w:val="single" w:color="99D0DE" w:sz="4" w:space="0"/>
          <w:left w:val="nil"/>
          <w:bottom w:val="nil"/>
          <w:right w:val="nil"/>
        </w:tcBorders>
        <w:shd w:val="clear" w:color="FFFFFF" w:fill="FFFFFF"/>
      </w:tcPr>
    </w:tblStylePr>
    <w:tblStylePr w:type="firstCol">
      <w:pPr>
        <w:jc w:val="right"/>
      </w:pPr>
      <w:rPr>
        <w:rFonts w:ascii="Arial" w:hAnsi="Arial"/>
        <w:i/>
        <w:color w:val="266778"/>
        <w:sz w:val="22"/>
      </w:rPr>
      <w:tcPr>
        <w:tcBorders>
          <w:top w:val="nil"/>
          <w:left w:val="nil"/>
          <w:bottom w:val="nil"/>
          <w:right w:val="single" w:color="99D0DE" w:sz="4" w:space="0"/>
        </w:tcBorders>
        <w:shd w:val="clear" w:color="FFFFFF" w:fill="auto"/>
      </w:tcPr>
    </w:tblStylePr>
    <w:tblStylePr w:type="lastCol">
      <w:rPr>
        <w:rFonts w:ascii="Arial" w:hAnsi="Arial"/>
        <w:i/>
        <w:color w:val="266778"/>
        <w:sz w:val="22"/>
      </w:rPr>
      <w:tcPr>
        <w:tcBorders>
          <w:top w:val="nil"/>
          <w:left w:val="single" w:color="99D0DE" w:sz="4" w:space="0"/>
          <w:bottom w:val="nil"/>
          <w:right w:val="nil"/>
        </w:tcBorders>
        <w:shd w:val="clear" w:color="FFFFFF" w:fill="auto"/>
      </w:tcPr>
    </w:tblStylePr>
    <w:tblStylePr w:type="band1Vert">
      <w:tcPr>
        <w:shd w:val="clear" w:color="DAEEF3" w:fill="DAEEF3"/>
      </w:tcPr>
    </w:tblStylePr>
    <w:tblStylePr w:type="band1Horz">
      <w:rPr>
        <w:rFonts w:ascii="Arial" w:hAnsi="Arial"/>
        <w:color w:val="266778"/>
        <w:sz w:val="22"/>
      </w:rPr>
      <w:tcPr>
        <w:shd w:val="clear" w:color="DAEEF3" w:fill="DAEEF3"/>
      </w:tcPr>
    </w:tblStylePr>
    <w:tblStylePr w:type="band2Horz">
      <w:rPr>
        <w:rFonts w:ascii="Arial" w:hAnsi="Arial"/>
        <w:color w:val="266778"/>
        <w:sz w:val="22"/>
      </w:rPr>
    </w:tblStylePr>
  </w:style>
  <w:style w:type="table" w:customStyle="1" w:styleId="160">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tblStylePr w:type="firstRow">
      <w:rPr>
        <w:rFonts w:ascii="Arial" w:hAnsi="Arial"/>
        <w:b/>
        <w:color w:val="B05408"/>
        <w:sz w:val="22"/>
      </w:rPr>
      <w:tcPr>
        <w:tcBorders>
          <w:top w:val="nil"/>
          <w:left w:val="nil"/>
          <w:bottom w:val="single" w:color="FAC396" w:sz="4" w:space="0"/>
          <w:right w:val="nil"/>
        </w:tcBorders>
        <w:shd w:val="clear" w:color="FFFFFF" w:fill="FFFFFF"/>
      </w:tcPr>
    </w:tblStylePr>
    <w:tblStylePr w:type="lastRow">
      <w:rPr>
        <w:rFonts w:ascii="Arial" w:hAnsi="Arial"/>
        <w:b/>
        <w:color w:val="B05408"/>
        <w:sz w:val="22"/>
      </w:rPr>
      <w:tcPr>
        <w:tcBorders>
          <w:top w:val="single" w:color="FAC396" w:sz="4" w:space="0"/>
          <w:left w:val="nil"/>
          <w:bottom w:val="nil"/>
          <w:right w:val="nil"/>
        </w:tcBorders>
        <w:shd w:val="clear" w:color="FFFFFF" w:fill="FFFFFF"/>
      </w:tcPr>
    </w:tblStylePr>
    <w:tblStylePr w:type="firstCol">
      <w:pPr>
        <w:jc w:val="right"/>
      </w:pPr>
      <w:rPr>
        <w:rFonts w:ascii="Arial" w:hAnsi="Arial"/>
        <w:i/>
        <w:color w:val="B05408"/>
        <w:sz w:val="22"/>
      </w:rPr>
      <w:tcPr>
        <w:tcBorders>
          <w:top w:val="nil"/>
          <w:left w:val="nil"/>
          <w:bottom w:val="nil"/>
          <w:right w:val="single" w:color="FAC396" w:sz="4" w:space="0"/>
        </w:tcBorders>
        <w:shd w:val="clear" w:color="FFFFFF" w:fill="auto"/>
      </w:tcPr>
    </w:tblStylePr>
    <w:tblStylePr w:type="lastCol">
      <w:rPr>
        <w:rFonts w:ascii="Arial" w:hAnsi="Arial"/>
        <w:i/>
        <w:color w:val="B05408"/>
        <w:sz w:val="22"/>
      </w:rPr>
      <w:tcPr>
        <w:tcBorders>
          <w:top w:val="nil"/>
          <w:left w:val="single" w:color="FAC396" w:sz="4" w:space="0"/>
          <w:bottom w:val="nil"/>
          <w:right w:val="nil"/>
        </w:tcBorders>
        <w:shd w:val="clear" w:color="FFFFFF" w:fill="auto"/>
      </w:tcPr>
    </w:tblStylePr>
    <w:tblStylePr w:type="band1Vert">
      <w:tcPr>
        <w:shd w:val="clear" w:color="FDE9D9" w:fill="FDE9D9"/>
      </w:tcPr>
    </w:tblStylePr>
    <w:tblStylePr w:type="band1Horz">
      <w:rPr>
        <w:rFonts w:ascii="Arial" w:hAnsi="Arial"/>
        <w:color w:val="B05408"/>
        <w:sz w:val="22"/>
      </w:rPr>
      <w:tcPr>
        <w:shd w:val="clear" w:color="FDE9D9" w:fill="FDE9D9"/>
      </w:tcPr>
    </w:tblStylePr>
    <w:tblStylePr w:type="band2Horz">
      <w:rPr>
        <w:rFonts w:ascii="Arial" w:hAnsi="Arial"/>
        <w:color w:val="B05408"/>
        <w:sz w:val="22"/>
      </w:rPr>
    </w:tblStylePr>
  </w:style>
  <w:style w:type="table" w:customStyle="1" w:styleId="16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sz="4" w:space="0"/>
          <w:right w:val="nil"/>
        </w:tcBorders>
      </w:tcPr>
    </w:tblStylePr>
    <w:tblStylePr w:type="lastRow">
      <w:rPr>
        <w:b/>
        <w:color w:val="404040"/>
      </w:rPr>
      <w:tcPr>
        <w:tcBorders>
          <w:top w:val="single" w:color="000000"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sz="4" w:space="0"/>
          <w:right w:val="nil"/>
        </w:tcBorders>
      </w:tcPr>
    </w:tblStylePr>
    <w:tblStylePr w:type="lastRow">
      <w:rPr>
        <w:b/>
        <w:color w:val="404040"/>
      </w:rPr>
      <w:tcPr>
        <w:tcBorders>
          <w:top w:val="single" w:color="4F81B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fill="D2DFEE"/>
      </w:tcPr>
    </w:tblStylePr>
    <w:tblStylePr w:type="band1Horz">
      <w:tcPr>
        <w:shd w:val="clear" w:color="D2DFEE" w:fill="D2DFEE"/>
      </w:tcPr>
    </w:tblStylePr>
  </w:style>
  <w:style w:type="table" w:customStyle="1" w:styleId="16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sz="4" w:space="0"/>
          <w:right w:val="nil"/>
        </w:tcBorders>
      </w:tcPr>
    </w:tblStylePr>
    <w:tblStylePr w:type="lastRow">
      <w:rPr>
        <w:b/>
        <w:color w:val="404040"/>
      </w:rPr>
      <w:tcPr>
        <w:tcBorders>
          <w:top w:val="single" w:color="C0504D"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fill="EFD3D2"/>
      </w:tcPr>
    </w:tblStylePr>
    <w:tblStylePr w:type="band1Horz">
      <w:tcPr>
        <w:shd w:val="clear" w:color="EFD3D2" w:fill="EFD3D2"/>
      </w:tcPr>
    </w:tblStylePr>
  </w:style>
  <w:style w:type="table" w:customStyle="1" w:styleId="16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sz="4" w:space="0"/>
          <w:right w:val="nil"/>
        </w:tcBorders>
      </w:tcPr>
    </w:tblStylePr>
    <w:tblStylePr w:type="lastRow">
      <w:rPr>
        <w:b/>
        <w:color w:val="404040"/>
      </w:rPr>
      <w:tcPr>
        <w:tcBorders>
          <w:top w:val="single" w:color="9BBB59"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fill="E5EDD5"/>
      </w:tcPr>
    </w:tblStylePr>
    <w:tblStylePr w:type="band1Horz">
      <w:tcPr>
        <w:shd w:val="clear" w:color="E5EDD5" w:fill="E5EDD5"/>
      </w:tcPr>
    </w:tblStylePr>
  </w:style>
  <w:style w:type="table" w:customStyle="1" w:styleId="16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sz="4" w:space="0"/>
          <w:right w:val="nil"/>
        </w:tcBorders>
      </w:tcPr>
    </w:tblStylePr>
    <w:tblStylePr w:type="lastRow">
      <w:rPr>
        <w:b/>
        <w:color w:val="404040"/>
      </w:rPr>
      <w:tcPr>
        <w:tcBorders>
          <w:top w:val="single" w:color="8064A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fill="DFD8E7"/>
      </w:tcPr>
    </w:tblStylePr>
    <w:tblStylePr w:type="band1Horz">
      <w:tcPr>
        <w:shd w:val="clear" w:color="DFD8E7" w:fill="DFD8E7"/>
      </w:tcPr>
    </w:tblStylePr>
  </w:style>
  <w:style w:type="table" w:customStyle="1" w:styleId="16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sz="4" w:space="0"/>
          <w:right w:val="nil"/>
        </w:tcBorders>
      </w:tcPr>
    </w:tblStylePr>
    <w:tblStylePr w:type="lastRow">
      <w:rPr>
        <w:b/>
        <w:color w:val="404040"/>
      </w:rPr>
      <w:tcPr>
        <w:tcBorders>
          <w:top w:val="single" w:color="4BACC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fill="D1EAF0"/>
      </w:tcPr>
    </w:tblStylePr>
    <w:tblStylePr w:type="band1Horz">
      <w:tcPr>
        <w:shd w:val="clear" w:color="D1EAF0" w:fill="D1EAF0"/>
      </w:tcPr>
    </w:tblStylePr>
  </w:style>
  <w:style w:type="table" w:customStyle="1" w:styleId="16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sz="4" w:space="0"/>
          <w:right w:val="nil"/>
        </w:tcBorders>
      </w:tcPr>
    </w:tblStylePr>
    <w:tblStylePr w:type="lastRow">
      <w:rPr>
        <w:b/>
        <w:color w:val="404040"/>
      </w:rPr>
      <w:tcPr>
        <w:tcBorders>
          <w:top w:val="single" w:color="F7964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fill="FCE4D0"/>
      </w:tcPr>
    </w:tblStylePr>
    <w:tblStylePr w:type="band1Horz">
      <w:tcPr>
        <w:shd w:val="clear" w:color="FCE4D0" w:fill="FCE4D0"/>
      </w:tcPr>
    </w:tblStylePr>
  </w:style>
  <w:style w:type="table" w:customStyle="1" w:styleId="168">
    <w:name w:val="清单表 21"/>
    <w:qFormat/>
    <w:uiPriority w:val="99"/>
    <w:tblPr>
      <w:tblBorders>
        <w:top w:val="single" w:color="6E6E6E" w:sz="4" w:space="0"/>
        <w:bottom w:val="single" w:color="6E6E6E" w:sz="4" w:space="0"/>
        <w:insideH w:val="single" w:color="6E6E6E"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sz="4" w:space="0"/>
          <w:left w:val="nil"/>
          <w:bottom w:val="single" w:color="6E6E6E" w:sz="4" w:space="0"/>
          <w:right w:val="nil"/>
        </w:tcBorders>
      </w:tcPr>
    </w:tblStylePr>
    <w:tblStylePr w:type="lastRow">
      <w:rPr>
        <w:rFonts w:ascii="Arial" w:hAnsi="Arial"/>
        <w:b/>
        <w:color w:val="404040"/>
        <w:sz w:val="22"/>
      </w:rPr>
      <w:tcPr>
        <w:tcBorders>
          <w:top w:val="single" w:color="6E6E6E" w:sz="4" w:space="0"/>
          <w:left w:val="nil"/>
          <w:bottom w:val="single" w:color="6E6E6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69">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sz="4" w:space="0"/>
          <w:left w:val="nil"/>
          <w:bottom w:val="single" w:color="9BB7D9" w:sz="4" w:space="0"/>
          <w:right w:val="nil"/>
        </w:tcBorders>
      </w:tcPr>
    </w:tblStylePr>
    <w:tblStylePr w:type="lastRow">
      <w:rPr>
        <w:rFonts w:ascii="Arial" w:hAnsi="Arial"/>
        <w:b/>
        <w:color w:val="404040"/>
        <w:sz w:val="22"/>
      </w:rPr>
      <w:tcPr>
        <w:tcBorders>
          <w:top w:val="single" w:color="9BB7D9" w:sz="4" w:space="0"/>
          <w:left w:val="nil"/>
          <w:bottom w:val="single" w:color="9BB7D9"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70">
    <w:name w:val="List Table 2 - Accent 2"/>
    <w:qFormat/>
    <w:uiPriority w:val="99"/>
    <w:tblPr>
      <w:tblBorders>
        <w:top w:val="single" w:color="DB9C9A" w:sz="4" w:space="0"/>
        <w:bottom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sz="4" w:space="0"/>
          <w:left w:val="nil"/>
          <w:bottom w:val="single" w:color="DB9C9A" w:sz="4" w:space="0"/>
          <w:right w:val="nil"/>
        </w:tcBorders>
      </w:tcPr>
    </w:tblStylePr>
    <w:tblStylePr w:type="lastRow">
      <w:rPr>
        <w:rFonts w:ascii="Arial" w:hAnsi="Arial"/>
        <w:b/>
        <w:color w:val="404040"/>
        <w:sz w:val="22"/>
      </w:rPr>
      <w:tcPr>
        <w:tcBorders>
          <w:top w:val="single" w:color="DB9C9A" w:sz="4" w:space="0"/>
          <w:left w:val="nil"/>
          <w:bottom w:val="single" w:color="DB9C9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71">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sz="4" w:space="0"/>
          <w:left w:val="nil"/>
          <w:bottom w:val="single" w:color="C6D8A1" w:sz="4" w:space="0"/>
          <w:right w:val="nil"/>
        </w:tcBorders>
      </w:tcPr>
    </w:tblStylePr>
    <w:tblStylePr w:type="lastRow">
      <w:rPr>
        <w:rFonts w:ascii="Arial" w:hAnsi="Arial"/>
        <w:b/>
        <w:color w:val="404040"/>
        <w:sz w:val="22"/>
      </w:rPr>
      <w:tcPr>
        <w:tcBorders>
          <w:top w:val="single" w:color="C6D8A1" w:sz="4" w:space="0"/>
          <w:left w:val="nil"/>
          <w:bottom w:val="single" w:color="C6D8A1"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72">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sz="4" w:space="0"/>
          <w:left w:val="nil"/>
          <w:bottom w:val="single" w:color="B7A7CA" w:sz="4" w:space="0"/>
          <w:right w:val="nil"/>
        </w:tcBorders>
      </w:tcPr>
    </w:tblStylePr>
    <w:tblStylePr w:type="lastRow">
      <w:rPr>
        <w:rFonts w:ascii="Arial" w:hAnsi="Arial"/>
        <w:b/>
        <w:color w:val="404040"/>
        <w:sz w:val="22"/>
      </w:rPr>
      <w:tcPr>
        <w:tcBorders>
          <w:top w:val="single" w:color="B7A7CA" w:sz="4" w:space="0"/>
          <w:left w:val="nil"/>
          <w:bottom w:val="single" w:color="B7A7CA"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73">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sz="4" w:space="0"/>
          <w:left w:val="nil"/>
          <w:bottom w:val="single" w:color="99D0DE" w:sz="4" w:space="0"/>
          <w:right w:val="nil"/>
        </w:tcBorders>
      </w:tcPr>
    </w:tblStylePr>
    <w:tblStylePr w:type="lastRow">
      <w:rPr>
        <w:rFonts w:ascii="Arial" w:hAnsi="Arial"/>
        <w:b/>
        <w:color w:val="404040"/>
        <w:sz w:val="22"/>
      </w:rPr>
      <w:tcPr>
        <w:tcBorders>
          <w:top w:val="single" w:color="99D0DE" w:sz="4" w:space="0"/>
          <w:left w:val="nil"/>
          <w:bottom w:val="single" w:color="99D0DE"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74">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sz="4" w:space="0"/>
          <w:left w:val="nil"/>
          <w:bottom w:val="single" w:color="FAC396" w:sz="4" w:space="0"/>
          <w:right w:val="nil"/>
        </w:tcBorders>
      </w:tcPr>
    </w:tblStylePr>
    <w:tblStylePr w:type="lastRow">
      <w:rPr>
        <w:rFonts w:ascii="Arial" w:hAnsi="Arial"/>
        <w:b/>
        <w:color w:val="404040"/>
        <w:sz w:val="22"/>
      </w:rPr>
      <w:tcPr>
        <w:tcBorders>
          <w:top w:val="single" w:color="FAC396" w:sz="4" w:space="0"/>
          <w:left w:val="nil"/>
          <w:bottom w:val="single" w:color="FAC396"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7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sz="4" w:space="0"/>
          <w:right w:val="single" w:color="000000" w:sz="4" w:space="0"/>
        </w:tcBorders>
      </w:tcPr>
    </w:tblStylePr>
    <w:tblStylePr w:type="band1Horz">
      <w:rPr>
        <w:rFonts w:ascii="Arial" w:hAnsi="Arial"/>
        <w:color w:val="404040"/>
        <w:sz w:val="22"/>
      </w:rPr>
      <w:tcPr>
        <w:tcBorders>
          <w:top w:val="single" w:color="000000" w:sz="4" w:space="0"/>
          <w:bottom w:val="single" w:color="000000" w:sz="4" w:space="0"/>
        </w:tcBorders>
      </w:tcPr>
    </w:tblStylePr>
  </w:style>
  <w:style w:type="table" w:customStyle="1" w:styleId="176">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sz="4" w:space="0"/>
          <w:right w:val="single" w:color="4F81BD" w:sz="4" w:space="0"/>
        </w:tcBorders>
      </w:tcPr>
    </w:tblStylePr>
    <w:tblStylePr w:type="band1Horz">
      <w:rPr>
        <w:rFonts w:ascii="Arial" w:hAnsi="Arial"/>
        <w:color w:val="404040"/>
        <w:sz w:val="22"/>
      </w:rPr>
      <w:tcPr>
        <w:tcBorders>
          <w:top w:val="single" w:color="4F81BD" w:sz="4" w:space="0"/>
          <w:bottom w:val="single" w:color="4F81BD" w:sz="4" w:space="0"/>
        </w:tcBorders>
      </w:tcPr>
    </w:tblStylePr>
  </w:style>
  <w:style w:type="table" w:customStyle="1" w:styleId="177">
    <w:name w:val="List Table 3 - Accent 2"/>
    <w:qFormat/>
    <w:uiPriority w:val="99"/>
    <w:tblPr>
      <w:tblBorders>
        <w:top w:val="single" w:color="D99795" w:sz="4" w:space="0"/>
        <w:left w:val="single" w:color="D99795" w:sz="4" w:space="0"/>
        <w:bottom w:val="single" w:color="D99795" w:sz="4" w:space="0"/>
        <w:right w:val="single" w:color="D99795" w:sz="4" w:space="0"/>
      </w:tblBorders>
      <w:tblCellMar>
        <w:top w:w="0" w:type="dxa"/>
        <w:left w:w="0" w:type="dxa"/>
        <w:bottom w:w="0" w:type="dxa"/>
        <w:right w:w="0" w:type="dxa"/>
      </w:tblCellMar>
    </w:tblPr>
    <w:tblStylePr w:type="firstRow">
      <w:rPr>
        <w:rFonts w:ascii="Arial" w:hAnsi="Arial"/>
        <w:b/>
        <w:color w:val="FFFFFF"/>
        <w:sz w:val="22"/>
      </w:rPr>
      <w:tcPr>
        <w:shd w:val="clear" w:color="D99795" w:fill="D997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sz="4" w:space="0"/>
          <w:right w:val="single" w:color="D99795" w:sz="4" w:space="0"/>
        </w:tcBorders>
      </w:tcPr>
    </w:tblStylePr>
    <w:tblStylePr w:type="band1Horz">
      <w:rPr>
        <w:rFonts w:ascii="Arial" w:hAnsi="Arial"/>
        <w:color w:val="404040"/>
        <w:sz w:val="22"/>
      </w:rPr>
      <w:tcPr>
        <w:tcBorders>
          <w:top w:val="single" w:color="D99795" w:sz="4" w:space="0"/>
          <w:bottom w:val="single" w:color="D99795" w:sz="4" w:space="0"/>
        </w:tcBorders>
      </w:tcPr>
    </w:tblStylePr>
  </w:style>
  <w:style w:type="table" w:customStyle="1" w:styleId="178">
    <w:name w:val="List Table 3 - Accent 3"/>
    <w:qFormat/>
    <w:uiPriority w:val="99"/>
    <w:tblPr>
      <w:tblBorders>
        <w:top w:val="single" w:color="C3D69C" w:sz="4" w:space="0"/>
        <w:left w:val="single" w:color="C3D69C" w:sz="4" w:space="0"/>
        <w:bottom w:val="single" w:color="C3D69C" w:sz="4" w:space="0"/>
        <w:right w:val="single" w:color="C3D69C" w:sz="4" w:space="0"/>
      </w:tblBorders>
      <w:tblCellMar>
        <w:top w:w="0" w:type="dxa"/>
        <w:left w:w="0" w:type="dxa"/>
        <w:bottom w:w="0" w:type="dxa"/>
        <w:right w:w="0" w:type="dxa"/>
      </w:tblCellMar>
    </w:tblPr>
    <w:tblStylePr w:type="firstRow">
      <w:rPr>
        <w:rFonts w:ascii="Arial" w:hAnsi="Arial"/>
        <w:b/>
        <w:color w:val="FFFFFF"/>
        <w:sz w:val="22"/>
      </w:rPr>
      <w:tcPr>
        <w:shd w:val="clear" w:color="C3D69C" w:fill="C3D69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sz="4" w:space="0"/>
          <w:right w:val="single" w:color="C3D69C" w:sz="4" w:space="0"/>
        </w:tcBorders>
      </w:tcPr>
    </w:tblStylePr>
    <w:tblStylePr w:type="band1Horz">
      <w:rPr>
        <w:rFonts w:ascii="Arial" w:hAnsi="Arial"/>
        <w:color w:val="404040"/>
        <w:sz w:val="22"/>
      </w:rPr>
      <w:tcPr>
        <w:tcBorders>
          <w:top w:val="single" w:color="C3D69C" w:sz="4" w:space="0"/>
          <w:bottom w:val="single" w:color="C3D69C" w:sz="4" w:space="0"/>
        </w:tcBorders>
      </w:tcPr>
    </w:tblStylePr>
  </w:style>
  <w:style w:type="table" w:customStyle="1" w:styleId="179">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tblStylePr w:type="firstRow">
      <w:rPr>
        <w:rFonts w:ascii="Arial" w:hAnsi="Arial"/>
        <w:b/>
        <w:color w:val="FFFFFF"/>
        <w:sz w:val="22"/>
      </w:r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sz="4" w:space="0"/>
          <w:right w:val="single" w:color="B2A1C6" w:sz="4" w:space="0"/>
        </w:tcBorders>
      </w:tcPr>
    </w:tblStylePr>
    <w:tblStylePr w:type="band1Horz">
      <w:rPr>
        <w:rFonts w:ascii="Arial" w:hAnsi="Arial"/>
        <w:color w:val="404040"/>
        <w:sz w:val="22"/>
      </w:rPr>
      <w:tcPr>
        <w:tcBorders>
          <w:top w:val="single" w:color="B2A1C6" w:sz="4" w:space="0"/>
          <w:bottom w:val="single" w:color="B2A1C6" w:sz="4" w:space="0"/>
        </w:tcBorders>
      </w:tcPr>
    </w:tblStylePr>
  </w:style>
  <w:style w:type="table" w:customStyle="1" w:styleId="180">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tblStylePr w:type="firstRow">
      <w:rPr>
        <w:rFonts w:ascii="Arial" w:hAnsi="Arial"/>
        <w:b/>
        <w:color w:val="FFFFFF"/>
        <w:sz w:val="22"/>
      </w:r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sz="4" w:space="0"/>
          <w:right w:val="single" w:color="92CCDC" w:sz="4" w:space="0"/>
        </w:tcBorders>
      </w:tcPr>
    </w:tblStylePr>
    <w:tblStylePr w:type="band1Horz">
      <w:rPr>
        <w:rFonts w:ascii="Arial" w:hAnsi="Arial"/>
        <w:color w:val="404040"/>
        <w:sz w:val="22"/>
      </w:rPr>
      <w:tcPr>
        <w:tcBorders>
          <w:top w:val="single" w:color="92CCDC" w:sz="4" w:space="0"/>
          <w:bottom w:val="single" w:color="92CCDC" w:sz="4" w:space="0"/>
        </w:tcBorders>
      </w:tcPr>
    </w:tblStylePr>
  </w:style>
  <w:style w:type="table" w:customStyle="1" w:styleId="181">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tblStylePr w:type="firstRow">
      <w:rPr>
        <w:rFonts w:ascii="Arial" w:hAnsi="Arial"/>
        <w:b/>
        <w:color w:val="FFFFFF"/>
        <w:sz w:val="22"/>
      </w:r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sz="4" w:space="0"/>
          <w:right w:val="single" w:color="FAC090" w:sz="4" w:space="0"/>
        </w:tcBorders>
      </w:tcPr>
    </w:tblStylePr>
    <w:tblStylePr w:type="band1Horz">
      <w:rPr>
        <w:rFonts w:ascii="Arial" w:hAnsi="Arial"/>
        <w:color w:val="404040"/>
        <w:sz w:val="22"/>
      </w:rPr>
      <w:tcPr>
        <w:tcBorders>
          <w:top w:val="single" w:color="FAC090" w:sz="4" w:space="0"/>
          <w:bottom w:val="single" w:color="FAC090" w:sz="4" w:space="0"/>
        </w:tcBorders>
      </w:tcPr>
    </w:tblStylePr>
  </w:style>
  <w:style w:type="table" w:customStyle="1" w:styleId="182">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tblStylePr w:type="firstRow">
      <w:rPr>
        <w:rFonts w:ascii="Arial" w:hAnsi="Arial"/>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fill="BEBEBE"/>
      </w:tcPr>
    </w:tblStylePr>
    <w:tblStylePr w:type="band1Horz">
      <w:rPr>
        <w:rFonts w:ascii="Arial" w:hAnsi="Arial"/>
        <w:color w:val="404040"/>
        <w:sz w:val="22"/>
      </w:rPr>
      <w:tcPr>
        <w:shd w:val="clear" w:color="BEBEBE" w:fill="BEBEBE"/>
      </w:tcPr>
    </w:tblStylePr>
  </w:style>
  <w:style w:type="table" w:customStyle="1" w:styleId="183">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tblStylePr w:type="firstRow">
      <w:rPr>
        <w:rFonts w:ascii="Arial" w:hAnsi="Arial"/>
        <w:b/>
        <w:color w:val="FFFFFF"/>
        <w:sz w:val="22"/>
      </w:r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fill="D2DFEE"/>
      </w:tcPr>
    </w:tblStylePr>
    <w:tblStylePr w:type="band1Horz">
      <w:rPr>
        <w:rFonts w:ascii="Arial" w:hAnsi="Arial"/>
        <w:color w:val="404040"/>
        <w:sz w:val="22"/>
      </w:rPr>
      <w:tcPr>
        <w:shd w:val="clear" w:color="D2DFEE" w:fill="D2DFEE"/>
      </w:tcPr>
    </w:tblStylePr>
  </w:style>
  <w:style w:type="table" w:customStyle="1" w:styleId="184">
    <w:name w:val="List Table 4 - Accent 2"/>
    <w:qFormat/>
    <w:uiPriority w:val="99"/>
    <w:tblPr>
      <w:tblBorders>
        <w:top w:val="single" w:color="DB9C9A" w:sz="4" w:space="0"/>
        <w:left w:val="single" w:color="DB9C9A" w:sz="4" w:space="0"/>
        <w:bottom w:val="single" w:color="DB9C9A" w:sz="4" w:space="0"/>
        <w:right w:val="single" w:color="DB9C9A" w:sz="4" w:space="0"/>
        <w:insideH w:val="single" w:color="DB9C9A" w:sz="4" w:space="0"/>
      </w:tblBorders>
      <w:tblCellMar>
        <w:top w:w="0" w:type="dxa"/>
        <w:left w:w="0" w:type="dxa"/>
        <w:bottom w:w="0" w:type="dxa"/>
        <w:right w:w="0" w:type="dxa"/>
      </w:tblCellMar>
    </w:tblPr>
    <w:tblStylePr w:type="firstRow">
      <w:rPr>
        <w:rFonts w:ascii="Arial" w:hAnsi="Arial"/>
        <w:b/>
        <w:color w:val="FFFFFF"/>
        <w:sz w:val="22"/>
      </w:r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fill="EFD3D2"/>
      </w:tcPr>
    </w:tblStylePr>
    <w:tblStylePr w:type="band1Horz">
      <w:rPr>
        <w:rFonts w:ascii="Arial" w:hAnsi="Arial"/>
        <w:color w:val="404040"/>
        <w:sz w:val="22"/>
      </w:rPr>
      <w:tcPr>
        <w:shd w:val="clear" w:color="EFD3D2" w:fill="EFD3D2"/>
      </w:tcPr>
    </w:tblStylePr>
  </w:style>
  <w:style w:type="table" w:customStyle="1" w:styleId="185">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tblStylePr w:type="firstRow">
      <w:rPr>
        <w:rFonts w:ascii="Arial" w:hAnsi="Arial"/>
        <w:b/>
        <w:color w:val="FFFFFF"/>
        <w:sz w:val="22"/>
      </w:r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fill="E5EDD5"/>
      </w:tcPr>
    </w:tblStylePr>
    <w:tblStylePr w:type="band1Horz">
      <w:rPr>
        <w:rFonts w:ascii="Arial" w:hAnsi="Arial"/>
        <w:color w:val="404040"/>
        <w:sz w:val="22"/>
      </w:rPr>
      <w:tcPr>
        <w:shd w:val="clear" w:color="E5EDD5" w:fill="E5EDD5"/>
      </w:tcPr>
    </w:tblStylePr>
  </w:style>
  <w:style w:type="table" w:customStyle="1" w:styleId="186">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tblStylePr w:type="firstRow">
      <w:rPr>
        <w:rFonts w:ascii="Arial" w:hAnsi="Arial"/>
        <w:b/>
        <w:color w:val="FFFFFF"/>
        <w:sz w:val="22"/>
      </w:r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fill="DFD8E7"/>
      </w:tcPr>
    </w:tblStylePr>
    <w:tblStylePr w:type="band1Horz">
      <w:rPr>
        <w:rFonts w:ascii="Arial" w:hAnsi="Arial"/>
        <w:color w:val="404040"/>
        <w:sz w:val="22"/>
      </w:rPr>
      <w:tcPr>
        <w:shd w:val="clear" w:color="DFD8E7" w:fill="DFD8E7"/>
      </w:tcPr>
    </w:tblStylePr>
  </w:style>
  <w:style w:type="table" w:customStyle="1" w:styleId="187">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tblStylePr w:type="firstRow">
      <w:rPr>
        <w:rFonts w:ascii="Arial" w:hAnsi="Arial"/>
        <w:b/>
        <w:color w:val="FFFFFF"/>
        <w:sz w:val="22"/>
      </w:r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fill="D1EAF0"/>
      </w:tcPr>
    </w:tblStylePr>
    <w:tblStylePr w:type="band1Horz">
      <w:rPr>
        <w:rFonts w:ascii="Arial" w:hAnsi="Arial"/>
        <w:color w:val="404040"/>
        <w:sz w:val="22"/>
      </w:rPr>
      <w:tcPr>
        <w:shd w:val="clear" w:color="D1EAF0" w:fill="D1EAF0"/>
      </w:tcPr>
    </w:tblStylePr>
  </w:style>
  <w:style w:type="table" w:customStyle="1" w:styleId="188">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tblStylePr w:type="firstRow">
      <w:rPr>
        <w:rFonts w:ascii="Arial" w:hAnsi="Arial"/>
        <w:b/>
        <w:color w:val="FFFFFF"/>
        <w:sz w:val="22"/>
      </w:r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fill="FCE4D0"/>
      </w:tcPr>
    </w:tblStylePr>
    <w:tblStylePr w:type="band1Horz">
      <w:rPr>
        <w:rFonts w:ascii="Arial" w:hAnsi="Arial"/>
        <w:color w:val="404040"/>
        <w:sz w:val="22"/>
      </w:rPr>
      <w:tcPr>
        <w:shd w:val="clear" w:color="FCE4D0" w:fill="FCE4D0"/>
      </w:tcPr>
    </w:tblStylePr>
  </w:style>
  <w:style w:type="table" w:customStyle="1" w:styleId="189">
    <w:name w:val="清单表 5 深色1"/>
    <w:qFormat/>
    <w:uiPriority w:val="99"/>
    <w:tblPr>
      <w:tblBorders>
        <w:top w:val="single" w:color="7E7E7E" w:sz="32" w:space="0"/>
        <w:left w:val="single" w:color="7E7E7E" w:sz="32" w:space="0"/>
        <w:bottom w:val="single" w:color="7E7E7E" w:sz="32" w:space="0"/>
        <w:right w:val="single" w:color="7E7E7E" w:sz="32" w:space="0"/>
      </w:tblBorders>
      <w:tblCellMar>
        <w:top w:w="0" w:type="dxa"/>
        <w:left w:w="0" w:type="dxa"/>
        <w:bottom w:w="0" w:type="dxa"/>
        <w:right w:w="0" w:type="dxa"/>
      </w:tblCellMar>
    </w:tblPr>
    <w:tblStylePr w:type="firstRow">
      <w:rPr>
        <w:rFonts w:ascii="Arial" w:hAnsi="Arial"/>
        <w:b/>
        <w:color w:val="FFFFFF"/>
        <w:sz w:val="22"/>
      </w:rPr>
      <w:tcPr>
        <w:tcBorders>
          <w:top w:val="single" w:color="7E7E7E" w:sz="32" w:space="0"/>
          <w:bottom w:val="single" w:color="FFFFFF" w:sz="12" w:space="0"/>
        </w:tcBorders>
        <w:shd w:val="clear" w:color="7E7E7E" w:fill="7E7E7E"/>
      </w:tcPr>
    </w:tblStylePr>
    <w:tblStylePr w:type="lastRow">
      <w:rPr>
        <w:rFonts w:ascii="Arial" w:hAnsi="Arial"/>
        <w:b/>
        <w:color w:val="FFFFFF"/>
        <w:sz w:val="22"/>
      </w:rPr>
    </w:tblStylePr>
    <w:tblStylePr w:type="firstCol">
      <w:rPr>
        <w:rFonts w:ascii="Arial" w:hAnsi="Arial"/>
        <w:b/>
        <w:color w:val="FFFFFF"/>
        <w:sz w:val="22"/>
      </w:rPr>
      <w:tcPr>
        <w:tcBorders>
          <w:left w:val="single" w:color="7E7E7E" w:sz="32" w:space="0"/>
          <w:right w:val="single" w:color="FFFFFF" w:sz="4" w:space="0"/>
        </w:tcBorders>
      </w:tcPr>
    </w:tblStylePr>
    <w:tblStylePr w:type="lastCol">
      <w:tcPr>
        <w:tcBorders>
          <w:left w:val="single" w:color="FFFFFF" w:sz="4" w:space="0"/>
          <w:right w:val="single" w:color="7E7E7E" w:sz="32" w:space="0"/>
        </w:tcBorders>
      </w:tcPr>
    </w:tblStylePr>
    <w:tblStylePr w:type="band1Vert">
      <w:tcPr>
        <w:tcBorders>
          <w:left w:val="single" w:color="FFFFFF" w:sz="4" w:space="0"/>
          <w:right w:val="single" w:color="FFFFFF" w:sz="4" w:space="0"/>
        </w:tcBorders>
        <w:shd w:val="clear" w:color="7E7E7E" w:fill="7E7E7E"/>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7E7E7E" w:fill="7E7E7E"/>
      </w:tcPr>
    </w:tblStylePr>
    <w:tblStylePr w:type="band2Horz">
      <w:tcPr>
        <w:tcBorders>
          <w:top w:val="single" w:color="FFFFFF" w:sz="4" w:space="0"/>
          <w:bottom w:val="single" w:color="FFFFFF" w:sz="4" w:space="0"/>
        </w:tcBorders>
        <w:shd w:val="clear" w:color="7E7E7E" w:fill="7E7E7E"/>
      </w:tcPr>
    </w:tblStylePr>
  </w:style>
  <w:style w:type="table" w:customStyle="1" w:styleId="190">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tblStylePr w:type="firstRow">
      <w:rPr>
        <w:rFonts w:ascii="Arial" w:hAnsi="Arial"/>
        <w:b/>
        <w:color w:val="FFFFFF"/>
        <w:sz w:val="22"/>
      </w:rPr>
      <w:tcPr>
        <w:tcBorders>
          <w:top w:val="single" w:color="4F81BD" w:sz="32" w:space="0"/>
          <w:bottom w:val="single" w:color="FFFFFF" w:sz="12" w:space="0"/>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cPr>
        <w:tcBorders>
          <w:left w:val="single" w:color="4F81BD" w:sz="32" w:space="0"/>
          <w:right w:val="single" w:color="FFFFFF" w:sz="4" w:space="0"/>
        </w:tcBorders>
      </w:tcPr>
    </w:tblStylePr>
    <w:tblStylePr w:type="lastCol">
      <w:tcPr>
        <w:tcBorders>
          <w:left w:val="single" w:color="FFFFFF" w:sz="4" w:space="0"/>
          <w:right w:val="single" w:color="4F81BD" w:sz="32" w:space="0"/>
        </w:tcBorders>
      </w:tcPr>
    </w:tblStylePr>
    <w:tblStylePr w:type="band1Vert">
      <w:tcPr>
        <w:tcBorders>
          <w:left w:val="single" w:color="FFFFFF" w:sz="4" w:space="0"/>
          <w:right w:val="single" w:color="FFFFFF" w:sz="4" w:space="0"/>
        </w:tcBorders>
        <w:shd w:val="clear" w:color="4F81BD" w:fill="4F81BD"/>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4F81BD" w:fill="4F81BD"/>
      </w:tcPr>
    </w:tblStylePr>
    <w:tblStylePr w:type="band2Horz">
      <w:tcPr>
        <w:tcBorders>
          <w:top w:val="single" w:color="FFFFFF" w:sz="4" w:space="0"/>
          <w:bottom w:val="single" w:color="FFFFFF" w:sz="4" w:space="0"/>
        </w:tcBorders>
        <w:shd w:val="clear" w:color="4F81BD" w:fill="4F81BD"/>
      </w:tcPr>
    </w:tblStylePr>
  </w:style>
  <w:style w:type="table" w:customStyle="1" w:styleId="191">
    <w:name w:val="List Table 5 Dark - Accent 2"/>
    <w:qFormat/>
    <w:uiPriority w:val="99"/>
    <w:tblPr>
      <w:tblBorders>
        <w:top w:val="single" w:color="D99795" w:sz="32" w:space="0"/>
        <w:left w:val="single" w:color="D99795" w:sz="32" w:space="0"/>
        <w:bottom w:val="single" w:color="D99795" w:sz="32" w:space="0"/>
        <w:right w:val="single" w:color="D99795" w:sz="32" w:space="0"/>
      </w:tblBorders>
      <w:tblCellMar>
        <w:top w:w="0" w:type="dxa"/>
        <w:left w:w="0" w:type="dxa"/>
        <w:bottom w:w="0" w:type="dxa"/>
        <w:right w:w="0" w:type="dxa"/>
      </w:tblCellMar>
    </w:tblPr>
    <w:tblStylePr w:type="firstRow">
      <w:rPr>
        <w:rFonts w:ascii="Arial" w:hAnsi="Arial"/>
        <w:b/>
        <w:color w:val="FFFFFF"/>
        <w:sz w:val="22"/>
      </w:rPr>
      <w:tcPr>
        <w:tcBorders>
          <w:top w:val="single" w:color="D99795" w:sz="32" w:space="0"/>
          <w:bottom w:val="single" w:color="FFFFFF" w:sz="12" w:space="0"/>
        </w:tcBorders>
        <w:shd w:val="clear" w:color="D99795" w:fill="D99795"/>
      </w:tcPr>
    </w:tblStylePr>
    <w:tblStylePr w:type="lastRow">
      <w:rPr>
        <w:rFonts w:ascii="Arial" w:hAnsi="Arial"/>
        <w:b/>
        <w:color w:val="FFFFFF"/>
        <w:sz w:val="22"/>
      </w:rPr>
    </w:tblStylePr>
    <w:tblStylePr w:type="firstCol">
      <w:rPr>
        <w:rFonts w:ascii="Arial" w:hAnsi="Arial"/>
        <w:b/>
        <w:color w:val="FFFFFF"/>
        <w:sz w:val="22"/>
      </w:rPr>
      <w:tcPr>
        <w:tcBorders>
          <w:left w:val="single" w:color="D99795" w:sz="32" w:space="0"/>
          <w:right w:val="single" w:color="FFFFFF" w:sz="4" w:space="0"/>
        </w:tcBorders>
      </w:tcPr>
    </w:tblStylePr>
    <w:tblStylePr w:type="lastCol">
      <w:tcPr>
        <w:tcBorders>
          <w:left w:val="single" w:color="FFFFFF" w:sz="4" w:space="0"/>
          <w:right w:val="single" w:color="D99795" w:sz="32" w:space="0"/>
        </w:tcBorders>
      </w:tcPr>
    </w:tblStylePr>
    <w:tblStylePr w:type="band1Vert">
      <w:tcPr>
        <w:tcBorders>
          <w:left w:val="single" w:color="FFFFFF" w:sz="4" w:space="0"/>
          <w:right w:val="single" w:color="FFFFFF" w:sz="4" w:space="0"/>
        </w:tcBorders>
        <w:shd w:val="clear" w:color="D99795" w:fill="D99795"/>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D99795" w:fill="D99795"/>
      </w:tcPr>
    </w:tblStylePr>
    <w:tblStylePr w:type="band2Horz">
      <w:tcPr>
        <w:tcBorders>
          <w:top w:val="single" w:color="FFFFFF" w:sz="4" w:space="0"/>
          <w:bottom w:val="single" w:color="FFFFFF" w:sz="4" w:space="0"/>
        </w:tcBorders>
        <w:shd w:val="clear" w:color="D99795" w:fill="D99795"/>
      </w:tcPr>
    </w:tblStylePr>
  </w:style>
  <w:style w:type="table" w:customStyle="1" w:styleId="192">
    <w:name w:val="List Table 5 Dark - Accent 3"/>
    <w:qFormat/>
    <w:uiPriority w:val="99"/>
    <w:tblPr>
      <w:tblBorders>
        <w:top w:val="single" w:color="C3D69C" w:sz="32" w:space="0"/>
        <w:left w:val="single" w:color="C3D69C" w:sz="32" w:space="0"/>
        <w:bottom w:val="single" w:color="C3D69C" w:sz="32" w:space="0"/>
        <w:right w:val="single" w:color="C3D69C" w:sz="32" w:space="0"/>
      </w:tblBorders>
      <w:tblCellMar>
        <w:top w:w="0" w:type="dxa"/>
        <w:left w:w="0" w:type="dxa"/>
        <w:bottom w:w="0" w:type="dxa"/>
        <w:right w:w="0" w:type="dxa"/>
      </w:tblCellMar>
    </w:tblPr>
    <w:tblStylePr w:type="firstRow">
      <w:rPr>
        <w:rFonts w:ascii="Arial" w:hAnsi="Arial"/>
        <w:b/>
        <w:color w:val="FFFFFF"/>
        <w:sz w:val="22"/>
      </w:rPr>
      <w:tcPr>
        <w:tcBorders>
          <w:top w:val="single" w:color="C3D69C" w:sz="32" w:space="0"/>
          <w:bottom w:val="single" w:color="FFFFFF" w:sz="12" w:space="0"/>
        </w:tcBorders>
        <w:shd w:val="clear" w:color="C3D69C" w:fill="C3D69C"/>
      </w:tcPr>
    </w:tblStylePr>
    <w:tblStylePr w:type="lastRow">
      <w:rPr>
        <w:rFonts w:ascii="Arial" w:hAnsi="Arial"/>
        <w:b/>
        <w:color w:val="FFFFFF"/>
        <w:sz w:val="22"/>
      </w:rPr>
    </w:tblStylePr>
    <w:tblStylePr w:type="firstCol">
      <w:rPr>
        <w:rFonts w:ascii="Arial" w:hAnsi="Arial"/>
        <w:b/>
        <w:color w:val="FFFFFF"/>
        <w:sz w:val="22"/>
      </w:rPr>
      <w:tcPr>
        <w:tcBorders>
          <w:left w:val="single" w:color="C3D69C" w:sz="32" w:space="0"/>
          <w:right w:val="single" w:color="FFFFFF" w:sz="4" w:space="0"/>
        </w:tcBorders>
      </w:tcPr>
    </w:tblStylePr>
    <w:tblStylePr w:type="lastCol">
      <w:tcPr>
        <w:tcBorders>
          <w:left w:val="single" w:color="FFFFFF" w:sz="4" w:space="0"/>
          <w:right w:val="single" w:color="C3D69C" w:sz="32" w:space="0"/>
        </w:tcBorders>
      </w:tcPr>
    </w:tblStylePr>
    <w:tblStylePr w:type="band1Vert">
      <w:tcPr>
        <w:tcBorders>
          <w:left w:val="single" w:color="FFFFFF" w:sz="4" w:space="0"/>
          <w:right w:val="single" w:color="FFFFFF" w:sz="4" w:space="0"/>
        </w:tcBorders>
        <w:shd w:val="clear" w:color="C3D69C" w:fill="C3D69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C3D69C" w:fill="C3D69C"/>
      </w:tcPr>
    </w:tblStylePr>
    <w:tblStylePr w:type="band2Horz">
      <w:tcPr>
        <w:tcBorders>
          <w:top w:val="single" w:color="FFFFFF" w:sz="4" w:space="0"/>
          <w:bottom w:val="single" w:color="FFFFFF" w:sz="4" w:space="0"/>
        </w:tcBorders>
        <w:shd w:val="clear" w:color="C3D69C" w:fill="C3D69C"/>
      </w:tcPr>
    </w:tblStylePr>
  </w:style>
  <w:style w:type="table" w:customStyle="1" w:styleId="193">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tblStylePr w:type="firstRow">
      <w:rPr>
        <w:rFonts w:ascii="Arial" w:hAnsi="Arial"/>
        <w:b/>
        <w:color w:val="FFFFFF"/>
        <w:sz w:val="22"/>
      </w:rPr>
      <w:tcPr>
        <w:tcBorders>
          <w:top w:val="single" w:color="B2A1C6" w:sz="32" w:space="0"/>
          <w:bottom w:val="single" w:color="FFFFFF" w:sz="12" w:space="0"/>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cPr>
        <w:tcBorders>
          <w:left w:val="single" w:color="B2A1C6" w:sz="32" w:space="0"/>
          <w:right w:val="single" w:color="FFFFFF" w:sz="4" w:space="0"/>
        </w:tcBorders>
      </w:tcPr>
    </w:tblStylePr>
    <w:tblStylePr w:type="lastCol">
      <w:tcPr>
        <w:tcBorders>
          <w:left w:val="single" w:color="FFFFFF" w:sz="4" w:space="0"/>
          <w:right w:val="single" w:color="B2A1C6" w:sz="32" w:space="0"/>
        </w:tcBorders>
      </w:tcPr>
    </w:tblStylePr>
    <w:tblStylePr w:type="band1Vert">
      <w:tcPr>
        <w:tcBorders>
          <w:left w:val="single" w:color="FFFFFF" w:sz="4" w:space="0"/>
          <w:right w:val="single" w:color="FFFFFF" w:sz="4" w:space="0"/>
        </w:tcBorders>
        <w:shd w:val="clear" w:color="B2A1C6" w:fill="B2A1C6"/>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B2A1C6" w:fill="B2A1C6"/>
      </w:tcPr>
    </w:tblStylePr>
    <w:tblStylePr w:type="band2Horz">
      <w:tcPr>
        <w:tcBorders>
          <w:top w:val="single" w:color="FFFFFF" w:sz="4" w:space="0"/>
          <w:bottom w:val="single" w:color="FFFFFF" w:sz="4" w:space="0"/>
        </w:tcBorders>
        <w:shd w:val="clear" w:color="B2A1C6" w:fill="B2A1C6"/>
      </w:tcPr>
    </w:tblStylePr>
  </w:style>
  <w:style w:type="table" w:customStyle="1" w:styleId="194">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tblStylePr w:type="firstRow">
      <w:rPr>
        <w:rFonts w:ascii="Arial" w:hAnsi="Arial"/>
        <w:b/>
        <w:color w:val="FFFFFF"/>
        <w:sz w:val="22"/>
      </w:rPr>
      <w:tcPr>
        <w:tcBorders>
          <w:top w:val="single" w:color="92CCDC" w:sz="32" w:space="0"/>
          <w:bottom w:val="single" w:color="FFFFFF" w:sz="12" w:space="0"/>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cPr>
        <w:tcBorders>
          <w:left w:val="single" w:color="92CCDC" w:sz="32" w:space="0"/>
          <w:right w:val="single" w:color="FFFFFF" w:sz="4" w:space="0"/>
        </w:tcBorders>
      </w:tcPr>
    </w:tblStylePr>
    <w:tblStylePr w:type="lastCol">
      <w:tcPr>
        <w:tcBorders>
          <w:left w:val="single" w:color="FFFFFF" w:sz="4" w:space="0"/>
          <w:right w:val="single" w:color="92CCDC" w:sz="32" w:space="0"/>
        </w:tcBorders>
      </w:tcPr>
    </w:tblStylePr>
    <w:tblStylePr w:type="band1Vert">
      <w:tcPr>
        <w:tcBorders>
          <w:left w:val="single" w:color="FFFFFF" w:sz="4" w:space="0"/>
          <w:right w:val="single" w:color="FFFFFF" w:sz="4" w:space="0"/>
        </w:tcBorders>
        <w:shd w:val="clear" w:color="92CCDC" w:fill="92CCDC"/>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92CCDC" w:fill="92CCDC"/>
      </w:tcPr>
    </w:tblStylePr>
    <w:tblStylePr w:type="band2Horz">
      <w:tcPr>
        <w:tcBorders>
          <w:top w:val="single" w:color="FFFFFF" w:sz="4" w:space="0"/>
          <w:bottom w:val="single" w:color="FFFFFF" w:sz="4" w:space="0"/>
        </w:tcBorders>
        <w:shd w:val="clear" w:color="92CCDC" w:fill="92CCDC"/>
      </w:tcPr>
    </w:tblStylePr>
  </w:style>
  <w:style w:type="table" w:customStyle="1" w:styleId="195">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tblStylePr w:type="firstRow">
      <w:rPr>
        <w:rFonts w:ascii="Arial" w:hAnsi="Arial"/>
        <w:b/>
        <w:color w:val="FFFFFF"/>
        <w:sz w:val="22"/>
      </w:rPr>
      <w:tcPr>
        <w:tcBorders>
          <w:top w:val="single" w:color="FAC090" w:sz="32" w:space="0"/>
          <w:bottom w:val="single" w:color="FFFFFF" w:sz="12" w:space="0"/>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cPr>
        <w:tcBorders>
          <w:left w:val="single" w:color="FAC090" w:sz="32" w:space="0"/>
          <w:right w:val="single" w:color="FFFFFF" w:sz="4" w:space="0"/>
        </w:tcBorders>
      </w:tcPr>
    </w:tblStylePr>
    <w:tblStylePr w:type="lastCol">
      <w:tcPr>
        <w:tcBorders>
          <w:left w:val="single" w:color="FFFFFF" w:sz="4" w:space="0"/>
          <w:right w:val="single" w:color="FAC090" w:sz="32" w:space="0"/>
        </w:tcBorders>
      </w:tcPr>
    </w:tblStylePr>
    <w:tblStylePr w:type="band1Vert">
      <w:tcPr>
        <w:tcBorders>
          <w:left w:val="single" w:color="FFFFFF" w:sz="4" w:space="0"/>
          <w:right w:val="single" w:color="FFFFFF" w:sz="4" w:space="0"/>
        </w:tcBorders>
        <w:shd w:val="clear" w:color="FAC090" w:fill="FAC090"/>
      </w:tcPr>
    </w:tblStylePr>
    <w:tblStylePr w:type="band2Vert">
      <w:tcPr>
        <w:tcBorders>
          <w:left w:val="single" w:color="FFFFFF" w:sz="4" w:space="0"/>
          <w:right w:val="single" w:color="FFFFFF" w:sz="4" w:space="0"/>
        </w:tcBorders>
      </w:tcPr>
    </w:tblStylePr>
    <w:tblStylePr w:type="band1Horz">
      <w:tcPr>
        <w:tcBorders>
          <w:top w:val="single" w:color="FFFFFF" w:sz="4" w:space="0"/>
          <w:bottom w:val="single" w:color="FFFFFF" w:sz="4" w:space="0"/>
        </w:tcBorders>
        <w:shd w:val="clear" w:color="FAC090" w:fill="FAC090"/>
      </w:tcPr>
    </w:tblStylePr>
    <w:tblStylePr w:type="band2Horz">
      <w:tcPr>
        <w:tcBorders>
          <w:top w:val="single" w:color="FFFFFF" w:sz="4" w:space="0"/>
          <w:bottom w:val="single" w:color="FFFFFF" w:sz="4" w:space="0"/>
        </w:tcBorders>
        <w:shd w:val="clear" w:color="FAC090" w:fill="FAC090"/>
      </w:tcPr>
    </w:tblStylePr>
  </w:style>
  <w:style w:type="table" w:customStyle="1" w:styleId="196">
    <w:name w:val="清单表 6 彩色1"/>
    <w:qFormat/>
    <w:uiPriority w:val="99"/>
    <w:tblPr>
      <w:tblBorders>
        <w:top w:val="single" w:color="7E7E7E" w:sz="4" w:space="0"/>
        <w:bottom w:val="single" w:color="7E7E7E" w:sz="4" w:space="0"/>
      </w:tblBorders>
      <w:tblCellMar>
        <w:top w:w="0" w:type="dxa"/>
        <w:left w:w="0" w:type="dxa"/>
        <w:bottom w:w="0" w:type="dxa"/>
        <w:right w:w="0" w:type="dxa"/>
      </w:tblCellMar>
    </w:tblPr>
    <w:tblStylePr w:type="firstRow">
      <w:rPr>
        <w:b/>
        <w:color w:val="000000"/>
      </w:rPr>
      <w:tcPr>
        <w:tcBorders>
          <w:bottom w:val="single" w:color="7E7E7E" w:sz="4" w:space="0"/>
        </w:tcBorders>
      </w:tcPr>
    </w:tblStylePr>
    <w:tblStylePr w:type="lastRow">
      <w:rPr>
        <w:b/>
        <w:color w:val="000000"/>
      </w:rPr>
      <w:tcPr>
        <w:tcBorders>
          <w:top w:val="single" w:color="7E7E7E" w:sz="4" w:space="0"/>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Arial" w:hAnsi="Arial"/>
        <w:color w:val="000000"/>
        <w:sz w:val="22"/>
      </w:rPr>
      <w:tcPr>
        <w:shd w:val="clear" w:color="BEBEBE" w:fill="BEBEBE"/>
      </w:tcPr>
    </w:tblStylePr>
    <w:tblStylePr w:type="band2Horz">
      <w:rPr>
        <w:rFonts w:ascii="Arial" w:hAnsi="Arial"/>
        <w:color w:val="000000"/>
        <w:sz w:val="22"/>
      </w:rPr>
    </w:tblStylePr>
  </w:style>
  <w:style w:type="table" w:customStyle="1" w:styleId="197">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tblStylePr w:type="firstRow">
      <w:rPr>
        <w:b/>
        <w:color w:val="2A4B71"/>
      </w:rPr>
      <w:tcPr>
        <w:tcBorders>
          <w:bottom w:val="single" w:color="4F81BD" w:sz="4" w:space="0"/>
        </w:tcBorders>
      </w:tcPr>
    </w:tblStylePr>
    <w:tblStylePr w:type="lastRow">
      <w:rPr>
        <w:b/>
        <w:color w:val="2A4B71"/>
      </w:rPr>
      <w:tcPr>
        <w:tcBorders>
          <w:top w:val="single" w:color="4F81BD" w:sz="4" w:space="0"/>
        </w:tcBorders>
      </w:tcPr>
    </w:tblStylePr>
    <w:tblStylePr w:type="firstCol">
      <w:rPr>
        <w:b/>
        <w:color w:val="2A4B71"/>
      </w:rPr>
    </w:tblStylePr>
    <w:tblStylePr w:type="lastCol">
      <w:rPr>
        <w:b/>
        <w:color w:val="2A4B71"/>
      </w:r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198">
    <w:name w:val="List Table 6 Colorful - Accent 2"/>
    <w:qFormat/>
    <w:uiPriority w:val="99"/>
    <w:tblPr>
      <w:tblBorders>
        <w:top w:val="single" w:color="D99795" w:sz="4" w:space="0"/>
        <w:bottom w:val="single" w:color="D99795" w:sz="4" w:space="0"/>
      </w:tblBorders>
      <w:tblCellMar>
        <w:top w:w="0" w:type="dxa"/>
        <w:left w:w="0" w:type="dxa"/>
        <w:bottom w:w="0" w:type="dxa"/>
        <w:right w:w="0" w:type="dxa"/>
      </w:tblCellMar>
    </w:tblPr>
    <w:tblStylePr w:type="firstRow">
      <w:rPr>
        <w:b/>
        <w:color w:val="D99795"/>
      </w:rPr>
      <w:tcPr>
        <w:tcBorders>
          <w:bottom w:val="single" w:color="D99795" w:sz="4" w:space="0"/>
        </w:tcBorders>
      </w:tcPr>
    </w:tblStylePr>
    <w:tblStylePr w:type="lastRow">
      <w:rPr>
        <w:b/>
        <w:color w:val="D99795"/>
      </w:rPr>
      <w:tcPr>
        <w:tcBorders>
          <w:top w:val="single" w:color="D99795" w:sz="4" w:space="0"/>
        </w:tcBorders>
      </w:tcPr>
    </w:tblStylePr>
    <w:tblStylePr w:type="firstCol">
      <w:rPr>
        <w:b/>
        <w:color w:val="D99795"/>
      </w:rPr>
    </w:tblStylePr>
    <w:tblStylePr w:type="lastCol">
      <w:rPr>
        <w:b/>
        <w:color w:val="D99795"/>
      </w:r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199">
    <w:name w:val="List Table 6 Colorful - Accent 3"/>
    <w:qFormat/>
    <w:uiPriority w:val="99"/>
    <w:tblPr>
      <w:tblBorders>
        <w:top w:val="single" w:color="C3D69C" w:sz="4" w:space="0"/>
        <w:bottom w:val="single" w:color="C3D69C" w:sz="4" w:space="0"/>
      </w:tblBorders>
      <w:tblCellMar>
        <w:top w:w="0" w:type="dxa"/>
        <w:left w:w="0" w:type="dxa"/>
        <w:bottom w:w="0" w:type="dxa"/>
        <w:right w:w="0" w:type="dxa"/>
      </w:tblCellMar>
    </w:tblPr>
    <w:tblStylePr w:type="firstRow">
      <w:rPr>
        <w:b/>
        <w:color w:val="C3D69B"/>
      </w:rPr>
      <w:tcPr>
        <w:tcBorders>
          <w:bottom w:val="single" w:color="C3D69C" w:sz="4" w:space="0"/>
        </w:tcBorders>
      </w:tcPr>
    </w:tblStylePr>
    <w:tblStylePr w:type="lastRow">
      <w:rPr>
        <w:b/>
        <w:color w:val="C3D69B"/>
      </w:rPr>
      <w:tcPr>
        <w:tcBorders>
          <w:top w:val="single" w:color="C3D69C" w:sz="4" w:space="0"/>
        </w:tcBorders>
      </w:tcPr>
    </w:tblStylePr>
    <w:tblStylePr w:type="firstCol">
      <w:rPr>
        <w:b/>
        <w:color w:val="C3D69B"/>
      </w:rPr>
    </w:tblStylePr>
    <w:tblStylePr w:type="lastCol">
      <w:rPr>
        <w:b/>
        <w:color w:val="C3D69B"/>
      </w:r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200">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tblStylePr w:type="firstRow">
      <w:rPr>
        <w:b/>
        <w:color w:val="B2A1C7"/>
      </w:rPr>
      <w:tcPr>
        <w:tcBorders>
          <w:bottom w:val="single" w:color="B2A1C6" w:sz="4" w:space="0"/>
        </w:tcBorders>
      </w:tcPr>
    </w:tblStylePr>
    <w:tblStylePr w:type="lastRow">
      <w:rPr>
        <w:b/>
        <w:color w:val="B2A1C7"/>
      </w:rPr>
      <w:tcPr>
        <w:tcBorders>
          <w:top w:val="single" w:color="B2A1C6" w:sz="4" w:space="0"/>
        </w:tcBorders>
      </w:tcPr>
    </w:tblStylePr>
    <w:tblStylePr w:type="firstCol">
      <w:rPr>
        <w:b/>
        <w:color w:val="B2A1C7"/>
      </w:rPr>
    </w:tblStylePr>
    <w:tblStylePr w:type="lastCol">
      <w:rPr>
        <w:b/>
        <w:color w:val="B2A1C7"/>
      </w:r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1">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tblStylePr w:type="firstRow">
      <w:rPr>
        <w:b/>
        <w:color w:val="93CDDC"/>
      </w:rPr>
      <w:tcPr>
        <w:tcBorders>
          <w:bottom w:val="single" w:color="92CCDC" w:sz="4" w:space="0"/>
        </w:tcBorders>
      </w:tcPr>
    </w:tblStylePr>
    <w:tblStylePr w:type="lastRow">
      <w:rPr>
        <w:b/>
        <w:color w:val="93CDDC"/>
      </w:rPr>
      <w:tcPr>
        <w:tcBorders>
          <w:top w:val="single" w:color="92CCDC" w:sz="4" w:space="0"/>
        </w:tcBorders>
      </w:tcPr>
    </w:tblStylePr>
    <w:tblStylePr w:type="firstCol">
      <w:rPr>
        <w:b/>
        <w:color w:val="93CDDC"/>
      </w:rPr>
    </w:tblStylePr>
    <w:tblStylePr w:type="lastCol">
      <w:rPr>
        <w:b/>
        <w:color w:val="93CDDC"/>
      </w:r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202">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tblStylePr w:type="firstRow">
      <w:rPr>
        <w:b/>
        <w:color w:val="FAC090"/>
      </w:rPr>
      <w:tcPr>
        <w:tcBorders>
          <w:bottom w:val="single" w:color="FAC090" w:sz="4" w:space="0"/>
        </w:tcBorders>
      </w:tcPr>
    </w:tblStylePr>
    <w:tblStylePr w:type="lastRow">
      <w:rPr>
        <w:b/>
        <w:color w:val="FAC090"/>
      </w:rPr>
      <w:tcPr>
        <w:tcBorders>
          <w:top w:val="single" w:color="FAC090" w:sz="4" w:space="0"/>
        </w:tcBorders>
      </w:tcPr>
    </w:tblStylePr>
    <w:tblStylePr w:type="firstCol">
      <w:rPr>
        <w:b/>
        <w:color w:val="FAC090"/>
      </w:rPr>
    </w:tblStylePr>
    <w:tblStylePr w:type="lastCol">
      <w:rPr>
        <w:b/>
        <w:color w:val="FAC090"/>
      </w:r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03">
    <w:name w:val="清单表 7 彩色1"/>
    <w:qFormat/>
    <w:uiPriority w:val="99"/>
    <w:tblPr>
      <w:tblBorders>
        <w:right w:val="single" w:color="7E7E7E" w:sz="4" w:space="0"/>
      </w:tblBorders>
      <w:tblCellMar>
        <w:top w:w="0" w:type="dxa"/>
        <w:left w:w="0" w:type="dxa"/>
        <w:bottom w:w="0" w:type="dxa"/>
        <w:right w:w="0" w:type="dxa"/>
      </w:tblCellMar>
    </w:tblPr>
    <w:tblStylePr w:type="firstRow">
      <w:rPr>
        <w:rFonts w:ascii="Arial" w:hAnsi="Arial"/>
        <w:i/>
        <w:color w:val="7F7F7F"/>
        <w:sz w:val="22"/>
      </w:rPr>
      <w:tcPr>
        <w:tcBorders>
          <w:top w:val="nil"/>
          <w:left w:val="nil"/>
          <w:bottom w:val="single" w:color="7E7E7E" w:sz="4" w:space="0"/>
          <w:right w:val="nil"/>
        </w:tcBorders>
        <w:shd w:val="clear" w:color="FFFFFF" w:fill="FFFFFF"/>
      </w:tcPr>
    </w:tblStylePr>
    <w:tblStylePr w:type="lastRow">
      <w:rPr>
        <w:rFonts w:ascii="Arial" w:hAnsi="Arial"/>
        <w:i/>
        <w:color w:val="7F7F7F"/>
        <w:sz w:val="22"/>
      </w:rPr>
      <w:tcPr>
        <w:tcBorders>
          <w:top w:val="single" w:color="7E7E7E" w:sz="4" w:space="0"/>
          <w:left w:val="nil"/>
          <w:bottom w:val="nil"/>
          <w:right w:val="nil"/>
        </w:tcBorders>
        <w:shd w:val="clear" w:color="FFFFFF" w:fill="FFFFFF"/>
      </w:tcPr>
    </w:tblStylePr>
    <w:tblStylePr w:type="firstCol">
      <w:pPr>
        <w:jc w:val="right"/>
      </w:pPr>
      <w:rPr>
        <w:rFonts w:ascii="Arial" w:hAnsi="Arial"/>
        <w:i/>
        <w:color w:val="7F7F7F"/>
        <w:sz w:val="22"/>
      </w:rPr>
      <w:tcPr>
        <w:tcBorders>
          <w:top w:val="nil"/>
          <w:left w:val="nil"/>
          <w:bottom w:val="nil"/>
          <w:right w:val="single" w:color="7E7E7E" w:sz="4" w:space="0"/>
        </w:tcBorders>
        <w:shd w:val="clear" w:color="FFFFFF" w:fill="auto"/>
      </w:tcPr>
    </w:tblStylePr>
    <w:tblStylePr w:type="lastCol">
      <w:rPr>
        <w:rFonts w:ascii="Arial" w:hAnsi="Arial"/>
        <w:i/>
        <w:color w:val="7F7F7F"/>
        <w:sz w:val="22"/>
      </w:rPr>
      <w:tcPr>
        <w:tcBorders>
          <w:top w:val="nil"/>
          <w:left w:val="single" w:color="7E7E7E" w:sz="4" w:space="0"/>
          <w:bottom w:val="nil"/>
          <w:right w:val="nil"/>
        </w:tcBorders>
        <w:shd w:val="clear" w:color="FFFFFF" w:fill="auto"/>
      </w:tcPr>
    </w:tblStylePr>
    <w:tblStylePr w:type="band1Vert">
      <w:tcPr>
        <w:shd w:val="clear" w:color="BEBEBE" w:fill="BEBEBE"/>
      </w:tcPr>
    </w:tblStylePr>
    <w:tblStylePr w:type="band1Horz">
      <w:rPr>
        <w:rFonts w:ascii="Arial" w:hAnsi="Arial"/>
        <w:color w:val="7F7F7F"/>
        <w:sz w:val="22"/>
      </w:rPr>
      <w:tcPr>
        <w:shd w:val="clear" w:color="BEBEBE" w:fill="BEBEBE"/>
      </w:tcPr>
    </w:tblStylePr>
    <w:tblStylePr w:type="band2Horz">
      <w:rPr>
        <w:rFonts w:ascii="Arial" w:hAnsi="Arial"/>
        <w:color w:val="7F7F7F"/>
        <w:sz w:val="22"/>
      </w:rPr>
    </w:tblStylePr>
  </w:style>
  <w:style w:type="table" w:customStyle="1" w:styleId="204">
    <w:name w:val="List Table 7 Colorful - Accent 1"/>
    <w:qFormat/>
    <w:uiPriority w:val="99"/>
    <w:tblPr>
      <w:tblBorders>
        <w:right w:val="single" w:color="4F81BD" w:sz="4" w:space="0"/>
      </w:tblBorders>
      <w:tblCellMar>
        <w:top w:w="0" w:type="dxa"/>
        <w:left w:w="0" w:type="dxa"/>
        <w:bottom w:w="0" w:type="dxa"/>
        <w:right w:w="0" w:type="dxa"/>
      </w:tblCellMar>
    </w:tblPr>
    <w:tblStylePr w:type="firstRow">
      <w:rPr>
        <w:rFonts w:ascii="Arial" w:hAnsi="Arial"/>
        <w:i/>
        <w:color w:val="2A4B71"/>
        <w:sz w:val="22"/>
      </w:rPr>
      <w:tcPr>
        <w:tcBorders>
          <w:top w:val="nil"/>
          <w:left w:val="nil"/>
          <w:bottom w:val="single" w:color="4F81BD" w:sz="4" w:space="0"/>
          <w:right w:val="nil"/>
        </w:tcBorders>
        <w:shd w:val="clear" w:color="FFFFFF" w:fill="FFFFFF"/>
      </w:tcPr>
    </w:tblStylePr>
    <w:tblStylePr w:type="lastRow">
      <w:rPr>
        <w:rFonts w:ascii="Arial" w:hAnsi="Arial"/>
        <w:i/>
        <w:color w:val="2A4B71"/>
        <w:sz w:val="22"/>
      </w:rPr>
      <w:tcPr>
        <w:tcBorders>
          <w:top w:val="single" w:color="4F81BD" w:sz="4" w:space="0"/>
          <w:left w:val="nil"/>
          <w:bottom w:val="nil"/>
          <w:right w:val="nil"/>
        </w:tcBorders>
        <w:shd w:val="clear" w:color="FFFFFF" w:fill="FFFFFF"/>
      </w:tcPr>
    </w:tblStylePr>
    <w:tblStylePr w:type="firstCol">
      <w:pPr>
        <w:jc w:val="right"/>
      </w:pPr>
      <w:rPr>
        <w:rFonts w:ascii="Arial" w:hAnsi="Arial"/>
        <w:i/>
        <w:color w:val="2A4B71"/>
        <w:sz w:val="22"/>
      </w:rPr>
      <w:tcPr>
        <w:tcBorders>
          <w:top w:val="nil"/>
          <w:left w:val="nil"/>
          <w:bottom w:val="nil"/>
          <w:right w:val="single" w:color="4F81BD" w:sz="4" w:space="0"/>
        </w:tcBorders>
        <w:shd w:val="clear" w:color="FFFFFF" w:fill="auto"/>
      </w:tcPr>
    </w:tblStylePr>
    <w:tblStylePr w:type="lastCol">
      <w:rPr>
        <w:rFonts w:ascii="Arial" w:hAnsi="Arial"/>
        <w:i/>
        <w:color w:val="2A4B71"/>
        <w:sz w:val="22"/>
      </w:rPr>
      <w:tcPr>
        <w:tcBorders>
          <w:top w:val="nil"/>
          <w:left w:val="single" w:color="4F81BD" w:sz="4" w:space="0"/>
          <w:bottom w:val="nil"/>
          <w:right w:val="nil"/>
        </w:tcBorders>
        <w:shd w:val="clear" w:color="FFFFFF" w:fill="auto"/>
      </w:tcPr>
    </w:tblStylePr>
    <w:tblStylePr w:type="band1Vert">
      <w:tcPr>
        <w:shd w:val="clear" w:color="D2DFEE" w:fill="D2DFEE"/>
      </w:tcPr>
    </w:tblStylePr>
    <w:tblStylePr w:type="band1Horz">
      <w:rPr>
        <w:rFonts w:ascii="Arial" w:hAnsi="Arial"/>
        <w:color w:val="2A4B71"/>
        <w:sz w:val="22"/>
      </w:rPr>
      <w:tcPr>
        <w:shd w:val="clear" w:color="D2DFEE" w:fill="D2DFEE"/>
      </w:tcPr>
    </w:tblStylePr>
    <w:tblStylePr w:type="band2Horz">
      <w:rPr>
        <w:rFonts w:ascii="Arial" w:hAnsi="Arial"/>
        <w:color w:val="2A4B71"/>
        <w:sz w:val="22"/>
      </w:rPr>
    </w:tblStylePr>
  </w:style>
  <w:style w:type="table" w:customStyle="1" w:styleId="205">
    <w:name w:val="List Table 7 Colorful - Accent 2"/>
    <w:qFormat/>
    <w:uiPriority w:val="99"/>
    <w:tblPr>
      <w:tblBorders>
        <w:right w:val="single" w:color="D99795" w:sz="4" w:space="0"/>
      </w:tblBorders>
      <w:tblCellMar>
        <w:top w:w="0" w:type="dxa"/>
        <w:left w:w="0" w:type="dxa"/>
        <w:bottom w:w="0" w:type="dxa"/>
        <w:right w:w="0" w:type="dxa"/>
      </w:tblCellMar>
    </w:tblPr>
    <w:tblStylePr w:type="firstRow">
      <w:rPr>
        <w:rFonts w:ascii="Arial" w:hAnsi="Arial"/>
        <w:i/>
        <w:color w:val="D99795"/>
        <w:sz w:val="22"/>
      </w:rPr>
      <w:tcPr>
        <w:tcBorders>
          <w:top w:val="nil"/>
          <w:left w:val="nil"/>
          <w:bottom w:val="single" w:color="D99795" w:sz="4" w:space="0"/>
          <w:right w:val="nil"/>
        </w:tcBorders>
        <w:shd w:val="clear" w:color="FFFFFF" w:fill="FFFFFF"/>
      </w:tcPr>
    </w:tblStylePr>
    <w:tblStylePr w:type="lastRow">
      <w:rPr>
        <w:rFonts w:ascii="Arial" w:hAnsi="Arial"/>
        <w:i/>
        <w:color w:val="D99795"/>
        <w:sz w:val="22"/>
      </w:rPr>
      <w:tcPr>
        <w:tcBorders>
          <w:top w:val="single" w:color="D99795" w:sz="4" w:space="0"/>
          <w:left w:val="nil"/>
          <w:bottom w:val="nil"/>
          <w:right w:val="nil"/>
        </w:tcBorders>
        <w:shd w:val="clear" w:color="FFFFFF" w:fill="FFFFFF"/>
      </w:tcPr>
    </w:tblStylePr>
    <w:tblStylePr w:type="firstCol">
      <w:pPr>
        <w:jc w:val="right"/>
      </w:pPr>
      <w:rPr>
        <w:rFonts w:ascii="Arial" w:hAnsi="Arial"/>
        <w:i/>
        <w:color w:val="D99795"/>
        <w:sz w:val="22"/>
      </w:rPr>
      <w:tcPr>
        <w:tcBorders>
          <w:top w:val="nil"/>
          <w:left w:val="nil"/>
          <w:bottom w:val="nil"/>
          <w:right w:val="single" w:color="D99795" w:sz="4" w:space="0"/>
        </w:tcBorders>
        <w:shd w:val="clear" w:color="FFFFFF" w:fill="auto"/>
      </w:tcPr>
    </w:tblStylePr>
    <w:tblStylePr w:type="lastCol">
      <w:rPr>
        <w:rFonts w:ascii="Arial" w:hAnsi="Arial"/>
        <w:i/>
        <w:color w:val="D99795"/>
        <w:sz w:val="22"/>
      </w:rPr>
      <w:tcPr>
        <w:tcBorders>
          <w:top w:val="nil"/>
          <w:left w:val="single" w:color="D99795" w:sz="4" w:space="0"/>
          <w:bottom w:val="nil"/>
          <w:right w:val="nil"/>
        </w:tcBorders>
        <w:shd w:val="clear" w:color="FFFFFF" w:fill="auto"/>
      </w:tcPr>
    </w:tblStylePr>
    <w:tblStylePr w:type="band1Vert">
      <w:tcPr>
        <w:shd w:val="clear" w:color="EFD3D2" w:fill="EFD3D2"/>
      </w:tcPr>
    </w:tblStylePr>
    <w:tblStylePr w:type="band1Horz">
      <w:rPr>
        <w:rFonts w:ascii="Arial" w:hAnsi="Arial"/>
        <w:color w:val="D99795"/>
        <w:sz w:val="22"/>
      </w:rPr>
      <w:tcPr>
        <w:shd w:val="clear" w:color="EFD3D2" w:fill="EFD3D2"/>
      </w:tcPr>
    </w:tblStylePr>
    <w:tblStylePr w:type="band2Horz">
      <w:rPr>
        <w:rFonts w:ascii="Arial" w:hAnsi="Arial"/>
        <w:color w:val="D99795"/>
        <w:sz w:val="22"/>
      </w:rPr>
    </w:tblStylePr>
  </w:style>
  <w:style w:type="table" w:customStyle="1" w:styleId="206">
    <w:name w:val="List Table 7 Colorful - Accent 3"/>
    <w:qFormat/>
    <w:uiPriority w:val="99"/>
    <w:tblPr>
      <w:tblBorders>
        <w:right w:val="single" w:color="C3D69C" w:sz="4" w:space="0"/>
      </w:tblBorders>
      <w:tblCellMar>
        <w:top w:w="0" w:type="dxa"/>
        <w:left w:w="0" w:type="dxa"/>
        <w:bottom w:w="0" w:type="dxa"/>
        <w:right w:w="0" w:type="dxa"/>
      </w:tblCellMar>
    </w:tblPr>
    <w:tblStylePr w:type="firstRow">
      <w:rPr>
        <w:rFonts w:ascii="Arial" w:hAnsi="Arial"/>
        <w:i/>
        <w:color w:val="C3D69B"/>
        <w:sz w:val="22"/>
      </w:rPr>
      <w:tcPr>
        <w:tcBorders>
          <w:top w:val="nil"/>
          <w:left w:val="nil"/>
          <w:bottom w:val="single" w:color="C3D69C" w:sz="4" w:space="0"/>
          <w:right w:val="nil"/>
        </w:tcBorders>
        <w:shd w:val="clear" w:color="FFFFFF" w:fill="FFFFFF"/>
      </w:tcPr>
    </w:tblStylePr>
    <w:tblStylePr w:type="lastRow">
      <w:rPr>
        <w:rFonts w:ascii="Arial" w:hAnsi="Arial"/>
        <w:i/>
        <w:color w:val="C3D69B"/>
        <w:sz w:val="22"/>
      </w:rPr>
      <w:tcPr>
        <w:tcBorders>
          <w:top w:val="single" w:color="C3D69C" w:sz="4" w:space="0"/>
          <w:left w:val="nil"/>
          <w:bottom w:val="nil"/>
          <w:right w:val="nil"/>
        </w:tcBorders>
        <w:shd w:val="clear" w:color="FFFFFF" w:fill="FFFFFF"/>
      </w:tcPr>
    </w:tblStylePr>
    <w:tblStylePr w:type="firstCol">
      <w:pPr>
        <w:jc w:val="right"/>
      </w:pPr>
      <w:rPr>
        <w:rFonts w:ascii="Arial" w:hAnsi="Arial"/>
        <w:i/>
        <w:color w:val="C3D69B"/>
        <w:sz w:val="22"/>
      </w:rPr>
      <w:tcPr>
        <w:tcBorders>
          <w:top w:val="nil"/>
          <w:left w:val="nil"/>
          <w:bottom w:val="nil"/>
          <w:right w:val="single" w:color="C3D69C" w:sz="4" w:space="0"/>
        </w:tcBorders>
        <w:shd w:val="clear" w:color="FFFFFF" w:fill="auto"/>
      </w:tcPr>
    </w:tblStylePr>
    <w:tblStylePr w:type="lastCol">
      <w:rPr>
        <w:rFonts w:ascii="Arial" w:hAnsi="Arial"/>
        <w:i/>
        <w:color w:val="C3D69B"/>
        <w:sz w:val="22"/>
      </w:rPr>
      <w:tcPr>
        <w:tcBorders>
          <w:top w:val="nil"/>
          <w:left w:val="single" w:color="C3D69C" w:sz="4" w:space="0"/>
          <w:bottom w:val="nil"/>
          <w:right w:val="nil"/>
        </w:tcBorders>
        <w:shd w:val="clear" w:color="FFFFFF" w:fill="auto"/>
      </w:tcPr>
    </w:tblStylePr>
    <w:tblStylePr w:type="band1Vert">
      <w:tcPr>
        <w:shd w:val="clear" w:color="E5EDD5" w:fill="E5EDD5"/>
      </w:tcPr>
    </w:tblStylePr>
    <w:tblStylePr w:type="band1Horz">
      <w:rPr>
        <w:rFonts w:ascii="Arial" w:hAnsi="Arial"/>
        <w:color w:val="C3D69B"/>
        <w:sz w:val="22"/>
      </w:rPr>
      <w:tcPr>
        <w:shd w:val="clear" w:color="E5EDD5" w:fill="E5EDD5"/>
      </w:tcPr>
    </w:tblStylePr>
    <w:tblStylePr w:type="band2Horz">
      <w:rPr>
        <w:rFonts w:ascii="Arial" w:hAnsi="Arial"/>
        <w:color w:val="C3D69B"/>
        <w:sz w:val="22"/>
      </w:rPr>
    </w:tblStylePr>
  </w:style>
  <w:style w:type="table" w:customStyle="1" w:styleId="207">
    <w:name w:val="List Table 7 Colorful - Accent 4"/>
    <w:qFormat/>
    <w:uiPriority w:val="99"/>
    <w:tblPr>
      <w:tblBorders>
        <w:right w:val="single" w:color="B2A1C6" w:sz="4" w:space="0"/>
      </w:tblBorders>
      <w:tblCellMar>
        <w:top w:w="0" w:type="dxa"/>
        <w:left w:w="0" w:type="dxa"/>
        <w:bottom w:w="0" w:type="dxa"/>
        <w:right w:w="0" w:type="dxa"/>
      </w:tblCellMar>
    </w:tblPr>
    <w:tblStylePr w:type="firstRow">
      <w:rPr>
        <w:rFonts w:ascii="Arial" w:hAnsi="Arial"/>
        <w:i/>
        <w:color w:val="B2A1C7"/>
        <w:sz w:val="22"/>
      </w:rPr>
      <w:tcPr>
        <w:tcBorders>
          <w:top w:val="nil"/>
          <w:left w:val="nil"/>
          <w:bottom w:val="single" w:color="B2A1C6" w:sz="4" w:space="0"/>
          <w:right w:val="nil"/>
        </w:tcBorders>
        <w:shd w:val="clear" w:color="FFFFFF" w:fill="FFFFFF"/>
      </w:tcPr>
    </w:tblStylePr>
    <w:tblStylePr w:type="lastRow">
      <w:rPr>
        <w:rFonts w:ascii="Arial" w:hAnsi="Arial"/>
        <w:i/>
        <w:color w:val="B2A1C7"/>
        <w:sz w:val="22"/>
      </w:rPr>
      <w:tcPr>
        <w:tcBorders>
          <w:top w:val="single" w:color="B2A1C6" w:sz="4" w:space="0"/>
          <w:left w:val="nil"/>
          <w:bottom w:val="nil"/>
          <w:right w:val="nil"/>
        </w:tcBorders>
        <w:shd w:val="clear" w:color="FFFFFF" w:fill="FFFFFF"/>
      </w:tcPr>
    </w:tblStylePr>
    <w:tblStylePr w:type="firstCol">
      <w:pPr>
        <w:jc w:val="right"/>
      </w:pPr>
      <w:rPr>
        <w:rFonts w:ascii="Arial" w:hAnsi="Arial"/>
        <w:i/>
        <w:color w:val="B2A1C7"/>
        <w:sz w:val="22"/>
      </w:rPr>
      <w:tcPr>
        <w:tcBorders>
          <w:top w:val="nil"/>
          <w:left w:val="nil"/>
          <w:bottom w:val="nil"/>
          <w:right w:val="single" w:color="B2A1C6" w:sz="4" w:space="0"/>
        </w:tcBorders>
        <w:shd w:val="clear" w:color="FFFFFF" w:fill="auto"/>
      </w:tcPr>
    </w:tblStylePr>
    <w:tblStylePr w:type="lastCol">
      <w:rPr>
        <w:rFonts w:ascii="Arial" w:hAnsi="Arial"/>
        <w:i/>
        <w:color w:val="B2A1C7"/>
        <w:sz w:val="22"/>
      </w:rPr>
      <w:tcPr>
        <w:tcBorders>
          <w:top w:val="nil"/>
          <w:left w:val="single" w:color="B2A1C6" w:sz="4" w:space="0"/>
          <w:bottom w:val="nil"/>
          <w:right w:val="nil"/>
        </w:tcBorders>
        <w:shd w:val="clear" w:color="FFFFFF" w:fill="auto"/>
      </w:tcPr>
    </w:tblStylePr>
    <w:tblStylePr w:type="band1Vert">
      <w:tcPr>
        <w:shd w:val="clear" w:color="DFD8E7" w:fill="DFD8E7"/>
      </w:tcPr>
    </w:tblStylePr>
    <w:tblStylePr w:type="band1Horz">
      <w:rPr>
        <w:rFonts w:ascii="Arial" w:hAnsi="Arial"/>
        <w:color w:val="B2A1C7"/>
        <w:sz w:val="22"/>
      </w:rPr>
      <w:tcPr>
        <w:shd w:val="clear" w:color="DFD8E7" w:fill="DFD8E7"/>
      </w:tcPr>
    </w:tblStylePr>
    <w:tblStylePr w:type="band2Horz">
      <w:rPr>
        <w:rFonts w:ascii="Arial" w:hAnsi="Arial"/>
        <w:color w:val="B2A1C7"/>
        <w:sz w:val="22"/>
      </w:rPr>
    </w:tblStylePr>
  </w:style>
  <w:style w:type="table" w:customStyle="1" w:styleId="208">
    <w:name w:val="List Table 7 Colorful - Accent 5"/>
    <w:qFormat/>
    <w:uiPriority w:val="99"/>
    <w:tblPr>
      <w:tblBorders>
        <w:right w:val="single" w:color="92CCDC" w:sz="4" w:space="0"/>
      </w:tblBorders>
      <w:tblCellMar>
        <w:top w:w="0" w:type="dxa"/>
        <w:left w:w="0" w:type="dxa"/>
        <w:bottom w:w="0" w:type="dxa"/>
        <w:right w:w="0" w:type="dxa"/>
      </w:tblCellMar>
    </w:tblPr>
    <w:tblStylePr w:type="firstRow">
      <w:rPr>
        <w:rFonts w:ascii="Arial" w:hAnsi="Arial"/>
        <w:i/>
        <w:color w:val="93CDDC"/>
        <w:sz w:val="22"/>
      </w:rPr>
      <w:tcPr>
        <w:tcBorders>
          <w:top w:val="nil"/>
          <w:left w:val="nil"/>
          <w:bottom w:val="single" w:color="92CCDC" w:sz="4" w:space="0"/>
          <w:right w:val="nil"/>
        </w:tcBorders>
        <w:shd w:val="clear" w:color="FFFFFF" w:fill="FFFFFF"/>
      </w:tcPr>
    </w:tblStylePr>
    <w:tblStylePr w:type="lastRow">
      <w:rPr>
        <w:rFonts w:ascii="Arial" w:hAnsi="Arial"/>
        <w:i/>
        <w:color w:val="93CDDC"/>
        <w:sz w:val="22"/>
      </w:rPr>
      <w:tcPr>
        <w:tcBorders>
          <w:top w:val="single" w:color="92CCDC" w:sz="4" w:space="0"/>
          <w:left w:val="nil"/>
          <w:bottom w:val="nil"/>
          <w:right w:val="nil"/>
        </w:tcBorders>
        <w:shd w:val="clear" w:color="FFFFFF" w:fill="FFFFFF"/>
      </w:tcPr>
    </w:tblStylePr>
    <w:tblStylePr w:type="firstCol">
      <w:pPr>
        <w:jc w:val="right"/>
      </w:pPr>
      <w:rPr>
        <w:rFonts w:ascii="Arial" w:hAnsi="Arial"/>
        <w:i/>
        <w:color w:val="93CDDC"/>
        <w:sz w:val="22"/>
      </w:rPr>
      <w:tcPr>
        <w:tcBorders>
          <w:top w:val="nil"/>
          <w:left w:val="nil"/>
          <w:bottom w:val="nil"/>
          <w:right w:val="single" w:color="92CCDC" w:sz="4" w:space="0"/>
        </w:tcBorders>
        <w:shd w:val="clear" w:color="FFFFFF" w:fill="auto"/>
      </w:tcPr>
    </w:tblStylePr>
    <w:tblStylePr w:type="lastCol">
      <w:rPr>
        <w:rFonts w:ascii="Arial" w:hAnsi="Arial"/>
        <w:i/>
        <w:color w:val="93CDDC"/>
        <w:sz w:val="22"/>
      </w:rPr>
      <w:tcPr>
        <w:tcBorders>
          <w:top w:val="nil"/>
          <w:left w:val="single" w:color="92CCDC" w:sz="4" w:space="0"/>
          <w:bottom w:val="nil"/>
          <w:right w:val="nil"/>
        </w:tcBorders>
        <w:shd w:val="clear" w:color="FFFFFF" w:fill="auto"/>
      </w:tcPr>
    </w:tblStylePr>
    <w:tblStylePr w:type="band1Vert">
      <w:tcPr>
        <w:shd w:val="clear" w:color="D1EAF0" w:fill="D1EAF0"/>
      </w:tcPr>
    </w:tblStylePr>
    <w:tblStylePr w:type="band1Horz">
      <w:rPr>
        <w:rFonts w:ascii="Arial" w:hAnsi="Arial"/>
        <w:color w:val="93CDDC"/>
        <w:sz w:val="22"/>
      </w:rPr>
      <w:tcPr>
        <w:shd w:val="clear" w:color="D1EAF0" w:fill="D1EAF0"/>
      </w:tcPr>
    </w:tblStylePr>
    <w:tblStylePr w:type="band2Horz">
      <w:rPr>
        <w:rFonts w:ascii="Arial" w:hAnsi="Arial"/>
        <w:color w:val="93CDDC"/>
        <w:sz w:val="22"/>
      </w:rPr>
    </w:tblStylePr>
  </w:style>
  <w:style w:type="table" w:customStyle="1" w:styleId="209">
    <w:name w:val="List Table 7 Colorful - Accent 6"/>
    <w:qFormat/>
    <w:uiPriority w:val="99"/>
    <w:tblPr>
      <w:tblBorders>
        <w:right w:val="single" w:color="FAC090" w:sz="4" w:space="0"/>
      </w:tblBorders>
      <w:tblCellMar>
        <w:top w:w="0" w:type="dxa"/>
        <w:left w:w="0" w:type="dxa"/>
        <w:bottom w:w="0" w:type="dxa"/>
        <w:right w:w="0" w:type="dxa"/>
      </w:tblCellMar>
    </w:tblPr>
    <w:tblStylePr w:type="firstRow">
      <w:rPr>
        <w:rFonts w:ascii="Arial" w:hAnsi="Arial"/>
        <w:i/>
        <w:color w:val="FAC090"/>
        <w:sz w:val="22"/>
      </w:rPr>
      <w:tcPr>
        <w:tcBorders>
          <w:top w:val="nil"/>
          <w:left w:val="nil"/>
          <w:bottom w:val="single" w:color="FAC090" w:sz="4" w:space="0"/>
          <w:right w:val="nil"/>
        </w:tcBorders>
        <w:shd w:val="clear" w:color="FFFFFF" w:fill="FFFFFF"/>
      </w:tcPr>
    </w:tblStylePr>
    <w:tblStylePr w:type="lastRow">
      <w:rPr>
        <w:rFonts w:ascii="Arial" w:hAnsi="Arial"/>
        <w:i/>
        <w:color w:val="FAC090"/>
        <w:sz w:val="22"/>
      </w:rPr>
      <w:tcPr>
        <w:tcBorders>
          <w:top w:val="single" w:color="FAC090" w:sz="4" w:space="0"/>
          <w:left w:val="nil"/>
          <w:bottom w:val="nil"/>
          <w:right w:val="nil"/>
        </w:tcBorders>
        <w:shd w:val="clear" w:color="FFFFFF" w:fill="FFFFFF"/>
      </w:tcPr>
    </w:tblStylePr>
    <w:tblStylePr w:type="firstCol">
      <w:pPr>
        <w:jc w:val="right"/>
      </w:pPr>
      <w:rPr>
        <w:rFonts w:ascii="Arial" w:hAnsi="Arial"/>
        <w:i/>
        <w:color w:val="FAC090"/>
        <w:sz w:val="22"/>
      </w:rPr>
      <w:tcPr>
        <w:tcBorders>
          <w:top w:val="nil"/>
          <w:left w:val="nil"/>
          <w:bottom w:val="nil"/>
          <w:right w:val="single" w:color="FAC090" w:sz="4" w:space="0"/>
        </w:tcBorders>
        <w:shd w:val="clear" w:color="FFFFFF" w:fill="auto"/>
      </w:tcPr>
    </w:tblStylePr>
    <w:tblStylePr w:type="lastCol">
      <w:rPr>
        <w:rFonts w:ascii="Arial" w:hAnsi="Arial"/>
        <w:i/>
        <w:color w:val="FAC090"/>
        <w:sz w:val="22"/>
      </w:rPr>
      <w:tcPr>
        <w:tcBorders>
          <w:top w:val="nil"/>
          <w:left w:val="single" w:color="FAC090" w:sz="4" w:space="0"/>
          <w:bottom w:val="nil"/>
          <w:right w:val="nil"/>
        </w:tcBorders>
        <w:shd w:val="clear" w:color="FFFFFF" w:fill="auto"/>
      </w:tcPr>
    </w:tblStylePr>
    <w:tblStylePr w:type="band1Vert">
      <w:tcPr>
        <w:shd w:val="clear" w:color="FCE4D0" w:fill="FCE4D0"/>
      </w:tcPr>
    </w:tblStylePr>
    <w:tblStylePr w:type="band1Horz">
      <w:rPr>
        <w:rFonts w:ascii="Arial" w:hAnsi="Arial"/>
        <w:color w:val="FAC090"/>
        <w:sz w:val="22"/>
      </w:rPr>
      <w:tcPr>
        <w:shd w:val="clear" w:color="FCE4D0" w:fill="FCE4D0"/>
      </w:tcPr>
    </w:tblStylePr>
    <w:tblStylePr w:type="band2Horz">
      <w:rPr>
        <w:rFonts w:ascii="Arial" w:hAnsi="Arial"/>
        <w:color w:val="FAC090"/>
        <w:sz w:val="22"/>
      </w:rPr>
    </w:tblStylePr>
  </w:style>
  <w:style w:type="table" w:customStyle="1" w:styleId="21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1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1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1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1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17">
    <w:name w:val="Bordered &amp; Lined - Accent"/>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top w:w="0" w:type="dxa"/>
        <w:left w:w="0" w:type="dxa"/>
        <w:bottom w:w="0" w:type="dxa"/>
        <w:right w:w="0" w:type="dxa"/>
      </w:tblCellMar>
    </w:tblPr>
    <w:tblStylePr w:type="firstRow">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tblStylePr w:type="firstCol">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band1Vert">
      <w:rPr>
        <w:rFonts w:ascii="Arial" w:hAnsi="Arial"/>
        <w:color w:val="404040"/>
        <w:sz w:val="22"/>
      </w:rPr>
    </w:tblStylePr>
    <w:tblStylePr w:type="band2Vert">
      <w:rPr>
        <w:rFonts w:ascii="Arial" w:hAnsi="Arial"/>
        <w:color w:val="404040"/>
        <w:sz w:val="22"/>
      </w:rPr>
      <w:tcPr>
        <w:shd w:val="clear" w:color="F1F1F1" w:fill="F1F1F1"/>
      </w:tcPr>
    </w:tblStylePr>
    <w:tblStylePr w:type="band1Horz">
      <w:rPr>
        <w:rFonts w:ascii="Arial" w:hAnsi="Arial"/>
        <w:color w:val="404040"/>
        <w:sz w:val="22"/>
      </w:rPr>
    </w:tblStylePr>
    <w:tblStylePr w:type="band2Horz">
      <w:rPr>
        <w:rFonts w:ascii="Arial" w:hAnsi="Arial"/>
        <w:color w:val="404040"/>
        <w:sz w:val="22"/>
      </w:rPr>
      <w:tcPr>
        <w:shd w:val="clear" w:color="F1F1F1" w:fill="F1F1F1"/>
      </w:tcPr>
    </w:tblStylePr>
  </w:style>
  <w:style w:type="table" w:customStyle="1" w:styleId="218">
    <w:name w:val="Bordered &amp; Lined - Accent 1"/>
    <w:qFormat/>
    <w:uiPriority w:val="99"/>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top w:w="0" w:type="dxa"/>
        <w:left w:w="0" w:type="dxa"/>
        <w:bottom w:w="0" w:type="dxa"/>
        <w:right w:w="0" w:type="dxa"/>
      </w:tblCellMar>
    </w:tblPr>
    <w:tblStylePr w:type="firstRow">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tblStylePr w:type="firstCol">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band1Vert">
      <w:rPr>
        <w:rFonts w:ascii="Arial" w:hAnsi="Arial"/>
        <w:color w:val="404040"/>
        <w:sz w:val="22"/>
      </w:rPr>
    </w:tblStylePr>
    <w:tblStylePr w:type="band2Vert">
      <w:rPr>
        <w:rFonts w:ascii="Arial" w:hAnsi="Arial"/>
        <w:color w:val="404040"/>
        <w:sz w:val="22"/>
      </w:rPr>
      <w:tcPr>
        <w:shd w:val="clear" w:color="C7D7EA" w:fill="C7D7EA"/>
      </w:tcPr>
    </w:tblStylePr>
    <w:tblStylePr w:type="band1Horz">
      <w:rPr>
        <w:rFonts w:ascii="Arial" w:hAnsi="Arial"/>
        <w:color w:val="404040"/>
        <w:sz w:val="22"/>
      </w:rPr>
    </w:tblStylePr>
    <w:tblStylePr w:type="band2Horz">
      <w:rPr>
        <w:rFonts w:ascii="Arial" w:hAnsi="Arial"/>
        <w:color w:val="404040"/>
        <w:sz w:val="22"/>
      </w:rPr>
      <w:tcPr>
        <w:shd w:val="clear" w:color="C7D7EA" w:fill="C7D7EA"/>
      </w:tcPr>
    </w:tblStylePr>
  </w:style>
  <w:style w:type="table" w:customStyle="1" w:styleId="219">
    <w:name w:val="Bordered &amp; Lined - Accent 2"/>
    <w:qFormat/>
    <w:uiPriority w:val="99"/>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top w:w="0" w:type="dxa"/>
        <w:left w:w="0" w:type="dxa"/>
        <w:bottom w:w="0" w:type="dxa"/>
        <w:right w:w="0" w:type="dxa"/>
      </w:tblCellMar>
    </w:tblPr>
    <w:tblStylePr w:type="firstRow">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tblStylePr w:type="firstCol">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band1Vert">
      <w:rPr>
        <w:rFonts w:ascii="Arial" w:hAnsi="Arial"/>
        <w:color w:val="404040"/>
        <w:sz w:val="22"/>
      </w:rPr>
    </w:tblStylePr>
    <w:tblStylePr w:type="band2Vert">
      <w:rPr>
        <w:rFonts w:ascii="Arial" w:hAnsi="Arial"/>
        <w:color w:val="404040"/>
        <w:sz w:val="22"/>
      </w:rPr>
      <w:tcPr>
        <w:shd w:val="clear" w:color="F2DCDC" w:fill="F2DCDC"/>
      </w:tcPr>
    </w:tblStylePr>
    <w:tblStylePr w:type="band1Horz">
      <w:rPr>
        <w:rFonts w:ascii="Arial" w:hAnsi="Arial"/>
        <w:color w:val="404040"/>
        <w:sz w:val="22"/>
      </w:rPr>
    </w:tblStylePr>
    <w:tblStylePr w:type="band2Horz">
      <w:rPr>
        <w:rFonts w:ascii="Arial" w:hAnsi="Arial"/>
        <w:color w:val="404040"/>
        <w:sz w:val="22"/>
      </w:rPr>
      <w:tcPr>
        <w:shd w:val="clear" w:color="F2DCDC" w:fill="F2DCDC"/>
      </w:tcPr>
    </w:tblStylePr>
  </w:style>
  <w:style w:type="table" w:customStyle="1" w:styleId="220">
    <w:name w:val="Bordered &amp; Lined - Accent 3"/>
    <w:qFormat/>
    <w:uiPriority w:val="99"/>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top w:w="0" w:type="dxa"/>
        <w:left w:w="0" w:type="dxa"/>
        <w:bottom w:w="0" w:type="dxa"/>
        <w:right w:w="0" w:type="dxa"/>
      </w:tblCellMar>
    </w:tblPr>
    <w:tblStylePr w:type="firstRow">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tblStylePr w:type="firstCol">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band1Vert">
      <w:rPr>
        <w:rFonts w:ascii="Arial" w:hAnsi="Arial"/>
        <w:color w:val="404040"/>
        <w:sz w:val="22"/>
      </w:rPr>
    </w:tblStylePr>
    <w:tblStylePr w:type="band2Vert">
      <w:rPr>
        <w:rFonts w:ascii="Arial" w:hAnsi="Arial"/>
        <w:color w:val="404040"/>
        <w:sz w:val="22"/>
      </w:rPr>
      <w:tcPr>
        <w:shd w:val="clear" w:color="EAF1DD" w:fill="EAF1DD"/>
      </w:tcPr>
    </w:tblStylePr>
    <w:tblStylePr w:type="band1Horz">
      <w:rPr>
        <w:rFonts w:ascii="Arial" w:hAnsi="Arial"/>
        <w:color w:val="404040"/>
        <w:sz w:val="22"/>
      </w:rPr>
    </w:tblStylePr>
    <w:tblStylePr w:type="band2Horz">
      <w:rPr>
        <w:rFonts w:ascii="Arial" w:hAnsi="Arial"/>
        <w:color w:val="404040"/>
        <w:sz w:val="22"/>
      </w:rPr>
      <w:tcPr>
        <w:shd w:val="clear" w:color="EAF1DD" w:fill="EAF1DD"/>
      </w:tcPr>
    </w:tblStylePr>
  </w:style>
  <w:style w:type="table" w:customStyle="1" w:styleId="221">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tblStylePr w:type="firstRow">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tblStylePr w:type="firstCol">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band1Vert">
      <w:rPr>
        <w:rFonts w:ascii="Arial" w:hAnsi="Arial"/>
        <w:color w:val="404040"/>
        <w:sz w:val="22"/>
      </w:rPr>
    </w:tblStylePr>
    <w:tblStylePr w:type="band2Vert">
      <w:rPr>
        <w:rFonts w:ascii="Arial" w:hAnsi="Arial"/>
        <w:color w:val="404040"/>
        <w:sz w:val="22"/>
      </w:rPr>
      <w:tcPr>
        <w:shd w:val="clear" w:color="E5DFEC" w:fill="E5DFEC"/>
      </w:tcPr>
    </w:tblStylePr>
    <w:tblStylePr w:type="band1Horz">
      <w:rPr>
        <w:rFonts w:ascii="Arial" w:hAnsi="Arial"/>
        <w:color w:val="404040"/>
        <w:sz w:val="22"/>
      </w:rPr>
    </w:tblStylePr>
    <w:tblStylePr w:type="band2Horz">
      <w:rPr>
        <w:rFonts w:ascii="Arial" w:hAnsi="Arial"/>
        <w:color w:val="404040"/>
        <w:sz w:val="22"/>
      </w:rPr>
      <w:tcPr>
        <w:shd w:val="clear" w:color="E5DFEC" w:fill="E5DFEC"/>
      </w:tcPr>
    </w:tblStylePr>
  </w:style>
  <w:style w:type="table" w:customStyle="1" w:styleId="222">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tblStylePr w:type="firstRow">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tblStylePr w:type="firstCol">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band1Vert">
      <w:rPr>
        <w:rFonts w:ascii="Arial" w:hAnsi="Arial"/>
        <w:color w:val="404040"/>
        <w:sz w:val="22"/>
      </w:rPr>
    </w:tblStylePr>
    <w:tblStylePr w:type="band2Vert">
      <w:rPr>
        <w:rFonts w:ascii="Arial" w:hAnsi="Arial"/>
        <w:color w:val="404040"/>
        <w:sz w:val="22"/>
      </w:rPr>
      <w:tcPr>
        <w:shd w:val="clear" w:color="DAEEF3" w:fill="DAEEF3"/>
      </w:tcPr>
    </w:tblStylePr>
    <w:tblStylePr w:type="band1Horz">
      <w:rPr>
        <w:rFonts w:ascii="Arial" w:hAnsi="Arial"/>
        <w:color w:val="404040"/>
        <w:sz w:val="22"/>
      </w:rPr>
    </w:tblStylePr>
    <w:tblStylePr w:type="band2Horz">
      <w:rPr>
        <w:rFonts w:ascii="Arial" w:hAnsi="Arial"/>
        <w:color w:val="404040"/>
        <w:sz w:val="22"/>
      </w:rPr>
      <w:tcPr>
        <w:shd w:val="clear" w:color="DAEEF3" w:fill="DAEEF3"/>
      </w:tcPr>
    </w:tblStylePr>
  </w:style>
  <w:style w:type="table" w:customStyle="1" w:styleId="223">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tblStylePr w:type="firstRow">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tblStylePr w:type="firstCol">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band1Vert">
      <w:rPr>
        <w:rFonts w:ascii="Arial" w:hAnsi="Arial"/>
        <w:color w:val="404040"/>
        <w:sz w:val="22"/>
      </w:rPr>
    </w:tblStylePr>
    <w:tblStylePr w:type="band2Vert">
      <w:rPr>
        <w:rFonts w:ascii="Arial" w:hAnsi="Arial"/>
        <w:color w:val="404040"/>
        <w:sz w:val="22"/>
      </w:rPr>
      <w:tcPr>
        <w:shd w:val="clear" w:color="FDE9D9" w:fill="FDE9D9"/>
      </w:tcPr>
    </w:tblStylePr>
    <w:tblStylePr w:type="band1Horz">
      <w:rPr>
        <w:rFonts w:ascii="Arial" w:hAnsi="Arial"/>
        <w:color w:val="404040"/>
        <w:sz w:val="22"/>
      </w:rPr>
    </w:tblStylePr>
    <w:tblStylePr w:type="band2Horz">
      <w:rPr>
        <w:rFonts w:ascii="Arial" w:hAnsi="Arial"/>
        <w:color w:val="404040"/>
        <w:sz w:val="22"/>
      </w:rPr>
      <w:tcPr>
        <w:shd w:val="clear" w:color="FDE9D9" w:fill="FDE9D9"/>
      </w:tcPr>
    </w:tblStylePr>
  </w:style>
  <w:style w:type="table" w:customStyle="1" w:styleId="224">
    <w:name w:val="Bordered"/>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sz="12" w:space="0"/>
        </w:tcBorders>
      </w:tcPr>
    </w:tblStylePr>
    <w:tblStylePr w:type="lastRow">
      <w:rPr>
        <w:rFonts w:ascii="Arial" w:hAnsi="Arial"/>
        <w:color w:val="404040"/>
        <w:sz w:val="22"/>
      </w:rPr>
      <w:tcPr>
        <w:tcBorders>
          <w:top w:val="single" w:color="7E7E7E"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sz="12" w:space="0"/>
        </w:tcBorders>
      </w:tcPr>
    </w:tblStyle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style>
  <w:style w:type="table" w:customStyle="1" w:styleId="225">
    <w:name w:val="Bordered - Accent 1"/>
    <w:qFormat/>
    <w:uiPriority w:val="99"/>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sz="12" w:space="0"/>
        </w:tcBorders>
      </w:tcPr>
    </w:tblStylePr>
    <w:tblStylePr w:type="lastRow">
      <w:rPr>
        <w:rFonts w:ascii="Arial" w:hAnsi="Arial"/>
        <w:color w:val="404040"/>
        <w:sz w:val="22"/>
      </w:rPr>
      <w:tcPr>
        <w:tcBorders>
          <w:top w:val="single" w:color="4F81BD"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sz="12" w:space="0"/>
        </w:tcBorders>
      </w:tcPr>
    </w:tblStyle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style>
  <w:style w:type="table" w:customStyle="1" w:styleId="226">
    <w:name w:val="Bordered - Accent 2"/>
    <w:qFormat/>
    <w:uiPriority w:val="99"/>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sz="12" w:space="0"/>
        </w:tcBorders>
      </w:tcPr>
    </w:tblStylePr>
    <w:tblStylePr w:type="lastRow">
      <w:rPr>
        <w:rFonts w:ascii="Arial" w:hAnsi="Arial"/>
        <w:color w:val="404040"/>
        <w:sz w:val="22"/>
      </w:rPr>
      <w:tcPr>
        <w:tcBorders>
          <w:top w:val="single" w:color="D99795"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sz="12" w:space="0"/>
        </w:tcBorders>
      </w:tcPr>
    </w:tblStyle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style>
  <w:style w:type="table" w:customStyle="1" w:styleId="227">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sz="12" w:space="0"/>
        </w:tcBorders>
      </w:tcPr>
    </w:tblStylePr>
    <w:tblStylePr w:type="lastRow">
      <w:rPr>
        <w:rFonts w:ascii="Arial" w:hAnsi="Arial"/>
        <w:color w:val="404040"/>
        <w:sz w:val="22"/>
      </w:rPr>
      <w:tcPr>
        <w:tcBorders>
          <w:top w:val="single" w:color="C3D69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sz="12" w:space="0"/>
        </w:tcBorders>
      </w:tcPr>
    </w:tblStyle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style>
  <w:style w:type="table" w:customStyle="1" w:styleId="228">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sz="12" w:space="0"/>
        </w:tcBorders>
      </w:tcPr>
    </w:tblStylePr>
    <w:tblStylePr w:type="lastRow">
      <w:rPr>
        <w:rFonts w:ascii="Arial" w:hAnsi="Arial"/>
        <w:color w:val="404040"/>
        <w:sz w:val="22"/>
      </w:rPr>
      <w:tcPr>
        <w:tcBorders>
          <w:top w:val="single" w:color="B2A1C6"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sz="12" w:space="0"/>
        </w:tcBorders>
      </w:tcPr>
    </w:tblStyle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style>
  <w:style w:type="table" w:customStyle="1" w:styleId="229">
    <w:name w:val="Bordered - Accent 5"/>
    <w:qFormat/>
    <w:uiPriority w:val="99"/>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sz="12" w:space="0"/>
        </w:tcBorders>
      </w:tcPr>
    </w:tblStylePr>
    <w:tblStylePr w:type="lastRow">
      <w:rPr>
        <w:rFonts w:ascii="Arial" w:hAnsi="Arial"/>
        <w:color w:val="404040"/>
        <w:sz w:val="22"/>
      </w:rPr>
      <w:tcPr>
        <w:tcBorders>
          <w:top w:val="single" w:color="92CCDC"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sz="12" w:space="0"/>
        </w:tcBorders>
      </w:tcPr>
    </w:tblStyle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style>
  <w:style w:type="table" w:customStyle="1" w:styleId="230">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sz="12" w:space="0"/>
        </w:tcBorders>
      </w:tcPr>
    </w:tblStylePr>
    <w:tblStylePr w:type="lastRow">
      <w:rPr>
        <w:rFonts w:ascii="Arial" w:hAnsi="Arial"/>
        <w:color w:val="404040"/>
        <w:sz w:val="22"/>
      </w:rPr>
      <w:tcPr>
        <w:tcBorders>
          <w:top w:val="single" w:color="FAC09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sz="12" w:space="0"/>
        </w:tcBorders>
      </w:tcPr>
    </w:tblStyle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style>
  <w:style w:type="character" w:customStyle="1" w:styleId="231">
    <w:name w:val="Footnote Text Char"/>
    <w:qFormat/>
    <w:uiPriority w:val="99"/>
    <w:rPr>
      <w:sz w:val="18"/>
    </w:rPr>
  </w:style>
  <w:style w:type="character" w:customStyle="1" w:styleId="232">
    <w:name w:val="尾注文本 字符"/>
    <w:link w:val="22"/>
    <w:qFormat/>
    <w:uiPriority w:val="99"/>
    <w:rPr>
      <w:sz w:val="20"/>
    </w:rPr>
  </w:style>
  <w:style w:type="paragraph" w:customStyle="1" w:styleId="233">
    <w:name w:val="TOC 标题11"/>
    <w:qFormat/>
    <w:uiPriority w:val="39"/>
    <w:rPr>
      <w:rFonts w:ascii="Times New Roman" w:hAnsi="Times New Roman" w:eastAsia="宋体" w:cs="Times New Roman"/>
      <w:lang w:val="en-US" w:eastAsia="zh-CN" w:bidi="ar-SA"/>
    </w:rPr>
  </w:style>
  <w:style w:type="character" w:customStyle="1" w:styleId="234">
    <w:name w:val="标题 1 字符"/>
    <w:link w:val="2"/>
    <w:qFormat/>
    <w:uiPriority w:val="99"/>
    <w:rPr>
      <w:rFonts w:ascii="楷体_GB2312" w:hAnsi="Times New Roman" w:eastAsia="楷体_GB2312" w:cs="Times New Roman"/>
      <w:b/>
      <w:sz w:val="28"/>
      <w:szCs w:val="20"/>
    </w:rPr>
  </w:style>
  <w:style w:type="character" w:customStyle="1" w:styleId="235">
    <w:name w:val="标题 2 字符"/>
    <w:link w:val="3"/>
    <w:qFormat/>
    <w:uiPriority w:val="99"/>
    <w:rPr>
      <w:rFonts w:ascii="楷体_GB2312" w:hAnsi="Times New Roman" w:eastAsia="楷体_GB2312" w:cs="Times New Roman"/>
      <w:b/>
      <w:bCs/>
      <w:sz w:val="18"/>
      <w:szCs w:val="20"/>
    </w:rPr>
  </w:style>
  <w:style w:type="character" w:customStyle="1" w:styleId="236">
    <w:name w:val="标题 3 字符"/>
    <w:link w:val="4"/>
    <w:qFormat/>
    <w:uiPriority w:val="99"/>
    <w:rPr>
      <w:rFonts w:ascii="Times New Roman" w:hAnsi="Times New Roman" w:eastAsia="楷体_GB2312" w:cs="Times New Roman"/>
      <w:b/>
      <w:bCs/>
      <w:sz w:val="15"/>
      <w:szCs w:val="20"/>
    </w:rPr>
  </w:style>
  <w:style w:type="character" w:customStyle="1" w:styleId="237">
    <w:name w:val="标题 4 字符"/>
    <w:link w:val="6"/>
    <w:qFormat/>
    <w:uiPriority w:val="99"/>
    <w:rPr>
      <w:rFonts w:ascii="Times New Roman" w:hAnsi="Times New Roman" w:eastAsia="楷体_GB2312" w:cs="Times New Roman"/>
      <w:b/>
      <w:bCs/>
      <w:sz w:val="13"/>
      <w:szCs w:val="20"/>
    </w:rPr>
  </w:style>
  <w:style w:type="character" w:customStyle="1" w:styleId="238">
    <w:name w:val="标题 5 字符"/>
    <w:link w:val="7"/>
    <w:qFormat/>
    <w:uiPriority w:val="99"/>
    <w:rPr>
      <w:rFonts w:ascii="楷体_GB2312" w:hAnsi="Times New Roman" w:eastAsia="楷体_GB2312" w:cs="Times New Roman"/>
      <w:bCs/>
      <w:sz w:val="28"/>
      <w:szCs w:val="20"/>
    </w:rPr>
  </w:style>
  <w:style w:type="character" w:customStyle="1" w:styleId="239">
    <w:name w:val="正文缩进 字符"/>
    <w:link w:val="5"/>
    <w:qFormat/>
    <w:uiPriority w:val="0"/>
    <w:rPr>
      <w:rFonts w:ascii="Times New Roman" w:hAnsi="Times New Roman"/>
      <w:sz w:val="21"/>
      <w:szCs w:val="24"/>
    </w:rPr>
  </w:style>
  <w:style w:type="character" w:customStyle="1" w:styleId="240">
    <w:name w:val="文档结构图 字符"/>
    <w:link w:val="10"/>
    <w:qFormat/>
    <w:uiPriority w:val="99"/>
    <w:rPr>
      <w:rFonts w:ascii="Times New Roman" w:hAnsi="Times New Roman" w:eastAsia="宋体" w:cs="Times New Roman"/>
      <w:szCs w:val="20"/>
      <w:shd w:val="clear" w:color="auto" w:fill="000080"/>
    </w:rPr>
  </w:style>
  <w:style w:type="character" w:customStyle="1" w:styleId="241">
    <w:name w:val="批注文字 字符"/>
    <w:link w:val="11"/>
    <w:qFormat/>
    <w:uiPriority w:val="0"/>
    <w:rPr>
      <w:rFonts w:ascii="Times New Roman" w:hAnsi="Times New Roman" w:eastAsia="宋体" w:cs="Times New Roman"/>
      <w:szCs w:val="24"/>
    </w:rPr>
  </w:style>
  <w:style w:type="character" w:customStyle="1" w:styleId="242">
    <w:name w:val="正文文本 字符"/>
    <w:link w:val="12"/>
    <w:qFormat/>
    <w:uiPriority w:val="99"/>
    <w:rPr>
      <w:rFonts w:ascii="华文中宋" w:hAnsi="Times New Roman" w:eastAsia="华文中宋" w:cs="Times New Roman"/>
      <w:bCs/>
      <w:sz w:val="28"/>
      <w:szCs w:val="20"/>
    </w:rPr>
  </w:style>
  <w:style w:type="character" w:customStyle="1" w:styleId="243">
    <w:name w:val="正文文本缩进 字符"/>
    <w:link w:val="13"/>
    <w:qFormat/>
    <w:uiPriority w:val="0"/>
    <w:rPr>
      <w:rFonts w:ascii="Times New Roman" w:hAnsi="Times New Roman" w:eastAsia="宋体" w:cs="Times New Roman"/>
      <w:b/>
      <w:sz w:val="30"/>
      <w:szCs w:val="20"/>
    </w:rPr>
  </w:style>
  <w:style w:type="character" w:customStyle="1" w:styleId="244">
    <w:name w:val="纯文本 字符"/>
    <w:link w:val="18"/>
    <w:qFormat/>
    <w:uiPriority w:val="0"/>
    <w:rPr>
      <w:rFonts w:ascii="宋体" w:hAnsi="Courier New"/>
      <w:sz w:val="21"/>
      <w:szCs w:val="21"/>
    </w:rPr>
  </w:style>
  <w:style w:type="character" w:customStyle="1" w:styleId="245">
    <w:name w:val="日期 字符"/>
    <w:link w:val="20"/>
    <w:qFormat/>
    <w:uiPriority w:val="99"/>
    <w:rPr>
      <w:rFonts w:ascii="Times New Roman" w:hAnsi="Times New Roman" w:eastAsia="黑体" w:cs="Times New Roman"/>
      <w:b/>
      <w:sz w:val="36"/>
      <w:szCs w:val="20"/>
    </w:rPr>
  </w:style>
  <w:style w:type="character" w:customStyle="1" w:styleId="246">
    <w:name w:val="正文文本缩进 2 字符"/>
    <w:link w:val="21"/>
    <w:qFormat/>
    <w:uiPriority w:val="99"/>
    <w:rPr>
      <w:rFonts w:ascii="楷体_GB2312" w:hAnsi="Times New Roman" w:eastAsia="楷体_GB2312" w:cs="Times New Roman"/>
      <w:b/>
      <w:sz w:val="28"/>
      <w:szCs w:val="20"/>
    </w:rPr>
  </w:style>
  <w:style w:type="character" w:customStyle="1" w:styleId="247">
    <w:name w:val="批注框文本 字符"/>
    <w:link w:val="23"/>
    <w:qFormat/>
    <w:uiPriority w:val="99"/>
    <w:rPr>
      <w:rFonts w:ascii="Times New Roman" w:hAnsi="Times New Roman" w:eastAsia="宋体" w:cs="Times New Roman"/>
      <w:sz w:val="18"/>
      <w:szCs w:val="18"/>
    </w:rPr>
  </w:style>
  <w:style w:type="character" w:customStyle="1" w:styleId="248">
    <w:name w:val="页脚 字符"/>
    <w:link w:val="24"/>
    <w:qFormat/>
    <w:uiPriority w:val="99"/>
    <w:rPr>
      <w:sz w:val="18"/>
      <w:szCs w:val="18"/>
    </w:rPr>
  </w:style>
  <w:style w:type="character" w:customStyle="1" w:styleId="249">
    <w:name w:val="页眉 字符"/>
    <w:link w:val="26"/>
    <w:qFormat/>
    <w:uiPriority w:val="0"/>
    <w:rPr>
      <w:sz w:val="18"/>
      <w:szCs w:val="18"/>
    </w:rPr>
  </w:style>
  <w:style w:type="character" w:customStyle="1" w:styleId="250">
    <w:name w:val="脚注文本 字符"/>
    <w:link w:val="31"/>
    <w:qFormat/>
    <w:uiPriority w:val="0"/>
    <w:rPr>
      <w:rFonts w:ascii="Times New Roman" w:hAnsi="Times New Roman"/>
      <w:sz w:val="18"/>
    </w:rPr>
  </w:style>
  <w:style w:type="character" w:customStyle="1" w:styleId="251">
    <w:name w:val="正文文本缩进 3 字符"/>
    <w:link w:val="33"/>
    <w:qFormat/>
    <w:uiPriority w:val="99"/>
    <w:rPr>
      <w:rFonts w:ascii="Times New Roman" w:hAnsi="Times New Roman" w:eastAsia="宋体" w:cs="Times New Roman"/>
      <w:szCs w:val="20"/>
    </w:rPr>
  </w:style>
  <w:style w:type="character" w:customStyle="1" w:styleId="252">
    <w:name w:val="正文文本 2 字符"/>
    <w:link w:val="37"/>
    <w:qFormat/>
    <w:uiPriority w:val="99"/>
    <w:rPr>
      <w:rFonts w:ascii="Times New Roman" w:hAnsi="Times New Roman" w:eastAsia="宋体" w:cs="Times New Roman"/>
      <w:szCs w:val="20"/>
    </w:rPr>
  </w:style>
  <w:style w:type="character" w:customStyle="1" w:styleId="253">
    <w:name w:val="普通(网站) 字符"/>
    <w:link w:val="38"/>
    <w:qFormat/>
    <w:uiPriority w:val="0"/>
    <w:rPr>
      <w:rFonts w:ascii="宋体" w:hAnsi="宋体"/>
      <w:sz w:val="24"/>
      <w:szCs w:val="24"/>
    </w:rPr>
  </w:style>
  <w:style w:type="character" w:customStyle="1" w:styleId="254">
    <w:name w:val="批注主题 字符"/>
    <w:link w:val="40"/>
    <w:qFormat/>
    <w:uiPriority w:val="0"/>
    <w:rPr>
      <w:rFonts w:ascii="Times New Roman" w:hAnsi="Times New Roman" w:eastAsia="宋体" w:cs="Times New Roman"/>
      <w:b/>
      <w:bCs/>
      <w:szCs w:val="24"/>
    </w:rPr>
  </w:style>
  <w:style w:type="character" w:customStyle="1" w:styleId="255">
    <w:name w:val="正文文本首行缩进 字符"/>
    <w:link w:val="41"/>
    <w:qFormat/>
    <w:uiPriority w:val="99"/>
    <w:rPr>
      <w:rFonts w:ascii="Times New Roman" w:hAnsi="Times New Roman" w:eastAsia="华文中宋" w:cs="Times New Roman"/>
      <w:sz w:val="21"/>
      <w:szCs w:val="20"/>
    </w:rPr>
  </w:style>
  <w:style w:type="character" w:customStyle="1" w:styleId="256">
    <w:name w:val="批注框文本 Char1"/>
    <w:qFormat/>
    <w:uiPriority w:val="99"/>
    <w:rPr>
      <w:rFonts w:ascii="Times New Roman" w:hAnsi="Times New Roman" w:eastAsia="宋体" w:cs="Times New Roman"/>
      <w:sz w:val="18"/>
      <w:szCs w:val="18"/>
    </w:rPr>
  </w:style>
  <w:style w:type="character" w:customStyle="1" w:styleId="257">
    <w:name w:val="正文文本 2 Char1"/>
    <w:qFormat/>
    <w:uiPriority w:val="99"/>
    <w:rPr>
      <w:rFonts w:ascii="Times New Roman" w:hAnsi="Times New Roman" w:eastAsia="宋体" w:cs="Times New Roman"/>
      <w:szCs w:val="20"/>
    </w:rPr>
  </w:style>
  <w:style w:type="character" w:customStyle="1" w:styleId="258">
    <w:name w:val="文档结构图 Char1"/>
    <w:qFormat/>
    <w:uiPriority w:val="99"/>
    <w:rPr>
      <w:rFonts w:ascii="宋体" w:hAnsi="Times New Roman" w:eastAsia="宋体" w:cs="Times New Roman"/>
      <w:sz w:val="18"/>
      <w:szCs w:val="18"/>
    </w:rPr>
  </w:style>
  <w:style w:type="character" w:customStyle="1" w:styleId="259">
    <w:name w:val="正文文本缩进 Char1"/>
    <w:qFormat/>
    <w:uiPriority w:val="99"/>
    <w:rPr>
      <w:rFonts w:ascii="Times New Roman" w:hAnsi="Times New Roman" w:eastAsia="宋体" w:cs="Times New Roman"/>
      <w:szCs w:val="20"/>
    </w:rPr>
  </w:style>
  <w:style w:type="character" w:customStyle="1" w:styleId="260">
    <w:name w:val="15"/>
    <w:qFormat/>
    <w:uiPriority w:val="0"/>
    <w:rPr>
      <w:rFonts w:ascii="Times New Roman" w:hAnsi="Times New Roman" w:cs="Times New Roman"/>
    </w:rPr>
  </w:style>
  <w:style w:type="character" w:customStyle="1" w:styleId="261">
    <w:name w:val="正文文本缩进 2 Char1"/>
    <w:qFormat/>
    <w:uiPriority w:val="99"/>
    <w:rPr>
      <w:rFonts w:ascii="Times New Roman" w:hAnsi="Times New Roman" w:eastAsia="宋体" w:cs="Times New Roman"/>
      <w:szCs w:val="20"/>
    </w:rPr>
  </w:style>
  <w:style w:type="character" w:customStyle="1" w:styleId="262">
    <w:name w:val="日期 Char1"/>
    <w:qFormat/>
    <w:uiPriority w:val="99"/>
    <w:rPr>
      <w:rFonts w:ascii="Times New Roman" w:hAnsi="Times New Roman" w:eastAsia="宋体" w:cs="Times New Roman"/>
      <w:szCs w:val="20"/>
    </w:rPr>
  </w:style>
  <w:style w:type="character" w:customStyle="1" w:styleId="263">
    <w:name w:val="正文文本缩进 3 Char1"/>
    <w:qFormat/>
    <w:uiPriority w:val="99"/>
    <w:rPr>
      <w:rFonts w:ascii="Times New Roman" w:hAnsi="Times New Roman" w:eastAsia="宋体" w:cs="Times New Roman"/>
      <w:sz w:val="16"/>
      <w:szCs w:val="16"/>
    </w:rPr>
  </w:style>
  <w:style w:type="paragraph" w:styleId="264">
    <w:name w:val="List Paragraph"/>
    <w:basedOn w:val="1"/>
    <w:qFormat/>
    <w:uiPriority w:val="0"/>
    <w:pPr>
      <w:ind w:firstLine="420"/>
    </w:pPr>
    <w:rPr>
      <w:szCs w:val="21"/>
    </w:rPr>
  </w:style>
  <w:style w:type="paragraph" w:customStyle="1" w:styleId="265">
    <w:name w:val="普通文字"/>
    <w:basedOn w:val="1"/>
    <w:next w:val="1"/>
    <w:qFormat/>
    <w:uiPriority w:val="0"/>
    <w:rPr>
      <w:rFonts w:ascii="宋体"/>
      <w:sz w:val="24"/>
    </w:rPr>
  </w:style>
  <w:style w:type="paragraph" w:customStyle="1" w:styleId="266">
    <w:name w:val="样式 小四 段前: 5 磅 段后: 5 磅 首行缩进:  2 字符"/>
    <w:basedOn w:val="1"/>
    <w:qFormat/>
    <w:uiPriority w:val="0"/>
    <w:pPr>
      <w:spacing w:line="360" w:lineRule="auto"/>
      <w:jc w:val="center"/>
    </w:pPr>
    <w:rPr>
      <w:rFonts w:ascii="宋体" w:hAnsi="宋体"/>
      <w:bCs/>
      <w:color w:val="FF0000"/>
      <w:sz w:val="24"/>
      <w:szCs w:val="24"/>
    </w:rPr>
  </w:style>
  <w:style w:type="paragraph" w:customStyle="1" w:styleId="267">
    <w:name w:val="列出段落1"/>
    <w:basedOn w:val="1"/>
    <w:qFormat/>
    <w:uiPriority w:val="0"/>
    <w:pPr>
      <w:ind w:firstLine="420"/>
    </w:pPr>
    <w:rPr>
      <w:szCs w:val="24"/>
    </w:rPr>
  </w:style>
  <w:style w:type="paragraph" w:customStyle="1" w:styleId="268">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269">
    <w:name w:val="Default"/>
    <w:qFormat/>
    <w:uiPriority w:val="0"/>
    <w:pPr>
      <w:widowControl w:val="0"/>
    </w:pPr>
    <w:rPr>
      <w:rFonts w:ascii="Times New Roman" w:hAnsi="Times New Roman" w:eastAsia="宋体" w:cs="Times New Roman"/>
      <w:color w:val="000000"/>
      <w:sz w:val="24"/>
      <w:szCs w:val="24"/>
      <w:lang w:val="en-US" w:eastAsia="zh-CN" w:bidi="ar-SA"/>
    </w:rPr>
  </w:style>
  <w:style w:type="paragraph" w:customStyle="1" w:styleId="270">
    <w:name w:val="首行缩进"/>
    <w:qFormat/>
    <w:uiPriority w:val="0"/>
    <w:pPr>
      <w:widowControl w:val="0"/>
      <w:ind w:firstLine="480"/>
      <w:jc w:val="both"/>
    </w:pPr>
    <w:rPr>
      <w:rFonts w:ascii="Times New Roman" w:hAnsi="Times New Roman" w:eastAsia="宋体" w:cs="Times New Roman"/>
      <w:sz w:val="21"/>
      <w:lang w:val="zh-CN" w:eastAsia="zh-CN" w:bidi="ar-SA"/>
    </w:rPr>
  </w:style>
  <w:style w:type="paragraph" w:customStyle="1" w:styleId="271">
    <w:name w:val="Other|1"/>
    <w:basedOn w:val="1"/>
    <w:qFormat/>
    <w:uiPriority w:val="0"/>
    <w:pPr>
      <w:ind w:firstLine="220"/>
    </w:pPr>
    <w:rPr>
      <w:rFonts w:ascii="宋体" w:hAnsi="宋体" w:cs="宋体"/>
      <w:sz w:val="20"/>
      <w:lang w:val="zh-TW" w:eastAsia="zh-TW" w:bidi="zh-TW"/>
    </w:rPr>
  </w:style>
  <w:style w:type="character" w:customStyle="1" w:styleId="272">
    <w:name w:val="font11"/>
    <w:qFormat/>
    <w:uiPriority w:val="0"/>
    <w:rPr>
      <w:rFonts w:hint="eastAsia" w:ascii="宋体" w:hAnsi="宋体" w:eastAsia="宋体" w:cs="宋体"/>
      <w:color w:val="333333"/>
      <w:sz w:val="20"/>
      <w:szCs w:val="20"/>
      <w:u w:val="none"/>
    </w:rPr>
  </w:style>
  <w:style w:type="paragraph" w:customStyle="1" w:styleId="273">
    <w:name w:val="纯文本1"/>
    <w:basedOn w:val="1"/>
    <w:qFormat/>
    <w:uiPriority w:val="0"/>
    <w:rPr>
      <w:rFonts w:ascii="宋体" w:hAnsi="Courier New" w:eastAsia="楷体_GB2312"/>
      <w:sz w:val="26"/>
    </w:rPr>
  </w:style>
  <w:style w:type="character" w:customStyle="1" w:styleId="274">
    <w:name w:val="font21"/>
    <w:qFormat/>
    <w:uiPriority w:val="0"/>
    <w:rPr>
      <w:rFonts w:hint="eastAsia" w:ascii="宋体" w:hAnsi="宋体" w:eastAsia="宋体" w:cs="宋体"/>
      <w:color w:val="000000"/>
      <w:sz w:val="20"/>
      <w:szCs w:val="20"/>
      <w:u w:val="none"/>
    </w:rPr>
  </w:style>
  <w:style w:type="character" w:customStyle="1" w:styleId="275">
    <w:name w:val="font01"/>
    <w:qFormat/>
    <w:uiPriority w:val="0"/>
    <w:rPr>
      <w:rFonts w:ascii="Tahoma" w:hAnsi="Tahoma" w:eastAsia="Tahoma" w:cs="Tahoma"/>
      <w:color w:val="333333"/>
      <w:sz w:val="20"/>
      <w:szCs w:val="20"/>
      <w:u w:val="none"/>
    </w:rPr>
  </w:style>
  <w:style w:type="paragraph" w:customStyle="1" w:styleId="276">
    <w:name w:val="列出段落2"/>
    <w:basedOn w:val="1"/>
    <w:qFormat/>
    <w:uiPriority w:val="34"/>
    <w:pPr>
      <w:ind w:firstLine="420"/>
    </w:pPr>
  </w:style>
  <w:style w:type="paragraph" w:customStyle="1" w:styleId="277">
    <w:name w:val="正文文本2"/>
    <w:basedOn w:val="1"/>
    <w:next w:val="278"/>
    <w:qFormat/>
    <w:uiPriority w:val="0"/>
    <w:rPr>
      <w:rFonts w:ascii="华文中宋" w:eastAsia="华文中宋"/>
      <w:bCs/>
      <w:sz w:val="28"/>
    </w:rPr>
  </w:style>
  <w:style w:type="paragraph" w:customStyle="1" w:styleId="278">
    <w:name w:val="列表项目符号 51"/>
    <w:basedOn w:val="1"/>
    <w:qFormat/>
    <w:uiPriority w:val="0"/>
    <w:pPr>
      <w:widowControl/>
      <w:tabs>
        <w:tab w:val="left" w:pos="2040"/>
      </w:tabs>
      <w:spacing w:line="360" w:lineRule="exact"/>
      <w:ind w:left="2040" w:hanging="360"/>
    </w:pPr>
    <w:rPr>
      <w:rFonts w:eastAsia="楷体_GB2312"/>
      <w:sz w:val="24"/>
    </w:rPr>
  </w:style>
  <w:style w:type="paragraph" w:customStyle="1" w:styleId="279">
    <w:name w:val="页脚11"/>
    <w:basedOn w:val="1"/>
    <w:next w:val="1"/>
    <w:qFormat/>
    <w:uiPriority w:val="99"/>
    <w:pPr>
      <w:tabs>
        <w:tab w:val="center" w:pos="4153"/>
        <w:tab w:val="right" w:pos="8306"/>
      </w:tabs>
      <w:jc w:val="left"/>
    </w:pPr>
    <w:rPr>
      <w:sz w:val="18"/>
      <w:szCs w:val="18"/>
    </w:rPr>
  </w:style>
  <w:style w:type="character" w:customStyle="1" w:styleId="280">
    <w:name w:val="font51"/>
    <w:basedOn w:val="45"/>
    <w:qFormat/>
    <w:uiPriority w:val="0"/>
    <w:rPr>
      <w:rFonts w:hint="eastAsia" w:ascii="宋体" w:hAnsi="宋体" w:eastAsia="宋体" w:cs="宋体"/>
      <w:color w:val="FF0000"/>
      <w:sz w:val="22"/>
      <w:szCs w:val="22"/>
      <w:u w:val="none"/>
    </w:rPr>
  </w:style>
  <w:style w:type="character" w:customStyle="1" w:styleId="281">
    <w:name w:val="font41"/>
    <w:basedOn w:val="45"/>
    <w:qFormat/>
    <w:uiPriority w:val="0"/>
    <w:rPr>
      <w:rFonts w:hint="eastAsia" w:ascii="宋体" w:hAnsi="宋体" w:eastAsia="宋体" w:cs="宋体"/>
      <w:color w:val="000000"/>
      <w:sz w:val="21"/>
      <w:szCs w:val="21"/>
      <w:u w:val="none"/>
    </w:rPr>
  </w:style>
  <w:style w:type="paragraph" w:customStyle="1" w:styleId="282">
    <w:name w:val="*正文"/>
    <w:basedOn w:val="1"/>
    <w:qFormat/>
    <w:uiPriority w:val="0"/>
    <w:rPr>
      <w:rFonts w:ascii="宋体" w:hAnsi="宋体"/>
      <w:sz w:val="24"/>
      <w:lang w:val="zh-CN"/>
    </w:rPr>
  </w:style>
  <w:style w:type="paragraph" w:customStyle="1" w:styleId="283">
    <w:name w:val="_Style 1"/>
    <w:basedOn w:val="1"/>
    <w:qFormat/>
    <w:uiPriority w:val="0"/>
    <w:pPr>
      <w:ind w:firstLine="420"/>
    </w:pPr>
    <w:rPr>
      <w:szCs w:val="22"/>
    </w:rPr>
  </w:style>
  <w:style w:type="paragraph" w:customStyle="1" w:styleId="284">
    <w:name w:val="页眉11"/>
    <w:basedOn w:val="1"/>
    <w:unhideWhenUsed/>
    <w:qFormat/>
    <w:uiPriority w:val="99"/>
    <w:pPr>
      <w:pBdr>
        <w:bottom w:val="single" w:color="000000" w:sz="6" w:space="1"/>
      </w:pBdr>
      <w:tabs>
        <w:tab w:val="center" w:pos="4153"/>
        <w:tab w:val="right" w:pos="8306"/>
      </w:tabs>
      <w:jc w:val="center"/>
    </w:pPr>
    <w:rPr>
      <w:sz w:val="18"/>
      <w:szCs w:val="18"/>
    </w:rPr>
  </w:style>
  <w:style w:type="character" w:customStyle="1" w:styleId="285">
    <w:name w:val="页码1"/>
    <w:qFormat/>
    <w:uiPriority w:val="0"/>
    <w:rPr>
      <w:rFonts w:ascii="Times New Roman" w:hAnsi="Times New Roman" w:eastAsia="宋体" w:cs="Times New Roman"/>
      <w:sz w:val="21"/>
      <w:lang w:val="en-US" w:eastAsia="zh-CN" w:bidi="ar-SA"/>
    </w:rPr>
  </w:style>
  <w:style w:type="character" w:customStyle="1" w:styleId="286">
    <w:name w:val="font31"/>
    <w:basedOn w:val="45"/>
    <w:qFormat/>
    <w:uiPriority w:val="0"/>
    <w:rPr>
      <w:rFonts w:hint="eastAsia" w:ascii="宋体" w:hAnsi="宋体" w:eastAsia="宋体" w:cs="宋体"/>
      <w:color w:val="000000"/>
      <w:sz w:val="20"/>
      <w:szCs w:val="20"/>
      <w:u w:val="none"/>
    </w:rPr>
  </w:style>
  <w:style w:type="character" w:customStyle="1" w:styleId="287">
    <w:name w:val="NormalCharacter"/>
    <w:qFormat/>
    <w:uiPriority w:val="0"/>
  </w:style>
  <w:style w:type="paragraph" w:customStyle="1" w:styleId="288">
    <w:name w:val="普通(网站)1"/>
    <w:basedOn w:val="1"/>
    <w:qFormat/>
    <w:uiPriority w:val="0"/>
    <w:pPr>
      <w:widowControl/>
      <w:spacing w:before="100" w:beforeAutospacing="1" w:after="100" w:afterAutospacing="1" w:line="288" w:lineRule="auto"/>
      <w:ind w:firstLine="420"/>
      <w:jc w:val="left"/>
    </w:pPr>
    <w:rPr>
      <w:rFonts w:hAnsi="宋体"/>
    </w:rPr>
  </w:style>
  <w:style w:type="character" w:customStyle="1" w:styleId="289">
    <w:name w:val="超链接11"/>
    <w:qFormat/>
    <w:uiPriority w:val="0"/>
    <w:rPr>
      <w:rFonts w:ascii="Tahoma" w:hAnsi="Tahoma"/>
      <w:color w:val="000000"/>
      <w:sz w:val="24"/>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c9fb51b6-3a5c-464a-88d1-6b88bb39058f</errorID>
      <errorWord>《</errorWord>
      <group>L1_Punc</group>
      <groupName>标点问题</groupName>
      <ability>L2_Punc</ability>
      <abilityName>标点符号检查</abilityName>
      <candidateList>
        <item/>
      </candidateList>
      <explain/>
      <paraID>48E7AFBD</paraID>
      <start>6</start>
      <end>6</end>
      <status>modified</status>
      <modifiedWord/>
      <trackRevisions>false</trackRevisions>
    </reviewItem>
    <reviewItem>
      <errorID>284e661e-ec8d-4452-a043-d3a8b7d5a4a8</errorID>
      <errorWord>》</errorWord>
      <group>L1_Punc</group>
      <groupName>标点问题</groupName>
      <ability>L2_Punc</ability>
      <abilityName>标点符号检查</abilityName>
      <candidateList>
        <item/>
      </candidateList>
      <explain/>
      <paraID>48E7AFBD</paraID>
      <start>20</start>
      <end>20</end>
      <status>modified</status>
      <modifiedWord/>
      <trackRevisions>false</trackRevisions>
    </reviewItem>
    <reviewItem>
      <errorID>529fa21f-ff0a-47da-9f33-d52b4570c127</errorID>
      <errorWord>《</errorWord>
      <group>L1_Punc</group>
      <groupName>标点问题</groupName>
      <ability>L2_Punc</ability>
      <abilityName>标点符号检查</abilityName>
      <candidateList>
        <item/>
      </candidateList>
      <explain/>
      <paraID>3BEA159E</paraID>
      <start>8</start>
      <end>8</end>
      <status>modified</status>
      <modifiedWord/>
      <trackRevisions>false</trackRevisions>
    </reviewItem>
    <reviewItem>
      <errorID>3189347f-93e1-4e02-8f28-e6ac863e10df</errorID>
      <errorWord>》</errorWord>
      <group>L1_Punc</group>
      <groupName>标点问题</groupName>
      <ability>L2_Punc</ability>
      <abilityName>标点符号检查</abilityName>
      <candidateList>
        <item/>
      </candidateList>
      <explain/>
      <paraID>3BEA159E</paraID>
      <start>22</start>
      <end>22</end>
      <status>modified</status>
      <modifiedWord/>
      <trackRevisions>false</trackRevisions>
    </reviewItem>
    <reviewItem>
      <errorID>915c5f24-e3f0-4345-86e5-f8037fb27071</errorID>
      <errorWord>投标人</errorWord>
      <group>L1_Word</group>
      <groupName>字词问题</groupName>
      <ability>L2_Typo</ability>
      <abilityName>字词错误</abilityName>
      <candidateList>
        <item> 投标人</item>
      </candidateList>
      <explain/>
      <paraID>2767D133</paraID>
      <start>2</start>
      <end>5</end>
      <status>ignored</status>
      <modifiedWord/>
      <trackRevisions>false</trackRevisions>
    </reviewItem>
    <reviewItem>
      <errorID>142c157e-6dd0-4083-b4d6-583462990894</errorID>
      <errorWord>供应商</errorWord>
      <group>L1_Word</group>
      <groupName>字词问题</groupName>
      <ability>L2_Typo</ability>
      <abilityName>字词错误</abilityName>
      <candidateList>
        <item> 供应商</item>
      </candidateList>
      <explain/>
      <paraID>54D162C0</paraID>
      <start>2</start>
      <end>5</end>
      <status>ignored</status>
      <modifiedWord/>
      <trackRevisions>false</trackRevisions>
    </reviewItem>
    <reviewItem>
      <errorID>c04b099e-efde-40ee-8247-5f7738ee6f24</errorID>
      <errorWord>供应商</errorWord>
      <group>L1_Word</group>
      <groupName>字词问题</groupName>
      <ability>L2_Typo</ability>
      <abilityName>字词错误</abilityName>
      <candidateList>
        <item> 供应商</item>
      </candidateList>
      <explain/>
      <paraID>7FC635B0</paraID>
      <start>2</start>
      <end>5</end>
      <status>ignored</status>
      <modifiedWord/>
      <trackRevisions>false</trackRevisions>
    </reviewItem>
    <reviewItem>
      <errorID>a54eb384-9761-492c-bfa1-6f43f90b1459</errorID>
      <errorWord>供应商</errorWord>
      <group>L1_Word</group>
      <groupName>字词问题</groupName>
      <ability>L2_Typo</ability>
      <abilityName>字词错误</abilityName>
      <candidateList>
        <item> 供应商</item>
      </candidateList>
      <explain/>
      <paraID>7206AE40</paraID>
      <start>2</start>
      <end>5</end>
      <status>ignored</status>
      <modifiedWord/>
      <trackRevisions>false</trackRevisions>
    </reviewItem>
    <reviewItem>
      <errorID>0b304708-67cf-4cd1-84a8-910a6b0c3e1b</errorID>
      <errorWord>供应商</errorWord>
      <group>L1_Word</group>
      <groupName>字词问题</groupName>
      <ability>L2_Typo</ability>
      <abilityName>字词错误</abilityName>
      <candidateList>
        <item> 供应商</item>
      </candidateList>
      <explain/>
      <paraID> 557BD46</paraID>
      <start>2</start>
      <end>5</end>
      <status>ignored</status>
      <modifiedWord/>
      <trackRevisions>false</trackRevisions>
    </reviewItem>
    <reviewItem>
      <errorID>6407e0c4-1c7b-43ec-b3b5-4b05df99a3c6</errorID>
      <errorWord>供应商</errorWord>
      <group>L1_Word</group>
      <groupName>字词问题</groupName>
      <ability>L2_Typo</ability>
      <abilityName>字词错误</abilityName>
      <candidateList>
        <item> 供应商</item>
      </candidateList>
      <explain/>
      <paraID>3C655B3B</paraID>
      <start>2</start>
      <end>5</end>
      <status>ignored</status>
      <modifiedWord/>
      <trackRevisions>false</trackRevisions>
    </reviewItem>
    <reviewItem>
      <errorID>22022ef8-d7cf-4788-a1f4-4b721bf90779</errorID>
      <errorWord>未</errorWord>
      <group>L1_Word</group>
      <groupName>字词问题</groupName>
      <ability>L2_Typo</ability>
      <abilityName>字词错误</abilityName>
      <candidateList>
        <item>不</item>
      </candidateList>
      <explain/>
      <paraID>12F16C7A</paraID>
      <start>13</start>
      <end>14</end>
      <status>modified</status>
      <modifiedWord>不</modifiedWord>
      <trackRevisions>false</trackRevisions>
    </reviewItem>
    <reviewItem>
      <errorID>894e098c-3fee-4269-8cb2-55cc14264b2f</errorID>
      <errorWord>；</errorWord>
      <group>L1_Punc</group>
      <groupName>标点问题</groupName>
      <ability>L2_Punc</ability>
      <abilityName>标点符号检查</abilityName>
      <candidateList>
        <item>。</item>
      </candidateList>
      <explain/>
      <paraID>21AF55C7</paraID>
      <start>25</start>
      <end>26</end>
      <status>modified</status>
      <modifiedWord>。</modifiedWord>
      <trackRevisions>false</trackRevisions>
    </reviewItem>
    <reviewItem>
      <errorID>07a8de1f-9f9b-4cf1-90a1-675340a1365b</errorID>
      <errorWord>；</errorWord>
      <group>L1_Punc</group>
      <groupName>标点问题</groupName>
      <ability>L2_Punc</ability>
      <abilityName>标点符号检查</abilityName>
      <candidateList>
        <item>。</item>
      </candidateList>
      <explain/>
      <paraID>5E7A7621</paraID>
      <start>35</start>
      <end>36</end>
      <status>modified</status>
      <modifiedWord>。</modifiedWord>
      <trackRevisions>false</trackRevisions>
    </reviewItem>
    <reviewItem>
      <errorID>dd5e9b55-4871-4cb7-be16-3f309b5d5627</errorID>
      <errorWord>大厅中</errorWord>
      <group>L1_Word</group>
      <groupName>字词问题</groupName>
      <ability>L2_Typo</ability>
      <abilityName>字词错误</abilityName>
      <candidateList>
        <item>大厅</item>
      </candidateList>
      <explain/>
      <paraID>5E7A7621</paraID>
      <start>53</start>
      <end>55</end>
      <status>modified</status>
      <modifiedWord>大厅</modifiedWord>
      <trackRevisions>false</trackRevisions>
    </reviewItem>
    <reviewItem>
      <errorID>f30d35dc-562a-4329-95bd-ec091dd796a6</errorID>
      <errorWord>；</errorWord>
      <group>L1_Punc</group>
      <groupName>标点问题</groupName>
      <ability>L2_Punc</ability>
      <abilityName>标点符号检查</abilityName>
      <candidateList>
        <item>。</item>
      </candidateList>
      <explain/>
      <paraID>5E7A7621</paraID>
      <start>67</start>
      <end>68</end>
      <status>modified</status>
      <modifiedWord>。</modifiedWord>
      <trackRevisions>false</trackRevisions>
    </reviewItem>
    <reviewItem>
      <errorID>6158bc7a-6fb7-4b27-abad-4a4cd5af2287</errorID>
      <errorWord>的</errorWord>
      <group>L1_Word</group>
      <groupName>字词问题</groupName>
      <ability>L2_Typo</ability>
      <abilityName>字词错误</abilityName>
      <candidateList>
        <item>时</item>
      </candidateList>
      <explain/>
      <paraID>362C7A23</paraID>
      <start>33</start>
      <end>34</end>
      <status>modified</status>
      <modifiedWord>时</modifiedWord>
      <trackRevisions>false</trackRevisions>
    </reviewItem>
    <reviewItem>
      <errorID>590efd13-d75f-416a-a00a-a34abe604aef</errorID>
      <errorWord>的</errorWord>
      <group>L1_Word</group>
      <groupName>字词问题</groupName>
      <ability>L2_Typo</ability>
      <abilityName>字词错误</abilityName>
      <candidateList>
        <item>时</item>
      </candidateList>
      <explain/>
      <paraID>63565F03</paraID>
      <start>15</start>
      <end>16</end>
      <status>modified</status>
      <modifiedWord>时</modifiedWord>
      <trackRevisions>false</trackRevisions>
    </reviewItem>
    <reviewItem>
      <errorID>fb5cdad1-3802-4d26-9702-78d97dbc572f</errorID>
      <errorWord>的</errorWord>
      <group>L1_Word</group>
      <groupName>字词问题</groupName>
      <ability>L2_Typo</ability>
      <abilityName>字词错误</abilityName>
      <candidateList>
        <item>时</item>
      </candidateList>
      <explain/>
      <paraID> 387EF2E</paraID>
      <start>20</start>
      <end>21</end>
      <status>modified</status>
      <modifiedWord>时</modifiedWord>
      <trackRevisions>false</trackRevisions>
    </reviewItem>
    <reviewItem>
      <errorID>df449820-d370-4273-8836-bf0c473b05f1</errorID>
      <errorWord>的</errorWord>
      <group>L1_Word</group>
      <groupName>字词问题</groupName>
      <ability>L2_Typo</ability>
      <abilityName>字词错误</abilityName>
      <candidateList>
        <item>时</item>
      </candidateList>
      <explain/>
      <paraID>10EF5935</paraID>
      <start>18</start>
      <end>19</end>
      <status>modified</status>
      <modifiedWord>时</modifiedWord>
      <trackRevisions>false</trackRevisions>
    </reviewItem>
    <reviewItem>
      <errorID>6dd3d423-fa93-4626-ac4e-4b8a159580c4</errorID>
      <errorWord>的</errorWord>
      <group>L1_Grammar</group>
      <groupName>语法问题</groupName>
      <ability>L2_Grammar</ability>
      <abilityName>语法错误</abilityName>
      <candidateList>
        <item>情况的</item>
      </candidateList>
      <explain/>
      <paraID>493E0126</paraID>
      <start>11</start>
      <end>14</end>
      <status>modified</status>
      <modifiedWord>情况的</modifiedWord>
      <trackRevisions>false</trackRevisions>
    </reviewItem>
    <reviewItem>
      <errorID>2adc1b87-06f9-4154-9181-e9f68582e365</errorID>
      <errorWord>评</errorWord>
      <group>L1_Punc</group>
      <groupName>标点问题</groupName>
      <ability>L2_Punc</ability>
      <abilityName>标点符号检查</abilityName>
      <candidateList>
        <item>，评</item>
      </candidateList>
      <explain/>
      <paraID>493E0126</paraID>
      <start>33</start>
      <end>35</end>
      <status>modified</status>
      <modifiedWord>，评</modifiedWord>
      <trackRevisions>false</trackRevisions>
    </reviewItem>
    <reviewItem>
      <errorID>a435c592-cb10-4e8c-9a05-879efe31c885</errorID>
      <errorWord>，</errorWord>
      <group>L1_Punc</group>
      <groupName>标点问题</groupName>
      <ability>L2_Punc</ability>
      <abilityName>标点符号检查</abilityName>
      <candidateList>
        <item>。</item>
      </candidateList>
      <explain/>
      <paraID>493E0126</paraID>
      <start>78</start>
      <end>79</end>
      <status>modified</status>
      <modifiedWord>。</modifiedWord>
      <trackRevisions>false</trackRevisions>
    </reviewItem>
    <reviewItem>
      <errorID>a33ac2d9-37ec-4433-907e-aa4306d10957</errorID>
      <errorWord>的</errorWord>
      <group>L1_Word</group>
      <groupName>字词问题</groupName>
      <ability>L2_Typo</ability>
      <abilityName>字词错误</abilityName>
      <candidateList>
        <item>时</item>
      </candidateList>
      <explain/>
      <paraID>6ABEDFCD</paraID>
      <start>19</start>
      <end>20</end>
      <status>modified</status>
      <modifiedWord>时</modifiedWord>
      <trackRevisions>false</trackRevisions>
    </reviewItem>
    <reviewItem>
      <errorID>14c214ea-481f-40a2-8821-f30cc33cb542</errorID>
      <errorWord>。</errorWord>
      <group>L1_Punc</group>
      <groupName>标点问题</groupName>
      <ability>L2_Punc</ability>
      <abilityName>标点符号检查</abilityName>
      <candidateList>
        <item>：</item>
      </candidateList>
      <explain/>
      <paraID>66C75ADC</paraID>
      <start>9</start>
      <end>10</end>
      <status>modified</status>
      <modifiedWord>：</modifiedWord>
      <trackRevisions>false</trackRevisions>
    </reviewItem>
    <reviewItem>
      <errorID>da0e3d84-29a4-4f8c-9e21-a90d23fef327</errorID>
      <errorWord>。</errorWord>
      <group>L1_Punc</group>
      <groupName>标点问题</groupName>
      <ability>L2_Punc</ability>
      <abilityName>标点符号检查</abilityName>
      <candidateList>
        <item>：</item>
      </candidateList>
      <explain/>
      <paraID> 8F5AACD</paraID>
      <start>6</start>
      <end>7</end>
      <status>modified</status>
      <modifiedWord>：</modifiedWord>
      <trackRevisions>false</trackRevisions>
    </reviewItem>
    <reviewItem>
      <errorID>7f095a32-9916-405e-a11f-c519be7486c3</errorID>
      <errorWord>。</errorWord>
      <group>L1_Punc</group>
      <groupName>标点问题</groupName>
      <ability>L2_Punc</ability>
      <abilityName>标点符号检查</abilityName>
      <candidateList>
        <item>：</item>
      </candidateList>
      <explain/>
      <paraID>53A63E22</paraID>
      <start>6</start>
      <end>7</end>
      <status>modified</status>
      <modifiedWord>：</modifiedWord>
      <trackRevisions>false</trackRevisions>
    </reviewItem>
    <reviewItem>
      <errorID>2f3421e8-12fe-480a-a23a-7a90f85370fa</errorID>
      <errorWord>，</errorWord>
      <group>L1_Grammar</group>
      <groupName>语法问题</groupName>
      <ability>L2_Grammar</ability>
      <abilityName>语法错误</abilityName>
      <candidateList>
        <item>如下：</item>
      </candidateList>
      <explain/>
      <paraID>311C38B3</paraID>
      <start>22</start>
      <end>25</end>
      <status>modified</status>
      <modifiedWord>如下：</modifiedWord>
      <trackRevisions>false</trackRevisions>
    </reviewItem>
    <reviewItem>
      <errorID>e719efb1-70cb-458b-b939-346609a1004d</errorID>
      <errorWord>评审</errorWord>
      <group>L1_Word</group>
      <groupName>字词问题</groupName>
      <ability>L2_Typo</ability>
      <abilityName>字词错误</abilityName>
      <candidateList>
        <item> 评审</item>
      </candidateList>
      <explain/>
      <paraID> 261EF00</paraID>
      <start>2</start>
      <end>4</end>
      <status>ignored</status>
      <modifiedWord/>
      <trackRevisions>false</trackRevisions>
    </reviewItem>
    <reviewItem>
      <errorID>9d722174-8ef9-4f1b-8143-22b7afa47431</errorID>
      <errorWord>的</errorWord>
      <group>L1_Word</group>
      <groupName>字词问题</groupName>
      <ability>L2_Typo</ability>
      <abilityName>字词错误</abilityName>
      <candidateList>
        <item>时</item>
      </candidateList>
      <explain/>
      <paraID> 261EF00</paraID>
      <start>15</start>
      <end>16</end>
      <status>modified</status>
      <modifiedWord>时</modifiedWord>
      <trackRevisions>false</trackRevisions>
    </reviewItem>
    <reviewItem>
      <errorID>818092ca-484b-4452-8a4a-8a5b004821cb</errorID>
      <errorWord>投标</errorWord>
      <group>L1_Word</group>
      <groupName>字词问题</groupName>
      <ability>L2_Typo</ability>
      <abilityName>字词错误</abilityName>
      <candidateList>
        <item> 投标</item>
      </candidateList>
      <explain/>
      <paraID>4356B060</paraID>
      <start>2</start>
      <end>4</end>
      <status>ignored</status>
      <modifiedWord/>
      <trackRevisions>false</trackRevisions>
    </reviewItem>
    <reviewItem>
      <errorID>b63e2169-4cc2-4326-a019-71f1c7c79b35</errorID>
      <errorWord>的</errorWord>
      <group>L1_Word</group>
      <groupName>字词问题</groupName>
      <ability>L2_Typo</ability>
      <abilityName>字词错误</abilityName>
      <candidateList>
        <item>时</item>
      </candidateList>
      <explain/>
      <paraID>4356B060</paraID>
      <start>38</start>
      <end>39</end>
      <status>modified</status>
      <modifiedWord>时</modifiedWord>
      <trackRevisions>false</trackRevisions>
    </reviewItem>
    <reviewItem>
      <errorID>c07c304d-3570-4b8f-956a-409f106ce8a3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4356B060</paraID>
      <start>49</start>
      <end>50</end>
      <status>ignored</status>
      <modifiedWord/>
      <trackRevisions>false</trackRevisions>
    </reviewItem>
    <reviewItem>
      <errorID>a4b2fc22-8bcb-4c5e-9709-a2a51cb97a6d</errorID>
      <errorWord>；</errorWord>
      <group>L1_Punc</group>
      <groupName>标点问题</groupName>
      <ability>L2_Punc</ability>
      <abilityName>标点符号检查</abilityName>
      <candidateList>
        <item>。</item>
      </candidateList>
      <explain/>
      <paraID>4356B060</paraID>
      <start>77</start>
      <end>78</end>
      <status>modified</status>
      <modifiedWord>。</modifiedWord>
      <trackRevisions>false</trackRevisions>
    </reviewItem>
    <reviewItem>
      <errorID>5d68439b-d9cd-4a2a-8568-c41397f6c1fb</errorID>
      <errorWord>投标</errorWord>
      <group>L1_Word</group>
      <groupName>字词问题</groupName>
      <ability>L2_Typo</ability>
      <abilityName>字词错误</abilityName>
      <candidateList>
        <item> 投标</item>
      </candidateList>
      <explain/>
      <paraID> 8945773</paraID>
      <start>2</start>
      <end>4</end>
      <status>ignored</status>
      <modifiedWord/>
      <trackRevisions>false</trackRevisions>
    </reviewItem>
    <reviewItem>
      <errorID>ba196724-4222-4f78-bf20-483f2f89ee09</errorID>
      <errorWord>的</errorWord>
      <group>L1_Word</group>
      <groupName>字词问题</groupName>
      <ability>L2_Typo</ability>
      <abilityName>字词错误</abilityName>
      <candidateList>
        <item>时</item>
      </candidateList>
      <explain/>
      <paraID> 8945773</paraID>
      <start>38</start>
      <end>39</end>
      <status>modified</status>
      <modifiedWord>时</modifiedWord>
      <trackRevisions>false</trackRevisions>
    </reviewItem>
    <reviewItem>
      <errorID>51a6adb1-80f5-4434-88a3-aaeef998c21a</errorID>
      <errorWord>〈</errorWord>
      <group>L1_Punc</group>
      <groupName>标点问题</groupName>
      <ability>L2_Punc</ability>
      <abilityName>标点符号检查</abilityName>
      <candidateList>
        <item> &lt; </item>
      </candidateList>
      <explain/>
      <paraID> 8945773</paraID>
      <start>49</start>
      <end>52</end>
      <status>modified</status>
      <modifiedWord> &lt; </modifiedWord>
      <trackRevisions>false</trackRevisions>
    </reviewItem>
    <reviewItem>
      <errorID>03ecfcde-cc3c-45c0-9173-3925540c745d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240BB347</paraID>
      <start>34</start>
      <end>35</end>
      <status>ignored</status>
      <modifiedWord/>
      <trackRevisions>false</trackRevisions>
    </reviewItem>
    <reviewItem>
      <errorID>b120742e-72ee-49b4-b882-30162df792ac</errorID>
      <errorWord>；</errorWord>
      <group>L1_Punc</group>
      <groupName>标点问题</groupName>
      <ability>L2_Punc</ability>
      <abilityName>标点符号检查</abilityName>
      <candidateList>
        <item>。</item>
      </candidateList>
      <explain/>
      <paraID>240BB347</paraID>
      <start>47</start>
      <end>48</end>
      <status>modified</status>
      <modifiedWord>。</modifiedWord>
      <trackRevisions>false</trackRevisions>
    </reviewItem>
    <reviewItem>
      <errorID>fd98dc6f-2e82-47c3-9685-19694f008511</errorID>
      <errorWord>评审</errorWord>
      <group>L1_Word</group>
      <groupName>字词问题</groupName>
      <ability>L2_Typo</ability>
      <abilityName>字词错误</abilityName>
      <candidateList>
        <item> 评审</item>
      </candidateList>
      <explain/>
      <paraID>67497033</paraID>
      <start>2</start>
      <end>4</end>
      <status>ignored</status>
      <modifiedWord/>
      <trackRevisions>false</trackRevisions>
    </reviewItem>
    <reviewItem>
      <errorID>4ac3ee24-486a-4b85-9322-5f2cd4f09f80</errorID>
      <errorWord>启动</errorWord>
      <group>L1_Word</group>
      <groupName>字词问题</groupName>
      <ability>L2_Typo</ability>
      <abilityName>字词错误</abilityName>
      <candidateList>
        <item> 启动</item>
      </candidateList>
      <explain/>
      <paraID> CE2D29A</paraID>
      <start>2</start>
      <end>5</end>
      <status>modified</status>
      <modifiedWord> 启动</modifiedWord>
      <trackRevisions>false</trackRevisions>
    </reviewItem>
    <reviewItem>
      <errorID>d6ba7a65-08bd-46f9-8162-d46e110cd485</errorID>
      <errorWord>。</errorWord>
      <group>L1_Punc</group>
      <groupName>标点问题</groupName>
      <ability>L2_Punc</ability>
      <abilityName>标点符号检查</abilityName>
      <candidateList>
        <item>：</item>
      </candidateList>
      <explain/>
      <paraID>2BAA7904</paraID>
      <start>9</start>
      <end>10</end>
      <status>modified</status>
      <modifiedWord>：</modifiedWord>
      <trackRevisions>false</trackRevisions>
    </reviewItem>
    <reviewItem>
      <errorID>53d50be9-40ab-468d-855a-90bee2832eba</errorID>
      <errorWord>。</errorWord>
      <group>L1_Punc</group>
      <groupName>标点问题</groupName>
      <ability>L2_Punc</ability>
      <abilityName>标点符号检查</abilityName>
      <candidateList>
        <item>：</item>
      </candidateList>
      <explain/>
      <paraID>45F1600D</paraID>
      <start>8</start>
      <end>9</end>
      <status>modified</status>
      <modifiedWord>：</modifiedWord>
      <trackRevisions>false</trackRevisions>
    </reviewItem>
    <reviewItem>
      <errorID>d15b22a9-0a0f-48dc-917f-60ed1bd5284b</errorID>
      <errorWord>供应商企业</errorWord>
      <group>L1_Grammar</group>
      <groupName>语法问题</groupName>
      <ability>L2_Grammar</ability>
      <abilityName>语法错误</abilityName>
      <candidateList>
        <item>供应商</item>
      </candidateList>
      <explain/>
      <paraID>41D9AF1C</paraID>
      <start>14</start>
      <end>17</end>
      <status>modified</status>
      <modifiedWord>供应商</modifiedWord>
      <trackRevisions>false</trackRevisions>
    </reviewItem>
    <reviewItem>
      <errorID>c4d5d3d1-35a3-48f7-af4a-0912043b33bc</errorID>
      <errorWord>（</errorWord>
      <group>L1_Punc</group>
      <groupName>标点问题</groupName>
      <ability>L2_Punc</ability>
      <abilityName>标点符号检查</abilityName>
      <candidateList/>
      <explain>同一形式括号套用。</explain>
      <paraID>6580C7AC</paraID>
      <start>110</start>
      <end>111</end>
      <status>ignored</status>
      <modifiedWord/>
      <trackRevisions>false</trackRevisions>
    </reviewItem>
    <reviewItem>
      <errorID>1521bde1-e4ee-450e-bd34-0d4dcb8d5210</errorID>
      <errorWord>）</errorWord>
      <group>L1_Punc</group>
      <groupName>标点问题</groupName>
      <ability>L2_Punc</ability>
      <abilityName>标点符号检查</abilityName>
      <candidateList/>
      <explain>同一形式括号套用。</explain>
      <paraID>6580C7AC</paraID>
      <start>143</start>
      <end>144</end>
      <status>ignored</status>
      <modifiedWord/>
      <trackRevisions>false</trackRevisions>
    </reviewItem>
    <reviewItem>
      <errorID>0399d5ec-7c17-4f44-9d8c-0bfb9a7fad3b</errorID>
      <errorWord>）</errorWord>
      <group>L1_Punc</group>
      <groupName>标点问题</groupName>
      <ability>L2_Punc</ability>
      <abilityName>标点符号检查</abilityName>
      <candidateList>
        <item>。）</item>
      </candidateList>
      <explain/>
      <paraID>6580C7AC</paraID>
      <start>151</start>
      <end>153</end>
      <status>modified</status>
      <modifiedWord>。）</modifiedWord>
      <trackRevisions>false</trackRevisions>
    </reviewItem>
    <reviewItem>
      <errorID>25920923-fc9a-4f92-83d7-621ef5bfc4c0</errorID>
      <errorWord>（</errorWord>
      <group>L1_Punc</group>
      <groupName>标点问题</groupName>
      <ability>L2_Punc</ability>
      <abilityName>标点符号检查</abilityName>
      <candidateList>
        <item/>
      </candidateList>
      <explain/>
      <paraID>47CE9372</paraID>
      <start>8</start>
      <end>9</end>
      <status>ignored</status>
      <modifiedWord/>
      <trackRevisions>false</trackRevisions>
    </reviewItem>
    <reviewItem>
      <errorID>0e14f00a-3d94-4aba-98ba-4d7faaddbde8</errorID>
      <errorWord>（</errorWord>
      <group>L1_Punc</group>
      <groupName>标点问题</groupName>
      <ability>L2_Punc</ability>
      <abilityName>标点符号检查</abilityName>
      <candidateList/>
      <explain>同一形式括号套用。</explain>
      <paraID>47CE9372</paraID>
      <start>75</start>
      <end>76</end>
      <status>ignored</status>
      <modifiedWord/>
      <trackRevisions>false</trackRevisions>
    </reviewItem>
    <reviewItem>
      <errorID>7a06013b-179e-4f92-9333-19cca7fa9696</errorID>
      <errorWord>）</errorWord>
      <group>L1_Punc</group>
      <groupName>标点问题</groupName>
      <ability>L2_Punc</ability>
      <abilityName>标点符号检查</abilityName>
      <candidateList/>
      <explain>同一形式括号套用。</explain>
      <paraID>47CE9372</paraID>
      <start>82</start>
      <end>83</end>
      <status>ignored</status>
      <modifiedWord/>
      <trackRevisions>false</trackRevisions>
    </reviewItem>
    <reviewItem>
      <errorID>8bb7f59d-2d59-42f3-9bd4-e1490b063a16</errorID>
      <errorWord>（</errorWord>
      <group>L1_Punc</group>
      <groupName>标点问题</groupName>
      <ability>L2_Punc</ability>
      <abilityName>标点符号检查</abilityName>
      <candidateList/>
      <explain>同一形式括号套用。</explain>
      <paraID>47CE9372</paraID>
      <start>95</start>
      <end>96</end>
      <status>ignored</status>
      <modifiedWord/>
      <trackRevisions>false</trackRevisions>
    </reviewItem>
    <reviewItem>
      <errorID>f0c99a85-dee4-4be1-9bbd-a660d17da41d</errorID>
      <errorWord>）</errorWord>
      <group>L1_Punc</group>
      <groupName>标点问题</groupName>
      <ability>L2_Punc</ability>
      <abilityName>标点符号检查</abilityName>
      <candidateList/>
      <explain>同一形式括号套用。</explain>
      <paraID>47CE9372</paraID>
      <start>113</start>
      <end>114</end>
      <status>ignored</status>
      <modifiedWord/>
      <trackRevisions>false</trackRevisions>
    </reviewItem>
    <reviewItem>
      <errorID>82e4504c-8554-4c8d-a5c5-8515c851c251</errorID>
      <errorWord>（</errorWord>
      <group>L1_Punc</group>
      <groupName>标点问题</groupName>
      <ability>L2_Punc</ability>
      <abilityName>标点符号检查</abilityName>
      <candidateList/>
      <explain>同一形式括号套用。</explain>
      <paraID>47CE9372</paraID>
      <start>196</start>
      <end>197</end>
      <status>ignored</status>
      <modifiedWord/>
      <trackRevisions>false</trackRevisions>
    </reviewItem>
    <reviewItem>
      <errorID>e5c70d1c-b074-4112-b184-6eb01bf59d63</errorID>
      <errorWord>（</errorWord>
      <group>L1_Punc</group>
      <groupName>标点问题</groupName>
      <ability>L2_Punc</ability>
      <abilityName>标点符号检查</abilityName>
      <candidateList/>
      <explain>同一形式括号套用。</explain>
      <paraID>47CE9372</paraID>
      <start>223</start>
      <end>224</end>
      <status>ignored</status>
      <modifiedWord/>
      <trackRevisions>false</trackRevisions>
    </reviewItem>
    <reviewItem>
      <errorID>af5c7779-f1d4-4b0e-9325-cd688fc17969</errorID>
      <errorWord>）</errorWord>
      <group>L1_Punc</group>
      <groupName>标点问题</groupName>
      <ability>L2_Punc</ability>
      <abilityName>标点符号检查</abilityName>
      <candidateList/>
      <explain>同一形式括号套用。</explain>
      <paraID>47CE9372</paraID>
      <start>248</start>
      <end>249</end>
      <status>ignored</status>
      <modifiedWord/>
      <trackRevisions>false</trackRevisions>
    </reviewItem>
    <reviewItem>
      <errorID>ff4ee8f9-c566-4f06-ae18-bcadca3eacca</errorID>
      <errorWord> </errorWord>
      <group>L1_Punc</group>
      <groupName>标点问题</groupName>
      <ability>L2_Punc</ability>
      <abilityName>标点符号检查</abilityName>
      <candidateList>
        <item/>
      </candidateList>
      <explain>此处空格冗余，建议删除。</explain>
      <paraID>47CE9372</paraID>
      <start>249</start>
      <end>249</end>
      <status>modified</status>
      <modifiedWord/>
      <trackRevisions>false</trackRevisions>
    </reviewItem>
    <reviewItem>
      <errorID>f2f0fc82-7770-4241-bee0-2d0405318f8b</errorID>
      <errorWord>）</errorWord>
      <group>L1_Punc</group>
      <groupName>标点问题</groupName>
      <ability>L2_Punc</ability>
      <abilityName>标点符号检查</abilityName>
      <candidateList>
        <item/>
      </candidateList>
      <explain/>
      <paraID>47CE9372</paraID>
      <start>326</start>
      <end>327</end>
      <status>ignored</status>
      <modifiedWord/>
      <trackRevisions>false</trackRevisions>
    </reviewItem>
    <reviewItem>
      <errorID>d5e7862c-40e9-4b64-9a98-947949f04c59</errorID>
      <errorWord>。（注：</errorWord>
      <group>L1_Grammar</group>
      <groupName>语法问题</groupName>
      <ability>L2_Grammar</ability>
      <abilityName>语法错误</abilityName>
      <candidateList>
        <item>。</item>
      </candidateList>
      <explain/>
      <paraID>6D149B1F</paraID>
      <start>117</start>
      <end>118</end>
      <status>modified</status>
      <modifiedWord>。</modifiedWord>
      <trackRevisions>false</trackRevisions>
    </reviewItem>
    <reviewItem>
      <errorID>faa4922d-ef74-437f-8ae2-a53a47ffa3ff</errorID>
      <errorWord>）</errorWord>
      <group>L1_Punc</group>
      <groupName>标点问题</groupName>
      <ability>L2_Punc</ability>
      <abilityName>标点符号检查</abilityName>
      <candidateList>
        <item/>
      </candidateList>
      <explain/>
      <paraID>6D149B1F</paraID>
      <start>172</start>
      <end>173</end>
      <status>ignored</status>
      <modifiedWord/>
      <trackRevisions>false</trackRevisions>
    </reviewItem>
    <reviewItem>
      <errorID>a9da2340-52fa-4b64-aeb2-54880d43129f</errorID>
      <errorWord>该条</errorWord>
      <group>L1_Punc</group>
      <groupName>标点问题</groupName>
      <ability>L2_Punc</ability>
      <abilityName>标点符号检查</abilityName>
      <candidateList>
        <item>，该条</item>
      </candidateList>
      <explain/>
      <paraID>7BFF4C31</paraID>
      <start>39</start>
      <end>42</end>
      <status>modified</status>
      <modifiedWord>，该条</modifiedWord>
      <trackRevisions>false</trackRevisions>
    </reviewItem>
    <reviewItem>
      <errorID>6c9c1d6f-c51c-4519-884e-cdba22d4f218</errorID>
      <errorWord>，</errorWord>
      <group>L1_Punc</group>
      <groupName>标点问题</groupName>
      <ability>L2_Punc</ability>
      <abilityName>标点符号检查</abilityName>
      <candidateList>
        <item>；</item>
      </candidateList>
      <explain/>
      <paraID>7BFF4C31</paraID>
      <start>45</start>
      <end>46</end>
      <status>modified</status>
      <modifiedWord>；</modifiedWord>
      <trackRevisions>false</trackRevisions>
    </reviewItem>
    <reviewItem>
      <errorID>f182bf3d-1c3c-46ce-83b4-733a6d39e8fe</errorID>
      <errorWord>得</errorWord>
      <group>L1_Punc</group>
      <groupName>标点问题</groupName>
      <ability>L2_Punc</ability>
      <abilityName>标点符号检查</abilityName>
      <candidateList>
        <item>，得</item>
      </candidateList>
      <explain/>
      <paraID>7BFF4C31</paraID>
      <start>60</start>
      <end>62</end>
      <status>modified</status>
      <modifiedWord>，得</modifiedWord>
      <trackRevisions>false</trackRevisions>
    </reviewItem>
    <reviewItem>
      <errorID>e0857027-30ad-4871-894b-f82697d1432a</errorID>
      <errorWord>，</errorWord>
      <group>L1_Punc</group>
      <groupName>标点问题</groupName>
      <ability>L2_Punc</ability>
      <abilityName>标点符号检查</abilityName>
      <candidateList>
        <item>；</item>
      </candidateList>
      <explain/>
      <paraID>7BFF4C31</paraID>
      <start>64</start>
      <end>65</end>
      <status>modified</status>
      <modifiedWord>；</modifiedWord>
      <trackRevisions>false</trackRevisions>
    </reviewItem>
    <reviewItem>
      <errorID>f8bd537f-5354-419c-b2f9-5e3077724113</errorID>
      <errorWord>该条</errorWord>
      <group>L1_Punc</group>
      <groupName>标点问题</groupName>
      <ability>L2_Punc</ability>
      <abilityName>标点符号检查</abilityName>
      <candidateList>
        <item>，该条</item>
      </candidateList>
      <explain/>
      <paraID>7BFF4C31</paraID>
      <start>84</start>
      <end>87</end>
      <status>modified</status>
      <modifiedWord>，该条</modifiedWord>
      <trackRevisions>false</trackRevisions>
    </reviewItem>
    <reviewItem>
      <errorID>91401aea-d5ca-4202-ad94-525b0bd1c106</errorID>
      <errorWord>，</errorWord>
      <group>L1_Punc</group>
      <groupName>标点问题</groupName>
      <ability>L2_Punc</ability>
      <abilityName>标点符号检查</abilityName>
      <candidateList>
        <item>。</item>
      </candidateList>
      <explain/>
      <paraID>7BFF4C31</paraID>
      <start>92</start>
      <end>93</end>
      <status>modified</status>
      <modifiedWord>。</modifiedWord>
      <trackRevisions>false</trackRevisions>
    </reviewItem>
    <reviewItem>
      <errorID>277dbbf0-33af-4ab6-ba05-af81f7743d79</errorID>
      <errorWord>该条</errorWord>
      <group>L1_Punc</group>
      <groupName>标点问题</groupName>
      <ability>L2_Punc</ability>
      <abilityName>标点符号检查</abilityName>
      <candidateList>
        <item>，该条</item>
      </candidateList>
      <explain/>
      <paraID>597822DD</paraID>
      <start>39</start>
      <end>42</end>
      <status>modified</status>
      <modifiedWord>，该条</modifiedWord>
      <trackRevisions>false</trackRevisions>
    </reviewItem>
    <reviewItem>
      <errorID>97aa95b7-5854-4398-8dcc-316d13fbe1df</errorID>
      <errorWord>，</errorWord>
      <group>L1_Punc</group>
      <groupName>标点问题</groupName>
      <ability>L2_Punc</ability>
      <abilityName>标点符号检查</abilityName>
      <candidateList>
        <item>；</item>
      </candidateList>
      <explain/>
      <paraID>597822DD</paraID>
      <start>45</start>
      <end>46</end>
      <status>modified</status>
      <modifiedWord>；</modifiedWord>
      <trackRevisions>false</trackRevisions>
    </reviewItem>
    <reviewItem>
      <errorID>e5ad7c89-8496-4637-b126-602ff44b9fb8</errorID>
      <errorWord>得</errorWord>
      <group>L1_Punc</group>
      <groupName>标点问题</groupName>
      <ability>L2_Punc</ability>
      <abilityName>标点符号检查</abilityName>
      <candidateList>
        <item>，得</item>
      </candidateList>
      <explain/>
      <paraID>597822DD</paraID>
      <start>60</start>
      <end>62</end>
      <status>modified</status>
      <modifiedWord>，得</modifiedWord>
      <trackRevisions>false</trackRevisions>
    </reviewItem>
    <reviewItem>
      <errorID>e11194aa-5076-45b1-8195-f5036260c122</errorID>
      <errorWord>，</errorWord>
      <group>L1_Punc</group>
      <groupName>标点问题</groupName>
      <ability>L2_Punc</ability>
      <abilityName>标点符号检查</abilityName>
      <candidateList>
        <item>；</item>
      </candidateList>
      <explain/>
      <paraID>597822DD</paraID>
      <start>64</start>
      <end>65</end>
      <status>modified</status>
      <modifiedWord>；</modifiedWord>
      <trackRevisions>false</trackRevisions>
    </reviewItem>
    <reviewItem>
      <errorID>5d647e30-a0d8-4f8e-aa03-6419b919339a</errorID>
      <errorWord>该条</errorWord>
      <group>L1_Punc</group>
      <groupName>标点问题</groupName>
      <ability>L2_Punc</ability>
      <abilityName>标点符号检查</abilityName>
      <candidateList>
        <item>，该条</item>
      </candidateList>
      <explain/>
      <paraID>597822DD</paraID>
      <start>84</start>
      <end>87</end>
      <status>modified</status>
      <modifiedWord>，该条</modifiedWord>
      <trackRevisions>false</trackRevisions>
    </reviewItem>
    <reviewItem>
      <errorID>d5a9e370-9864-4777-96a4-977198d0eb18</errorID>
      <errorWord>，</errorWord>
      <group>L1_Punc</group>
      <groupName>标点问题</groupName>
      <ability>L2_Punc</ability>
      <abilityName>标点符号检查</abilityName>
      <candidateList>
        <item>。</item>
      </candidateList>
      <explain/>
      <paraID>597822DD</paraID>
      <start>92</start>
      <end>93</end>
      <status>modified</status>
      <modifiedWord>。</modifiedWord>
      <trackRevisions>false</trackRevisions>
    </reviewItem>
    <reviewItem>
      <errorID>cb6c8d39-08ec-49fb-ba7a-b6ecce3b160e</errorID>
      <errorWord>该条</errorWord>
      <group>L1_Punc</group>
      <groupName>标点问题</groupName>
      <ability>L2_Punc</ability>
      <abilityName>标点符号检查</abilityName>
      <candidateList>
        <item>，该条</item>
      </candidateList>
      <explain/>
      <paraID>59D4C605</paraID>
      <start>39</start>
      <end>42</end>
      <status>modified</status>
      <modifiedWord>，该条</modifiedWord>
      <trackRevisions>false</trackRevisions>
    </reviewItem>
    <reviewItem>
      <errorID>a5d58672-7961-4959-8fd0-1b1ee21cee88</errorID>
      <errorWord>，</errorWord>
      <group>L1_Punc</group>
      <groupName>标点问题</groupName>
      <ability>L2_Punc</ability>
      <abilityName>标点符号检查</abilityName>
      <candidateList>
        <item>；</item>
      </candidateList>
      <explain/>
      <paraID>59D4C605</paraID>
      <start>45</start>
      <end>46</end>
      <status>modified</status>
      <modifiedWord>；</modifiedWord>
      <trackRevisions>false</trackRevisions>
    </reviewItem>
    <reviewItem>
      <errorID>490655e4-f254-4d6a-9147-b5c043a74459</errorID>
      <errorWord>得</errorWord>
      <group>L1_Punc</group>
      <groupName>标点问题</groupName>
      <ability>L2_Punc</ability>
      <abilityName>标点符号检查</abilityName>
      <candidateList>
        <item>，得</item>
      </candidateList>
      <explain/>
      <paraID>59D4C605</paraID>
      <start>60</start>
      <end>62</end>
      <status>modified</status>
      <modifiedWord>，得</modifiedWord>
      <trackRevisions>false</trackRevisions>
    </reviewItem>
    <reviewItem>
      <errorID>5fde54a2-09a6-482f-9dd9-7a7b1a28361a</errorID>
      <errorWord>，</errorWord>
      <group>L1_Punc</group>
      <groupName>标点问题</groupName>
      <ability>L2_Punc</ability>
      <abilityName>标点符号检查</abilityName>
      <candidateList>
        <item>；</item>
      </candidateList>
      <explain/>
      <paraID>59D4C605</paraID>
      <start>64</start>
      <end>65</end>
      <status>modified</status>
      <modifiedWord>；</modifiedWord>
      <trackRevisions>false</trackRevisions>
    </reviewItem>
    <reviewItem>
      <errorID>7ae937bd-c4aa-450f-b341-d3866129454d</errorID>
      <errorWord>该条</errorWord>
      <group>L1_Punc</group>
      <groupName>标点问题</groupName>
      <ability>L2_Punc</ability>
      <abilityName>标点符号检查</abilityName>
      <candidateList>
        <item>，该条</item>
      </candidateList>
      <explain/>
      <paraID>59D4C605</paraID>
      <start>84</start>
      <end>87</end>
      <status>modified</status>
      <modifiedWord>，该条</modifiedWord>
      <trackRevisions>false</trackRevisions>
    </reviewItem>
    <reviewItem>
      <errorID>f70841fa-4334-42cc-a84a-3d86418cae7b</errorID>
      <errorWord>，</errorWord>
      <group>L1_Punc</group>
      <groupName>标点问题</groupName>
      <ability>L2_Punc</ability>
      <abilityName>标点符号检查</abilityName>
      <candidateList>
        <item>。</item>
      </candidateList>
      <explain/>
      <paraID>59D4C605</paraID>
      <start>92</start>
      <end>93</end>
      <status>modified</status>
      <modifiedWord>。</modifiedWord>
      <trackRevisions>false</trackRevisions>
    </reviewItem>
    <reviewItem>
      <errorID>eeb075aa-92f1-4d85-821c-812a4524356d</errorID>
      <errorWord>该条</errorWord>
      <group>L1_Punc</group>
      <groupName>标点问题</groupName>
      <ability>L2_Punc</ability>
      <abilityName>标点符号检查</abilityName>
      <candidateList>
        <item>，该条</item>
      </candidateList>
      <explain/>
      <paraID>5BCF012D</paraID>
      <start>39</start>
      <end>42</end>
      <status>modified</status>
      <modifiedWord>，该条</modifiedWord>
      <trackRevisions>false</trackRevisions>
    </reviewItem>
    <reviewItem>
      <errorID>2a219be5-68d4-442f-b667-00d6a871cb92</errorID>
      <errorWord>，</errorWord>
      <group>L1_Punc</group>
      <groupName>标点问题</groupName>
      <ability>L2_Punc</ability>
      <abilityName>标点符号检查</abilityName>
      <candidateList>
        <item>；</item>
      </candidateList>
      <explain/>
      <paraID>5BCF012D</paraID>
      <start>45</start>
      <end>46</end>
      <status>modified</status>
      <modifiedWord>；</modifiedWord>
      <trackRevisions>false</trackRevisions>
    </reviewItem>
    <reviewItem>
      <errorID>2a87c1b9-4c5a-4058-846f-414a13cef269</errorID>
      <errorWord>得</errorWord>
      <group>L1_Punc</group>
      <groupName>标点问题</groupName>
      <ability>L2_Punc</ability>
      <abilityName>标点符号检查</abilityName>
      <candidateList>
        <item>，得</item>
      </candidateList>
      <explain/>
      <paraID>5BCF012D</paraID>
      <start>60</start>
      <end>62</end>
      <status>modified</status>
      <modifiedWord>，得</modifiedWord>
      <trackRevisions>false</trackRevisions>
    </reviewItem>
    <reviewItem>
      <errorID>d87c0dc6-83a0-450d-b1ff-32b8b6029b8f</errorID>
      <errorWord>，</errorWord>
      <group>L1_Punc</group>
      <groupName>标点问题</groupName>
      <ability>L2_Punc</ability>
      <abilityName>标点符号检查</abilityName>
      <candidateList>
        <item>；</item>
      </candidateList>
      <explain/>
      <paraID>5BCF012D</paraID>
      <start>64</start>
      <end>65</end>
      <status>modified</status>
      <modifiedWord>；</modifiedWord>
      <trackRevisions>false</trackRevisions>
    </reviewItem>
    <reviewItem>
      <errorID>326a8c66-6ad8-4ca4-b732-12b2f54922bb</errorID>
      <errorWord>该条</errorWord>
      <group>L1_Punc</group>
      <groupName>标点问题</groupName>
      <ability>L2_Punc</ability>
      <abilityName>标点符号检查</abilityName>
      <candidateList>
        <item>，该条</item>
      </candidateList>
      <explain/>
      <paraID>5BCF012D</paraID>
      <start>84</start>
      <end>87</end>
      <status>modified</status>
      <modifiedWord>，该条</modifiedWord>
      <trackRevisions>false</trackRevisions>
    </reviewItem>
    <reviewItem>
      <errorID>df15a729-bae2-4edc-8f06-e58c1ee6d217</errorID>
      <errorWord>，</errorWord>
      <group>L1_Punc</group>
      <groupName>标点问题</groupName>
      <ability>L2_Punc</ability>
      <abilityName>标点符号检查</abilityName>
      <candidateList>
        <item>。</item>
      </candidateList>
      <explain/>
      <paraID>5BCF012D</paraID>
      <start>92</start>
      <end>93</end>
      <status>modified</status>
      <modifiedWord>。</modifiedWord>
      <trackRevisions>false</trackRevisions>
    </reviewItem>
    <reviewItem>
      <errorID>ab208108-09fb-46e6-8872-fe937b9cd79d</errorID>
      <errorWord>及</errorWord>
      <group>L1_Word</group>
      <groupName>字词问题</groupName>
      <ability>L2_Typo</ability>
      <abilityName>字词错误</abilityName>
      <candidateList>
        <item>和</item>
      </candidateList>
      <explain/>
      <paraID>7499D1C5</paraID>
      <start>26</start>
      <end>27</end>
      <status>modified</status>
      <modifiedWord>和</modifiedWord>
      <trackRevisions>false</trackRevisions>
    </reviewItem>
    <reviewItem>
      <errorID>f2ed1f7a-ee64-407c-bcab-8f711bdde1f7</errorID>
      <errorWord>和</errorWord>
      <group>L1_Grammar</group>
      <groupName>语法问题</groupName>
      <ability>L2_Grammar</ability>
      <abilityName>语法错误</abilityName>
      <candidateList>
        <item>，以及</item>
      </candidateList>
      <explain/>
      <paraID>7D25C251</paraID>
      <start>71</start>
      <end>74</end>
      <status>modified</status>
      <modifiedWord>，以及</modifiedWord>
      <trackRevisions>false</trackRevisions>
    </reviewItem>
    <reviewItem>
      <errorID>1b586711-190e-4e41-90dd-531b4109d9c3</errorID>
      <errorWord>应为为其为</errorWord>
      <group>L1_Grammar</group>
      <groupName>语法问题</groupName>
      <ability>L2_Grammar</ability>
      <abilityName>语法错误</abilityName>
      <candidateList>
        <item>应为</item>
      </candidateList>
      <explain/>
      <paraID>  E3D1FB</paraID>
      <start>6</start>
      <end>8</end>
      <status>modified</status>
      <modifiedWord>应为</modifiedWord>
      <trackRevisions>false</trackRevisions>
    </reviewItem>
    <reviewItem>
      <errorID>82c4a241-b11c-4709-9946-72aee4e9fe42</errorID>
      <errorWord>全部</errorWord>
      <group>L1_Punc</group>
      <groupName>标点问题</groupName>
      <ability>L2_Punc</ability>
      <abilityName>标点符号检查</abilityName>
      <candidateList>
        <item>，全部</item>
      </candidateList>
      <explain/>
      <paraID>2BCA4B9C</paraID>
      <start>11</start>
      <end>14</end>
      <status>modified</status>
      <modifiedWord>，全部</modifiedWord>
      <trackRevisions>false</trackRevisions>
    </reviewItem>
    <reviewItem>
      <errorID>b31700bb-1e9c-4cec-ae44-e675e7ba2d44</errorID>
      <errorWord>少</errorWord>
      <group>L1_Word</group>
      <groupName>字词问题</groupName>
      <ability>L2_Typo</ability>
      <abilityName>字词错误</abilityName>
      <candidateList>
        <item>缺少</item>
      </candidateList>
      <explain/>
      <paraID>61767F27</paraID>
      <start>0</start>
      <end>2</end>
      <status>modified</status>
      <modifiedWord>缺少</modifiedWord>
      <trackRevisions>false</trackRevisions>
    </reviewItem>
    <reviewItem>
      <errorID>5b9d595d-b859-402c-a701-32b9b4779baf</errorID>
      <errorWord>扣</errorWord>
      <group>L1_Punc</group>
      <groupName>标点问题</groupName>
      <ability>L2_Punc</ability>
      <abilityName>标点符号检查</abilityName>
      <candidateList>
        <item>，扣</item>
      </candidateList>
      <explain/>
      <paraID>6B7B69E5</paraID>
      <start>11</start>
      <end>13</end>
      <status>modified</status>
      <modifiedWord>，扣</modifiedWord>
      <trackRevisions>false</trackRevisions>
    </reviewItem>
    <reviewItem>
      <errorID>f77423c7-7f55-451c-b73d-e100c8261d4e</errorID>
      <errorWord>扣</errorWord>
      <group>L1_Punc</group>
      <groupName>标点问题</groupName>
      <ability>L2_Punc</ability>
      <abilityName>标点符号检查</abilityName>
      <candidateList>
        <item>，扣</item>
      </candidateList>
      <explain/>
      <paraID>3593FD62</paraID>
      <start>4</start>
      <end>6</end>
      <status>modified</status>
      <modifiedWord>，扣</modifiedWord>
      <trackRevisions>false</trackRevisions>
    </reviewItem>
    <reviewItem>
      <errorID>af990779-01e5-477c-93df-002bbbfb2212</errorID>
      <errorWord>全部</errorWord>
      <group>L1_Punc</group>
      <groupName>标点问题</groupName>
      <ability>L2_Punc</ability>
      <abilityName>标点符号检查</abilityName>
      <candidateList>
        <item>，全部</item>
      </candidateList>
      <explain/>
      <paraID>7ECD6B4A</paraID>
      <start>4</start>
      <end>7</end>
      <status>modified</status>
      <modifiedWord>，全部</modifiedWord>
      <trackRevisions>false</trackRevisions>
    </reviewItem>
    <reviewItem>
      <errorID>08fc640f-c208-400f-975b-5d09ed9a368c</errorID>
      <errorWord>有关</errorWord>
      <group>L1_Grammar</group>
      <groupName>语法问题</groupName>
      <ability>L2_Grammar</ability>
      <abilityName>语法错误</abilityName>
      <candidateList>
        <item>11. 有关</item>
      </candidateList>
      <explain/>
      <paraID>61FDFB05</paraID>
      <start>3</start>
      <end>5</end>
      <status>ignored</status>
      <modifiedWord/>
      <trackRevisions>false</trackRevisions>
    </reviewItem>
    <reviewItem>
      <errorID>f0c00889-51ac-4f96-9331-43d13aa7c6cc</errorID>
      <errorWord>中没有</errorWord>
      <group>L1_Grammar</group>
      <groupName>语法问题</groupName>
      <ability>L2_Grammar</ability>
      <abilityName>语法错误</abilityName>
      <candidateList>
        <item>中</item>
      </candidateList>
      <explain/>
      <paraID>77A78186</paraID>
      <start>17</start>
      <end>20</end>
      <status>ignored</status>
      <modifiedWord/>
      <trackRevisions>false</trackRevisions>
    </reviewItem>
    <reviewItem>
      <errorID>c8a0e33a-4bc5-43b2-b54b-da582b9ff1c4</errorID>
      <errorWord>。</errorWord>
      <group>L1_Punc</group>
      <groupName>标点问题</groupName>
      <ability>L2_Punc</ability>
      <abilityName>标点符号检查</abilityName>
      <candidateList>
        <item>，</item>
      </candidateList>
      <explain/>
      <paraID> BD537B3</paraID>
      <start>27</start>
      <end>28</end>
      <status>modified</status>
      <modifiedWord>，</modifiedWord>
      <trackRevisions>false</trackRevisions>
    </reviewItem>
    <reviewItem>
      <errorID>9461a4b5-b627-4407-af0b-d484a8791dca</errorID>
      <errorWord>，并</errorWord>
      <group>L1_Word</group>
      <groupName>字词问题</groupName>
      <ability>L2_Typo</ability>
      <abilityName>字词错误</abilityName>
      <candidateList>
        <item>，</item>
      </candidateList>
      <explain/>
      <paraID>3EF9A9E0</paraID>
      <start>44</start>
      <end>45</end>
      <status>modified</status>
      <modifiedWord>，</modifiedWord>
      <trackRevisions>false</trackRevisions>
    </reviewItem>
    <reviewItem>
      <errorID>8796e9df-b53e-474c-bab5-8cd5e033fa05</errorID>
      <errorWord>项目单价</errorWord>
      <group>L1_Grammar</group>
      <groupName>语法问题</groupName>
      <ability>L2_Grammar</ability>
      <abilityName>语法错误</abilityName>
      <candidateList>
        <item>项目</item>
      </candidateList>
      <explain/>
      <paraID> 90C38E6</paraID>
      <start>28</start>
      <end>32</end>
      <status>ignored</status>
      <modifiedWord/>
      <trackRevisions>false</trackRevisions>
    </reviewItem>
    <reviewItem>
      <errorID>42617856-b4ce-479b-af4a-a2c1d64b8819</errorID>
      <errorWord>（</errorWord>
      <group>L1_Punc</group>
      <groupName>标点问题</groupName>
      <ability>L2_Punc</ability>
      <abilityName>标点符号检查</abilityName>
      <candidateList/>
      <explain>同一形式括号套用。</explain>
      <paraID>3F6C8F20</paraID>
      <start>104</start>
      <end>105</end>
      <status>ignored</status>
      <modifiedWord/>
      <trackRevisions>false</trackRevisions>
    </reviewItem>
    <reviewItem>
      <errorID>e48c2a65-e15d-4e66-9a50-5fe4f1e1284b</errorID>
      <errorWord>）</errorWord>
      <group>L1_Punc</group>
      <groupName>标点问题</groupName>
      <ability>L2_Punc</ability>
      <abilityName>标点符号检查</abilityName>
      <candidateList/>
      <explain>同一形式括号套用。</explain>
      <paraID>3F6C8F20</paraID>
      <start>113</start>
      <end>114</end>
      <status>ignored</status>
      <modifiedWord/>
      <trackRevisions>false</trackRevisions>
    </reviewItem>
    <reviewItem>
      <errorID>5ff0345d-f1c5-441b-bbfc-0b0ea9a1a538</errorID>
      <errorWord>，</errorWord>
      <group>L1_Punc</group>
      <groupName>标点问题</groupName>
      <ability>L2_Punc</ability>
      <abilityName>标点符号检查</abilityName>
      <candidateList>
        <item>；</item>
      </candidateList>
      <explain/>
      <paraID>3F6C8F20</paraID>
      <start>168</start>
      <end>169</end>
      <status>modified</status>
      <modifiedWord>；</modifiedWord>
      <trackRevisions>false</trackRevisions>
    </reviewItem>
    <reviewItem>
      <errorID>73cd9412-d644-44e7-b894-f0affe5af964</errorID>
      <errorWord>（</errorWord>
      <group>L1_Punc</group>
      <groupName>标点问题</groupName>
      <ability>L2_Punc</ability>
      <abilityName>标点符号检查</abilityName>
      <candidateList/>
      <explain>同一形式括号套用。</explain>
      <paraID>3F6C8F20</paraID>
      <start>245</start>
      <end>246</end>
      <status>ignored</status>
      <modifiedWord/>
      <trackRevisions>false</trackRevisions>
    </reviewItem>
    <reviewItem>
      <errorID>81049a42-73d8-4bde-a653-e0fed228b87a</errorID>
      <errorWord>）</errorWord>
      <group>L1_Punc</group>
      <groupName>标点问题</groupName>
      <ability>L2_Punc</ability>
      <abilityName>标点符号检查</abilityName>
      <candidateList/>
      <explain>同一形式括号套用。</explain>
      <paraID>3F6C8F20</paraID>
      <start>254</start>
      <end>255</end>
      <status>ignored</status>
      <modifiedWord/>
      <trackRevisions>false</trackRevisions>
    </reviewItem>
    <reviewItem>
      <errorID>f9dd2520-4ae9-43ee-89c8-880c296b03d7</errorID>
      <errorWord>可</errorWord>
      <group>L1_Word</group>
      <groupName>字词问题</groupName>
      <ability>L2_Typo</ability>
      <abilityName>字词错误</abilityName>
      <candidateList>
        <item>也可</item>
      </candidateList>
      <explain/>
      <paraID>3F6C8F20</paraID>
      <start>300</start>
      <end>301</end>
      <status>ignored</status>
      <modifiedWord/>
      <trackRevisions>false</trackRevisions>
    </reviewItem>
    <reviewItem>
      <errorID>bb7422cb-86f4-461c-acd3-8c10f4b955bd</errorID>
      <errorWord>4000元</errorWord>
      <group>L1_Word</group>
      <groupName>字词问题</groupName>
      <ability>L2_Typo</ability>
      <abilityName>字词错误</abilityName>
      <candidateList>
        <item>4000</item>
      </candidateList>
      <explain/>
      <paraID>6F3CC6CE</paraID>
      <start>80</start>
      <end>84</end>
      <status>modified</status>
      <modifiedWord>4000</modifiedWord>
      <trackRevisions>false</trackRevisions>
    </reviewItem>
    <reviewItem>
      <errorID>38c39c01-4c21-44e5-a1ec-a219af8cbe0a</errorID>
      <errorWord>8000元</errorWord>
      <group>L1_Word</group>
      <groupName>字词问题</groupName>
      <ability>L2_Typo</ability>
      <abilityName>字词错误</abilityName>
      <candidateList>
        <item>8000</item>
      </candidateList>
      <explain/>
      <paraID>6F3CC6CE</paraID>
      <start>107</start>
      <end>111</end>
      <status>modified</status>
      <modifiedWord>8000</modifiedWord>
      <trackRevisions>false</trackRevisions>
    </reviewItem>
    <reviewItem>
      <errorID>eb62c53f-f6ab-41e7-a844-2d0e2cfcec42</errorID>
      <errorWord>帐        号</errorWord>
      <group>L1_Grammar</group>
      <groupName>语法问题</groupName>
      <ability>L2_Grammar</ability>
      <abilityName>语法错误</abilityName>
      <candidateList>
        <item>账号</item>
      </candidateList>
      <explain/>
      <paraID>76F9E8FA</paraID>
      <start>35</start>
      <end>37</end>
      <status>modified</status>
      <modifiedWord>账号</modifiedWord>
      <trackRevisions>false</trackRevisions>
    </reviewItem>
    <reviewItem>
      <errorID>5308c5d2-3492-4cd1-a694-fb0f11176c14</errorID>
      <errorWord>由由</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 72F2A97</paraID>
      <start>44</start>
      <end>45</end>
      <status>modified</status>
      <modifiedWord>由</modifiedWord>
      <trackRevisions>false</trackRevisions>
    </reviewItem>
    <reviewItem>
      <errorID>7cbe25fa-dda6-4917-80fe-cdb43ccf87ed</errorID>
      <errorWord>:</errorWord>
      <group>L1_Format</group>
      <groupName>格式问题</groupName>
      <ability>L2_HalfPunc</ability>
      <abilityName>全半角检查</abilityName>
      <candidateList>
        <item>：</item>
      </candidateList>
      <explain>文本全半角错误。</explain>
      <paraID>656F2F07</paraID>
      <start>39</start>
      <end>40</end>
      <status>modified</status>
      <modifiedWord>：</modifiedWord>
      <trackRevisions>false</trackRevisions>
    </reviewItem>
    <reviewItem>
      <errorID>77935f02-e918-4bcc-aff0-e04212ca0489</errorID>
      <errorWord>:</errorWord>
      <group>L1_Format</group>
      <groupName>格式问题</groupName>
      <ability>L2_HalfPunc</ability>
      <abilityName>全半角检查</abilityName>
      <candidateList>
        <item>：</item>
      </candidateList>
      <explain>文本全半角错误。</explain>
      <paraID>30C8765F</paraID>
      <start>7</start>
      <end>8</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B86A12-EF69-43CE-B6F7-5100F6D0DD24}">
  <ds:schemaRefs/>
</ds:datastoreItem>
</file>

<file path=customXml/itemProps3.xml><?xml version="1.0" encoding="utf-8"?>
<ds:datastoreItem xmlns:ds="http://schemas.openxmlformats.org/officeDocument/2006/customXml" ds:itemID="{edf766d8-294e-4b5c-9cc9-c7f26cd17b7c}">
  <ds:schemaRefs/>
</ds:datastoreItem>
</file>

<file path=docProps/app.xml><?xml version="1.0" encoding="utf-8"?>
<Properties xmlns="http://schemas.openxmlformats.org/officeDocument/2006/extended-properties" xmlns:vt="http://schemas.openxmlformats.org/officeDocument/2006/docPropsVTypes">
  <Template>Normal</Template>
  <Company>Microso</Company>
  <Pages>56</Pages>
  <Words>17163</Words>
  <Characters>18000</Characters>
  <Lines>385</Lines>
  <Paragraphs>108</Paragraphs>
  <TotalTime>14</TotalTime>
  <ScaleCrop>false</ScaleCrop>
  <LinksUpToDate>false</LinksUpToDate>
  <CharactersWithSpaces>18131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2025-01-22T09:09:00Z</dcterms:created>
  <dc:creator>时缪</dc:creator>
  <cp:lastModifiedBy>Bay</cp:lastModifiedBy>
  <cp:lastPrinted>2025-01-16T01:59:00Z</cp:lastPrinted>
  <dcterms:modified xsi:type="dcterms:W3CDTF">2026-05-18T04:03:36Z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D3C234DCFB5D4E598ED044A5D7E3A5C8_13</vt:lpwstr>
  </property>
  <property fmtid="{D5CDD505-2E9C-101B-9397-08002B2CF9AE}" pid="4" name="KSOTemplateDocerSaveRecord">
    <vt:lpwstr>eyJoZGlkIjoiNmFhMjJhNGRhNjdkZjNkYWVlOWJiMWQzYTVhZTZmM2UiLCJ1c2VySWQiOiI0MTA4Njc5MTkifQ==</vt:lpwstr>
  </property>
</Properties>
</file>