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 xml:space="preserve"> </w:t>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t xml:space="preserve"> </w:t>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项目名称：常州市第七人民医院污水处理站运维服务项目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项目编号：JSZC-320400-CZZH-G2026-0027</w:t>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采 购 人：常州市第七人民医院</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二零二六年四月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72"/>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72"/>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90"/>
          <w:rFonts w:ascii="Times New Roman" w:hAnsi="Times New Roman"/>
        </w:rPr>
        <w:t xml:space="preserve">第一章   </w:t>
      </w:r>
      <w:r>
        <w:rPr>
          <w:rStyle w:val="990"/>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72"/>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9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72"/>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90"/>
          <w:rFonts w:ascii="Times New Roman" w:hAnsi="Times New Roman"/>
        </w:rPr>
        <w:t xml:space="preserve">第三章   资</w:t>
      </w:r>
      <w:bookmarkStart w:id="1" w:name="_Hlt100754117"/>
      <w:r>
        <w:rPr>
          <w:rStyle w:val="990"/>
          <w:rFonts w:ascii="Times New Roman" w:hAnsi="Times New Roman"/>
        </w:rPr>
        <w:t xml:space="preserve">格</w:t>
      </w:r>
      <w:bookmarkEnd w:id="1"/>
      <w:r>
        <w:rPr>
          <w:rStyle w:val="990"/>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972"/>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90"/>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72"/>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90"/>
          <w:rFonts w:ascii="Times New Roman" w:hAnsi="Times New Roman"/>
        </w:rPr>
        <w:t xml:space="preserve">第五章   采购</w:t>
      </w:r>
      <w:bookmarkStart w:id="2" w:name="_Hlt100754102"/>
      <w:r/>
      <w:bookmarkStart w:id="3" w:name="_Hlt100754103"/>
      <w:r>
        <w:rPr>
          <w:rStyle w:val="990"/>
          <w:rFonts w:ascii="Times New Roman" w:hAnsi="Times New Roman"/>
        </w:rPr>
        <w:t xml:space="preserve">需</w:t>
      </w:r>
      <w:bookmarkEnd w:id="2"/>
      <w:r/>
      <w:bookmarkEnd w:id="3"/>
      <w:r>
        <w:rPr>
          <w:rStyle w:val="990"/>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72"/>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90"/>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972"/>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90"/>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72"/>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51"/>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80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rPr>
              <w:t xml:space="preserve">常州市第七人民医院污水处理站运维服务项目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2026年</w:t>
            </w:r>
            <w:r>
              <w:rPr>
                <w:rFonts w:hint="eastAsia" w:ascii="宋体" w:hAnsi="宋体" w:cs="宋体"/>
                <w:b/>
                <w:sz w:val="24"/>
                <w:lang w:val="en-US" w:eastAsia="zh-CN"/>
              </w:rPr>
              <w:t xml:space="preserve">5</w:t>
            </w:r>
            <w:r>
              <w:rPr>
                <w:rFonts w:hint="eastAsia" w:ascii="宋体" w:hAnsi="宋体" w:cs="宋体"/>
                <w:b/>
                <w:sz w:val="24"/>
              </w:rPr>
              <w:t xml:space="preserve">月</w:t>
            </w:r>
            <w:r>
              <w:rPr>
                <w:rFonts w:hint="eastAsia" w:ascii="宋体" w:hAnsi="宋体" w:cs="宋体"/>
                <w:b/>
                <w:sz w:val="24"/>
                <w:lang w:val="en-US" w:eastAsia="zh-CN"/>
              </w:rPr>
              <w:t xml:space="preserve">9</w:t>
            </w:r>
            <w:r>
              <w:rPr>
                <w:rFonts w:hint="eastAsia" w:ascii="宋体" w:hAnsi="宋体" w:cs="宋体"/>
                <w:b/>
                <w:sz w:val="24"/>
              </w:rPr>
              <w:t xml:space="preserve">日9:30</w:t>
            </w:r>
            <w:r>
              <w:rPr>
                <w:rFonts w:hint="eastAsia" w:ascii="宋体" w:hAnsi="宋体" w:cs="宋体"/>
                <w:b/>
                <w:sz w:val="24"/>
                <w:highlight w:val="yellow"/>
              </w:rPr>
              <w:t xml:space="preserve">更正为2026年5月14日9:30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rPr>
        <w:outlineLvl w:val="2"/>
      </w:pPr>
      <w:r>
        <w:rPr>
          <w:rFonts w:hint="eastAsia" w:ascii="宋体" w:hAnsi="宋体" w:cs="宋体"/>
          <w:b/>
          <w:bCs/>
          <w:sz w:val="24"/>
        </w:rPr>
        <w:t xml:space="preserve">项目名称：</w:t>
      </w:r>
      <w:r>
        <w:rPr>
          <w:rFonts w:hint="eastAsia" w:ascii="宋体" w:hAnsi="宋体" w:cs="宋体"/>
          <w:sz w:val="24"/>
        </w:rPr>
        <w:t xml:space="preserve">常州市第七人民医院污水处理站运维服务项目</w:t>
      </w:r>
      <w:r/>
    </w:p>
    <w:p>
      <w:pPr>
        <w:ind w:firstLine="482"/>
        <w:spacing w:line="360" w:lineRule="auto"/>
        <w:rPr>
          <w:rFonts w:ascii="宋体" w:hAnsi="宋体" w:cs="宋体"/>
          <w:color w:val="000000"/>
          <w:sz w:val="24"/>
        </w:rPr>
      </w:pPr>
      <w:r>
        <w:rPr>
          <w:rFonts w:hint="eastAsia" w:ascii="宋体" w:hAnsi="宋体" w:cs="宋体"/>
          <w:b/>
          <w:bCs/>
          <w:sz w:val="24"/>
        </w:rPr>
        <w:t xml:space="preserve">项目编号</w:t>
      </w:r>
      <w:r>
        <w:rPr>
          <w:rFonts w:hint="eastAsia" w:ascii="宋体" w:hAnsi="宋体" w:cs="宋体"/>
          <w:sz w:val="24"/>
        </w:rPr>
        <w:t xml:space="preserve">：JSZC-320400-CZZH-G2026-0027</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cs="宋体"/>
          <w:sz w:val="24"/>
          <w:highlight w:val="none"/>
        </w:rPr>
        <w:t xml:space="preserve">100.2万元/三年（33.4万元/年）</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最高限价：</w:t>
      </w:r>
      <w:r>
        <w:rPr>
          <w:rFonts w:hint="eastAsia" w:ascii="宋体" w:hAnsi="宋体" w:cs="宋体"/>
          <w:sz w:val="24"/>
          <w:highlight w:val="none"/>
        </w:rPr>
        <w:t xml:space="preserve">100.2万元/三年（33.4万元/年）</w:t>
      </w:r>
      <w:r/>
    </w:p>
    <w:p>
      <w:pPr>
        <w:ind w:firstLine="482"/>
        <w:spacing w:line="360" w:lineRule="auto"/>
        <w:rPr>
          <w:rFonts w:ascii="宋体" w:hAnsi="宋体" w:cs="宋体"/>
          <w:sz w:val="24"/>
        </w:rPr>
        <w:outlineLvl w:val="2"/>
      </w:pPr>
      <w:r>
        <w:rPr>
          <w:rFonts w:hint="eastAsia" w:ascii="宋体" w:hAnsi="宋体" w:cs="宋体"/>
          <w:b/>
          <w:bCs/>
          <w:sz w:val="24"/>
        </w:rPr>
        <w:t xml:space="preserve">采购需求：</w:t>
      </w:r>
      <w:r>
        <w:rPr>
          <w:rFonts w:hint="eastAsia" w:ascii="宋体" w:hAnsi="宋体" w:cs="宋体"/>
          <w:sz w:val="24"/>
        </w:rPr>
        <w:t xml:space="preserve">常州市第七人民医院污水处理站运维服务项目</w:t>
      </w:r>
      <w:r>
        <w:rPr>
          <w:rFonts w:ascii="宋体" w:hAnsi="宋体" w:cs="宋体"/>
          <w:sz w:val="24"/>
        </w:rPr>
        <w:t xml:space="preserve">，</w:t>
      </w:r>
      <w:r>
        <w:rPr>
          <w:rFonts w:hint="eastAsia" w:ascii="宋体" w:hAnsi="宋体" w:cs="宋体"/>
          <w:sz w:val="24"/>
        </w:rPr>
        <w:t xml:space="preserve">具体详见采购需求。</w:t>
      </w:r>
      <w:r/>
    </w:p>
    <w:p>
      <w:pPr>
        <w:ind w:firstLine="482"/>
        <w:spacing w:line="360" w:lineRule="auto"/>
        <w:rPr>
          <w:rFonts w:ascii="宋体" w:hAnsi="宋体" w:cs="宋体"/>
          <w:color w:val="ff0000"/>
          <w:sz w:val="24"/>
        </w:rPr>
      </w:pPr>
      <w:r>
        <w:rPr>
          <w:rFonts w:hint="eastAsia" w:ascii="宋体" w:hAnsi="宋体" w:cs="宋体"/>
          <w:b/>
          <w:bCs/>
          <w:sz w:val="24"/>
        </w:rPr>
        <w:t xml:space="preserve">合同履行期限：</w:t>
      </w:r>
      <w:r>
        <w:rPr>
          <w:rFonts w:hint="eastAsia" w:ascii="宋体" w:hAnsi="宋体" w:cs="宋体"/>
          <w:sz w:val="24"/>
          <w:highlight w:val="none"/>
        </w:rPr>
        <w:t xml:space="preserve">三年。合同一年一签。前一年合同期满，经采购人考核合格后方可续签下一年合同。</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sz w:val="24"/>
          <w:highlight w:val="none"/>
        </w:rPr>
      </w:pPr>
      <w:r>
        <w:rPr>
          <w:rFonts w:ascii="宋体" w:hAnsi="宋体"/>
          <w:sz w:val="24"/>
          <w:highlight w:val="none"/>
        </w:rPr>
        <w:t xml:space="preserve">本项目</w:t>
      </w:r>
      <w:r>
        <w:rPr>
          <w:rFonts w:hint="eastAsia" w:ascii="宋体" w:hAnsi="宋体"/>
          <w:sz w:val="24"/>
          <w:highlight w:val="none"/>
        </w:rPr>
        <w:t xml:space="preserve">不</w:t>
      </w:r>
      <w:r>
        <w:rPr>
          <w:rFonts w:ascii="宋体" w:hAnsi="宋体"/>
          <w:sz w:val="24"/>
          <w:highlight w:val="none"/>
        </w:rPr>
        <w:t xml:space="preserve">专门面向中小企业采购。</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0"/>
        <w:spacing w:line="360" w:lineRule="auto"/>
        <w:rPr>
          <w:sz w:val="24"/>
        </w:rPr>
      </w:pPr>
      <w:r>
        <w:rPr>
          <w:rFonts w:hint="eastAsia"/>
          <w:sz w:val="24"/>
        </w:rPr>
        <w:t xml:space="preserve">3.6本项目是否接受进口产品投标：否； </w:t>
      </w:r>
      <w:r/>
    </w:p>
    <w:p>
      <w:pPr>
        <w:ind w:firstLine="480"/>
        <w:spacing w:line="360" w:lineRule="auto"/>
        <w:rPr>
          <w:sz w:val="24"/>
        </w:rPr>
      </w:pPr>
      <w:r>
        <w:rPr>
          <w:rFonts w:hint="eastAsia"/>
          <w:sz w:val="24"/>
        </w:rPr>
        <w:t xml:space="preserve">3.7 其他特定资格条件：无</w:t>
      </w:r>
      <w:r/>
    </w:p>
    <w:p>
      <w:pPr>
        <w:ind w:firstLine="482"/>
        <w:spacing w:line="360" w:lineRule="auto"/>
        <w:rPr>
          <w:rFonts w:ascii="宋体" w:hAnsi="宋体" w:cs="宋体"/>
          <w:bCs/>
          <w:sz w:val="24"/>
        </w:rPr>
        <w:outlineLvl w:val="1"/>
      </w:pPr>
      <w:r/>
      <w:bookmarkStart w:id="4" w:name="_Toc35393623"/>
      <w:r/>
      <w:bookmarkStart w:id="5" w:name="_Toc35393792"/>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2026年</w:t>
      </w:r>
      <w:r>
        <w:rPr>
          <w:rFonts w:hint="eastAsia" w:ascii="宋体" w:hAnsi="宋体" w:cs="宋体"/>
          <w:sz w:val="24"/>
          <w:lang w:val="en-US" w:eastAsia="zh-CN"/>
        </w:rPr>
        <w:t xml:space="preserve">5</w:t>
      </w:r>
      <w:r>
        <w:rPr>
          <w:rFonts w:hint="eastAsia" w:ascii="宋体" w:hAnsi="宋体" w:cs="宋体"/>
          <w:sz w:val="24"/>
        </w:rPr>
        <w:t xml:space="preserve">月</w:t>
      </w:r>
      <w:r>
        <w:rPr>
          <w:rFonts w:hint="eastAsia" w:ascii="宋体" w:hAnsi="宋体" w:cs="宋体"/>
          <w:sz w:val="24"/>
          <w:lang w:val="en-US" w:eastAsia="zh-CN"/>
        </w:rPr>
        <w:t xml:space="preserve">9</w:t>
      </w:r>
      <w:r>
        <w:rPr>
          <w:rFonts w:hint="eastAsia" w:ascii="宋体" w:hAnsi="宋体" w:cs="宋体"/>
          <w:sz w:val="24"/>
        </w:rPr>
        <w:t xml:space="preserve">日9点30分</w:t>
      </w:r>
      <w:r>
        <w:rPr>
          <w:rFonts w:hint="eastAsia" w:ascii="宋体" w:hAnsi="宋体" w:cs="宋体"/>
          <w:b/>
          <w:sz w:val="24"/>
          <w:highlight w:val="yellow"/>
        </w:rPr>
        <w:t xml:space="preserve">更正为2026年5月14日</w:t>
      </w:r>
      <w:r>
        <w:rPr>
          <w:rFonts w:hint="eastAsia" w:ascii="宋体" w:hAnsi="宋体" w:cs="宋体"/>
          <w:b/>
          <w:bCs/>
          <w:sz w:val="24"/>
          <w:highlight w:val="yellow"/>
        </w:rPr>
        <w:t xml:space="preserve">9点30分</w:t>
      </w:r>
      <w:r>
        <w:rPr>
          <w:rFonts w:hint="eastAsia" w:ascii="宋体" w:hAnsi="宋体" w:cs="宋体"/>
          <w:sz w:val="24"/>
        </w:rPr>
        <w:t xml:space="preserve">（北京时间）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2026年</w:t>
      </w:r>
      <w:r>
        <w:rPr>
          <w:rFonts w:hint="eastAsia" w:ascii="宋体" w:hAnsi="宋体" w:cs="宋体"/>
          <w:sz w:val="24"/>
          <w:lang w:val="en-US" w:eastAsia="zh-CN"/>
        </w:rPr>
        <w:t xml:space="preserve">5</w:t>
      </w:r>
      <w:r>
        <w:rPr>
          <w:rFonts w:hint="eastAsia" w:ascii="宋体" w:hAnsi="宋体" w:cs="宋体"/>
          <w:sz w:val="24"/>
        </w:rPr>
        <w:t xml:space="preserve">月</w:t>
      </w:r>
      <w:r>
        <w:rPr>
          <w:rFonts w:hint="eastAsia" w:ascii="宋体" w:hAnsi="宋体" w:cs="宋体"/>
          <w:sz w:val="24"/>
          <w:lang w:val="en-US" w:eastAsia="zh-CN"/>
        </w:rPr>
        <w:t xml:space="preserve">9</w:t>
      </w:r>
      <w:r>
        <w:rPr>
          <w:rFonts w:hint="eastAsia" w:ascii="宋体" w:hAnsi="宋体" w:cs="宋体"/>
          <w:sz w:val="24"/>
        </w:rPr>
        <w:t xml:space="preserve">日9点30分</w:t>
      </w:r>
      <w:r>
        <w:rPr>
          <w:rFonts w:hint="eastAsia" w:ascii="宋体" w:hAnsi="宋体" w:cs="宋体"/>
          <w:b/>
          <w:sz w:val="24"/>
          <w:highlight w:val="yellow"/>
        </w:rPr>
        <w:t xml:space="preserve">更正为2026年5月14日</w:t>
      </w:r>
      <w:r>
        <w:rPr>
          <w:rFonts w:hint="eastAsia" w:ascii="宋体" w:hAnsi="宋体" w:cs="宋体"/>
          <w:b/>
          <w:bCs/>
          <w:sz w:val="24"/>
          <w:highlight w:val="yellow"/>
        </w:rPr>
        <w:t xml:space="preserve">9点30分</w:t>
      </w:r>
      <w:r>
        <w:rPr>
          <w:rFonts w:hint="eastAsia" w:ascii="宋体" w:hAnsi="宋体" w:cs="宋体"/>
          <w:sz w:val="24"/>
        </w:rPr>
        <w:t xml:space="preserve">（北京时间）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942"/>
        <w:ind w:firstLine="420"/>
        <w:jc w:val="left"/>
        <w:spacing w:before="0" w:line="360" w:lineRule="auto"/>
        <w:rPr>
          <w:rFonts w:ascii="宋体" w:hAnsi="宋体" w:eastAsia="宋体" w:cs="宋体"/>
          <w:bCs/>
          <w:sz w:val="24"/>
          <w:szCs w:val="24"/>
        </w:rPr>
      </w:pPr>
      <w:r/>
      <w:bookmarkStart w:id="9" w:name="_Toc28359084"/>
      <w:r/>
      <w:bookmarkStart w:id="10" w:name="_Toc28359007"/>
      <w:r/>
      <w:bookmarkStart w:id="11" w:name="_Toc35393625"/>
      <w:r/>
      <w:bookmarkStart w:id="12" w:name="_Toc35393794"/>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93"/>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pStyle w:val="993"/>
        <w:ind w:firstLine="480"/>
        <w:spacing w:line="360" w:lineRule="auto"/>
        <w:rPr>
          <w:rFonts w:ascii="宋体" w:hAnsi="宋体" w:cs="宋体"/>
        </w:rPr>
      </w:pPr>
      <w:r>
        <w:rPr>
          <w:rFonts w:hint="eastAsia" w:ascii="宋体" w:hAnsi="宋体" w:cs="宋体"/>
        </w:rPr>
        <w:t xml:space="preserve">注：供应商办理CA电子签章的名称应与“苏采云”政府采购一体化平台的供应商名称一致。认真核实电子化采购流程要求。</w:t>
      </w:r>
      <w:r/>
    </w:p>
    <w:p>
      <w:pPr>
        <w:pStyle w:val="993"/>
        <w:ind w:firstLine="480"/>
        <w:spacing w:line="360" w:lineRule="auto"/>
        <w:rPr>
          <w:rFonts w:ascii="宋体" w:hAnsi="宋体" w:cs="宋体"/>
        </w:rPr>
      </w:pPr>
      <w:r>
        <w:rPr>
          <w:rFonts w:hint="eastAsia" w:ascii="宋体" w:hAnsi="宋体" w:cs="宋体"/>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pPr>
      <w:r>
        <w:rPr>
          <w:rFonts w:hint="eastAsia" w:ascii="宋体" w:hAnsi="宋体" w:cs="宋体"/>
          <w:sz w:val="24"/>
        </w:rPr>
        <w:t xml:space="preserve">1.采购人信息</w:t>
      </w:r>
      <w:r/>
    </w:p>
    <w:p>
      <w:pPr>
        <w:pStyle w:val="1214"/>
        <w:ind w:firstLine="480"/>
        <w:spacing w:before="20" w:beforeAutospacing="0" w:after="20" w:afterAutospacing="0" w:line="360" w:lineRule="auto"/>
        <w:rPr>
          <w:rFonts w:ascii="宋体" w:hAnsi="宋体" w:eastAsia="宋体" w:cs="宋体"/>
        </w:rPr>
        <w:pBdr>
          <w:left w:val="none" w:color="000000" w:sz="0" w:space="0"/>
        </w:pBdr>
      </w:pPr>
      <w:r/>
      <w:bookmarkStart w:id="13" w:name="_Toc28359086"/>
      <w:r/>
      <w:bookmarkStart w:id="14" w:name="_Toc28359009"/>
      <w:r>
        <w:rPr>
          <w:rFonts w:hint="eastAsia" w:ascii="宋体" w:hAnsi="宋体" w:eastAsia="宋体" w:cs="宋体"/>
        </w:rPr>
        <w:t xml:space="preserve">名    称：常州市第七人民医院</w:t>
      </w:r>
      <w:r/>
    </w:p>
    <w:p>
      <w:pPr>
        <w:pStyle w:val="1214"/>
        <w:ind w:firstLine="480"/>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地    址：常州市武进区延陵东路288号</w:t>
      </w:r>
      <w:r/>
    </w:p>
    <w:p>
      <w:pPr>
        <w:pStyle w:val="1214"/>
        <w:ind w:firstLine="480"/>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联系人：陈科</w:t>
      </w:r>
      <w:r/>
    </w:p>
    <w:p>
      <w:pPr>
        <w:pStyle w:val="1214"/>
        <w:ind w:firstLine="480"/>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联系方式：</w:t>
      </w:r>
      <w:r>
        <w:rPr>
          <w:rFonts w:hint="eastAsia" w:ascii="宋体" w:hAnsi="宋体" w:eastAsia="宋体" w:cs="宋体"/>
          <w:lang w:val="zh-CN"/>
        </w:rPr>
        <w:t xml:space="preserve">0519-69806332</w:t>
      </w:r>
      <w:bookmarkEnd w:id="13"/>
      <w:r/>
      <w:bookmarkEnd w:id="14"/>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83"/>
        <w:ind w:left="0" w:firstLine="0"/>
        <w:rPr>
          <w:szCs w:val="24"/>
        </w:rPr>
      </w:pPr>
      <w:r>
        <w:rPr>
          <w:szCs w:val="24"/>
        </w:rPr>
        <w:br w:type="page" w:clear="all"/>
      </w:r>
      <w:r/>
    </w:p>
    <w:p>
      <w:pPr>
        <w:ind w:firstLine="723"/>
        <w:jc w:val="center"/>
        <w:spacing w:line="360" w:lineRule="auto"/>
        <w:rPr>
          <w:b/>
          <w:sz w:val="32"/>
          <w:szCs w:val="32"/>
        </w:rPr>
        <w:outlineLvl w:val="0"/>
      </w:pPr>
      <w:r/>
      <w:bookmarkStart w:id="15" w:name="_Toc353873938"/>
      <w:r/>
      <w:bookmarkStart w:id="16" w:name="_Toc150774783"/>
      <w:r/>
      <w:bookmarkStart w:id="17" w:name="_Toc127151777"/>
      <w:r/>
      <w:bookmarkStart w:id="18" w:name="_Toc512937850"/>
      <w:r/>
      <w:bookmarkStart w:id="19" w:name="_Toc226965856"/>
      <w:r/>
      <w:bookmarkStart w:id="20" w:name="_Toc305158854"/>
      <w:r/>
      <w:bookmarkStart w:id="21" w:name="_Toc353825548"/>
      <w:r/>
      <w:bookmarkStart w:id="22" w:name="_Toc265228423"/>
      <w:r/>
      <w:bookmarkStart w:id="23" w:name="_Toc127161488"/>
      <w:r/>
      <w:bookmarkStart w:id="24" w:name="_Toc99301420"/>
      <w:r/>
      <w:bookmarkStart w:id="25" w:name="_Toc195842950"/>
      <w:r/>
      <w:bookmarkStart w:id="26" w:name="_Toc305158928"/>
      <w:r/>
      <w:bookmarkStart w:id="27" w:name="_Toc264969275"/>
      <w:r>
        <w:rPr>
          <w:b/>
          <w:sz w:val="36"/>
          <w:szCs w:val="36"/>
        </w:rPr>
        <w:t xml:space="preserve">第二章   投标人须知</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942"/>
        <w:ind w:firstLine="560"/>
        <w:spacing w:before="0" w:line="360" w:lineRule="auto"/>
        <w:tabs>
          <w:tab w:val="center" w:pos="4592" w:leader="none"/>
          <w:tab w:val="left" w:pos="7860" w:leader="none"/>
        </w:tabs>
        <w:rPr>
          <w:rFonts w:ascii="Times New Roman" w:hAnsi="Times New Roman" w:eastAsia="宋体"/>
          <w:sz w:val="28"/>
        </w:rPr>
      </w:pPr>
      <w:r/>
      <w:bookmarkStart w:id="28" w:name="_Toc127151519"/>
      <w:r/>
      <w:bookmarkStart w:id="29" w:name="_Toc226965792"/>
      <w:r/>
      <w:bookmarkStart w:id="30" w:name="_Toc164229360"/>
      <w:r/>
      <w:bookmarkStart w:id="31" w:name="_Toc164351613"/>
      <w:r/>
      <w:bookmarkStart w:id="32" w:name="_Toc195842884"/>
      <w:r/>
      <w:bookmarkStart w:id="33" w:name="_Toc520356144"/>
      <w:r/>
      <w:bookmarkStart w:id="34" w:name="_Toc226337215"/>
      <w:r/>
      <w:bookmarkStart w:id="35" w:name="_Toc226965709"/>
      <w:r/>
      <w:bookmarkStart w:id="36" w:name="_Toc150774619"/>
      <w:r/>
      <w:bookmarkStart w:id="37" w:name="_Toc164608633"/>
      <w:r/>
      <w:bookmarkStart w:id="38" w:name="_Toc151193617"/>
      <w:r/>
      <w:bookmarkStart w:id="39" w:name="_Toc149720812"/>
      <w:r/>
      <w:bookmarkStart w:id="40" w:name="_Toc142311021"/>
      <w:r/>
      <w:bookmarkStart w:id="41" w:name="_Toc226309763"/>
      <w:r/>
      <w:bookmarkStart w:id="42" w:name="_Toc151193689"/>
      <w:r/>
      <w:bookmarkStart w:id="43" w:name="_Toc151193907"/>
      <w:r/>
      <w:bookmarkStart w:id="44" w:name="_Toc127151720"/>
      <w:r/>
      <w:bookmarkStart w:id="45" w:name="_Toc127161433"/>
      <w:r/>
      <w:bookmarkStart w:id="46" w:name="_Toc151190146"/>
      <w:r/>
      <w:bookmarkStart w:id="47" w:name="_Toc164608788"/>
      <w:r/>
      <w:bookmarkStart w:id="48" w:name="_Toc150774724"/>
      <w:r/>
      <w:bookmarkStart w:id="49" w:name="_Toc150509270"/>
      <w:r/>
      <w:bookmarkStart w:id="50" w:name="_Toc151193833"/>
      <w:r/>
      <w:bookmarkStart w:id="51" w:name="_Toc150480757"/>
      <w:r/>
      <w:bookmarkStart w:id="52" w:name="_Toc164229214"/>
      <w:r/>
      <w:bookmarkStart w:id="53" w:name="_Toc151193761"/>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51"/>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服务</w:t>
            </w:r>
            <w:r/>
          </w:p>
        </w:tc>
      </w:tr>
      <w:tr>
        <w:trPr>
          <w:jc w:val="center"/>
          <w:trHeight w:val="90"/>
        </w:trPr>
        <w:tc>
          <w:tcPr>
            <w:tcW w:w="597" w:type="pct"/>
            <w:vAlign w:val="center"/>
            <w:textDirection w:val="lrTb"/>
            <w:noWrap w:val="false"/>
          </w:tcPr>
          <w:p>
            <w:pPr>
              <w:pStyle w:val="965"/>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965"/>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965"/>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65"/>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sz w:val="24"/>
              </w:rPr>
            </w:pPr>
            <w:r>
              <w:rPr>
                <w:rFonts w:hint="eastAsia"/>
                <w:sz w:val="24"/>
              </w:rPr>
              <w:t xml:space="preserve">□</w:t>
            </w:r>
            <w:r>
              <w:rPr>
                <w:sz w:val="24"/>
              </w:rPr>
              <w:t xml:space="preserve">本项目为非单一产品采购项目，核心产品为：</w:t>
            </w:r>
            <w:r/>
          </w:p>
        </w:tc>
      </w:tr>
      <w:tr>
        <w:trPr>
          <w:jc w:val="center"/>
          <w:trHeight w:val="20"/>
        </w:trPr>
        <w:tc>
          <w:tcPr>
            <w:tcW w:w="597" w:type="pct"/>
            <w:vAlign w:val="center"/>
            <w:vMerge w:val="restart"/>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65"/>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65"/>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其他未列明行业。从业人员300人以下的为中小微型企业。其中，从业人员100人及以上的为中型企业；从业人员10人及以上的为小型企业；从业人员10人以下的为微型企业。</w:t>
            </w:r>
            <w:r/>
          </w:p>
        </w:tc>
      </w:tr>
      <w:tr>
        <w:trPr>
          <w:jc w:val="center"/>
          <w:trHeight w:val="524"/>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rPr>
          <w:rFonts w:ascii="宋体" w:hAnsi="宋体" w:cs="宋体"/>
        </w:rPr>
      </w:pPr>
      <w:r>
        <w:rPr>
          <w:rFonts w:hint="eastAsia" w:ascii="宋体" w:hAnsi="宋体" w:cs="宋体"/>
        </w:rPr>
      </w:r>
      <w:r/>
    </w:p>
    <w:tbl>
      <w:tblPr>
        <w:tblStyle w:val="951"/>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ascii="宋体" w:hAnsi="宋体" w:cs="宋体"/>
                <w:sz w:val="24"/>
              </w:rPr>
            </w:pPr>
            <w:r>
              <w:rPr>
                <w:rFonts w:hint="eastAsia" w:ascii="宋体" w:hAnsi="宋体" w:cs="宋体"/>
                <w:sz w:val="24"/>
              </w:rPr>
              <w:t xml:space="preserve">名称：常州市第七人民医院</w:t>
            </w:r>
            <w:r/>
          </w:p>
          <w:p>
            <w:pPr>
              <w:jc w:val="left"/>
              <w:spacing w:line="360" w:lineRule="exact"/>
              <w:rPr>
                <w:rFonts w:ascii="宋体" w:hAnsi="宋体" w:cs="宋体"/>
                <w:sz w:val="24"/>
              </w:rPr>
            </w:pPr>
            <w:r>
              <w:rPr>
                <w:rFonts w:hint="eastAsia" w:ascii="宋体" w:hAnsi="宋体" w:cs="宋体"/>
                <w:sz w:val="24"/>
              </w:rPr>
              <w:t xml:space="preserve">地址：常州市武进区延陵东路288号</w:t>
            </w:r>
            <w:r/>
          </w:p>
          <w:p>
            <w:pPr>
              <w:jc w:val="left"/>
              <w:spacing w:line="360" w:lineRule="exact"/>
              <w:rPr>
                <w:rFonts w:ascii="宋体" w:hAnsi="宋体" w:cs="宋体"/>
                <w:sz w:val="24"/>
              </w:rPr>
            </w:pPr>
            <w:r>
              <w:rPr>
                <w:rFonts w:hint="eastAsia" w:ascii="宋体" w:hAnsi="宋体" w:cs="宋体"/>
                <w:sz w:val="24"/>
              </w:rPr>
              <w:t xml:space="preserve">联系人：陈科</w:t>
            </w:r>
            <w:r/>
          </w:p>
          <w:p>
            <w:pPr>
              <w:pStyle w:val="1214"/>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联系方式：</w:t>
            </w:r>
            <w:r>
              <w:rPr>
                <w:rFonts w:ascii="宋体" w:hAnsi="宋体" w:cs="宋体"/>
                <w:szCs w:val="21"/>
                <w:lang w:val="zh-CN"/>
              </w:rPr>
              <w:t xml:space="preserve">0519-69806332</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65"/>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951"/>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365"/>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2"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firstLine="1365"/>
                    <w:rPr>
                      <w:rFonts w:ascii="宋体" w:hAnsi="宋体" w:cs="宋体"/>
                      <w:bCs/>
                      <w:szCs w:val="21"/>
                    </w:rPr>
                  </w:pPr>
                  <w:r>
                    <w:rPr>
                      <w:rFonts w:ascii="宋体" w:hAnsi="宋体" w:cs="宋体"/>
                      <w:bCs/>
                      <w:szCs w:val="21"/>
                    </w:rPr>
                  </w:r>
                  <w:r/>
                </w:p>
                <w:p>
                  <w:pPr>
                    <w:ind w:firstLine="630"/>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firstLine="1365"/>
                    <w:rPr>
                      <w:rFonts w:ascii="宋体" w:hAnsi="宋体" w:cs="宋体"/>
                      <w:bCs/>
                      <w:szCs w:val="21"/>
                    </w:rPr>
                  </w:pPr>
                  <w:r>
                    <w:rPr>
                      <w:rFonts w:ascii="宋体" w:hAnsi="宋体" w:cs="宋体"/>
                      <w:bCs/>
                      <w:szCs w:val="21"/>
                    </w:rPr>
                  </w:r>
                  <w:r/>
                </w:p>
                <w:p>
                  <w:pPr>
                    <w:ind w:firstLine="1365"/>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中标金额（万元）</w:t>
                  </w:r>
                  <w:r/>
                </w:p>
              </w:tc>
              <w:tc>
                <w:tcPr>
                  <w:tcW w:w="188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服务类</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100（含，下同）以下</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100-500</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0.8%</w:t>
                  </w:r>
                  <w:r/>
                </w:p>
              </w:tc>
            </w:tr>
            <w:tr>
              <w:trPr/>
              <w:tc>
                <w:tcPr>
                  <w:tcW w:w="2744" w:type="dxa"/>
                  <w:vAlign w:val="center"/>
                  <w:textDirection w:val="lrTb"/>
                  <w:noWrap w:val="false"/>
                </w:tcPr>
                <w:p>
                  <w:pPr>
                    <w:jc w:val="center"/>
                    <w:rPr>
                      <w:rFonts w:ascii="宋体" w:hAnsi="宋体" w:cs="宋体"/>
                      <w:szCs w:val="21"/>
                    </w:rPr>
                  </w:pPr>
                  <w:r>
                    <w:rPr>
                      <w:rFonts w:hint="eastAsia" w:ascii="宋体" w:hAnsi="宋体"/>
                      <w:szCs w:val="21"/>
                    </w:rPr>
                    <w:t xml:space="preserve">500—1000</w:t>
                  </w:r>
                  <w:r/>
                </w:p>
              </w:tc>
              <w:tc>
                <w:tcPr>
                  <w:tcW w:w="1883" w:type="dxa"/>
                  <w:vAlign w:val="center"/>
                  <w:textDirection w:val="lrTb"/>
                  <w:noWrap w:val="false"/>
                </w:tcPr>
                <w:p>
                  <w:pPr>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jc w:val="center"/>
                    <w:rPr>
                      <w:rFonts w:ascii="宋体" w:hAnsi="宋体"/>
                      <w:szCs w:val="21"/>
                    </w:rPr>
                  </w:pPr>
                  <w:r>
                    <w:rPr>
                      <w:rFonts w:hint="eastAsia" w:ascii="宋体" w:hAnsi="宋体"/>
                      <w:szCs w:val="21"/>
                    </w:rPr>
                    <w:t xml:space="preserve">1000-5000</w:t>
                  </w:r>
                  <w:r/>
                </w:p>
              </w:tc>
              <w:tc>
                <w:tcPr>
                  <w:tcW w:w="1883" w:type="dxa"/>
                  <w:vAlign w:val="center"/>
                  <w:textDirection w:val="lrTb"/>
                  <w:noWrap w:val="false"/>
                </w:tcPr>
                <w:p>
                  <w:pPr>
                    <w:jc w:val="center"/>
                    <w:rPr>
                      <w:rFonts w:ascii="宋体" w:hAnsi="宋体"/>
                      <w:szCs w:val="21"/>
                    </w:rPr>
                  </w:pPr>
                  <w:r>
                    <w:rPr>
                      <w:rFonts w:hint="eastAsia" w:ascii="宋体" w:hAnsi="宋体"/>
                      <w:szCs w:val="21"/>
                    </w:rPr>
                    <w:t xml:space="preserve">0.25%</w:t>
                  </w:r>
                  <w:r/>
                </w:p>
              </w:tc>
            </w:tr>
            <w:tr>
              <w:trPr/>
              <w:tc>
                <w:tcPr>
                  <w:tcW w:w="2744"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W w:w="188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（3）代理服务收费按差额定率累进法计算*75%。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rPr>
          <w:b/>
          <w:sz w:val="28"/>
          <w:szCs w:val="28"/>
        </w:rPr>
      </w:pPr>
      <w:r/>
      <w:bookmarkStart w:id="54" w:name="_Toc353825542"/>
      <w:r/>
      <w:bookmarkStart w:id="55" w:name="_Toc353873932"/>
      <w:r/>
      <w:bookmarkStart w:id="56" w:name="_Toc265228355"/>
      <w:r/>
      <w:bookmarkStart w:id="57" w:name="_Toc264969207"/>
      <w:r/>
      <w:bookmarkStart w:id="58" w:name="_Toc305158859"/>
      <w:r/>
      <w:bookmarkStart w:id="59" w:name="_Toc150774722"/>
      <w:r/>
      <w:bookmarkStart w:id="60" w:name="_Toc226337213"/>
      <w:r/>
      <w:bookmarkStart w:id="61" w:name="_Toc353873662"/>
      <w:r/>
      <w:bookmarkStart w:id="62" w:name="_Toc127151517"/>
      <w:r/>
      <w:bookmarkStart w:id="63" w:name="_Toc150480755"/>
      <w:r/>
      <w:bookmarkStart w:id="64" w:name="_Toc305158785"/>
      <w:r/>
      <w:bookmarkStart w:id="65" w:name="_Toc142311019"/>
      <w:r/>
      <w:bookmarkStart w:id="66" w:name="_Toc226965790"/>
      <w:r/>
      <w:bookmarkStart w:id="67" w:name="_Toc195842882"/>
      <w:r>
        <w:rPr>
          <w:b/>
          <w:sz w:val="28"/>
          <w:szCs w:val="28"/>
        </w:rPr>
        <w:br w:type="page" w:clear="all"/>
      </w:r>
      <w:r/>
    </w:p>
    <w:p>
      <w:pPr>
        <w:ind w:firstLine="562"/>
        <w:jc w:val="center"/>
        <w:spacing w:before="240" w:after="240"/>
        <w:rPr>
          <w:b/>
          <w:sz w:val="28"/>
          <w:szCs w:val="28"/>
        </w:rPr>
      </w:pPr>
      <w:r>
        <w:rPr>
          <w:b/>
          <w:sz w:val="28"/>
          <w:szCs w:val="28"/>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942"/>
        <w:ind w:firstLine="560"/>
        <w:jc w:val="left"/>
        <w:spacing w:before="0" w:line="360" w:lineRule="auto"/>
        <w:tabs>
          <w:tab w:val="center" w:pos="4592" w:leader="none"/>
          <w:tab w:val="left" w:pos="7860" w:leader="none"/>
        </w:tabs>
        <w:rPr>
          <w:rFonts w:ascii="Times New Roman" w:hAnsi="Times New Roman" w:eastAsia="宋体"/>
          <w:sz w:val="28"/>
        </w:rPr>
      </w:pPr>
      <w:r/>
      <w:bookmarkStart w:id="68" w:name="_Toc520356143"/>
      <w:r/>
      <w:bookmarkStart w:id="69" w:name="_Toc127151518"/>
      <w:r>
        <w:rPr>
          <w:rFonts w:ascii="Times New Roman" w:hAnsi="Times New Roman" w:eastAsia="宋体"/>
          <w:sz w:val="28"/>
        </w:rPr>
        <w:tab/>
      </w:r>
      <w:bookmarkStart w:id="70" w:name="_Toc142311020"/>
      <w:r/>
      <w:bookmarkStart w:id="71" w:name="_Toc195842883"/>
      <w:r/>
      <w:bookmarkStart w:id="72" w:name="_Toc226309762"/>
      <w:r/>
      <w:bookmarkStart w:id="73" w:name="_Toc264969208"/>
      <w:r/>
      <w:bookmarkStart w:id="74" w:name="_Toc151193906"/>
      <w:r/>
      <w:bookmarkStart w:id="75" w:name="_Toc150774618"/>
      <w:r/>
      <w:bookmarkStart w:id="76" w:name="_Toc226965708"/>
      <w:r/>
      <w:bookmarkStart w:id="77" w:name="_Toc151190145"/>
      <w:r/>
      <w:bookmarkStart w:id="78" w:name="_Toc150480756"/>
      <w:r/>
      <w:bookmarkStart w:id="79" w:name="_Toc226965791"/>
      <w:r/>
      <w:bookmarkStart w:id="80" w:name="_Toc226337214"/>
      <w:r/>
      <w:bookmarkStart w:id="81" w:name="_Toc151193832"/>
      <w:r/>
      <w:bookmarkStart w:id="82" w:name="_Toc305158786"/>
      <w:r/>
      <w:bookmarkStart w:id="83" w:name="_Toc150774723"/>
      <w:r/>
      <w:bookmarkStart w:id="84" w:name="_Toc151193760"/>
      <w:r/>
      <w:bookmarkStart w:id="85" w:name="_Toc151193688"/>
      <w:r/>
      <w:bookmarkStart w:id="86" w:name="_Toc150509269"/>
      <w:r/>
      <w:bookmarkStart w:id="87" w:name="_Toc305158860"/>
      <w:r/>
      <w:bookmarkStart w:id="88" w:name="_Toc151193616"/>
      <w:r/>
      <w:bookmarkStart w:id="89" w:name="_Toc265228356"/>
      <w:r>
        <w:rPr>
          <w:rFonts w:ascii="Times New Roman" w:hAnsi="Times New Roman" w:eastAsia="宋体"/>
          <w:sz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0" w:name="_Toc305158787"/>
      <w:r/>
      <w:bookmarkStart w:id="91" w:name="_Toc265228357"/>
      <w:r/>
      <w:bookmarkStart w:id="92" w:name="_Toc305158861"/>
      <w:r/>
      <w:bookmarkStart w:id="93" w:name="_Toc264969209"/>
      <w:r>
        <w:rPr>
          <w:sz w:val="24"/>
        </w:rPr>
        <w:t xml:space="preserve">采购人、采购代理机构、投标人</w:t>
      </w:r>
      <w:bookmarkEnd w:id="90"/>
      <w:r/>
      <w:bookmarkEnd w:id="91"/>
      <w:r/>
      <w:bookmarkEnd w:id="92"/>
      <w:r/>
      <w:bookmarkEnd w:id="93"/>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4" w:name="_Toc150774620"/>
      <w:r/>
      <w:bookmarkStart w:id="95" w:name="_Toc151193834"/>
      <w:r/>
      <w:bookmarkStart w:id="96" w:name="_Toc164608634"/>
      <w:r/>
      <w:bookmarkStart w:id="97" w:name="_Toc150509271"/>
      <w:r/>
      <w:bookmarkStart w:id="98" w:name="_Toc150480758"/>
      <w:r/>
      <w:bookmarkStart w:id="99" w:name="_Toc226337216"/>
      <w:r/>
      <w:bookmarkStart w:id="100" w:name="_Toc305158788"/>
      <w:r/>
      <w:bookmarkStart w:id="101" w:name="_Toc226965710"/>
      <w:r/>
      <w:bookmarkStart w:id="102" w:name="_Toc305158862"/>
      <w:r/>
      <w:bookmarkStart w:id="103" w:name="_Toc195842885"/>
      <w:r/>
      <w:bookmarkStart w:id="104" w:name="_Toc265228358"/>
      <w:r/>
      <w:bookmarkStart w:id="105" w:name="_Toc164229361"/>
      <w:r/>
      <w:bookmarkStart w:id="106" w:name="_Toc127151520"/>
      <w:r/>
      <w:bookmarkStart w:id="107" w:name="_Toc226309764"/>
      <w:r/>
      <w:bookmarkStart w:id="108" w:name="_Toc149720813"/>
      <w:r/>
      <w:bookmarkStart w:id="109" w:name="_Toc151193762"/>
      <w:r/>
      <w:bookmarkStart w:id="110" w:name="_Toc151193618"/>
      <w:r/>
      <w:bookmarkStart w:id="111" w:name="_Toc164608789"/>
      <w:r/>
      <w:bookmarkStart w:id="112" w:name="_Toc226965793"/>
      <w:r/>
      <w:bookmarkStart w:id="113" w:name="_Toc127151721"/>
      <w:r/>
      <w:bookmarkStart w:id="114" w:name="_Toc151193908"/>
      <w:r/>
      <w:bookmarkStart w:id="115" w:name="_Toc151193690"/>
      <w:r/>
      <w:bookmarkStart w:id="116" w:name="_Toc127161434"/>
      <w:r/>
      <w:bookmarkStart w:id="117" w:name="_Toc164229215"/>
      <w:r/>
      <w:bookmarkStart w:id="118" w:name="_Toc151190147"/>
      <w:r/>
      <w:bookmarkStart w:id="119" w:name="_Toc142311022"/>
      <w:r/>
      <w:bookmarkStart w:id="120" w:name="_Toc164351614"/>
      <w:r/>
      <w:bookmarkStart w:id="121" w:name="_Toc264969210"/>
      <w:r/>
      <w:bookmarkStart w:id="122" w:name="_Toc150774725"/>
      <w:r>
        <w:rPr>
          <w:sz w:val="24"/>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3" w:name="_Toc150509273"/>
      <w:r/>
      <w:bookmarkStart w:id="124" w:name="_Toc150774727"/>
      <w:r/>
      <w:bookmarkStart w:id="125" w:name="_Toc151193620"/>
      <w:r/>
      <w:bookmarkStart w:id="126" w:name="_Toc151193692"/>
      <w:r/>
      <w:bookmarkStart w:id="127" w:name="_Toc150480760"/>
      <w:r/>
      <w:bookmarkStart w:id="128" w:name="_Toc151190149"/>
      <w:r/>
      <w:bookmarkStart w:id="129" w:name="_Toc195842887"/>
      <w:r/>
      <w:bookmarkStart w:id="130" w:name="_Toc142311024"/>
      <w:r/>
      <w:bookmarkStart w:id="131" w:name="_Toc265228360"/>
      <w:r/>
      <w:bookmarkStart w:id="132" w:name="_Toc226337218"/>
      <w:r/>
      <w:bookmarkStart w:id="133" w:name="_Toc151193910"/>
      <w:r/>
      <w:bookmarkStart w:id="134" w:name="_Toc151193764"/>
      <w:r/>
      <w:bookmarkStart w:id="135" w:name="_Toc305158864"/>
      <w:r/>
      <w:bookmarkStart w:id="136" w:name="_Toc305158790"/>
      <w:r/>
      <w:bookmarkStart w:id="137" w:name="_Toc520356146"/>
      <w:r/>
      <w:bookmarkStart w:id="138" w:name="_Toc151193836"/>
      <w:r/>
      <w:bookmarkStart w:id="139" w:name="_Toc226309766"/>
      <w:r/>
      <w:bookmarkStart w:id="140" w:name="_Toc150774622"/>
      <w:r/>
      <w:bookmarkStart w:id="141" w:name="_Toc264969212"/>
      <w:r/>
      <w:bookmarkStart w:id="142" w:name="_Toc127151522"/>
      <w:r/>
      <w:bookmarkStart w:id="143" w:name="_Toc226965712"/>
      <w:r/>
      <w:bookmarkStart w:id="144" w:name="_Toc226965795"/>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03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03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93"/>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5" w:name="_1.8_计量单位"/>
      <w:r/>
      <w:bookmarkEnd w:id="145"/>
      <w:r/>
      <w:r/>
    </w:p>
    <w:p>
      <w:pPr>
        <w:pStyle w:val="942"/>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8"/>
        </w:numPr>
        <w:ind w:left="357" w:firstLine="482"/>
        <w:spacing w:line="360" w:lineRule="auto"/>
        <w:tabs>
          <w:tab w:val="left" w:pos="360" w:leader="none"/>
        </w:tabs>
        <w:rPr>
          <w:sz w:val="24"/>
        </w:rPr>
        <w:outlineLvl w:val="1"/>
      </w:pPr>
      <w:r/>
      <w:bookmarkStart w:id="146" w:name="_Toc305158865"/>
      <w:r/>
      <w:bookmarkStart w:id="147" w:name="_Toc164608792"/>
      <w:r/>
      <w:bookmarkStart w:id="148" w:name="_Toc264969213"/>
      <w:r/>
      <w:bookmarkStart w:id="149" w:name="_Toc149720816"/>
      <w:r/>
      <w:bookmarkStart w:id="150" w:name="_Toc265228361"/>
      <w:r/>
      <w:bookmarkStart w:id="151" w:name="_Toc164229364"/>
      <w:r/>
      <w:bookmarkStart w:id="152" w:name="_Toc127151523"/>
      <w:r/>
      <w:bookmarkStart w:id="153" w:name="_Toc151193765"/>
      <w:r/>
      <w:bookmarkStart w:id="154" w:name="_Toc226337219"/>
      <w:r/>
      <w:bookmarkStart w:id="155" w:name="_Toc195842888"/>
      <w:r/>
      <w:bookmarkStart w:id="156" w:name="_Toc305158791"/>
      <w:r/>
      <w:bookmarkStart w:id="157" w:name="_Toc151190150"/>
      <w:r/>
      <w:bookmarkStart w:id="158" w:name="_Toc142311025"/>
      <w:r/>
      <w:bookmarkStart w:id="159" w:name="_Toc150774623"/>
      <w:r/>
      <w:bookmarkStart w:id="160" w:name="_Toc150774728"/>
      <w:r/>
      <w:bookmarkStart w:id="161" w:name="_Toc151193911"/>
      <w:r/>
      <w:bookmarkStart w:id="162" w:name="_Toc164229218"/>
      <w:r/>
      <w:bookmarkStart w:id="163" w:name="_Toc150480761"/>
      <w:r/>
      <w:bookmarkStart w:id="164" w:name="_Toc520356147"/>
      <w:r/>
      <w:bookmarkStart w:id="165" w:name="_Toc151193693"/>
      <w:r/>
      <w:bookmarkStart w:id="166" w:name="_Toc127151724"/>
      <w:r/>
      <w:bookmarkStart w:id="167" w:name="_Toc164351617"/>
      <w:r/>
      <w:bookmarkStart w:id="168" w:name="_Toc151193621"/>
      <w:r/>
      <w:bookmarkStart w:id="169" w:name="_Toc150509274"/>
      <w:r/>
      <w:bookmarkStart w:id="170" w:name="_Toc226309767"/>
      <w:r/>
      <w:bookmarkStart w:id="171" w:name="_Toc127161437"/>
      <w:r/>
      <w:bookmarkStart w:id="172" w:name="_Toc226965713"/>
      <w:r/>
      <w:bookmarkStart w:id="173" w:name="_Toc164608637"/>
      <w:r/>
      <w:bookmarkStart w:id="174" w:name="_Toc226965796"/>
      <w:r/>
      <w:bookmarkStart w:id="175" w:name="_Toc151193837"/>
      <w:r>
        <w:rPr>
          <w:sz w:val="24"/>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6" w:name="_Toc516367020"/>
      <w:r/>
      <w:bookmarkStart w:id="177" w:name="_Toc520356150"/>
      <w:r/>
      <w:bookmarkStart w:id="178" w:name="_Toc226309770"/>
      <w:r/>
      <w:bookmarkStart w:id="179" w:name="_Toc150774731"/>
      <w:r/>
      <w:bookmarkStart w:id="180" w:name="_Toc265228364"/>
      <w:r/>
      <w:bookmarkStart w:id="181" w:name="_Toc226337222"/>
      <w:r/>
      <w:bookmarkStart w:id="182" w:name="_Toc142311028"/>
      <w:r/>
      <w:bookmarkStart w:id="183" w:name="_Toc150509277"/>
      <w:r/>
      <w:bookmarkStart w:id="184" w:name="_Toc151193840"/>
      <w:r/>
      <w:bookmarkStart w:id="185" w:name="_Toc264969216"/>
      <w:r/>
      <w:bookmarkStart w:id="186" w:name="_Toc151193696"/>
      <w:r/>
      <w:bookmarkStart w:id="187" w:name="_Toc151193768"/>
      <w:r/>
      <w:bookmarkStart w:id="188" w:name="_Toc127151526"/>
      <w:r/>
      <w:bookmarkStart w:id="189" w:name="_Toc151190153"/>
      <w:r/>
      <w:bookmarkStart w:id="190" w:name="_Toc305158868"/>
      <w:r/>
      <w:bookmarkStart w:id="191" w:name="_Toc150774626"/>
      <w:r/>
      <w:bookmarkStart w:id="192" w:name="_Toc195842891"/>
      <w:r/>
      <w:bookmarkStart w:id="193" w:name="_Toc151193914"/>
      <w:r/>
      <w:bookmarkStart w:id="194" w:name="_Toc150480764"/>
      <w:r/>
      <w:bookmarkStart w:id="195" w:name="_Toc151193624"/>
      <w:r/>
      <w:bookmarkStart w:id="196" w:name="_Toc305158794"/>
      <w:r/>
      <w:bookmarkStart w:id="197" w:name="_Toc226965716"/>
      <w:r/>
      <w:bookmarkStart w:id="198" w:name="_Toc226965799"/>
      <w:r/>
      <w:r/>
    </w:p>
    <w:p>
      <w:pPr>
        <w:pStyle w:val="942"/>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6"/>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8"/>
        </w:numPr>
        <w:ind w:left="357" w:firstLine="482"/>
        <w:spacing w:line="360" w:lineRule="auto"/>
        <w:tabs>
          <w:tab w:val="left" w:pos="360" w:leader="none"/>
        </w:tabs>
        <w:rPr>
          <w:sz w:val="24"/>
        </w:rPr>
        <w:outlineLvl w:val="1"/>
      </w:pPr>
      <w:r/>
      <w:bookmarkStart w:id="199" w:name="_Toc195842892"/>
      <w:r/>
      <w:bookmarkStart w:id="200" w:name="_Toc226965800"/>
      <w:r/>
      <w:bookmarkStart w:id="201" w:name="_Toc127151728"/>
      <w:r/>
      <w:bookmarkStart w:id="202" w:name="_Toc226337223"/>
      <w:r/>
      <w:bookmarkStart w:id="203" w:name="_Toc265228365"/>
      <w:r/>
      <w:bookmarkStart w:id="204" w:name="_Toc150774627"/>
      <w:r/>
      <w:bookmarkStart w:id="205" w:name="_Toc305158869"/>
      <w:r/>
      <w:bookmarkStart w:id="206" w:name="_Toc151193769"/>
      <w:r/>
      <w:bookmarkStart w:id="207" w:name="_Toc520356151"/>
      <w:r/>
      <w:bookmarkStart w:id="208" w:name="_Toc151193915"/>
      <w:r/>
      <w:bookmarkStart w:id="209" w:name="_Toc142311029"/>
      <w:r/>
      <w:bookmarkStart w:id="210" w:name="_Toc150774732"/>
      <w:r/>
      <w:bookmarkStart w:id="211" w:name="_Toc127151527"/>
      <w:r/>
      <w:bookmarkStart w:id="212" w:name="_Toc127161441"/>
      <w:r/>
      <w:bookmarkStart w:id="213" w:name="_Toc164229222"/>
      <w:r/>
      <w:bookmarkStart w:id="214" w:name="_Toc164229368"/>
      <w:r/>
      <w:bookmarkStart w:id="215" w:name="_Toc150480765"/>
      <w:r/>
      <w:bookmarkStart w:id="216" w:name="_Toc151193697"/>
      <w:r/>
      <w:bookmarkStart w:id="217" w:name="_Toc164608641"/>
      <w:r/>
      <w:bookmarkStart w:id="218" w:name="_Toc264969217"/>
      <w:r/>
      <w:bookmarkStart w:id="219" w:name="_Toc149720820"/>
      <w:r/>
      <w:bookmarkStart w:id="220" w:name="_Toc164351621"/>
      <w:r/>
      <w:bookmarkStart w:id="221" w:name="_Toc150509278"/>
      <w:r/>
      <w:bookmarkStart w:id="222" w:name="_Toc305158795"/>
      <w:r/>
      <w:bookmarkStart w:id="223" w:name="_Toc151193841"/>
      <w:r/>
      <w:bookmarkStart w:id="224" w:name="_Toc226965717"/>
      <w:r/>
      <w:bookmarkStart w:id="225" w:name="_Toc164608796"/>
      <w:r/>
      <w:bookmarkStart w:id="226" w:name="_Toc151190154"/>
      <w:r/>
      <w:bookmarkStart w:id="227" w:name="_Toc226309771"/>
      <w:r/>
      <w:bookmarkStart w:id="228" w:name="_Toc151193625"/>
      <w:r/>
      <w:bookmarkStart w:id="229" w:name="_Toc516367021"/>
      <w:r>
        <w:rPr>
          <w:sz w:val="24"/>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0" w:name="_Ref467306676"/>
      <w:r/>
      <w:bookmarkStart w:id="231" w:name="_Ref467306195"/>
      <w:r/>
      <w:bookmarkStart w:id="232" w:name="_Toc516367022"/>
      <w:r/>
      <w:bookmarkStart w:id="233" w:name="_Toc195842893"/>
      <w:r/>
      <w:bookmarkStart w:id="234" w:name="_Toc226965718"/>
      <w:r/>
      <w:bookmarkStart w:id="235" w:name="_Toc149720821"/>
      <w:r/>
      <w:bookmarkStart w:id="236" w:name="_Toc264969218"/>
      <w:r/>
      <w:bookmarkStart w:id="237" w:name="_Toc150509279"/>
      <w:r/>
      <w:bookmarkStart w:id="238" w:name="_Toc164351622"/>
      <w:r/>
      <w:bookmarkStart w:id="239" w:name="_Toc520356152"/>
      <w:r/>
      <w:bookmarkStart w:id="240" w:name="_Toc226309772"/>
      <w:r/>
      <w:bookmarkStart w:id="241" w:name="_Toc151193916"/>
      <w:r/>
      <w:bookmarkStart w:id="242" w:name="_Toc265228366"/>
      <w:r/>
      <w:bookmarkStart w:id="243" w:name="_Toc127161442"/>
      <w:r/>
      <w:bookmarkStart w:id="244" w:name="_Toc151190155"/>
      <w:r/>
      <w:bookmarkStart w:id="245" w:name="_Toc164608642"/>
      <w:r/>
      <w:bookmarkStart w:id="246" w:name="_Toc164229223"/>
      <w:r/>
      <w:bookmarkStart w:id="247" w:name="_Toc150774733"/>
      <w:r/>
      <w:bookmarkStart w:id="248" w:name="_Toc226965801"/>
      <w:r/>
      <w:bookmarkStart w:id="249" w:name="_Toc305158870"/>
      <w:r/>
      <w:bookmarkStart w:id="250" w:name="_Toc151193770"/>
      <w:r/>
      <w:bookmarkStart w:id="251" w:name="_Toc151193698"/>
      <w:r/>
      <w:bookmarkStart w:id="252" w:name="_Toc164229369"/>
      <w:r/>
      <w:bookmarkStart w:id="253" w:name="_Toc164608797"/>
      <w:r/>
      <w:bookmarkStart w:id="254" w:name="_Toc151193626"/>
      <w:r/>
      <w:bookmarkStart w:id="255" w:name="_Toc226337224"/>
      <w:r/>
      <w:bookmarkStart w:id="256" w:name="_Toc127151528"/>
      <w:r/>
      <w:bookmarkStart w:id="257" w:name="_Toc142311030"/>
      <w:r/>
      <w:bookmarkStart w:id="258" w:name="_Toc305158796"/>
      <w:r/>
      <w:bookmarkStart w:id="259" w:name="_Toc127151729"/>
      <w:r/>
      <w:bookmarkStart w:id="260" w:name="_Toc150774628"/>
      <w:r/>
      <w:bookmarkStart w:id="261" w:name="_Toc151193842"/>
      <w:r/>
      <w:bookmarkStart w:id="262" w:name="_Toc150480766"/>
      <w:r>
        <w:rPr>
          <w:sz w:val="24"/>
        </w:rPr>
        <w:t xml:space="preserve">投标文件</w:t>
      </w:r>
      <w:bookmarkEnd w:id="230"/>
      <w:r/>
      <w:bookmarkEnd w:id="231"/>
      <w:r/>
      <w:bookmarkEnd w:id="232"/>
      <w:r>
        <w:rPr>
          <w:sz w:val="24"/>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8"/>
        </w:numPr>
        <w:ind w:left="1077" w:firstLine="482"/>
        <w:spacing w:line="360" w:lineRule="auto"/>
        <w:tabs>
          <w:tab w:val="left" w:pos="1080" w:leader="none"/>
          <w:tab w:val="left" w:pos="2014" w:leader="none"/>
        </w:tabs>
        <w:rPr>
          <w:sz w:val="24"/>
        </w:rPr>
      </w:pPr>
      <w:r/>
      <w:bookmarkStart w:id="26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3"/>
      <w:r/>
      <w:r/>
    </w:p>
    <w:p>
      <w:pPr>
        <w:numPr>
          <w:ilvl w:val="0"/>
          <w:numId w:val="8"/>
        </w:numPr>
        <w:ind w:left="357" w:firstLine="482"/>
        <w:spacing w:line="360" w:lineRule="auto"/>
        <w:tabs>
          <w:tab w:val="left" w:pos="360" w:leader="none"/>
        </w:tabs>
        <w:rPr>
          <w:sz w:val="24"/>
        </w:rPr>
        <w:outlineLvl w:val="1"/>
      </w:pPr>
      <w:r/>
      <w:bookmarkStart w:id="264" w:name="_Toc127151731"/>
      <w:r/>
      <w:bookmarkStart w:id="265" w:name="_Toc520356155"/>
      <w:r/>
      <w:bookmarkStart w:id="266" w:name="_Toc150774735"/>
      <w:r/>
      <w:bookmarkStart w:id="267" w:name="_Toc195842895"/>
      <w:r/>
      <w:bookmarkStart w:id="268" w:name="_Toc149720823"/>
      <w:r/>
      <w:bookmarkStart w:id="269" w:name="_Toc151193772"/>
      <w:r/>
      <w:bookmarkStart w:id="270" w:name="_Toc164229225"/>
      <w:r/>
      <w:bookmarkStart w:id="271" w:name="_Toc142311032"/>
      <w:r/>
      <w:bookmarkStart w:id="272" w:name="_Toc164608799"/>
      <w:r/>
      <w:bookmarkStart w:id="273" w:name="_Toc164608644"/>
      <w:r/>
      <w:bookmarkStart w:id="274" w:name="_Toc151193700"/>
      <w:r/>
      <w:bookmarkStart w:id="275" w:name="_Toc150480768"/>
      <w:r/>
      <w:bookmarkStart w:id="276" w:name="_Toc127151530"/>
      <w:r/>
      <w:bookmarkStart w:id="277" w:name="_Toc164229371"/>
      <w:r/>
      <w:bookmarkStart w:id="278" w:name="_Toc151190157"/>
      <w:r/>
      <w:bookmarkStart w:id="279" w:name="_Toc150774630"/>
      <w:r/>
      <w:bookmarkStart w:id="280" w:name="_Toc151193918"/>
      <w:r/>
      <w:bookmarkStart w:id="281" w:name="_Toc151193628"/>
      <w:r/>
      <w:bookmarkStart w:id="282" w:name="_Toc151193844"/>
      <w:r/>
      <w:bookmarkStart w:id="283" w:name="_Toc164351624"/>
      <w:r/>
      <w:bookmarkStart w:id="284" w:name="_Toc150509281"/>
      <w:r/>
      <w:bookmarkStart w:id="285" w:name="_Toc127161444"/>
      <w:r>
        <w:rPr>
          <w:sz w:val="24"/>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rPr>
      </w:pPr>
      <w:r/>
      <w:bookmarkStart w:id="286" w:name="_Toc226965721"/>
      <w:r/>
      <w:bookmarkStart w:id="287" w:name="_Toc150774631"/>
      <w:r/>
      <w:bookmarkStart w:id="288" w:name="_Toc151193773"/>
      <w:r/>
      <w:bookmarkStart w:id="289" w:name="_Toc127151531"/>
      <w:r/>
      <w:bookmarkStart w:id="290" w:name="_Toc305158799"/>
      <w:r/>
      <w:bookmarkStart w:id="291" w:name="_Toc151190158"/>
      <w:r/>
      <w:bookmarkStart w:id="292" w:name="_Toc164351625"/>
      <w:r/>
      <w:bookmarkStart w:id="293" w:name="_Toc226309775"/>
      <w:r/>
      <w:bookmarkStart w:id="294" w:name="_Toc520356156"/>
      <w:r/>
      <w:bookmarkStart w:id="295" w:name="_Toc127161445"/>
      <w:r/>
      <w:bookmarkStart w:id="296" w:name="_Toc127151732"/>
      <w:r/>
      <w:bookmarkStart w:id="297" w:name="_Toc150774736"/>
      <w:r/>
      <w:bookmarkStart w:id="298" w:name="_Toc151193701"/>
      <w:r/>
      <w:bookmarkStart w:id="299" w:name="_Toc151193845"/>
      <w:r/>
      <w:bookmarkStart w:id="300" w:name="_Toc226965804"/>
      <w:r/>
      <w:bookmarkStart w:id="301" w:name="_Toc226337227"/>
      <w:r/>
      <w:bookmarkStart w:id="302" w:name="_Toc164229372"/>
      <w:r/>
      <w:bookmarkStart w:id="303" w:name="_Toc142311033"/>
      <w:r/>
      <w:bookmarkStart w:id="304" w:name="_Toc164608800"/>
      <w:r/>
      <w:bookmarkStart w:id="305" w:name="_Toc265228369"/>
      <w:r/>
      <w:bookmarkStart w:id="306" w:name="_Toc150480769"/>
      <w:r/>
      <w:bookmarkStart w:id="307" w:name="_Toc164229226"/>
      <w:r/>
      <w:bookmarkStart w:id="308" w:name="_Toc149720824"/>
      <w:r/>
      <w:bookmarkStart w:id="309" w:name="_Toc305158873"/>
      <w:r/>
      <w:bookmarkStart w:id="310" w:name="_Ref467306513"/>
      <w:r/>
      <w:bookmarkStart w:id="311" w:name="_Toc164608645"/>
      <w:r/>
      <w:bookmarkStart w:id="312" w:name="_Toc150509282"/>
      <w:r/>
      <w:bookmarkStart w:id="313" w:name="_Toc151193629"/>
      <w:r/>
      <w:bookmarkStart w:id="314" w:name="_Toc151193919"/>
      <w:r/>
      <w:bookmarkStart w:id="315" w:name="_Toc264969221"/>
      <w:r/>
      <w:bookmarkStart w:id="316" w:name="_Toc195842896"/>
      <w:r>
        <w:rPr>
          <w:rFonts w:hint="eastAsia" w:ascii="宋体" w:hAnsi="宋体" w:cs="宋体"/>
          <w:b/>
          <w:bCs/>
          <w:sz w:val="24"/>
        </w:rPr>
        <w:t xml:space="preserve">11.5   </w:t>
      </w:r>
      <w:r>
        <w:rPr>
          <w:rFonts w:ascii="宋体" w:hAnsi="宋体" w:cs="宋体"/>
          <w:b/>
          <w:bCs/>
          <w:sz w:val="24"/>
        </w:rPr>
        <w:t xml:space="preserve">评审过程中出现下列情形之一的，</w:t>
      </w:r>
      <w:r>
        <w:rPr>
          <w:rFonts w:hint="eastAsia" w:ascii="宋体" w:hAnsi="宋体" w:cs="宋体"/>
          <w:b/>
          <w:bCs/>
          <w:sz w:val="24"/>
        </w:rPr>
        <w:t xml:space="preserve">评审委员会</w:t>
      </w:r>
      <w:r>
        <w:rPr>
          <w:rFonts w:ascii="宋体" w:hAnsi="宋体" w:cs="宋体"/>
          <w:b/>
          <w:bCs/>
          <w:sz w:val="24"/>
        </w:rPr>
        <w:t xml:space="preserve">应当动异常低价响应审查程序： </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7" w:name="_Toc150774632"/>
      <w:r/>
      <w:bookmarkStart w:id="318" w:name="_Toc226309776"/>
      <w:r/>
      <w:bookmarkStart w:id="319" w:name="_Toc150509283"/>
      <w:r/>
      <w:bookmarkStart w:id="320" w:name="_Toc149720825"/>
      <w:r/>
      <w:bookmarkStart w:id="321" w:name="_Toc127151532"/>
      <w:r/>
      <w:bookmarkStart w:id="322" w:name="_Toc226337228"/>
      <w:r/>
      <w:bookmarkStart w:id="323" w:name="_Toc226965722"/>
      <w:r/>
      <w:bookmarkStart w:id="324" w:name="_Toc265228370"/>
      <w:r/>
      <w:bookmarkStart w:id="325" w:name="_Toc151193920"/>
      <w:r/>
      <w:bookmarkStart w:id="326" w:name="_Toc520356157"/>
      <w:r/>
      <w:bookmarkStart w:id="327" w:name="_Toc151190159"/>
      <w:r/>
      <w:bookmarkStart w:id="328" w:name="_Toc127151733"/>
      <w:r/>
      <w:bookmarkStart w:id="329" w:name="_Toc151193774"/>
      <w:r/>
      <w:bookmarkStart w:id="330" w:name="_Toc164229373"/>
      <w:r/>
      <w:bookmarkStart w:id="331" w:name="_Toc127161446"/>
      <w:r/>
      <w:bookmarkStart w:id="332" w:name="_Toc142311034"/>
      <w:r/>
      <w:bookmarkStart w:id="333" w:name="_Toc150774737"/>
      <w:r/>
      <w:bookmarkStart w:id="334" w:name="_Toc164229227"/>
      <w:r/>
      <w:bookmarkStart w:id="335" w:name="_Toc164608801"/>
      <w:r/>
      <w:bookmarkStart w:id="336" w:name="_Toc226965805"/>
      <w:r/>
      <w:bookmarkStart w:id="337" w:name="_Toc151193702"/>
      <w:r/>
      <w:bookmarkStart w:id="338" w:name="_Toc151193846"/>
      <w:r/>
      <w:bookmarkStart w:id="339" w:name="_Toc164351626"/>
      <w:r/>
      <w:bookmarkStart w:id="340" w:name="_Toc264969222"/>
      <w:r/>
      <w:bookmarkStart w:id="341" w:name="_Toc305158874"/>
      <w:r/>
      <w:bookmarkStart w:id="342" w:name="_Toc150480770"/>
      <w:r/>
      <w:bookmarkStart w:id="343" w:name="_Toc164608646"/>
      <w:r/>
      <w:bookmarkStart w:id="344" w:name="_Toc151193630"/>
      <w:r/>
      <w:bookmarkStart w:id="345" w:name="_Toc305158800"/>
      <w:r/>
      <w:bookmarkStart w:id="346" w:name="_Toc195842897"/>
      <w:r>
        <w:rPr>
          <w:sz w:val="24"/>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7" w:name="_Toc127151734"/>
      <w:r/>
      <w:bookmarkStart w:id="348" w:name="_Toc142311035"/>
      <w:r/>
      <w:bookmarkStart w:id="349" w:name="_Toc151193921"/>
      <w:r/>
      <w:bookmarkStart w:id="350" w:name="_Toc150509284"/>
      <w:r/>
      <w:bookmarkStart w:id="351" w:name="_Toc164608647"/>
      <w:r/>
      <w:bookmarkStart w:id="352" w:name="_Toc265228371"/>
      <w:r/>
      <w:bookmarkStart w:id="353" w:name="_Toc150480771"/>
      <w:r/>
      <w:bookmarkStart w:id="354" w:name="_Toc127151533"/>
      <w:r/>
      <w:bookmarkStart w:id="355" w:name="_Toc164229374"/>
      <w:r/>
      <w:bookmarkStart w:id="356" w:name="_Toc226309777"/>
      <w:r/>
      <w:bookmarkStart w:id="357" w:name="_Toc264969223"/>
      <w:r/>
      <w:bookmarkStart w:id="358" w:name="_Toc127161447"/>
      <w:r/>
      <w:bookmarkStart w:id="359" w:name="_Toc226965806"/>
      <w:r/>
      <w:bookmarkStart w:id="360" w:name="_Toc226337229"/>
      <w:r/>
      <w:bookmarkStart w:id="361" w:name="_Toc226965723"/>
      <w:r/>
      <w:bookmarkStart w:id="362" w:name="_Toc164608802"/>
      <w:r/>
      <w:bookmarkStart w:id="363" w:name="_Toc151193703"/>
      <w:r/>
      <w:bookmarkStart w:id="364" w:name="_Toc195842898"/>
      <w:r/>
      <w:bookmarkStart w:id="365" w:name="_Toc149720826"/>
      <w:r/>
      <w:bookmarkStart w:id="366" w:name="_Toc150774633"/>
      <w:r/>
      <w:bookmarkStart w:id="367" w:name="_Toc151193775"/>
      <w:r/>
      <w:bookmarkStart w:id="368" w:name="_Toc151190160"/>
      <w:r/>
      <w:bookmarkStart w:id="369" w:name="_Toc520356158"/>
      <w:r/>
      <w:bookmarkStart w:id="370" w:name="_Toc151193631"/>
      <w:r/>
      <w:bookmarkStart w:id="371" w:name="_Toc164351627"/>
      <w:r/>
      <w:bookmarkStart w:id="372" w:name="_Toc305158875"/>
      <w:r/>
      <w:bookmarkStart w:id="373" w:name="_Toc164229228"/>
      <w:r/>
      <w:bookmarkStart w:id="374" w:name="_Toc305158801"/>
      <w:r/>
      <w:bookmarkStart w:id="375" w:name="_Toc150774738"/>
      <w:r/>
      <w:bookmarkStart w:id="376" w:name="_Toc151193847"/>
      <w:r>
        <w:rPr>
          <w:sz w:val="24"/>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7" w:name="_Toc226309778"/>
      <w:r/>
      <w:bookmarkStart w:id="378" w:name="_Toc265228372"/>
      <w:r/>
      <w:bookmarkStart w:id="379" w:name="_Toc151193922"/>
      <w:r/>
      <w:bookmarkStart w:id="380" w:name="_Toc151193704"/>
      <w:r/>
      <w:bookmarkStart w:id="381" w:name="_Toc142311036"/>
      <w:r/>
      <w:bookmarkStart w:id="382" w:name="_Toc151190161"/>
      <w:r/>
      <w:bookmarkStart w:id="383" w:name="_Toc150480772"/>
      <w:r/>
      <w:bookmarkStart w:id="384" w:name="_Toc226965724"/>
      <w:r/>
      <w:bookmarkStart w:id="385" w:name="_Toc226337230"/>
      <w:r/>
      <w:bookmarkStart w:id="386" w:name="_Toc305158876"/>
      <w:r/>
      <w:bookmarkStart w:id="387" w:name="_Toc127151534"/>
      <w:r/>
      <w:bookmarkStart w:id="388" w:name="_Toc520356159"/>
      <w:r/>
      <w:bookmarkStart w:id="389" w:name="_Toc305158802"/>
      <w:r/>
      <w:bookmarkStart w:id="390" w:name="_Toc150774634"/>
      <w:r/>
      <w:bookmarkStart w:id="391" w:name="_Toc151193632"/>
      <w:r/>
      <w:bookmarkStart w:id="392" w:name="_Toc150509285"/>
      <w:r/>
      <w:bookmarkStart w:id="393" w:name="_Toc151193848"/>
      <w:r/>
      <w:bookmarkStart w:id="394" w:name="_Toc226965807"/>
      <w:r/>
      <w:bookmarkStart w:id="395" w:name="_Toc150774739"/>
      <w:r/>
      <w:bookmarkStart w:id="396" w:name="_Toc264969224"/>
      <w:r/>
      <w:bookmarkStart w:id="397" w:name="_Toc195842899"/>
      <w:r/>
      <w:bookmarkStart w:id="398" w:name="_Toc15119377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42"/>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0"/>
          <w:numId w:val="8"/>
        </w:numPr>
        <w:ind w:left="357" w:firstLine="482"/>
        <w:spacing w:line="360" w:lineRule="auto"/>
        <w:tabs>
          <w:tab w:val="left" w:pos="360" w:leader="none"/>
        </w:tabs>
        <w:rPr>
          <w:sz w:val="24"/>
        </w:rPr>
        <w:outlineLvl w:val="1"/>
      </w:pPr>
      <w:r/>
      <w:bookmarkStart w:id="399" w:name="_Toc226337231"/>
      <w:r/>
      <w:bookmarkStart w:id="400" w:name="_Toc150509286"/>
      <w:r/>
      <w:bookmarkStart w:id="401" w:name="_Toc127161449"/>
      <w:r/>
      <w:bookmarkStart w:id="402" w:name="_Toc195842900"/>
      <w:r/>
      <w:bookmarkStart w:id="403" w:name="_Toc164608804"/>
      <w:r/>
      <w:bookmarkStart w:id="404" w:name="_Toc226965725"/>
      <w:r/>
      <w:bookmarkStart w:id="405" w:name="_Toc226965808"/>
      <w:r/>
      <w:bookmarkStart w:id="406" w:name="_Toc127151736"/>
      <w:r/>
      <w:bookmarkStart w:id="407" w:name="_Toc520356160"/>
      <w:r/>
      <w:bookmarkStart w:id="408" w:name="_Toc151190162"/>
      <w:r/>
      <w:bookmarkStart w:id="409" w:name="_Toc151193705"/>
      <w:r/>
      <w:bookmarkStart w:id="410" w:name="_Toc151193777"/>
      <w:r/>
      <w:bookmarkStart w:id="411" w:name="_Toc265228373"/>
      <w:r/>
      <w:bookmarkStart w:id="412" w:name="_Toc164229376"/>
      <w:r/>
      <w:bookmarkStart w:id="413" w:name="_Toc264969225"/>
      <w:r/>
      <w:bookmarkStart w:id="414" w:name="_Toc151193633"/>
      <w:r/>
      <w:bookmarkStart w:id="415" w:name="_Toc150774740"/>
      <w:r/>
      <w:bookmarkStart w:id="416" w:name="_Toc305158803"/>
      <w:r/>
      <w:bookmarkStart w:id="417" w:name="_Toc150774635"/>
      <w:r/>
      <w:bookmarkStart w:id="418" w:name="_Toc164608649"/>
      <w:r/>
      <w:bookmarkStart w:id="419" w:name="_Toc151193923"/>
      <w:r/>
      <w:bookmarkStart w:id="420" w:name="_Toc142311037"/>
      <w:r/>
      <w:bookmarkStart w:id="421" w:name="_Toc151193849"/>
      <w:r/>
      <w:bookmarkStart w:id="422" w:name="_Toc127151535"/>
      <w:r/>
      <w:bookmarkStart w:id="423" w:name="_Toc226309779"/>
      <w:r/>
      <w:bookmarkStart w:id="424" w:name="_Toc164229230"/>
      <w:r/>
      <w:bookmarkStart w:id="425" w:name="_Toc305158877"/>
      <w:r/>
      <w:bookmarkStart w:id="426" w:name="_Toc150480773"/>
      <w:r/>
      <w:bookmarkStart w:id="427" w:name="_Toc164351629"/>
      <w:r/>
      <w:bookmarkStart w:id="428" w:name="_Toc149720828"/>
      <w:r>
        <w:rPr>
          <w:sz w:val="24"/>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9" w:name="_Toc164229231"/>
      <w:r/>
      <w:bookmarkStart w:id="430" w:name="_Toc150774636"/>
      <w:r/>
      <w:bookmarkStart w:id="431" w:name="_Toc142311038"/>
      <w:r/>
      <w:bookmarkStart w:id="432" w:name="_Toc127151737"/>
      <w:r/>
      <w:bookmarkStart w:id="433" w:name="_Toc264969226"/>
      <w:r/>
      <w:bookmarkStart w:id="434" w:name="_Toc150480774"/>
      <w:r/>
      <w:bookmarkStart w:id="435" w:name="_Toc151193850"/>
      <w:r/>
      <w:bookmarkStart w:id="436" w:name="_Toc127151536"/>
      <w:r/>
      <w:bookmarkStart w:id="437" w:name="_Toc151193924"/>
      <w:r/>
      <w:bookmarkStart w:id="438" w:name="_Toc265228374"/>
      <w:r/>
      <w:bookmarkStart w:id="439" w:name="_Toc305158804"/>
      <w:r/>
      <w:bookmarkStart w:id="440" w:name="_Toc226965809"/>
      <w:r/>
      <w:bookmarkStart w:id="441" w:name="_Toc305158878"/>
      <w:r/>
      <w:bookmarkStart w:id="442" w:name="_Toc164229377"/>
      <w:r/>
      <w:bookmarkStart w:id="443" w:name="_Toc226309780"/>
      <w:r/>
      <w:bookmarkStart w:id="444" w:name="_Toc164608805"/>
      <w:r/>
      <w:bookmarkStart w:id="445" w:name="_Toc164608650"/>
      <w:r/>
      <w:bookmarkStart w:id="446" w:name="_Toc127161450"/>
      <w:r/>
      <w:bookmarkStart w:id="447" w:name="_Toc226337232"/>
      <w:r/>
      <w:bookmarkStart w:id="448" w:name="_Toc151190163"/>
      <w:r/>
      <w:bookmarkStart w:id="449" w:name="_Toc151193706"/>
      <w:r/>
      <w:bookmarkStart w:id="450" w:name="_Toc520356161"/>
      <w:r/>
      <w:bookmarkStart w:id="451" w:name="_Toc195842901"/>
      <w:r/>
      <w:bookmarkStart w:id="452" w:name="_Toc151193778"/>
      <w:r/>
      <w:bookmarkStart w:id="453" w:name="_Toc150509287"/>
      <w:r/>
      <w:bookmarkStart w:id="454" w:name="_Toc150774741"/>
      <w:r/>
      <w:bookmarkStart w:id="455" w:name="_Toc151193634"/>
      <w:r/>
      <w:bookmarkStart w:id="456" w:name="_Toc149720829"/>
      <w:r/>
      <w:bookmarkStart w:id="457" w:name="_Toc164351630"/>
      <w:r/>
      <w:bookmarkStart w:id="458" w:name="_Toc226965726"/>
      <w:r>
        <w:rPr>
          <w:sz w:val="24"/>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9" w:name="_Toc520356162"/>
      <w:r/>
      <w:bookmarkStart w:id="460" w:name="_Toc151193707"/>
      <w:r/>
      <w:bookmarkStart w:id="461" w:name="_Toc127151537"/>
      <w:r/>
      <w:bookmarkStart w:id="462" w:name="_Toc151190164"/>
      <w:r/>
      <w:bookmarkStart w:id="463" w:name="_Toc151193779"/>
      <w:r/>
      <w:bookmarkStart w:id="464" w:name="_Toc150774637"/>
      <w:r/>
      <w:bookmarkStart w:id="465" w:name="_Toc164229232"/>
      <w:r/>
      <w:bookmarkStart w:id="466" w:name="_Toc164608806"/>
      <w:r/>
      <w:bookmarkStart w:id="467" w:name="_Toc226965727"/>
      <w:r/>
      <w:bookmarkStart w:id="468" w:name="_Toc149720830"/>
      <w:r/>
      <w:bookmarkStart w:id="469" w:name="_Toc150509288"/>
      <w:r/>
      <w:bookmarkStart w:id="470" w:name="_Toc195842902"/>
      <w:r/>
      <w:bookmarkStart w:id="471" w:name="_Toc127151738"/>
      <w:r/>
      <w:bookmarkStart w:id="472" w:name="_Toc226309781"/>
      <w:r/>
      <w:bookmarkStart w:id="473" w:name="_Toc226965810"/>
      <w:r/>
      <w:bookmarkStart w:id="474" w:name="_Toc150774742"/>
      <w:r/>
      <w:bookmarkStart w:id="475" w:name="_Toc164608651"/>
      <w:r/>
      <w:bookmarkStart w:id="476" w:name="_Toc151193925"/>
      <w:r/>
      <w:bookmarkStart w:id="477" w:name="_Toc305158805"/>
      <w:r/>
      <w:bookmarkStart w:id="478" w:name="_Toc151193635"/>
      <w:r/>
      <w:bookmarkStart w:id="479" w:name="_Toc151193851"/>
      <w:r/>
      <w:bookmarkStart w:id="480" w:name="_Toc150480775"/>
      <w:r/>
      <w:bookmarkStart w:id="481" w:name="_Toc265228375"/>
      <w:r/>
      <w:bookmarkStart w:id="482" w:name="_Toc264969227"/>
      <w:r/>
      <w:bookmarkStart w:id="483" w:name="_Toc226337233"/>
      <w:r/>
      <w:bookmarkStart w:id="484" w:name="_Toc142311039"/>
      <w:r/>
      <w:bookmarkStart w:id="485" w:name="_Toc305158879"/>
      <w:r/>
      <w:bookmarkStart w:id="486" w:name="_Toc164229378"/>
      <w:r/>
      <w:bookmarkStart w:id="487" w:name="_Toc127161451"/>
      <w:r/>
      <w:bookmarkStart w:id="488" w:name="_Toc164351631"/>
      <w:r>
        <w:rPr>
          <w:sz w:val="24"/>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993"/>
        <w:ind w:firstLine="960"/>
        <w:spacing w:line="360" w:lineRule="auto"/>
        <w:rPr>
          <w:rFonts w:ascii="宋体" w:hAnsi="宋体" w:cs="宋体"/>
        </w:rPr>
      </w:pPr>
      <w:r>
        <w:rPr>
          <w:rFonts w:hint="eastAsia" w:ascii="宋体" w:hAnsi="宋体" w:cs="宋体"/>
        </w:rPr>
        <w:t xml:space="preserve">注：投标人办理CA电子签章的名称应与“苏采云”政府采购一体化平台的投标人名称一致，否则投标人应自行承担相应责任。请认真核实电子化采购流程要求。</w:t>
      </w:r>
      <w:r/>
    </w:p>
    <w:p>
      <w:pPr>
        <w:ind w:firstLine="482"/>
        <w:spacing w:line="360" w:lineRule="auto"/>
        <w:rPr>
          <w:sz w:val="24"/>
        </w:rPr>
      </w:pPr>
      <w:r>
        <w:rPr>
          <w:sz w:val="24"/>
        </w:rPr>
      </w:r>
      <w:r/>
    </w:p>
    <w:p>
      <w:pPr>
        <w:pStyle w:val="942"/>
        <w:ind w:firstLine="560"/>
        <w:spacing w:before="0" w:line="360" w:lineRule="auto"/>
        <w:rPr>
          <w:rFonts w:ascii="Times New Roman" w:hAnsi="Times New Roman" w:eastAsia="宋体"/>
          <w:sz w:val="28"/>
        </w:rPr>
      </w:pPr>
      <w:r/>
      <w:bookmarkStart w:id="489" w:name="_Toc305158806"/>
      <w:r/>
      <w:bookmarkStart w:id="490" w:name="_Toc264969228"/>
      <w:r/>
      <w:bookmarkStart w:id="491" w:name="_Toc150774638"/>
      <w:r/>
      <w:bookmarkStart w:id="492" w:name="_Toc150774743"/>
      <w:r/>
      <w:bookmarkStart w:id="493" w:name="_Toc305158880"/>
      <w:r/>
      <w:bookmarkStart w:id="494" w:name="_Toc151193780"/>
      <w:r/>
      <w:bookmarkStart w:id="495" w:name="_Toc150480776"/>
      <w:r/>
      <w:bookmarkStart w:id="496" w:name="_Toc226337234"/>
      <w:r/>
      <w:bookmarkStart w:id="497" w:name="_Toc520356163"/>
      <w:r/>
      <w:bookmarkStart w:id="498" w:name="_Toc265228376"/>
      <w:r/>
      <w:bookmarkStart w:id="499" w:name="_Toc151193708"/>
      <w:r/>
      <w:bookmarkStart w:id="500" w:name="_Toc151193926"/>
      <w:r/>
      <w:bookmarkStart w:id="501" w:name="_Toc151190165"/>
      <w:r/>
      <w:bookmarkStart w:id="502" w:name="_Toc151193852"/>
      <w:r/>
      <w:bookmarkStart w:id="503" w:name="_Toc195842903"/>
      <w:r/>
      <w:bookmarkStart w:id="504" w:name="_Toc127151538"/>
      <w:r/>
      <w:bookmarkStart w:id="505" w:name="_Toc151193636"/>
      <w:r/>
      <w:bookmarkStart w:id="506" w:name="_Toc226309782"/>
      <w:r/>
      <w:bookmarkStart w:id="507" w:name="_Toc142311040"/>
      <w:r/>
      <w:bookmarkStart w:id="508" w:name="_Toc150509289"/>
      <w:r/>
      <w:bookmarkStart w:id="509" w:name="_Toc226965811"/>
      <w:r/>
      <w:bookmarkStart w:id="510" w:name="_Toc226965728"/>
      <w:r>
        <w:rPr>
          <w:rFonts w:ascii="Times New Roman" w:hAnsi="Times New Roman" w:eastAsia="宋体"/>
          <w:sz w:val="28"/>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0"/>
          <w:numId w:val="8"/>
        </w:numPr>
        <w:ind w:left="357" w:firstLine="482"/>
        <w:spacing w:line="360" w:lineRule="auto"/>
        <w:tabs>
          <w:tab w:val="left" w:pos="360" w:leader="none"/>
        </w:tabs>
        <w:rPr>
          <w:sz w:val="24"/>
        </w:rPr>
        <w:outlineLvl w:val="1"/>
      </w:pPr>
      <w:r/>
      <w:bookmarkStart w:id="511" w:name="_Toc151193927"/>
      <w:r/>
      <w:bookmarkStart w:id="512" w:name="_Toc226965729"/>
      <w:r/>
      <w:bookmarkStart w:id="513" w:name="_Toc151193853"/>
      <w:r/>
      <w:bookmarkStart w:id="514" w:name="_Toc127151740"/>
      <w:r/>
      <w:bookmarkStart w:id="515" w:name="_Toc520356164"/>
      <w:r/>
      <w:bookmarkStart w:id="516" w:name="_Toc151193709"/>
      <w:r/>
      <w:bookmarkStart w:id="517" w:name="_Toc226309783"/>
      <w:r/>
      <w:bookmarkStart w:id="518" w:name="_Toc127151539"/>
      <w:r/>
      <w:bookmarkStart w:id="519" w:name="_Toc226965812"/>
      <w:r/>
      <w:bookmarkStart w:id="520" w:name="_Toc265228377"/>
      <w:r/>
      <w:bookmarkStart w:id="521" w:name="_Toc151190166"/>
      <w:r/>
      <w:bookmarkStart w:id="522" w:name="_Toc305158807"/>
      <w:r/>
      <w:bookmarkStart w:id="523" w:name="_Toc164229380"/>
      <w:r/>
      <w:bookmarkStart w:id="524" w:name="_Toc150480777"/>
      <w:r/>
      <w:bookmarkStart w:id="525" w:name="_Toc149720832"/>
      <w:r/>
      <w:bookmarkStart w:id="526" w:name="_Toc195842904"/>
      <w:r/>
      <w:bookmarkStart w:id="527" w:name="_Toc150509290"/>
      <w:r/>
      <w:bookmarkStart w:id="528" w:name="_Toc151193781"/>
      <w:r/>
      <w:bookmarkStart w:id="529" w:name="_Toc305158881"/>
      <w:r/>
      <w:bookmarkStart w:id="530" w:name="_Toc264969229"/>
      <w:r/>
      <w:bookmarkStart w:id="531" w:name="_Toc164351633"/>
      <w:r/>
      <w:bookmarkStart w:id="532" w:name="_Toc226337235"/>
      <w:r/>
      <w:bookmarkStart w:id="533" w:name="_Toc150774744"/>
      <w:r/>
      <w:bookmarkStart w:id="534" w:name="_Toc164229234"/>
      <w:r/>
      <w:bookmarkStart w:id="535" w:name="_Toc127161453"/>
      <w:r/>
      <w:bookmarkStart w:id="536" w:name="_Toc164608653"/>
      <w:r/>
      <w:bookmarkStart w:id="537" w:name="_Toc142311041"/>
      <w:r/>
      <w:bookmarkStart w:id="538" w:name="_Toc164608808"/>
      <w:r/>
      <w:bookmarkStart w:id="539" w:name="_Toc151193637"/>
      <w:r/>
      <w:bookmarkStart w:id="540" w:name="_Toc150774639"/>
      <w:r>
        <w:rPr>
          <w:sz w:val="24"/>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1"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1"/>
      <w:r/>
      <w:r/>
    </w:p>
    <w:p>
      <w:pPr>
        <w:numPr>
          <w:ilvl w:val="0"/>
          <w:numId w:val="8"/>
        </w:numPr>
        <w:ind w:left="357" w:firstLine="482"/>
        <w:spacing w:line="360" w:lineRule="auto"/>
        <w:tabs>
          <w:tab w:val="left" w:pos="360" w:leader="none"/>
        </w:tabs>
        <w:rPr>
          <w:sz w:val="24"/>
        </w:rPr>
        <w:outlineLvl w:val="1"/>
      </w:pPr>
      <w:r/>
      <w:bookmarkStart w:id="542" w:name="_Toc265228378"/>
      <w:r/>
      <w:bookmarkStart w:id="543" w:name="_Toc151190167"/>
      <w:r/>
      <w:bookmarkStart w:id="544" w:name="_Toc151193638"/>
      <w:r/>
      <w:bookmarkStart w:id="545" w:name="_Toc127161454"/>
      <w:r/>
      <w:bookmarkStart w:id="546" w:name="_Toc305158882"/>
      <w:r/>
      <w:bookmarkStart w:id="547" w:name="_Toc164608809"/>
      <w:r/>
      <w:bookmarkStart w:id="548" w:name="_Toc164351634"/>
      <w:r/>
      <w:bookmarkStart w:id="549" w:name="_Toc226337236"/>
      <w:r/>
      <w:bookmarkStart w:id="550" w:name="_Toc164229235"/>
      <w:r/>
      <w:bookmarkStart w:id="551" w:name="_Toc142311042"/>
      <w:r/>
      <w:bookmarkStart w:id="552" w:name="_Toc150480778"/>
      <w:r/>
      <w:bookmarkStart w:id="553" w:name="_Toc305158808"/>
      <w:r/>
      <w:bookmarkStart w:id="554" w:name="_Toc164608654"/>
      <w:r/>
      <w:bookmarkStart w:id="555" w:name="_Toc226309784"/>
      <w:r/>
      <w:bookmarkStart w:id="556" w:name="_Toc150774640"/>
      <w:r/>
      <w:bookmarkStart w:id="557" w:name="_Toc151193782"/>
      <w:r/>
      <w:bookmarkStart w:id="558" w:name="_Toc226965813"/>
      <w:r/>
      <w:bookmarkStart w:id="559" w:name="_Toc151193710"/>
      <w:r/>
      <w:bookmarkStart w:id="560" w:name="_Toc164229381"/>
      <w:r/>
      <w:bookmarkStart w:id="561" w:name="_Toc195842905"/>
      <w:r/>
      <w:bookmarkStart w:id="562" w:name="_Toc264969230"/>
      <w:r/>
      <w:bookmarkStart w:id="563" w:name="_Toc149720833"/>
      <w:r/>
      <w:bookmarkStart w:id="564" w:name="_Toc151193854"/>
      <w:r/>
      <w:bookmarkStart w:id="565" w:name="_Toc226965730"/>
      <w:r/>
      <w:bookmarkStart w:id="566" w:name="_Toc150509291"/>
      <w:r/>
      <w:bookmarkStart w:id="567" w:name="_Toc151193928"/>
      <w:r/>
      <w:bookmarkStart w:id="568" w:name="_Toc150774745"/>
      <w:r/>
      <w:bookmarkStart w:id="569" w:name="_Toc127151741"/>
      <w:r/>
      <w:bookmarkStart w:id="570" w:name="_Toc127151540"/>
      <w:r>
        <w:rPr>
          <w:sz w:val="24"/>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1"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42"/>
        <w:ind w:firstLine="560"/>
        <w:spacing w:before="0" w:line="360" w:lineRule="auto"/>
        <w:rPr>
          <w:rFonts w:ascii="Times New Roman" w:hAnsi="Times New Roman" w:eastAsia="宋体"/>
          <w:sz w:val="28"/>
        </w:rPr>
      </w:pPr>
      <w:r/>
      <w:bookmarkStart w:id="573" w:name="_Toc151193933"/>
      <w:r/>
      <w:bookmarkStart w:id="574" w:name="_Toc127151545"/>
      <w:r/>
      <w:bookmarkStart w:id="575" w:name="_Toc265228383"/>
      <w:r/>
      <w:bookmarkStart w:id="576" w:name="_Toc226965818"/>
      <w:r/>
      <w:bookmarkStart w:id="577" w:name="_Toc264969235"/>
      <w:r/>
      <w:bookmarkStart w:id="578" w:name="_Toc150774645"/>
      <w:r/>
      <w:bookmarkStart w:id="579" w:name="_Toc226965735"/>
      <w:r/>
      <w:bookmarkStart w:id="580" w:name="_Toc142311047"/>
      <w:r/>
      <w:bookmarkStart w:id="581" w:name="_Toc305158887"/>
      <w:r/>
      <w:bookmarkStart w:id="582" w:name="_Toc151193859"/>
      <w:r/>
      <w:bookmarkStart w:id="583" w:name="_Toc195842910"/>
      <w:r/>
      <w:bookmarkStart w:id="584" w:name="_Toc151193643"/>
      <w:r/>
      <w:bookmarkStart w:id="585" w:name="_Toc151193787"/>
      <w:r/>
      <w:bookmarkStart w:id="586" w:name="_Toc150480783"/>
      <w:r/>
      <w:bookmarkStart w:id="587" w:name="_Toc151190172"/>
      <w:r/>
      <w:bookmarkStart w:id="588" w:name="_Toc226337241"/>
      <w:r/>
      <w:bookmarkStart w:id="589" w:name="_Toc151193715"/>
      <w:r/>
      <w:bookmarkStart w:id="590" w:name="_Toc150774750"/>
      <w:r/>
      <w:bookmarkStart w:id="591" w:name="_Toc150509296"/>
      <w:r/>
      <w:bookmarkStart w:id="592" w:name="_Toc305158813"/>
      <w:r/>
      <w:bookmarkStart w:id="593" w:name="_Toc226309789"/>
      <w:r>
        <w:rPr>
          <w:rFonts w:ascii="Times New Roman" w:hAnsi="Times New Roman" w:eastAsia="宋体"/>
          <w:sz w:val="28"/>
        </w:rPr>
        <w:t xml:space="preserve">六   </w:t>
      </w:r>
      <w:bookmarkEnd w:id="572"/>
      <w:r>
        <w:rPr>
          <w:rFonts w:ascii="Times New Roman" w:hAnsi="Times New Roman" w:eastAsia="宋体"/>
          <w:sz w:val="28"/>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127151748"/>
      <w:r/>
      <w:bookmarkStart w:id="595" w:name="_Toc226965820"/>
      <w:r/>
      <w:bookmarkStart w:id="596" w:name="_Toc127151547"/>
      <w:r/>
      <w:bookmarkStart w:id="597" w:name="_Toc164229242"/>
      <w:r/>
      <w:bookmarkStart w:id="598" w:name="_Toc226337243"/>
      <w:r/>
      <w:bookmarkStart w:id="599" w:name="_Toc150480785"/>
      <w:r/>
      <w:bookmarkStart w:id="600" w:name="_Toc164608816"/>
      <w:r/>
      <w:bookmarkStart w:id="601" w:name="_Toc151190174"/>
      <w:r/>
      <w:bookmarkStart w:id="602" w:name="_Toc127161461"/>
      <w:r/>
      <w:bookmarkStart w:id="603" w:name="_Toc264969237"/>
      <w:r/>
      <w:bookmarkStart w:id="604" w:name="_Toc142311049"/>
      <w:r/>
      <w:bookmarkStart w:id="605" w:name="_Toc151193935"/>
      <w:r/>
      <w:bookmarkStart w:id="606" w:name="_Toc150774647"/>
      <w:r/>
      <w:bookmarkStart w:id="607" w:name="_Toc305158889"/>
      <w:r/>
      <w:bookmarkStart w:id="608" w:name="_Toc149720840"/>
      <w:r/>
      <w:bookmarkStart w:id="609" w:name="_Toc151193717"/>
      <w:r/>
      <w:bookmarkStart w:id="610" w:name="_Toc150509298"/>
      <w:r/>
      <w:bookmarkStart w:id="611" w:name="_Toc164608661"/>
      <w:r/>
      <w:bookmarkStart w:id="612" w:name="_Toc305158815"/>
      <w:r/>
      <w:bookmarkStart w:id="613" w:name="_Toc195842912"/>
      <w:r/>
      <w:bookmarkStart w:id="614" w:name="_Toc164229388"/>
      <w:r/>
      <w:bookmarkStart w:id="615" w:name="_Toc265228385"/>
      <w:r/>
      <w:bookmarkStart w:id="616" w:name="_Toc151193789"/>
      <w:r/>
      <w:bookmarkStart w:id="617" w:name="_Toc150774752"/>
      <w:r/>
      <w:bookmarkStart w:id="618" w:name="_Toc151193861"/>
      <w:r/>
      <w:bookmarkStart w:id="619" w:name="_Toc164351641"/>
      <w:r/>
      <w:bookmarkStart w:id="620" w:name="_Toc226309791"/>
      <w:r/>
      <w:bookmarkStart w:id="621" w:name="_Toc151193645"/>
      <w:r/>
      <w:bookmarkStart w:id="622" w:name="_Toc226965737"/>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3" w:name="_Toc305158817"/>
      <w:r/>
      <w:bookmarkStart w:id="624" w:name="_Toc305158891"/>
      <w:r/>
      <w:bookmarkStart w:id="625" w:name="_Toc226337245"/>
      <w:r/>
      <w:bookmarkStart w:id="626" w:name="_Toc149720842"/>
      <w:r/>
      <w:bookmarkStart w:id="627" w:name="_Toc127151549"/>
      <w:r/>
      <w:bookmarkStart w:id="628" w:name="_Toc151190176"/>
      <w:r/>
      <w:bookmarkStart w:id="629" w:name="_Toc151193791"/>
      <w:r/>
      <w:bookmarkStart w:id="630" w:name="_Toc226965739"/>
      <w:r/>
      <w:bookmarkStart w:id="631" w:name="_Toc264969239"/>
      <w:r/>
      <w:bookmarkStart w:id="632" w:name="_Toc150774649"/>
      <w:r/>
      <w:bookmarkStart w:id="633" w:name="_Toc164351643"/>
      <w:r/>
      <w:bookmarkStart w:id="634" w:name="_Toc127151750"/>
      <w:r/>
      <w:bookmarkStart w:id="635" w:name="_Toc226309793"/>
      <w:r/>
      <w:bookmarkStart w:id="636" w:name="_Toc150774754"/>
      <w:r/>
      <w:bookmarkStart w:id="637" w:name="_Toc265228387"/>
      <w:r/>
      <w:bookmarkStart w:id="638" w:name="_Toc151193719"/>
      <w:r/>
      <w:bookmarkStart w:id="639" w:name="_Toc164608663"/>
      <w:r/>
      <w:bookmarkStart w:id="640" w:name="_Toc164229244"/>
      <w:r/>
      <w:bookmarkStart w:id="641" w:name="_Toc195842914"/>
      <w:r/>
      <w:bookmarkStart w:id="642" w:name="_Toc151193863"/>
      <w:r/>
      <w:bookmarkStart w:id="643" w:name="_Toc151193937"/>
      <w:r/>
      <w:bookmarkStart w:id="644" w:name="_Toc151193647"/>
      <w:r/>
      <w:bookmarkStart w:id="645" w:name="_Toc127161463"/>
      <w:r/>
      <w:bookmarkStart w:id="646" w:name="_Toc150509300"/>
      <w:r/>
      <w:bookmarkStart w:id="647" w:name="_Toc226965822"/>
      <w:r/>
      <w:bookmarkStart w:id="648" w:name="_Toc164608818"/>
      <w:r/>
      <w:bookmarkStart w:id="649" w:name="_Toc142311051"/>
      <w:r/>
      <w:bookmarkStart w:id="650" w:name="_Toc150480787"/>
      <w:r/>
      <w:bookmarkStart w:id="651" w:name="_Toc164229390"/>
      <w:r/>
      <w:bookmarkStart w:id="652" w:name="_Ref467307090"/>
      <w:r/>
      <w:bookmarkStart w:id="653" w:name="_Toc520356176"/>
      <w:r/>
      <w:bookmarkStart w:id="654" w:name="_Ref467306425"/>
      <w:r>
        <w:rPr>
          <w:sz w:val="24"/>
        </w:rPr>
        <w:t xml:space="preserve">中标公告与中标通知书</w:t>
      </w:r>
      <w:bookmarkEnd w:id="623"/>
      <w:r/>
      <w:bookmarkEnd w:id="624"/>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0"/>
          <w:numId w:val="8"/>
        </w:numPr>
        <w:ind w:left="357" w:firstLine="482"/>
        <w:spacing w:line="360" w:lineRule="auto"/>
        <w:tabs>
          <w:tab w:val="left" w:pos="360" w:leader="none"/>
        </w:tabs>
        <w:rPr>
          <w:sz w:val="24"/>
        </w:rPr>
        <w:outlineLvl w:val="1"/>
      </w:pPr>
      <w:r/>
      <w:bookmarkStart w:id="655" w:name="_Toc151193648"/>
      <w:r/>
      <w:bookmarkStart w:id="656" w:name="_Toc195842915"/>
      <w:r/>
      <w:bookmarkStart w:id="657" w:name="_Toc226337246"/>
      <w:r/>
      <w:bookmarkStart w:id="658" w:name="_Toc150480788"/>
      <w:r/>
      <w:bookmarkStart w:id="659" w:name="_Ref467306377"/>
      <w:r/>
      <w:bookmarkStart w:id="660" w:name="_Toc164608664"/>
      <w:r/>
      <w:bookmarkStart w:id="661" w:name="_Toc142311052"/>
      <w:r/>
      <w:bookmarkStart w:id="662" w:name="_Toc164608819"/>
      <w:r/>
      <w:bookmarkStart w:id="663" w:name="_Toc127161464"/>
      <w:r/>
      <w:bookmarkStart w:id="664" w:name="_Toc305158818"/>
      <w:r/>
      <w:bookmarkStart w:id="665" w:name="_Toc150774755"/>
      <w:r/>
      <w:bookmarkStart w:id="666" w:name="_Toc264969240"/>
      <w:r/>
      <w:bookmarkStart w:id="667" w:name="_Toc265228388"/>
      <w:r/>
      <w:bookmarkStart w:id="668" w:name="_Toc151190177"/>
      <w:r/>
      <w:bookmarkStart w:id="669" w:name="_Toc226965740"/>
      <w:r/>
      <w:bookmarkStart w:id="670" w:name="_Toc151193864"/>
      <w:r/>
      <w:bookmarkStart w:id="671" w:name="_Toc127151751"/>
      <w:r/>
      <w:bookmarkStart w:id="672" w:name="_Toc151193792"/>
      <w:r/>
      <w:bookmarkStart w:id="673" w:name="_Toc520356175"/>
      <w:r/>
      <w:bookmarkStart w:id="674" w:name="_Toc164351644"/>
      <w:r/>
      <w:bookmarkStart w:id="675" w:name="_Toc149720843"/>
      <w:r/>
      <w:bookmarkStart w:id="676" w:name="_Toc164229245"/>
      <w:r/>
      <w:bookmarkStart w:id="677" w:name="_Toc164229391"/>
      <w:r/>
      <w:bookmarkStart w:id="678" w:name="_Toc226965823"/>
      <w:r/>
      <w:bookmarkStart w:id="679" w:name="_Toc127151550"/>
      <w:r/>
      <w:bookmarkStart w:id="680" w:name="_Toc151193720"/>
      <w:r/>
      <w:bookmarkStart w:id="681" w:name="_Ref467306978"/>
      <w:r/>
      <w:bookmarkStart w:id="682" w:name="_Ref467307062"/>
      <w:r/>
      <w:bookmarkStart w:id="683" w:name="_Ref467307204"/>
      <w:r/>
      <w:bookmarkStart w:id="684" w:name="_Toc305158892"/>
      <w:r/>
      <w:bookmarkStart w:id="685" w:name="_Toc150509301"/>
      <w:r/>
      <w:bookmarkStart w:id="686" w:name="_Toc151193938"/>
      <w:r/>
      <w:bookmarkStart w:id="687" w:name="_Toc150774650"/>
      <w:r/>
      <w:bookmarkStart w:id="688" w:name="_Toc226309794"/>
      <w:r>
        <w:rPr>
          <w:sz w:val="24"/>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2"/>
      <w:r/>
      <w:bookmarkEnd w:id="653"/>
      <w:r/>
      <w:bookmarkEnd w:id="654"/>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90"/>
        </w:rPr>
        <w:t xml:space="preserve">http://gk</w:t>
      </w:r>
      <w:bookmarkStart w:id="689" w:name="_Hlt100654014"/>
      <w:r>
        <w:rPr>
          <w:rStyle w:val="990"/>
        </w:rPr>
        <w:t xml:space="preserve">s</w:t>
      </w:r>
      <w:bookmarkEnd w:id="689"/>
      <w:r>
        <w:rPr>
          <w:rStyle w:val="990"/>
        </w:rPr>
        <w:t xml:space="preserve">.m</w:t>
      </w:r>
      <w:bookmarkStart w:id="690" w:name="_Hlt100653994"/>
      <w:r/>
      <w:bookmarkStart w:id="691" w:name="_Hlt100653993"/>
      <w:r>
        <w:rPr>
          <w:rStyle w:val="990"/>
        </w:rPr>
        <w:t xml:space="preserve">o</w:t>
      </w:r>
      <w:bookmarkEnd w:id="690"/>
      <w:r/>
      <w:bookmarkEnd w:id="691"/>
      <w:r>
        <w:rPr>
          <w:rStyle w:val="990"/>
        </w:rPr>
        <w:t xml:space="preserve">f.gov.cn/ztztz/zhengfucaigouguanli/201802/t20180201_2804589.htm</w:t>
      </w:r>
      <w:r>
        <w:rPr>
          <w:rStyle w:val="990"/>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2" w:name="_Toc265228392"/>
      <w:r/>
      <w:bookmarkStart w:id="693" w:name="_Toc142311056"/>
      <w:r/>
      <w:bookmarkStart w:id="694" w:name="_Toc353825544"/>
      <w:r/>
      <w:bookmarkStart w:id="695" w:name="_Toc226965827"/>
      <w:r/>
      <w:bookmarkStart w:id="696" w:name="_Toc264969244"/>
      <w:r/>
      <w:bookmarkStart w:id="697" w:name="_Toc127151554"/>
      <w:r/>
      <w:bookmarkStart w:id="698" w:name="_Toc305158896"/>
      <w:r/>
      <w:bookmarkStart w:id="699" w:name="_Toc305158822"/>
      <w:r/>
      <w:bookmarkStart w:id="700" w:name="_Toc226337250"/>
      <w:r/>
      <w:bookmarkStart w:id="701" w:name="_Toc150480792"/>
      <w:r/>
      <w:bookmarkStart w:id="702" w:name="_Toc150774759"/>
      <w:r/>
      <w:bookmarkStart w:id="703" w:name="_Toc353873664"/>
      <w:r/>
      <w:bookmarkStart w:id="704" w:name="_Toc35387393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5"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rPr>
        <w:t xml:space="preserve">资格审查</w:t>
      </w:r>
      <w:bookmarkEnd w:id="705"/>
      <w:r/>
      <w:bookmarkStart w:id="706" w:name="_Toc487900382"/>
      <w:r/>
      <w:r/>
    </w:p>
    <w:p>
      <w:pPr>
        <w:ind w:firstLine="482"/>
        <w:jc w:val="center"/>
        <w:spacing w:line="360" w:lineRule="auto"/>
        <w:tabs>
          <w:tab w:val="left" w:pos="360" w:leader="none"/>
          <w:tab w:val="left" w:pos="900" w:leader="none"/>
        </w:tabs>
        <w:rPr>
          <w:b/>
          <w:sz w:val="24"/>
        </w:rPr>
        <w:outlineLvl w:val="1"/>
      </w:pPr>
      <w:r/>
      <w:bookmarkStart w:id="707" w:name="_Toc99301422"/>
      <w:r>
        <w:rPr>
          <w:b/>
          <w:sz w:val="24"/>
        </w:rPr>
        <w:t xml:space="preserve">一、资格审查程序</w:t>
      </w:r>
      <w:bookmarkEnd w:id="707"/>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r/>
    </w:p>
    <w:p>
      <w:pPr>
        <w:pStyle w:val="942"/>
        <w:ind w:firstLine="560"/>
        <w:spacing w:line="360" w:lineRule="auto"/>
        <w:tabs>
          <w:tab w:val="center" w:pos="4592" w:leader="none"/>
          <w:tab w:val="left" w:pos="7860" w:leader="none"/>
        </w:tabs>
        <w:rPr>
          <w:rFonts w:ascii="宋体" w:hAnsi="宋体" w:eastAsia="宋体" w:cs="宋体"/>
          <w:sz w:val="28"/>
        </w:rPr>
      </w:pPr>
      <w:r/>
      <w:bookmarkStart w:id="708" w:name="_Hlt487972895"/>
      <w:r/>
      <w:bookmarkEnd w:id="708"/>
      <w:r/>
      <w:bookmarkStart w:id="709" w:name="_Toc127151779"/>
      <w:r/>
      <w:bookmarkStart w:id="710" w:name="_Toc127161490"/>
      <w:r/>
      <w:bookmarkStart w:id="711" w:name="_Toc353873940"/>
      <w:r/>
      <w:bookmarkStart w:id="712" w:name="_Toc226965858"/>
      <w:r/>
      <w:bookmarkStart w:id="713" w:name="_Toc353825550"/>
      <w:r>
        <w:rPr>
          <w:rFonts w:hint="eastAsia" w:ascii="宋体" w:hAnsi="宋体" w:eastAsia="宋体" w:cs="宋体"/>
          <w:sz w:val="28"/>
        </w:rPr>
        <w:t xml:space="preserve">二、资格审查要求</w:t>
      </w:r>
      <w:r/>
    </w:p>
    <w:tbl>
      <w:tblPr>
        <w:tblStyle w:val="951"/>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93"/>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4" w:name="_Toc99301423"/>
      <w:r>
        <w:rPr>
          <w:b/>
          <w:sz w:val="36"/>
          <w:szCs w:val="36"/>
        </w:rPr>
        <w:t xml:space="preserve">第四章   </w:t>
      </w:r>
      <w:bookmarkEnd w:id="709"/>
      <w:r/>
      <w:bookmarkEnd w:id="710"/>
      <w:r/>
      <w:bookmarkEnd w:id="711"/>
      <w:r/>
      <w:bookmarkEnd w:id="712"/>
      <w:r/>
      <w:bookmarkEnd w:id="713"/>
      <w:r/>
      <w:bookmarkStart w:id="715" w:name="_Hlt164229061"/>
      <w:r/>
      <w:bookmarkEnd w:id="715"/>
      <w:r>
        <w:rPr>
          <w:b/>
          <w:sz w:val="36"/>
          <w:szCs w:val="36"/>
        </w:rPr>
        <w:t xml:space="preserve">评标程序、评标方法和评标标准</w:t>
      </w:r>
      <w:bookmarkEnd w:id="714"/>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6" w:name="_Toc150509292"/>
      <w:r/>
      <w:bookmarkStart w:id="717" w:name="_Toc164351635"/>
      <w:r/>
      <w:bookmarkStart w:id="718" w:name="_Toc127151541"/>
      <w:r/>
      <w:bookmarkStart w:id="719" w:name="_Toc305158809"/>
      <w:r/>
      <w:bookmarkStart w:id="720" w:name="_Toc151193711"/>
      <w:r/>
      <w:bookmarkStart w:id="721" w:name="_Toc149720834"/>
      <w:r/>
      <w:bookmarkStart w:id="722" w:name="_Toc151193783"/>
      <w:r/>
      <w:bookmarkStart w:id="723" w:name="_Toc164608655"/>
      <w:r/>
      <w:bookmarkStart w:id="724" w:name="_Toc151193929"/>
      <w:r/>
      <w:bookmarkStart w:id="725" w:name="_Toc305158883"/>
      <w:r/>
      <w:bookmarkStart w:id="726" w:name="_Toc151193639"/>
      <w:r/>
      <w:bookmarkStart w:id="727" w:name="_Toc150480779"/>
      <w:r/>
      <w:bookmarkStart w:id="728" w:name="_Toc164608810"/>
      <w:r/>
      <w:bookmarkStart w:id="729" w:name="_Toc127151742"/>
      <w:r/>
      <w:bookmarkStart w:id="730" w:name="_Toc226965731"/>
      <w:r/>
      <w:bookmarkStart w:id="731" w:name="_Toc142311043"/>
      <w:r/>
      <w:bookmarkStart w:id="732" w:name="_Toc151190168"/>
      <w:r/>
      <w:bookmarkStart w:id="733" w:name="_Toc127161455"/>
      <w:r/>
      <w:bookmarkStart w:id="734" w:name="_Toc195842906"/>
      <w:r/>
      <w:bookmarkStart w:id="735" w:name="_Toc151193855"/>
      <w:r/>
      <w:bookmarkStart w:id="736" w:name="_Toc164229382"/>
      <w:r/>
      <w:bookmarkStart w:id="737" w:name="_Toc226337237"/>
      <w:r/>
      <w:bookmarkStart w:id="738" w:name="_Toc226965814"/>
      <w:r/>
      <w:bookmarkStart w:id="739" w:name="_Toc264969231"/>
      <w:r/>
      <w:bookmarkStart w:id="740" w:name="_Toc226309785"/>
      <w:r/>
      <w:bookmarkStart w:id="741" w:name="_Toc150774746"/>
      <w:r/>
      <w:bookmarkStart w:id="742" w:name="_Toc265228379"/>
      <w:r/>
      <w:bookmarkStart w:id="743" w:name="_Toc164229236"/>
      <w:r/>
      <w:bookmarkStart w:id="744" w:name="_Toc150774641"/>
      <w:r/>
      <w:bookmarkStart w:id="745" w:name="_Toc353873941"/>
      <w:r/>
      <w:bookmarkStart w:id="746" w:name="_Toc353825551"/>
      <w:r/>
      <w:bookmarkStart w:id="747" w:name="_Toc142311057"/>
      <w:r/>
      <w:bookmarkStart w:id="748" w:name="_Toc265228393"/>
      <w:r/>
      <w:bookmarkStart w:id="749" w:name="_Toc305158823"/>
      <w:r/>
      <w:bookmarkStart w:id="750" w:name="_Toc226337251"/>
      <w:r/>
      <w:bookmarkStart w:id="751" w:name="_Toc195842920"/>
      <w:r/>
      <w:bookmarkStart w:id="752" w:name="_Toc305158897"/>
      <w:r/>
      <w:bookmarkStart w:id="753" w:name="_Toc264969245"/>
      <w:r/>
      <w:bookmarkStart w:id="754" w:name="_Toc127151555"/>
      <w:r/>
      <w:bookmarkStart w:id="755" w:name="_Toc353873935"/>
      <w:r/>
      <w:bookmarkStart w:id="756" w:name="_Toc150480793"/>
      <w:r/>
      <w:bookmarkStart w:id="757" w:name="_Toc353873665"/>
      <w:r/>
      <w:bookmarkStart w:id="758" w:name="_Toc150774760"/>
      <w:r/>
      <w:bookmarkStart w:id="759" w:name="_Toc226965828"/>
      <w:r/>
      <w:bookmarkStart w:id="760" w:name="_Toc353825545"/>
      <w:r>
        <w:rPr>
          <w:rFonts w:hint="eastAsia"/>
          <w:sz w:val="24"/>
        </w:rPr>
        <w:t xml:space="preserve">1</w:t>
      </w:r>
      <w:r>
        <w:rPr>
          <w:sz w:val="24"/>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61"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1471"/>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93"/>
        <w:sectPr>
          <w:footerReference w:type="even" r:id="rId11"/>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 采购本国产品的支持政策（本项目不适用）</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2.6.2 当采购项目或者采购包中含有多种产品，</w:t>
      </w:r>
      <w:r>
        <w:rPr>
          <w:sz w:val="24"/>
        </w:rPr>
        <w:t xml:space="preserve">投标人</w:t>
      </w:r>
      <w:r>
        <w:rPr>
          <w:rFonts w:hint="eastAsia"/>
          <w:sz w:val="24"/>
        </w:rPr>
        <w:t xml:space="preserve">为该采购项目或者采购包提供的符合本国产品标准的产品成本之和占该供应商提供的全部产品成本之和的比例达到80%以上时（</w:t>
      </w:r>
      <w:r>
        <w:rPr>
          <w:b/>
          <w:bCs/>
          <w:sz w:val="24"/>
        </w:rPr>
        <w:t xml:space="preserve">投标人</w:t>
      </w:r>
      <w:r>
        <w:rPr>
          <w:rFonts w:hint="eastAsia"/>
          <w:b/>
          <w:bCs/>
          <w:sz w:val="24"/>
        </w:rPr>
        <w:t xml:space="preserve">需在“投标文件格式”的“投标分项报价表”中填写比例数值）</w:t>
      </w:r>
      <w:r>
        <w:rPr>
          <w:rFonts w:hint="eastAsia"/>
          <w:sz w:val="24"/>
        </w:rPr>
        <w:t xml:space="preserve">，依法对该</w:t>
      </w:r>
      <w:r>
        <w:rPr>
          <w:sz w:val="24"/>
        </w:rPr>
        <w:t xml:space="preserve">投标人</w:t>
      </w:r>
      <w:r>
        <w:rPr>
          <w:rFonts w:hint="eastAsia"/>
          <w:sz w:val="24"/>
        </w:rPr>
        <w:t xml:space="preserve">提供的全部产品给予价格评审优惠，即对该</w:t>
      </w:r>
      <w:r>
        <w:rPr>
          <w:sz w:val="24"/>
        </w:rPr>
        <w:t xml:space="preserve">投标人</w:t>
      </w:r>
      <w:r>
        <w:rPr>
          <w:rFonts w:hint="eastAsia"/>
          <w:sz w:val="24"/>
        </w:rPr>
        <w:t xml:space="preserve">提供的全部产品的总报价给予20%的价格扣除，用扣除后的价格参与评审。</w:t>
      </w:r>
      <w:r>
        <w:rPr>
          <w:sz w:val="24"/>
        </w:rPr>
        <w:t xml:space="preserve">投标人</w:t>
      </w:r>
      <w:r>
        <w:rPr>
          <w:rFonts w:hint="eastAsia"/>
          <w:sz w:val="24"/>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2.6.3 </w:t>
      </w:r>
      <w:r>
        <w:rPr>
          <w:sz w:val="24"/>
        </w:rPr>
        <w:t xml:space="preserve">投标人</w:t>
      </w:r>
      <w:r>
        <w:rPr>
          <w:rFonts w:hint="eastAsia"/>
          <w:sz w:val="24"/>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2.6.4 </w:t>
      </w:r>
      <w:r>
        <w:rPr>
          <w:sz w:val="24"/>
        </w:rPr>
        <w:t xml:space="preserve">投标人</w:t>
      </w:r>
      <w:r>
        <w:rPr>
          <w:rFonts w:hint="eastAsia"/>
          <w:sz w:val="24"/>
        </w:rPr>
        <w:t xml:space="preserve">需在《声明函》中逐一、</w:t>
      </w:r>
      <w:r>
        <w:rPr>
          <w:sz w:val="24"/>
        </w:rPr>
        <w:t xml:space="preserve">准确</w:t>
      </w:r>
      <w:r>
        <w:rPr>
          <w:rFonts w:hint="eastAsia"/>
          <w:sz w:val="24"/>
        </w:rPr>
        <w:t xml:space="preserve">填写产品名称、厂名、生产厂址三项信息（《声明函》中用删除线划除的地方无需填写），三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2.6.5 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rPr>
      </w:pPr>
      <w:r>
        <w:rPr>
          <w:rFonts w:hint="eastAsia"/>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5"/>
      <w:r/>
      <w:bookmarkEnd w:id="746"/>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2" w:name="_Toc226965736"/>
      <w:r/>
      <w:bookmarkStart w:id="763" w:name="_Toc151193860"/>
      <w:r/>
      <w:bookmarkStart w:id="764" w:name="_Toc151190173"/>
      <w:r/>
      <w:bookmarkStart w:id="765" w:name="_Toc151193788"/>
      <w:r/>
      <w:bookmarkStart w:id="766" w:name="_Toc127161460"/>
      <w:r/>
      <w:bookmarkStart w:id="767" w:name="_Toc226309790"/>
      <w:r/>
      <w:bookmarkStart w:id="768" w:name="_Toc151193716"/>
      <w:r/>
      <w:bookmarkStart w:id="769" w:name="_Toc164351640"/>
      <w:r/>
      <w:bookmarkStart w:id="770" w:name="_Toc150509297"/>
      <w:r/>
      <w:bookmarkStart w:id="771" w:name="_Toc520356170"/>
      <w:r/>
      <w:bookmarkStart w:id="772" w:name="_Toc226965819"/>
      <w:r/>
      <w:bookmarkStart w:id="773" w:name="_Toc195842911"/>
      <w:r/>
      <w:bookmarkStart w:id="774" w:name="_Toc164608660"/>
      <w:r/>
      <w:bookmarkStart w:id="775" w:name="_Toc164229387"/>
      <w:r/>
      <w:bookmarkStart w:id="776" w:name="_Toc151193934"/>
      <w:r/>
      <w:bookmarkStart w:id="777" w:name="_Toc151193644"/>
      <w:r/>
      <w:bookmarkStart w:id="778" w:name="_Toc150480784"/>
      <w:r/>
      <w:bookmarkStart w:id="779" w:name="_Toc150774646"/>
      <w:r/>
      <w:bookmarkStart w:id="780" w:name="_Toc264969236"/>
      <w:r/>
      <w:bookmarkStart w:id="781" w:name="_Toc150774751"/>
      <w:r/>
      <w:bookmarkStart w:id="782" w:name="_Toc142311048"/>
      <w:r/>
      <w:bookmarkStart w:id="783" w:name="_Toc265228384"/>
      <w:r/>
      <w:bookmarkStart w:id="784" w:name="_Toc305158814"/>
      <w:r/>
      <w:bookmarkStart w:id="785" w:name="_Toc164608815"/>
      <w:r/>
      <w:bookmarkStart w:id="786" w:name="_Toc149720839"/>
      <w:r/>
      <w:bookmarkStart w:id="787" w:name="_Toc305158888"/>
      <w:r/>
      <w:bookmarkStart w:id="788" w:name="_Toc127151546"/>
      <w:r/>
      <w:bookmarkStart w:id="789" w:name="_Toc127151747"/>
      <w:r/>
      <w:bookmarkStart w:id="790" w:name="_Toc226337242"/>
      <w:r/>
      <w:bookmarkStart w:id="791" w:name="_Toc164229241"/>
      <w:r/>
      <w:bookmarkStart w:id="792" w:name="_Ref467307010"/>
      <w:r>
        <w:rPr>
          <w:sz w:val="24"/>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numPr>
          <w:ilvl w:val="1"/>
          <w:numId w:val="0"/>
        </w:numPr>
        <w:ind w:left="1077" w:hanging="720"/>
        <w:spacing w:line="360" w:lineRule="auto"/>
        <w:tabs>
          <w:tab w:val="left" w:pos="1080" w:leader="none"/>
        </w:tabs>
        <w:rPr>
          <w:sz w:val="24"/>
          <w:highlight w:val="green"/>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65"/>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65"/>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tbl>
      <w:tblPr>
        <w:tblStyle w:val="951"/>
        <w:tblW w:w="5230" w:type="pct"/>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297"/>
        <w:gridCol w:w="893"/>
        <w:gridCol w:w="3918"/>
        <w:gridCol w:w="1705"/>
      </w:tblGrid>
      <w:tr>
        <w:trPr/>
        <w:tc>
          <w:tcPr>
            <w:tcW w:w="614" w:type="pct"/>
            <w:vAlign w:val="center"/>
            <w:textDirection w:val="lrTb"/>
            <w:noWrap w:val="false"/>
          </w:tcPr>
          <w:p>
            <w:pPr>
              <w:ind w:firstLine="28"/>
              <w:jc w:val="center"/>
              <w:spacing w:line="400" w:lineRule="exact"/>
              <w:rPr>
                <w:rFonts w:ascii="宋体" w:hAnsi="宋体" w:cs="宋体"/>
                <w:b/>
                <w:szCs w:val="21"/>
              </w:rPr>
            </w:pPr>
            <w:r>
              <w:rPr>
                <w:rFonts w:hint="eastAsia" w:ascii="宋体" w:hAnsi="宋体" w:cs="宋体"/>
                <w:b/>
                <w:szCs w:val="21"/>
              </w:rPr>
              <w:t xml:space="preserve">序号</w:t>
            </w:r>
            <w:r/>
          </w:p>
        </w:tc>
        <w:tc>
          <w:tcPr>
            <w:tcW w:w="728" w:type="pct"/>
            <w:vAlign w:val="center"/>
            <w:textDirection w:val="lrTb"/>
            <w:noWrap w:val="false"/>
          </w:tcPr>
          <w:p>
            <w:pPr>
              <w:ind w:firstLine="28"/>
              <w:jc w:val="center"/>
              <w:spacing w:line="400" w:lineRule="exact"/>
              <w:rPr>
                <w:rFonts w:ascii="宋体" w:hAnsi="宋体" w:cs="宋体"/>
                <w:b/>
                <w:szCs w:val="21"/>
              </w:rPr>
            </w:pPr>
            <w:r>
              <w:rPr>
                <w:rFonts w:hint="eastAsia" w:ascii="宋体" w:hAnsi="宋体" w:cs="宋体"/>
                <w:b/>
                <w:szCs w:val="21"/>
              </w:rPr>
              <w:t xml:space="preserve">评分因素</w:t>
            </w:r>
            <w:r/>
          </w:p>
        </w:tc>
        <w:tc>
          <w:tcPr>
            <w:tcW w:w="501" w:type="pct"/>
            <w:vAlign w:val="center"/>
            <w:textDirection w:val="lrTb"/>
            <w:noWrap w:val="false"/>
          </w:tcPr>
          <w:p>
            <w:pPr>
              <w:ind w:firstLine="28"/>
              <w:jc w:val="center"/>
              <w:spacing w:line="400" w:lineRule="exact"/>
              <w:rPr>
                <w:rFonts w:ascii="宋体" w:hAnsi="宋体" w:cs="宋体"/>
                <w:b/>
                <w:szCs w:val="21"/>
              </w:rPr>
            </w:pPr>
            <w:r>
              <w:rPr>
                <w:rFonts w:hint="eastAsia" w:ascii="宋体" w:hAnsi="宋体" w:cs="宋体"/>
                <w:b/>
                <w:szCs w:val="21"/>
              </w:rPr>
              <w:t xml:space="preserve">分值</w:t>
            </w:r>
            <w:r/>
          </w:p>
        </w:tc>
        <w:tc>
          <w:tcPr>
            <w:tcW w:w="2199" w:type="pct"/>
            <w:vAlign w:val="center"/>
            <w:textDirection w:val="lrTb"/>
            <w:noWrap w:val="false"/>
          </w:tcPr>
          <w:p>
            <w:pPr>
              <w:ind w:firstLine="28"/>
              <w:jc w:val="center"/>
              <w:spacing w:line="400" w:lineRule="exact"/>
              <w:rPr>
                <w:rFonts w:ascii="宋体" w:hAnsi="宋体" w:cs="宋体"/>
                <w:b/>
                <w:szCs w:val="21"/>
              </w:rPr>
            </w:pPr>
            <w:r>
              <w:rPr>
                <w:rFonts w:hint="eastAsia" w:ascii="宋体" w:hAnsi="宋体" w:cs="宋体"/>
                <w:b/>
                <w:szCs w:val="21"/>
              </w:rPr>
              <w:t xml:space="preserve">评分标准</w:t>
            </w:r>
            <w:r/>
          </w:p>
        </w:tc>
        <w:tc>
          <w:tcPr>
            <w:tcW w:w="957" w:type="pct"/>
            <w:vAlign w:val="center"/>
            <w:textDirection w:val="lrTb"/>
            <w:noWrap w:val="false"/>
          </w:tcPr>
          <w:p>
            <w:pPr>
              <w:pStyle w:val="1185"/>
              <w:spacing w:before="0" w:after="0" w:line="40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631"/>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1</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价格分</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hint="eastAsia" w:ascii="宋体" w:hAnsi="宋体" w:cs="宋体"/>
                <w:bCs/>
                <w:color w:val="000000"/>
                <w:szCs w:val="21"/>
              </w:rPr>
              <w:t xml:space="preserve">10</w:t>
            </w:r>
            <w:r/>
          </w:p>
        </w:tc>
        <w:tc>
          <w:tcPr>
            <w:tcW w:w="219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满足招标文件要求且投标价格最低的投标报价为评标基准价，其价格分为满分。其他投标人的价格分统一按照下列公式计算：</w:t>
            </w:r>
            <w:r/>
          </w:p>
          <w:p>
            <w:pPr>
              <w:spacing w:line="400" w:lineRule="exact"/>
              <w:rPr>
                <w:rFonts w:ascii="宋体" w:hAnsi="宋体" w:cs="宋体"/>
                <w:szCs w:val="21"/>
              </w:rPr>
            </w:pPr>
            <w:r>
              <w:rPr>
                <w:rFonts w:hint="eastAsia" w:ascii="宋体" w:hAnsi="宋体" w:cs="宋体"/>
                <w:szCs w:val="21"/>
              </w:rPr>
              <w:t xml:space="preserve">投标报价得分＝（评标基准价/投标报价）×分值。</w:t>
            </w:r>
            <w:r/>
          </w:p>
        </w:tc>
        <w:tc>
          <w:tcPr>
            <w:tcW w:w="957"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此处投标报价指经过报价修正，及因落实政府采购政策进行价格调整后的报价，详见《评标方法和评标标准》</w:t>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主观分</w:t>
            </w:r>
            <w:r/>
          </w:p>
        </w:tc>
        <w:tc>
          <w:tcPr>
            <w:tcW w:w="501" w:type="pct"/>
            <w:vAlign w:val="center"/>
            <w:textDirection w:val="lrTb"/>
            <w:noWrap w:val="false"/>
          </w:tcPr>
          <w:p>
            <w:pPr>
              <w:ind w:firstLine="28"/>
              <w:jc w:val="center"/>
              <w:spacing w:line="400" w:lineRule="exact"/>
              <w:rPr>
                <w:rFonts w:ascii="宋体" w:hAnsi="宋体" w:cs="宋体"/>
                <w:bCs/>
                <w:color w:val="000000"/>
                <w:szCs w:val="21"/>
                <w:highlight w:val="yellow"/>
              </w:rPr>
            </w:pPr>
            <w:r>
              <w:rPr>
                <w:rFonts w:ascii="宋体" w:hAnsi="宋体" w:cs="宋体"/>
                <w:bCs/>
                <w:color w:val="000000"/>
                <w:szCs w:val="21"/>
                <w:highlight w:val="none"/>
              </w:rPr>
              <w:t xml:space="preserve">50</w:t>
            </w:r>
            <w:r/>
          </w:p>
        </w:tc>
        <w:tc>
          <w:tcPr>
            <w:tcW w:w="2199" w:type="pct"/>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2.1</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cs="宋体" w:asciiTheme="minorEastAsia" w:hAnsiTheme="minorEastAsia"/>
                <w:color w:val="000000" w:themeColor="text1"/>
                <w:szCs w:val="21"/>
                <w14:textFill>
                  <w14:solidFill>
                    <w14:schemeClr w14:val="tx1"/>
                  </w14:solidFill>
                </w14:textFill>
              </w:rPr>
              <w:t xml:space="preserve">运维管理方案</w:t>
            </w:r>
            <w:r/>
          </w:p>
        </w:tc>
        <w:tc>
          <w:tcPr>
            <w:tcW w:w="501" w:type="pct"/>
            <w:vAlign w:val="center"/>
            <w:textDirection w:val="lrTb"/>
            <w:noWrap w:val="false"/>
          </w:tcPr>
          <w:p>
            <w:pPr>
              <w:ind w:firstLine="28"/>
              <w:jc w:val="center"/>
              <w:spacing w:line="400" w:lineRule="exact"/>
              <w:rPr>
                <w:rFonts w:ascii="宋体" w:hAnsi="宋体" w:cs="宋体"/>
                <w:bCs/>
                <w:color w:val="000000"/>
                <w:szCs w:val="21"/>
                <w:highlight w:val="yellow"/>
              </w:rPr>
            </w:pPr>
            <w:r>
              <w:rPr>
                <w:rFonts w:ascii="宋体" w:hAnsi="宋体" w:cs="宋体"/>
                <w:bCs/>
                <w:color w:val="000000"/>
                <w:szCs w:val="21"/>
                <w:highlight w:val="none"/>
              </w:rPr>
              <w:t xml:space="preserve">10</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评委根据投标人提供的运维管理方案是否合理可行，服务过程中如何保证服务质量、污水处理设施维护保养</w:t>
            </w:r>
            <w:r>
              <w:rPr>
                <w:rFonts w:cs="宋体" w:asciiTheme="minorEastAsia" w:hAnsiTheme="minorEastAsia"/>
                <w:color w:val="000000" w:themeColor="text1"/>
                <w:szCs w:val="21"/>
                <w14:textFill>
                  <w14:solidFill>
                    <w14:schemeClr w14:val="tx1"/>
                  </w14:solidFill>
                </w14:textFill>
              </w:rPr>
              <w:t xml:space="preserve">、维修</w:t>
            </w:r>
            <w:r>
              <w:rPr>
                <w:rFonts w:hint="eastAsia" w:cs="宋体" w:asciiTheme="minorEastAsia" w:hAnsiTheme="minorEastAsia"/>
                <w:color w:val="000000" w:themeColor="text1"/>
                <w:szCs w:val="21"/>
                <w14:textFill>
                  <w14:solidFill>
                    <w14:schemeClr w14:val="tx1"/>
                  </w14:solidFill>
                </w14:textFill>
              </w:rPr>
              <w:t xml:space="preserve">、污水出水水质、以及污水处理进度等方面进行综合打分(包括</w:t>
            </w:r>
            <w:r>
              <w:rPr>
                <w:rFonts w:cs="宋体" w:asciiTheme="minorEastAsia" w:hAnsiTheme="minorEastAsia"/>
                <w:color w:val="000000" w:themeColor="text1"/>
                <w:szCs w:val="21"/>
                <w14:textFill>
                  <w14:solidFill>
                    <w14:schemeClr w14:val="tx1"/>
                  </w14:solidFill>
                </w14:textFill>
              </w:rPr>
              <w:t xml:space="preserve">但不限于</w:t>
            </w:r>
            <w:r>
              <w:rPr>
                <w:rFonts w:hint="eastAsia" w:cs="宋体" w:asciiTheme="minorEastAsia" w:hAnsiTheme="minorEastAsia"/>
                <w:color w:val="000000" w:themeColor="text1"/>
                <w:szCs w:val="21"/>
                <w14:textFill>
                  <w14:solidFill>
                    <w14:schemeClr w14:val="tx1"/>
                  </w14:solidFill>
                </w14:textFill>
              </w:rPr>
              <w:t xml:space="preserve">主要</w:t>
            </w:r>
            <w:r>
              <w:rPr>
                <w:rFonts w:cs="宋体" w:asciiTheme="minorEastAsia" w:hAnsiTheme="minorEastAsia"/>
                <w:color w:val="000000" w:themeColor="text1"/>
                <w:szCs w:val="21"/>
                <w14:textFill>
                  <w14:solidFill>
                    <w14:schemeClr w14:val="tx1"/>
                  </w14:solidFill>
                </w14:textFill>
              </w:rPr>
              <w:t xml:space="preserve">设备维护保养频次、维护保养内容、</w:t>
            </w:r>
            <w:r>
              <w:rPr>
                <w:rFonts w:hint="eastAsia" w:cs="宋体" w:asciiTheme="minorEastAsia" w:hAnsiTheme="minorEastAsia"/>
                <w:color w:val="000000" w:themeColor="text1"/>
                <w:szCs w:val="21"/>
                <w14:textFill>
                  <w14:solidFill>
                    <w14:schemeClr w14:val="tx1"/>
                  </w14:solidFill>
                </w14:textFill>
              </w:rPr>
              <w:t xml:space="preserve">各类指标</w:t>
            </w:r>
            <w:r>
              <w:rPr>
                <w:rFonts w:cs="宋体" w:asciiTheme="minorEastAsia" w:hAnsiTheme="minorEastAsia"/>
                <w:color w:val="000000" w:themeColor="text1"/>
                <w:szCs w:val="21"/>
                <w14:textFill>
                  <w14:solidFill>
                    <w14:schemeClr w14:val="tx1"/>
                  </w14:solidFill>
                </w14:textFill>
              </w:rPr>
              <w:t xml:space="preserve">检测频次及内容</w:t>
            </w:r>
            <w:r>
              <w:rPr>
                <w:rFonts w:hint="eastAsia" w:cs="宋体" w:asciiTheme="minorEastAsia" w:hAnsiTheme="minorEastAsia"/>
                <w:color w:val="000000" w:themeColor="text1"/>
                <w:szCs w:val="21"/>
                <w14:textFill>
                  <w14:solidFill>
                    <w14:schemeClr w14:val="tx1"/>
                  </w14:solidFill>
                </w14:textFill>
              </w:rPr>
              <w:t xml:space="preserve">)：</w:t>
            </w:r>
            <w:r/>
          </w:p>
          <w:p>
            <w:pPr>
              <w:spacing w:line="360" w:lineRule="exact"/>
              <w:rPr>
                <w:rFonts w:cs="宋体" w:asciiTheme="minorEastAsia" w:hAnsiTheme="minorEastAsia"/>
                <w:szCs w:val="21"/>
              </w:rPr>
            </w:pPr>
            <w:r>
              <w:rPr>
                <w:rFonts w:hint="eastAsia" w:cs="宋体" w:asciiTheme="minorEastAsia" w:hAnsiTheme="minorEastAsia"/>
                <w:szCs w:val="21"/>
              </w:rPr>
              <w:t xml:space="preserve">方案详细全面，科学合理，可行性高，完全符合采购人需求，得</w:t>
            </w:r>
            <w:r>
              <w:rPr>
                <w:rFonts w:cs="宋体" w:asciiTheme="minorEastAsia" w:hAnsiTheme="minorEastAsia"/>
                <w:szCs w:val="21"/>
              </w:rPr>
              <w:t xml:space="preserve">10</w:t>
            </w:r>
            <w:r>
              <w:rPr>
                <w:rFonts w:hint="eastAsia" w:cs="宋体" w:asciiTheme="minorEastAsia" w:hAnsiTheme="minorEastAsia"/>
                <w:szCs w:val="21"/>
              </w:rPr>
              <w:t xml:space="preserve">分；</w:t>
            </w:r>
            <w:r/>
          </w:p>
          <w:p>
            <w:pPr>
              <w:spacing w:line="360" w:lineRule="exact"/>
              <w:rPr>
                <w:rFonts w:cs="宋体" w:asciiTheme="minorEastAsia" w:hAnsiTheme="minorEastAsia"/>
                <w:szCs w:val="21"/>
                <w:highlight w:val="none"/>
              </w:rPr>
            </w:pPr>
            <w:r>
              <w:rPr>
                <w:rFonts w:hint="eastAsia" w:cs="宋体" w:asciiTheme="minorEastAsia" w:hAnsiTheme="minorEastAsia"/>
                <w:szCs w:val="21"/>
              </w:rPr>
              <w:t xml:space="preserve">方案比较全面</w:t>
            </w:r>
            <w:r>
              <w:rPr>
                <w:rFonts w:hint="eastAsia" w:cs="宋体" w:asciiTheme="minorEastAsia" w:hAnsiTheme="minorEastAsia"/>
                <w:szCs w:val="21"/>
                <w:lang w:eastAsia="zh-CN"/>
              </w:rPr>
              <w:t xml:space="preserve">，具</w:t>
            </w:r>
            <w:r>
              <w:rPr>
                <w:rFonts w:hint="eastAsia" w:cs="宋体" w:asciiTheme="minorEastAsia" w:hAnsiTheme="minorEastAsia"/>
                <w:szCs w:val="21"/>
              </w:rPr>
              <w:t xml:space="preserve">有较强的可行性，基本可以满足采购人需求，</w:t>
            </w:r>
            <w:r>
              <w:rPr>
                <w:rFonts w:hint="eastAsia" w:cs="宋体" w:asciiTheme="minorEastAsia" w:hAnsiTheme="minorEastAsia"/>
                <w:szCs w:val="21"/>
                <w:highlight w:val="none"/>
              </w:rPr>
              <w:t xml:space="preserve">得</w:t>
            </w:r>
            <w:r>
              <w:rPr>
                <w:rFonts w:hint="eastAsia" w:cs="宋体" w:asciiTheme="minorEastAsia" w:hAnsiTheme="minorEastAsia"/>
                <w:szCs w:val="21"/>
                <w:highlight w:val="none"/>
                <w:lang w:val="en-US" w:eastAsia="zh-CN"/>
              </w:rPr>
              <w:t xml:space="preserve">7</w:t>
            </w:r>
            <w:r>
              <w:rPr>
                <w:rFonts w:hint="eastAsia" w:cs="宋体" w:asciiTheme="minorEastAsia" w:hAnsiTheme="minorEastAsia"/>
                <w:szCs w:val="21"/>
                <w:highlight w:val="none"/>
              </w:rPr>
              <w:t xml:space="preserve">分；</w:t>
            </w:r>
            <w:r/>
          </w:p>
          <w:p>
            <w:pPr>
              <w:spacing w:line="36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方案简单，但基本合理，有可行性，较能满足采购人需求，得</w:t>
            </w:r>
            <w:r>
              <w:rPr>
                <w:rFonts w:hint="eastAsia" w:cs="宋体" w:asciiTheme="minorEastAsia" w:hAnsiTheme="minorEastAsia"/>
                <w:szCs w:val="21"/>
                <w:highlight w:val="none"/>
                <w:lang w:val="en-US" w:eastAsia="zh-CN"/>
              </w:rPr>
              <w:t xml:space="preserve">4</w:t>
            </w:r>
            <w:r>
              <w:rPr>
                <w:rFonts w:hint="eastAsia" w:cs="宋体" w:asciiTheme="minorEastAsia" w:hAnsiTheme="minorEastAsia"/>
                <w:szCs w:val="21"/>
                <w:highlight w:val="none"/>
              </w:rPr>
              <w:t xml:space="preserve">分；</w:t>
            </w:r>
            <w:r/>
          </w:p>
          <w:p>
            <w:pPr>
              <w:spacing w:line="36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方案粗糙，合理性、可行性欠缺太多，不能满足采购人需求，得</w:t>
            </w:r>
            <w:r>
              <w:rPr>
                <w:rFonts w:hint="eastAsia" w:cs="宋体" w:asciiTheme="minorEastAsia" w:hAnsiTheme="minorEastAsia"/>
                <w:szCs w:val="21"/>
                <w:highlight w:val="none"/>
                <w:lang w:val="en-US" w:eastAsia="zh-CN"/>
              </w:rPr>
              <w:t xml:space="preserve">1</w:t>
            </w:r>
            <w:r>
              <w:rPr>
                <w:rFonts w:hint="eastAsia" w:cs="宋体" w:asciiTheme="minorEastAsia" w:hAnsiTheme="minorEastAsia"/>
                <w:szCs w:val="21"/>
                <w:highlight w:val="none"/>
              </w:rPr>
              <w:t xml:space="preserve">分；</w:t>
            </w:r>
            <w:r/>
          </w:p>
          <w:p>
            <w:pPr>
              <w:spacing w:line="400" w:lineRule="exact"/>
              <w:rPr>
                <w:rFonts w:ascii="宋体" w:hAnsi="宋体" w:cs="宋体"/>
                <w:szCs w:val="21"/>
              </w:rPr>
            </w:pPr>
            <w:r>
              <w:rPr>
                <w:rFonts w:hint="eastAsia" w:cs="宋体" w:asciiTheme="minorEastAsia" w:hAnsiTheme="minorEastAsia"/>
                <w:szCs w:val="21"/>
                <w:highlight w:val="none"/>
              </w:rPr>
              <w:t xml:space="preserve">未提供本项不得分。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2.2</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cs="宋体" w:asciiTheme="minorEastAsia" w:hAnsiTheme="minorEastAsia"/>
                <w:color w:val="000000" w:themeColor="text1"/>
                <w:szCs w:val="21"/>
                <w14:textFill>
                  <w14:solidFill>
                    <w14:schemeClr w14:val="tx1"/>
                  </w14:solidFill>
                </w14:textFill>
              </w:rPr>
              <w:t xml:space="preserve">运维</w:t>
            </w:r>
            <w:r>
              <w:rPr>
                <w:rFonts w:cs="宋体" w:asciiTheme="minorEastAsia" w:hAnsiTheme="minorEastAsia"/>
                <w:color w:val="000000" w:themeColor="text1"/>
                <w:szCs w:val="21"/>
                <w14:textFill>
                  <w14:solidFill>
                    <w14:schemeClr w14:val="tx1"/>
                  </w14:solidFill>
                </w14:textFill>
              </w:rPr>
              <w:t xml:space="preserve">管理服务工作标准及配套样表</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hint="eastAsia" w:ascii="宋体" w:hAnsi="宋体" w:cs="宋体"/>
                <w:bCs/>
                <w:color w:val="000000"/>
                <w:szCs w:val="21"/>
              </w:rPr>
              <w:t xml:space="preserve">10</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评委根据投标人提供的运维管理服务工作标准和草拟的配套表样(投标人须设计本项目所使用到的相关样表：</w:t>
            </w:r>
            <w:r>
              <w:rPr>
                <w:rFonts w:cs="宋体" w:asciiTheme="minorEastAsia" w:hAnsiTheme="minorEastAsia"/>
                <w:color w:val="000000" w:themeColor="text1"/>
                <w:szCs w:val="21"/>
                <w14:textFill>
                  <w14:solidFill>
                    <w14:schemeClr w14:val="tx1"/>
                  </w14:solidFill>
                </w14:textFill>
              </w:rPr>
              <w:t xml:space="preserve">如</w:t>
            </w:r>
            <w:r>
              <w:rPr>
                <w:rFonts w:hint="eastAsia" w:cs="宋体" w:asciiTheme="minorEastAsia" w:hAnsiTheme="minorEastAsia"/>
                <w:color w:val="000000" w:themeColor="text1"/>
                <w:szCs w:val="21"/>
                <w14:textFill>
                  <w14:solidFill>
                    <w14:schemeClr w14:val="tx1"/>
                  </w14:solidFill>
                </w14:textFill>
              </w:rPr>
              <w:t xml:space="preserve">设备保养记录</w:t>
            </w:r>
            <w:r>
              <w:rPr>
                <w:rFonts w:cs="宋体" w:asciiTheme="minorEastAsia" w:hAnsiTheme="minorEastAsia"/>
                <w:color w:val="000000" w:themeColor="text1"/>
                <w:szCs w:val="21"/>
                <w14:textFill>
                  <w14:solidFill>
                    <w14:schemeClr w14:val="tx1"/>
                  </w14:solidFill>
                </w14:textFill>
              </w:rPr>
              <w:t xml:space="preserve">、维修</w:t>
            </w:r>
            <w:r>
              <w:rPr>
                <w:rFonts w:hint="eastAsia" w:cs="宋体" w:asciiTheme="minorEastAsia" w:hAnsiTheme="minorEastAsia"/>
                <w:color w:val="000000" w:themeColor="text1"/>
                <w:szCs w:val="21"/>
                <w14:textFill>
                  <w14:solidFill>
                    <w14:schemeClr w14:val="tx1"/>
                  </w14:solidFill>
                </w14:textFill>
              </w:rPr>
              <w:t xml:space="preserve">记录、数据</w:t>
            </w:r>
            <w:r>
              <w:rPr>
                <w:rFonts w:cs="宋体" w:asciiTheme="minorEastAsia" w:hAnsiTheme="minorEastAsia"/>
                <w:color w:val="000000" w:themeColor="text1"/>
                <w:szCs w:val="21"/>
                <w14:textFill>
                  <w14:solidFill>
                    <w14:schemeClr w14:val="tx1"/>
                  </w14:solidFill>
                </w14:textFill>
              </w:rPr>
              <w:t xml:space="preserve">记录等</w:t>
            </w:r>
            <w:r>
              <w:rPr>
                <w:rFonts w:hint="eastAsia" w:cs="宋体" w:asciiTheme="minorEastAsia" w:hAnsiTheme="minorEastAsia"/>
                <w:color w:val="000000" w:themeColor="text1"/>
                <w:szCs w:val="21"/>
                <w14:textFill>
                  <w14:solidFill>
                    <w14:schemeClr w14:val="tx1"/>
                  </w14:solidFill>
                </w14:textFill>
              </w:rPr>
              <w:t xml:space="preserve">)进行综合打分: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运维管理服务工作标准完整规范、服务使用的配套表格齐全，内容完整，符合项目要求的，得</w:t>
            </w:r>
            <w:r>
              <w:rPr>
                <w:rFonts w:cs="宋体" w:asciiTheme="minorEastAsia" w:hAnsiTheme="minorEastAsia"/>
                <w:color w:val="000000" w:themeColor="text1"/>
                <w:szCs w:val="21"/>
                <w14:textFill>
                  <w14:solidFill>
                    <w14:schemeClr w14:val="tx1"/>
                  </w14:solidFill>
                </w14:textFill>
              </w:rPr>
              <w:t xml:space="preserve">10</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运维管理服务工作标准较完整规范、服务使用的配套表格较齐全，内容较完整，较符合项目要求的，得7分；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运维管理服务工作标准较简单、服务使用的配套表格稍有缺漏，内容较简单，但基本符合项目要求的，得4分；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运维管理服务工作标准粗糙、服务使用的配套表格种类少，内容简单片面，不符合项目要求的，得1分；</w:t>
            </w:r>
            <w:r/>
          </w:p>
          <w:p>
            <w:pPr>
              <w:spacing w:line="400" w:lineRule="exact"/>
              <w:rPr>
                <w:rFonts w:ascii="宋体" w:hAnsi="宋体" w:cs="宋体"/>
                <w:szCs w:val="21"/>
              </w:rPr>
            </w:pPr>
            <w:r>
              <w:rPr>
                <w:rFonts w:hint="eastAsia" w:cs="宋体" w:asciiTheme="minorEastAsia" w:hAnsiTheme="minorEastAsia"/>
                <w:color w:val="000000" w:themeColor="text1"/>
                <w:szCs w:val="21"/>
                <w14:textFill>
                  <w14:solidFill>
                    <w14:schemeClr w14:val="tx1"/>
                  </w14:solidFill>
                </w14:textFill>
              </w:rPr>
              <w:t xml:space="preserve">未提供本项不得分。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2.3</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cs="宋体" w:asciiTheme="minorEastAsia" w:hAnsiTheme="minorEastAsia"/>
                <w:color w:val="000000" w:themeColor="text1"/>
                <w:szCs w:val="21"/>
                <w14:textFill>
                  <w14:solidFill>
                    <w14:schemeClr w14:val="tx1"/>
                  </w14:solidFill>
                </w14:textFill>
              </w:rPr>
              <w:t xml:space="preserve">应急预案方案</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hint="eastAsia" w:ascii="宋体" w:hAnsi="宋体" w:cs="宋体"/>
                <w:bCs/>
                <w:color w:val="000000"/>
                <w:szCs w:val="21"/>
              </w:rPr>
              <w:t xml:space="preserve">10</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评委根据投标人提供的针对突发情况（如</w:t>
            </w:r>
            <w:r>
              <w:rPr>
                <w:color w:val="000000" w:themeColor="text1"/>
                <w14:textFill>
                  <w14:solidFill>
                    <w14:schemeClr w14:val="tx1"/>
                  </w14:solidFill>
                </w14:textFill>
              </w:rPr>
              <w:t xml:space="preserve">触电事故</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有限空间作业中毒窒息</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溺水/人员坠落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停电停水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设备故障</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水质超标</w:t>
            </w:r>
            <w:r>
              <w:rPr>
                <w:rFonts w:hint="eastAsia"/>
                <w:color w:val="000000" w:themeColor="text1"/>
                <w14:textFill>
                  <w14:solidFill>
                    <w14:schemeClr w14:val="tx1"/>
                  </w14:solidFill>
                </w14:textFill>
              </w:rPr>
              <w:t xml:space="preserve">等</w:t>
            </w:r>
            <w:r>
              <w:rPr>
                <w:rFonts w:hint="eastAsia" w:cs="宋体" w:asciiTheme="minorEastAsia" w:hAnsiTheme="minorEastAsia"/>
                <w:color w:val="000000" w:themeColor="text1"/>
                <w:szCs w:val="21"/>
                <w14:textFill>
                  <w14:solidFill>
                    <w14:schemeClr w14:val="tx1"/>
                  </w14:solidFill>
                </w14:textFill>
              </w:rPr>
              <w:t xml:space="preserve">）采取的应急救援程序、应急及</w:t>
            </w:r>
            <w:r>
              <w:rPr>
                <w:rFonts w:cs="宋体" w:asciiTheme="minorEastAsia" w:hAnsiTheme="minorEastAsia"/>
                <w:color w:val="000000" w:themeColor="text1"/>
                <w:szCs w:val="21"/>
                <w14:textFill>
                  <w14:solidFill>
                    <w14:schemeClr w14:val="tx1"/>
                  </w14:solidFill>
                </w14:textFill>
              </w:rPr>
              <w:t xml:space="preserve">防护装备配备、</w:t>
            </w:r>
            <w:r>
              <w:rPr>
                <w:rFonts w:hint="eastAsia" w:cs="宋体" w:asciiTheme="minorEastAsia" w:hAnsiTheme="minorEastAsia"/>
                <w:color w:val="000000" w:themeColor="text1"/>
                <w:szCs w:val="21"/>
                <w14:textFill>
                  <w14:solidFill>
                    <w14:schemeClr w14:val="tx1"/>
                  </w14:solidFill>
                </w14:textFill>
              </w:rPr>
              <w:t xml:space="preserve">处理措施、指挥、救援等进行综合打分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应急预案方案、应急及</w:t>
            </w:r>
            <w:r>
              <w:rPr>
                <w:rFonts w:cs="宋体" w:asciiTheme="minorEastAsia" w:hAnsiTheme="minorEastAsia"/>
                <w:color w:val="000000" w:themeColor="text1"/>
                <w:szCs w:val="21"/>
                <w14:textFill>
                  <w14:solidFill>
                    <w14:schemeClr w14:val="tx1"/>
                  </w14:solidFill>
                </w14:textFill>
              </w:rPr>
              <w:t xml:space="preserve">防护装备配备</w:t>
            </w:r>
            <w:r>
              <w:rPr>
                <w:rFonts w:hint="eastAsia" w:cs="宋体" w:asciiTheme="minorEastAsia" w:hAnsiTheme="minorEastAsia"/>
                <w:color w:val="000000" w:themeColor="text1"/>
                <w:szCs w:val="21"/>
                <w14:textFill>
                  <w14:solidFill>
                    <w14:schemeClr w14:val="tx1"/>
                  </w14:solidFill>
                </w14:textFill>
              </w:rPr>
              <w:t xml:space="preserve">完善、合理且可行性强，完全符合采购文件要求的，得</w:t>
            </w:r>
            <w:r>
              <w:rPr>
                <w:rFonts w:cs="宋体" w:asciiTheme="minorEastAsia" w:hAnsiTheme="minorEastAsia"/>
                <w:color w:val="000000" w:themeColor="text1"/>
                <w:szCs w:val="21"/>
                <w14:textFill>
                  <w14:solidFill>
                    <w14:schemeClr w14:val="tx1"/>
                  </w14:solidFill>
                </w14:textFill>
              </w:rPr>
              <w:t xml:space="preserve">10</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应急预案方案、应急及</w:t>
            </w:r>
            <w:r>
              <w:rPr>
                <w:rFonts w:cs="宋体" w:asciiTheme="minorEastAsia" w:hAnsiTheme="minorEastAsia"/>
                <w:color w:val="000000" w:themeColor="text1"/>
                <w:szCs w:val="21"/>
                <w14:textFill>
                  <w14:solidFill>
                    <w14:schemeClr w14:val="tx1"/>
                  </w14:solidFill>
                </w14:textFill>
              </w:rPr>
              <w:t xml:space="preserve">防护装备配备</w:t>
            </w:r>
            <w:r>
              <w:rPr>
                <w:rFonts w:hint="eastAsia" w:cs="宋体" w:asciiTheme="minorEastAsia" w:hAnsiTheme="minorEastAsia"/>
                <w:color w:val="000000" w:themeColor="text1"/>
                <w:szCs w:val="21"/>
                <w14:textFill>
                  <w14:solidFill>
                    <w14:schemeClr w14:val="tx1"/>
                  </w14:solidFill>
                </w14:textFill>
              </w:rPr>
              <w:t xml:space="preserve">基本完善、基本合理且可行性较强，基本符合采购文件要求的，得</w:t>
            </w:r>
            <w:r>
              <w:rPr>
                <w:rFonts w:cs="宋体" w:asciiTheme="minorEastAsia" w:hAnsiTheme="minorEastAsia"/>
                <w:color w:val="000000" w:themeColor="text1"/>
                <w:szCs w:val="21"/>
                <w14:textFill>
                  <w14:solidFill>
                    <w14:schemeClr w14:val="tx1"/>
                  </w14:solidFill>
                </w14:textFill>
              </w:rPr>
              <w:t xml:space="preserve">7</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应急预案方案、应急及</w:t>
            </w:r>
            <w:r>
              <w:rPr>
                <w:rFonts w:cs="宋体" w:asciiTheme="minorEastAsia" w:hAnsiTheme="minorEastAsia"/>
                <w:color w:val="000000" w:themeColor="text1"/>
                <w:szCs w:val="21"/>
                <w14:textFill>
                  <w14:solidFill>
                    <w14:schemeClr w14:val="tx1"/>
                  </w14:solidFill>
                </w14:textFill>
              </w:rPr>
              <w:t xml:space="preserve">防护装备配备</w:t>
            </w:r>
            <w:r>
              <w:rPr>
                <w:rFonts w:hint="eastAsia" w:cs="宋体" w:asciiTheme="minorEastAsia" w:hAnsiTheme="minorEastAsia"/>
                <w:color w:val="000000" w:themeColor="text1"/>
                <w:szCs w:val="21"/>
                <w14:textFill>
                  <w14:solidFill>
                    <w14:schemeClr w14:val="tx1"/>
                  </w14:solidFill>
                </w14:textFill>
              </w:rPr>
              <w:t xml:space="preserve">较简单、但合理且可行性，较能满足采购文件要求的得</w:t>
            </w:r>
            <w:r>
              <w:rPr>
                <w:rFonts w:cs="宋体" w:asciiTheme="minorEastAsia" w:hAnsiTheme="minorEastAsia"/>
                <w:color w:val="000000" w:themeColor="text1"/>
                <w:szCs w:val="21"/>
                <w14:textFill>
                  <w14:solidFill>
                    <w14:schemeClr w14:val="tx1"/>
                  </w14:solidFill>
                </w14:textFill>
              </w:rPr>
              <w:t xml:space="preserve">4</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应急预案方案、应急及</w:t>
            </w:r>
            <w:r>
              <w:rPr>
                <w:rFonts w:cs="宋体" w:asciiTheme="minorEastAsia" w:hAnsiTheme="minorEastAsia"/>
                <w:color w:val="000000" w:themeColor="text1"/>
                <w:szCs w:val="21"/>
                <w14:textFill>
                  <w14:solidFill>
                    <w14:schemeClr w14:val="tx1"/>
                  </w14:solidFill>
                </w14:textFill>
              </w:rPr>
              <w:t xml:space="preserve">防护装备配备</w:t>
            </w:r>
            <w:r>
              <w:rPr>
                <w:rFonts w:hint="eastAsia" w:cs="宋体" w:asciiTheme="minorEastAsia" w:hAnsiTheme="minorEastAsia"/>
                <w:color w:val="000000" w:themeColor="text1"/>
                <w:szCs w:val="21"/>
                <w14:textFill>
                  <w14:solidFill>
                    <w14:schemeClr w14:val="tx1"/>
                  </w14:solidFill>
                </w14:textFill>
              </w:rPr>
              <w:t xml:space="preserve">不完善、不合理可行，无法满足采购文件要求的得1分；</w:t>
            </w:r>
            <w:r/>
          </w:p>
          <w:p>
            <w:pPr>
              <w:spacing w:line="360" w:lineRule="exact"/>
              <w:rPr>
                <w:rFonts w:ascii="宋体" w:hAnsi="宋体" w:cs="宋体"/>
                <w:szCs w:val="21"/>
              </w:rPr>
            </w:pPr>
            <w:r>
              <w:rPr>
                <w:rFonts w:hint="eastAsia" w:cs="宋体" w:asciiTheme="minorEastAsia" w:hAnsiTheme="minorEastAsia"/>
                <w:color w:val="000000" w:themeColor="text1"/>
                <w:szCs w:val="21"/>
                <w14:textFill>
                  <w14:solidFill>
                    <w14:schemeClr w14:val="tx1"/>
                  </w14:solidFill>
                </w14:textFill>
              </w:rPr>
              <w:t xml:space="preserve">未提供本项不得分。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2.4</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cs="宋体" w:asciiTheme="minorEastAsia" w:hAnsiTheme="minorEastAsia"/>
                <w:szCs w:val="21"/>
              </w:rPr>
              <w:t xml:space="preserve">重难点</w:t>
            </w:r>
            <w:r>
              <w:rPr>
                <w:rFonts w:cs="宋体" w:asciiTheme="minorEastAsia" w:hAnsiTheme="minorEastAsia"/>
                <w:szCs w:val="21"/>
              </w:rPr>
              <w:t xml:space="preserve">及解决方案</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hint="eastAsia" w:ascii="宋体" w:hAnsi="宋体" w:cs="宋体"/>
                <w:bCs/>
                <w:color w:val="000000"/>
                <w:szCs w:val="21"/>
              </w:rPr>
              <w:t xml:space="preserve">10</w:t>
            </w:r>
            <w:r/>
          </w:p>
        </w:tc>
        <w:tc>
          <w:tcPr>
            <w:tcW w:w="2199" w:type="pct"/>
            <w:vAlign w:val="center"/>
            <w:textDirection w:val="lrTb"/>
            <w:noWrap w:val="false"/>
          </w:tcPr>
          <w:p>
            <w:pPr>
              <w:spacing w:line="360" w:lineRule="exact"/>
              <w:rPr>
                <w:rFonts w:cs="宋体" w:asciiTheme="minorEastAsia" w:hAnsiTheme="minorEastAsia"/>
                <w:szCs w:val="21"/>
              </w:rPr>
            </w:pPr>
            <w:r>
              <w:rPr>
                <w:rFonts w:hint="eastAsia" w:cs="宋体" w:asciiTheme="minorEastAsia" w:hAnsiTheme="minorEastAsia"/>
                <w:szCs w:val="21"/>
              </w:rPr>
              <w:t xml:space="preserve">评委根据</w:t>
            </w:r>
            <w:r>
              <w:rPr>
                <w:rFonts w:hint="eastAsia" w:cs="宋体" w:asciiTheme="minorEastAsia" w:hAnsiTheme="minorEastAsia"/>
                <w:color w:val="000000" w:themeColor="text1"/>
                <w:szCs w:val="21"/>
                <w14:textFill>
                  <w14:solidFill>
                    <w14:schemeClr w14:val="tx1"/>
                  </w14:solidFill>
                </w14:textFill>
              </w:rPr>
              <w:t xml:space="preserve">投标人</w:t>
            </w:r>
            <w:r>
              <w:rPr>
                <w:rFonts w:hint="eastAsia" w:cs="宋体" w:asciiTheme="minorEastAsia" w:hAnsiTheme="minorEastAsia"/>
                <w:szCs w:val="21"/>
              </w:rPr>
              <w:t xml:space="preserve">提供的针对本项目运维过程中的重点、难点等问题(不少于2点)，以及供应商提出的解决方案进行综合打分：</w:t>
            </w:r>
            <w:r/>
          </w:p>
          <w:p>
            <w:pPr>
              <w:spacing w:line="360" w:lineRule="exact"/>
              <w:rPr>
                <w:rFonts w:cs="宋体" w:asciiTheme="minorEastAsia" w:hAnsiTheme="minorEastAsia"/>
                <w:szCs w:val="21"/>
              </w:rPr>
            </w:pPr>
            <w:r>
              <w:rPr>
                <w:rFonts w:hint="eastAsia" w:cs="宋体" w:asciiTheme="minorEastAsia" w:hAnsiTheme="minorEastAsia"/>
                <w:szCs w:val="21"/>
              </w:rPr>
              <w:t xml:space="preserve">重难点针对性强，解决方案合理、可行性强的，得</w:t>
            </w:r>
            <w:r>
              <w:rPr>
                <w:rFonts w:cs="宋体" w:asciiTheme="minorEastAsia" w:hAnsiTheme="minorEastAsia"/>
                <w:szCs w:val="21"/>
              </w:rPr>
              <w:t xml:space="preserve">10</w:t>
            </w:r>
            <w:r>
              <w:rPr>
                <w:rFonts w:hint="eastAsia" w:cs="宋体" w:asciiTheme="minorEastAsia" w:hAnsiTheme="minorEastAsia"/>
                <w:szCs w:val="21"/>
              </w:rPr>
              <w:t xml:space="preserve">分；</w:t>
            </w:r>
            <w:r/>
          </w:p>
          <w:p>
            <w:pPr>
              <w:spacing w:line="360" w:lineRule="exact"/>
              <w:rPr>
                <w:rFonts w:cs="宋体" w:asciiTheme="minorEastAsia" w:hAnsiTheme="minorEastAsia"/>
                <w:szCs w:val="21"/>
              </w:rPr>
            </w:pPr>
            <w:r>
              <w:rPr>
                <w:rFonts w:hint="eastAsia" w:cs="宋体" w:asciiTheme="minorEastAsia" w:hAnsiTheme="minorEastAsia"/>
                <w:szCs w:val="21"/>
              </w:rPr>
              <w:t xml:space="preserve">重难点针对性较强，解决方案较合理、可行性较强的，得</w:t>
            </w:r>
            <w:r>
              <w:rPr>
                <w:rFonts w:cs="宋体" w:asciiTheme="minorEastAsia" w:hAnsiTheme="minorEastAsia"/>
                <w:szCs w:val="21"/>
              </w:rPr>
              <w:t xml:space="preserve">7</w:t>
            </w:r>
            <w:r>
              <w:rPr>
                <w:rFonts w:hint="eastAsia" w:cs="宋体" w:asciiTheme="minorEastAsia" w:hAnsiTheme="minorEastAsia"/>
                <w:szCs w:val="21"/>
              </w:rPr>
              <w:t xml:space="preserve">分；</w:t>
            </w:r>
            <w:r/>
          </w:p>
          <w:p>
            <w:pPr>
              <w:spacing w:line="360" w:lineRule="exact"/>
              <w:rPr>
                <w:rFonts w:cs="宋体" w:asciiTheme="minorEastAsia" w:hAnsiTheme="minorEastAsia"/>
                <w:szCs w:val="21"/>
              </w:rPr>
            </w:pPr>
            <w:r>
              <w:rPr>
                <w:rFonts w:hint="eastAsia" w:cs="宋体" w:asciiTheme="minorEastAsia" w:hAnsiTheme="minorEastAsia"/>
                <w:szCs w:val="21"/>
              </w:rPr>
              <w:t xml:space="preserve">重难点针对性稍有欠缺，解决方案基本合理、可行性一般的，得</w:t>
            </w:r>
            <w:r>
              <w:rPr>
                <w:rFonts w:cs="宋体" w:asciiTheme="minorEastAsia" w:hAnsiTheme="minorEastAsia"/>
                <w:szCs w:val="21"/>
              </w:rPr>
              <w:t xml:space="preserve">4</w:t>
            </w:r>
            <w:r>
              <w:rPr>
                <w:rFonts w:hint="eastAsia" w:cs="宋体" w:asciiTheme="minorEastAsia" w:hAnsiTheme="minorEastAsia"/>
                <w:szCs w:val="21"/>
              </w:rPr>
              <w:t xml:space="preserve">分；</w:t>
            </w:r>
            <w:r/>
          </w:p>
          <w:p>
            <w:pPr>
              <w:spacing w:line="360" w:lineRule="exact"/>
              <w:rPr>
                <w:rFonts w:cs="宋体" w:asciiTheme="minorEastAsia" w:hAnsiTheme="minorEastAsia"/>
                <w:szCs w:val="21"/>
              </w:rPr>
            </w:pPr>
            <w:r>
              <w:rPr>
                <w:rFonts w:hint="eastAsia" w:cs="宋体" w:asciiTheme="minorEastAsia" w:hAnsiTheme="minorEastAsia"/>
                <w:szCs w:val="21"/>
              </w:rPr>
              <w:t xml:space="preserve">重难点针对性较差，解决方案合理性较差、可行性较差的，得</w:t>
            </w:r>
            <w:r>
              <w:rPr>
                <w:rFonts w:cs="宋体" w:asciiTheme="minorEastAsia" w:hAnsiTheme="minorEastAsia"/>
                <w:szCs w:val="21"/>
              </w:rPr>
              <w:t xml:space="preserve">1</w:t>
            </w:r>
            <w:r>
              <w:rPr>
                <w:rFonts w:hint="eastAsia" w:cs="宋体" w:asciiTheme="minorEastAsia" w:hAnsiTheme="minorEastAsia"/>
                <w:szCs w:val="21"/>
              </w:rPr>
              <w:t xml:space="preserve">分；</w:t>
            </w:r>
            <w:r/>
          </w:p>
          <w:p>
            <w:pPr>
              <w:spacing w:line="400" w:lineRule="exact"/>
              <w:rPr>
                <w:rFonts w:ascii="宋体" w:hAnsi="宋体" w:cs="宋体"/>
                <w:szCs w:val="21"/>
              </w:rPr>
            </w:pPr>
            <w:r>
              <w:rPr>
                <w:rFonts w:hint="eastAsia" w:cs="宋体" w:asciiTheme="minorEastAsia" w:hAnsiTheme="minorEastAsia"/>
                <w:szCs w:val="21"/>
              </w:rPr>
              <w:t xml:space="preserve">未提供本项或少于2点重点、难点等问题的不得分。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2.5</w:t>
            </w:r>
            <w:r/>
          </w:p>
        </w:tc>
        <w:tc>
          <w:tcPr>
            <w:tcW w:w="728" w:type="pct"/>
            <w:vAlign w:val="center"/>
            <w:textDirection w:val="lrTb"/>
            <w:noWrap w:val="false"/>
          </w:tcPr>
          <w:p>
            <w:pPr>
              <w:ind w:firstLine="28"/>
              <w:jc w:val="center"/>
              <w:spacing w:line="400" w:lineRule="exact"/>
              <w:rPr>
                <w:rFonts w:cs="宋体" w:asciiTheme="minorEastAsia" w:hAnsiTheme="minorEastAsia"/>
                <w:szCs w:val="21"/>
              </w:rPr>
            </w:pPr>
            <w:r>
              <w:rPr>
                <w:rFonts w:hint="eastAsia" w:cs="宋体" w:asciiTheme="minorEastAsia" w:hAnsiTheme="minorEastAsia"/>
                <w:color w:val="000000" w:themeColor="text1"/>
                <w:szCs w:val="21"/>
                <w14:textFill>
                  <w14:solidFill>
                    <w14:schemeClr w14:val="tx1"/>
                  </w14:solidFill>
                </w14:textFill>
              </w:rPr>
              <w:t xml:space="preserve">运维培训及</w:t>
            </w:r>
            <w:r>
              <w:rPr>
                <w:rFonts w:cs="宋体" w:asciiTheme="minorEastAsia" w:hAnsiTheme="minorEastAsia"/>
                <w:color w:val="000000" w:themeColor="text1"/>
                <w:szCs w:val="21"/>
                <w14:textFill>
                  <w14:solidFill>
                    <w14:schemeClr w14:val="tx1"/>
                  </w14:solidFill>
                </w14:textFill>
              </w:rPr>
              <w:t xml:space="preserve">应急演练</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hint="eastAsia" w:ascii="宋体" w:hAnsi="宋体" w:cs="宋体"/>
                <w:bCs/>
                <w:color w:val="000000"/>
                <w:szCs w:val="21"/>
              </w:rPr>
              <w:t xml:space="preserve">10</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评委根据投标人提供的运维培训及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计划、人员安排等综合打分：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计划、人员安排合理、人员配备充足的，得</w:t>
            </w:r>
            <w:r>
              <w:rPr>
                <w:rFonts w:cs="宋体" w:asciiTheme="minorEastAsia" w:hAnsiTheme="minorEastAsia"/>
                <w:color w:val="000000" w:themeColor="text1"/>
                <w:szCs w:val="21"/>
                <w14:textFill>
                  <w14:solidFill>
                    <w14:schemeClr w14:val="tx1"/>
                  </w14:solidFill>
                </w14:textFill>
              </w:rPr>
              <w:t xml:space="preserve">10</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计划、人员安排较全面、培训及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安排较合理、人员配备较充足的，得</w:t>
            </w:r>
            <w:r>
              <w:rPr>
                <w:rFonts w:cs="宋体" w:asciiTheme="minorEastAsia" w:hAnsiTheme="minorEastAsia"/>
                <w:color w:val="000000" w:themeColor="text1"/>
                <w:szCs w:val="21"/>
                <w14:textFill>
                  <w14:solidFill>
                    <w14:schemeClr w14:val="tx1"/>
                  </w14:solidFill>
                </w14:textFill>
              </w:rPr>
              <w:t xml:space="preserve">7</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计划、人员安排较简单、培训及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安排、人员配备稍有欠缺，但基本能满足实际需求的，得</w:t>
            </w:r>
            <w:r>
              <w:rPr>
                <w:rFonts w:cs="宋体" w:asciiTheme="minorEastAsia" w:hAnsiTheme="minorEastAsia"/>
                <w:color w:val="000000" w:themeColor="text1"/>
                <w:szCs w:val="21"/>
                <w14:textFill>
                  <w14:solidFill>
                    <w14:schemeClr w14:val="tx1"/>
                  </w14:solidFill>
                </w14:textFill>
              </w:rPr>
              <w:t xml:space="preserve">4</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运维培训及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计划、人员安排混乱、培训及</w:t>
            </w:r>
            <w:r>
              <w:rPr>
                <w:rFonts w:cs="宋体" w:asciiTheme="minorEastAsia" w:hAnsiTheme="minorEastAsia"/>
                <w:color w:val="000000" w:themeColor="text1"/>
                <w:szCs w:val="21"/>
                <w14:textFill>
                  <w14:solidFill>
                    <w14:schemeClr w14:val="tx1"/>
                  </w14:solidFill>
                </w14:textFill>
              </w:rPr>
              <w:t xml:space="preserve">应急演练</w:t>
            </w:r>
            <w:r>
              <w:rPr>
                <w:rFonts w:hint="eastAsia" w:cs="宋体" w:asciiTheme="minorEastAsia" w:hAnsiTheme="minorEastAsia"/>
                <w:color w:val="000000" w:themeColor="text1"/>
                <w:szCs w:val="21"/>
                <w14:textFill>
                  <w14:solidFill>
                    <w14:schemeClr w14:val="tx1"/>
                  </w14:solidFill>
                </w14:textFill>
              </w:rPr>
              <w:t xml:space="preserve">安排、人员配备不合理，无法能满足实际需求的，得1分；</w:t>
            </w:r>
            <w:r/>
          </w:p>
          <w:p>
            <w:pPr>
              <w:spacing w:line="400" w:lineRule="exact"/>
              <w:rPr>
                <w:rFonts w:cs="宋体" w:asciiTheme="minorEastAsia" w:hAnsiTheme="minorEastAsia"/>
                <w:szCs w:val="21"/>
              </w:rPr>
            </w:pPr>
            <w:r>
              <w:rPr>
                <w:rFonts w:hint="eastAsia" w:cs="宋体" w:asciiTheme="minorEastAsia" w:hAnsiTheme="minorEastAsia"/>
                <w:color w:val="000000" w:themeColor="text1"/>
                <w:szCs w:val="21"/>
                <w14:textFill>
                  <w14:solidFill>
                    <w14:schemeClr w14:val="tx1"/>
                  </w14:solidFill>
                </w14:textFill>
              </w:rPr>
              <w:t xml:space="preserve">未提供本项不得分。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3</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客观分</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ascii="宋体" w:hAnsi="宋体" w:cs="宋体"/>
                <w:bCs/>
                <w:color w:val="000000"/>
                <w:szCs w:val="21"/>
                <w:highlight w:val="none"/>
              </w:rPr>
              <w:t xml:space="preserve">40</w:t>
            </w:r>
            <w:r/>
          </w:p>
        </w:tc>
        <w:tc>
          <w:tcPr>
            <w:tcW w:w="2199" w:type="pct"/>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3.1</w:t>
            </w:r>
            <w:r/>
          </w:p>
        </w:tc>
        <w:tc>
          <w:tcPr>
            <w:tcW w:w="728" w:type="pct"/>
            <w:vAlign w:val="center"/>
            <w:textDirection w:val="lrTb"/>
            <w:noWrap w:val="false"/>
          </w:tcPr>
          <w:p>
            <w:pPr>
              <w:ind w:firstLine="28"/>
              <w:jc w:val="center"/>
              <w:spacing w:line="400" w:lineRule="exact"/>
              <w:rPr>
                <w:rFonts w:hint="default" w:ascii="宋体" w:hAnsi="宋体" w:eastAsia="宋体" w:cs="宋体"/>
                <w:bCs/>
                <w:szCs w:val="21"/>
                <w:lang w:val="en-US" w:eastAsia="zh-CN"/>
              </w:rPr>
            </w:pPr>
            <w:r>
              <w:rPr>
                <w:rFonts w:hint="eastAsia" w:ascii="宋体" w:hAnsi="宋体"/>
                <w:color w:val="000000" w:themeColor="text1"/>
                <w:szCs w:val="21"/>
                <w:highlight w:val="none"/>
                <w:lang w:val="en-US" w:eastAsia="zh-CN"/>
                <w14:textFill>
                  <w14:solidFill>
                    <w14:schemeClr w14:val="tx1"/>
                  </w14:solidFill>
                </w14:textFill>
              </w:rPr>
              <w:t xml:space="preserve">认证证书</w:t>
            </w:r>
            <w:r/>
          </w:p>
        </w:tc>
        <w:tc>
          <w:tcPr>
            <w:tcW w:w="501" w:type="pct"/>
            <w:vAlign w:val="center"/>
            <w:textDirection w:val="lrTb"/>
            <w:noWrap w:val="false"/>
          </w:tcPr>
          <w:p>
            <w:pPr>
              <w:ind w:firstLine="28"/>
              <w:jc w:val="center"/>
              <w:spacing w:line="400" w:lineRule="exact"/>
              <w:rPr>
                <w:rFonts w:ascii="宋体" w:hAnsi="宋体" w:cs="宋体"/>
                <w:bCs/>
                <w:strike/>
                <w:color w:val="000000"/>
                <w:szCs w:val="21"/>
              </w:rPr>
            </w:pPr>
            <w:r>
              <w:rPr>
                <w:rFonts w:hint="eastAsia" w:ascii="宋体" w:hAnsi="宋体" w:cs="宋体"/>
                <w:bCs/>
                <w:color w:val="000000"/>
                <w:szCs w:val="21"/>
              </w:rPr>
              <w:t xml:space="preserve">9</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投标人提供质量管理体系认证</w:t>
            </w:r>
            <w:r>
              <w:rPr>
                <w:rFonts w:cs="宋体" w:asciiTheme="minorEastAsia" w:hAnsiTheme="minorEastAsia"/>
                <w:color w:val="000000" w:themeColor="text1"/>
                <w:szCs w:val="21"/>
                <w14:textFill>
                  <w14:solidFill>
                    <w14:schemeClr w14:val="tx1"/>
                  </w14:solidFill>
                </w14:textFill>
              </w:rPr>
              <w:t xml:space="preserve">证书</w:t>
            </w:r>
            <w:r>
              <w:rPr>
                <w:rFonts w:hint="eastAsia" w:cs="宋体" w:asciiTheme="minorEastAsia" w:hAnsiTheme="minorEastAsia"/>
                <w:color w:val="000000" w:themeColor="text1"/>
                <w:szCs w:val="21"/>
                <w14:textFill>
                  <w14:solidFill>
                    <w14:schemeClr w14:val="tx1"/>
                  </w14:solidFill>
                </w14:textFill>
              </w:rPr>
              <w:t xml:space="preserve">、环境管理体系认证证书、职业健康安全管理体系认证证书，提供一个得</w:t>
            </w:r>
            <w:r>
              <w:rPr>
                <w:rFonts w:cs="宋体" w:asciiTheme="minorEastAsia" w:hAnsiTheme="minorEastAsia"/>
                <w:color w:val="000000" w:themeColor="text1"/>
                <w:szCs w:val="21"/>
                <w14:textFill>
                  <w14:solidFill>
                    <w14:schemeClr w14:val="tx1"/>
                  </w14:solidFill>
                </w14:textFill>
              </w:rPr>
              <w:t xml:space="preserve">3</w:t>
            </w:r>
            <w:r>
              <w:rPr>
                <w:rFonts w:hint="eastAsia" w:cs="宋体" w:asciiTheme="minorEastAsia" w:hAnsiTheme="minorEastAsia"/>
                <w:color w:val="000000" w:themeColor="text1"/>
                <w:szCs w:val="21"/>
                <w14:textFill>
                  <w14:solidFill>
                    <w14:schemeClr w14:val="tx1"/>
                  </w14:solidFill>
                </w14:textFill>
              </w:rPr>
              <w:t xml:space="preserve">分，最高得</w:t>
            </w:r>
            <w:r>
              <w:rPr>
                <w:rFonts w:cs="宋体" w:asciiTheme="minorEastAsia" w:hAnsiTheme="minorEastAsia"/>
                <w:color w:val="000000" w:themeColor="text1"/>
                <w:szCs w:val="21"/>
                <w14:textFill>
                  <w14:solidFill>
                    <w14:schemeClr w14:val="tx1"/>
                  </w14:solidFill>
                </w14:textFill>
              </w:rPr>
              <w:t xml:space="preserve">9</w:t>
            </w:r>
            <w:r>
              <w:rPr>
                <w:rFonts w:hint="eastAsia" w:cs="宋体" w:asciiTheme="minorEastAsia" w:hAnsiTheme="minorEastAsia"/>
                <w:color w:val="000000" w:themeColor="text1"/>
                <w:szCs w:val="21"/>
                <w14:textFill>
                  <w14:solidFill>
                    <w14:schemeClr w14:val="tx1"/>
                  </w14:solidFill>
                </w14:textFill>
              </w:rPr>
              <w:t xml:space="preserve">分。</w:t>
            </w:r>
            <w:r/>
          </w:p>
          <w:p>
            <w:pPr>
              <w:spacing w:line="360" w:lineRule="exact"/>
            </w:pPr>
            <w:r>
              <w:rPr>
                <w:rFonts w:hint="eastAsia" w:cs="宋体" w:asciiTheme="minorEastAsia" w:hAnsiTheme="minorEastAsia"/>
                <w:b/>
                <w:bCs/>
                <w:color w:val="000000" w:themeColor="text1"/>
                <w:szCs w:val="21"/>
                <w14:textFill>
                  <w14:solidFill>
                    <w14:schemeClr w14:val="tx1"/>
                  </w14:solidFill>
                </w14:textFill>
              </w:rPr>
              <w:t xml:space="preserve">注：投标文件中提供管理体系认证证书复印件及中国国家认证认可监督管理委员会网站查询页面完整截图且证书状态为有效，否则不得分。</w:t>
            </w:r>
            <w:r/>
          </w:p>
        </w:tc>
        <w:tc>
          <w:tcPr>
            <w:tcW w:w="957" w:type="pct"/>
            <w:vAlign w:val="center"/>
            <w:textDirection w:val="lrTb"/>
            <w:noWrap w:val="false"/>
          </w:tcPr>
          <w:p>
            <w:pPr>
              <w:spacing w:line="400" w:lineRule="exact"/>
              <w:rPr>
                <w:rFonts w:ascii="宋体" w:hAnsi="宋体" w:cs="宋体"/>
                <w:strike/>
                <w:szCs w:val="21"/>
              </w:rPr>
            </w:pPr>
            <w:r>
              <w:rPr>
                <w:rFonts w:ascii="宋体" w:hAnsi="宋体" w:cs="宋体"/>
                <w:strike/>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3.2</w:t>
            </w:r>
            <w:r/>
          </w:p>
        </w:tc>
        <w:tc>
          <w:tcPr>
            <w:tcW w:w="728"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olor w:val="000000" w:themeColor="text1"/>
                <w:szCs w:val="21"/>
                <w14:textFill>
                  <w14:solidFill>
                    <w14:schemeClr w14:val="tx1"/>
                  </w14:solidFill>
                </w14:textFill>
              </w:rPr>
              <w:t xml:space="preserve">业绩</w:t>
            </w:r>
            <w:r/>
          </w:p>
        </w:tc>
        <w:tc>
          <w:tcPr>
            <w:tcW w:w="501" w:type="pct"/>
            <w:vAlign w:val="center"/>
            <w:textDirection w:val="lrTb"/>
            <w:noWrap w:val="false"/>
          </w:tcPr>
          <w:p>
            <w:pPr>
              <w:ind w:firstLine="28"/>
              <w:jc w:val="center"/>
              <w:spacing w:line="400" w:lineRule="exact"/>
              <w:rPr>
                <w:rFonts w:ascii="宋体" w:hAnsi="宋体" w:cs="宋体"/>
                <w:bCs/>
                <w:color w:val="000000"/>
                <w:szCs w:val="21"/>
              </w:rPr>
            </w:pPr>
            <w:r>
              <w:rPr>
                <w:rFonts w:ascii="宋体" w:hAnsi="宋体" w:cs="宋体"/>
                <w:bCs/>
                <w:color w:val="000000"/>
                <w:szCs w:val="21"/>
                <w:highlight w:val="none"/>
              </w:rPr>
              <w:t xml:space="preserve">10</w:t>
            </w:r>
            <w:r/>
          </w:p>
        </w:tc>
        <w:tc>
          <w:tcPr>
            <w:tcW w:w="2199" w:type="pct"/>
            <w:vAlign w:val="center"/>
            <w:textDirection w:val="lrTb"/>
            <w:noWrap w:val="false"/>
          </w:tcPr>
          <w:p>
            <w:pPr>
              <w:spacing w:line="360" w:lineRule="exact"/>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投标人自202</w:t>
            </w:r>
            <w:r>
              <w:rPr>
                <w:rFonts w:hint="eastAsia" w:cs="宋体" w:asciiTheme="minorEastAsia" w:hAnsiTheme="minorEastAsia"/>
                <w:color w:val="000000" w:themeColor="text1"/>
                <w:szCs w:val="21"/>
                <w:lang w:val="en-US" w:eastAsia="zh-CN"/>
                <w14:textFill>
                  <w14:solidFill>
                    <w14:schemeClr w14:val="tx1"/>
                  </w14:solidFill>
                </w14:textFill>
              </w:rPr>
              <w:t xml:space="preserve">2</w:t>
            </w:r>
            <w:r>
              <w:rPr>
                <w:rFonts w:hint="eastAsia" w:cs="宋体" w:asciiTheme="minorEastAsia" w:hAnsiTheme="minorEastAsia"/>
                <w:color w:val="000000" w:themeColor="text1"/>
                <w:szCs w:val="21"/>
                <w14:textFill>
                  <w14:solidFill>
                    <w14:schemeClr w14:val="tx1"/>
                  </w14:solidFill>
                </w14:textFill>
              </w:rPr>
              <w:t xml:space="preserve">年1月1日至本项目招标公告发布之日止（时间以合同书上载明的签订时间为准），具有</w:t>
            </w:r>
            <w:r>
              <w:rPr>
                <w:rFonts w:hint="eastAsia"/>
              </w:rPr>
              <w:t xml:space="preserve">与本项目相关的类似业绩（如污水运维等）</w:t>
            </w:r>
            <w:r>
              <w:rPr>
                <w:rFonts w:hint="eastAsia" w:cs="宋体" w:asciiTheme="minorEastAsia" w:hAnsiTheme="minorEastAsia"/>
                <w:color w:val="000000" w:themeColor="text1"/>
                <w:szCs w:val="21"/>
                <w14:textFill>
                  <w14:solidFill>
                    <w14:schemeClr w14:val="tx1"/>
                  </w14:solidFill>
                </w14:textFill>
              </w:rPr>
              <w:t xml:space="preserve">，每提供1份有效业绩合同得2分，最高得</w:t>
            </w:r>
            <w:r>
              <w:rPr>
                <w:rFonts w:cs="宋体" w:asciiTheme="minorEastAsia" w:hAnsiTheme="minorEastAsia"/>
                <w:color w:val="000000" w:themeColor="text1"/>
                <w:szCs w:val="21"/>
                <w14:textFill>
                  <w14:solidFill>
                    <w14:schemeClr w14:val="tx1"/>
                  </w14:solidFill>
                </w14:textFill>
              </w:rPr>
              <w:t xml:space="preserve">10</w:t>
            </w:r>
            <w:r>
              <w:rPr>
                <w:rFonts w:hint="eastAsia" w:cs="宋体" w:asciiTheme="minorEastAsia" w:hAnsiTheme="minorEastAsia"/>
                <w:color w:val="000000" w:themeColor="text1"/>
                <w:szCs w:val="21"/>
                <w14:textFill>
                  <w14:solidFill>
                    <w14:schemeClr w14:val="tx1"/>
                  </w14:solidFill>
                </w14:textFill>
              </w:rPr>
              <w:t xml:space="preserve">分。</w:t>
            </w:r>
            <w:r/>
          </w:p>
          <w:p>
            <w:pPr>
              <w:spacing w:line="400" w:lineRule="exact"/>
              <w:rPr>
                <w:rFonts w:ascii="宋体" w:hAnsi="宋体" w:cs="宋体"/>
                <w:szCs w:val="21"/>
              </w:rPr>
            </w:pPr>
            <w:r>
              <w:rPr>
                <w:rFonts w:hint="eastAsia" w:cs="宋体" w:asciiTheme="minorEastAsia" w:hAnsiTheme="minorEastAsia"/>
                <w:b/>
                <w:bCs/>
                <w:color w:val="000000" w:themeColor="text1"/>
                <w:szCs w:val="21"/>
                <w14:textFill>
                  <w14:solidFill>
                    <w14:schemeClr w14:val="tx1"/>
                  </w14:solidFill>
                </w14:textFill>
              </w:rPr>
              <w:t xml:space="preserve">注：投标文件中提供上述有效业绩完整合同复印件并加盖投标人公章，否则不得分。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3.3</w:t>
            </w:r>
            <w:r/>
          </w:p>
        </w:tc>
        <w:tc>
          <w:tcPr>
            <w:tcW w:w="728" w:type="pct"/>
            <w:vAlign w:val="center"/>
            <w:textDirection w:val="lrTb"/>
            <w:noWrap w:val="false"/>
          </w:tcPr>
          <w:p>
            <w:pPr>
              <w:ind w:firstLine="28"/>
              <w:jc w:val="center"/>
              <w:spacing w:line="400" w:lineRule="exact"/>
              <w:rPr>
                <w:rFonts w:hint="default" w:ascii="宋体" w:hAnsi="宋体" w:eastAsia="宋体" w:cs="宋体"/>
                <w:bCs/>
                <w:szCs w:val="21"/>
                <w:highlight w:val="none"/>
                <w:lang w:val="en-US" w:eastAsia="zh-CN"/>
              </w:rPr>
            </w:pPr>
            <w:r>
              <w:rPr>
                <w:rFonts w:hint="eastAsia" w:ascii="宋体" w:hAnsi="宋体"/>
                <w:color w:val="000000" w:themeColor="text1"/>
                <w:szCs w:val="21"/>
                <w:highlight w:val="none"/>
                <w:lang w:val="en-US" w:eastAsia="zh-CN"/>
                <w14:textFill>
                  <w14:solidFill>
                    <w14:schemeClr w14:val="tx1"/>
                  </w14:solidFill>
                </w14:textFill>
              </w:rPr>
              <w:t xml:space="preserve">企业实力</w:t>
            </w:r>
            <w:r/>
          </w:p>
        </w:tc>
        <w:tc>
          <w:tcPr>
            <w:tcW w:w="501" w:type="pct"/>
            <w:vAlign w:val="center"/>
            <w:textDirection w:val="lrTb"/>
            <w:noWrap w:val="false"/>
          </w:tcPr>
          <w:p>
            <w:pPr>
              <w:ind w:firstLine="28"/>
              <w:jc w:val="center"/>
              <w:spacing w:line="40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9</w:t>
            </w:r>
            <w:r/>
          </w:p>
        </w:tc>
        <w:tc>
          <w:tcPr>
            <w:tcW w:w="2199" w:type="pct"/>
            <w:vAlign w:val="center"/>
            <w:textDirection w:val="lrTb"/>
            <w:noWrap w:val="false"/>
          </w:tcPr>
          <w:p>
            <w:pPr>
              <w:spacing w:line="360" w:lineRule="exact"/>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投标人获得污染治理设施运行服务能力评价甲级（或一级）证书的得9分，乙级（或二级）为3分。</w:t>
            </w:r>
            <w:r/>
          </w:p>
          <w:p>
            <w:pPr>
              <w:spacing w:line="400" w:lineRule="exact"/>
              <w:rPr>
                <w:rFonts w:hint="default" w:ascii="宋体" w:hAnsi="宋体" w:eastAsia="宋体" w:cs="宋体"/>
                <w:szCs w:val="21"/>
                <w:highlight w:val="none"/>
                <w:lang w:val="en-US" w:eastAsia="zh-CN"/>
              </w:rPr>
            </w:pPr>
            <w:r>
              <w:rPr>
                <w:rFonts w:hint="eastAsia" w:ascii="宋体" w:hAnsi="宋体" w:cs="宋体"/>
                <w:b/>
                <w:bCs/>
                <w:szCs w:val="21"/>
                <w:highlight w:val="none"/>
                <w:lang w:val="en-US" w:eastAsia="zh-CN"/>
              </w:rPr>
              <w:t xml:space="preserve">注：投标文件中提供证书复印件并加盖投标人公章，否则不得分。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tcW w:w="614" w:type="pct"/>
            <w:vAlign w:val="center"/>
            <w:textDirection w:val="lrTb"/>
            <w:noWrap w:val="false"/>
          </w:tcPr>
          <w:p>
            <w:pPr>
              <w:ind w:firstLine="28"/>
              <w:jc w:val="center"/>
              <w:spacing w:line="400" w:lineRule="exact"/>
              <w:rPr>
                <w:rFonts w:hint="default" w:ascii="宋体" w:hAnsi="宋体" w:eastAsia="宋体" w:cs="宋体"/>
                <w:bCs/>
                <w:szCs w:val="21"/>
                <w:lang w:val="en-US" w:eastAsia="zh-CN"/>
              </w:rPr>
            </w:pPr>
            <w:r>
              <w:rPr>
                <w:rFonts w:hint="eastAsia" w:ascii="宋体" w:hAnsi="宋体" w:cs="宋体"/>
                <w:bCs/>
                <w:szCs w:val="21"/>
                <w:lang w:val="en-US" w:eastAsia="zh-CN"/>
              </w:rPr>
              <w:t xml:space="preserve">3.4</w:t>
            </w:r>
            <w:r/>
          </w:p>
        </w:tc>
        <w:tc>
          <w:tcPr>
            <w:tcW w:w="728" w:type="pct"/>
            <w:vAlign w:val="center"/>
            <w:textDirection w:val="lrTb"/>
            <w:noWrap w:val="false"/>
          </w:tcPr>
          <w:p>
            <w:pPr>
              <w:ind w:firstLine="28"/>
              <w:jc w:val="center"/>
              <w:spacing w:line="400" w:lineRule="exact"/>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团队实力</w:t>
            </w:r>
            <w:r/>
          </w:p>
        </w:tc>
        <w:tc>
          <w:tcPr>
            <w:tcW w:w="501" w:type="pct"/>
            <w:vAlign w:val="center"/>
            <w:textDirection w:val="lrTb"/>
            <w:noWrap w:val="false"/>
          </w:tcPr>
          <w:p>
            <w:pPr>
              <w:ind w:firstLine="28"/>
              <w:jc w:val="center"/>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12</w:t>
            </w:r>
            <w:r/>
          </w:p>
        </w:tc>
        <w:tc>
          <w:tcPr>
            <w:tcW w:w="2199" w:type="pct"/>
            <w:vAlign w:val="center"/>
            <w:textDirection w:val="lrTb"/>
            <w:noWrap w:val="false"/>
          </w:tcPr>
          <w:p>
            <w:pPr>
              <w:spacing w:line="360" w:lineRule="exact"/>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1、项目小组成员具有《环境污染治理设施运营人员考试合格证书》，具备1个得2分，满分8分。</w:t>
            </w:r>
            <w:r/>
          </w:p>
          <w:p>
            <w:pPr>
              <w:spacing w:line="360" w:lineRule="exact"/>
              <w:rPr>
                <w:rFonts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t xml:space="preserve">2、项目负责人（1人）具有环境工程高级工程师职称的，具备1个得</w:t>
            </w:r>
            <w:r>
              <w:rPr>
                <w:rFonts w:cs="宋体" w:asciiTheme="minorEastAsia" w:hAnsiTheme="minorEastAsia"/>
                <w:color w:val="000000" w:themeColor="text1"/>
                <w:szCs w:val="21"/>
                <w:highlight w:val="none"/>
                <w14:textFill>
                  <w14:solidFill>
                    <w14:schemeClr w14:val="tx1"/>
                  </w14:solidFill>
                </w14:textFill>
              </w:rPr>
              <w:t xml:space="preserve">4</w:t>
            </w:r>
            <w:r>
              <w:rPr>
                <w:rFonts w:hint="eastAsia" w:cs="宋体" w:asciiTheme="minorEastAsia" w:hAnsiTheme="minorEastAsia"/>
                <w:color w:val="000000" w:themeColor="text1"/>
                <w:szCs w:val="21"/>
                <w:highlight w:val="none"/>
                <w14:textFill>
                  <w14:solidFill>
                    <w14:schemeClr w14:val="tx1"/>
                  </w14:solidFill>
                </w14:textFill>
              </w:rPr>
              <w:t xml:space="preserve">分，满分</w:t>
            </w:r>
            <w:r>
              <w:rPr>
                <w:rFonts w:cs="宋体" w:asciiTheme="minorEastAsia" w:hAnsiTheme="minorEastAsia"/>
                <w:color w:val="000000" w:themeColor="text1"/>
                <w:szCs w:val="21"/>
                <w:highlight w:val="none"/>
                <w14:textFill>
                  <w14:solidFill>
                    <w14:schemeClr w14:val="tx1"/>
                  </w14:solidFill>
                </w14:textFill>
              </w:rPr>
              <w:t xml:space="preserve">4</w:t>
            </w:r>
            <w:r>
              <w:rPr>
                <w:rFonts w:hint="eastAsia" w:cs="宋体" w:asciiTheme="minorEastAsia" w:hAnsiTheme="minorEastAsia"/>
                <w:color w:val="000000" w:themeColor="text1"/>
                <w:szCs w:val="21"/>
                <w:highlight w:val="none"/>
                <w14:textFill>
                  <w14:solidFill>
                    <w14:schemeClr w14:val="tx1"/>
                  </w14:solidFill>
                </w14:textFill>
              </w:rPr>
              <w:t xml:space="preserve">分。</w:t>
            </w:r>
            <w:r/>
          </w:p>
          <w:p>
            <w:pPr>
              <w:spacing w:line="400" w:lineRule="exact"/>
              <w:rPr>
                <w:rFonts w:ascii="宋体" w:hAnsi="宋体" w:cs="宋体"/>
                <w:szCs w:val="21"/>
                <w:highlight w:val="none"/>
              </w:rPr>
            </w:pPr>
            <w:r>
              <w:rPr>
                <w:rFonts w:hint="eastAsia" w:ascii="宋体" w:hAnsi="宋体"/>
                <w:b/>
                <w:szCs w:val="21"/>
                <w:highlight w:val="none"/>
              </w:rPr>
              <w:t xml:space="preserve">注：以上须提供相关证书</w:t>
            </w:r>
            <w:r>
              <w:rPr>
                <w:rFonts w:hint="eastAsia" w:ascii="宋体" w:hAnsi="宋体"/>
                <w:b/>
                <w:szCs w:val="21"/>
                <w:highlight w:val="none"/>
                <w:lang w:val="en-US" w:eastAsia="zh-CN"/>
              </w:rPr>
              <w:t xml:space="preserve">及</w:t>
            </w:r>
            <w:r>
              <w:rPr>
                <w:rFonts w:hint="eastAsia" w:ascii="宋体" w:hAnsi="宋体"/>
                <w:b/>
                <w:szCs w:val="21"/>
                <w:highlight w:val="none"/>
              </w:rPr>
              <w:t xml:space="preserve">投标</w:t>
            </w:r>
            <w:r>
              <w:rPr>
                <w:rFonts w:hint="eastAsia" w:ascii="宋体" w:hAnsi="宋体"/>
                <w:b/>
                <w:szCs w:val="21"/>
                <w:highlight w:val="none"/>
                <w:lang w:val="en-US" w:eastAsia="zh-CN"/>
              </w:rPr>
              <w:t xml:space="preserve">人</w:t>
            </w:r>
            <w:r>
              <w:rPr>
                <w:rFonts w:hint="eastAsia" w:ascii="宋体" w:hAnsi="宋体"/>
                <w:b/>
                <w:szCs w:val="21"/>
                <w:highlight w:val="none"/>
              </w:rPr>
              <w:t xml:space="preserve">为上述项目小组成员、项目负责人缴纳的近三个月任意一个月社保证明资料</w:t>
            </w:r>
            <w:r>
              <w:rPr>
                <w:rFonts w:ascii="宋体" w:hAnsi="宋体"/>
                <w:b/>
                <w:szCs w:val="21"/>
                <w:highlight w:val="none"/>
              </w:rPr>
              <w:t xml:space="preserve">复印件加盖</w:t>
            </w:r>
            <w:r>
              <w:rPr>
                <w:rFonts w:hint="eastAsia" w:ascii="宋体" w:hAnsi="宋体"/>
                <w:b/>
                <w:szCs w:val="21"/>
                <w:highlight w:val="none"/>
              </w:rPr>
              <w:t xml:space="preserve">投标人</w:t>
            </w:r>
            <w:r>
              <w:rPr>
                <w:rFonts w:ascii="宋体" w:hAnsi="宋体"/>
                <w:b/>
                <w:szCs w:val="21"/>
                <w:highlight w:val="none"/>
              </w:rPr>
              <w:t xml:space="preserve">公章</w:t>
            </w:r>
            <w:r>
              <w:rPr>
                <w:rFonts w:hint="eastAsia" w:ascii="宋体" w:hAnsi="宋体"/>
                <w:b/>
                <w:szCs w:val="21"/>
                <w:highlight w:val="none"/>
              </w:rPr>
              <w:t xml:space="preserve">，否则不得分。</w:t>
            </w:r>
            <w:r/>
          </w:p>
        </w:tc>
        <w:tc>
          <w:tcPr>
            <w:tcW w:w="957" w:type="pct"/>
            <w:vAlign w:val="center"/>
            <w:textDirection w:val="lrTb"/>
            <w:noWrap w:val="false"/>
          </w:tcPr>
          <w:p>
            <w:pPr>
              <w:spacing w:line="400" w:lineRule="exact"/>
              <w:rPr>
                <w:rFonts w:ascii="宋体" w:hAnsi="宋体" w:cs="宋体"/>
                <w:szCs w:val="21"/>
              </w:rPr>
            </w:pPr>
            <w:r>
              <w:rPr>
                <w:rFonts w:ascii="宋体" w:hAnsi="宋体" w:cs="宋体"/>
                <w:szCs w:val="21"/>
              </w:rPr>
            </w:r>
            <w:r/>
          </w:p>
        </w:tc>
      </w:tr>
      <w:tr>
        <w:trPr/>
        <w:tc>
          <w:tcPr>
            <w:gridSpan w:val="2"/>
            <w:tcW w:w="1342"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合计</w:t>
            </w:r>
            <w:r/>
          </w:p>
        </w:tc>
        <w:tc>
          <w:tcPr>
            <w:tcW w:w="501" w:type="pct"/>
            <w:vAlign w:val="center"/>
            <w:textDirection w:val="lrTb"/>
            <w:noWrap w:val="false"/>
          </w:tcPr>
          <w:p>
            <w:pPr>
              <w:ind w:firstLine="28"/>
              <w:jc w:val="center"/>
              <w:spacing w:line="400" w:lineRule="exact"/>
              <w:rPr>
                <w:rFonts w:ascii="宋体" w:hAnsi="宋体" w:cs="宋体"/>
                <w:bCs/>
                <w:szCs w:val="21"/>
              </w:rPr>
            </w:pPr>
            <w:r>
              <w:rPr>
                <w:rFonts w:hint="eastAsia" w:ascii="宋体" w:hAnsi="宋体" w:cs="宋体"/>
                <w:bCs/>
                <w:szCs w:val="21"/>
              </w:rPr>
              <w:t xml:space="preserve">100</w:t>
            </w:r>
            <w:r/>
          </w:p>
        </w:tc>
        <w:tc>
          <w:tcPr>
            <w:gridSpan w:val="2"/>
            <w:tcW w:w="3156" w:type="pct"/>
            <w:vAlign w:val="center"/>
            <w:textDirection w:val="lrTb"/>
            <w:noWrap w:val="false"/>
          </w:tcPr>
          <w:p>
            <w:pPr>
              <w:spacing w:line="400" w:lineRule="exact"/>
              <w:rPr>
                <w:rFonts w:ascii="宋体" w:hAnsi="宋体" w:cs="宋体"/>
                <w:szCs w:val="21"/>
              </w:rPr>
            </w:pPr>
            <w:r>
              <w:rPr>
                <w:rFonts w:ascii="宋体" w:hAnsi="宋体" w:cs="宋体"/>
                <w:szCs w:val="21"/>
              </w:rPr>
            </w:r>
            <w:r/>
          </w:p>
        </w:tc>
      </w:tr>
    </w:tbl>
    <w:p>
      <w:pPr>
        <w:rPr>
          <w:b/>
          <w:sz w:val="36"/>
          <w:szCs w:val="36"/>
        </w:rPr>
      </w:pPr>
      <w:r>
        <w:rPr>
          <w:b/>
          <w:sz w:val="36"/>
          <w:szCs w:val="36"/>
        </w:rPr>
        <w:br w:type="page" w:clear="all"/>
      </w:r>
      <w:r/>
    </w:p>
    <w:p>
      <w:pPr>
        <w:pStyle w:val="993"/>
      </w:pPr>
      <w:r/>
      <w:r/>
    </w:p>
    <w:p>
      <w:pPr>
        <w:contextualSpacing/>
        <w:ind w:firstLine="723"/>
        <w:jc w:val="center"/>
        <w:spacing w:before="159" w:line="360" w:lineRule="auto"/>
        <w:rPr>
          <w:b/>
          <w:sz w:val="36"/>
          <w:szCs w:val="36"/>
        </w:rPr>
        <w:outlineLvl w:val="0"/>
      </w:pPr>
      <w:r>
        <w:rPr>
          <w:rFonts w:hint="eastAsia"/>
          <w:b/>
          <w:sz w:val="36"/>
          <w:szCs w:val="36"/>
        </w:rPr>
        <w:t xml:space="preserve">第五章、采购需求</w:t>
      </w:r>
      <w:r/>
    </w:p>
    <w:p>
      <w:pPr>
        <w:ind w:firstLine="422"/>
        <w:spacing w:line="360" w:lineRule="auto"/>
        <w:rPr>
          <w:rFonts w:ascii="宋体" w:hAnsi="宋体" w:cs="宋体"/>
          <w:b/>
          <w:spacing w:val="2"/>
          <w:szCs w:val="21"/>
        </w:rPr>
      </w:pPr>
      <w:r/>
      <w:bookmarkStart w:id="793" w:name="_Toc99301425"/>
      <w:r>
        <w:rPr>
          <w:rFonts w:hint="eastAsia" w:ascii="宋体" w:hAnsi="宋体" w:cs="宋体"/>
          <w:b/>
          <w:bCs/>
          <w:szCs w:val="21"/>
        </w:rPr>
        <w:t xml:space="preserve">一、</w:t>
      </w:r>
      <w:r>
        <w:rPr>
          <w:rFonts w:hint="eastAsia" w:ascii="宋体" w:hAnsi="宋体" w:cs="宋体"/>
          <w:b/>
          <w:spacing w:val="2"/>
          <w:szCs w:val="21"/>
        </w:rPr>
        <w:t xml:space="preserve">项目概况：</w:t>
      </w:r>
      <w:r/>
    </w:p>
    <w:p>
      <w:pPr>
        <w:ind w:firstLine="428"/>
        <w:spacing w:line="360" w:lineRule="auto"/>
        <w:rPr>
          <w:rFonts w:ascii="宋体" w:hAnsi="宋体" w:cs="宋体"/>
          <w:spacing w:val="2"/>
          <w:szCs w:val="21"/>
        </w:rPr>
      </w:pPr>
      <w:r>
        <w:rPr>
          <w:rFonts w:hint="eastAsia" w:ascii="宋体" w:hAnsi="宋体" w:cs="宋体"/>
          <w:spacing w:val="2"/>
          <w:szCs w:val="21"/>
        </w:rPr>
        <w:t xml:space="preserve">本项目是常州市第七人民医院污水处理站运维服务项目。常州市第七人民医院污水处理站位于院区的西南角位置，2023年1月份开始运行。整体采用A/O工艺和深度处理（臭氧+次氯酸钠）的组合工艺，设计日处理能力1000吨。</w:t>
      </w:r>
      <w:r/>
    </w:p>
    <w:p>
      <w:pPr>
        <w:ind w:firstLine="428"/>
        <w:spacing w:line="360" w:lineRule="auto"/>
        <w:rPr>
          <w:rFonts w:ascii="宋体" w:hAnsi="宋体" w:cs="宋体"/>
          <w:spacing w:val="2"/>
          <w:szCs w:val="21"/>
        </w:rPr>
      </w:pPr>
      <w:r>
        <w:rPr>
          <w:rFonts w:hint="eastAsia" w:ascii="宋体" w:hAnsi="宋体" w:cs="宋体"/>
          <w:spacing w:val="2"/>
          <w:szCs w:val="21"/>
        </w:rPr>
        <w:t xml:space="preserve">全站设有：格栅井、提升井、调节池、厌氧池、好氧池、沉淀池、污泥池、消毒池等整体全地埋式处理池20多套。排水口设在院区西南角接入市政污水管网，建有出水计量槽和取样泵，计量槽采用提升泵压力排水。污水处理站于处理池东侧，独立设置专用控制机房、风机房、加药间和污泥压制间。</w:t>
      </w:r>
      <w:r/>
    </w:p>
    <w:p>
      <w:pPr>
        <w:ind w:firstLine="428"/>
        <w:spacing w:line="360" w:lineRule="auto"/>
        <w:rPr>
          <w:rFonts w:ascii="宋体" w:hAnsi="宋体" w:cs="宋体"/>
          <w:spacing w:val="2"/>
          <w:szCs w:val="21"/>
        </w:rPr>
      </w:pPr>
      <w:r>
        <w:rPr>
          <w:rFonts w:hint="eastAsia" w:ascii="宋体" w:hAnsi="宋体" w:cs="宋体"/>
          <w:spacing w:val="2"/>
          <w:szCs w:val="21"/>
        </w:rPr>
        <w:t xml:space="preserve">该站是按一级污水处理站系统设计建造，目前该站整体运行正常，集中处理后的出水完全满足《医疗机构水污染物排放标准》（GB18466-2005）预处理标准。</w:t>
      </w:r>
      <w:r/>
    </w:p>
    <w:p>
      <w:pPr>
        <w:ind w:firstLine="428"/>
        <w:spacing w:line="360" w:lineRule="auto"/>
        <w:rPr>
          <w:rFonts w:ascii="宋体" w:hAnsi="宋体" w:cs="宋体"/>
          <w:spacing w:val="2"/>
          <w:szCs w:val="21"/>
        </w:rPr>
      </w:pPr>
      <w:r>
        <w:rPr>
          <w:rFonts w:hint="eastAsia" w:ascii="宋体" w:hAnsi="宋体" w:cs="宋体"/>
          <w:spacing w:val="2"/>
          <w:szCs w:val="21"/>
        </w:rPr>
        <w:t xml:space="preserve">本项目托管服务地点：常州市第七人民医院污水处理站，院方主管部门：总务科。</w:t>
      </w:r>
      <w:r/>
    </w:p>
    <w:p>
      <w:pPr>
        <w:ind w:firstLine="422"/>
        <w:jc w:val="left"/>
        <w:spacing w:line="360" w:lineRule="auto"/>
        <w:rPr>
          <w:rFonts w:ascii="宋体" w:hAnsi="宋体" w:cs="宋体"/>
          <w:b/>
          <w:szCs w:val="21"/>
        </w:rPr>
      </w:pPr>
      <w:r>
        <w:rPr>
          <w:rFonts w:hint="eastAsia" w:ascii="宋体" w:hAnsi="宋体" w:cs="宋体"/>
          <w:b/>
          <w:szCs w:val="21"/>
        </w:rPr>
        <w:t xml:space="preserve">二、托管运行范围、职责 </w:t>
      </w:r>
      <w:r/>
    </w:p>
    <w:p>
      <w:pPr>
        <w:ind w:firstLine="420"/>
        <w:jc w:val="left"/>
        <w:spacing w:line="360" w:lineRule="auto"/>
        <w:rPr>
          <w:rFonts w:ascii="宋体" w:hAnsi="宋体" w:cs="宋体"/>
          <w:color w:val="auto"/>
          <w:szCs w:val="21"/>
        </w:rPr>
      </w:pPr>
      <w:r>
        <w:rPr>
          <w:rFonts w:hint="eastAsia" w:ascii="宋体" w:hAnsi="宋体" w:cs="宋体"/>
          <w:szCs w:val="21"/>
        </w:rPr>
        <w:t xml:space="preserve">1.承担污水处理站的日常管理与操作，包括：各类设备设施维修保养运行管理和工作状况记录；水质监测与自检记录；每日巡检设备与数据管理等工作。驻场值守人员</w:t>
      </w:r>
      <w:r>
        <w:rPr>
          <w:rFonts w:hint="eastAsia" w:ascii="宋体" w:hAnsi="宋体" w:cs="宋体"/>
          <w:color w:val="auto"/>
          <w:szCs w:val="21"/>
        </w:rPr>
        <w:t xml:space="preserve">须持有与项目需求相关的证书上岗。</w:t>
      </w:r>
      <w:r/>
    </w:p>
    <w:p>
      <w:pPr>
        <w:ind w:firstLine="420"/>
        <w:jc w:val="left"/>
        <w:spacing w:line="360" w:lineRule="auto"/>
        <w:rPr>
          <w:rFonts w:ascii="宋体" w:hAnsi="宋体" w:cs="宋体"/>
          <w:szCs w:val="21"/>
        </w:rPr>
      </w:pPr>
      <w:r>
        <w:rPr>
          <w:rFonts w:hint="eastAsia" w:ascii="宋体" w:hAnsi="宋体" w:cs="宋体"/>
          <w:szCs w:val="21"/>
        </w:rPr>
        <w:t xml:space="preserve">2.接受主管部门、环保、疾控中心等部门的监督管理。</w:t>
      </w:r>
      <w:r/>
    </w:p>
    <w:p>
      <w:pPr>
        <w:ind w:firstLine="420"/>
        <w:jc w:val="left"/>
        <w:spacing w:line="360" w:lineRule="auto"/>
        <w:rPr>
          <w:rFonts w:ascii="宋体" w:hAnsi="宋体" w:cs="宋体"/>
          <w:szCs w:val="21"/>
        </w:rPr>
      </w:pPr>
      <w:r>
        <w:rPr>
          <w:rFonts w:hint="eastAsia" w:ascii="宋体" w:hAnsi="宋体" w:cs="宋体"/>
          <w:szCs w:val="21"/>
        </w:rPr>
        <w:t xml:space="preserve">3.保证污水处理设施的安全运行；防止污水漫溢，及时清理格渣框、格栅机中的飘浮物和污泥，污泥池中污泥定时压制，集中放置，便于处理。</w:t>
      </w:r>
      <w:r/>
    </w:p>
    <w:p>
      <w:pPr>
        <w:ind w:firstLine="420"/>
        <w:jc w:val="left"/>
        <w:spacing w:line="360" w:lineRule="auto"/>
        <w:rPr>
          <w:rFonts w:ascii="宋体" w:hAnsi="宋体" w:cs="宋体"/>
          <w:szCs w:val="21"/>
        </w:rPr>
      </w:pPr>
      <w:r>
        <w:rPr>
          <w:rFonts w:hint="eastAsia" w:ascii="宋体" w:hAnsi="宋体" w:cs="宋体"/>
          <w:szCs w:val="21"/>
        </w:rPr>
        <w:t xml:space="preserve">4.负责消毒药剂、水质分析试剂的采购与贮存。维持污水处理站的环境卫生。</w:t>
      </w:r>
      <w:r/>
    </w:p>
    <w:p>
      <w:pPr>
        <w:ind w:firstLine="420"/>
        <w:jc w:val="left"/>
        <w:spacing w:line="360" w:lineRule="auto"/>
        <w:rPr>
          <w:rFonts w:ascii="宋体" w:hAnsi="宋体" w:cs="宋体"/>
          <w:szCs w:val="21"/>
        </w:rPr>
      </w:pPr>
      <w:r>
        <w:rPr>
          <w:rFonts w:hint="eastAsia" w:ascii="宋体" w:hAnsi="宋体" w:cs="宋体"/>
          <w:szCs w:val="21"/>
        </w:rPr>
        <w:t xml:space="preserve">5.每日平均污水处理量约500吨。</w:t>
      </w:r>
      <w:r/>
    </w:p>
    <w:p>
      <w:pPr>
        <w:ind w:firstLine="420"/>
        <w:jc w:val="left"/>
        <w:spacing w:line="360" w:lineRule="auto"/>
        <w:rPr>
          <w:rFonts w:ascii="宋体" w:hAnsi="宋体" w:cs="宋体"/>
          <w:szCs w:val="21"/>
        </w:rPr>
      </w:pPr>
      <w:r>
        <w:rPr>
          <w:rFonts w:hint="eastAsia" w:ascii="宋体" w:hAnsi="宋体" w:cs="宋体"/>
          <w:szCs w:val="21"/>
        </w:rPr>
        <w:t xml:space="preserve">6.出水水质：达到《医疗机构水污染物排放标准》GB18466-2005预处理标准。</w:t>
      </w:r>
      <w:r/>
    </w:p>
    <w:p>
      <w:pPr>
        <w:ind w:firstLine="420"/>
        <w:jc w:val="left"/>
        <w:spacing w:line="360" w:lineRule="auto"/>
        <w:rPr>
          <w:rFonts w:ascii="宋体" w:hAnsi="宋体" w:cs="宋体"/>
          <w:szCs w:val="21"/>
        </w:rPr>
      </w:pPr>
      <w:r>
        <w:rPr>
          <w:rFonts w:hint="eastAsia" w:ascii="宋体" w:hAnsi="宋体" w:cs="宋体"/>
          <w:szCs w:val="21"/>
        </w:rPr>
        <w:t xml:space="preserve">7.每日进行所有设备的巡检，发现异常立即申报主管部门安排维修，保证设备运行正常。</w:t>
      </w:r>
      <w:r/>
    </w:p>
    <w:p>
      <w:pPr>
        <w:ind w:firstLine="420"/>
        <w:jc w:val="left"/>
        <w:spacing w:line="360" w:lineRule="auto"/>
        <w:rPr>
          <w:rFonts w:ascii="宋体" w:hAnsi="宋体" w:cs="宋体"/>
          <w:szCs w:val="21"/>
        </w:rPr>
      </w:pPr>
      <w:r>
        <w:rPr>
          <w:rFonts w:hint="eastAsia" w:ascii="宋体" w:hAnsi="宋体" w:cs="宋体"/>
          <w:szCs w:val="21"/>
        </w:rPr>
        <w:t xml:space="preserve">8.每月取样送至环保部门检测，发现问题立即查找原因，确保达标排放。</w:t>
      </w:r>
      <w:r/>
    </w:p>
    <w:p>
      <w:pPr>
        <w:ind w:firstLine="420"/>
        <w:jc w:val="left"/>
        <w:spacing w:line="360" w:lineRule="auto"/>
        <w:rPr>
          <w:rFonts w:ascii="宋体" w:hAnsi="宋体" w:cs="宋体"/>
          <w:szCs w:val="21"/>
        </w:rPr>
      </w:pPr>
      <w:r>
        <w:rPr>
          <w:rFonts w:hint="eastAsia" w:ascii="宋体" w:hAnsi="宋体" w:cs="宋体"/>
          <w:szCs w:val="21"/>
        </w:rPr>
        <w:t xml:space="preserve">9.采购人承担污水处理站所耗电费、自来水费、照明及控制室空调用电费用，投标人应力行节约，帮助采购人提供合理化节能建议。</w:t>
      </w:r>
      <w:r/>
    </w:p>
    <w:p>
      <w:pPr>
        <w:ind w:firstLine="420"/>
        <w:jc w:val="left"/>
        <w:spacing w:line="360" w:lineRule="auto"/>
        <w:rPr>
          <w:rFonts w:ascii="宋体" w:hAnsi="宋体" w:cs="宋体"/>
          <w:szCs w:val="21"/>
        </w:rPr>
      </w:pPr>
      <w:r>
        <w:rPr>
          <w:rFonts w:hint="eastAsia" w:ascii="宋体" w:hAnsi="宋体" w:cs="宋体"/>
          <w:szCs w:val="21"/>
        </w:rPr>
        <w:t xml:space="preserve">10.采购人承担污水站处理后的废水排放费和污泥处理费。</w:t>
      </w:r>
      <w:r/>
    </w:p>
    <w:p>
      <w:pPr>
        <w:ind w:firstLine="420"/>
        <w:jc w:val="left"/>
        <w:spacing w:line="360" w:lineRule="auto"/>
        <w:rPr>
          <w:rFonts w:ascii="宋体" w:hAnsi="宋体" w:cs="宋体"/>
          <w:szCs w:val="21"/>
        </w:rPr>
      </w:pPr>
      <w:r>
        <w:rPr>
          <w:rFonts w:hint="eastAsia" w:ascii="宋体" w:hAnsi="宋体" w:cs="宋体"/>
          <w:szCs w:val="21"/>
        </w:rPr>
        <w:t xml:space="preserve">11.在托管过程中，出水应100%达标，如污水处理系统排水超标，所产生的环保、卫生防疫、污水处理部门的罚款费用均由托管方承担，并负责尽快整改直至污水达标排放，相关费用均由投标人承担。</w:t>
      </w:r>
      <w:r/>
    </w:p>
    <w:p>
      <w:pPr>
        <w:ind w:firstLine="420"/>
        <w:jc w:val="left"/>
        <w:spacing w:line="360" w:lineRule="auto"/>
        <w:rPr>
          <w:rFonts w:ascii="宋体" w:hAnsi="宋体" w:cs="宋体"/>
          <w:szCs w:val="21"/>
        </w:rPr>
      </w:pPr>
      <w:r>
        <w:rPr>
          <w:rFonts w:hint="eastAsia" w:ascii="宋体" w:hAnsi="宋体" w:cs="宋体"/>
          <w:szCs w:val="21"/>
        </w:rPr>
        <w:t xml:space="preserve">12.投标人驻场值守人员，必须遵守采购方的规章制度、管理章程。投标人负责托管运行期间的所有安全责任。</w:t>
      </w:r>
      <w:r/>
    </w:p>
    <w:p>
      <w:pPr>
        <w:ind w:firstLine="420"/>
        <w:jc w:val="left"/>
        <w:spacing w:line="360" w:lineRule="auto"/>
        <w:rPr>
          <w:rFonts w:ascii="宋体" w:hAnsi="宋体" w:cs="宋体"/>
          <w:szCs w:val="21"/>
        </w:rPr>
      </w:pPr>
      <w:r>
        <w:rPr>
          <w:rFonts w:hint="eastAsia" w:ascii="宋体" w:hAnsi="宋体" w:cs="宋体"/>
          <w:szCs w:val="21"/>
        </w:rPr>
        <w:t xml:space="preserve">13.如双方协商制定的考核管理细则中如涉及的处罚费用，可在当期发生的核算费用中予以扣除。</w:t>
      </w:r>
      <w:r/>
    </w:p>
    <w:p>
      <w:pPr>
        <w:ind w:firstLine="420"/>
        <w:jc w:val="left"/>
        <w:spacing w:line="360" w:lineRule="auto"/>
        <w:rPr>
          <w:rFonts w:ascii="宋体" w:hAnsi="宋体" w:cs="宋体"/>
          <w:szCs w:val="21"/>
        </w:rPr>
      </w:pPr>
      <w:r>
        <w:rPr>
          <w:rFonts w:hint="eastAsia" w:ascii="宋体" w:hAnsi="宋体" w:cs="宋体"/>
          <w:szCs w:val="21"/>
        </w:rPr>
        <w:t xml:space="preserve">14.采购人需按合同约定的付款方式，收到投标人票据后及时付款。</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投标人驻场值守人员经双方核准后，保持相对稳定至少6个月以上，约定两名以上驻场人员其中一人必须现场正常值班，另一人为轮替班巡检工程师岗位，每月至少进行两次技术巡检（须采购人人员在场），并做好台账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rPr>
          <w:rFonts w:hint="eastAsia" w:cs="宋体" w:asciiTheme="minorEastAsia" w:hAnsiTheme="minorEastAsia"/>
          <w:color w:val="auto"/>
          <w:szCs w:val="21"/>
          <w:highlight w:val="none"/>
        </w:rPr>
        <w:t xml:space="preserve"> 投标人</w:t>
      </w:r>
      <w:r>
        <w:rPr>
          <w:rFonts w:cs="宋体" w:asciiTheme="minorEastAsia" w:hAnsiTheme="minorEastAsia"/>
          <w:color w:val="auto"/>
          <w:szCs w:val="21"/>
          <w:highlight w:val="none"/>
        </w:rPr>
        <w:t xml:space="preserve">定期</w:t>
      </w:r>
      <w:r>
        <w:rPr>
          <w:rFonts w:hint="eastAsia" w:cs="宋体" w:asciiTheme="minorEastAsia" w:hAnsiTheme="minorEastAsia"/>
          <w:color w:val="auto"/>
          <w:szCs w:val="21"/>
          <w:highlight w:val="none"/>
        </w:rPr>
        <w:t xml:space="preserve">组织运维培训及</w:t>
      </w:r>
      <w:r>
        <w:rPr>
          <w:rFonts w:cs="宋体" w:asciiTheme="minorEastAsia" w:hAnsiTheme="minorEastAsia"/>
          <w:color w:val="auto"/>
          <w:szCs w:val="21"/>
          <w:highlight w:val="none"/>
        </w:rPr>
        <w:t xml:space="preserve">应急演练</w:t>
      </w:r>
      <w:r>
        <w:rPr>
          <w:rFonts w:hint="eastAsia" w:cs="宋体" w:asciiTheme="minorEastAsia" w:hAnsiTheme="minorEastAsia"/>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7</w:t>
      </w:r>
      <w:r>
        <w:rPr>
          <w:rFonts w:hint="eastAsia" w:ascii="宋体" w:hAnsi="宋体" w:cs="宋体"/>
          <w:color w:val="auto"/>
          <w:szCs w:val="21"/>
          <w:highlight w:val="none"/>
        </w:rPr>
        <w:t xml:space="preserve">.投标人不得将本托管服务转包或分包给第三方。</w:t>
      </w:r>
      <w:r/>
    </w:p>
    <w:p>
      <w:pPr>
        <w:ind w:firstLine="361"/>
        <w:jc w:val="left"/>
        <w:spacing w:line="360" w:lineRule="auto"/>
        <w:rPr>
          <w:rFonts w:ascii="宋体" w:hAnsi="宋体" w:cs="宋体"/>
          <w:color w:val="auto"/>
          <w:szCs w:val="21"/>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8</w:t>
      </w:r>
      <w:r>
        <w:rPr>
          <w:rFonts w:hint="eastAsia" w:ascii="宋体" w:hAnsi="宋体" w:cs="宋体"/>
          <w:b/>
          <w:bCs/>
          <w:color w:val="auto"/>
          <w:sz w:val="24"/>
          <w:highlight w:val="none"/>
        </w:rPr>
        <w:t xml:space="preserve">. 在污水处理站运维服务进场实施前，投标人需足额提供驻场值守人员对应的与项目需求相关的证书供采购人审查，并按规范要求配齐各类应急救援器材、安全防护装备及相关应急物资，确保满足现场运维及应急处置全流程需求。（投标文件中提供承诺函，承诺函格式见“第七章 投标文件格式”）</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9</w:t>
      </w:r>
      <w:r>
        <w:rPr>
          <w:rFonts w:hint="eastAsia" w:ascii="宋体" w:hAnsi="宋体" w:cs="宋体"/>
          <w:szCs w:val="21"/>
        </w:rPr>
        <w:t xml:space="preserve">.未尽事宜，由采购人、投标人另行协调后以补充协议的形式予以完善，补充协议与签订的本项目合同具有同等法律效力。</w:t>
      </w:r>
      <w:r/>
    </w:p>
    <w:p>
      <w:pPr>
        <w:ind w:firstLine="422"/>
        <w:jc w:val="left"/>
        <w:spacing w:line="360" w:lineRule="auto"/>
        <w:rPr>
          <w:rFonts w:ascii="宋体" w:hAnsi="宋体" w:cs="宋体"/>
          <w:b/>
          <w:bCs/>
          <w:szCs w:val="21"/>
        </w:rPr>
      </w:pPr>
      <w:r>
        <w:rPr>
          <w:rFonts w:hint="eastAsia" w:ascii="宋体" w:hAnsi="宋体" w:cs="宋体"/>
          <w:b/>
          <w:bCs/>
          <w:szCs w:val="21"/>
        </w:rPr>
        <w:t xml:space="preserve">三</w:t>
      </w:r>
      <w:r>
        <w:rPr>
          <w:rFonts w:ascii="宋体" w:hAnsi="宋体" w:cs="宋体"/>
          <w:b/>
          <w:bCs/>
          <w:szCs w:val="21"/>
        </w:rPr>
        <w:t xml:space="preserve">、</w:t>
      </w:r>
      <w:r>
        <w:rPr>
          <w:rFonts w:hint="eastAsia" w:ascii="宋体" w:hAnsi="宋体" w:cs="宋体"/>
          <w:b/>
          <w:bCs/>
          <w:szCs w:val="21"/>
        </w:rPr>
        <w:t xml:space="preserve">污水站主要设备</w:t>
      </w:r>
      <w:r>
        <w:rPr>
          <w:rFonts w:ascii="宋体" w:hAnsi="宋体" w:cs="宋体"/>
          <w:b/>
          <w:bCs/>
          <w:szCs w:val="21"/>
        </w:rPr>
        <w:t xml:space="preserve">清单</w:t>
      </w:r>
      <w:r/>
    </w:p>
    <w:tbl>
      <w:tblPr>
        <w:tblStyle w:val="951"/>
        <w:tblW w:w="5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926"/>
        <w:gridCol w:w="3392"/>
        <w:gridCol w:w="855"/>
        <w:gridCol w:w="840"/>
        <w:gridCol w:w="1650"/>
      </w:tblGrid>
      <w:tr>
        <w:trPr>
          <w:jc w:val="center"/>
          <w:tblHeader/>
        </w:trPr>
        <w:tc>
          <w:tcPr>
            <w:shd w:val="clear" w:color="auto" w:fill="auto"/>
            <w:tcW w:w="346" w:type="pct"/>
            <w:vAlign w:val="center"/>
            <w:textDirection w:val="lrTb"/>
            <w:noWrap w:val="false"/>
          </w:tcPr>
          <w:p>
            <w:pPr>
              <w:jc w:val="center"/>
              <w:spacing w:line="360" w:lineRule="auto"/>
            </w:pPr>
            <w:r>
              <w:rPr>
                <w:rFonts w:hint="eastAsia"/>
              </w:rPr>
              <w:t xml:space="preserve">序号</w:t>
            </w:r>
            <w:r/>
          </w:p>
        </w:tc>
        <w:tc>
          <w:tcPr>
            <w:shd w:val="clear" w:color="auto" w:fill="auto"/>
            <w:tcW w:w="1034" w:type="pct"/>
            <w:vAlign w:val="center"/>
            <w:textDirection w:val="lrTb"/>
            <w:noWrap w:val="false"/>
          </w:tcPr>
          <w:p>
            <w:pPr>
              <w:jc w:val="center"/>
              <w:spacing w:line="360" w:lineRule="auto"/>
            </w:pPr>
            <w:r>
              <w:rPr>
                <w:rFonts w:hint="eastAsia"/>
              </w:rPr>
              <w:t xml:space="preserve">设备名称</w:t>
            </w:r>
            <w:r/>
          </w:p>
        </w:tc>
        <w:tc>
          <w:tcPr>
            <w:shd w:val="clear" w:color="auto" w:fill="auto"/>
            <w:tcW w:w="1821" w:type="pct"/>
            <w:vAlign w:val="center"/>
            <w:textDirection w:val="lrTb"/>
            <w:noWrap w:val="false"/>
          </w:tcPr>
          <w:p>
            <w:pPr>
              <w:jc w:val="center"/>
              <w:spacing w:line="360" w:lineRule="auto"/>
            </w:pPr>
            <w:r>
              <w:rPr>
                <w:rFonts w:hint="eastAsia"/>
              </w:rPr>
              <w:t xml:space="preserve">规格型号</w:t>
            </w:r>
            <w:r/>
          </w:p>
        </w:tc>
        <w:tc>
          <w:tcPr>
            <w:shd w:val="clear" w:color="auto" w:fill="auto"/>
            <w:tcW w:w="459" w:type="pct"/>
            <w:vAlign w:val="center"/>
            <w:textDirection w:val="lrTb"/>
            <w:noWrap w:val="false"/>
          </w:tcPr>
          <w:p>
            <w:pPr>
              <w:jc w:val="center"/>
              <w:spacing w:line="360" w:lineRule="auto"/>
            </w:pPr>
            <w:r>
              <w:rPr>
                <w:rFonts w:hint="eastAsia"/>
              </w:rPr>
              <w:t xml:space="preserve">单位</w:t>
            </w:r>
            <w:r/>
          </w:p>
        </w:tc>
        <w:tc>
          <w:tcPr>
            <w:shd w:val="clear" w:color="auto" w:fill="auto"/>
            <w:tcW w:w="451" w:type="pct"/>
            <w:vAlign w:val="center"/>
            <w:textDirection w:val="lrTb"/>
            <w:noWrap w:val="false"/>
          </w:tcPr>
          <w:p>
            <w:pPr>
              <w:jc w:val="center"/>
              <w:spacing w:line="360" w:lineRule="auto"/>
            </w:pPr>
            <w:r>
              <w:rPr>
                <w:rFonts w:hint="eastAsia"/>
              </w:rPr>
              <w:t xml:space="preserve">数量</w:t>
            </w:r>
            <w:r/>
          </w:p>
        </w:tc>
        <w:tc>
          <w:tcPr>
            <w:shd w:val="clear" w:color="auto" w:fill="auto"/>
            <w:tcW w:w="886" w:type="pct"/>
            <w:vAlign w:val="center"/>
            <w:textDirection w:val="lrTb"/>
            <w:noWrap w:val="false"/>
          </w:tcPr>
          <w:p>
            <w:pPr>
              <w:jc w:val="center"/>
              <w:spacing w:line="360" w:lineRule="auto"/>
            </w:pPr>
            <w:r>
              <w:rPr>
                <w:rFonts w:hint="eastAsia"/>
              </w:rPr>
              <w:t xml:space="preserve">备注</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w:t>
            </w:r>
            <w:r/>
          </w:p>
        </w:tc>
        <w:tc>
          <w:tcPr>
            <w:shd w:val="clear" w:color="auto" w:fill="auto"/>
            <w:tcW w:w="1034" w:type="pct"/>
            <w:vAlign w:val="center"/>
            <w:textDirection w:val="lrTb"/>
            <w:noWrap w:val="false"/>
          </w:tcPr>
          <w:p>
            <w:pPr>
              <w:jc w:val="center"/>
              <w:spacing w:line="360" w:lineRule="auto"/>
            </w:pPr>
            <w:r>
              <w:rPr>
                <w:rFonts w:hint="eastAsia"/>
              </w:rPr>
              <w:t xml:space="preserve">机械格栅</w:t>
            </w:r>
            <w:r/>
          </w:p>
        </w:tc>
        <w:tc>
          <w:tcPr>
            <w:shd w:val="clear" w:color="auto" w:fill="auto"/>
            <w:tcW w:w="1821" w:type="pct"/>
            <w:vAlign w:val="center"/>
            <w:textDirection w:val="lrTb"/>
            <w:noWrap w:val="false"/>
          </w:tcPr>
          <w:p>
            <w:pPr>
              <w:spacing w:line="360" w:lineRule="auto"/>
            </w:pPr>
            <w:r>
              <w:rPr>
                <w:rFonts w:hint="eastAsia"/>
              </w:rPr>
              <w:t xml:space="preserve">型式：自动回转式</w:t>
            </w:r>
            <w:r/>
          </w:p>
          <w:p>
            <w:pPr>
              <w:spacing w:line="360" w:lineRule="auto"/>
            </w:pPr>
            <w:r>
              <w:rPr>
                <w:rFonts w:hint="eastAsia"/>
              </w:rPr>
              <w:t xml:space="preserve">渠宽1000mm，间隙5mm</w:t>
            </w:r>
            <w:r/>
          </w:p>
          <w:p>
            <w:pPr>
              <w:spacing w:line="360" w:lineRule="auto"/>
            </w:pPr>
            <w:r>
              <w:rPr>
                <w:rFonts w:hint="eastAsia"/>
              </w:rPr>
              <w:t xml:space="preserve">深度1500mm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jc w:val="center"/>
              <w:spacing w:line="360" w:lineRule="auto"/>
            </w:pPr>
            <w:r>
              <w:rPr>
                <w:rFonts w:hint="eastAsia"/>
              </w:rPr>
              <w:t xml:space="preserve">SS304不锈钢</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w:t>
            </w:r>
            <w:r/>
          </w:p>
        </w:tc>
        <w:tc>
          <w:tcPr>
            <w:shd w:val="clear" w:color="auto" w:fill="auto"/>
            <w:tcW w:w="1034" w:type="pct"/>
            <w:vAlign w:val="center"/>
            <w:textDirection w:val="lrTb"/>
            <w:noWrap w:val="false"/>
          </w:tcPr>
          <w:p>
            <w:pPr>
              <w:jc w:val="center"/>
              <w:spacing w:line="360" w:lineRule="auto"/>
            </w:pPr>
            <w:r>
              <w:rPr>
                <w:rFonts w:hint="eastAsia"/>
              </w:rPr>
              <w:t xml:space="preserve">平板闸板门</w:t>
            </w:r>
            <w:r/>
          </w:p>
        </w:tc>
        <w:tc>
          <w:tcPr>
            <w:shd w:val="clear" w:color="auto" w:fill="auto"/>
            <w:tcW w:w="1821" w:type="pct"/>
            <w:vAlign w:val="center"/>
            <w:textDirection w:val="lrTb"/>
            <w:noWrap w:val="false"/>
          </w:tcPr>
          <w:p>
            <w:pPr>
              <w:spacing w:line="360" w:lineRule="auto"/>
            </w:pPr>
            <w:r>
              <w:rPr>
                <w:rFonts w:hint="eastAsia"/>
              </w:rPr>
              <w:t xml:space="preserve">B=1000mm，水深500mm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2</w:t>
            </w:r>
            <w:r/>
          </w:p>
        </w:tc>
        <w:tc>
          <w:tcPr>
            <w:shd w:val="clear" w:color="auto" w:fill="auto"/>
            <w:tcW w:w="886" w:type="pct"/>
            <w:textDirection w:val="lrTb"/>
            <w:noWrap w:val="false"/>
          </w:tcPr>
          <w:p>
            <w:pPr>
              <w:jc w:val="center"/>
              <w:spacing w:line="360" w:lineRule="auto"/>
            </w:pPr>
            <w:r>
              <w:rPr>
                <w:rFonts w:hint="eastAsia"/>
              </w:rPr>
              <w:t xml:space="preserve">配套启闭机</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3</w:t>
            </w:r>
            <w:r/>
          </w:p>
        </w:tc>
        <w:tc>
          <w:tcPr>
            <w:shd w:val="clear" w:color="auto" w:fill="auto"/>
            <w:tcW w:w="1034" w:type="pct"/>
            <w:vAlign w:val="center"/>
            <w:textDirection w:val="lrTb"/>
            <w:noWrap w:val="false"/>
          </w:tcPr>
          <w:p>
            <w:pPr>
              <w:jc w:val="center"/>
              <w:spacing w:line="360" w:lineRule="auto"/>
            </w:pPr>
            <w:r>
              <w:rPr>
                <w:rFonts w:hint="eastAsia"/>
              </w:rPr>
              <w:t xml:space="preserve">污水提升泵</w:t>
            </w:r>
            <w:r/>
          </w:p>
        </w:tc>
        <w:tc>
          <w:tcPr>
            <w:shd w:val="clear" w:color="auto" w:fill="auto"/>
            <w:tcW w:w="1821" w:type="pct"/>
            <w:vAlign w:val="center"/>
            <w:textDirection w:val="lrTb"/>
            <w:noWrap w:val="false"/>
          </w:tcPr>
          <w:p>
            <w:pPr>
              <w:spacing w:line="360" w:lineRule="auto"/>
            </w:pPr>
            <w:r>
              <w:rPr>
                <w:rFonts w:hint="eastAsia"/>
              </w:rPr>
              <w:t xml:space="preserve">型式：潜污泵Q=20m</w:t>
            </w:r>
            <w:r>
              <w:rPr>
                <w:rFonts w:hint="eastAsia"/>
                <w:vertAlign w:val="superscript"/>
              </w:rPr>
              <w:t xml:space="preserve">3</w:t>
            </w:r>
            <w:r>
              <w:rPr>
                <w:rFonts w:hint="eastAsia"/>
              </w:rPr>
              <w:t xml:space="preserve">/h,H=15m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4</w:t>
            </w:r>
            <w:r/>
          </w:p>
        </w:tc>
        <w:tc>
          <w:tcPr>
            <w:shd w:val="clear" w:color="auto" w:fill="auto"/>
            <w:tcW w:w="886" w:type="pct"/>
            <w:vAlign w:val="center"/>
            <w:textDirection w:val="lrTb"/>
            <w:noWrap w:val="false"/>
          </w:tcPr>
          <w:p>
            <w:pPr>
              <w:jc w:val="center"/>
              <w:spacing w:line="360" w:lineRule="auto"/>
            </w:pPr>
            <w:r>
              <w:rPr>
                <w:rFonts w:hint="eastAsia"/>
              </w:rPr>
              <w:t xml:space="preserve">2用2备</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4</w:t>
            </w:r>
            <w:r/>
          </w:p>
        </w:tc>
        <w:tc>
          <w:tcPr>
            <w:shd w:val="clear" w:color="auto" w:fill="auto"/>
            <w:tcW w:w="1034" w:type="pct"/>
            <w:vAlign w:val="center"/>
            <w:textDirection w:val="lrTb"/>
            <w:noWrap w:val="false"/>
          </w:tcPr>
          <w:p>
            <w:pPr>
              <w:jc w:val="center"/>
              <w:spacing w:line="360" w:lineRule="auto"/>
            </w:pPr>
            <w:r>
              <w:rPr>
                <w:rFonts w:hint="eastAsia"/>
              </w:rPr>
              <w:t xml:space="preserve">液位控制器</w:t>
            </w:r>
            <w:r/>
          </w:p>
        </w:tc>
        <w:tc>
          <w:tcPr>
            <w:shd w:val="clear" w:color="auto" w:fill="auto"/>
            <w:tcW w:w="1821" w:type="pct"/>
            <w:vAlign w:val="center"/>
            <w:textDirection w:val="lrTb"/>
            <w:noWrap w:val="false"/>
          </w:tcPr>
          <w:p>
            <w:pPr>
              <w:spacing w:line="360" w:lineRule="auto"/>
            </w:pPr>
            <w:r>
              <w:rPr>
                <w:rFonts w:hint="eastAsia"/>
              </w:rPr>
              <w:t xml:space="preserve">高、低液位</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jc w:val="center"/>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5</w:t>
            </w:r>
            <w:r/>
          </w:p>
        </w:tc>
        <w:tc>
          <w:tcPr>
            <w:shd w:val="clear" w:color="auto" w:fill="auto"/>
            <w:tcW w:w="1034" w:type="pct"/>
            <w:vAlign w:val="center"/>
            <w:textDirection w:val="lrTb"/>
            <w:noWrap w:val="false"/>
          </w:tcPr>
          <w:p>
            <w:pPr>
              <w:jc w:val="center"/>
              <w:spacing w:line="360" w:lineRule="auto"/>
            </w:pPr>
            <w:r>
              <w:rPr>
                <w:rFonts w:hint="eastAsia"/>
              </w:rPr>
              <w:t xml:space="preserve">氧化池填料及支架</w:t>
            </w:r>
            <w:r/>
          </w:p>
        </w:tc>
        <w:tc>
          <w:tcPr>
            <w:shd w:val="clear" w:color="auto" w:fill="auto"/>
            <w:tcW w:w="1821" w:type="pct"/>
            <w:vAlign w:val="center"/>
            <w:textDirection w:val="lrTb"/>
            <w:noWrap w:val="false"/>
          </w:tcPr>
          <w:p>
            <w:pPr>
              <w:spacing w:line="360" w:lineRule="auto"/>
            </w:pPr>
            <w:r>
              <w:rPr>
                <w:rFonts w:hint="eastAsia"/>
              </w:rPr>
              <w:t xml:space="preserve">组合填料，</w:t>
            </w:r>
            <w:r>
              <w:rPr>
                <w:rFonts w:hint="eastAsia" w:ascii="宋体" w:hAnsi="宋体" w:cs="宋体"/>
              </w:rPr>
              <w:t xml:space="preserve">Ф</w:t>
            </w:r>
            <w:r>
              <w:rPr>
                <w:rFonts w:hint="eastAsia"/>
              </w:rPr>
              <w:t xml:space="preserve">150</w:t>
            </w:r>
            <w:r>
              <w:rPr>
                <w:rFonts w:ascii="Arial" w:hAnsi="Arial" w:cs="Arial"/>
              </w:rPr>
              <w:t xml:space="preserve">×</w:t>
            </w:r>
            <w:r>
              <w:rPr>
                <w:rFonts w:hint="eastAsia"/>
              </w:rPr>
              <w:t xml:space="preserve">80mm</w:t>
            </w:r>
            <w:r/>
          </w:p>
        </w:tc>
        <w:tc>
          <w:tcPr>
            <w:shd w:val="clear" w:color="auto" w:fill="auto"/>
            <w:tcW w:w="459" w:type="pct"/>
            <w:vAlign w:val="center"/>
            <w:textDirection w:val="lrTb"/>
            <w:noWrap w:val="false"/>
          </w:tcPr>
          <w:p>
            <w:pPr>
              <w:jc w:val="center"/>
              <w:spacing w:line="360" w:lineRule="auto"/>
            </w:pPr>
            <w:r>
              <w:rPr>
                <w:rFonts w:hint="eastAsia"/>
              </w:rPr>
              <w:t xml:space="preserve">m</w:t>
            </w:r>
            <w:r>
              <w:rPr>
                <w:rFonts w:hint="eastAsia"/>
                <w:vertAlign w:val="superscript"/>
              </w:rPr>
              <w:t xml:space="preserve">3</w:t>
            </w:r>
            <w:r/>
          </w:p>
        </w:tc>
        <w:tc>
          <w:tcPr>
            <w:shd w:val="clear" w:color="auto" w:fill="auto"/>
            <w:tcW w:w="451" w:type="pct"/>
            <w:vAlign w:val="center"/>
            <w:textDirection w:val="lrTb"/>
            <w:noWrap w:val="false"/>
          </w:tcPr>
          <w:p>
            <w:pPr>
              <w:jc w:val="center"/>
              <w:spacing w:line="360" w:lineRule="auto"/>
            </w:pPr>
            <w:r>
              <w:rPr>
                <w:rFonts w:hint="eastAsia"/>
              </w:rPr>
              <w:t xml:space="preserve">183</w:t>
            </w:r>
            <w:r/>
          </w:p>
        </w:tc>
        <w:tc>
          <w:tcPr>
            <w:shd w:val="clear" w:color="auto" w:fill="auto"/>
            <w:tcW w:w="886" w:type="pct"/>
            <w:vAlign w:val="center"/>
            <w:textDirection w:val="lrTb"/>
            <w:noWrap w:val="false"/>
          </w:tcPr>
          <w:p>
            <w:pPr>
              <w:ind w:firstLine="420"/>
              <w:jc w:val="center"/>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6</w:t>
            </w:r>
            <w:r/>
          </w:p>
        </w:tc>
        <w:tc>
          <w:tcPr>
            <w:shd w:val="clear" w:color="auto" w:fill="auto"/>
            <w:tcW w:w="1034" w:type="pct"/>
            <w:vAlign w:val="center"/>
            <w:textDirection w:val="lrTb"/>
            <w:noWrap w:val="false"/>
          </w:tcPr>
          <w:p>
            <w:pPr>
              <w:jc w:val="center"/>
              <w:spacing w:line="360" w:lineRule="auto"/>
            </w:pPr>
            <w:r>
              <w:rPr>
                <w:rFonts w:hint="eastAsia"/>
              </w:rPr>
              <w:t xml:space="preserve">氧化池曝气系统</w:t>
            </w:r>
            <w:r/>
          </w:p>
        </w:tc>
        <w:tc>
          <w:tcPr>
            <w:shd w:val="clear" w:color="auto" w:fill="auto"/>
            <w:tcW w:w="1821" w:type="pct"/>
            <w:vAlign w:val="center"/>
            <w:textDirection w:val="lrTb"/>
            <w:noWrap w:val="false"/>
          </w:tcPr>
          <w:p>
            <w:pPr>
              <w:spacing w:line="360" w:lineRule="auto"/>
            </w:pPr>
            <w:r>
              <w:rPr>
                <w:rFonts w:hint="eastAsia" w:ascii="宋体" w:hAnsi="宋体" w:cs="宋体"/>
              </w:rPr>
              <w:t xml:space="preserve">Ф</w:t>
            </w:r>
            <w:r>
              <w:rPr>
                <w:rFonts w:hint="eastAsia"/>
              </w:rPr>
              <w:t xml:space="preserve">215mm，橡胶微孔曝气</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168</w:t>
            </w:r>
            <w:r/>
          </w:p>
        </w:tc>
        <w:tc>
          <w:tcPr>
            <w:shd w:val="clear" w:color="auto" w:fill="auto"/>
            <w:tcW w:w="886" w:type="pct"/>
            <w:vAlign w:val="center"/>
            <w:textDirection w:val="lrTb"/>
            <w:noWrap w:val="false"/>
          </w:tcPr>
          <w:p>
            <w:pPr>
              <w:jc w:val="center"/>
              <w:spacing w:line="360" w:lineRule="auto"/>
            </w:pPr>
            <w:r>
              <w:rPr>
                <w:rFonts w:hint="eastAsia"/>
              </w:rPr>
              <w:t xml:space="preserve">含管道</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7</w:t>
            </w:r>
            <w:r/>
          </w:p>
        </w:tc>
        <w:tc>
          <w:tcPr>
            <w:shd w:val="clear" w:color="auto" w:fill="auto"/>
            <w:tcW w:w="1034" w:type="pct"/>
            <w:vAlign w:val="center"/>
            <w:textDirection w:val="lrTb"/>
            <w:noWrap w:val="false"/>
          </w:tcPr>
          <w:p>
            <w:pPr>
              <w:jc w:val="center"/>
              <w:spacing w:line="360" w:lineRule="auto"/>
            </w:pPr>
            <w:r>
              <w:rPr>
                <w:rFonts w:hint="eastAsia"/>
              </w:rPr>
              <w:t xml:space="preserve">曝气风机</w:t>
            </w:r>
            <w:r/>
          </w:p>
        </w:tc>
        <w:tc>
          <w:tcPr>
            <w:shd w:val="clear" w:color="auto" w:fill="auto"/>
            <w:tcW w:w="1821" w:type="pct"/>
            <w:vAlign w:val="center"/>
            <w:textDirection w:val="lrTb"/>
            <w:noWrap w:val="false"/>
          </w:tcPr>
          <w:p>
            <w:pPr>
              <w:spacing w:line="360" w:lineRule="auto"/>
            </w:pPr>
            <w:r>
              <w:rPr>
                <w:rFonts w:hint="eastAsia"/>
              </w:rPr>
              <w:t xml:space="preserve">Q=5.81m</w:t>
            </w:r>
            <w:r>
              <w:rPr>
                <w:rFonts w:hint="eastAsia"/>
                <w:vertAlign w:val="superscript"/>
              </w:rPr>
              <w:t xml:space="preserve">3</w:t>
            </w:r>
            <w:r>
              <w:rPr>
                <w:rFonts w:hint="eastAsia"/>
              </w:rPr>
              <w:t xml:space="preserve">/min，P=0.06MPa</w:t>
            </w:r>
            <w:r/>
          </w:p>
          <w:p>
            <w:pPr>
              <w:spacing w:line="360" w:lineRule="auto"/>
            </w:pPr>
            <w:r>
              <w:rPr>
                <w:rFonts w:hint="eastAsia"/>
              </w:rPr>
              <w:t xml:space="preserve">N=11.0kw</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3</w:t>
            </w:r>
            <w:r/>
          </w:p>
        </w:tc>
        <w:tc>
          <w:tcPr>
            <w:shd w:val="clear" w:color="auto" w:fill="auto"/>
            <w:tcW w:w="886" w:type="pct"/>
            <w:vAlign w:val="center"/>
            <w:textDirection w:val="lrTb"/>
            <w:noWrap w:val="false"/>
          </w:tcPr>
          <w:p>
            <w:pPr>
              <w:jc w:val="center"/>
              <w:spacing w:line="360" w:lineRule="auto"/>
            </w:pPr>
            <w:r>
              <w:rPr>
                <w:rFonts w:hint="eastAsia"/>
              </w:rPr>
              <w:t xml:space="preserve">2用1备</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8</w:t>
            </w:r>
            <w:r/>
          </w:p>
        </w:tc>
        <w:tc>
          <w:tcPr>
            <w:shd w:val="clear" w:color="auto" w:fill="auto"/>
            <w:tcW w:w="1034" w:type="pct"/>
            <w:vAlign w:val="center"/>
            <w:textDirection w:val="lrTb"/>
            <w:noWrap w:val="false"/>
          </w:tcPr>
          <w:p>
            <w:pPr>
              <w:jc w:val="center"/>
              <w:spacing w:line="360" w:lineRule="auto"/>
            </w:pPr>
            <w:r>
              <w:rPr>
                <w:rFonts w:hint="eastAsia"/>
              </w:rPr>
              <w:t xml:space="preserve">污泥泵</w:t>
            </w:r>
            <w:r/>
          </w:p>
        </w:tc>
        <w:tc>
          <w:tcPr>
            <w:shd w:val="clear" w:color="auto" w:fill="auto"/>
            <w:tcW w:w="1821" w:type="pct"/>
            <w:vAlign w:val="center"/>
            <w:textDirection w:val="lrTb"/>
            <w:noWrap w:val="false"/>
          </w:tcPr>
          <w:p>
            <w:pPr>
              <w:spacing w:line="360" w:lineRule="auto"/>
            </w:pPr>
            <w:r>
              <w:rPr>
                <w:rFonts w:hint="eastAsia"/>
              </w:rPr>
              <w:t xml:space="preserve">型式：潜污泵</w:t>
            </w:r>
            <w:r/>
          </w:p>
          <w:p>
            <w:pPr>
              <w:spacing w:line="360" w:lineRule="auto"/>
            </w:pPr>
            <w:r>
              <w:rPr>
                <w:rFonts w:hint="eastAsia"/>
              </w:rPr>
              <w:t xml:space="preserve">Q=8.0m</w:t>
            </w:r>
            <w:r>
              <w:rPr>
                <w:rFonts w:hint="eastAsia"/>
                <w:vertAlign w:val="superscript"/>
              </w:rPr>
              <w:t xml:space="preserve">3</w:t>
            </w:r>
            <w:r>
              <w:rPr>
                <w:rFonts w:hint="eastAsia"/>
              </w:rPr>
              <w:t xml:space="preserve">/h,H=10m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2</w:t>
            </w:r>
            <w:r/>
          </w:p>
        </w:tc>
        <w:tc>
          <w:tcPr>
            <w:shd w:val="clear" w:color="auto" w:fill="auto"/>
            <w:tcW w:w="886" w:type="pct"/>
            <w:vAlign w:val="center"/>
            <w:textDirection w:val="lrTb"/>
            <w:noWrap w:val="false"/>
          </w:tcPr>
          <w:p>
            <w:pPr>
              <w:jc w:val="center"/>
              <w:spacing w:line="360" w:lineRule="auto"/>
            </w:pPr>
            <w:r>
              <w:rPr>
                <w:rFonts w:hint="eastAsia"/>
              </w:rPr>
              <w:t xml:space="preserve">1用1备</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9</w:t>
            </w:r>
            <w:r/>
          </w:p>
        </w:tc>
        <w:tc>
          <w:tcPr>
            <w:shd w:val="clear" w:color="auto" w:fill="auto"/>
            <w:tcW w:w="1034" w:type="pct"/>
            <w:vAlign w:val="center"/>
            <w:textDirection w:val="lrTb"/>
            <w:noWrap w:val="false"/>
          </w:tcPr>
          <w:p>
            <w:pPr>
              <w:jc w:val="center"/>
              <w:spacing w:line="360" w:lineRule="auto"/>
            </w:pPr>
            <w:r>
              <w:rPr>
                <w:rFonts w:hint="eastAsia"/>
              </w:rPr>
              <w:t xml:space="preserve">排泥泵</w:t>
            </w:r>
            <w:r/>
          </w:p>
        </w:tc>
        <w:tc>
          <w:tcPr>
            <w:shd w:val="clear" w:color="auto" w:fill="auto"/>
            <w:tcW w:w="1821" w:type="pct"/>
            <w:vAlign w:val="center"/>
            <w:textDirection w:val="lrTb"/>
            <w:noWrap w:val="false"/>
          </w:tcPr>
          <w:p>
            <w:pPr>
              <w:spacing w:line="360" w:lineRule="auto"/>
            </w:pPr>
            <w:r>
              <w:rPr>
                <w:rFonts w:hint="eastAsia"/>
              </w:rPr>
              <w:t xml:space="preserve">型式：潜污泵</w:t>
            </w:r>
            <w:r/>
          </w:p>
          <w:p>
            <w:pPr>
              <w:spacing w:line="360" w:lineRule="auto"/>
            </w:pPr>
            <w:r>
              <w:rPr>
                <w:rFonts w:hint="eastAsia"/>
              </w:rPr>
              <w:t xml:space="preserve">Q=8.0m</w:t>
            </w:r>
            <w:r>
              <w:rPr>
                <w:rFonts w:hint="eastAsia"/>
                <w:vertAlign w:val="superscript"/>
              </w:rPr>
              <w:t xml:space="preserve">3</w:t>
            </w:r>
            <w:r>
              <w:rPr>
                <w:rFonts w:hint="eastAsia"/>
              </w:rPr>
              <w:t xml:space="preserve">/h,H=10m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4</w:t>
            </w:r>
            <w:r/>
          </w:p>
        </w:tc>
        <w:tc>
          <w:tcPr>
            <w:shd w:val="clear" w:color="auto" w:fill="auto"/>
            <w:tcW w:w="886" w:type="pct"/>
            <w:vAlign w:val="center"/>
            <w:textDirection w:val="lrTb"/>
            <w:noWrap w:val="false"/>
          </w:tcPr>
          <w:p>
            <w:pPr>
              <w:jc w:val="center"/>
              <w:spacing w:line="360" w:lineRule="auto"/>
            </w:pPr>
            <w:r>
              <w:rPr>
                <w:rFonts w:hint="eastAsia"/>
              </w:rPr>
              <w:t xml:space="preserve">2用2备</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10</w:t>
            </w:r>
            <w:r/>
          </w:p>
        </w:tc>
        <w:tc>
          <w:tcPr>
            <w:shd w:val="clear" w:color="auto" w:fill="auto"/>
            <w:tcW w:w="1034" w:type="pct"/>
            <w:vAlign w:val="center"/>
            <w:textDirection w:val="lrTb"/>
            <w:noWrap w:val="false"/>
          </w:tcPr>
          <w:p>
            <w:pPr>
              <w:jc w:val="center"/>
              <w:spacing w:line="360" w:lineRule="auto"/>
            </w:pPr>
            <w:r>
              <w:rPr>
                <w:rFonts w:hint="eastAsia"/>
              </w:rPr>
              <w:t xml:space="preserve">反应池曝气管</w:t>
            </w:r>
            <w:r/>
          </w:p>
        </w:tc>
        <w:tc>
          <w:tcPr>
            <w:shd w:val="clear" w:color="auto" w:fill="auto"/>
            <w:tcW w:w="1821" w:type="pct"/>
            <w:vAlign w:val="center"/>
            <w:textDirection w:val="lrTb"/>
            <w:noWrap w:val="false"/>
          </w:tcPr>
          <w:p>
            <w:pPr>
              <w:spacing w:line="360" w:lineRule="auto"/>
            </w:pPr>
            <w:r>
              <w:rPr>
                <w:rFonts w:hint="eastAsia"/>
              </w:rPr>
              <w:t xml:space="preserve">穿孔管，DN50</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2</w:t>
            </w:r>
            <w:r/>
          </w:p>
        </w:tc>
        <w:tc>
          <w:tcPr>
            <w:shd w:val="clear" w:color="auto" w:fill="auto"/>
            <w:tcW w:w="886" w:type="pct"/>
            <w:vAlign w:val="center"/>
            <w:textDirection w:val="lrTb"/>
            <w:noWrap w:val="false"/>
          </w:tcPr>
          <w:p>
            <w:pPr>
              <w:jc w:val="center"/>
              <w:spacing w:line="360" w:lineRule="auto"/>
            </w:pPr>
            <w:r>
              <w:rPr>
                <w:rFonts w:hint="eastAsia"/>
              </w:rPr>
              <w:t xml:space="preserve">UPVC</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11</w:t>
            </w:r>
            <w:r/>
          </w:p>
        </w:tc>
        <w:tc>
          <w:tcPr>
            <w:shd w:val="clear" w:color="auto" w:fill="auto"/>
            <w:tcW w:w="1034" w:type="pct"/>
            <w:vAlign w:val="center"/>
            <w:textDirection w:val="lrTb"/>
            <w:noWrap w:val="false"/>
          </w:tcPr>
          <w:p>
            <w:pPr>
              <w:jc w:val="center"/>
              <w:spacing w:line="360" w:lineRule="auto"/>
            </w:pPr>
            <w:r>
              <w:rPr>
                <w:rFonts w:hint="eastAsia"/>
              </w:rPr>
              <w:t xml:space="preserve">竖流沉淀池中心筒</w:t>
            </w:r>
            <w:r/>
          </w:p>
        </w:tc>
        <w:tc>
          <w:tcPr>
            <w:shd w:val="clear" w:color="auto" w:fill="auto"/>
            <w:tcW w:w="1821" w:type="pct"/>
            <w:vAlign w:val="center"/>
            <w:textDirection w:val="lrTb"/>
            <w:noWrap w:val="false"/>
          </w:tcPr>
          <w:p>
            <w:pPr>
              <w:spacing w:line="360" w:lineRule="auto"/>
            </w:pPr>
            <w:r>
              <w:rPr>
                <w:rFonts w:hint="eastAsia"/>
              </w:rPr>
              <w:t xml:space="preserve">中心筒</w:t>
            </w:r>
            <w:r>
              <w:rPr>
                <w:rFonts w:hint="eastAsia" w:ascii="宋体" w:hAnsi="宋体" w:cs="宋体"/>
              </w:rPr>
              <w:t xml:space="preserve">Ф</w:t>
            </w:r>
            <w:r>
              <w:rPr>
                <w:rFonts w:hint="eastAsia"/>
              </w:rPr>
              <w:t xml:space="preserve">540，喇叭口</w:t>
            </w:r>
            <w:r>
              <w:rPr>
                <w:rFonts w:hint="eastAsia" w:ascii="宋体" w:hAnsi="宋体" w:cs="宋体"/>
              </w:rPr>
              <w:t xml:space="preserve">Ф</w:t>
            </w:r>
            <w:r>
              <w:rPr>
                <w:rFonts w:hint="eastAsia"/>
              </w:rPr>
              <w:t xml:space="preserve">730</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2</w:t>
            </w:r>
            <w:r/>
          </w:p>
        </w:tc>
        <w:tc>
          <w:tcPr>
            <w:shd w:val="clear" w:color="auto" w:fill="auto"/>
            <w:tcW w:w="886" w:type="pct"/>
            <w:vAlign w:val="center"/>
            <w:textDirection w:val="lrTb"/>
            <w:noWrap w:val="false"/>
          </w:tcPr>
          <w:p>
            <w:pPr>
              <w:jc w:val="center"/>
              <w:spacing w:line="360" w:lineRule="auto"/>
            </w:pPr>
            <w:r>
              <w:rPr>
                <w:rFonts w:hint="eastAsia"/>
              </w:rPr>
              <w:t xml:space="preserve">碳钢防腐</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12</w:t>
            </w:r>
            <w:r/>
          </w:p>
        </w:tc>
        <w:tc>
          <w:tcPr>
            <w:shd w:val="clear" w:color="auto" w:fill="auto"/>
            <w:tcW w:w="1034" w:type="pct"/>
            <w:vAlign w:val="center"/>
            <w:textDirection w:val="lrTb"/>
            <w:noWrap w:val="false"/>
          </w:tcPr>
          <w:p>
            <w:pPr>
              <w:jc w:val="center"/>
              <w:spacing w:line="360" w:lineRule="auto"/>
            </w:pPr>
            <w:r>
              <w:rPr>
                <w:rFonts w:hint="eastAsia"/>
              </w:rPr>
              <w:t xml:space="preserve">加混凝剂装置</w:t>
            </w:r>
            <w:r/>
          </w:p>
        </w:tc>
        <w:tc>
          <w:tcPr>
            <w:shd w:val="clear" w:color="auto" w:fill="auto"/>
            <w:tcW w:w="1821" w:type="pct"/>
            <w:vAlign w:val="center"/>
            <w:textDirection w:val="lrTb"/>
            <w:noWrap w:val="false"/>
          </w:tcPr>
          <w:p>
            <w:pPr>
              <w:spacing w:line="360" w:lineRule="auto"/>
              <w:rPr>
                <w:vertAlign w:val="superscript"/>
              </w:rPr>
            </w:pPr>
            <w:r>
              <w:rPr>
                <w:rFonts w:hint="eastAsia"/>
              </w:rPr>
              <w:t xml:space="preserve">溶液箱:V=1m</w:t>
            </w:r>
            <w:r>
              <w:rPr>
                <w:rFonts w:hint="eastAsia"/>
                <w:vertAlign w:val="superscript"/>
              </w:rPr>
              <w:t xml:space="preserve">3</w:t>
            </w:r>
            <w:r/>
          </w:p>
          <w:p>
            <w:pPr>
              <w:spacing w:line="360" w:lineRule="auto"/>
            </w:pPr>
            <w:r>
              <w:rPr>
                <w:rFonts w:hint="eastAsia"/>
              </w:rPr>
              <w:t xml:space="preserve">计量泵两台：Q=20L/h H=3Bar</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jc w:val="center"/>
              <w:spacing w:line="360" w:lineRule="auto"/>
            </w:pPr>
            <w:r>
              <w:rPr>
                <w:rFonts w:hint="eastAsia"/>
              </w:rPr>
              <w:t xml:space="preserve">PE组合件</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13</w:t>
            </w:r>
            <w:r/>
          </w:p>
        </w:tc>
        <w:tc>
          <w:tcPr>
            <w:shd w:val="clear" w:color="auto" w:fill="auto"/>
            <w:tcW w:w="1034" w:type="pct"/>
            <w:vAlign w:val="center"/>
            <w:textDirection w:val="lrTb"/>
            <w:noWrap w:val="false"/>
          </w:tcPr>
          <w:p>
            <w:pPr>
              <w:jc w:val="center"/>
              <w:spacing w:line="360" w:lineRule="auto"/>
            </w:pPr>
            <w:r>
              <w:rPr>
                <w:rFonts w:hint="eastAsia"/>
              </w:rPr>
              <w:t xml:space="preserve">臭氧发生器</w:t>
            </w:r>
            <w:r/>
          </w:p>
        </w:tc>
        <w:tc>
          <w:tcPr>
            <w:shd w:val="clear" w:color="auto" w:fill="auto"/>
            <w:tcW w:w="1821" w:type="pct"/>
            <w:vAlign w:val="center"/>
            <w:textDirection w:val="lrTb"/>
            <w:noWrap w:val="false"/>
          </w:tcPr>
          <w:p>
            <w:pPr>
              <w:spacing w:line="360" w:lineRule="auto"/>
            </w:pPr>
            <w:r>
              <w:t xml:space="preserve">7</w:t>
            </w:r>
            <w:r>
              <w:rPr>
                <w:rFonts w:hint="eastAsia"/>
              </w:rPr>
              <w:t xml:space="preserve">00g/h</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jc w:val="center"/>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14</w:t>
            </w:r>
            <w:r/>
          </w:p>
        </w:tc>
        <w:tc>
          <w:tcPr>
            <w:shd w:val="clear" w:color="auto" w:fill="auto"/>
            <w:tcW w:w="1034" w:type="pct"/>
            <w:vAlign w:val="center"/>
            <w:textDirection w:val="lrTb"/>
            <w:noWrap w:val="false"/>
          </w:tcPr>
          <w:p>
            <w:pPr>
              <w:jc w:val="center"/>
              <w:spacing w:line="360" w:lineRule="auto"/>
            </w:pPr>
            <w:r>
              <w:rPr>
                <w:rFonts w:hint="eastAsia"/>
              </w:rPr>
              <w:t xml:space="preserve">尾气还原装置</w:t>
            </w:r>
            <w:r/>
          </w:p>
        </w:tc>
        <w:tc>
          <w:tcPr>
            <w:shd w:val="clear" w:color="auto" w:fill="auto"/>
            <w:tcW w:w="1821" w:type="pct"/>
            <w:vAlign w:val="center"/>
            <w:textDirection w:val="lrTb"/>
            <w:noWrap w:val="false"/>
          </w:tcPr>
          <w:p>
            <w:pPr>
              <w:spacing w:line="360" w:lineRule="auto"/>
            </w:pPr>
            <w:r>
              <w:rPr>
                <w:rFonts w:hint="eastAsia"/>
              </w:rPr>
              <w:t xml:space="preserve">配套臭氧发生器</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jc w:val="center"/>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15</w:t>
            </w:r>
            <w:r/>
          </w:p>
        </w:tc>
        <w:tc>
          <w:tcPr>
            <w:shd w:val="clear" w:color="auto" w:fill="auto"/>
            <w:tcW w:w="1034" w:type="pct"/>
            <w:vAlign w:val="center"/>
            <w:textDirection w:val="lrTb"/>
            <w:noWrap w:val="false"/>
          </w:tcPr>
          <w:p>
            <w:pPr>
              <w:jc w:val="center"/>
              <w:spacing w:line="360" w:lineRule="auto"/>
            </w:pPr>
            <w:r>
              <w:rPr>
                <w:rFonts w:hint="eastAsia"/>
              </w:rPr>
              <w:t xml:space="preserve">臭氧释放系统</w:t>
            </w:r>
            <w:r/>
          </w:p>
        </w:tc>
        <w:tc>
          <w:tcPr>
            <w:shd w:val="clear" w:color="auto" w:fill="auto"/>
            <w:tcW w:w="1821" w:type="pct"/>
            <w:vAlign w:val="center"/>
            <w:textDirection w:val="lrTb"/>
            <w:noWrap w:val="false"/>
          </w:tcPr>
          <w:p>
            <w:pPr>
              <w:spacing w:line="360" w:lineRule="auto"/>
            </w:pPr>
            <w:r>
              <w:rPr>
                <w:rFonts w:hint="eastAsia"/>
              </w:rPr>
              <w:t xml:space="preserve">钛板曝气头</w:t>
            </w:r>
            <w:r/>
          </w:p>
        </w:tc>
        <w:tc>
          <w:tcPr>
            <w:shd w:val="clear" w:color="auto" w:fill="auto"/>
            <w:tcW w:w="459" w:type="pct"/>
            <w:vAlign w:val="center"/>
            <w:textDirection w:val="lrTb"/>
            <w:noWrap w:val="false"/>
          </w:tcPr>
          <w:p>
            <w:pPr>
              <w:jc w:val="center"/>
              <w:spacing w:line="360" w:lineRule="auto"/>
            </w:pPr>
            <w:r>
              <w:rPr>
                <w:rFonts w:hint="eastAsia"/>
              </w:rPr>
              <w:t xml:space="preserve">批</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jc w:val="center"/>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16</w:t>
            </w:r>
            <w:r/>
          </w:p>
        </w:tc>
        <w:tc>
          <w:tcPr>
            <w:shd w:val="clear" w:color="auto" w:fill="auto"/>
            <w:tcW w:w="1034" w:type="pct"/>
            <w:vAlign w:val="center"/>
            <w:textDirection w:val="lrTb"/>
            <w:noWrap w:val="false"/>
          </w:tcPr>
          <w:p>
            <w:pPr>
              <w:jc w:val="center"/>
              <w:spacing w:line="360" w:lineRule="auto"/>
            </w:pPr>
            <w:r>
              <w:rPr>
                <w:rFonts w:hint="eastAsia"/>
              </w:rPr>
              <w:t xml:space="preserve">次氯酸钠溶液投加装置</w:t>
            </w:r>
            <w:r/>
          </w:p>
        </w:tc>
        <w:tc>
          <w:tcPr>
            <w:shd w:val="clear" w:color="auto" w:fill="auto"/>
            <w:tcW w:w="1821" w:type="pct"/>
            <w:vAlign w:val="center"/>
            <w:textDirection w:val="lrTb"/>
            <w:noWrap w:val="false"/>
          </w:tcPr>
          <w:p>
            <w:pPr>
              <w:spacing w:line="360" w:lineRule="auto"/>
            </w:pPr>
            <w:r>
              <w:rPr>
                <w:rFonts w:hint="eastAsia"/>
              </w:rPr>
              <w:t xml:space="preserve">溶液箱:V=1m</w:t>
            </w:r>
            <w:r>
              <w:rPr>
                <w:rFonts w:hint="eastAsia"/>
                <w:vertAlign w:val="superscript"/>
              </w:rPr>
              <w:t xml:space="preserve">3</w:t>
            </w:r>
            <w:r/>
          </w:p>
          <w:p>
            <w:pPr>
              <w:spacing w:line="360" w:lineRule="auto"/>
            </w:pPr>
            <w:r>
              <w:rPr>
                <w:rFonts w:hint="eastAsia"/>
              </w:rPr>
              <w:t xml:space="preserve">计量泵两台：Q=20L/h H=3Bar</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jc w:val="center"/>
              <w:spacing w:line="360" w:lineRule="auto"/>
            </w:pPr>
            <w:r>
              <w:rPr>
                <w:rFonts w:hint="eastAsia"/>
              </w:rPr>
              <w:t xml:space="preserve">PE组合件</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17</w:t>
            </w:r>
            <w:r/>
          </w:p>
        </w:tc>
        <w:tc>
          <w:tcPr>
            <w:shd w:val="clear" w:color="auto" w:fill="auto"/>
            <w:tcW w:w="1034" w:type="pct"/>
            <w:vAlign w:val="center"/>
            <w:textDirection w:val="lrTb"/>
            <w:noWrap w:val="false"/>
          </w:tcPr>
          <w:p>
            <w:pPr>
              <w:jc w:val="center"/>
              <w:spacing w:line="360" w:lineRule="auto"/>
            </w:pPr>
            <w:r>
              <w:rPr>
                <w:rFonts w:hint="eastAsia"/>
              </w:rPr>
              <w:t xml:space="preserve">除臭装置</w:t>
            </w:r>
            <w:r/>
          </w:p>
        </w:tc>
        <w:tc>
          <w:tcPr>
            <w:shd w:val="clear" w:color="auto" w:fill="auto"/>
            <w:tcW w:w="1821" w:type="pct"/>
            <w:vAlign w:val="center"/>
            <w:textDirection w:val="lrTb"/>
            <w:noWrap w:val="false"/>
          </w:tcPr>
          <w:p>
            <w:pPr>
              <w:spacing w:line="360" w:lineRule="auto"/>
            </w:pPr>
            <w:r>
              <w:rPr>
                <w:rFonts w:hint="eastAsia"/>
              </w:rPr>
              <w:t xml:space="preserve">型  式：离子除臭</w:t>
            </w:r>
            <w:r/>
          </w:p>
          <w:p>
            <w:pPr>
              <w:spacing w:line="360" w:lineRule="auto"/>
            </w:pPr>
            <w:r>
              <w:rPr>
                <w:rFonts w:hint="eastAsia"/>
              </w:rPr>
              <w:t xml:space="preserve">Q=3000m</w:t>
            </w:r>
            <w:r>
              <w:rPr>
                <w:rFonts w:hint="eastAsia"/>
                <w:vertAlign w:val="superscript"/>
              </w:rPr>
              <w:t xml:space="preserve">3</w:t>
            </w:r>
            <w:r>
              <w:rPr>
                <w:rFonts w:hint="eastAsia"/>
              </w:rPr>
              <w:t xml:space="preserve">/h N=4KW</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 xml:space="preserve">需定期</w:t>
            </w:r>
            <w:r>
              <w:rPr>
                <w:color w:val="000000" w:themeColor="text1"/>
                <w14:textFill>
                  <w14:solidFill>
                    <w14:schemeClr w14:val="tx1"/>
                  </w14:solidFill>
                </w14:textFill>
              </w:rPr>
              <w:t xml:space="preserve">更换过滤器</w:t>
            </w:r>
            <w:r>
              <w:rPr>
                <w:rFonts w:hint="eastAsia"/>
                <w:color w:val="000000" w:themeColor="text1"/>
                <w:highlight w:val="none"/>
                <w14:textFill>
                  <w14:solidFill>
                    <w14:schemeClr w14:val="tx1"/>
                  </w14:solidFill>
                </w14:textFill>
              </w:rPr>
              <w:t xml:space="preserve">（每三个月</w:t>
            </w:r>
            <w:r/>
          </w:p>
          <w:p>
            <w:pPr>
              <w:jc w:val="center"/>
              <w:spacing w:line="360" w:lineRule="auto"/>
            </w:pPr>
            <w:r>
              <w:rPr>
                <w:rFonts w:hint="eastAsia"/>
                <w:color w:val="000000" w:themeColor="text1"/>
                <w:highlight w:val="none"/>
                <w14:textFill>
                  <w14:solidFill>
                    <w14:schemeClr w14:val="tx1"/>
                  </w14:solidFill>
                </w14:textFill>
              </w:rPr>
              <w:t xml:space="preserve">更换一次）</w:t>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18</w:t>
            </w:r>
            <w:r/>
          </w:p>
        </w:tc>
        <w:tc>
          <w:tcPr>
            <w:shd w:val="clear" w:color="auto" w:fill="auto"/>
            <w:tcW w:w="1034" w:type="pct"/>
            <w:vAlign w:val="center"/>
            <w:textDirection w:val="lrTb"/>
            <w:noWrap w:val="false"/>
          </w:tcPr>
          <w:p>
            <w:pPr>
              <w:jc w:val="center"/>
              <w:spacing w:line="360" w:lineRule="auto"/>
            </w:pPr>
            <w:r>
              <w:rPr>
                <w:rFonts w:hint="eastAsia"/>
              </w:rPr>
              <w:t xml:space="preserve">污泥脱水机</w:t>
            </w:r>
            <w:r/>
          </w:p>
        </w:tc>
        <w:tc>
          <w:tcPr>
            <w:shd w:val="clear" w:color="auto" w:fill="auto"/>
            <w:tcW w:w="1821" w:type="pct"/>
            <w:vAlign w:val="center"/>
            <w:textDirection w:val="lrTb"/>
            <w:noWrap w:val="false"/>
          </w:tcPr>
          <w:p>
            <w:pPr>
              <w:spacing w:line="360" w:lineRule="auto"/>
            </w:pPr>
            <w:r>
              <w:rPr>
                <w:rFonts w:hint="eastAsia"/>
              </w:rPr>
              <w:t xml:space="preserve">型式：叠罗式污泥脱水</w:t>
            </w:r>
            <w:r/>
          </w:p>
          <w:p>
            <w:pPr>
              <w:spacing w:line="360" w:lineRule="auto"/>
            </w:pPr>
            <w:r>
              <w:rPr>
                <w:rFonts w:hint="eastAsia"/>
              </w:rPr>
              <w:t xml:space="preserve">规格201型</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19</w:t>
            </w:r>
            <w:r/>
          </w:p>
        </w:tc>
        <w:tc>
          <w:tcPr>
            <w:shd w:val="clear" w:color="auto" w:fill="auto"/>
            <w:tcW w:w="1034" w:type="pct"/>
            <w:vAlign w:val="center"/>
            <w:textDirection w:val="lrTb"/>
            <w:noWrap w:val="false"/>
          </w:tcPr>
          <w:p>
            <w:pPr>
              <w:jc w:val="center"/>
              <w:spacing w:line="360" w:lineRule="auto"/>
            </w:pPr>
            <w:r>
              <w:rPr>
                <w:rFonts w:hint="eastAsia"/>
              </w:rPr>
              <w:t xml:space="preserve">PAM加药装置</w:t>
            </w:r>
            <w:r/>
          </w:p>
        </w:tc>
        <w:tc>
          <w:tcPr>
            <w:shd w:val="clear" w:color="auto" w:fill="auto"/>
            <w:tcW w:w="1821" w:type="pct"/>
            <w:vAlign w:val="center"/>
            <w:textDirection w:val="lrTb"/>
            <w:noWrap w:val="false"/>
          </w:tcPr>
          <w:p>
            <w:pPr>
              <w:spacing w:line="360" w:lineRule="auto"/>
            </w:pPr>
            <w:r>
              <w:rPr>
                <w:rFonts w:hint="eastAsia"/>
              </w:rPr>
              <w:t xml:space="preserve">溶液箱:V=1m</w:t>
            </w:r>
            <w:r>
              <w:rPr>
                <w:rFonts w:hint="eastAsia"/>
                <w:vertAlign w:val="superscript"/>
              </w:rPr>
              <w:t xml:space="preserve">3</w:t>
            </w:r>
            <w:r/>
          </w:p>
          <w:p>
            <w:pPr>
              <w:spacing w:line="360" w:lineRule="auto"/>
            </w:pPr>
            <w:r>
              <w:rPr>
                <w:rFonts w:hint="eastAsia"/>
              </w:rPr>
              <w:t xml:space="preserve">计量泵两台：Q=300L/h H=3Bar</w:t>
            </w:r>
            <w:r/>
          </w:p>
        </w:tc>
        <w:tc>
          <w:tcPr>
            <w:shd w:val="clear" w:color="auto" w:fill="auto"/>
            <w:tcW w:w="459" w:type="pct"/>
            <w:vAlign w:val="center"/>
            <w:textDirection w:val="lrTb"/>
            <w:noWrap w:val="false"/>
          </w:tcPr>
          <w:p>
            <w:pPr>
              <w:jc w:val="center"/>
              <w:spacing w:line="360" w:lineRule="auto"/>
            </w:pPr>
            <w:r>
              <w:rPr>
                <w:rFonts w:hint="eastAsia"/>
              </w:rPr>
              <w:t xml:space="preserve">套</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20</w:t>
            </w:r>
            <w:r/>
          </w:p>
        </w:tc>
        <w:tc>
          <w:tcPr>
            <w:shd w:val="clear" w:color="auto" w:fill="auto"/>
            <w:tcW w:w="1034" w:type="pct"/>
            <w:vAlign w:val="center"/>
            <w:textDirection w:val="lrTb"/>
            <w:noWrap w:val="false"/>
          </w:tcPr>
          <w:p>
            <w:pPr>
              <w:jc w:val="center"/>
              <w:spacing w:line="360" w:lineRule="auto"/>
            </w:pPr>
            <w:r>
              <w:rPr>
                <w:rFonts w:hint="eastAsia"/>
              </w:rPr>
              <w:t xml:space="preserve">出水COD在线仪</w:t>
            </w:r>
            <w:r/>
          </w:p>
        </w:tc>
        <w:tc>
          <w:tcPr>
            <w:shd w:val="clear" w:color="auto" w:fill="auto"/>
            <w:tcW w:w="1821" w:type="pct"/>
            <w:vAlign w:val="center"/>
            <w:textDirection w:val="lrTb"/>
            <w:noWrap w:val="false"/>
          </w:tcPr>
          <w:p>
            <w:pPr>
              <w:spacing w:line="360" w:lineRule="auto"/>
            </w:pPr>
            <w:r>
              <w:rPr>
                <w:rFonts w:hint="eastAsia"/>
              </w:rPr>
              <w:t xml:space="preserve">测量范围0-999mg/L</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21</w:t>
            </w:r>
            <w:r/>
          </w:p>
        </w:tc>
        <w:tc>
          <w:tcPr>
            <w:shd w:val="clear" w:color="auto" w:fill="auto"/>
            <w:tcW w:w="1034" w:type="pct"/>
            <w:vAlign w:val="center"/>
            <w:textDirection w:val="lrTb"/>
            <w:noWrap w:val="false"/>
          </w:tcPr>
          <w:p>
            <w:pPr>
              <w:jc w:val="center"/>
              <w:spacing w:line="360" w:lineRule="auto"/>
            </w:pPr>
            <w:r>
              <w:rPr>
                <w:rFonts w:hint="eastAsia"/>
              </w:rPr>
              <w:t xml:space="preserve">NH</w:t>
            </w:r>
            <w:r>
              <w:rPr>
                <w:rFonts w:hint="eastAsia"/>
                <w:vertAlign w:val="subscript"/>
              </w:rPr>
              <w:t xml:space="preserve">3</w:t>
            </w:r>
            <w:r>
              <w:rPr>
                <w:rFonts w:hint="eastAsia"/>
              </w:rPr>
              <w:t xml:space="preserve">-N在线仪</w:t>
            </w:r>
            <w:r/>
          </w:p>
        </w:tc>
        <w:tc>
          <w:tcPr>
            <w:shd w:val="clear" w:color="auto" w:fill="auto"/>
            <w:tcW w:w="1821" w:type="pct"/>
            <w:vAlign w:val="center"/>
            <w:textDirection w:val="lrTb"/>
            <w:noWrap w:val="false"/>
          </w:tcPr>
          <w:p>
            <w:pPr>
              <w:spacing w:line="360" w:lineRule="auto"/>
            </w:pPr>
            <w:r>
              <w:rPr>
                <w:rFonts w:hint="eastAsia"/>
              </w:rPr>
              <w:t xml:space="preserve">测量范围0-999mg/L</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22</w:t>
            </w:r>
            <w:r/>
          </w:p>
        </w:tc>
        <w:tc>
          <w:tcPr>
            <w:shd w:val="clear" w:color="auto" w:fill="auto"/>
            <w:tcW w:w="1034" w:type="pct"/>
            <w:vAlign w:val="center"/>
            <w:textDirection w:val="lrTb"/>
            <w:noWrap w:val="false"/>
          </w:tcPr>
          <w:p>
            <w:pPr>
              <w:jc w:val="center"/>
              <w:spacing w:line="360" w:lineRule="auto"/>
            </w:pPr>
            <w:r>
              <w:rPr>
                <w:rFonts w:hint="eastAsia"/>
              </w:rPr>
              <w:t xml:space="preserve">余氯监测仪</w:t>
            </w:r>
            <w:r/>
          </w:p>
        </w:tc>
        <w:tc>
          <w:tcPr>
            <w:shd w:val="clear" w:color="auto" w:fill="auto"/>
            <w:tcW w:w="1821" w:type="pct"/>
            <w:vAlign w:val="center"/>
            <w:textDirection w:val="lrTb"/>
            <w:noWrap w:val="false"/>
          </w:tcPr>
          <w:p>
            <w:pPr>
              <w:spacing w:line="360" w:lineRule="auto"/>
            </w:pPr>
            <w:r>
              <w:rPr>
                <w:rFonts w:hint="eastAsia"/>
              </w:rPr>
              <w:t xml:space="preserve">测量范围0-99mg/L</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23</w:t>
            </w:r>
            <w:r/>
          </w:p>
        </w:tc>
        <w:tc>
          <w:tcPr>
            <w:shd w:val="clear" w:color="auto" w:fill="auto"/>
            <w:tcW w:w="1034" w:type="pct"/>
            <w:vAlign w:val="center"/>
            <w:textDirection w:val="lrTb"/>
            <w:noWrap w:val="false"/>
          </w:tcPr>
          <w:p>
            <w:pPr>
              <w:jc w:val="center"/>
              <w:spacing w:line="360" w:lineRule="auto"/>
            </w:pPr>
            <w:r>
              <w:rPr>
                <w:rFonts w:hint="eastAsia"/>
              </w:rPr>
              <w:t xml:space="preserve">出水超声波流量计</w:t>
            </w:r>
            <w:r/>
          </w:p>
        </w:tc>
        <w:tc>
          <w:tcPr>
            <w:shd w:val="clear" w:color="auto" w:fill="auto"/>
            <w:tcW w:w="1821" w:type="pct"/>
            <w:vAlign w:val="center"/>
            <w:textDirection w:val="lrTb"/>
            <w:noWrap w:val="false"/>
          </w:tcPr>
          <w:p>
            <w:pPr>
              <w:spacing w:line="360" w:lineRule="auto"/>
            </w:pPr>
            <w:r>
              <w:rPr>
                <w:rFonts w:hint="eastAsia"/>
              </w:rPr>
              <w:t xml:space="preserve">测量范围0-100m</w:t>
            </w:r>
            <w:r>
              <w:rPr>
                <w:rFonts w:hint="eastAsia"/>
                <w:vertAlign w:val="superscript"/>
              </w:rPr>
              <w:t xml:space="preserve">3</w:t>
            </w:r>
            <w:r>
              <w:rPr>
                <w:rFonts w:hint="eastAsia"/>
              </w:rPr>
              <w:t xml:space="preserve">/h</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24</w:t>
            </w:r>
            <w:r/>
          </w:p>
        </w:tc>
        <w:tc>
          <w:tcPr>
            <w:shd w:val="clear" w:color="auto" w:fill="auto"/>
            <w:tcW w:w="1034" w:type="pct"/>
            <w:vAlign w:val="center"/>
            <w:textDirection w:val="lrTb"/>
            <w:noWrap w:val="false"/>
          </w:tcPr>
          <w:p>
            <w:pPr>
              <w:jc w:val="center"/>
              <w:spacing w:line="360" w:lineRule="auto"/>
            </w:pPr>
            <w:r>
              <w:rPr>
                <w:rFonts w:hint="eastAsia"/>
              </w:rPr>
              <w:t xml:space="preserve">电气控制系统</w:t>
            </w:r>
            <w:r/>
          </w:p>
        </w:tc>
        <w:tc>
          <w:tcPr>
            <w:shd w:val="clear" w:color="auto" w:fill="auto"/>
            <w:tcW w:w="1821" w:type="pct"/>
            <w:vAlign w:val="center"/>
            <w:textDirection w:val="lrTb"/>
            <w:noWrap w:val="false"/>
          </w:tcPr>
          <w:p>
            <w:pPr>
              <w:ind w:firstLine="420"/>
              <w:spacing w:line="360" w:lineRule="auto"/>
            </w:pPr>
            <w:r/>
            <w:r/>
          </w:p>
        </w:tc>
        <w:tc>
          <w:tcPr>
            <w:shd w:val="clear" w:color="auto" w:fill="auto"/>
            <w:tcW w:w="459" w:type="pct"/>
            <w:vAlign w:val="center"/>
            <w:textDirection w:val="lrTb"/>
            <w:noWrap w:val="false"/>
          </w:tcPr>
          <w:p>
            <w:pPr>
              <w:jc w:val="center"/>
              <w:spacing w:line="360" w:lineRule="auto"/>
            </w:pPr>
            <w:r>
              <w:rPr>
                <w:rFonts w:hint="eastAsia"/>
              </w:rPr>
              <w:t xml:space="preserve">批</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25</w:t>
            </w:r>
            <w:r/>
          </w:p>
        </w:tc>
        <w:tc>
          <w:tcPr>
            <w:shd w:val="clear" w:color="auto" w:fill="auto"/>
            <w:tcW w:w="1034" w:type="pct"/>
            <w:vAlign w:val="center"/>
            <w:textDirection w:val="lrTb"/>
            <w:noWrap w:val="false"/>
          </w:tcPr>
          <w:p>
            <w:pPr>
              <w:jc w:val="center"/>
              <w:spacing w:line="360" w:lineRule="auto"/>
            </w:pPr>
            <w:r>
              <w:rPr>
                <w:rFonts w:hint="eastAsia"/>
              </w:rPr>
              <w:t xml:space="preserve">螺杆式空压机</w:t>
            </w:r>
            <w:r/>
          </w:p>
        </w:tc>
        <w:tc>
          <w:tcPr>
            <w:shd w:val="clear" w:color="auto" w:fill="auto"/>
            <w:tcW w:w="1821" w:type="pct"/>
            <w:vAlign w:val="center"/>
            <w:textDirection w:val="lrTb"/>
            <w:noWrap w:val="false"/>
          </w:tcPr>
          <w:p>
            <w:pPr>
              <w:spacing w:line="360" w:lineRule="auto"/>
            </w:pPr>
            <w:r>
              <w:rPr>
                <w:rFonts w:hint="eastAsia"/>
              </w:rPr>
              <w:t xml:space="preserve">速力达SLO-30A，功率22kw，重量292kG，</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26</w:t>
            </w:r>
            <w:r/>
          </w:p>
        </w:tc>
        <w:tc>
          <w:tcPr>
            <w:shd w:val="clear" w:color="auto" w:fill="auto"/>
            <w:tcW w:w="1034" w:type="pct"/>
            <w:vAlign w:val="center"/>
            <w:textDirection w:val="lrTb"/>
            <w:noWrap w:val="false"/>
          </w:tcPr>
          <w:p>
            <w:pPr>
              <w:jc w:val="center"/>
              <w:spacing w:line="360" w:lineRule="auto"/>
            </w:pPr>
            <w:r>
              <w:rPr>
                <w:rFonts w:hint="eastAsia"/>
              </w:rPr>
              <w:t xml:space="preserve">储气罐</w:t>
            </w:r>
            <w:r/>
          </w:p>
        </w:tc>
        <w:tc>
          <w:tcPr>
            <w:shd w:val="clear" w:color="auto" w:fill="auto"/>
            <w:tcW w:w="1821" w:type="pct"/>
            <w:vAlign w:val="center"/>
            <w:textDirection w:val="lrTb"/>
            <w:noWrap w:val="false"/>
          </w:tcPr>
          <w:p>
            <w:pPr>
              <w:spacing w:line="360" w:lineRule="auto"/>
            </w:pPr>
            <w:r>
              <w:rPr>
                <w:rFonts w:hint="eastAsia"/>
              </w:rPr>
              <w:t xml:space="preserve">简单压力容器，容积1m</w:t>
            </w:r>
            <w:r>
              <w:rPr>
                <w:rFonts w:hint="eastAsia"/>
                <w:vertAlign w:val="superscript"/>
              </w:rPr>
              <w:t xml:space="preserve">3</w:t>
            </w:r>
            <w:r>
              <w:rPr>
                <w:rFonts w:hint="eastAsia"/>
              </w:rPr>
              <w:t xml:space="preserve">，设计压力0.84MPa，设计使用年限10年。</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27</w:t>
            </w:r>
            <w:r/>
          </w:p>
        </w:tc>
        <w:tc>
          <w:tcPr>
            <w:shd w:val="clear" w:color="auto" w:fill="auto"/>
            <w:tcW w:w="1034" w:type="pct"/>
            <w:vAlign w:val="center"/>
            <w:textDirection w:val="lrTb"/>
            <w:noWrap w:val="false"/>
          </w:tcPr>
          <w:p>
            <w:pPr>
              <w:jc w:val="center"/>
              <w:spacing w:line="360" w:lineRule="auto"/>
            </w:pPr>
            <w:r>
              <w:rPr>
                <w:rFonts w:hint="eastAsia"/>
              </w:rPr>
              <w:t xml:space="preserve">冷干机</w:t>
            </w:r>
            <w:r/>
          </w:p>
        </w:tc>
        <w:tc>
          <w:tcPr>
            <w:shd w:val="clear" w:color="auto" w:fill="auto"/>
            <w:tcW w:w="1821" w:type="pct"/>
            <w:vAlign w:val="center"/>
            <w:textDirection w:val="lrTb"/>
            <w:noWrap w:val="false"/>
          </w:tcPr>
          <w:p>
            <w:pPr>
              <w:spacing w:line="360" w:lineRule="auto"/>
            </w:pPr>
            <w:r>
              <w:rPr>
                <w:rFonts w:hint="eastAsia"/>
              </w:rPr>
              <w:t xml:space="preserve">艾尔曼FL-10HP，重量40kg，功率0.5kw</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r>
        <w:trPr>
          <w:jc w:val="center"/>
        </w:trPr>
        <w:tc>
          <w:tcPr>
            <w:shd w:val="clear" w:color="auto" w:fill="auto"/>
            <w:tcW w:w="346" w:type="pct"/>
            <w:vAlign w:val="center"/>
            <w:textDirection w:val="lrTb"/>
            <w:noWrap w:val="false"/>
          </w:tcPr>
          <w:p>
            <w:pPr>
              <w:jc w:val="center"/>
              <w:spacing w:line="360" w:lineRule="auto"/>
            </w:pPr>
            <w:r>
              <w:rPr>
                <w:rFonts w:hint="eastAsia"/>
              </w:rPr>
              <w:t xml:space="preserve">28</w:t>
            </w:r>
            <w:r/>
          </w:p>
        </w:tc>
        <w:tc>
          <w:tcPr>
            <w:shd w:val="clear" w:color="auto" w:fill="auto"/>
            <w:tcW w:w="1034" w:type="pct"/>
            <w:vAlign w:val="center"/>
            <w:textDirection w:val="lrTb"/>
            <w:noWrap w:val="false"/>
          </w:tcPr>
          <w:p>
            <w:pPr>
              <w:jc w:val="center"/>
              <w:spacing w:line="360" w:lineRule="auto"/>
            </w:pPr>
            <w:r>
              <w:rPr>
                <w:rFonts w:hint="eastAsia"/>
              </w:rPr>
              <w:t xml:space="preserve">无油空压机</w:t>
            </w:r>
            <w:r/>
          </w:p>
        </w:tc>
        <w:tc>
          <w:tcPr>
            <w:shd w:val="clear" w:color="auto" w:fill="auto"/>
            <w:tcW w:w="1821" w:type="pct"/>
            <w:vAlign w:val="center"/>
            <w:textDirection w:val="lrTb"/>
            <w:noWrap w:val="false"/>
          </w:tcPr>
          <w:p>
            <w:pPr>
              <w:spacing w:line="360" w:lineRule="auto"/>
            </w:pPr>
            <w:r>
              <w:rPr>
                <w:rFonts w:hint="eastAsia"/>
              </w:rPr>
              <w:t xml:space="preserve">启豹QB60B-2，储气罐容积60L，尺寸75*32*61cm</w:t>
            </w:r>
            <w:r/>
          </w:p>
        </w:tc>
        <w:tc>
          <w:tcPr>
            <w:shd w:val="clear" w:color="auto" w:fill="auto"/>
            <w:tcW w:w="459" w:type="pct"/>
            <w:vAlign w:val="center"/>
            <w:textDirection w:val="lrTb"/>
            <w:noWrap w:val="false"/>
          </w:tcPr>
          <w:p>
            <w:pPr>
              <w:jc w:val="center"/>
              <w:spacing w:line="360" w:lineRule="auto"/>
            </w:pPr>
            <w:r>
              <w:rPr>
                <w:rFonts w:hint="eastAsia"/>
              </w:rPr>
              <w:t xml:space="preserve">台</w:t>
            </w:r>
            <w:r/>
          </w:p>
        </w:tc>
        <w:tc>
          <w:tcPr>
            <w:shd w:val="clear" w:color="auto" w:fill="auto"/>
            <w:tcW w:w="451" w:type="pct"/>
            <w:vAlign w:val="center"/>
            <w:textDirection w:val="lrTb"/>
            <w:noWrap w:val="false"/>
          </w:tcPr>
          <w:p>
            <w:pPr>
              <w:jc w:val="center"/>
              <w:spacing w:line="360" w:lineRule="auto"/>
            </w:pPr>
            <w:r>
              <w:rPr>
                <w:rFonts w:hint="eastAsia"/>
              </w:rPr>
              <w:t xml:space="preserve">1</w:t>
            </w:r>
            <w:r/>
          </w:p>
        </w:tc>
        <w:tc>
          <w:tcPr>
            <w:shd w:val="clear" w:color="auto" w:fill="auto"/>
            <w:tcW w:w="886" w:type="pct"/>
            <w:vAlign w:val="center"/>
            <w:textDirection w:val="lrTb"/>
            <w:noWrap w:val="false"/>
          </w:tcPr>
          <w:p>
            <w:pPr>
              <w:ind w:firstLine="420"/>
              <w:spacing w:line="360" w:lineRule="auto"/>
            </w:pPr>
            <w:r/>
            <w:r/>
          </w:p>
        </w:tc>
      </w:tr>
    </w:tbl>
    <w:p>
      <w:pPr>
        <w:ind w:firstLine="422"/>
        <w:jc w:val="left"/>
        <w:spacing w:line="360" w:lineRule="auto"/>
        <w:rPr>
          <w:rFonts w:ascii="宋体" w:hAnsi="宋体" w:cs="宋体"/>
          <w:b/>
          <w:szCs w:val="21"/>
        </w:rPr>
      </w:pPr>
      <w:r>
        <w:rPr>
          <w:rFonts w:hint="eastAsia" w:ascii="宋体" w:hAnsi="宋体" w:cs="宋体"/>
          <w:b/>
          <w:szCs w:val="21"/>
        </w:rPr>
        <w:t xml:space="preserve">四、报价方式</w:t>
      </w:r>
      <w:r/>
    </w:p>
    <w:p>
      <w:pPr>
        <w:ind w:firstLine="420"/>
        <w:spacing w:line="360" w:lineRule="auto"/>
        <w:tabs>
          <w:tab w:val="left" w:pos="284" w:leader="none"/>
        </w:tabs>
        <w:rPr>
          <w:rFonts w:ascii="宋体" w:hAnsi="宋体" w:cs="宋体"/>
          <w:szCs w:val="21"/>
        </w:rPr>
      </w:pPr>
      <w:r>
        <w:rPr>
          <w:rFonts w:hint="eastAsia" w:ascii="宋体" w:hAnsi="宋体" w:cs="宋体"/>
          <w:szCs w:val="21"/>
        </w:rPr>
        <w:t xml:space="preserve">报价方式：采用包干价方式，</w:t>
      </w:r>
      <w:r>
        <w:rPr>
          <w:rFonts w:hint="eastAsia" w:ascii="宋体" w:hAnsi="宋体" w:cs="宋体"/>
          <w:szCs w:val="21"/>
          <w:highlight w:val="none"/>
        </w:rPr>
        <w:t xml:space="preserve">投标报价为固定总价</w:t>
      </w:r>
      <w:r>
        <w:rPr>
          <w:rFonts w:hint="eastAsia" w:ascii="宋体" w:hAnsi="宋体" w:cs="宋体"/>
          <w:szCs w:val="21"/>
        </w:rPr>
        <w:t xml:space="preserve">，包括管理费、驻场值守人员（2名）工资、水质检测药剂费、设备维修保养耗材费和配件费、消毒药剂费、污泥压制药剂费、税金、及环评罚款风险等费用。</w:t>
      </w:r>
      <w:r/>
    </w:p>
    <w:p>
      <w:pPr>
        <w:ind w:firstLine="420"/>
        <w:spacing w:line="360" w:lineRule="auto"/>
        <w:tabs>
          <w:tab w:val="left" w:pos="284" w:leader="none"/>
        </w:tabs>
        <w:rPr>
          <w:rFonts w:ascii="宋体" w:hAnsi="宋体" w:cs="宋体"/>
          <w:szCs w:val="21"/>
        </w:rPr>
      </w:pPr>
      <w:r>
        <w:rPr>
          <w:rFonts w:hint="eastAsia" w:ascii="宋体" w:hAnsi="宋体" w:cs="宋体"/>
          <w:szCs w:val="21"/>
        </w:rPr>
        <w:t xml:space="preserve">投标</w:t>
      </w:r>
      <w:r>
        <w:rPr>
          <w:rFonts w:ascii="宋体" w:hAnsi="宋体" w:cs="宋体"/>
          <w:szCs w:val="21"/>
        </w:rPr>
        <w:t xml:space="preserve">报价</w:t>
      </w:r>
      <w:r>
        <w:rPr>
          <w:rFonts w:hint="eastAsia" w:ascii="宋体" w:hAnsi="宋体" w:cs="宋体"/>
          <w:szCs w:val="21"/>
        </w:rPr>
        <w:t xml:space="preserve">应包括招标文件所确定的招标范围相应服务的提供、人员（包括工资和补贴）、办公场所及设施、保险、劳保、管理、设备维保耗材、消毒药剂、水质检测药剂费、污泥压制药剂费、超标罚款、各种税费、利润、税金、政策性文件规定及合同包含的所有风险、责任等各项应有费用，以及为完成该项服务项目所涉及到的一切相关费用，采购人不再支付其他任何费用。</w:t>
      </w:r>
      <w:r/>
    </w:p>
    <w:p>
      <w:pPr>
        <w:ind w:firstLine="422"/>
        <w:spacing w:line="360" w:lineRule="auto"/>
        <w:rPr>
          <w:rFonts w:ascii="宋体" w:hAnsi="宋体" w:cs="宋体"/>
          <w:b/>
          <w:bCs/>
        </w:rPr>
      </w:pPr>
      <w:r>
        <w:rPr>
          <w:rFonts w:hint="eastAsia" w:ascii="宋体" w:hAnsi="宋体" w:cs="宋体"/>
          <w:b/>
          <w:szCs w:val="21"/>
        </w:rPr>
        <w:t xml:space="preserve">服务期限：三年。合同一年一签。</w:t>
      </w:r>
      <w:r>
        <w:rPr>
          <w:rFonts w:hint="eastAsia" w:ascii="宋体" w:hAnsi="宋体" w:cs="宋体"/>
          <w:b/>
          <w:bCs/>
        </w:rPr>
        <w:t xml:space="preserve">前一年合同期满，经采购人考核合格后方可续签下一年合同。</w:t>
      </w:r>
      <w:r/>
    </w:p>
    <w:p>
      <w:pPr>
        <w:ind w:firstLine="422"/>
        <w:jc w:val="left"/>
        <w:spacing w:line="360" w:lineRule="auto"/>
        <w:rPr>
          <w:rFonts w:ascii="宋体" w:hAnsi="宋体" w:cs="宋体"/>
          <w:b/>
          <w:szCs w:val="21"/>
        </w:rPr>
      </w:pPr>
      <w:r>
        <w:rPr>
          <w:rFonts w:hint="eastAsia" w:ascii="宋体" w:hAnsi="宋体" w:cs="宋体"/>
          <w:b/>
          <w:szCs w:val="21"/>
        </w:rPr>
        <w:t xml:space="preserve">五、付款方式</w:t>
      </w:r>
      <w:r/>
    </w:p>
    <w:p>
      <w:pPr>
        <w:ind w:firstLine="420"/>
        <w:spacing w:line="360" w:lineRule="auto"/>
        <w:rPr>
          <w:rFonts w:ascii="宋体" w:hAnsi="宋体" w:cs="宋体"/>
          <w:szCs w:val="21"/>
        </w:rPr>
      </w:pPr>
      <w:r>
        <w:rPr>
          <w:rFonts w:hint="eastAsia" w:ascii="宋体" w:hAnsi="宋体" w:cs="宋体"/>
          <w:szCs w:val="21"/>
        </w:rPr>
        <w:t xml:space="preserve">（1）费用结算按每半年付款，采购人于前半年结束后，中标人办理完结算手续后15个工作日内向投标人支付前半年的运营款。</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highlight w:val="none"/>
        </w:rPr>
        <w:t xml:space="preserve">签订合同时，双方协商制定考核管理细则，</w:t>
      </w:r>
      <w:r>
        <w:rPr>
          <w:rFonts w:hint="eastAsia" w:ascii="宋体" w:hAnsi="宋体" w:cs="宋体"/>
          <w:szCs w:val="21"/>
        </w:rPr>
        <w:t xml:space="preserve">如双方协商制定的考核管理细则中如涉及的处罚费用，可在当期发生的核算费用中予以扣除。</w:t>
      </w:r>
      <w:r/>
    </w:p>
    <w:p>
      <w:pPr>
        <w:ind w:firstLine="420"/>
        <w:spacing w:line="360" w:lineRule="auto"/>
        <w:rPr>
          <w:rFonts w:ascii="宋体" w:hAnsi="宋体" w:cs="宋体"/>
          <w:szCs w:val="21"/>
        </w:rPr>
      </w:pPr>
      <w:r>
        <w:rPr>
          <w:rFonts w:hint="eastAsia" w:ascii="宋体" w:hAnsi="宋体" w:cs="宋体"/>
          <w:szCs w:val="21"/>
        </w:rPr>
        <w:t xml:space="preserve">（3）采购人需按合同约定的付款方式，收到中标人票据后及时付款。</w:t>
      </w:r>
      <w:r/>
    </w:p>
    <w:p>
      <w:pPr>
        <w:ind w:firstLine="422"/>
        <w:jc w:val="left"/>
        <w:spacing w:line="360" w:lineRule="auto"/>
        <w:widowControl/>
        <w:rPr>
          <w:rFonts w:ascii="宋体" w:hAnsi="宋体" w:cs="宋体"/>
          <w:b/>
          <w:sz w:val="24"/>
        </w:rPr>
      </w:pPr>
      <w:r>
        <w:rPr>
          <w:rFonts w:hint="eastAsia" w:ascii="宋体" w:hAnsi="宋体" w:cs="宋体"/>
          <w:b/>
          <w:szCs w:val="21"/>
        </w:rPr>
        <w:t xml:space="preserve">  </w:t>
      </w:r>
      <w:r/>
    </w:p>
    <w:p>
      <w:pPr>
        <w:ind w:firstLine="420"/>
        <w:spacing w:line="360" w:lineRule="auto"/>
      </w:pPr>
      <w:r/>
      <w:r/>
    </w:p>
    <w:p>
      <w:pPr>
        <w:ind w:firstLine="420"/>
        <w:spacing w:line="360" w:lineRule="auto"/>
      </w:pPr>
      <w:r/>
      <w:r/>
    </w:p>
    <w:p>
      <w:pPr>
        <w:ind w:firstLine="420"/>
        <w:spacing w:line="360" w:lineRule="auto"/>
      </w:pPr>
      <w:r/>
      <w:r/>
    </w:p>
    <w:p>
      <w:pPr>
        <w:shd w:val="nil" w:color="auto"/>
      </w:pPr>
      <w:r>
        <w:br w:type="page" w:clear="all"/>
      </w:r>
      <w:r/>
    </w:p>
    <w:p>
      <w:pPr>
        <w:ind w:firstLine="420"/>
        <w:spacing w:line="360" w:lineRule="auto"/>
      </w:pPr>
      <w:r/>
      <w:r/>
    </w:p>
    <w:p>
      <w:pPr>
        <w:pStyle w:val="959"/>
      </w:pPr>
      <w:r/>
      <w:r/>
    </w:p>
    <w:p>
      <w:pPr>
        <w:numPr>
          <w:ilvl w:val="0"/>
          <w:numId w:val="12"/>
        </w:numPr>
        <w:jc w:val="center"/>
        <w:spacing w:line="360" w:lineRule="auto"/>
        <w:rPr>
          <w:rFonts w:ascii="宋体" w:hAnsi="宋体" w:cs="宋体"/>
          <w:b/>
          <w:sz w:val="36"/>
          <w:szCs w:val="36"/>
        </w:rPr>
        <w:outlineLvl w:val="0"/>
      </w:pPr>
      <w:r>
        <w:rPr>
          <w:rFonts w:hint="eastAsia" w:ascii="宋体" w:hAnsi="宋体" w:cs="宋体"/>
          <w:b/>
          <w:sz w:val="36"/>
          <w:szCs w:val="36"/>
        </w:rPr>
        <w:t xml:space="preserve">拟签订的合同文本</w:t>
      </w:r>
      <w:bookmarkEnd w:id="793"/>
      <w:r/>
      <w:r/>
    </w:p>
    <w:p>
      <w:pPr>
        <w:pStyle w:val="993"/>
      </w:pPr>
      <w:r/>
      <w:r/>
    </w:p>
    <w:p>
      <w:pPr>
        <w:pStyle w:val="993"/>
      </w:pPr>
      <w:r/>
      <w:r/>
    </w:p>
    <w:p>
      <w:pPr>
        <w:ind w:firstLine="482"/>
        <w:rPr>
          <w:rFonts w:ascii="宋体" w:hAnsi="宋体" w:cs="宋体"/>
          <w:b/>
          <w:sz w:val="24"/>
          <w:u w:val="single"/>
        </w:rPr>
      </w:pPr>
      <w:r>
        <w:rPr>
          <w:rFonts w:hint="eastAsia" w:ascii="宋体" w:hAnsi="宋体" w:cs="宋体"/>
          <w:b/>
          <w:sz w:val="24"/>
        </w:rPr>
        <w:t xml:space="preserve">甲方：                               </w:t>
      </w:r>
      <w:r>
        <w:rPr>
          <w:rFonts w:hint="eastAsia" w:ascii="宋体" w:hAnsi="宋体" w:cs="宋体"/>
          <w:bCs/>
          <w:sz w:val="24"/>
        </w:rPr>
        <w:t xml:space="preserve">签订时间：</w:t>
      </w:r>
      <w:r>
        <w:rPr>
          <w:rFonts w:hint="eastAsia" w:ascii="宋体" w:hAnsi="宋体" w:cs="宋体"/>
          <w:b/>
          <w:sz w:val="24"/>
          <w:u w:val="single"/>
        </w:rPr>
        <w:t xml:space="preserve">    年    月    日</w:t>
      </w:r>
      <w:r/>
    </w:p>
    <w:p>
      <w:pPr>
        <w:ind w:firstLine="482"/>
        <w:jc w:val="left"/>
        <w:spacing w:line="400" w:lineRule="exact"/>
        <w:rPr>
          <w:rFonts w:ascii="宋体" w:hAnsi="宋体" w:cs="宋体"/>
          <w:b/>
          <w:sz w:val="24"/>
          <w:u w:val="single"/>
        </w:rPr>
      </w:pPr>
      <w:r>
        <w:rPr>
          <w:rFonts w:hint="eastAsia" w:ascii="宋体" w:hAnsi="宋体" w:cs="宋体"/>
          <w:b/>
          <w:sz w:val="24"/>
        </w:rPr>
        <w:t xml:space="preserve">乙方：                               </w:t>
      </w:r>
      <w:r>
        <w:rPr>
          <w:rFonts w:hint="eastAsia" w:ascii="宋体" w:hAnsi="宋体" w:cs="宋体"/>
          <w:sz w:val="24"/>
        </w:rPr>
        <w:t xml:space="preserve">项目编号：                </w:t>
      </w:r>
      <w:r>
        <w:rPr>
          <w:rFonts w:hint="eastAsia" w:ascii="宋体" w:hAnsi="宋体" w:cs="宋体"/>
          <w:b/>
          <w:sz w:val="24"/>
          <w:u w:val="single"/>
        </w:rPr>
        <w:t xml:space="preserve">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b/>
          <w:sz w:val="24"/>
        </w:rPr>
      </w:pPr>
      <w:r>
        <w:rPr>
          <w:rFonts w:hint="eastAsia" w:ascii="宋体" w:hAnsi="宋体" w:cs="宋体"/>
          <w:sz w:val="24"/>
        </w:rPr>
        <w:t xml:space="preserve">甲、乙双方就乙方中标的项目</w:t>
      </w:r>
      <w:r>
        <w:rPr>
          <w:rFonts w:hint="eastAsia" w:ascii="宋体" w:hAnsi="宋体" w:cs="宋体"/>
          <w:bCs/>
          <w:sz w:val="24"/>
        </w:rPr>
        <w:t xml:space="preserve">，</w:t>
      </w:r>
      <w:r>
        <w:rPr>
          <w:rFonts w:hint="eastAsia" w:ascii="宋体" w:hAnsi="宋体" w:cs="宋体"/>
          <w:sz w:val="24"/>
        </w:rPr>
        <w:t xml:space="preserve">本着平等互利的原则，通过共同协商，根据</w:t>
      </w:r>
      <w:r>
        <w:rPr>
          <w:rFonts w:hint="eastAsia" w:ascii="宋体" w:hAnsi="宋体" w:cs="宋体"/>
          <w:bCs/>
          <w:sz w:val="24"/>
        </w:rPr>
        <w:t xml:space="preserve">《中华人民共和国民法典》</w:t>
      </w:r>
      <w:r>
        <w:rPr>
          <w:rFonts w:hint="eastAsia" w:ascii="宋体" w:hAnsi="宋体" w:cs="宋体"/>
          <w:sz w:val="24"/>
        </w:rPr>
        <w:t xml:space="preserve">及有关法律法规，就相关事宜达成如下合同。</w:t>
      </w:r>
      <w:r/>
    </w:p>
    <w:p>
      <w:pPr>
        <w:ind w:firstLine="482"/>
        <w:spacing w:line="360" w:lineRule="auto"/>
        <w:rPr>
          <w:rFonts w:ascii="宋体" w:hAnsi="宋体" w:cs="宋体"/>
          <w:b/>
          <w:sz w:val="24"/>
        </w:rPr>
      </w:pPr>
      <w:r>
        <w:rPr>
          <w:rFonts w:hint="eastAsia" w:ascii="宋体" w:hAnsi="宋体" w:cs="宋体"/>
          <w:b/>
          <w:sz w:val="24"/>
        </w:rPr>
        <w:t xml:space="preserve">一、总则             </w:t>
      </w:r>
      <w:r/>
    </w:p>
    <w:p>
      <w:pPr>
        <w:ind w:firstLine="480"/>
        <w:spacing w:line="360" w:lineRule="auto"/>
        <w:rPr>
          <w:rFonts w:ascii="宋体" w:hAnsi="宋体" w:cs="宋体"/>
          <w:sz w:val="24"/>
        </w:rPr>
      </w:pPr>
      <w:r>
        <w:rPr>
          <w:rFonts w:hint="eastAsia" w:ascii="宋体" w:hAnsi="宋体" w:cs="宋体"/>
          <w:sz w:val="24"/>
        </w:rPr>
        <w:t xml:space="preserve">乙方按甲方要求，为甲方提供的项目服务，服务具体内容及要求详见合同文件。</w:t>
      </w:r>
      <w:r/>
    </w:p>
    <w:p>
      <w:pPr>
        <w:ind w:firstLine="480"/>
        <w:spacing w:line="360" w:lineRule="auto"/>
        <w:rPr>
          <w:rFonts w:ascii="宋体" w:hAnsi="宋体" w:cs="宋体"/>
          <w:sz w:val="24"/>
        </w:rPr>
      </w:pPr>
      <w:r>
        <w:rPr>
          <w:rFonts w:hint="eastAsia" w:ascii="宋体" w:hAnsi="宋体" w:cs="宋体"/>
          <w:sz w:val="24"/>
        </w:rPr>
        <w:t xml:space="preserve">本合同金额为人民币大写：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二、合同文件：</w:t>
      </w:r>
      <w:r/>
    </w:p>
    <w:p>
      <w:pPr>
        <w:ind w:firstLine="480"/>
        <w:spacing w:line="360" w:lineRule="auto"/>
        <w:rPr>
          <w:rFonts w:ascii="宋体" w:hAnsi="宋体" w:cs="宋体"/>
          <w:sz w:val="24"/>
        </w:rPr>
      </w:pPr>
      <w:r>
        <w:rPr>
          <w:rFonts w:hint="eastAsia" w:ascii="宋体" w:hAnsi="宋体" w:cs="宋体"/>
          <w:sz w:val="24"/>
        </w:rPr>
        <w:t xml:space="preserve">下列文件是构成合同不可分割的部分，并与本合同具有同等法律效力，</w:t>
      </w:r>
      <w:r>
        <w:rPr>
          <w:rFonts w:hint="eastAsia" w:ascii="宋体" w:hAnsi="宋体" w:cs="宋体"/>
          <w:bCs/>
          <w:sz w:val="24"/>
        </w:rPr>
        <w:t xml:space="preserve">这些文件包括但不限于：</w:t>
      </w:r>
      <w:r/>
    </w:p>
    <w:p>
      <w:pPr>
        <w:numPr>
          <w:ilvl w:val="0"/>
          <w:numId w:val="13"/>
        </w:numPr>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号采购文件。</w:t>
      </w:r>
      <w:r/>
    </w:p>
    <w:p>
      <w:pPr>
        <w:ind w:firstLine="480"/>
        <w:spacing w:line="360" w:lineRule="auto"/>
        <w:rPr>
          <w:rFonts w:ascii="宋体" w:hAnsi="宋体" w:cs="宋体"/>
          <w:sz w:val="24"/>
        </w:rPr>
      </w:pPr>
      <w:r>
        <w:rPr>
          <w:rFonts w:hint="eastAsia" w:ascii="宋体" w:hAnsi="宋体" w:cs="宋体"/>
          <w:sz w:val="24"/>
        </w:rPr>
        <w:t xml:space="preserve">2、乙方提交的投标文件。</w:t>
      </w:r>
      <w:r/>
    </w:p>
    <w:p>
      <w:pPr>
        <w:ind w:firstLine="480"/>
        <w:spacing w:line="360" w:lineRule="auto"/>
        <w:rPr>
          <w:rFonts w:ascii="宋体" w:hAnsi="宋体" w:cs="宋体"/>
          <w:sz w:val="24"/>
        </w:rPr>
      </w:pPr>
      <w:r>
        <w:rPr>
          <w:rFonts w:hint="eastAsia" w:ascii="宋体" w:hAnsi="宋体" w:cs="宋体"/>
          <w:sz w:val="24"/>
        </w:rPr>
        <w:t xml:space="preserve">3、乙方投标的其他资料及承诺。</w:t>
      </w:r>
      <w:r/>
    </w:p>
    <w:p>
      <w:pPr>
        <w:ind w:firstLine="482"/>
        <w:spacing w:line="360" w:lineRule="auto"/>
        <w:rPr>
          <w:rFonts w:ascii="宋体" w:hAnsi="宋体" w:cs="宋体"/>
          <w:b/>
          <w:sz w:val="24"/>
        </w:rPr>
      </w:pPr>
      <w:r>
        <w:rPr>
          <w:rFonts w:hint="eastAsia" w:ascii="宋体" w:hAnsi="宋体" w:cs="宋体"/>
          <w:b/>
          <w:sz w:val="24"/>
        </w:rPr>
        <w:t xml:space="preserve">三、质量保证和服务承诺：</w:t>
      </w:r>
      <w:r/>
    </w:p>
    <w:p>
      <w:pPr>
        <w:ind w:firstLine="480"/>
        <w:spacing w:line="360" w:lineRule="auto"/>
        <w:rPr>
          <w:rFonts w:ascii="宋体" w:hAnsi="宋体" w:cs="宋体"/>
          <w:sz w:val="24"/>
        </w:rPr>
      </w:pPr>
      <w:r>
        <w:rPr>
          <w:rFonts w:hint="eastAsia" w:ascii="宋体" w:hAnsi="宋体" w:cs="宋体"/>
          <w:sz w:val="24"/>
        </w:rPr>
        <w:t xml:space="preserve">乙方所提供的服务必须符合国家有关标准和号采购文件（含技术说明）和投标文件的要求。</w:t>
      </w:r>
      <w:r/>
    </w:p>
    <w:p>
      <w:pPr>
        <w:ind w:firstLine="482"/>
        <w:spacing w:line="360" w:lineRule="auto"/>
        <w:rPr>
          <w:rFonts w:ascii="宋体" w:hAnsi="宋体" w:cs="宋体"/>
          <w:b/>
          <w:sz w:val="24"/>
        </w:rPr>
      </w:pPr>
      <w:r>
        <w:rPr>
          <w:rFonts w:hint="eastAsia" w:ascii="宋体" w:hAnsi="宋体" w:cs="宋体"/>
          <w:b/>
          <w:sz w:val="24"/>
        </w:rPr>
        <w:t xml:space="preserve">四、服务时间</w:t>
      </w:r>
      <w:r/>
    </w:p>
    <w:p>
      <w:pPr>
        <w:ind w:firstLine="482"/>
        <w:spacing w:line="360" w:lineRule="auto"/>
        <w:rPr>
          <w:rFonts w:ascii="宋体" w:hAnsi="宋体" w:cs="宋体"/>
          <w:b/>
          <w:sz w:val="24"/>
        </w:rPr>
      </w:pPr>
      <w:r>
        <w:rPr>
          <w:rFonts w:hint="eastAsia" w:ascii="宋体" w:hAnsi="宋体" w:cs="宋体"/>
          <w:b/>
          <w:sz w:val="24"/>
        </w:rPr>
        <w:t xml:space="preserve">项目时间:</w:t>
      </w:r>
      <w:r/>
    </w:p>
    <w:p>
      <w:pPr>
        <w:ind w:firstLine="482"/>
        <w:spacing w:line="360" w:lineRule="auto"/>
        <w:rPr>
          <w:rFonts w:ascii="宋体" w:hAnsi="宋体" w:cs="宋体"/>
          <w:b/>
          <w:sz w:val="24"/>
        </w:rPr>
      </w:pPr>
      <w:r>
        <w:rPr>
          <w:rFonts w:hint="eastAsia" w:ascii="宋体" w:hAnsi="宋体" w:cs="宋体"/>
          <w:b/>
          <w:sz w:val="24"/>
        </w:rPr>
        <w:t xml:space="preserve">五、验收</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六、付款方式：</w:t>
      </w:r>
      <w:r/>
    </w:p>
    <w:p>
      <w:pPr>
        <w:ind w:firstLine="482"/>
        <w:jc w:val="left"/>
        <w:spacing w:before="95" w:after="159" w:line="360" w:lineRule="auto"/>
        <w:widowControl/>
        <w:rPr>
          <w:rFonts w:ascii="宋体" w:hAnsi="宋体" w:cs="宋体"/>
          <w:sz w:val="24"/>
        </w:rPr>
      </w:pPr>
      <w:r>
        <w:rPr>
          <w:rFonts w:hint="eastAsia" w:ascii="宋体" w:hAnsi="宋体" w:cs="宋体"/>
          <w:b/>
          <w:sz w:val="24"/>
        </w:rPr>
        <w:t xml:space="preserve">七、违约责任：</w:t>
      </w:r>
      <w:r/>
    </w:p>
    <w:p>
      <w:pPr>
        <w:ind w:firstLine="480"/>
        <w:jc w:val="left"/>
        <w:spacing w:before="95" w:after="159" w:line="360" w:lineRule="auto"/>
        <w:widowControl/>
        <w:rPr>
          <w:rFonts w:ascii="宋体" w:hAnsi="宋体" w:cs="宋体"/>
          <w:color w:val="000000"/>
          <w:sz w:val="24"/>
        </w:rPr>
      </w:pPr>
      <w:r>
        <w:rPr>
          <w:rFonts w:hint="eastAsia" w:ascii="宋体" w:hAnsi="宋体" w:cs="宋体"/>
          <w:color w:val="000000"/>
          <w:sz w:val="24"/>
        </w:rPr>
        <w:t xml:space="preserve">1、乙方不履行合同应当双倍返还定金,甲方不履行合同无权要求返还定金。</w:t>
      </w:r>
      <w:r/>
    </w:p>
    <w:p>
      <w:pPr>
        <w:ind w:firstLine="480"/>
        <w:jc w:val="left"/>
        <w:spacing w:before="95" w:after="159" w:line="360" w:lineRule="auto"/>
        <w:widowControl/>
        <w:rPr>
          <w:rFonts w:ascii="宋体" w:hAnsi="宋体" w:cs="宋体"/>
          <w:color w:val="000000"/>
          <w:sz w:val="24"/>
        </w:rPr>
      </w:pPr>
      <w:r>
        <w:rPr>
          <w:rFonts w:hint="eastAsia" w:ascii="宋体" w:hAnsi="宋体" w:cs="宋体"/>
          <w:color w:val="000000"/>
          <w:sz w:val="24"/>
        </w:rPr>
        <w:t xml:space="preserve">2、乙方逾期交货或者甲方逾期付款,应向对方支付违约金,迟延履行违约金以逾期部分价款总额每日万分之</w:t>
      </w:r>
      <w:r>
        <w:rPr>
          <w:rFonts w:hint="eastAsia" w:ascii="宋体" w:hAnsi="宋体" w:cs="宋体"/>
          <w:color w:val="000000"/>
          <w:sz w:val="24"/>
          <w:u w:val="single"/>
        </w:rPr>
        <w:t xml:space="preserve"> 八 </w:t>
      </w:r>
      <w:r>
        <w:rPr>
          <w:rFonts w:hint="eastAsia" w:ascii="宋体" w:hAnsi="宋体" w:cs="宋体"/>
          <w:color w:val="000000"/>
          <w:sz w:val="24"/>
        </w:rPr>
        <w:t xml:space="preserve">计算。任何一方逾期履行超过 </w:t>
      </w:r>
      <w:r>
        <w:rPr>
          <w:rFonts w:hint="eastAsia" w:ascii="宋体" w:hAnsi="宋体" w:cs="宋体"/>
          <w:color w:val="000000"/>
          <w:sz w:val="24"/>
          <w:u w:val="single"/>
        </w:rPr>
        <w:t xml:space="preserve"> 十  </w:t>
      </w:r>
      <w:r>
        <w:rPr>
          <w:rFonts w:hint="eastAsia" w:ascii="宋体" w:hAnsi="宋体" w:cs="宋体"/>
          <w:color w:val="000000"/>
          <w:sz w:val="24"/>
        </w:rPr>
        <w:t xml:space="preserve">天，应当以逾期部分价款总额5％向对方支付违约金。违约方支付违约金后,对方有权要求继续履行合同。</w:t>
      </w:r>
      <w:r/>
    </w:p>
    <w:p>
      <w:pPr>
        <w:ind w:firstLine="480"/>
        <w:jc w:val="left"/>
        <w:spacing w:before="95" w:after="159" w:line="360" w:lineRule="auto"/>
        <w:widowControl/>
        <w:rPr>
          <w:rFonts w:ascii="宋体" w:hAnsi="宋体" w:cs="宋体"/>
          <w:sz w:val="24"/>
        </w:rPr>
      </w:pPr>
      <w:r>
        <w:rPr>
          <w:rFonts w:hint="eastAsia" w:ascii="宋体" w:hAnsi="宋体" w:cs="宋体"/>
          <w:color w:val="000000"/>
          <w:sz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p>
    <w:p>
      <w:pPr>
        <w:ind w:firstLine="482"/>
        <w:spacing w:line="360" w:lineRule="auto"/>
        <w:rPr>
          <w:rFonts w:ascii="宋体" w:hAnsi="宋体" w:cs="宋体"/>
          <w:b/>
          <w:sz w:val="24"/>
        </w:rPr>
      </w:pPr>
      <w:r>
        <w:rPr>
          <w:rFonts w:hint="eastAsia" w:ascii="宋体" w:hAnsi="宋体" w:cs="宋体"/>
          <w:b/>
          <w:sz w:val="24"/>
        </w:rPr>
        <w:t xml:space="preserve">八、不可抗力：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1、甲、乙双方如果因不可抗力而导致合同义务的延误或不能履行，不承担没收误期赔偿或终止合同的责任。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spacing w:line="360" w:lineRule="auto"/>
        <w:rPr>
          <w:rFonts w:ascii="宋体" w:hAnsi="宋体" w:cs="宋体"/>
          <w:b/>
          <w:sz w:val="24"/>
        </w:rPr>
      </w:pPr>
      <w:r>
        <w:rPr>
          <w:rFonts w:hint="eastAsia" w:ascii="宋体" w:hAnsi="宋体" w:cs="宋体"/>
          <w:b/>
          <w:sz w:val="24"/>
        </w:rPr>
        <w:t xml:space="preserve">九、</w:t>
      </w:r>
      <w:r>
        <w:rPr>
          <w:rFonts w:hint="eastAsia" w:ascii="宋体" w:hAnsi="宋体" w:cs="宋体"/>
          <w:b/>
          <w:color w:val="000000"/>
          <w:sz w:val="24"/>
        </w:rPr>
        <w:t xml:space="preserve">合同的解除：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1、甲方和乙方协商一致，可以解除合同。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2、有权解除合同的一方，应当在违约事实或不可抗力发生之后三十天内书面通知对方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提出解除合同，合同在书面通知到达对方时解除。</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3、合同的部分和全部都不得擅自转让。</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4、出现下列情况之一可以解除合同：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（1）对乙方有效投诉记录累计达3次；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（2）在合同有效期内，被行业主管部门取消经营资格的；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（3）在合同有效期内，乙方擅自变更、转让、租借本次招标范围内的定点服务资格的；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（4）不如实反映情况，提供虚假材料的；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（5）未按承诺的价格提供服务的。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（6）招标文件约定的可解除合同的情况出现。</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5、乙方在任何情况下都不得用任何不正当行为影响、干扰委托单位。一经发现可立即</w:t>
      </w:r>
      <w:r/>
    </w:p>
    <w:p>
      <w:pPr>
        <w:ind w:firstLine="480"/>
        <w:spacing w:line="360" w:lineRule="auto"/>
        <w:rPr>
          <w:rFonts w:ascii="宋体" w:hAnsi="宋体" w:cs="宋体"/>
          <w:color w:val="000000"/>
          <w:sz w:val="24"/>
        </w:rPr>
      </w:pPr>
      <w:r>
        <w:rPr>
          <w:rFonts w:hint="eastAsia" w:ascii="宋体" w:hAnsi="宋体" w:cs="宋体"/>
          <w:color w:val="000000"/>
          <w:sz w:val="24"/>
        </w:rPr>
        <w:t xml:space="preserve">解除合同，同时提请有关部门追究有关当事人的责任。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6、如果乙方破产、解散、清算、停业以及其他原因无法提供服务的，甲方可在任何时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间以书面形式通知取消其本次招标范围内的定点服务资格。该行为将不损害或影响甲方已经采取和将要采取的任何行动和补救措施的权力。</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color w:val="000000"/>
          <w:sz w:val="24"/>
        </w:rPr>
        <w:t xml:space="preserve">争议处置</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1、在执行本合同中所发生的一切争议，甲乙双方应通过友好协商的办法进行解决，如</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协商不能解决的，有关当事方可提请仲裁。</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2、仲裁应根据《中华人民共和国仲裁法》的规定向甲方所在地有管辖权的仲裁机构申</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请仲裁。</w:t>
      </w:r>
      <w:r/>
    </w:p>
    <w:p>
      <w:pPr>
        <w:ind w:firstLine="480"/>
        <w:spacing w:line="360" w:lineRule="auto"/>
        <w:rPr>
          <w:rFonts w:ascii="宋体" w:hAnsi="宋体" w:cs="宋体"/>
          <w:b/>
          <w:sz w:val="24"/>
        </w:rPr>
      </w:pPr>
      <w:r>
        <w:rPr>
          <w:rFonts w:hint="eastAsia" w:ascii="宋体" w:hAnsi="宋体" w:cs="宋体"/>
          <w:color w:val="000000"/>
          <w:sz w:val="24"/>
        </w:rPr>
        <w:t xml:space="preserve">3、仲裁裁决为最终裁决，对当事各方均有约束力。</w:t>
      </w:r>
      <w:r/>
    </w:p>
    <w:p>
      <w:pPr>
        <w:ind w:firstLine="482"/>
        <w:spacing w:line="360" w:lineRule="auto"/>
        <w:rPr>
          <w:rFonts w:ascii="宋体" w:hAnsi="宋体" w:cs="宋体"/>
          <w:b/>
          <w:sz w:val="24"/>
        </w:rPr>
      </w:pPr>
      <w:r>
        <w:rPr>
          <w:rFonts w:hint="eastAsia" w:ascii="宋体" w:hAnsi="宋体" w:cs="宋体"/>
          <w:b/>
          <w:sz w:val="24"/>
        </w:rPr>
        <w:t xml:space="preserve">十一、合同生效</w:t>
      </w:r>
      <w:r/>
    </w:p>
    <w:p>
      <w:pPr>
        <w:ind w:firstLine="480"/>
        <w:spacing w:line="360" w:lineRule="auto"/>
        <w:rPr>
          <w:rFonts w:ascii="宋体" w:hAnsi="宋体" w:cs="宋体"/>
          <w:sz w:val="24"/>
        </w:rPr>
      </w:pPr>
      <w:r>
        <w:rPr>
          <w:rFonts w:hint="eastAsia" w:ascii="宋体" w:hAnsi="宋体" w:cs="宋体"/>
          <w:sz w:val="24"/>
        </w:rPr>
        <w:t xml:space="preserve">本合同经甲乙方盖章签字后生效，如有变动，必须经甲乙双方协商一致后，方可更改。本合同一式柒份，甲方叁份，乙方贰份，招标代理机构贰份。</w:t>
      </w:r>
      <w:r/>
    </w:p>
    <w:p>
      <w:pPr>
        <w:ind w:firstLine="480"/>
        <w:spacing w:line="360" w:lineRule="auto"/>
        <w:rPr>
          <w:rFonts w:ascii="宋体" w:hAnsi="宋体" w:cs="宋体"/>
          <w:sz w:val="24"/>
        </w:rPr>
      </w:pPr>
      <w:r>
        <w:rPr>
          <w:rFonts w:hint="eastAsia" w:ascii="宋体" w:hAnsi="宋体" w:cs="宋体"/>
          <w:sz w:val="24"/>
        </w:rPr>
        <w:t xml:space="preserve">其他未尽事宜，参照相关法律，双方协商解决。</w:t>
      </w:r>
      <w:r/>
    </w:p>
    <w:p>
      <w:pPr>
        <w:ind w:firstLine="480"/>
        <w:spacing w:line="360" w:lineRule="auto"/>
        <w:rPr>
          <w:rFonts w:ascii="宋体" w:hAnsi="宋体" w:cs="宋体"/>
          <w:sz w:val="24"/>
        </w:rPr>
      </w:pPr>
      <w:r>
        <w:rPr>
          <w:rFonts w:hint="eastAsia" w:ascii="宋体" w:hAnsi="宋体" w:cs="宋体"/>
          <w:sz w:val="24"/>
        </w:rPr>
        <w:t xml:space="preserve">甲方：单位名称（章）：</w:t>
      </w:r>
      <w:r/>
    </w:p>
    <w:p>
      <w:pPr>
        <w:ind w:firstLine="480"/>
        <w:spacing w:line="360" w:lineRule="auto"/>
        <w:rPr>
          <w:rFonts w:ascii="宋体" w:hAnsi="宋体" w:cs="宋体"/>
          <w:sz w:val="24"/>
          <w:u w:val="single"/>
        </w:rPr>
      </w:pPr>
      <w:r>
        <w:rPr>
          <w:rFonts w:hint="eastAsia" w:ascii="宋体" w:hAnsi="宋体" w:cs="宋体"/>
          <w:sz w:val="24"/>
        </w:rPr>
        <w:t xml:space="preserve">单位地址：</w:t>
      </w:r>
      <w:r/>
    </w:p>
    <w:p>
      <w:pPr>
        <w:ind w:firstLine="480"/>
        <w:spacing w:line="360" w:lineRule="auto"/>
        <w:rPr>
          <w:rFonts w:ascii="宋体" w:hAnsi="宋体" w:cs="宋体"/>
          <w:sz w:val="24"/>
        </w:rPr>
      </w:pPr>
      <w:r>
        <w:rPr>
          <w:rFonts w:hint="eastAsia" w:ascii="宋体" w:hAnsi="宋体" w:cs="宋体"/>
          <w:sz w:val="24"/>
        </w:rPr>
        <w:t xml:space="preserve">法定代表人：</w:t>
      </w:r>
      <w:r/>
    </w:p>
    <w:p>
      <w:pPr>
        <w:ind w:firstLine="480"/>
        <w:spacing w:line="360" w:lineRule="auto"/>
        <w:rPr>
          <w:rFonts w:ascii="宋体" w:hAnsi="宋体" w:cs="宋体"/>
          <w:sz w:val="24"/>
        </w:rPr>
      </w:pPr>
      <w:r>
        <w:rPr>
          <w:rFonts w:hint="eastAsia" w:ascii="宋体" w:hAnsi="宋体" w:cs="宋体"/>
          <w:sz w:val="24"/>
        </w:rPr>
        <w:t xml:space="preserve">委托代理人：</w:t>
      </w:r>
      <w:r/>
    </w:p>
    <w:p>
      <w:pPr>
        <w:ind w:firstLine="480"/>
        <w:spacing w:line="360" w:lineRule="auto"/>
        <w:rPr>
          <w:rFonts w:ascii="宋体" w:hAnsi="宋体" w:cs="宋体"/>
          <w:sz w:val="24"/>
        </w:rPr>
      </w:pPr>
      <w:r>
        <w:rPr>
          <w:rFonts w:hint="eastAsia" w:ascii="宋体" w:hAnsi="宋体" w:cs="宋体"/>
          <w:sz w:val="24"/>
        </w:rPr>
        <w:t xml:space="preserve">经办人：</w:t>
      </w:r>
      <w:r/>
    </w:p>
    <w:p>
      <w:pPr>
        <w:ind w:firstLine="480"/>
        <w:spacing w:line="360" w:lineRule="auto"/>
        <w:rPr>
          <w:rFonts w:ascii="宋体" w:hAnsi="宋体" w:cs="宋体"/>
          <w:sz w:val="24"/>
        </w:rPr>
      </w:pPr>
      <w:r>
        <w:rPr>
          <w:rFonts w:hint="eastAsia" w:ascii="宋体" w:hAnsi="宋体" w:cs="宋体"/>
          <w:sz w:val="24"/>
        </w:rPr>
        <w:t xml:space="preserve">电  话：</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乙方：单位名称（章）：                            </w:t>
      </w:r>
      <w:r/>
    </w:p>
    <w:p>
      <w:pPr>
        <w:ind w:firstLine="480"/>
        <w:spacing w:line="360" w:lineRule="auto"/>
        <w:rPr>
          <w:rFonts w:ascii="宋体" w:hAnsi="宋体" w:cs="宋体"/>
          <w:sz w:val="24"/>
          <w:u w:val="single"/>
        </w:rPr>
      </w:pPr>
      <w:r>
        <w:rPr>
          <w:rFonts w:hint="eastAsia" w:ascii="宋体" w:hAnsi="宋体" w:cs="宋体"/>
          <w:sz w:val="24"/>
        </w:rPr>
        <w:t xml:space="preserve">单位地址： </w:t>
      </w:r>
      <w:r/>
    </w:p>
    <w:p>
      <w:pPr>
        <w:ind w:firstLine="480"/>
        <w:spacing w:line="360" w:lineRule="auto"/>
        <w:rPr>
          <w:rFonts w:ascii="宋体" w:hAnsi="宋体" w:cs="宋体"/>
          <w:sz w:val="24"/>
        </w:rPr>
      </w:pPr>
      <w:r>
        <w:rPr>
          <w:rFonts w:hint="eastAsia" w:ascii="宋体" w:hAnsi="宋体" w:cs="宋体"/>
          <w:sz w:val="24"/>
        </w:rPr>
        <w:t xml:space="preserve">法定代表人：</w:t>
      </w:r>
      <w:r/>
    </w:p>
    <w:p>
      <w:pPr>
        <w:ind w:firstLine="480"/>
        <w:spacing w:line="360" w:lineRule="auto"/>
        <w:rPr>
          <w:rFonts w:ascii="宋体" w:hAnsi="宋体" w:cs="宋体"/>
          <w:sz w:val="24"/>
        </w:rPr>
      </w:pPr>
      <w:r>
        <w:rPr>
          <w:rFonts w:hint="eastAsia" w:ascii="宋体" w:hAnsi="宋体" w:cs="宋体"/>
          <w:sz w:val="24"/>
        </w:rPr>
        <w:t xml:space="preserve">委托代理人：</w:t>
      </w:r>
      <w:r/>
    </w:p>
    <w:p>
      <w:pPr>
        <w:ind w:firstLine="480"/>
        <w:spacing w:line="360" w:lineRule="auto"/>
        <w:rPr>
          <w:rFonts w:ascii="宋体" w:hAnsi="宋体" w:cs="宋体"/>
          <w:sz w:val="24"/>
        </w:rPr>
      </w:pPr>
      <w:r>
        <w:rPr>
          <w:rFonts w:hint="eastAsia" w:ascii="宋体" w:hAnsi="宋体" w:cs="宋体"/>
          <w:sz w:val="24"/>
        </w:rPr>
        <w:t xml:space="preserve">经办人：                      电  话：</w:t>
      </w:r>
      <w:r/>
    </w:p>
    <w:p>
      <w:pPr>
        <w:ind w:firstLine="480"/>
        <w:spacing w:line="360" w:lineRule="auto"/>
        <w:rPr>
          <w:rFonts w:ascii="宋体" w:hAnsi="宋体" w:cs="宋体"/>
          <w:sz w:val="24"/>
        </w:rPr>
      </w:pPr>
      <w:r>
        <w:rPr>
          <w:rFonts w:hint="eastAsia" w:ascii="宋体" w:hAnsi="宋体" w:cs="宋体"/>
          <w:sz w:val="24"/>
        </w:rPr>
        <w:t xml:space="preserve">开户银行：                    银行账号：</w:t>
      </w:r>
      <w:r/>
    </w:p>
    <w:p>
      <w:pPr>
        <w:spacing w:line="360" w:lineRule="auto"/>
        <w:rPr>
          <w:rFonts w:ascii="宋体" w:hAnsi="宋体" w:cs="宋体"/>
          <w:color w:val="ff0000"/>
          <w:sz w:val="24"/>
        </w:rPr>
      </w:pPr>
      <w:r>
        <w:rPr>
          <w:rFonts w:ascii="宋体" w:hAnsi="宋体" w:cs="宋体"/>
          <w:color w:val="ff0000"/>
          <w:sz w:val="24"/>
        </w:rPr>
      </w:r>
      <w:r/>
    </w:p>
    <w:p>
      <w:pPr>
        <w:pStyle w:val="993"/>
      </w:pPr>
      <w:r/>
      <w:r/>
    </w:p>
    <w:p>
      <w:pPr>
        <w:jc w:val="center"/>
        <w:spacing w:line="360" w:lineRule="auto"/>
        <w:rPr>
          <w:rFonts w:ascii="宋体" w:hAnsi="宋体" w:cs="宋体"/>
          <w:color w:val="000000"/>
          <w:sz w:val="24"/>
        </w:rPr>
        <w:outlineLvl w:val="0"/>
      </w:pPr>
      <w:r>
        <w:rPr>
          <w:rFonts w:hint="eastAsia" w:ascii="宋体" w:hAnsi="宋体" w:cs="宋体"/>
          <w:color w:val="000000"/>
          <w:sz w:val="24"/>
        </w:rPr>
        <w:t xml:space="preserve">本合同内容为主要条款，采购双方可根据项目实际情况进行调整。</w:t>
      </w:r>
      <w:r/>
    </w:p>
    <w:p>
      <w:pPr>
        <w:rPr>
          <w:rFonts w:ascii="宋体" w:hAnsi="宋体" w:cs="宋体"/>
          <w:color w:val="000000"/>
          <w:sz w:val="24"/>
        </w:rPr>
      </w:pPr>
      <w:r>
        <w:rPr>
          <w:rFonts w:hint="eastAsia" w:ascii="宋体" w:hAnsi="宋体" w:cs="宋体"/>
          <w:color w:val="000000"/>
          <w:sz w:val="24"/>
        </w:rPr>
        <w:br w:type="page" w:clear="all"/>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54"/>
        <w:ind w:firstLine="482"/>
        <w:spacing w:line="360" w:lineRule="auto"/>
        <w:rPr>
          <w:rFonts w:hAnsi="宋体" w:cs="宋体"/>
        </w:rPr>
      </w:pPr>
      <w:r>
        <w:rPr>
          <w:rFonts w:hint="eastAsia" w:hAnsi="宋体" w:cs="宋体"/>
        </w:rPr>
        <w:t xml:space="preserve">致：常州正衡招投标有限公司</w:t>
      </w:r>
      <w:r/>
    </w:p>
    <w:p>
      <w:pPr>
        <w:pStyle w:val="954"/>
        <w:ind w:firstLine="960"/>
        <w:spacing w:line="360" w:lineRule="auto"/>
        <w:rPr>
          <w:rFonts w:hAnsi="宋体" w:cs="宋体"/>
          <w:u w:val="single"/>
        </w:rPr>
      </w:pPr>
      <w:r>
        <w:rPr>
          <w:rFonts w:hint="eastAsia" w:hAnsi="宋体" w:cs="宋体"/>
          <w:u w:val="single"/>
        </w:rPr>
        <w:t xml:space="preserve">（采购人名称）</w:t>
      </w:r>
      <w:r/>
    </w:p>
    <w:p>
      <w:pPr>
        <w:pStyle w:val="954"/>
        <w:ind w:firstLine="482"/>
        <w:spacing w:line="360" w:lineRule="auto"/>
        <w:rPr>
          <w:rFonts w:hAnsi="宋体" w:cs="宋体"/>
        </w:rPr>
      </w:pPr>
      <w:r>
        <w:rPr>
          <w:rFonts w:hAnsi="宋体" w:cs="宋体"/>
        </w:rPr>
      </w:r>
      <w:r/>
    </w:p>
    <w:p>
      <w:pPr>
        <w:pStyle w:val="954"/>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54"/>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54"/>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54"/>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54"/>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54"/>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54"/>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54"/>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4"/>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54"/>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54"/>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54"/>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54"/>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54"/>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54"/>
        <w:ind w:firstLine="482"/>
        <w:spacing w:line="360" w:lineRule="auto"/>
        <w:rPr>
          <w:rFonts w:hAnsi="宋体" w:cs="宋体"/>
        </w:rPr>
        <w:outlineLvl w:val="1"/>
      </w:pPr>
      <w:r>
        <w:rPr>
          <w:rFonts w:hint="eastAsia" w:hAnsi="宋体" w:cs="宋体"/>
        </w:rPr>
        <w:t xml:space="preserve">九、我单位无以下不良信用记录情形：</w:t>
      </w:r>
      <w:r/>
    </w:p>
    <w:p>
      <w:pPr>
        <w:pStyle w:val="954"/>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54"/>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54"/>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54"/>
        <w:ind w:firstLine="482"/>
        <w:spacing w:line="360" w:lineRule="auto"/>
        <w:rPr>
          <w:rFonts w:hAnsi="宋体" w:cs="宋体"/>
        </w:rPr>
      </w:pPr>
      <w:r>
        <w:rPr>
          <w:rFonts w:hAnsi="宋体" w:cs="宋体"/>
        </w:rPr>
      </w:r>
      <w:r/>
    </w:p>
    <w:p>
      <w:pPr>
        <w:pStyle w:val="954"/>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54"/>
        <w:ind w:firstLine="482"/>
        <w:spacing w:line="360" w:lineRule="auto"/>
        <w:rPr>
          <w:rFonts w:hAnsi="宋体" w:cs="宋体"/>
        </w:rPr>
      </w:pPr>
      <w:r>
        <w:rPr>
          <w:rFonts w:hAnsi="宋体" w:cs="宋体"/>
        </w:rPr>
      </w:r>
      <w:r/>
    </w:p>
    <w:p>
      <w:pPr>
        <w:pStyle w:val="954"/>
        <w:ind w:firstLine="482"/>
        <w:spacing w:line="360" w:lineRule="auto"/>
        <w:rPr>
          <w:rFonts w:hAnsi="宋体" w:cs="宋体"/>
        </w:rPr>
      </w:pPr>
      <w:r>
        <w:rPr>
          <w:rFonts w:hAnsi="宋体" w:cs="宋体"/>
        </w:rPr>
      </w:r>
      <w:r/>
    </w:p>
    <w:p>
      <w:pPr>
        <w:pStyle w:val="954"/>
        <w:ind w:firstLine="482"/>
        <w:spacing w:line="360" w:lineRule="auto"/>
        <w:rPr>
          <w:rFonts w:hAnsi="宋体" w:cs="宋体"/>
        </w:rPr>
      </w:pPr>
      <w:r>
        <w:rPr>
          <w:rFonts w:hint="eastAsia" w:hAnsi="宋体" w:cs="宋体"/>
        </w:rPr>
        <w:t xml:space="preserve">投标人：（加盖公章）</w:t>
      </w:r>
      <w:r/>
    </w:p>
    <w:p>
      <w:pPr>
        <w:pStyle w:val="954"/>
        <w:ind w:firstLine="482"/>
        <w:spacing w:line="360" w:lineRule="auto"/>
        <w:rPr>
          <w:rFonts w:hAnsi="宋体" w:cs="宋体"/>
        </w:rPr>
      </w:pPr>
      <w:r>
        <w:rPr>
          <w:rFonts w:hint="eastAsia" w:hAnsi="宋体" w:cs="宋体"/>
        </w:rPr>
        <w:t xml:space="preserve">法定代表人（或单位负责人）签字或盖章：</w:t>
      </w:r>
      <w:r/>
    </w:p>
    <w:p>
      <w:pPr>
        <w:pStyle w:val="954"/>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4" w:name="_Toc226337252"/>
      <w:r/>
      <w:bookmarkStart w:id="795" w:name="_Toc150774761"/>
      <w:r/>
      <w:bookmarkStart w:id="796" w:name="_Ref467988698"/>
      <w:r/>
      <w:bookmarkStart w:id="797" w:name="_Toc226965829"/>
      <w:r/>
      <w:bookmarkStart w:id="798" w:name="_Toc480942349"/>
      <w:r/>
      <w:bookmarkStart w:id="799" w:name="_Toc226309800"/>
      <w:r/>
      <w:bookmarkStart w:id="800" w:name="_Toc150480794"/>
      <w:r/>
      <w:bookmarkStart w:id="801" w:name="_Toc226965746"/>
      <w:r/>
      <w:bookmarkStart w:id="802" w:name="_Toc127151556"/>
      <w:r/>
      <w:bookmarkStart w:id="803" w:name="_Toc195842921"/>
      <w:r/>
      <w:bookmarkStart w:id="804" w:name="_Toc142311058"/>
      <w:r/>
      <w:bookmarkStart w:id="805" w:name="_Toc520356217"/>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6" w:name="_Hlt520355938"/>
      <w:r/>
      <w:bookmarkEnd w:id="806"/>
      <w:r/>
      <w:bookmarkStart w:id="807" w:name="_Hlt520356243"/>
      <w:r/>
      <w:bookmarkEnd w:id="807"/>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59"/>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51"/>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8" w:name="_Hlt520350918"/>
      <w:r/>
      <w:bookmarkEnd w:id="808"/>
      <w:r/>
      <w:bookmarkStart w:id="809" w:name="_Hlt520343392"/>
      <w:r/>
      <w:bookmarkEnd w:id="809"/>
      <w:r/>
      <w:bookmarkStart w:id="810" w:name="_Hlt520273711"/>
      <w:r/>
      <w:bookmarkEnd w:id="810"/>
      <w:r/>
      <w:bookmarkStart w:id="811" w:name="_Hlt520274121"/>
      <w:r/>
      <w:bookmarkEnd w:id="811"/>
      <w:r/>
      <w:bookmarkStart w:id="812" w:name="_Hlt520355504"/>
      <w:r/>
      <w:bookmarkEnd w:id="812"/>
      <w:r/>
      <w:bookmarkStart w:id="813" w:name="_Hlt520274393"/>
      <w:r/>
      <w:bookmarkEnd w:id="813"/>
      <w:r/>
      <w:bookmarkStart w:id="814" w:name="_Hlt520274065"/>
      <w:r/>
      <w:bookmarkEnd w:id="814"/>
      <w:r/>
      <w:bookmarkStart w:id="815" w:name="_Hlt520343000"/>
      <w:r/>
      <w:bookmarkEnd w:id="815"/>
      <w:r/>
      <w:bookmarkStart w:id="816" w:name="_Hlt520274407"/>
      <w:r/>
      <w:bookmarkEnd w:id="816"/>
      <w:r/>
      <w:bookmarkStart w:id="817" w:name="_Hlt520271212"/>
      <w:r/>
      <w:bookmarkEnd w:id="817"/>
      <w:r/>
      <w:bookmarkStart w:id="818" w:name="_Toc305158825"/>
      <w:r/>
      <w:bookmarkStart w:id="819" w:name="_Toc195842922"/>
      <w:r/>
      <w:bookmarkStart w:id="820" w:name="_Toc305158899"/>
      <w:r/>
      <w:bookmarkStart w:id="821" w:name="_Toc265228395"/>
      <w:r/>
      <w:bookmarkStart w:id="822" w:name="_Toc520356218"/>
      <w:r/>
      <w:bookmarkStart w:id="823" w:name="_Toc150480795"/>
      <w:r/>
      <w:bookmarkStart w:id="824" w:name="_Toc226965747"/>
      <w:r/>
      <w:bookmarkStart w:id="825" w:name="_Toc264969247"/>
      <w:r/>
      <w:bookmarkStart w:id="826" w:name="_Toc226337253"/>
      <w:r/>
      <w:bookmarkStart w:id="827" w:name="_Toc480942350"/>
      <w:r/>
      <w:bookmarkStart w:id="828" w:name="_Toc142311059"/>
      <w:r/>
      <w:bookmarkStart w:id="829" w:name="_Toc150774762"/>
      <w:r/>
      <w:bookmarkStart w:id="830" w:name="_Toc127151557"/>
      <w:r/>
      <w:bookmarkStart w:id="831" w:name="_Toc226309801"/>
      <w:r/>
      <w:bookmarkStart w:id="832" w:name="_Ref467988705"/>
      <w:r/>
      <w:bookmarkStart w:id="833" w:name="_Toc226965830"/>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4" w:name="_Toc305158826"/>
      <w:r/>
      <w:bookmarkStart w:id="835" w:name="_Toc164608827"/>
      <w:r/>
      <w:bookmarkStart w:id="836" w:name="_Toc226965831"/>
      <w:r/>
      <w:bookmarkStart w:id="837" w:name="_Toc226309802"/>
      <w:r/>
      <w:bookmarkStart w:id="838" w:name="_Toc195842923"/>
      <w:r/>
      <w:bookmarkStart w:id="839" w:name="_Toc226965748"/>
      <w:r/>
      <w:bookmarkStart w:id="840" w:name="_Toc226337254"/>
      <w:r/>
      <w:bookmarkStart w:id="841" w:name="_Toc305158900"/>
      <w:r/>
      <w:bookmarkStart w:id="842" w:name="_Toc164608672"/>
      <w:r/>
      <w:bookmarkStart w:id="843" w:name="_Toc264969248"/>
      <w:r/>
      <w:bookmarkStart w:id="844" w:name="_Toc265228396"/>
      <w:r>
        <w:rPr>
          <w:rFonts w:hint="eastAsia" w:ascii="宋体" w:hAnsi="宋体" w:cs="宋体"/>
          <w:b/>
          <w:sz w:val="28"/>
          <w:szCs w:val="28"/>
        </w:rPr>
        <w:t xml:space="preserve">开标一览表</w:t>
      </w:r>
      <w:bookmarkEnd w:id="834"/>
      <w:r/>
      <w:bookmarkEnd w:id="835"/>
      <w:r/>
      <w:bookmarkEnd w:id="836"/>
      <w:r/>
      <w:bookmarkEnd w:id="837"/>
      <w:r/>
      <w:bookmarkEnd w:id="838"/>
      <w:r/>
      <w:bookmarkEnd w:id="839"/>
      <w:r/>
      <w:bookmarkEnd w:id="840"/>
      <w:r/>
      <w:bookmarkEnd w:id="841"/>
      <w:r/>
      <w:bookmarkEnd w:id="842"/>
      <w:r/>
      <w:bookmarkEnd w:id="843"/>
      <w:r/>
      <w:bookmarkEnd w:id="844"/>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51"/>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rPr>
      </w:pPr>
      <w:r>
        <w:rPr>
          <w:rFonts w:hint="eastAsia" w:ascii="宋体" w:hAnsi="宋体" w:cs="宋体"/>
          <w:color w:val="000000"/>
          <w:sz w:val="24"/>
        </w:rPr>
        <w:t xml:space="preserve">（2）按系统格式填写</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5" w:name="_Toc150774763"/>
      <w:r/>
      <w:bookmarkStart w:id="846" w:name="_Toc305158901"/>
      <w:r/>
      <w:bookmarkStart w:id="847" w:name="_Toc150480796"/>
      <w:r/>
      <w:bookmarkStart w:id="848" w:name="_Toc226309803"/>
      <w:r/>
      <w:bookmarkStart w:id="849" w:name="_Toc226965832"/>
      <w:r/>
      <w:bookmarkStart w:id="850" w:name="_Toc305158827"/>
      <w:r/>
      <w:bookmarkStart w:id="851" w:name="_Toc226965749"/>
      <w:r/>
      <w:bookmarkStart w:id="852" w:name="_Toc195842924"/>
      <w:r/>
      <w:bookmarkStart w:id="853" w:name="_Toc265228397"/>
      <w:r/>
      <w:bookmarkStart w:id="854" w:name="_Toc127151558"/>
      <w:r/>
      <w:bookmarkStart w:id="855" w:name="_Toc264969249"/>
      <w:r/>
      <w:bookmarkStart w:id="856" w:name="_Toc226337255"/>
      <w:r/>
      <w:bookmarkStart w:id="857" w:name="_Toc142311060"/>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default" w:eastAsia="宋体"/>
          <w:b/>
          <w:sz w:val="24"/>
          <w:lang w:val="en-US" w:eastAsia="zh-CN"/>
        </w:rPr>
      </w:pPr>
      <w:r/>
      <w:bookmarkStart w:id="858" w:name="_Toc142311062"/>
      <w:r/>
      <w:bookmarkStart w:id="859" w:name="_Toc195842927"/>
      <w:r/>
      <w:bookmarkStart w:id="860" w:name="_Toc226965752"/>
      <w:r/>
      <w:bookmarkStart w:id="861" w:name="_Toc264969252"/>
      <w:r/>
      <w:bookmarkStart w:id="862" w:name="_Toc150774765"/>
      <w:r/>
      <w:bookmarkStart w:id="863" w:name="_Toc305158830"/>
      <w:r/>
      <w:bookmarkStart w:id="864" w:name="_Toc226309806"/>
      <w:r/>
      <w:bookmarkStart w:id="865" w:name="_Toc226965835"/>
      <w:r/>
      <w:bookmarkStart w:id="866" w:name="_Toc305158904"/>
      <w:r/>
      <w:bookmarkStart w:id="867" w:name="_Toc150480798"/>
      <w:r/>
      <w:bookmarkStart w:id="868" w:name="_Toc127151562"/>
      <w:r/>
      <w:bookmarkStart w:id="869" w:name="_Toc226337258"/>
      <w:r/>
      <w:bookmarkStart w:id="870" w:name="_Toc265228400"/>
      <w:r/>
      <w:bookmarkStart w:id="871" w:name="_Toc150774764"/>
      <w:r/>
      <w:bookmarkStart w:id="872" w:name="_Toc265228399"/>
      <w:r/>
      <w:bookmarkStart w:id="873" w:name="_Toc226965751"/>
      <w:r/>
      <w:bookmarkStart w:id="874" w:name="_Toc150480797"/>
      <w:r/>
      <w:bookmarkStart w:id="875" w:name="_Toc195842926"/>
      <w:r/>
      <w:bookmarkStart w:id="876" w:name="_Toc264969251"/>
      <w:r/>
      <w:bookmarkStart w:id="877" w:name="_Toc226309805"/>
      <w:r/>
      <w:bookmarkStart w:id="878" w:name="_Toc305158903"/>
      <w:r/>
      <w:bookmarkStart w:id="879" w:name="_Toc226337257"/>
      <w:r/>
      <w:bookmarkStart w:id="880" w:name="_Toc127151561"/>
      <w:r/>
      <w:bookmarkStart w:id="881" w:name="_Toc226965834"/>
      <w:r/>
      <w:bookmarkStart w:id="882" w:name="_Toc305158829"/>
      <w:r/>
      <w:bookmarkStart w:id="883" w:name="_Toc142311061"/>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rPr>
        <w:t xml:space="preserve">元</w:t>
      </w:r>
      <w:r>
        <w:rPr>
          <w:rFonts w:hint="eastAsia"/>
          <w:b/>
          <w:sz w:val="24"/>
          <w:lang w:val="en-US" w:eastAsia="zh-CN"/>
        </w:rPr>
        <w:t xml:space="preserve">/三年</w:t>
      </w:r>
      <w:r/>
    </w:p>
    <w:p>
      <w:pPr>
        <w:pStyle w:val="959"/>
      </w:pPr>
      <w:r/>
      <w:r/>
    </w:p>
    <w:tbl>
      <w:tblPr>
        <w:tblStyle w:val="95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bookmarkStart w:id="886" w:name="_GoBack"/>
      <w:r/>
      <w:bookmarkEnd w:id="886"/>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90"/>
          <w:sz w:val="24"/>
        </w:rPr>
        <w:t xml:space="preserve">http://202.106.120.146/baosong/appweb/orgScale.html</w:t>
      </w:r>
      <w:r>
        <w:rPr>
          <w:rStyle w:val="990"/>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95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szCs w:val="24"/>
          <w:highlight w:val="none"/>
        </w:rPr>
      </w:pPr>
      <w:r>
        <w:rPr>
          <w:color w:val="000000"/>
          <w:sz w:val="24"/>
        </w:rPr>
        <w:t xml:space="preserve"> </w:t>
      </w:r>
      <w:r/>
    </w:p>
    <w:p>
      <w:pPr>
        <w:shd w:val="nil" w:color="auto"/>
        <w:rPr>
          <w:color w:val="000000"/>
          <w:sz w:val="24"/>
          <w:szCs w:val="24"/>
        </w:rPr>
      </w:pPr>
      <w:r>
        <w:rPr>
          <w:color w:val="000000"/>
          <w:sz w:val="24"/>
          <w:szCs w:val="24"/>
        </w:rPr>
        <w:br w:type="page" w:clear="all"/>
      </w:r>
      <w:r>
        <w:rPr>
          <w:color w:val="000000"/>
          <w:sz w:val="24"/>
          <w:szCs w:val="24"/>
        </w:rPr>
      </w:r>
      <w:r/>
    </w:p>
    <w:p>
      <w:pPr>
        <w:ind w:firstLine="482"/>
        <w:spacing w:before="319" w:after="319" w:line="360" w:lineRule="auto"/>
        <w:rPr>
          <w:color w:val="000000"/>
          <w:sz w:val="24"/>
          <w:szCs w:val="24"/>
        </w:rPr>
      </w:pPr>
      <w:r>
        <w:rPr>
          <w:color w:val="000000"/>
          <w:sz w:val="24"/>
          <w:highlight w:val="none"/>
        </w:rPr>
      </w:r>
      <w:r>
        <w:rPr>
          <w:color w:val="000000"/>
          <w:sz w:val="24"/>
          <w:highlight w:val="none"/>
        </w:rPr>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5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4" w:name="_Toc288738397"/>
      <w:r/>
      <w:bookmarkStart w:id="885" w:name="_Toc288738839"/>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4"/>
      <w:r/>
      <w:bookmarkEnd w:id="885"/>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5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b/>
          <w:color w:val="000000"/>
          <w:sz w:val="24"/>
        </w:rPr>
      </w:pPr>
      <w:r>
        <w:rPr>
          <w:rFonts w:hint="eastAsia" w:ascii="宋体" w:hAnsi="宋体" w:cs="宋体"/>
          <w:color w:val="000000"/>
          <w:sz w:val="24"/>
          <w:szCs w:val="20"/>
        </w:rPr>
        <w:br w:type="page" w:clear="all"/>
      </w:r>
      <w:r/>
    </w:p>
    <w:p>
      <w:pPr>
        <w:rPr>
          <w:rFonts w:ascii="宋体" w:hAnsi="宋体" w:cs="宋体"/>
          <w:color w:val="000000"/>
          <w:sz w:val="24"/>
          <w:szCs w:val="20"/>
        </w:rPr>
      </w:pPr>
      <w:r>
        <w:rPr>
          <w:rFonts w:hint="eastAsia" w:ascii="宋体" w:hAnsi="宋体" w:cs="宋体"/>
          <w:color w:val="000000"/>
          <w:sz w:val="24"/>
          <w:szCs w:val="20"/>
        </w:rPr>
        <w:t xml:space="preserve">12 承诺函</w:t>
      </w:r>
      <w:r/>
    </w:p>
    <w:p>
      <w:pPr>
        <w:rPr>
          <w:rFonts w:ascii="宋体" w:hAnsi="宋体" w:cs="宋体"/>
          <w:color w:val="000000"/>
          <w:sz w:val="24"/>
          <w:szCs w:val="20"/>
        </w:rPr>
      </w:pPr>
      <w:r>
        <w:rPr>
          <w:rFonts w:ascii="宋体" w:hAnsi="宋体" w:cs="宋体"/>
          <w:color w:val="000000"/>
          <w:sz w:val="24"/>
          <w:szCs w:val="20"/>
        </w:rPr>
      </w:r>
      <w:r/>
    </w:p>
    <w:p>
      <w:pPr>
        <w:rPr>
          <w:rFonts w:ascii="宋体" w:hAnsi="宋体" w:cs="宋体"/>
          <w:color w:val="000000"/>
          <w:sz w:val="24"/>
          <w:szCs w:val="20"/>
        </w:rPr>
      </w:pPr>
      <w:r>
        <w:rPr>
          <w:rFonts w:ascii="宋体" w:hAnsi="宋体" w:cs="宋体"/>
          <w:color w:val="000000"/>
          <w:sz w:val="24"/>
          <w:szCs w:val="20"/>
        </w:rPr>
      </w:r>
      <w:r/>
    </w:p>
    <w:p>
      <w:pPr>
        <w:jc w:val="center"/>
        <w:rPr>
          <w:rFonts w:ascii="宋体" w:hAnsi="宋体" w:cs="宋体"/>
          <w:color w:val="000000"/>
          <w:sz w:val="24"/>
          <w:szCs w:val="20"/>
        </w:rPr>
      </w:pPr>
      <w:r>
        <w:rPr>
          <w:rFonts w:hint="eastAsia" w:ascii="宋体" w:hAnsi="宋体" w:cs="宋体"/>
          <w:color w:val="000000"/>
          <w:sz w:val="24"/>
          <w:szCs w:val="20"/>
        </w:rPr>
        <w:t xml:space="preserve">承诺函</w:t>
      </w:r>
      <w:r/>
    </w:p>
    <w:p>
      <w:pPr>
        <w:jc w:val="center"/>
        <w:rPr>
          <w:rFonts w:ascii="宋体" w:hAnsi="宋体" w:cs="宋体"/>
          <w:color w:val="000000"/>
          <w:sz w:val="24"/>
          <w:szCs w:val="20"/>
        </w:rPr>
      </w:pPr>
      <w:r>
        <w:rPr>
          <w:rFonts w:ascii="宋体" w:hAnsi="宋体" w:cs="宋体"/>
          <w:color w:val="000000"/>
          <w:sz w:val="24"/>
          <w:szCs w:val="20"/>
        </w:rPr>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rPr>
          <w:rFonts w:ascii="宋体" w:hAnsi="宋体" w:cs="宋体"/>
          <w:color w:val="000000"/>
          <w:sz w:val="24"/>
          <w:szCs w:val="20"/>
        </w:rPr>
      </w:pPr>
      <w:r>
        <w:rPr>
          <w:rFonts w:ascii="宋体" w:hAnsi="宋体" w:cs="宋体"/>
          <w:color w:val="000000"/>
          <w:sz w:val="24"/>
          <w:szCs w:val="20"/>
        </w:rPr>
      </w:r>
      <w:r/>
    </w:p>
    <w:p>
      <w:pPr>
        <w:jc w:val="center"/>
        <w:rPr>
          <w:rFonts w:ascii="宋体" w:hAnsi="宋体" w:cs="宋体"/>
          <w:color w:val="000000"/>
          <w:sz w:val="24"/>
          <w:szCs w:val="20"/>
        </w:rPr>
      </w:pPr>
      <w:r>
        <w:rPr>
          <w:rFonts w:ascii="宋体" w:hAnsi="宋体" w:cs="宋体"/>
          <w:color w:val="000000"/>
          <w:sz w:val="24"/>
          <w:szCs w:val="20"/>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我方承诺：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污水处理站运维服务进场实施前，我方将足额提供驻场值守人员对应的与项目需求相关的证书供采购人审查，并按规范要求配齐各类应急救援器材、安全防护装备及相关应急物资，确保满足现场运维及应急处置全流程需求。</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jc w:val="right"/>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jc w:val="right"/>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ascii="宋体" w:hAnsi="宋体" w:cs="宋体"/>
          <w:color w:val="000000"/>
          <w:sz w:val="24"/>
          <w:szCs w:val="20"/>
        </w:rPr>
      </w:pPr>
      <w:r>
        <w:rPr>
          <w:rFonts w:ascii="宋体" w:hAnsi="宋体" w:cs="宋体"/>
          <w:color w:val="000000"/>
          <w:sz w:val="24"/>
          <w:szCs w:val="20"/>
        </w:rPr>
      </w:r>
      <w:r/>
    </w:p>
    <w:p>
      <w:pPr>
        <w:rPr>
          <w:rFonts w:ascii="宋体" w:hAnsi="宋体" w:cs="宋体"/>
          <w:color w:val="000000"/>
          <w:sz w:val="24"/>
          <w:szCs w:val="20"/>
        </w:rPr>
      </w:pPr>
      <w:r>
        <w:rPr>
          <w:rFonts w:hint="eastAsia" w:ascii="宋体" w:hAnsi="宋体" w:cs="宋体"/>
          <w:color w:val="000000"/>
          <w:sz w:val="24"/>
          <w:szCs w:val="20"/>
        </w:rPr>
        <w:br w:type="page" w:clear="all"/>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13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9"/>
      <w:headerReference w:type="first" r:id="rId10"/>
      <w:footerReference w:type="default" r:id="rId12"/>
      <w:footerReference w:type="even" r:id="rId13"/>
      <w:footerReference w:type="first" r:id="rId14"/>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p>
  <w:p>
    <w:pPr>
      <w:pStyle w:val="97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jc w:val="right"/>
                          </w:pPr>
                          <w:r>
                            <w:fldChar w:fldCharType="begin"/>
                          </w:r>
                          <w:r>
                            <w:instrText xml:space="preserve"> PAGE  \* MERGEFORMAT </w:instrText>
                          </w:r>
                          <w:r>
                            <w:fldChar w:fldCharType="separate"/>
                          </w:r>
                          <w:r>
                            <w:t xml:space="preserve">42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jc w:val="right"/>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361"/>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p>
  <w:p>
    <w:pPr>
      <w:pStyle w:val="970"/>
      <w:ind w:right="360" w:firstLine="361"/>
    </w:pPr>
    <w:r/>
    <w:r/>
  </w:p>
  <w:p>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1"/>
    </w:pPr>
    <w:r/>
    <w:r/>
  </w:p>
  <w:p>
    <w:r/>
    <w:r/>
  </w:p>
  <w:p>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9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04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49"/>
      <w:isLgl w:val="false"/>
      <w:suff w:val="tab"/>
      <w:lvlText w:val="%1"/>
      <w:lvlJc w:val="left"/>
      <w:pPr>
        <w:ind w:left="680" w:hanging="680"/>
      </w:pPr>
      <w:rPr>
        <w:rFonts w:hint="eastAsia" w:ascii="宋体" w:hAnsi="宋体" w:eastAsia="宋体"/>
      </w:rPr>
    </w:lvl>
    <w:lvl w:ilvl="1">
      <w:start w:val="1"/>
      <w:numFmt w:val="decimal"/>
      <w:pStyle w:val="1150"/>
      <w:isLgl w:val="false"/>
      <w:suff w:val="tab"/>
      <w:lvlText w:val="%1.%2"/>
      <w:lvlJc w:val="left"/>
      <w:pPr>
        <w:ind w:left="851" w:hanging="851"/>
      </w:pPr>
      <w:rPr>
        <w:rFonts w:hint="eastAsia" w:ascii="宋体" w:hAnsi="宋体" w:eastAsia="宋体"/>
        <w:color w:val="auto"/>
      </w:rPr>
    </w:lvl>
    <w:lvl w:ilvl="2">
      <w:start w:val="1"/>
      <w:numFmt w:val="decimal"/>
      <w:pStyle w:val="115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11"/>
  </w:num>
  <w:num w:numId="11">
    <w:abstractNumId w:val="1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0"/>
    <w:link w:val="941"/>
    <w:uiPriority w:val="9"/>
    <w:rPr>
      <w:rFonts w:ascii="Arial" w:hAnsi="Arial" w:eastAsia="Arial" w:cs="Arial"/>
      <w:sz w:val="40"/>
      <w:szCs w:val="40"/>
    </w:rPr>
  </w:style>
  <w:style w:type="character" w:styleId="789">
    <w:name w:val="Heading 2 Char"/>
    <w:basedOn w:val="950"/>
    <w:link w:val="942"/>
    <w:uiPriority w:val="9"/>
    <w:rPr>
      <w:rFonts w:ascii="Arial" w:hAnsi="Arial" w:eastAsia="Arial" w:cs="Arial"/>
      <w:sz w:val="34"/>
    </w:rPr>
  </w:style>
  <w:style w:type="character" w:styleId="790">
    <w:name w:val="Heading 3 Char"/>
    <w:basedOn w:val="950"/>
    <w:link w:val="943"/>
    <w:uiPriority w:val="9"/>
    <w:rPr>
      <w:rFonts w:ascii="Arial" w:hAnsi="Arial" w:eastAsia="Arial" w:cs="Arial"/>
      <w:sz w:val="30"/>
      <w:szCs w:val="30"/>
    </w:rPr>
  </w:style>
  <w:style w:type="character" w:styleId="791">
    <w:name w:val="Heading 4 Char"/>
    <w:basedOn w:val="950"/>
    <w:link w:val="944"/>
    <w:uiPriority w:val="9"/>
    <w:rPr>
      <w:rFonts w:ascii="Arial" w:hAnsi="Arial" w:eastAsia="Arial" w:cs="Arial"/>
      <w:b/>
      <w:bCs/>
      <w:sz w:val="26"/>
      <w:szCs w:val="26"/>
    </w:rPr>
  </w:style>
  <w:style w:type="character" w:styleId="792">
    <w:name w:val="Heading 5 Char"/>
    <w:basedOn w:val="950"/>
    <w:link w:val="945"/>
    <w:uiPriority w:val="9"/>
    <w:rPr>
      <w:rFonts w:ascii="Arial" w:hAnsi="Arial" w:eastAsia="Arial" w:cs="Arial"/>
      <w:b/>
      <w:bCs/>
      <w:sz w:val="24"/>
      <w:szCs w:val="24"/>
    </w:rPr>
  </w:style>
  <w:style w:type="character" w:styleId="793">
    <w:name w:val="Heading 6 Char"/>
    <w:basedOn w:val="950"/>
    <w:link w:val="946"/>
    <w:uiPriority w:val="9"/>
    <w:rPr>
      <w:rFonts w:ascii="Arial" w:hAnsi="Arial" w:eastAsia="Arial" w:cs="Arial"/>
      <w:b/>
      <w:bCs/>
      <w:sz w:val="22"/>
      <w:szCs w:val="22"/>
    </w:rPr>
  </w:style>
  <w:style w:type="character" w:styleId="794">
    <w:name w:val="Heading 7 Char"/>
    <w:basedOn w:val="950"/>
    <w:link w:val="947"/>
    <w:uiPriority w:val="9"/>
    <w:rPr>
      <w:rFonts w:ascii="Arial" w:hAnsi="Arial" w:eastAsia="Arial" w:cs="Arial"/>
      <w:b/>
      <w:bCs/>
      <w:i/>
      <w:iCs/>
      <w:sz w:val="22"/>
      <w:szCs w:val="22"/>
    </w:rPr>
  </w:style>
  <w:style w:type="character" w:styleId="795">
    <w:name w:val="Heading 8 Char"/>
    <w:basedOn w:val="950"/>
    <w:link w:val="948"/>
    <w:uiPriority w:val="9"/>
    <w:rPr>
      <w:rFonts w:ascii="Arial" w:hAnsi="Arial" w:eastAsia="Arial" w:cs="Arial"/>
      <w:i/>
      <w:iCs/>
      <w:sz w:val="22"/>
      <w:szCs w:val="22"/>
    </w:rPr>
  </w:style>
  <w:style w:type="character" w:styleId="796">
    <w:name w:val="Heading 9 Char"/>
    <w:basedOn w:val="950"/>
    <w:link w:val="949"/>
    <w:uiPriority w:val="9"/>
    <w:rPr>
      <w:rFonts w:ascii="Arial" w:hAnsi="Arial" w:eastAsia="Arial" w:cs="Arial"/>
      <w:i/>
      <w:iCs/>
      <w:sz w:val="21"/>
      <w:szCs w:val="21"/>
    </w:rPr>
  </w:style>
  <w:style w:type="character" w:styleId="797">
    <w:name w:val="Title Char"/>
    <w:basedOn w:val="950"/>
    <w:link w:val="981"/>
    <w:uiPriority w:val="10"/>
    <w:rPr>
      <w:sz w:val="48"/>
      <w:szCs w:val="48"/>
    </w:rPr>
  </w:style>
  <w:style w:type="paragraph" w:styleId="798">
    <w:name w:val="Subtitle"/>
    <w:basedOn w:val="940"/>
    <w:next w:val="940"/>
    <w:link w:val="799"/>
    <w:uiPriority w:val="11"/>
    <w:qFormat/>
    <w:pPr>
      <w:spacing w:before="200" w:after="200"/>
    </w:pPr>
    <w:rPr>
      <w:sz w:val="24"/>
      <w:szCs w:val="24"/>
    </w:rPr>
  </w:style>
  <w:style w:type="character" w:styleId="799">
    <w:name w:val="Subtitle Char"/>
    <w:basedOn w:val="950"/>
    <w:link w:val="798"/>
    <w:uiPriority w:val="11"/>
    <w:rPr>
      <w:sz w:val="24"/>
      <w:szCs w:val="24"/>
    </w:rPr>
  </w:style>
  <w:style w:type="paragraph" w:styleId="800">
    <w:name w:val="Quote"/>
    <w:basedOn w:val="940"/>
    <w:next w:val="940"/>
    <w:link w:val="801"/>
    <w:uiPriority w:val="29"/>
    <w:qFormat/>
    <w:pPr>
      <w:ind w:left="720" w:right="720"/>
    </w:pPr>
    <w:rPr>
      <w:i/>
    </w:rPr>
  </w:style>
  <w:style w:type="character" w:styleId="801">
    <w:name w:val="Quote Char"/>
    <w:link w:val="800"/>
    <w:uiPriority w:val="29"/>
    <w:rPr>
      <w:i/>
    </w:rPr>
  </w:style>
  <w:style w:type="paragraph" w:styleId="802">
    <w:name w:val="Intense Quote"/>
    <w:basedOn w:val="940"/>
    <w:next w:val="94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0"/>
    <w:link w:val="971"/>
    <w:uiPriority w:val="99"/>
  </w:style>
  <w:style w:type="character" w:styleId="805">
    <w:name w:val="Footer Char"/>
    <w:basedOn w:val="950"/>
    <w:link w:val="970"/>
    <w:uiPriority w:val="99"/>
  </w:style>
  <w:style w:type="character" w:styleId="806">
    <w:name w:val="Caption Char"/>
    <w:basedOn w:val="955"/>
    <w:link w:val="970"/>
    <w:uiPriority w:val="99"/>
  </w:style>
  <w:style w:type="table" w:styleId="807">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50"/>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0"/>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52"/>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Heading 1"/>
    <w:basedOn w:val="940"/>
    <w:next w:val="940"/>
    <w:link w:val="994"/>
    <w:uiPriority w:val="0"/>
    <w:qFormat/>
    <w:pPr>
      <w:jc w:val="center"/>
      <w:keepLines/>
      <w:keepNext/>
      <w:spacing w:before="240" w:after="120" w:line="300" w:lineRule="auto"/>
      <w:outlineLvl w:val="0"/>
    </w:pPr>
    <w:rPr>
      <w:rFonts w:ascii="宋体"/>
      <w:b/>
      <w:sz w:val="32"/>
      <w:szCs w:val="20"/>
    </w:rPr>
  </w:style>
  <w:style w:type="paragraph" w:styleId="942">
    <w:name w:val="Heading 2"/>
    <w:basedOn w:val="940"/>
    <w:next w:val="940"/>
    <w:link w:val="995"/>
    <w:uiPriority w:val="0"/>
    <w:qFormat/>
    <w:pPr>
      <w:jc w:val="center"/>
      <w:keepLines/>
      <w:keepNext/>
      <w:spacing w:before="120" w:line="300" w:lineRule="auto"/>
      <w:outlineLvl w:val="1"/>
    </w:pPr>
    <w:rPr>
      <w:rFonts w:ascii="Arial" w:hAnsi="Arial" w:eastAsia="黑体"/>
      <w:b/>
      <w:sz w:val="30"/>
      <w:szCs w:val="20"/>
    </w:rPr>
  </w:style>
  <w:style w:type="paragraph" w:styleId="943">
    <w:name w:val="Heading 3"/>
    <w:basedOn w:val="940"/>
    <w:next w:val="940"/>
    <w:link w:val="997"/>
    <w:uiPriority w:val="0"/>
    <w:qFormat/>
    <w:pPr>
      <w:jc w:val="left"/>
      <w:keepLines/>
      <w:keepNext/>
      <w:spacing w:before="360" w:after="120"/>
      <w:outlineLvl w:val="2"/>
    </w:pPr>
    <w:rPr>
      <w:rFonts w:ascii="宋体"/>
      <w:b/>
      <w:sz w:val="24"/>
      <w:szCs w:val="20"/>
      <w:u w:val="single"/>
    </w:rPr>
  </w:style>
  <w:style w:type="paragraph" w:styleId="944">
    <w:name w:val="Heading 4"/>
    <w:basedOn w:val="940"/>
    <w:next w:val="940"/>
    <w:link w:val="998"/>
    <w:uiPriority w:val="0"/>
    <w:qFormat/>
    <w:pPr>
      <w:keepLines/>
      <w:keepNext/>
      <w:spacing w:before="280" w:after="290" w:line="376" w:lineRule="atLeast"/>
      <w:outlineLvl w:val="3"/>
    </w:pPr>
    <w:rPr>
      <w:rFonts w:ascii="Arial" w:hAnsi="Arial" w:eastAsia="黑体"/>
      <w:b/>
      <w:sz w:val="28"/>
      <w:szCs w:val="20"/>
    </w:rPr>
  </w:style>
  <w:style w:type="paragraph" w:styleId="945">
    <w:name w:val="Heading 5"/>
    <w:basedOn w:val="940"/>
    <w:next w:val="940"/>
    <w:link w:val="999"/>
    <w:uiPriority w:val="0"/>
    <w:qFormat/>
    <w:pPr>
      <w:keepLines/>
      <w:keepNext/>
      <w:spacing w:before="280" w:after="290" w:line="376" w:lineRule="atLeast"/>
      <w:outlineLvl w:val="4"/>
    </w:pPr>
    <w:rPr>
      <w:b/>
      <w:sz w:val="28"/>
      <w:szCs w:val="20"/>
    </w:rPr>
  </w:style>
  <w:style w:type="paragraph" w:styleId="946">
    <w:name w:val="Heading 6"/>
    <w:basedOn w:val="940"/>
    <w:next w:val="940"/>
    <w:link w:val="1000"/>
    <w:uiPriority w:val="0"/>
    <w:qFormat/>
    <w:pPr>
      <w:keepLines/>
      <w:keepNext/>
      <w:spacing w:before="240" w:after="64" w:line="320" w:lineRule="atLeast"/>
      <w:outlineLvl w:val="5"/>
    </w:pPr>
    <w:rPr>
      <w:rFonts w:ascii="Arial" w:hAnsi="Arial" w:eastAsia="黑体"/>
      <w:b/>
      <w:sz w:val="24"/>
      <w:szCs w:val="20"/>
    </w:rPr>
  </w:style>
  <w:style w:type="paragraph" w:styleId="947">
    <w:name w:val="Heading 7"/>
    <w:basedOn w:val="940"/>
    <w:next w:val="940"/>
    <w:link w:val="1001"/>
    <w:uiPriority w:val="0"/>
    <w:qFormat/>
    <w:pPr>
      <w:keepLines/>
      <w:keepNext/>
      <w:spacing w:before="240" w:after="64" w:line="320" w:lineRule="atLeast"/>
      <w:outlineLvl w:val="6"/>
    </w:pPr>
    <w:rPr>
      <w:b/>
      <w:sz w:val="24"/>
      <w:szCs w:val="20"/>
    </w:rPr>
  </w:style>
  <w:style w:type="paragraph" w:styleId="948">
    <w:name w:val="Heading 8"/>
    <w:basedOn w:val="940"/>
    <w:next w:val="940"/>
    <w:link w:val="1002"/>
    <w:uiPriority w:val="0"/>
    <w:qFormat/>
    <w:pPr>
      <w:keepLines/>
      <w:keepNext/>
      <w:spacing w:before="240" w:after="64" w:line="320" w:lineRule="atLeast"/>
      <w:outlineLvl w:val="7"/>
    </w:pPr>
    <w:rPr>
      <w:rFonts w:ascii="Arial" w:hAnsi="Arial" w:eastAsia="黑体"/>
      <w:sz w:val="24"/>
      <w:szCs w:val="20"/>
    </w:rPr>
  </w:style>
  <w:style w:type="paragraph" w:styleId="949">
    <w:name w:val="Heading 9"/>
    <w:basedOn w:val="940"/>
    <w:next w:val="940"/>
    <w:link w:val="1003"/>
    <w:uiPriority w:val="0"/>
    <w:qFormat/>
    <w:pPr>
      <w:keepLines/>
      <w:keepNext/>
      <w:spacing w:before="240" w:after="64" w:line="320" w:lineRule="atLeast"/>
      <w:outlineLvl w:val="8"/>
    </w:pPr>
    <w:rPr>
      <w:rFonts w:ascii="Arial" w:hAnsi="Arial" w:eastAsia="黑体"/>
      <w:szCs w:val="20"/>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customStyle="1">
    <w:name w:val="标题 31"/>
    <w:basedOn w:val="940"/>
    <w:next w:val="940"/>
    <w:uiPriority w:val="0"/>
    <w:qFormat/>
    <w:pPr>
      <w:jc w:val="left"/>
      <w:keepLines/>
      <w:keepNext/>
      <w:spacing w:before="360" w:after="120"/>
      <w:outlineLvl w:val="2"/>
    </w:pPr>
    <w:rPr>
      <w:rFonts w:ascii="宋体"/>
      <w:b/>
      <w:sz w:val="24"/>
      <w:szCs w:val="20"/>
      <w:u w:val="single"/>
    </w:rPr>
  </w:style>
  <w:style w:type="paragraph" w:styleId="953">
    <w:name w:val="toc 7"/>
    <w:basedOn w:val="940"/>
    <w:next w:val="940"/>
    <w:uiPriority w:val="0"/>
    <w:qFormat/>
    <w:pPr>
      <w:ind w:left="2520"/>
    </w:pPr>
  </w:style>
  <w:style w:type="paragraph" w:styleId="954">
    <w:name w:val="Normal Indent"/>
    <w:basedOn w:val="940"/>
    <w:next w:val="940"/>
    <w:link w:val="996"/>
    <w:uiPriority w:val="0"/>
    <w:qFormat/>
    <w:pPr>
      <w:ind w:firstLine="420"/>
      <w:jc w:val="left"/>
    </w:pPr>
    <w:rPr>
      <w:rFonts w:ascii="宋体"/>
      <w:sz w:val="24"/>
    </w:rPr>
  </w:style>
  <w:style w:type="paragraph" w:styleId="955">
    <w:name w:val="Caption"/>
    <w:basedOn w:val="940"/>
    <w:next w:val="940"/>
    <w:uiPriority w:val="0"/>
    <w:qFormat/>
    <w:pPr>
      <w:spacing w:line="480" w:lineRule="auto"/>
    </w:pPr>
    <w:rPr>
      <w:rFonts w:ascii="华文中宋" w:hAnsi="华文中宋" w:eastAsia="华文中宋"/>
      <w:sz w:val="36"/>
      <w:szCs w:val="20"/>
    </w:rPr>
  </w:style>
  <w:style w:type="paragraph" w:styleId="956">
    <w:name w:val="Document Map"/>
    <w:basedOn w:val="940"/>
    <w:link w:val="1004"/>
    <w:uiPriority w:val="0"/>
    <w:qFormat/>
    <w:pPr>
      <w:shd w:val="clear" w:color="auto" w:fill="000080"/>
    </w:pPr>
  </w:style>
  <w:style w:type="paragraph" w:styleId="957">
    <w:name w:val="annotation text"/>
    <w:basedOn w:val="940"/>
    <w:link w:val="1005"/>
    <w:uiPriority w:val="99"/>
    <w:qFormat/>
    <w:pPr>
      <w:jc w:val="left"/>
    </w:pPr>
  </w:style>
  <w:style w:type="paragraph" w:styleId="958">
    <w:name w:val="Body Text 3"/>
    <w:basedOn w:val="940"/>
    <w:link w:val="1006"/>
    <w:uiPriority w:val="0"/>
    <w:qFormat/>
    <w:pPr>
      <w:spacing w:after="120"/>
    </w:pPr>
    <w:rPr>
      <w:sz w:val="16"/>
      <w:szCs w:val="16"/>
    </w:rPr>
  </w:style>
  <w:style w:type="paragraph" w:styleId="959">
    <w:name w:val="Body Text"/>
    <w:basedOn w:val="940"/>
    <w:link w:val="1007"/>
    <w:uiPriority w:val="0"/>
    <w:qFormat/>
    <w:pPr>
      <w:spacing w:before="120" w:line="22" w:lineRule="atLeast"/>
      <w:tabs>
        <w:tab w:val="left" w:pos="567" w:leader="none"/>
      </w:tabs>
    </w:pPr>
    <w:rPr>
      <w:rFonts w:ascii="宋体" w:hAnsi="宋体"/>
      <w:sz w:val="24"/>
    </w:rPr>
  </w:style>
  <w:style w:type="paragraph" w:styleId="960">
    <w:name w:val="Body Text Indent"/>
    <w:basedOn w:val="940"/>
    <w:link w:val="1008"/>
    <w:uiPriority w:val="0"/>
    <w:qFormat/>
    <w:pPr>
      <w:ind w:firstLine="570"/>
      <w:spacing w:line="360" w:lineRule="auto"/>
    </w:pPr>
    <w:rPr>
      <w:sz w:val="24"/>
    </w:rPr>
  </w:style>
  <w:style w:type="paragraph" w:styleId="961">
    <w:name w:val="List 2"/>
    <w:basedOn w:val="940"/>
    <w:uiPriority w:val="0"/>
    <w:qFormat/>
    <w:pPr>
      <w:ind w:left="100" w:hanging="200"/>
    </w:pPr>
  </w:style>
  <w:style w:type="paragraph" w:styleId="962">
    <w:name w:val="Block Text"/>
    <w:basedOn w:val="940"/>
    <w:uiPriority w:val="0"/>
    <w:qFormat/>
    <w:pPr>
      <w:ind w:left="480" w:right="-341" w:firstLine="513"/>
      <w:widowControl/>
    </w:pPr>
    <w:rPr>
      <w:sz w:val="24"/>
      <w:szCs w:val="20"/>
    </w:rPr>
  </w:style>
  <w:style w:type="paragraph" w:styleId="963">
    <w:name w:val="toc 5"/>
    <w:basedOn w:val="940"/>
    <w:next w:val="940"/>
    <w:uiPriority w:val="0"/>
    <w:qFormat/>
    <w:pPr>
      <w:ind w:left="1680"/>
    </w:pPr>
  </w:style>
  <w:style w:type="paragraph" w:styleId="964">
    <w:name w:val="toc 3"/>
    <w:basedOn w:val="940"/>
    <w:next w:val="940"/>
    <w:uiPriority w:val="39"/>
    <w:qFormat/>
    <w:pPr>
      <w:ind w:left="840"/>
    </w:pPr>
  </w:style>
  <w:style w:type="paragraph" w:styleId="965">
    <w:name w:val="Plain Text"/>
    <w:basedOn w:val="940"/>
    <w:next w:val="954"/>
    <w:link w:val="1009"/>
    <w:uiPriority w:val="0"/>
    <w:qFormat/>
    <w:rPr>
      <w:rFonts w:hint="eastAsia" w:ascii="宋体" w:hAnsi="Courier New"/>
      <w:szCs w:val="20"/>
    </w:rPr>
  </w:style>
  <w:style w:type="paragraph" w:styleId="966">
    <w:name w:val="toc 8"/>
    <w:basedOn w:val="940"/>
    <w:next w:val="940"/>
    <w:uiPriority w:val="0"/>
    <w:qFormat/>
    <w:pPr>
      <w:ind w:left="2940"/>
    </w:pPr>
  </w:style>
  <w:style w:type="paragraph" w:styleId="967">
    <w:name w:val="Date"/>
    <w:basedOn w:val="940"/>
    <w:next w:val="940"/>
    <w:link w:val="1010"/>
    <w:uiPriority w:val="0"/>
    <w:qFormat/>
    <w:pPr>
      <w:ind w:left="100"/>
    </w:pPr>
    <w:rPr>
      <w:rFonts w:ascii="仿宋_GB2312" w:hAnsi="宋体" w:eastAsia="仿宋_GB2312"/>
      <w:color w:val="000000"/>
      <w:sz w:val="24"/>
    </w:rPr>
  </w:style>
  <w:style w:type="paragraph" w:styleId="968">
    <w:name w:val="Body Text Indent 2"/>
    <w:basedOn w:val="940"/>
    <w:link w:val="1011"/>
    <w:uiPriority w:val="0"/>
    <w:qFormat/>
    <w:pPr>
      <w:ind w:firstLine="480"/>
    </w:pPr>
    <w:rPr>
      <w:rFonts w:ascii="仿宋_GB2312" w:eastAsia="仿宋_GB2312"/>
      <w:sz w:val="24"/>
    </w:rPr>
  </w:style>
  <w:style w:type="paragraph" w:styleId="969">
    <w:name w:val="Balloon Text"/>
    <w:basedOn w:val="940"/>
    <w:link w:val="1012"/>
    <w:uiPriority w:val="0"/>
    <w:qFormat/>
    <w:rPr>
      <w:sz w:val="18"/>
      <w:szCs w:val="18"/>
    </w:rPr>
  </w:style>
  <w:style w:type="paragraph" w:styleId="970">
    <w:name w:val="Footer"/>
    <w:basedOn w:val="940"/>
    <w:link w:val="1013"/>
    <w:uiPriority w:val="99"/>
    <w:qFormat/>
    <w:pPr>
      <w:jc w:val="left"/>
      <w:tabs>
        <w:tab w:val="center" w:pos="4153" w:leader="none"/>
        <w:tab w:val="right" w:pos="8306" w:leader="none"/>
      </w:tabs>
    </w:pPr>
    <w:rPr>
      <w:rFonts w:ascii="宋体"/>
      <w:sz w:val="18"/>
      <w:szCs w:val="20"/>
    </w:rPr>
  </w:style>
  <w:style w:type="paragraph" w:styleId="971">
    <w:name w:val="Header"/>
    <w:basedOn w:val="940"/>
    <w:link w:val="1014"/>
    <w:uiPriority w:val="0"/>
    <w:qFormat/>
    <w:pPr>
      <w:jc w:val="center"/>
      <w:tabs>
        <w:tab w:val="center" w:pos="4153" w:leader="none"/>
        <w:tab w:val="right" w:pos="8306" w:leader="none"/>
      </w:tabs>
      <w:pBdr>
        <w:bottom w:val="single" w:color="auto" w:sz="6" w:space="1"/>
      </w:pBdr>
    </w:pPr>
    <w:rPr>
      <w:sz w:val="18"/>
      <w:szCs w:val="18"/>
    </w:rPr>
  </w:style>
  <w:style w:type="paragraph" w:styleId="972">
    <w:name w:val="toc 1"/>
    <w:basedOn w:val="940"/>
    <w:next w:val="940"/>
    <w:uiPriority w:val="39"/>
    <w:qFormat/>
    <w:pPr>
      <w:spacing w:line="300" w:lineRule="auto"/>
      <w:tabs>
        <w:tab w:val="left" w:pos="1050" w:leader="none"/>
        <w:tab w:val="right" w:pos="8937" w:leader="dot"/>
      </w:tabs>
    </w:pPr>
    <w:rPr>
      <w:rFonts w:ascii="宋体" w:hAnsi="宋体"/>
      <w:b/>
      <w:sz w:val="24"/>
    </w:rPr>
  </w:style>
  <w:style w:type="paragraph" w:styleId="973">
    <w:name w:val="toc 4"/>
    <w:basedOn w:val="940"/>
    <w:next w:val="940"/>
    <w:uiPriority w:val="0"/>
    <w:qFormat/>
    <w:pPr>
      <w:ind w:left="1260"/>
    </w:pPr>
  </w:style>
  <w:style w:type="paragraph" w:styleId="974">
    <w:name w:val="toc 6"/>
    <w:basedOn w:val="940"/>
    <w:next w:val="940"/>
    <w:uiPriority w:val="0"/>
    <w:qFormat/>
    <w:pPr>
      <w:ind w:left="2100"/>
    </w:pPr>
  </w:style>
  <w:style w:type="paragraph" w:styleId="975">
    <w:name w:val="Body Text Indent 3"/>
    <w:basedOn w:val="940"/>
    <w:link w:val="1015"/>
    <w:uiPriority w:val="0"/>
    <w:qFormat/>
    <w:pPr>
      <w:ind w:left="720" w:firstLine="480"/>
      <w:jc w:val="left"/>
      <w:spacing w:before="120" w:line="22" w:lineRule="atLeast"/>
    </w:pPr>
    <w:rPr>
      <w:rFonts w:ascii="宋体"/>
      <w:sz w:val="24"/>
      <w:szCs w:val="20"/>
    </w:rPr>
  </w:style>
  <w:style w:type="paragraph" w:styleId="976">
    <w:name w:val="toc 2"/>
    <w:basedOn w:val="940"/>
    <w:next w:val="940"/>
    <w:uiPriority w:val="39"/>
    <w:qFormat/>
    <w:pPr>
      <w:ind w:left="420"/>
      <w:spacing w:line="312" w:lineRule="auto"/>
      <w:tabs>
        <w:tab w:val="right" w:pos="8937" w:leader="dot"/>
      </w:tabs>
    </w:pPr>
  </w:style>
  <w:style w:type="paragraph" w:styleId="977">
    <w:name w:val="toc 9"/>
    <w:basedOn w:val="940"/>
    <w:next w:val="940"/>
    <w:uiPriority w:val="0"/>
    <w:qFormat/>
    <w:pPr>
      <w:ind w:left="3360"/>
    </w:pPr>
  </w:style>
  <w:style w:type="paragraph" w:styleId="978">
    <w:name w:val="HTML Preformatted"/>
    <w:basedOn w:val="940"/>
    <w:link w:val="10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9">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80">
    <w:name w:val="index 1"/>
    <w:basedOn w:val="940"/>
    <w:next w:val="940"/>
    <w:uiPriority w:val="0"/>
    <w:qFormat/>
    <w:rPr>
      <w:szCs w:val="20"/>
    </w:rPr>
  </w:style>
  <w:style w:type="paragraph" w:styleId="981">
    <w:name w:val="Title"/>
    <w:basedOn w:val="940"/>
    <w:next w:val="940"/>
    <w:link w:val="1017"/>
    <w:uiPriority w:val="0"/>
    <w:qFormat/>
    <w:pPr>
      <w:jc w:val="center"/>
      <w:outlineLvl w:val="0"/>
    </w:pPr>
    <w:rPr>
      <w:b/>
      <w:sz w:val="32"/>
      <w:szCs w:val="20"/>
    </w:rPr>
  </w:style>
  <w:style w:type="paragraph" w:styleId="982">
    <w:name w:val="annotation subject"/>
    <w:basedOn w:val="957"/>
    <w:next w:val="957"/>
    <w:link w:val="1018"/>
    <w:uiPriority w:val="0"/>
    <w:qFormat/>
    <w:rPr>
      <w:b/>
      <w:bCs/>
    </w:rPr>
  </w:style>
  <w:style w:type="paragraph" w:styleId="983">
    <w:name w:val="Body Text First Indent 2"/>
    <w:basedOn w:val="960"/>
    <w:next w:val="940"/>
    <w:link w:val="1019"/>
    <w:uiPriority w:val="0"/>
    <w:qFormat/>
    <w:pPr>
      <w:ind w:left="420" w:firstLine="420"/>
      <w:spacing w:after="120" w:line="480" w:lineRule="exact"/>
    </w:pPr>
    <w:rPr>
      <w:szCs w:val="20"/>
    </w:rPr>
  </w:style>
  <w:style w:type="table" w:styleId="984">
    <w:name w:val="Table Grid"/>
    <w:basedOn w:val="95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name w:val="Medium Grid 1 Accent 2"/>
    <w:basedOn w:val="95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6">
    <w:name w:val="Strong"/>
    <w:uiPriority w:val="0"/>
    <w:qFormat/>
    <w:rPr>
      <w:b/>
      <w:bCs/>
    </w:rPr>
  </w:style>
  <w:style w:type="character" w:styleId="987">
    <w:name w:val="page number"/>
    <w:uiPriority w:val="0"/>
    <w:qFormat/>
  </w:style>
  <w:style w:type="character" w:styleId="988">
    <w:name w:val="FollowedHyperlink"/>
    <w:uiPriority w:val="0"/>
    <w:qFormat/>
    <w:rPr>
      <w:color w:val="800080"/>
      <w:u w:val="single"/>
    </w:rPr>
  </w:style>
  <w:style w:type="character" w:styleId="989">
    <w:name w:val="Emphasis"/>
    <w:uiPriority w:val="0"/>
    <w:qFormat/>
    <w:rPr>
      <w:color w:val="cc0033"/>
    </w:rPr>
  </w:style>
  <w:style w:type="character" w:styleId="990">
    <w:name w:val="Hyperlink"/>
    <w:uiPriority w:val="99"/>
    <w:qFormat/>
    <w:rPr>
      <w:color w:val="0000ff"/>
      <w:u w:val="single"/>
    </w:rPr>
  </w:style>
  <w:style w:type="character" w:styleId="991">
    <w:name w:val="annotation reference"/>
    <w:uiPriority w:val="99"/>
    <w:qFormat/>
    <w:rPr>
      <w:sz w:val="21"/>
      <w:szCs w:val="21"/>
    </w:rPr>
  </w:style>
  <w:style w:type="character" w:styleId="992">
    <w:name w:val="HTML Cite"/>
    <w:uiPriority w:val="0"/>
    <w:qFormat/>
    <w:rPr>
      <w:i/>
      <w:iCs/>
    </w:rPr>
  </w:style>
  <w:style w:type="paragraph" w:styleId="993"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94" w:customStyle="1">
    <w:name w:val="标题 1 Char"/>
    <w:link w:val="941"/>
    <w:uiPriority w:val="0"/>
    <w:qFormat/>
    <w:rPr>
      <w:rFonts w:ascii="宋体"/>
      <w:b/>
      <w:sz w:val="32"/>
    </w:rPr>
  </w:style>
  <w:style w:type="character" w:styleId="995" w:customStyle="1">
    <w:name w:val="标题 2 Char1"/>
    <w:link w:val="942"/>
    <w:uiPriority w:val="0"/>
    <w:qFormat/>
    <w:rPr>
      <w:rFonts w:ascii="Arial" w:hAnsi="Arial" w:eastAsia="黑体"/>
      <w:b/>
      <w:sz w:val="30"/>
      <w:lang w:val="en-US" w:eastAsia="zh-CN" w:bidi="ar-SA"/>
    </w:rPr>
  </w:style>
  <w:style w:type="character" w:styleId="996" w:customStyle="1">
    <w:name w:val="正文缩进 Char1"/>
    <w:link w:val="954"/>
    <w:uiPriority w:val="0"/>
    <w:qFormat/>
    <w:rPr>
      <w:rFonts w:ascii="宋体" w:eastAsia="宋体"/>
      <w:sz w:val="24"/>
      <w:szCs w:val="24"/>
      <w:lang w:val="en-US" w:eastAsia="zh-CN" w:bidi="ar-SA"/>
    </w:rPr>
  </w:style>
  <w:style w:type="character" w:styleId="997" w:customStyle="1">
    <w:name w:val="标题 3 Char1"/>
    <w:link w:val="943"/>
    <w:uiPriority w:val="0"/>
    <w:qFormat/>
    <w:rPr>
      <w:rFonts w:ascii="宋体" w:eastAsia="宋体"/>
      <w:b/>
      <w:sz w:val="24"/>
      <w:u w:val="single"/>
      <w:lang w:val="en-US" w:eastAsia="zh-CN" w:bidi="ar-SA"/>
    </w:rPr>
  </w:style>
  <w:style w:type="character" w:styleId="998" w:customStyle="1">
    <w:name w:val="标题 4 Char"/>
    <w:link w:val="944"/>
    <w:uiPriority w:val="0"/>
    <w:qFormat/>
    <w:rPr>
      <w:rFonts w:ascii="Arial" w:hAnsi="Arial" w:eastAsia="黑体"/>
      <w:b/>
      <w:sz w:val="28"/>
    </w:rPr>
  </w:style>
  <w:style w:type="character" w:styleId="999" w:customStyle="1">
    <w:name w:val="标题 5 Char"/>
    <w:link w:val="945"/>
    <w:uiPriority w:val="0"/>
    <w:qFormat/>
    <w:rPr>
      <w:b/>
      <w:sz w:val="28"/>
    </w:rPr>
  </w:style>
  <w:style w:type="character" w:styleId="1000" w:customStyle="1">
    <w:name w:val="标题 6 Char"/>
    <w:link w:val="946"/>
    <w:uiPriority w:val="0"/>
    <w:qFormat/>
    <w:rPr>
      <w:rFonts w:ascii="Arial" w:hAnsi="Arial" w:eastAsia="黑体"/>
      <w:b/>
      <w:sz w:val="24"/>
    </w:rPr>
  </w:style>
  <w:style w:type="character" w:styleId="1001" w:customStyle="1">
    <w:name w:val="标题 7 Char"/>
    <w:link w:val="947"/>
    <w:uiPriority w:val="0"/>
    <w:qFormat/>
    <w:rPr>
      <w:b/>
      <w:sz w:val="24"/>
    </w:rPr>
  </w:style>
  <w:style w:type="character" w:styleId="1002" w:customStyle="1">
    <w:name w:val="标题 8 Char"/>
    <w:link w:val="948"/>
    <w:uiPriority w:val="0"/>
    <w:qFormat/>
    <w:rPr>
      <w:rFonts w:ascii="Arial" w:hAnsi="Arial" w:eastAsia="黑体"/>
      <w:sz w:val="24"/>
    </w:rPr>
  </w:style>
  <w:style w:type="character" w:styleId="1003" w:customStyle="1">
    <w:name w:val="标题 9 Char"/>
    <w:link w:val="949"/>
    <w:uiPriority w:val="0"/>
    <w:qFormat/>
    <w:rPr>
      <w:rFonts w:ascii="Arial" w:hAnsi="Arial" w:eastAsia="黑体"/>
      <w:sz w:val="21"/>
    </w:rPr>
  </w:style>
  <w:style w:type="character" w:styleId="1004" w:customStyle="1">
    <w:name w:val="文档结构图 Char"/>
    <w:link w:val="956"/>
    <w:uiPriority w:val="0"/>
    <w:qFormat/>
    <w:rPr>
      <w:sz w:val="21"/>
      <w:szCs w:val="24"/>
      <w:shd w:val="clear" w:color="auto" w:fill="000080"/>
    </w:rPr>
  </w:style>
  <w:style w:type="character" w:styleId="1005" w:customStyle="1">
    <w:name w:val="批注文字 Char1"/>
    <w:link w:val="957"/>
    <w:uiPriority w:val="99"/>
    <w:qFormat/>
    <w:rPr>
      <w:sz w:val="21"/>
      <w:szCs w:val="24"/>
    </w:rPr>
  </w:style>
  <w:style w:type="character" w:styleId="1006" w:customStyle="1">
    <w:name w:val="正文文本 3 Char"/>
    <w:link w:val="958"/>
    <w:uiPriority w:val="0"/>
    <w:qFormat/>
    <w:rPr>
      <w:sz w:val="16"/>
      <w:szCs w:val="16"/>
    </w:rPr>
  </w:style>
  <w:style w:type="character" w:styleId="1007" w:customStyle="1">
    <w:name w:val="正文文本 Char"/>
    <w:link w:val="959"/>
    <w:uiPriority w:val="0"/>
    <w:qFormat/>
    <w:rPr>
      <w:rFonts w:ascii="宋体" w:hAnsi="宋体"/>
      <w:sz w:val="24"/>
      <w:szCs w:val="24"/>
    </w:rPr>
  </w:style>
  <w:style w:type="character" w:styleId="1008" w:customStyle="1">
    <w:name w:val="正文文本缩进 Char2"/>
    <w:link w:val="960"/>
    <w:uiPriority w:val="0"/>
    <w:qFormat/>
    <w:rPr>
      <w:rFonts w:eastAsia="宋体"/>
      <w:sz w:val="24"/>
      <w:szCs w:val="24"/>
      <w:lang w:val="en-US" w:eastAsia="zh-CN" w:bidi="ar-SA"/>
    </w:rPr>
  </w:style>
  <w:style w:type="character" w:styleId="1009" w:customStyle="1">
    <w:name w:val="纯文本 Char"/>
    <w:link w:val="965"/>
    <w:uiPriority w:val="0"/>
    <w:qFormat/>
    <w:rPr>
      <w:rFonts w:hint="eastAsia" w:ascii="宋体" w:hAnsi="Courier New" w:eastAsia="宋体" w:cs="宋体"/>
      <w:sz w:val="21"/>
    </w:rPr>
  </w:style>
  <w:style w:type="character" w:styleId="1010" w:customStyle="1">
    <w:name w:val="日期 Char"/>
    <w:link w:val="967"/>
    <w:uiPriority w:val="0"/>
    <w:qFormat/>
    <w:rPr>
      <w:rFonts w:ascii="仿宋_GB2312" w:hAnsi="宋体" w:eastAsia="仿宋_GB2312"/>
      <w:color w:val="000000"/>
      <w:sz w:val="24"/>
      <w:szCs w:val="24"/>
    </w:rPr>
  </w:style>
  <w:style w:type="character" w:styleId="1011" w:customStyle="1">
    <w:name w:val="正文文本缩进 2 Char"/>
    <w:link w:val="968"/>
    <w:uiPriority w:val="0"/>
    <w:qFormat/>
    <w:rPr>
      <w:rFonts w:ascii="仿宋_GB2312" w:eastAsia="仿宋_GB2312"/>
      <w:sz w:val="24"/>
      <w:szCs w:val="24"/>
    </w:rPr>
  </w:style>
  <w:style w:type="character" w:styleId="1012" w:customStyle="1">
    <w:name w:val="批注框文本 Char"/>
    <w:link w:val="969"/>
    <w:uiPriority w:val="0"/>
    <w:qFormat/>
    <w:rPr>
      <w:sz w:val="18"/>
      <w:szCs w:val="18"/>
    </w:rPr>
  </w:style>
  <w:style w:type="character" w:styleId="1013" w:customStyle="1">
    <w:name w:val="页脚 Char1"/>
    <w:link w:val="970"/>
    <w:uiPriority w:val="99"/>
    <w:qFormat/>
    <w:rPr>
      <w:rFonts w:ascii="宋体" w:eastAsia="宋体"/>
      <w:sz w:val="18"/>
      <w:lang w:val="en-US" w:eastAsia="zh-CN" w:bidi="ar-SA"/>
    </w:rPr>
  </w:style>
  <w:style w:type="character" w:styleId="1014" w:customStyle="1">
    <w:name w:val="页眉 Char1"/>
    <w:link w:val="971"/>
    <w:uiPriority w:val="0"/>
    <w:qFormat/>
    <w:rPr>
      <w:rFonts w:eastAsia="宋体"/>
      <w:sz w:val="18"/>
      <w:szCs w:val="18"/>
      <w:lang w:val="en-US" w:eastAsia="zh-CN" w:bidi="ar-SA"/>
    </w:rPr>
  </w:style>
  <w:style w:type="character" w:styleId="1015" w:customStyle="1">
    <w:name w:val="正文文本缩进 3 Char"/>
    <w:link w:val="975"/>
    <w:uiPriority w:val="0"/>
    <w:qFormat/>
    <w:rPr>
      <w:rFonts w:ascii="宋体"/>
      <w:sz w:val="24"/>
    </w:rPr>
  </w:style>
  <w:style w:type="character" w:styleId="1016" w:customStyle="1">
    <w:name w:val="HTML 预设格式 Char"/>
    <w:link w:val="978"/>
    <w:uiPriority w:val="0"/>
    <w:qFormat/>
    <w:rPr>
      <w:rFonts w:ascii="宋体" w:hAnsi="宋体" w:cs="宋体"/>
      <w:sz w:val="24"/>
      <w:szCs w:val="24"/>
    </w:rPr>
  </w:style>
  <w:style w:type="character" w:styleId="1017" w:customStyle="1">
    <w:name w:val="标题 Char1"/>
    <w:link w:val="981"/>
    <w:uiPriority w:val="0"/>
    <w:qFormat/>
    <w:rPr>
      <w:b/>
      <w:sz w:val="32"/>
    </w:rPr>
  </w:style>
  <w:style w:type="character" w:styleId="1018" w:customStyle="1">
    <w:name w:val="批注主题 Char"/>
    <w:link w:val="982"/>
    <w:uiPriority w:val="0"/>
    <w:qFormat/>
    <w:rPr>
      <w:rFonts w:ascii="Times New Roman" w:hAnsi="Times New Roman" w:eastAsia="宋体" w:cs="Times New Roman"/>
      <w:b/>
      <w:bCs/>
      <w:sz w:val="21"/>
      <w:szCs w:val="24"/>
      <w:lang w:val="en-US" w:eastAsia="zh-CN" w:bidi="ar-SA"/>
    </w:rPr>
  </w:style>
  <w:style w:type="character" w:styleId="1019" w:customStyle="1">
    <w:name w:val="正文首行缩进 2 Char"/>
    <w:link w:val="983"/>
    <w:uiPriority w:val="0"/>
    <w:qFormat/>
    <w:rPr>
      <w:rFonts w:eastAsia="宋体"/>
      <w:sz w:val="24"/>
      <w:szCs w:val="24"/>
      <w:lang w:val="en-US" w:eastAsia="zh-CN" w:bidi="ar-SA"/>
    </w:rPr>
  </w:style>
  <w:style w:type="character" w:styleId="1020" w:customStyle="1">
    <w:name w:val="批注文字 字符"/>
    <w:uiPriority w:val="99"/>
    <w:qFormat/>
    <w:rPr>
      <w:rFonts w:ascii="Times New Roman" w:hAnsi="Times New Roman" w:eastAsia="宋体" w:cs="Times New Roman"/>
      <w:sz w:val="24"/>
      <w:lang w:val="en-US" w:eastAsia="zh-CN" w:bidi="ar-SA"/>
    </w:rPr>
  </w:style>
  <w:style w:type="character" w:styleId="1021" w:customStyle="1">
    <w:name w:val="c21"/>
    <w:uiPriority w:val="0"/>
    <w:qFormat/>
    <w:rPr>
      <w:rFonts w:hint="default" w:ascii="ˎ̥" w:hAnsi="ˎ̥"/>
      <w:color w:val="000000"/>
      <w:sz w:val="20"/>
      <w:szCs w:val="20"/>
      <w:u w:val="none"/>
    </w:rPr>
  </w:style>
  <w:style w:type="character" w:styleId="1022" w:customStyle="1">
    <w:name w:val="title4"/>
    <w:uiPriority w:val="0"/>
    <w:qFormat/>
    <w:rPr>
      <w:b/>
      <w:bCs/>
      <w:color w:val="1d87b3"/>
      <w:sz w:val="15"/>
      <w:szCs w:val="15"/>
    </w:rPr>
  </w:style>
  <w:style w:type="character" w:styleId="1023" w:customStyle="1">
    <w:name w:val="标题 2 Char Char"/>
    <w:uiPriority w:val="0"/>
    <w:qFormat/>
    <w:rPr>
      <w:rFonts w:ascii="Arial" w:hAnsi="Arial" w:eastAsia="黑体"/>
      <w:b/>
      <w:bCs/>
      <w:sz w:val="32"/>
      <w:szCs w:val="32"/>
      <w:lang w:val="en-US" w:eastAsia="zh-CN" w:bidi="ar-SA"/>
    </w:rPr>
  </w:style>
  <w:style w:type="character" w:styleId="1024" w:customStyle="1">
    <w:name w:val="black1"/>
    <w:uiPriority w:val="0"/>
    <w:qFormat/>
    <w:rPr>
      <w:color w:val="000000"/>
    </w:rPr>
  </w:style>
  <w:style w:type="character" w:styleId="1025" w:customStyle="1">
    <w:name w:val="street-address"/>
    <w:uiPriority w:val="0"/>
    <w:qFormat/>
  </w:style>
  <w:style w:type="character" w:styleId="1026" w:customStyle="1">
    <w:name w:val="locality"/>
    <w:uiPriority w:val="0"/>
    <w:qFormat/>
  </w:style>
  <w:style w:type="character" w:styleId="1027" w:customStyle="1">
    <w:name w:val="正文文本缩进 Char1"/>
    <w:link w:val="1028"/>
    <w:uiPriority w:val="0"/>
    <w:qFormat/>
    <w:rPr>
      <w:rFonts w:ascii="宋体" w:hAnsi="宋体" w:eastAsia="宋体"/>
      <w:sz w:val="24"/>
      <w:szCs w:val="24"/>
      <w:lang w:bidi="ar-SA"/>
    </w:rPr>
  </w:style>
  <w:style w:type="paragraph" w:styleId="1028" w:customStyle="1">
    <w:name w:val="正文文本缩进1"/>
    <w:basedOn w:val="940"/>
    <w:link w:val="1027"/>
    <w:uiPriority w:val="0"/>
    <w:qFormat/>
    <w:pPr>
      <w:ind w:firstLine="480"/>
      <w:spacing w:line="480" w:lineRule="exact"/>
    </w:pPr>
    <w:rPr>
      <w:rFonts w:ascii="宋体" w:hAnsi="宋体"/>
      <w:sz w:val="24"/>
    </w:rPr>
  </w:style>
  <w:style w:type="character" w:styleId="1029" w:customStyle="1">
    <w:name w:val="Char Char11"/>
    <w:uiPriority w:val="0"/>
    <w:qFormat/>
    <w:rPr>
      <w:rFonts w:ascii="宋体" w:eastAsia="宋体"/>
      <w:b/>
      <w:sz w:val="24"/>
      <w:u w:val="single"/>
      <w:lang w:val="en-US" w:eastAsia="zh-CN" w:bidi="ar-SA"/>
    </w:rPr>
  </w:style>
  <w:style w:type="character" w:styleId="1030" w:customStyle="1">
    <w:name w:val="txt"/>
    <w:uiPriority w:val="0"/>
    <w:qFormat/>
  </w:style>
  <w:style w:type="character" w:styleId="1031" w:customStyle="1">
    <w:name w:val="正文缩进 Char Char"/>
    <w:link w:val="1032"/>
    <w:uiPriority w:val="0"/>
    <w:qFormat/>
    <w:rPr>
      <w:rFonts w:ascii="宋体" w:eastAsia="宋体"/>
      <w:color w:val="000000"/>
      <w:sz w:val="28"/>
      <w:lang w:bidi="ar-SA"/>
    </w:rPr>
  </w:style>
  <w:style w:type="paragraph" w:styleId="1032" w:customStyle="1">
    <w:name w:val="正文缩进1"/>
    <w:basedOn w:val="940"/>
    <w:link w:val="1031"/>
    <w:uiPriority w:val="0"/>
    <w:qFormat/>
    <w:pPr>
      <w:ind w:firstLine="567"/>
      <w:spacing w:line="480" w:lineRule="exact"/>
      <w:widowControl/>
    </w:pPr>
    <w:rPr>
      <w:rFonts w:ascii="宋体"/>
      <w:color w:val="000000"/>
      <w:sz w:val="28"/>
      <w:szCs w:val="20"/>
    </w:rPr>
  </w:style>
  <w:style w:type="character" w:styleId="1033" w:customStyle="1">
    <w:name w:val="普通文字1 Char1"/>
    <w:uiPriority w:val="0"/>
    <w:qFormat/>
    <w:rPr>
      <w:rFonts w:ascii="宋体" w:hAnsi="Courier New" w:eastAsia="宋体"/>
      <w:sz w:val="21"/>
      <w:lang w:val="en-US" w:eastAsia="zh-CN" w:bidi="ar-SA"/>
    </w:rPr>
  </w:style>
  <w:style w:type="character" w:styleId="1034" w:customStyle="1">
    <w:name w:val="chanpin1"/>
    <w:uiPriority w:val="0"/>
    <w:qFormat/>
    <w:rPr>
      <w:rFonts w:hint="default" w:ascii="ˎ̥" w:hAnsi="ˎ̥"/>
      <w:color w:val="000000"/>
      <w:sz w:val="20"/>
      <w:szCs w:val="20"/>
      <w:u w:val="none"/>
    </w:rPr>
  </w:style>
  <w:style w:type="character" w:styleId="1035" w:customStyle="1">
    <w:name w:val="列出段落 Char1"/>
    <w:link w:val="1036"/>
    <w:uiPriority w:val="34"/>
    <w:qFormat/>
    <w:rPr>
      <w:rFonts w:ascii="Calibri" w:hAnsi="Calibri" w:eastAsia="宋体"/>
      <w:sz w:val="21"/>
      <w:szCs w:val="22"/>
      <w:lang w:val="en-US" w:eastAsia="zh-CN" w:bidi="ar-SA"/>
    </w:rPr>
  </w:style>
  <w:style w:type="paragraph" w:styleId="1036">
    <w:name w:val="List Paragraph"/>
    <w:basedOn w:val="940"/>
    <w:link w:val="1035"/>
    <w:uiPriority w:val="34"/>
    <w:qFormat/>
    <w:pPr>
      <w:ind w:firstLine="420"/>
    </w:pPr>
    <w:rPr>
      <w:rFonts w:ascii="Calibri" w:hAnsi="Calibri"/>
      <w:szCs w:val="22"/>
    </w:rPr>
  </w:style>
  <w:style w:type="character" w:styleId="1037" w:customStyle="1">
    <w:name w:val="标题 3 Char Char"/>
    <w:uiPriority w:val="0"/>
    <w:qFormat/>
    <w:rPr>
      <w:rFonts w:eastAsia="宋体"/>
      <w:b/>
      <w:bCs/>
      <w:sz w:val="32"/>
      <w:szCs w:val="32"/>
      <w:lang w:val="en-US" w:eastAsia="zh-CN" w:bidi="ar-SA"/>
    </w:rPr>
  </w:style>
  <w:style w:type="character" w:styleId="1038" w:customStyle="1">
    <w:name w:val="段1 Char"/>
    <w:uiPriority w:val="0"/>
    <w:qFormat/>
    <w:rPr>
      <w:rFonts w:ascii="宋体" w:eastAsia="宋体"/>
      <w:sz w:val="24"/>
      <w:lang w:val="en-US" w:eastAsia="zh-CN" w:bidi="ar-SA"/>
    </w:rPr>
  </w:style>
  <w:style w:type="character" w:styleId="1039" w:customStyle="1">
    <w:name w:val="chanpin拷贝"/>
    <w:uiPriority w:val="0"/>
    <w:qFormat/>
  </w:style>
  <w:style w:type="character" w:styleId="1040" w:customStyle="1">
    <w:name w:val="纯文本 Char1"/>
    <w:uiPriority w:val="0"/>
    <w:qFormat/>
    <w:rPr>
      <w:rFonts w:ascii="宋体" w:hAnsi="Courier New" w:eastAsia="宋体"/>
      <w:sz w:val="21"/>
      <w:lang w:val="en-US" w:eastAsia="zh-CN" w:bidi="ar-SA"/>
    </w:rPr>
  </w:style>
  <w:style w:type="character" w:styleId="1041" w:customStyle="1">
    <w:name w:val="apple-style-span"/>
    <w:uiPriority w:val="0"/>
    <w:qFormat/>
    <w:rPr>
      <w:rFonts w:cs="Times New Roman"/>
    </w:rPr>
  </w:style>
  <w:style w:type="paragraph" w:styleId="1042" w:customStyle="1">
    <w:name w:val="二级条标题"/>
    <w:basedOn w:val="1043"/>
    <w:next w:val="94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3" w:customStyle="1">
    <w:name w:val="一级条标题"/>
    <w:basedOn w:val="1044"/>
    <w:next w:val="940"/>
    <w:uiPriority w:val="0"/>
    <w:qFormat/>
    <w:pPr>
      <w:numPr>
        <w:ilvl w:val="1"/>
      </w:numPr>
      <w:ind w:left="0" w:hanging="840"/>
      <w:tabs>
        <w:tab w:val="left" w:pos="360" w:leader="none"/>
        <w:tab w:val="left" w:pos="840" w:leader="none"/>
      </w:tabs>
      <w:outlineLvl w:val="1"/>
    </w:pPr>
  </w:style>
  <w:style w:type="paragraph" w:styleId="1044" w:customStyle="1">
    <w:name w:val="章标题"/>
    <w:next w:val="94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45" w:customStyle="1">
    <w:name w:val="font7"/>
    <w:basedOn w:val="940"/>
    <w:uiPriority w:val="0"/>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940"/>
    <w:uiPriority w:val="0"/>
    <w:qFormat/>
    <w:rPr>
      <w:rFonts w:ascii="Tahoma" w:hAnsi="Tahoma"/>
      <w:sz w:val="24"/>
      <w:szCs w:val="20"/>
    </w:rPr>
  </w:style>
  <w:style w:type="paragraph" w:styleId="1047" w:customStyle="1">
    <w:name w:val="Char3 Char Char Char"/>
    <w:basedOn w:val="940"/>
    <w:uiPriority w:val="0"/>
    <w:qFormat/>
    <w:rPr>
      <w:rFonts w:ascii="Tahoma" w:hAnsi="Tahoma"/>
      <w:sz w:val="24"/>
      <w:szCs w:val="20"/>
    </w:rPr>
  </w:style>
  <w:style w:type="paragraph" w:styleId="1048" w:customStyle="1">
    <w:name w:val="font6"/>
    <w:basedOn w:val="940"/>
    <w:uiPriority w:val="0"/>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uiPriority w:val="0"/>
    <w:qFormat/>
    <w:pPr>
      <w:numPr>
        <w:numId w:val="2"/>
      </w:numPr>
    </w:pPr>
  </w:style>
  <w:style w:type="paragraph" w:styleId="1050" w:customStyle="1">
    <w:name w:val="项目编号1"/>
    <w:basedOn w:val="940"/>
    <w:uiPriority w:val="0"/>
    <w:qFormat/>
    <w:pPr>
      <w:numPr>
        <w:ilvl w:val="0"/>
        <w:numId w:val="3"/>
      </w:numPr>
      <w:spacing w:before="100" w:beforeAutospacing="1" w:after="100" w:afterAutospacing="1" w:line="360" w:lineRule="auto"/>
    </w:pPr>
    <w:rPr>
      <w:sz w:val="24"/>
    </w:rPr>
  </w:style>
  <w:style w:type="paragraph" w:styleId="1051" w:customStyle="1">
    <w:name w:val="图中文字"/>
    <w:basedOn w:val="940"/>
    <w:uiPriority w:val="0"/>
    <w:qFormat/>
    <w:pPr>
      <w:jc w:val="center"/>
      <w:spacing w:line="0" w:lineRule="atLeast"/>
    </w:pPr>
    <w:rPr>
      <w:sz w:val="24"/>
      <w:szCs w:val="20"/>
    </w:rPr>
  </w:style>
  <w:style w:type="paragraph" w:styleId="1052" w:customStyle="1">
    <w:name w:val="xl46"/>
    <w:basedOn w:val="94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3" w:customStyle="1">
    <w:name w:val="xl25"/>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4" w:customStyle="1">
    <w:name w:val="Char2"/>
    <w:basedOn w:val="940"/>
    <w:uiPriority w:val="0"/>
    <w:qFormat/>
    <w:rPr>
      <w:rFonts w:ascii="Tahoma" w:hAnsi="Tahoma"/>
      <w:sz w:val="24"/>
      <w:szCs w:val="20"/>
    </w:rPr>
  </w:style>
  <w:style w:type="paragraph" w:styleId="1055" w:customStyle="1">
    <w:name w:val="xl35"/>
    <w:basedOn w:val="94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7" w:customStyle="1">
    <w:name w:val="xl52"/>
    <w:basedOn w:val="9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8" w:customStyle="1">
    <w:name w:val="xl43"/>
    <w:basedOn w:val="9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9" w:customStyle="1">
    <w:name w:val="background1"/>
    <w:basedOn w:val="940"/>
    <w:uiPriority w:val="0"/>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940"/>
    <w:uiPriority w:val="0"/>
    <w:qFormat/>
    <w:pPr>
      <w:ind w:firstLine="200"/>
      <w:spacing w:line="360" w:lineRule="auto"/>
    </w:pPr>
    <w:rPr>
      <w:rFonts w:eastAsia="仿宋_GB2312"/>
      <w:sz w:val="24"/>
    </w:rPr>
  </w:style>
  <w:style w:type="paragraph" w:styleId="1061" w:customStyle="1">
    <w:name w:val="xl38"/>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2" w:customStyle="1">
    <w:name w:val="xl36"/>
    <w:basedOn w:val="94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940"/>
    <w:uiPriority w:val="0"/>
    <w:qFormat/>
    <w:pPr>
      <w:ind w:left="360" w:hanging="360"/>
      <w:jc w:val="left"/>
      <w:widowControl/>
    </w:pPr>
    <w:rPr>
      <w:rFonts w:ascii="宋体" w:hAnsi="宋体" w:cs="宋体"/>
      <w:b/>
      <w:bCs/>
      <w:color w:val="000000"/>
      <w:sz w:val="18"/>
      <w:szCs w:val="18"/>
    </w:rPr>
  </w:style>
  <w:style w:type="paragraph" w:styleId="1064" w:customStyle="1">
    <w:name w:val="正文列项_数字"/>
    <w:basedOn w:val="94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37"/>
    <w:basedOn w:val="94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9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8" w:customStyle="1">
    <w:name w:val="font8"/>
    <w:basedOn w:val="940"/>
    <w:uiPriority w:val="0"/>
    <w:qFormat/>
    <w:pPr>
      <w:jc w:val="left"/>
      <w:spacing w:before="100" w:beforeAutospacing="1" w:after="100" w:afterAutospacing="1"/>
      <w:widowControl/>
    </w:pPr>
    <w:rPr>
      <w:sz w:val="36"/>
      <w:szCs w:val="36"/>
    </w:rPr>
  </w:style>
  <w:style w:type="paragraph" w:styleId="1069" w:customStyle="1">
    <w:name w:val="Char"/>
    <w:basedOn w:val="940"/>
    <w:uiPriority w:val="0"/>
    <w:qFormat/>
    <w:pPr>
      <w:tabs>
        <w:tab w:val="left" w:pos="360" w:leader="none"/>
      </w:tabs>
    </w:pPr>
    <w:rPr>
      <w:sz w:val="24"/>
    </w:rPr>
  </w:style>
  <w:style w:type="paragraph" w:styleId="1070" w:customStyle="1">
    <w:name w:val="Char Char Char Char Char Char Char Char Char Char Char Char Char Char Char Char"/>
    <w:basedOn w:val="940"/>
    <w:uiPriority w:val="0"/>
    <w:qFormat/>
    <w:pPr>
      <w:jc w:val="center"/>
      <w:spacing w:after="160" w:line="240" w:lineRule="exact"/>
      <w:widowControl/>
    </w:pPr>
    <w:rPr>
      <w:rFonts w:ascii="宋体" w:hAnsi="宋体"/>
      <w:b/>
      <w:sz w:val="30"/>
      <w:szCs w:val="30"/>
      <w:lang w:eastAsia="en-US"/>
    </w:rPr>
  </w:style>
  <w:style w:type="paragraph" w:styleId="1071" w:customStyle="1">
    <w:name w:val="xl45"/>
    <w:basedOn w:val="9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940"/>
    <w:uiPriority w:val="0"/>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56"/>
    <w:uiPriority w:val="0"/>
    <w:qFormat/>
    <w:rPr>
      <w:rFonts w:ascii="Tahoma" w:hAnsi="Tahoma"/>
      <w:sz w:val="24"/>
    </w:rPr>
  </w:style>
  <w:style w:type="paragraph" w:styleId="1074" w:customStyle="1">
    <w:name w:val="xl26"/>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5" w:customStyle="1">
    <w:name w:val="xl30"/>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6" w:customStyle="1">
    <w:name w:val="xl41"/>
    <w:basedOn w:val="9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940"/>
    <w:uiPriority w:val="0"/>
    <w:qFormat/>
    <w:pPr>
      <w:jc w:val="left"/>
    </w:pPr>
    <w:rPr>
      <w:rFonts w:ascii="宋体" w:hAnsi="宋体"/>
      <w:szCs w:val="20"/>
    </w:rPr>
  </w:style>
  <w:style w:type="paragraph" w:styleId="1078" w:customStyle="1">
    <w:name w:val="Char1 Char Char Char1"/>
    <w:basedOn w:val="940"/>
    <w:uiPriority w:val="0"/>
    <w:qFormat/>
    <w:rPr>
      <w:rFonts w:ascii="Tahoma" w:hAnsi="Tahoma" w:cs="仿宋_GB2312"/>
      <w:sz w:val="24"/>
      <w:szCs w:val="28"/>
    </w:rPr>
  </w:style>
  <w:style w:type="paragraph" w:styleId="1079" w:customStyle="1">
    <w:name w:val="四级条标题"/>
    <w:basedOn w:val="1080"/>
    <w:next w:val="940"/>
    <w:uiPriority w:val="0"/>
    <w:qFormat/>
    <w:pPr>
      <w:numPr>
        <w:ilvl w:val="4"/>
      </w:numPr>
      <w:ind w:left="0" w:hanging="840"/>
      <w:tabs>
        <w:tab w:val="left" w:pos="360" w:leader="none"/>
        <w:tab w:val="left" w:pos="840" w:leader="none"/>
      </w:tabs>
      <w:outlineLvl w:val="4"/>
    </w:pPr>
  </w:style>
  <w:style w:type="paragraph" w:styleId="1080" w:customStyle="1">
    <w:name w:val="三级条标题"/>
    <w:basedOn w:val="1042"/>
    <w:next w:val="940"/>
    <w:uiPriority w:val="0"/>
    <w:qFormat/>
    <w:pPr>
      <w:numPr>
        <w:ilvl w:val="3"/>
        <w:numId w:val="1"/>
      </w:numPr>
      <w:ind w:left="0" w:hanging="840"/>
      <w:outlineLvl w:val="3"/>
    </w:pPr>
  </w:style>
  <w:style w:type="paragraph" w:styleId="108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82" w:customStyle="1">
    <w:name w:val="样式 标题 2 + 宋体 五号 行距: 单倍行距"/>
    <w:basedOn w:val="942"/>
    <w:uiPriority w:val="0"/>
    <w:qFormat/>
    <w:pPr>
      <w:numPr>
        <w:ilvl w:val="1"/>
        <w:numId w:val="4"/>
      </w:numPr>
      <w:jc w:val="left"/>
      <w:spacing w:before="260" w:after="260" w:line="240" w:lineRule="auto"/>
    </w:pPr>
    <w:rPr>
      <w:rFonts w:ascii="宋体" w:hAnsi="宋体" w:eastAsia="宋体"/>
      <w:bCs/>
      <w:sz w:val="21"/>
    </w:rPr>
  </w:style>
  <w:style w:type="paragraph" w:styleId="1083" w:customStyle="1">
    <w:name w:val="List Paragraph1"/>
    <w:basedOn w:val="940"/>
    <w:uiPriority w:val="0"/>
    <w:qFormat/>
    <w:pPr>
      <w:ind w:firstLine="420"/>
    </w:pPr>
    <w:rPr>
      <w:rFonts w:ascii="Calibri" w:hAnsi="Calibri"/>
      <w:szCs w:val="22"/>
    </w:rPr>
  </w:style>
  <w:style w:type="paragraph" w:styleId="1084" w:customStyle="1">
    <w:name w:val="项目符号1"/>
    <w:basedOn w:val="1085"/>
    <w:uiPriority w:val="0"/>
    <w:qFormat/>
    <w:pPr>
      <w:ind w:left="-25" w:firstLine="0"/>
    </w:pPr>
  </w:style>
  <w:style w:type="paragraph" w:styleId="1085" w:customStyle="1">
    <w:name w:val="正文文本样式"/>
    <w:basedOn w:val="940"/>
    <w:uiPriority w:val="0"/>
    <w:qFormat/>
    <w:pPr>
      <w:ind w:firstLine="482"/>
      <w:spacing w:line="360" w:lineRule="auto"/>
    </w:pPr>
    <w:rPr>
      <w:rFonts w:cs="宋体"/>
      <w:sz w:val="24"/>
      <w:szCs w:val="20"/>
    </w:rPr>
  </w:style>
  <w:style w:type="paragraph" w:styleId="1086" w:customStyle="1">
    <w:name w:val="xl27"/>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7" w:customStyle="1">
    <w:name w:val="font5"/>
    <w:basedOn w:val="940"/>
    <w:uiPriority w:val="0"/>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940"/>
    <w:uiPriority w:val="0"/>
    <w:qFormat/>
    <w:pPr>
      <w:numPr>
        <w:ilvl w:val="5"/>
      </w:numPr>
      <w:ind w:left="0" w:hanging="840"/>
      <w:outlineLvl w:val="5"/>
    </w:pPr>
  </w:style>
  <w:style w:type="paragraph" w:styleId="1089" w:customStyle="1">
    <w:name w:val="xl49"/>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0" w:customStyle="1">
    <w:name w:val="文档正文"/>
    <w:basedOn w:val="940"/>
    <w:uiPriority w:val="0"/>
    <w:qFormat/>
    <w:pPr>
      <w:spacing w:before="120" w:after="120" w:line="180" w:lineRule="auto"/>
    </w:pPr>
    <w:rPr>
      <w:rFonts w:ascii="Arial" w:hAnsi="Arial"/>
      <w:szCs w:val="20"/>
    </w:rPr>
  </w:style>
  <w:style w:type="paragraph" w:styleId="1091" w:customStyle="1">
    <w:name w:val="xl33"/>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2" w:customStyle="1">
    <w:name w:val="xl42"/>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3" w:customStyle="1">
    <w:name w:val="Char Char Char1 Char"/>
    <w:basedOn w:val="940"/>
    <w:uiPriority w:val="0"/>
    <w:qFormat/>
    <w:rPr>
      <w:rFonts w:ascii="Tahoma" w:hAnsi="Tahoma"/>
      <w:sz w:val="24"/>
      <w:szCs w:val="20"/>
    </w:rPr>
  </w:style>
  <w:style w:type="paragraph" w:styleId="1094" w:customStyle="1">
    <w:name w:val="xl44"/>
    <w:basedOn w:val="9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5" w:customStyle="1">
    <w:name w:val="1名"/>
    <w:basedOn w:val="940"/>
    <w:uiPriority w:val="0"/>
    <w:qFormat/>
    <w:pPr>
      <w:numPr>
        <w:ilvl w:val="0"/>
        <w:numId w:val="5"/>
      </w:numPr>
      <w:spacing w:before="120"/>
    </w:pPr>
    <w:rPr>
      <w:rFonts w:ascii="宋体"/>
      <w:sz w:val="28"/>
      <w:szCs w:val="20"/>
    </w:rPr>
  </w:style>
  <w:style w:type="paragraph" w:styleId="1096" w:customStyle="1">
    <w:name w:val="font9"/>
    <w:basedOn w:val="94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940"/>
    <w:uiPriority w:val="0"/>
    <w:qFormat/>
    <w:rPr>
      <w:rFonts w:ascii="Tahoma" w:hAnsi="Tahoma"/>
      <w:sz w:val="24"/>
      <w:szCs w:val="20"/>
    </w:rPr>
  </w:style>
  <w:style w:type="paragraph" w:styleId="1098" w:customStyle="1">
    <w:name w:val="Char Char Char Char Char Char Char Char Char Char"/>
    <w:basedOn w:val="940"/>
    <w:uiPriority w:val="0"/>
    <w:qFormat/>
  </w:style>
  <w:style w:type="paragraph" w:styleId="1099" w:customStyle="1">
    <w:name w:val="Char Char1 Char Char Char Char Char Char Char Char"/>
    <w:basedOn w:val="940"/>
    <w:uiPriority w:val="0"/>
    <w:qFormat/>
    <w:pPr>
      <w:jc w:val="left"/>
      <w:spacing w:after="160" w:line="240" w:lineRule="exact"/>
      <w:widowControl/>
    </w:pPr>
    <w:rPr>
      <w:rFonts w:ascii="Verdana" w:hAnsi="Verdana"/>
      <w:sz w:val="20"/>
      <w:szCs w:val="20"/>
      <w:lang w:eastAsia="en-US"/>
    </w:rPr>
  </w:style>
  <w:style w:type="paragraph" w:styleId="1100" w:customStyle="1">
    <w:name w:val="Char1"/>
    <w:basedOn w:val="940"/>
    <w:uiPriority w:val="0"/>
    <w:qFormat/>
    <w:pPr>
      <w:tabs>
        <w:tab w:val="left" w:pos="360" w:leader="none"/>
      </w:tabs>
    </w:pPr>
    <w:rPr>
      <w:sz w:val="24"/>
    </w:rPr>
  </w:style>
  <w:style w:type="paragraph" w:styleId="1101" w:customStyle="1">
    <w:name w:val="正文列项_字母"/>
    <w:basedOn w:val="94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xl47"/>
    <w:basedOn w:val="9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940"/>
    <w:uiPriority w:val="0"/>
    <w:qFormat/>
    <w:rPr>
      <w:rFonts w:ascii="Arial" w:hAnsi="Arial" w:cs="Arial"/>
      <w:szCs w:val="21"/>
    </w:rPr>
  </w:style>
  <w:style w:type="paragraph" w:styleId="1105" w:customStyle="1">
    <w:name w:val="xl48"/>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6" w:customStyle="1">
    <w:name w:val="xl31"/>
    <w:basedOn w:val="9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7" w:customStyle="1">
    <w:name w:val="xl53"/>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8" w:customStyle="1">
    <w:name w:val="Char Char Char"/>
    <w:basedOn w:val="940"/>
    <w:uiPriority w:val="0"/>
    <w:qFormat/>
    <w:rPr>
      <w:rFonts w:ascii="Tahoma" w:hAnsi="Tahoma"/>
      <w:sz w:val="24"/>
      <w:szCs w:val="20"/>
    </w:rPr>
  </w:style>
  <w:style w:type="paragraph" w:styleId="1109" w:customStyle="1">
    <w:name w:val="xl50"/>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0" w:customStyle="1">
    <w:name w:val="缺省文本"/>
    <w:basedOn w:val="940"/>
    <w:uiPriority w:val="0"/>
    <w:qFormat/>
    <w:pPr>
      <w:jc w:val="left"/>
    </w:pPr>
    <w:rPr>
      <w:sz w:val="24"/>
    </w:rPr>
  </w:style>
  <w:style w:type="paragraph" w:styleId="1111" w:customStyle="1">
    <w:name w:val="Char Char Char1"/>
    <w:basedOn w:val="940"/>
    <w:uiPriority w:val="0"/>
    <w:qFormat/>
    <w:rPr>
      <w:rFonts w:ascii="Tahoma" w:hAnsi="Tahoma"/>
      <w:sz w:val="24"/>
      <w:szCs w:val="20"/>
    </w:rPr>
  </w:style>
  <w:style w:type="paragraph" w:styleId="1112" w:customStyle="1">
    <w:name w:val="Char Char Char Char Char Char Char1"/>
    <w:basedOn w:val="940"/>
    <w:uiPriority w:val="0"/>
    <w:qFormat/>
    <w:pPr>
      <w:ind w:firstLine="200"/>
      <w:spacing w:line="360" w:lineRule="auto"/>
    </w:pPr>
    <w:rPr>
      <w:rFonts w:eastAsia="仿宋_GB2312"/>
      <w:sz w:val="24"/>
    </w:rPr>
  </w:style>
  <w:style w:type="paragraph" w:styleId="1113" w:customStyle="1">
    <w:name w:val="xl51"/>
    <w:basedOn w:val="9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4" w:customStyle="1">
    <w:name w:val="样式2"/>
    <w:basedOn w:val="980"/>
    <w:uiPriority w:val="0"/>
    <w:qFormat/>
    <w:pPr>
      <w:jc w:val="center"/>
      <w:spacing w:line="360" w:lineRule="auto"/>
    </w:pPr>
    <w:rPr>
      <w:sz w:val="24"/>
    </w:rPr>
  </w:style>
  <w:style w:type="paragraph" w:styleId="1115" w:customStyle="1">
    <w:name w:val="xl24"/>
    <w:basedOn w:val="9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6" w:customStyle="1">
    <w:name w:val="xl29"/>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7" w:customStyle="1">
    <w:name w:val="正文 + 楷体_GB2312"/>
    <w:basedOn w:val="940"/>
    <w:uiPriority w:val="0"/>
    <w:qFormat/>
    <w:pPr>
      <w:jc w:val="left"/>
      <w:widowControl/>
    </w:pPr>
    <w:rPr>
      <w:rFonts w:ascii="楷体_GB2312" w:eastAsia="楷体_GB2312" w:cs="Arial"/>
      <w:sz w:val="24"/>
    </w:rPr>
  </w:style>
  <w:style w:type="paragraph" w:styleId="1118" w:customStyle="1">
    <w:name w:val="xl34"/>
    <w:basedOn w:val="9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9" w:customStyle="1">
    <w:name w:val="1 Char Char Char Char"/>
    <w:basedOn w:val="940"/>
    <w:uiPriority w:val="0"/>
    <w:qFormat/>
    <w:rPr>
      <w:rFonts w:ascii="Tahoma" w:hAnsi="Tahoma"/>
      <w:sz w:val="24"/>
      <w:szCs w:val="20"/>
    </w:rPr>
  </w:style>
  <w:style w:type="paragraph" w:styleId="1120" w:customStyle="1">
    <w:name w:val="列出段落1"/>
    <w:basedOn w:val="940"/>
    <w:uiPriority w:val="0"/>
    <w:qFormat/>
    <w:pPr>
      <w:ind w:firstLine="420"/>
    </w:pPr>
    <w:rPr>
      <w:rFonts w:ascii="Calibri" w:hAnsi="Calibri"/>
      <w:szCs w:val="22"/>
    </w:rPr>
  </w:style>
  <w:style w:type="paragraph" w:styleId="1121" w:customStyle="1">
    <w:name w:val="default"/>
    <w:basedOn w:val="940"/>
    <w:uiPriority w:val="0"/>
    <w:qFormat/>
    <w:pPr>
      <w:jc w:val="left"/>
      <w:spacing w:before="100" w:beforeAutospacing="1" w:after="100" w:afterAutospacing="1"/>
      <w:widowControl/>
    </w:pPr>
    <w:rPr>
      <w:rFonts w:ascii="宋体" w:hAnsi="宋体" w:cs="宋体"/>
      <w:sz w:val="24"/>
    </w:rPr>
  </w:style>
  <w:style w:type="paragraph" w:styleId="1122" w:customStyle="1">
    <w:name w:val="字元 字元1"/>
    <w:basedOn w:val="940"/>
    <w:uiPriority w:val="0"/>
    <w:qFormat/>
    <w:rPr>
      <w:rFonts w:ascii="Tahoma" w:hAnsi="Tahoma"/>
      <w:sz w:val="24"/>
      <w:szCs w:val="20"/>
    </w:rPr>
  </w:style>
  <w:style w:type="paragraph" w:styleId="1123" w:customStyle="1">
    <w:name w:val="_Style 160"/>
    <w:uiPriority w:val="0"/>
    <w:qFormat/>
    <w:rPr>
      <w:rFonts w:ascii="Times New Roman" w:hAnsi="Times New Roman" w:eastAsia="宋体" w:cs="Times New Roman"/>
      <w:sz w:val="21"/>
      <w:szCs w:val="24"/>
      <w:lang w:val="en-US" w:eastAsia="zh-CN" w:bidi="ar-SA"/>
    </w:rPr>
  </w:style>
  <w:style w:type="paragraph" w:styleId="1124" w:customStyle="1">
    <w:name w:val="项目编号3"/>
    <w:basedOn w:val="1085"/>
    <w:uiPriority w:val="0"/>
    <w:qFormat/>
    <w:pPr>
      <w:numPr>
        <w:ilvl w:val="0"/>
        <w:numId w:val="6"/>
      </w:numPr>
    </w:pPr>
  </w:style>
  <w:style w:type="paragraph" w:styleId="1125" w:customStyle="1">
    <w:name w:val="Char21"/>
    <w:basedOn w:val="940"/>
    <w:uiPriority w:val="0"/>
    <w:qFormat/>
    <w:rPr>
      <w:rFonts w:ascii="Tahoma" w:hAnsi="Tahoma"/>
      <w:sz w:val="24"/>
      <w:szCs w:val="20"/>
    </w:rPr>
  </w:style>
  <w:style w:type="paragraph" w:styleId="1126" w:customStyle="1">
    <w:name w:val="表格文字"/>
    <w:basedOn w:val="960"/>
    <w:uiPriority w:val="0"/>
    <w:qFormat/>
    <w:pPr>
      <w:ind w:firstLine="0"/>
      <w:spacing w:before="20" w:after="20" w:line="240" w:lineRule="auto"/>
    </w:pPr>
    <w:rPr>
      <w:rFonts w:ascii="Century Gothic" w:hAnsi="Century Gothic"/>
      <w:sz w:val="20"/>
      <w:szCs w:val="20"/>
    </w:rPr>
  </w:style>
  <w:style w:type="paragraph" w:styleId="1127" w:customStyle="1">
    <w:name w:val="Char Char Char Char Char Char Char Char Char Char1"/>
    <w:basedOn w:val="940"/>
    <w:uiPriority w:val="0"/>
    <w:qFormat/>
    <w:rPr>
      <w:rFonts w:ascii="宋体" w:hAnsi="宋体" w:cs="Courier New"/>
      <w:sz w:val="32"/>
      <w:szCs w:val="32"/>
    </w:rPr>
  </w:style>
  <w:style w:type="paragraph" w:styleId="1128" w:customStyle="1">
    <w:name w:val="正文文本样式 加粗"/>
    <w:basedOn w:val="1085"/>
    <w:uiPriority w:val="0"/>
    <w:qFormat/>
    <w:rPr>
      <w:b/>
    </w:rPr>
  </w:style>
  <w:style w:type="paragraph" w:styleId="1129" w:customStyle="1">
    <w:name w:val="Char2 Char Char Char Char Char Char"/>
    <w:basedOn w:val="940"/>
    <w:uiPriority w:val="0"/>
    <w:qFormat/>
    <w:pPr>
      <w:jc w:val="center"/>
      <w:spacing w:line="400" w:lineRule="exact"/>
      <w:widowControl/>
    </w:pPr>
  </w:style>
  <w:style w:type="paragraph" w:styleId="1130" w:customStyle="1">
    <w:name w:val="Char Char4"/>
    <w:basedOn w:val="940"/>
    <w:uiPriority w:val="0"/>
    <w:qFormat/>
    <w:pPr>
      <w:jc w:val="center"/>
      <w:spacing w:line="400" w:lineRule="exact"/>
      <w:widowControl/>
    </w:pPr>
  </w:style>
  <w:style w:type="paragraph" w:styleId="1131" w:customStyle="1">
    <w:name w:val="Char3 Char Char Char1"/>
    <w:basedOn w:val="940"/>
    <w:uiPriority w:val="0"/>
    <w:qFormat/>
    <w:rPr>
      <w:rFonts w:ascii="Tahoma" w:hAnsi="Tahoma"/>
      <w:sz w:val="24"/>
      <w:szCs w:val="20"/>
    </w:rPr>
  </w:style>
  <w:style w:type="paragraph" w:styleId="113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33" w:customStyle="1">
    <w:name w:val="22222222222222"/>
    <w:basedOn w:val="940"/>
    <w:uiPriority w:val="0"/>
    <w:qFormat/>
    <w:pPr>
      <w:ind w:firstLine="480"/>
      <w:jc w:val="left"/>
      <w:spacing w:line="360" w:lineRule="auto"/>
      <w:widowControl/>
    </w:pPr>
    <w:rPr>
      <w:color w:val="ff0000"/>
      <w:sz w:val="24"/>
      <w:szCs w:val="20"/>
    </w:rPr>
  </w:style>
  <w:style w:type="character" w:styleId="1134" w:customStyle="1">
    <w:name w:val="中等深浅网格 1 - 强调文字颜色 2 Char"/>
    <w:link w:val="1135"/>
    <w:uiPriority w:val="0"/>
    <w:qFormat/>
    <w:rPr>
      <w:sz w:val="21"/>
      <w:szCs w:val="24"/>
      <w:lang w:val="zh-CN" w:eastAsia="zh-CN" w:bidi="ar-SA"/>
    </w:rPr>
  </w:style>
  <w:style w:type="paragraph" w:styleId="1135" w:customStyle="1">
    <w:name w:val="1"/>
    <w:link w:val="1134"/>
    <w:uiPriority w:val="0"/>
    <w:qFormat/>
    <w:rPr>
      <w:rFonts w:ascii="Times New Roman" w:hAnsi="Times New Roman" w:eastAsia="宋体" w:cs="Times New Roman"/>
      <w:sz w:val="21"/>
      <w:szCs w:val="24"/>
      <w:lang w:val="zh-CN" w:eastAsia="zh-CN" w:bidi="ar-SA"/>
    </w:rPr>
  </w:style>
  <w:style w:type="paragraph" w:styleId="1136" w:customStyle="1">
    <w:name w:val="图文"/>
    <w:basedOn w:val="940"/>
    <w:uiPriority w:val="0"/>
    <w:qFormat/>
    <w:pPr>
      <w:spacing w:after="50" w:line="360" w:lineRule="auto"/>
    </w:pPr>
    <w:rPr>
      <w:sz w:val="24"/>
    </w:rPr>
  </w:style>
  <w:style w:type="paragraph" w:styleId="1137" w:customStyle="1">
    <w:name w:val="xl23"/>
    <w:basedOn w:val="940"/>
    <w:uiPriority w:val="0"/>
    <w:qFormat/>
    <w:pPr>
      <w:spacing w:before="100" w:beforeAutospacing="1" w:after="100" w:afterAutospacing="1" w:line="360" w:lineRule="auto"/>
      <w:widowControl/>
    </w:pPr>
    <w:rPr>
      <w:sz w:val="24"/>
      <w:szCs w:val="20"/>
    </w:rPr>
  </w:style>
  <w:style w:type="paragraph" w:styleId="1138" w:customStyle="1">
    <w:name w:val="正文表格"/>
    <w:basedOn w:val="940"/>
    <w:link w:val="1139"/>
    <w:uiPriority w:val="0"/>
    <w:qFormat/>
    <w:pPr>
      <w:jc w:val="left"/>
    </w:pPr>
    <w:rPr>
      <w:rFonts w:ascii="宋体" w:hAnsi="宋体"/>
      <w:color w:val="000000"/>
      <w:szCs w:val="21"/>
    </w:rPr>
  </w:style>
  <w:style w:type="character" w:styleId="1139" w:customStyle="1">
    <w:name w:val="正文表格 Char"/>
    <w:link w:val="1138"/>
    <w:uiPriority w:val="0"/>
    <w:qFormat/>
    <w:rPr>
      <w:rFonts w:ascii="宋体" w:hAnsi="宋体"/>
      <w:color w:val="000000"/>
      <w:sz w:val="21"/>
      <w:szCs w:val="21"/>
    </w:rPr>
  </w:style>
  <w:style w:type="paragraph" w:styleId="1140" w:customStyle="1">
    <w:name w:val="正文重点"/>
    <w:basedOn w:val="940"/>
    <w:link w:val="1141"/>
    <w:uiPriority w:val="0"/>
    <w:qFormat/>
    <w:pPr>
      <w:ind w:firstLine="482"/>
      <w:jc w:val="left"/>
      <w:spacing w:line="360" w:lineRule="auto"/>
    </w:pPr>
    <w:rPr>
      <w:b/>
      <w:sz w:val="24"/>
      <w:szCs w:val="20"/>
    </w:rPr>
  </w:style>
  <w:style w:type="character" w:styleId="1141" w:customStyle="1">
    <w:name w:val="正文重点 Char"/>
    <w:link w:val="1140"/>
    <w:uiPriority w:val="0"/>
    <w:qFormat/>
    <w:rPr>
      <w:b/>
      <w:sz w:val="24"/>
    </w:rPr>
  </w:style>
  <w:style w:type="paragraph" w:styleId="1142" w:customStyle="1">
    <w:name w:val="标题1-附件"/>
    <w:basedOn w:val="941"/>
    <w:uiPriority w:val="0"/>
    <w:qFormat/>
    <w:pPr>
      <w:jc w:val="left"/>
    </w:pPr>
    <w:rPr>
      <w:sz w:val="24"/>
      <w:szCs w:val="24"/>
    </w:rPr>
  </w:style>
  <w:style w:type="paragraph" w:styleId="1143" w:customStyle="1">
    <w:name w:val="正文小标题"/>
    <w:basedOn w:val="940"/>
    <w:next w:val="954"/>
    <w:link w:val="1144"/>
    <w:uiPriority w:val="0"/>
    <w:qFormat/>
    <w:pPr>
      <w:ind w:firstLine="482"/>
      <w:jc w:val="left"/>
      <w:spacing w:before="312" w:after="312"/>
    </w:pPr>
    <w:rPr>
      <w:rFonts w:ascii="宋体" w:hAnsi="宋体"/>
      <w:b/>
      <w:i/>
      <w:color w:val="ff0000"/>
      <w:sz w:val="24"/>
      <w:szCs w:val="20"/>
    </w:rPr>
  </w:style>
  <w:style w:type="character" w:styleId="1144" w:customStyle="1">
    <w:name w:val="正文小标题 Char"/>
    <w:link w:val="1143"/>
    <w:uiPriority w:val="0"/>
    <w:qFormat/>
    <w:rPr>
      <w:rFonts w:ascii="宋体" w:hAnsi="宋体"/>
      <w:b/>
      <w:i/>
      <w:color w:val="ff0000"/>
      <w:sz w:val="24"/>
    </w:rPr>
  </w:style>
  <w:style w:type="paragraph" w:styleId="1145" w:customStyle="1">
    <w:name w:val="正文大标题"/>
    <w:basedOn w:val="1143"/>
    <w:next w:val="954"/>
    <w:link w:val="1146"/>
    <w:uiPriority w:val="0"/>
    <w:qFormat/>
    <w:pPr>
      <w:jc w:val="center"/>
    </w:pPr>
    <w:rPr>
      <w:i w:val="0"/>
      <w:color w:val="000000"/>
      <w:sz w:val="28"/>
      <w:szCs w:val="21"/>
    </w:rPr>
  </w:style>
  <w:style w:type="character" w:styleId="1146" w:customStyle="1">
    <w:name w:val="正文大标题 Char"/>
    <w:link w:val="1145"/>
    <w:uiPriority w:val="0"/>
    <w:qFormat/>
    <w:rPr>
      <w:rFonts w:ascii="宋体" w:hAnsi="宋体"/>
      <w:b/>
      <w:color w:val="000000"/>
      <w:sz w:val="28"/>
      <w:szCs w:val="21"/>
    </w:rPr>
  </w:style>
  <w:style w:type="paragraph" w:styleId="1147" w:customStyle="1">
    <w:name w:val="注释"/>
    <w:basedOn w:val="940"/>
    <w:link w:val="1148"/>
    <w:uiPriority w:val="0"/>
    <w:qFormat/>
    <w:pPr>
      <w:ind w:left="420" w:hanging="420"/>
      <w:jc w:val="left"/>
    </w:pPr>
    <w:rPr>
      <w:rFonts w:ascii="宋体" w:hAnsi="宋体"/>
      <w:szCs w:val="21"/>
    </w:rPr>
  </w:style>
  <w:style w:type="character" w:styleId="1148" w:customStyle="1">
    <w:name w:val="注释 Char"/>
    <w:link w:val="1147"/>
    <w:uiPriority w:val="0"/>
    <w:qFormat/>
    <w:rPr>
      <w:rFonts w:ascii="宋体" w:hAnsi="宋体"/>
      <w:sz w:val="21"/>
      <w:szCs w:val="21"/>
    </w:rPr>
  </w:style>
  <w:style w:type="paragraph" w:styleId="1149" w:customStyle="1">
    <w:name w:val="正文须知-1级"/>
    <w:basedOn w:val="940"/>
    <w:next w:val="940"/>
    <w:uiPriority w:val="0"/>
    <w:qFormat/>
    <w:pPr>
      <w:numPr>
        <w:ilvl w:val="0"/>
        <w:numId w:val="7"/>
      </w:numPr>
      <w:spacing w:line="300" w:lineRule="auto"/>
    </w:pPr>
    <w:rPr>
      <w:rFonts w:ascii="宋体" w:hAnsi="Calibri"/>
      <w:sz w:val="24"/>
      <w:szCs w:val="21"/>
    </w:rPr>
  </w:style>
  <w:style w:type="paragraph" w:styleId="1150" w:customStyle="1">
    <w:name w:val="正文须知-2级"/>
    <w:basedOn w:val="940"/>
    <w:uiPriority w:val="0"/>
    <w:qFormat/>
    <w:pPr>
      <w:numPr>
        <w:ilvl w:val="1"/>
        <w:numId w:val="7"/>
      </w:numPr>
      <w:spacing w:line="300" w:lineRule="auto"/>
    </w:pPr>
    <w:rPr>
      <w:rFonts w:ascii="宋体" w:hAnsi="Calibri"/>
      <w:sz w:val="24"/>
      <w:szCs w:val="21"/>
    </w:rPr>
  </w:style>
  <w:style w:type="paragraph" w:styleId="1151" w:customStyle="1">
    <w:name w:val="正文须知-3级"/>
    <w:basedOn w:val="940"/>
    <w:uiPriority w:val="0"/>
    <w:qFormat/>
    <w:pPr>
      <w:numPr>
        <w:ilvl w:val="2"/>
        <w:numId w:val="7"/>
      </w:numPr>
      <w:ind w:hanging="355"/>
      <w:spacing w:line="300" w:lineRule="auto"/>
    </w:pPr>
    <w:rPr>
      <w:rFonts w:ascii="宋体" w:hAnsi="Calibri"/>
      <w:sz w:val="24"/>
      <w:szCs w:val="21"/>
    </w:rPr>
  </w:style>
  <w:style w:type="character" w:styleId="1152" w:customStyle="1">
    <w:name w:val="纯文本 字符"/>
    <w:uiPriority w:val="99"/>
    <w:qFormat/>
    <w:rPr>
      <w:rFonts w:ascii="宋体" w:hAnsi="Courier New" w:eastAsia="宋体" w:cs="Times New Roman"/>
      <w:sz w:val="21"/>
      <w:szCs w:val="21"/>
      <w:lang w:val="en-US" w:eastAsia="zh-CN" w:bidi="ar-SA"/>
    </w:rPr>
  </w:style>
  <w:style w:type="paragraph" w:styleId="1153" w:customStyle="1">
    <w:name w:val="表格1"/>
    <w:basedOn w:val="940"/>
    <w:uiPriority w:val="0"/>
    <w:qFormat/>
    <w:pPr>
      <w:ind w:firstLine="480"/>
      <w:jc w:val="center"/>
    </w:pPr>
    <w:rPr>
      <w:sz w:val="24"/>
      <w:szCs w:val="20"/>
    </w:rPr>
  </w:style>
  <w:style w:type="character" w:styleId="1154" w:customStyle="1">
    <w:name w:val="纯文本 字符1"/>
    <w:uiPriority w:val="0"/>
    <w:qFormat/>
    <w:rPr>
      <w:rFonts w:ascii="宋体" w:hAnsi="Courier New"/>
    </w:rPr>
  </w:style>
  <w:style w:type="character" w:styleId="1155" w:customStyle="1">
    <w:name w:val="bjh-p"/>
    <w:uiPriority w:val="0"/>
    <w:qFormat/>
  </w:style>
  <w:style w:type="paragraph" w:styleId="1156" w:customStyle="1">
    <w:name w:val="无标题条"/>
    <w:next w:val="940"/>
    <w:uiPriority w:val="0"/>
    <w:qFormat/>
    <w:pPr>
      <w:jc w:val="both"/>
    </w:pPr>
    <w:rPr>
      <w:rFonts w:ascii="Times New Roman" w:hAnsi="Times New Roman" w:eastAsia="宋体" w:cs="Times New Roman"/>
      <w:sz w:val="21"/>
      <w:lang w:val="en-US" w:eastAsia="zh-CN" w:bidi="ar-SA"/>
    </w:rPr>
  </w:style>
  <w:style w:type="character" w:styleId="1157" w:customStyle="1">
    <w:name w:val="正文格式 Char"/>
    <w:link w:val="1158"/>
    <w:uiPriority w:val="0"/>
    <w:qFormat/>
    <w:rPr>
      <w:rFonts w:ascii="宋体" w:hAnsi="宋体"/>
      <w:sz w:val="24"/>
      <w:szCs w:val="24"/>
      <w:lang w:val="en-GB"/>
    </w:rPr>
  </w:style>
  <w:style w:type="paragraph" w:styleId="1158" w:customStyle="1">
    <w:name w:val="正文格式"/>
    <w:basedOn w:val="940"/>
    <w:link w:val="1157"/>
    <w:uiPriority w:val="0"/>
    <w:qFormat/>
    <w:pPr>
      <w:ind w:firstLine="480"/>
      <w:spacing w:line="360" w:lineRule="auto"/>
    </w:pPr>
    <w:rPr>
      <w:rFonts w:ascii="宋体" w:hAnsi="宋体"/>
      <w:sz w:val="24"/>
      <w:lang w:val="en-GB"/>
    </w:rPr>
  </w:style>
  <w:style w:type="character" w:styleId="1159" w:customStyle="1">
    <w:name w:val="标题 3 Char"/>
    <w:uiPriority w:val="0"/>
    <w:qFormat/>
    <w:rPr>
      <w:rFonts w:ascii="宋体" w:eastAsia="宋体"/>
      <w:b/>
      <w:sz w:val="24"/>
      <w:u w:val="single"/>
      <w:lang w:val="en-US" w:eastAsia="zh-CN" w:bidi="ar-SA"/>
    </w:rPr>
  </w:style>
  <w:style w:type="character" w:styleId="1160" w:customStyle="1">
    <w:name w:val="正文缩进 Char"/>
    <w:uiPriority w:val="0"/>
    <w:qFormat/>
    <w:rPr>
      <w:rFonts w:ascii="宋体" w:eastAsia="宋体"/>
      <w:sz w:val="24"/>
      <w:szCs w:val="24"/>
      <w:lang w:val="en-US" w:eastAsia="zh-CN" w:bidi="ar-SA"/>
    </w:rPr>
  </w:style>
  <w:style w:type="character" w:styleId="1161" w:customStyle="1">
    <w:name w:val="Char Char111"/>
    <w:uiPriority w:val="0"/>
    <w:qFormat/>
    <w:rPr>
      <w:rFonts w:ascii="宋体" w:eastAsia="宋体"/>
      <w:b/>
      <w:sz w:val="24"/>
      <w:u w:val="single"/>
      <w:lang w:val="en-US" w:eastAsia="zh-CN" w:bidi="ar-SA"/>
    </w:rPr>
  </w:style>
  <w:style w:type="character" w:styleId="1162" w:customStyle="1">
    <w:name w:val="正文文本缩进 Char"/>
    <w:uiPriority w:val="0"/>
    <w:qFormat/>
    <w:rPr>
      <w:rFonts w:eastAsia="宋体"/>
      <w:sz w:val="24"/>
      <w:szCs w:val="24"/>
      <w:lang w:val="en-US" w:eastAsia="zh-CN" w:bidi="ar-SA"/>
    </w:rPr>
  </w:style>
  <w:style w:type="character" w:styleId="1163" w:customStyle="1">
    <w:name w:val="列出段落 Char"/>
    <w:uiPriority w:val="0"/>
    <w:qFormat/>
    <w:rPr>
      <w:rFonts w:ascii="Calibri" w:hAnsi="Calibri" w:eastAsia="宋体"/>
      <w:sz w:val="21"/>
      <w:szCs w:val="22"/>
      <w:lang w:val="en-US" w:eastAsia="zh-CN" w:bidi="ar-SA"/>
    </w:rPr>
  </w:style>
  <w:style w:type="character" w:styleId="1164" w:customStyle="1">
    <w:name w:val="页眉 Char"/>
    <w:uiPriority w:val="0"/>
    <w:qFormat/>
    <w:rPr>
      <w:rFonts w:eastAsia="宋体"/>
      <w:sz w:val="18"/>
      <w:szCs w:val="18"/>
      <w:lang w:val="en-US" w:eastAsia="zh-CN" w:bidi="ar-SA"/>
    </w:rPr>
  </w:style>
  <w:style w:type="character" w:styleId="1165" w:customStyle="1">
    <w:name w:val="标题 2 Char"/>
    <w:uiPriority w:val="0"/>
    <w:qFormat/>
    <w:rPr>
      <w:rFonts w:ascii="Arial" w:hAnsi="Arial" w:eastAsia="黑体"/>
      <w:b/>
      <w:sz w:val="30"/>
      <w:lang w:val="en-US" w:eastAsia="zh-CN" w:bidi="ar-SA"/>
    </w:rPr>
  </w:style>
  <w:style w:type="paragraph" w:styleId="1166" w:customStyle="1">
    <w:name w:val="字元 字元2"/>
    <w:basedOn w:val="940"/>
    <w:uiPriority w:val="0"/>
    <w:qFormat/>
    <w:rPr>
      <w:rFonts w:ascii="Tahoma" w:hAnsi="Tahoma"/>
      <w:sz w:val="24"/>
      <w:szCs w:val="20"/>
    </w:rPr>
  </w:style>
  <w:style w:type="paragraph" w:styleId="1167" w:customStyle="1">
    <w:name w:val="Char3 Char Char Char2"/>
    <w:basedOn w:val="940"/>
    <w:uiPriority w:val="0"/>
    <w:qFormat/>
    <w:rPr>
      <w:rFonts w:ascii="Tahoma" w:hAnsi="Tahoma"/>
      <w:sz w:val="24"/>
      <w:szCs w:val="20"/>
    </w:rPr>
  </w:style>
  <w:style w:type="paragraph" w:styleId="1168" w:customStyle="1">
    <w:name w:val="正文文本缩进2"/>
    <w:basedOn w:val="940"/>
    <w:uiPriority w:val="0"/>
    <w:qFormat/>
    <w:pPr>
      <w:ind w:firstLine="480"/>
      <w:spacing w:line="480" w:lineRule="exact"/>
    </w:pPr>
    <w:rPr>
      <w:rFonts w:ascii="宋体" w:hAnsi="宋体"/>
      <w:sz w:val="24"/>
      <w:lang w:val="zh-CN"/>
    </w:rPr>
  </w:style>
  <w:style w:type="paragraph" w:styleId="1169" w:customStyle="1">
    <w:name w:val="Char3"/>
    <w:basedOn w:val="940"/>
    <w:uiPriority w:val="0"/>
    <w:qFormat/>
    <w:pPr>
      <w:tabs>
        <w:tab w:val="left" w:pos="360" w:leader="none"/>
      </w:tabs>
    </w:pPr>
    <w:rPr>
      <w:sz w:val="24"/>
    </w:rPr>
  </w:style>
  <w:style w:type="paragraph" w:styleId="1170" w:customStyle="1">
    <w:name w:val="Char Char Char Char Char Char Char Char Char Char Char Char Char Char Char Char1"/>
    <w:basedOn w:val="940"/>
    <w:uiPriority w:val="0"/>
    <w:qFormat/>
    <w:pPr>
      <w:jc w:val="center"/>
      <w:spacing w:after="160" w:line="240" w:lineRule="exact"/>
      <w:widowControl/>
    </w:pPr>
    <w:rPr>
      <w:rFonts w:ascii="宋体" w:hAnsi="宋体"/>
      <w:b/>
      <w:sz w:val="30"/>
      <w:szCs w:val="30"/>
      <w:lang w:eastAsia="en-US"/>
    </w:rPr>
  </w:style>
  <w:style w:type="paragraph" w:styleId="1171" w:customStyle="1">
    <w:name w:val="Char Char1 Char Char Char Char Char Char1"/>
    <w:basedOn w:val="940"/>
    <w:uiPriority w:val="0"/>
    <w:qFormat/>
    <w:pPr>
      <w:jc w:val="left"/>
      <w:spacing w:after="160" w:line="240" w:lineRule="exact"/>
      <w:widowControl/>
    </w:pPr>
    <w:rPr>
      <w:rFonts w:ascii="Verdana" w:hAnsi="Verdana" w:eastAsia="仿宋_GB2312"/>
      <w:sz w:val="24"/>
      <w:szCs w:val="20"/>
      <w:lang w:eastAsia="en-US"/>
    </w:rPr>
  </w:style>
  <w:style w:type="paragraph" w:styleId="1172" w:customStyle="1">
    <w:name w:val="列出段落2"/>
    <w:basedOn w:val="940"/>
    <w:uiPriority w:val="0"/>
    <w:qFormat/>
    <w:pPr>
      <w:ind w:firstLine="420"/>
    </w:pPr>
    <w:rPr>
      <w:rFonts w:ascii="Calibri" w:hAnsi="Calibri"/>
      <w:szCs w:val="22"/>
    </w:rPr>
  </w:style>
  <w:style w:type="paragraph" w:styleId="1173" w:customStyle="1">
    <w:name w:val="Char Char Char1 Char2"/>
    <w:basedOn w:val="940"/>
    <w:uiPriority w:val="0"/>
    <w:qFormat/>
    <w:rPr>
      <w:rFonts w:ascii="Tahoma" w:hAnsi="Tahoma"/>
      <w:sz w:val="24"/>
      <w:szCs w:val="20"/>
    </w:rPr>
  </w:style>
  <w:style w:type="paragraph" w:styleId="1174" w:customStyle="1">
    <w:name w:val="Char Char Char2"/>
    <w:basedOn w:val="940"/>
    <w:uiPriority w:val="0"/>
    <w:qFormat/>
    <w:rPr>
      <w:rFonts w:ascii="Tahoma" w:hAnsi="Tahoma"/>
      <w:sz w:val="24"/>
      <w:szCs w:val="20"/>
    </w:rPr>
  </w:style>
  <w:style w:type="paragraph" w:styleId="1175" w:customStyle="1">
    <w:name w:val="Char Char Char Char Char Char Char2"/>
    <w:basedOn w:val="940"/>
    <w:uiPriority w:val="0"/>
    <w:qFormat/>
    <w:pPr>
      <w:ind w:firstLine="200"/>
      <w:spacing w:line="360" w:lineRule="auto"/>
    </w:pPr>
    <w:rPr>
      <w:rFonts w:eastAsia="仿宋_GB2312"/>
      <w:sz w:val="24"/>
    </w:rPr>
  </w:style>
  <w:style w:type="paragraph" w:styleId="1176" w:customStyle="1">
    <w:name w:val="正文缩进2"/>
    <w:basedOn w:val="940"/>
    <w:uiPriority w:val="0"/>
    <w:qFormat/>
    <w:pPr>
      <w:ind w:firstLine="567"/>
      <w:spacing w:line="480" w:lineRule="exact"/>
      <w:widowControl/>
    </w:pPr>
    <w:rPr>
      <w:rFonts w:ascii="宋体"/>
      <w:color w:val="000000"/>
      <w:sz w:val="28"/>
      <w:szCs w:val="20"/>
      <w:lang w:val="zh-CN"/>
    </w:rPr>
  </w:style>
  <w:style w:type="paragraph" w:styleId="1177" w:customStyle="1">
    <w:name w:val="修订1"/>
    <w:uiPriority w:val="0"/>
    <w:qFormat/>
    <w:rPr>
      <w:rFonts w:ascii="Times New Roman" w:hAnsi="Times New Roman" w:eastAsia="宋体" w:cs="Times New Roman"/>
      <w:sz w:val="21"/>
      <w:szCs w:val="24"/>
      <w:lang w:val="en-US" w:eastAsia="zh-CN" w:bidi="ar-SA"/>
    </w:rPr>
  </w:style>
  <w:style w:type="paragraph" w:styleId="1178" w:customStyle="1">
    <w:name w:val="Char22"/>
    <w:basedOn w:val="940"/>
    <w:uiPriority w:val="0"/>
    <w:qFormat/>
    <w:rPr>
      <w:rFonts w:ascii="Tahoma" w:hAnsi="Tahoma"/>
      <w:sz w:val="24"/>
      <w:szCs w:val="20"/>
    </w:rPr>
  </w:style>
  <w:style w:type="paragraph" w:styleId="1179" w:customStyle="1">
    <w:name w:val="Char Char Char Char Char Char Char Char Char Char2"/>
    <w:basedOn w:val="940"/>
    <w:uiPriority w:val="0"/>
    <w:qFormat/>
    <w:rPr>
      <w:rFonts w:ascii="宋体" w:hAnsi="宋体" w:cs="Courier New"/>
      <w:sz w:val="32"/>
      <w:szCs w:val="32"/>
    </w:rPr>
  </w:style>
  <w:style w:type="paragraph" w:styleId="1180" w:customStyle="1">
    <w:name w:val="Char2 Char Char Char Char Char Char1"/>
    <w:basedOn w:val="940"/>
    <w:uiPriority w:val="0"/>
    <w:qFormat/>
    <w:pPr>
      <w:jc w:val="center"/>
      <w:spacing w:line="400" w:lineRule="exact"/>
      <w:widowControl/>
    </w:pPr>
  </w:style>
  <w:style w:type="character" w:styleId="1181" w:customStyle="1">
    <w:name w:val="页脚 Char"/>
    <w:uiPriority w:val="0"/>
    <w:qFormat/>
    <w:rPr>
      <w:rFonts w:ascii="宋体" w:eastAsia="宋体"/>
      <w:sz w:val="18"/>
      <w:lang w:val="en-US" w:eastAsia="zh-CN" w:bidi="ar-SA"/>
    </w:rPr>
  </w:style>
  <w:style w:type="paragraph" w:styleId="1182" w:customStyle="1">
    <w:name w:val="Char Char41"/>
    <w:basedOn w:val="940"/>
    <w:uiPriority w:val="0"/>
    <w:qFormat/>
    <w:pPr>
      <w:jc w:val="center"/>
      <w:spacing w:line="400" w:lineRule="exact"/>
      <w:widowControl/>
    </w:pPr>
  </w:style>
  <w:style w:type="character" w:styleId="1183" w:customStyle="1">
    <w:name w:val="批注文字 Char"/>
    <w:uiPriority w:val="99"/>
    <w:qFormat/>
    <w:rPr>
      <w:sz w:val="21"/>
      <w:szCs w:val="24"/>
    </w:rPr>
  </w:style>
  <w:style w:type="character" w:styleId="1184" w:customStyle="1">
    <w:name w:val="标题 Char"/>
    <w:uiPriority w:val="0"/>
    <w:qFormat/>
    <w:rPr>
      <w:b/>
      <w:sz w:val="32"/>
    </w:rPr>
  </w:style>
  <w:style w:type="paragraph" w:styleId="1185" w:customStyle="1">
    <w:name w:val="图例"/>
    <w:basedOn w:val="940"/>
    <w:uiPriority w:val="0"/>
    <w:qFormat/>
    <w:pPr>
      <w:jc w:val="center"/>
      <w:spacing w:before="120" w:after="120" w:line="360" w:lineRule="auto"/>
    </w:pPr>
    <w:rPr>
      <w:rFonts w:eastAsia="仿宋_GB2312"/>
      <w:b/>
      <w:sz w:val="24"/>
      <w:szCs w:val="20"/>
    </w:rPr>
  </w:style>
  <w:style w:type="table" w:styleId="118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7" w:customStyle="1">
    <w:name w:val="Table Paragraph"/>
    <w:basedOn w:val="940"/>
    <w:uiPriority w:val="1"/>
    <w:qFormat/>
    <w:pPr>
      <w:jc w:val="left"/>
    </w:pPr>
    <w:rPr>
      <w:rFonts w:ascii="宋体" w:hAnsi="宋体" w:cs="宋体"/>
      <w:sz w:val="22"/>
      <w:szCs w:val="22"/>
      <w:lang w:eastAsia="en-US"/>
    </w:rPr>
  </w:style>
  <w:style w:type="paragraph" w:styleId="1188" w:customStyle="1">
    <w:name w:val="成文日期"/>
    <w:basedOn w:val="940"/>
    <w:link w:val="1189"/>
    <w:uiPriority w:val="0"/>
    <w:qFormat/>
    <w:pPr>
      <w:ind w:right="400" w:firstLine="200"/>
      <w:jc w:val="right"/>
      <w:spacing w:line="570" w:lineRule="exact"/>
    </w:pPr>
    <w:rPr>
      <w:rFonts w:ascii="仿宋_GB2312" w:eastAsia="仿宋_GB2312"/>
      <w:sz w:val="32"/>
      <w:szCs w:val="20"/>
    </w:rPr>
  </w:style>
  <w:style w:type="character" w:styleId="1189" w:customStyle="1">
    <w:name w:val="成文日期 Char"/>
    <w:link w:val="1188"/>
    <w:uiPriority w:val="0"/>
    <w:qFormat/>
    <w:rPr>
      <w:rFonts w:ascii="仿宋_GB2312" w:eastAsia="仿宋_GB2312"/>
      <w:sz w:val="32"/>
    </w:rPr>
  </w:style>
  <w:style w:type="paragraph" w:styleId="1190" w:customStyle="1">
    <w:name w:val="_Style 249"/>
    <w:uiPriority w:val="99"/>
    <w:unhideWhenUsed/>
    <w:qFormat/>
    <w:rPr>
      <w:rFonts w:ascii="Times New Roman" w:hAnsi="Times New Roman" w:eastAsia="宋体" w:cs="Times New Roman"/>
      <w:sz w:val="21"/>
      <w:szCs w:val="24"/>
      <w:lang w:val="en-US" w:eastAsia="zh-CN" w:bidi="ar-SA"/>
    </w:rPr>
  </w:style>
  <w:style w:type="paragraph" w:styleId="1191" w:customStyle="1">
    <w:name w:val="正文（缩进）"/>
    <w:basedOn w:val="940"/>
    <w:uiPriority w:val="0"/>
    <w:qFormat/>
    <w:pPr>
      <w:ind w:firstLine="480"/>
    </w:pPr>
  </w:style>
  <w:style w:type="character" w:styleId="1192" w:customStyle="1">
    <w:name w:val="l-btn-text36"/>
    <w:uiPriority w:val="0"/>
    <w:qFormat/>
  </w:style>
  <w:style w:type="character" w:styleId="1193" w:customStyle="1">
    <w:name w:val="current"/>
    <w:uiPriority w:val="0"/>
    <w:qFormat/>
    <w:rPr>
      <w:b/>
      <w:bCs/>
      <w:color w:val="05a7d8"/>
      <w:sz w:val="18"/>
      <w:szCs w:val="18"/>
    </w:rPr>
  </w:style>
  <w:style w:type="character" w:styleId="1194" w:customStyle="1">
    <w:name w:val="l-btn-left"/>
    <w:uiPriority w:val="0"/>
    <w:qFormat/>
  </w:style>
  <w:style w:type="character" w:styleId="1195" w:customStyle="1">
    <w:name w:val="tree-title3"/>
    <w:uiPriority w:val="0"/>
    <w:qFormat/>
    <w:rPr>
      <w:sz w:val="18"/>
      <w:szCs w:val="18"/>
      <w:u w:val="none"/>
    </w:rPr>
  </w:style>
  <w:style w:type="character" w:styleId="1196" w:customStyle="1">
    <w:name w:val="l-btn-text"/>
    <w:uiPriority w:val="0"/>
    <w:qFormat/>
  </w:style>
  <w:style w:type="character" w:styleId="1197" w:customStyle="1">
    <w:name w:val="l-btn-text35"/>
    <w:uiPriority w:val="0"/>
    <w:qFormat/>
  </w:style>
  <w:style w:type="character" w:styleId="1198" w:customStyle="1">
    <w:name w:val="l-btn-text25"/>
    <w:uiPriority w:val="0"/>
    <w:qFormat/>
  </w:style>
  <w:style w:type="paragraph" w:styleId="1199" w:customStyle="1">
    <w:name w:val="段"/>
    <w:next w:val="940"/>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00" w:customStyle="1">
    <w:name w:val="正文1"/>
    <w:basedOn w:val="940"/>
    <w:next w:val="940"/>
    <w:uiPriority w:val="0"/>
    <w:qFormat/>
    <w:pPr>
      <w:ind w:left="420" w:firstLine="527"/>
      <w:spacing w:before="120" w:line="360" w:lineRule="auto"/>
    </w:pPr>
    <w:rPr>
      <w:rFonts w:ascii="宋体" w:hAnsi="宋体"/>
    </w:rPr>
  </w:style>
  <w:style w:type="character" w:styleId="1201" w:customStyle="1">
    <w:name w:val="font151"/>
    <w:uiPriority w:val="0"/>
    <w:qFormat/>
    <w:rPr>
      <w:rFonts w:ascii="Arial" w:hAnsi="Arial" w:cs="Arial"/>
      <w:color w:val="000000"/>
      <w:sz w:val="16"/>
      <w:szCs w:val="16"/>
      <w:u w:val="none"/>
    </w:rPr>
  </w:style>
  <w:style w:type="character" w:styleId="1202" w:customStyle="1">
    <w:name w:val="font161"/>
    <w:uiPriority w:val="0"/>
    <w:qFormat/>
    <w:rPr>
      <w:rFonts w:hint="eastAsia" w:ascii="宋体" w:hAnsi="宋体" w:eastAsia="宋体" w:cs="宋体"/>
      <w:color w:val="000000"/>
      <w:sz w:val="16"/>
      <w:szCs w:val="16"/>
      <w:u w:val="none"/>
    </w:rPr>
  </w:style>
  <w:style w:type="paragraph" w:styleId="1203" w:customStyle="1">
    <w:name w:val="列表段落1"/>
    <w:basedOn w:val="940"/>
    <w:uiPriority w:val="34"/>
    <w:qFormat/>
    <w:pPr>
      <w:ind w:firstLine="420"/>
    </w:pPr>
  </w:style>
  <w:style w:type="character" w:styleId="1204" w:customStyle="1">
    <w:name w:val="font181"/>
    <w:uiPriority w:val="0"/>
    <w:qFormat/>
    <w:rPr>
      <w:rFonts w:ascii="微软雅黑" w:hAnsi="微软雅黑" w:eastAsia="微软雅黑" w:cs="微软雅黑"/>
      <w:color w:val="000000"/>
      <w:sz w:val="18"/>
      <w:szCs w:val="18"/>
      <w:u w:val="none"/>
    </w:rPr>
  </w:style>
  <w:style w:type="paragraph" w:styleId="12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6" w:customStyle="1">
    <w:name w:val="正文文本1"/>
    <w:basedOn w:val="940"/>
    <w:uiPriority w:val="0"/>
    <w:qFormat/>
    <w:pPr>
      <w:spacing w:before="120" w:line="22" w:lineRule="atLeast"/>
      <w:tabs>
        <w:tab w:val="left" w:pos="567" w:leader="none"/>
      </w:tabs>
    </w:pPr>
    <w:rPr>
      <w:rFonts w:ascii="宋体" w:hAnsi="宋体"/>
      <w:sz w:val="24"/>
    </w:rPr>
  </w:style>
  <w:style w:type="paragraph" w:styleId="1207" w:customStyle="1">
    <w:name w:val="Body text|1"/>
    <w:basedOn w:val="940"/>
    <w:uiPriority w:val="0"/>
    <w:qFormat/>
    <w:pPr>
      <w:spacing w:line="454" w:lineRule="auto"/>
    </w:pPr>
    <w:rPr>
      <w:rFonts w:ascii="宋体" w:hAnsi="宋体" w:cs="宋体"/>
      <w:sz w:val="19"/>
      <w:szCs w:val="19"/>
      <w:lang w:val="zh-TW" w:eastAsia="zh-TW" w:bidi="zh-TW"/>
    </w:rPr>
  </w:style>
  <w:style w:type="paragraph" w:styleId="1208" w:customStyle="1">
    <w:name w:val="列出段落3"/>
    <w:basedOn w:val="940"/>
    <w:uiPriority w:val="34"/>
    <w:qFormat/>
    <w:pPr>
      <w:ind w:firstLine="420"/>
    </w:pPr>
    <w:rPr>
      <w:rFonts w:ascii="Calibri" w:hAnsi="Calibri"/>
      <w:szCs w:val="22"/>
    </w:rPr>
  </w:style>
  <w:style w:type="character" w:styleId="1209" w:customStyle="1">
    <w:name w:val="font41"/>
    <w:basedOn w:val="950"/>
    <w:uiPriority w:val="0"/>
    <w:qFormat/>
    <w:rPr>
      <w:rFonts w:hint="eastAsia" w:ascii="宋体" w:hAnsi="宋体" w:eastAsia="宋体" w:cs="宋体"/>
      <w:color w:val="000000"/>
      <w:sz w:val="20"/>
      <w:szCs w:val="20"/>
      <w:u w:val="none"/>
    </w:rPr>
  </w:style>
  <w:style w:type="character" w:styleId="1210" w:customStyle="1">
    <w:name w:val="font11"/>
    <w:basedOn w:val="950"/>
    <w:uiPriority w:val="0"/>
    <w:qFormat/>
    <w:rPr>
      <w:rFonts w:hint="eastAsia" w:ascii="宋体" w:hAnsi="宋体" w:eastAsia="宋体" w:cs="宋体"/>
      <w:color w:val="000000"/>
      <w:sz w:val="22"/>
      <w:szCs w:val="22"/>
      <w:u w:val="none"/>
    </w:rPr>
  </w:style>
  <w:style w:type="character" w:styleId="1211" w:customStyle="1">
    <w:name w:val="font71"/>
    <w:basedOn w:val="950"/>
    <w:uiPriority w:val="0"/>
    <w:qFormat/>
    <w:rPr>
      <w:rFonts w:hint="default" w:ascii="Times New Roman" w:hAnsi="Times New Roman" w:cs="Times New Roman"/>
      <w:color w:val="000000"/>
      <w:sz w:val="22"/>
      <w:szCs w:val="22"/>
      <w:u w:val="none"/>
    </w:rPr>
  </w:style>
  <w:style w:type="paragraph" w:styleId="1212" w:customStyle="1">
    <w:name w:val="正文文本缩进11"/>
    <w:basedOn w:val="940"/>
    <w:next w:val="1213"/>
    <w:uiPriority w:val="0"/>
    <w:qFormat/>
    <w:pPr>
      <w:ind w:firstLine="570"/>
      <w:spacing w:line="360" w:lineRule="auto"/>
    </w:pPr>
    <w:rPr>
      <w:sz w:val="24"/>
    </w:rPr>
  </w:style>
  <w:style w:type="paragraph" w:styleId="1213" w:customStyle="1">
    <w:name w:val="寄信人地址1"/>
    <w:basedOn w:val="940"/>
    <w:uiPriority w:val="0"/>
    <w:qFormat/>
    <w:rPr>
      <w:rFonts w:ascii="Arial" w:hAnsi="Arial"/>
    </w:rPr>
  </w:style>
  <w:style w:type="paragraph" w:styleId="1214" w:customStyle="1">
    <w:name w:val="普通(网站)1"/>
    <w:basedOn w:val="940"/>
    <w:uiPriority w:val="99"/>
    <w:qFormat/>
    <w:pPr>
      <w:jc w:val="left"/>
      <w:spacing w:before="100" w:beforeAutospacing="1" w:after="100" w:afterAutospacing="1"/>
      <w:widowControl/>
    </w:pPr>
    <w:rPr>
      <w:rFonts w:ascii="Arial Unicode MS" w:hAnsi="Arial Unicode MS" w:eastAsia="Arial Unicode MS" w:cs="Arial Unicode MS"/>
      <w:sz w:val="24"/>
    </w:rPr>
  </w:style>
  <w:style w:type="paragraph" w:styleId="1215" w:customStyle="1">
    <w:name w:val="正文首行缩进1"/>
    <w:basedOn w:val="1216"/>
    <w:uiPriority w:val="99"/>
    <w:unhideWhenUsed/>
    <w:qFormat/>
    <w:pPr>
      <w:ind w:firstLine="420"/>
      <w:spacing w:before="0" w:after="120" w:line="240" w:lineRule="auto"/>
      <w:tabs>
        <w:tab w:val="left" w:pos="567" w:leader="none"/>
      </w:tabs>
    </w:pPr>
    <w:rPr>
      <w:rFonts w:ascii="Calibri" w:hAnsi="Calibri"/>
      <w:sz w:val="21"/>
      <w:szCs w:val="22"/>
    </w:rPr>
  </w:style>
  <w:style w:type="paragraph" w:styleId="1216" w:customStyle="1">
    <w:name w:val="正文文本11"/>
    <w:basedOn w:val="940"/>
    <w:next w:val="940"/>
    <w:uiPriority w:val="0"/>
    <w:qFormat/>
    <w:pPr>
      <w:spacing w:before="120" w:line="22" w:lineRule="atLeast"/>
      <w:tabs>
        <w:tab w:val="left" w:pos="567" w:leader="none"/>
      </w:tabs>
    </w:pPr>
    <w:rPr>
      <w:rFonts w:ascii="宋体" w:hAnsi="宋体"/>
      <w:sz w:val="24"/>
    </w:rPr>
  </w:style>
  <w:style w:type="paragraph" w:styleId="1217" w:customStyle="1">
    <w:name w:val="纯文本1"/>
    <w:basedOn w:val="940"/>
    <w:next w:val="1218"/>
    <w:uiPriority w:val="0"/>
    <w:qFormat/>
    <w:rPr>
      <w:rFonts w:hint="eastAsia" w:ascii="宋体" w:hAnsi="Courier New"/>
      <w:szCs w:val="20"/>
    </w:rPr>
  </w:style>
  <w:style w:type="paragraph" w:styleId="1218" w:customStyle="1">
    <w:name w:val="正文缩进111"/>
    <w:basedOn w:val="940"/>
    <w:next w:val="940"/>
    <w:uiPriority w:val="0"/>
    <w:qFormat/>
    <w:pPr>
      <w:ind w:firstLine="420"/>
      <w:jc w:val="left"/>
    </w:pPr>
    <w:rPr>
      <w:rFonts w:ascii="宋体"/>
      <w:sz w:val="24"/>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16</cp:revision>
  <dcterms:created xsi:type="dcterms:W3CDTF">2025-08-15T08:36:00Z</dcterms:created>
  <dcterms:modified xsi:type="dcterms:W3CDTF">2026-04-23T02:30:20Z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AE36944A5B2D4EC2BF342605A6D02568_13</vt:lpwstr>
  </property>
  <property fmtid="{D5CDD505-2E9C-101B-9397-08002B2CF9AE}" pid="4" name="KSOTemplateDocerSaveRecord">
    <vt:lpwstr>eyJoZGlkIjoiMDAxZWM5YTdkNmNmNzUxZTNmMjg3MTIwOGZlNTI4MjciLCJ1c2VySWQiOiI0Nzk0ODkxMDMifQ==</vt:lpwstr>
  </property>
</Properties>
</file>