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3A10BBE">
      <w:pPr>
        <w:pStyle w:val="23"/>
        <w:rPr>
          <w:b w:val="0"/>
          <w:bCs w:val="0"/>
          <w:color w:val="auto"/>
          <w:sz w:val="24"/>
          <w:szCs w:val="18"/>
          <w:highlight w:val="none"/>
          <w:lang w:val="zh-CN"/>
        </w:rPr>
      </w:pPr>
      <w:bookmarkStart w:id="0" w:name="_Toc13467"/>
      <w:bookmarkStart w:id="76" w:name="_GoBack"/>
    </w:p>
    <w:p w14:paraId="161843E8">
      <w:pPr>
        <w:spacing w:line="600" w:lineRule="exact"/>
        <w:ind w:left="0" w:firstLine="0" w:firstLineChars="0"/>
        <w:jc w:val="left"/>
        <w:rPr>
          <w:rFonts w:hint="eastAsia" w:ascii="华文仿宋" w:hAnsi="华文仿宋" w:eastAsia="华文仿宋" w:cs="华文仿宋"/>
          <w:color w:val="auto"/>
          <w:sz w:val="40"/>
          <w:szCs w:val="40"/>
          <w:highlight w:val="none"/>
        </w:rPr>
      </w:pPr>
      <w:r>
        <w:rPr>
          <w:rFonts w:hint="eastAsia" w:ascii="华文仿宋" w:hAnsi="华文仿宋" w:eastAsia="华文仿宋" w:cs="华文仿宋"/>
          <w:color w:val="auto"/>
          <w:sz w:val="40"/>
          <w:szCs w:val="40"/>
          <w:highlight w:val="none"/>
          <w:lang w:val="en-US" w:eastAsia="zh-CN"/>
        </w:rPr>
        <w:t xml:space="preserve">     </w:t>
      </w:r>
    </w:p>
    <w:p w14:paraId="344C595B">
      <w:pPr>
        <w:spacing w:line="600" w:lineRule="exact"/>
        <w:ind w:left="2736" w:hanging="3009" w:hangingChars="684"/>
        <w:jc w:val="center"/>
        <w:rPr>
          <w:rFonts w:hint="eastAsia" w:ascii="方正楷体_GBK" w:hAnsi="方正楷体_GBK" w:eastAsia="方正楷体_GBK" w:cs="方正楷体_GBK"/>
          <w:color w:val="auto"/>
          <w:sz w:val="44"/>
          <w:szCs w:val="44"/>
          <w:highlight w:val="none"/>
          <w:u w:val="single"/>
          <w:lang w:eastAsia="zh-CN"/>
        </w:rPr>
      </w:pPr>
    </w:p>
    <w:p w14:paraId="4C769AD7">
      <w:pPr>
        <w:jc w:val="center"/>
        <w:rPr>
          <w:rFonts w:hint="eastAsia" w:ascii="方正楷体_GBK" w:hAnsi="方正楷体_GBK" w:eastAsia="方正楷体_GBK" w:cs="方正楷体_GBK"/>
          <w:b/>
          <w:bCs/>
          <w:color w:val="auto"/>
          <w:sz w:val="48"/>
          <w:szCs w:val="48"/>
          <w:highlight w:val="none"/>
          <w:u w:val="none"/>
          <w:lang w:eastAsia="zh-CN"/>
        </w:rPr>
      </w:pPr>
      <w:r>
        <w:rPr>
          <w:rFonts w:hint="eastAsia" w:ascii="方正楷体_GBK" w:hAnsi="方正楷体_GBK" w:eastAsia="方正楷体_GBK" w:cs="方正楷体_GBK"/>
          <w:b/>
          <w:bCs/>
          <w:color w:val="auto"/>
          <w:sz w:val="48"/>
          <w:szCs w:val="48"/>
          <w:highlight w:val="none"/>
          <w:u w:val="none"/>
          <w:lang w:eastAsia="zh-CN"/>
        </w:rPr>
        <w:t>江苏省老年医院改造工程造价咨询服务</w:t>
      </w:r>
    </w:p>
    <w:p w14:paraId="1C5B9E2B">
      <w:pPr>
        <w:jc w:val="center"/>
        <w:rPr>
          <w:rFonts w:hint="eastAsia" w:ascii="华文楷体" w:hAnsi="华文楷体" w:eastAsia="华文楷体" w:cs="华文楷体"/>
          <w:b w:val="0"/>
          <w:bCs w:val="0"/>
          <w:color w:val="auto"/>
          <w:sz w:val="56"/>
          <w:szCs w:val="56"/>
          <w:highlight w:val="none"/>
          <w:lang w:val="en-US" w:eastAsia="zh-CN"/>
        </w:rPr>
      </w:pPr>
      <w:r>
        <w:rPr>
          <w:rFonts w:hint="eastAsia" w:ascii="方正楷体_GBK" w:hAnsi="方正楷体_GBK" w:eastAsia="方正楷体_GBK" w:cs="方正楷体_GBK"/>
          <w:b/>
          <w:bCs/>
          <w:color w:val="auto"/>
          <w:sz w:val="48"/>
          <w:szCs w:val="48"/>
          <w:highlight w:val="none"/>
          <w:u w:val="none"/>
          <w:lang w:eastAsia="zh-CN"/>
        </w:rPr>
        <w:t>（跟踪审计、决算审计）</w:t>
      </w:r>
    </w:p>
    <w:p w14:paraId="56D0D0B2">
      <w:pPr>
        <w:jc w:val="center"/>
        <w:rPr>
          <w:rFonts w:hint="eastAsia" w:ascii="黑体" w:hAnsi="宋体" w:eastAsia="黑体"/>
          <w:color w:val="auto"/>
          <w:sz w:val="44"/>
          <w:szCs w:val="44"/>
          <w:highlight w:val="none"/>
        </w:rPr>
      </w:pPr>
    </w:p>
    <w:p w14:paraId="142A9520">
      <w:pPr>
        <w:jc w:val="center"/>
        <w:rPr>
          <w:rFonts w:hint="eastAsia" w:ascii="方正小标宋_GBK" w:hAnsi="方正小标宋_GBK" w:eastAsia="方正小标宋_GBK" w:cs="方正小标宋_GBK"/>
          <w:b w:val="0"/>
          <w:bCs w:val="0"/>
          <w:color w:val="auto"/>
          <w:sz w:val="72"/>
          <w:szCs w:val="72"/>
          <w:highlight w:val="none"/>
        </w:rPr>
      </w:pPr>
      <w:r>
        <w:rPr>
          <w:rFonts w:hint="eastAsia" w:ascii="方正小标宋_GBK" w:hAnsi="方正小标宋_GBK" w:eastAsia="方正小标宋_GBK" w:cs="方正小标宋_GBK"/>
          <w:b w:val="0"/>
          <w:bCs w:val="0"/>
          <w:color w:val="auto"/>
          <w:sz w:val="72"/>
          <w:szCs w:val="72"/>
          <w:highlight w:val="none"/>
        </w:rPr>
        <w:t>竞争性磋商文件</w:t>
      </w:r>
    </w:p>
    <w:p w14:paraId="7BF2CD63">
      <w:pPr>
        <w:jc w:val="center"/>
        <w:rPr>
          <w:rFonts w:hint="eastAsia" w:ascii="华文楷体" w:hAnsi="华文楷体" w:eastAsia="华文楷体" w:cs="华文楷体"/>
          <w:b w:val="0"/>
          <w:bCs w:val="0"/>
          <w:color w:val="auto"/>
          <w:sz w:val="36"/>
          <w:szCs w:val="36"/>
          <w:highlight w:val="none"/>
          <w:lang w:eastAsia="zh-CN"/>
        </w:rPr>
      </w:pPr>
    </w:p>
    <w:p w14:paraId="1D7F6B70">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华文仿宋" w:hAnsi="华文仿宋" w:eastAsia="华文仿宋" w:cs="华文仿宋"/>
          <w:color w:val="auto"/>
          <w:sz w:val="32"/>
          <w:szCs w:val="32"/>
          <w:highlight w:val="none"/>
        </w:rPr>
      </w:pPr>
    </w:p>
    <w:p w14:paraId="7CC6150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华文仿宋" w:hAnsi="华文仿宋" w:eastAsia="华文仿宋" w:cs="华文仿宋"/>
          <w:color w:val="auto"/>
          <w:sz w:val="32"/>
          <w:szCs w:val="32"/>
          <w:highlight w:val="none"/>
        </w:rPr>
      </w:pPr>
    </w:p>
    <w:p w14:paraId="740096C9">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华文仿宋" w:hAnsi="华文仿宋" w:eastAsia="华文仿宋" w:cs="华文仿宋"/>
          <w:color w:val="auto"/>
          <w:sz w:val="32"/>
          <w:szCs w:val="32"/>
          <w:highlight w:val="none"/>
        </w:rPr>
      </w:pPr>
    </w:p>
    <w:p w14:paraId="2DC3AA4F">
      <w:pPr>
        <w:pStyle w:val="24"/>
        <w:keepNext w:val="0"/>
        <w:keepLines w:val="0"/>
        <w:pageBreakBefore w:val="0"/>
        <w:widowControl w:val="0"/>
        <w:tabs>
          <w:tab w:val="left" w:pos="0"/>
          <w:tab w:val="left" w:pos="993"/>
          <w:tab w:val="left" w:pos="1134"/>
        </w:tabs>
        <w:kinsoku/>
        <w:wordWrap/>
        <w:overflowPunct/>
        <w:topLinePunct w:val="0"/>
        <w:autoSpaceDE/>
        <w:autoSpaceDN/>
        <w:bidi w:val="0"/>
        <w:adjustRightInd/>
        <w:snapToGrid/>
        <w:spacing w:line="360" w:lineRule="auto"/>
        <w:jc w:val="center"/>
        <w:textAlignment w:val="auto"/>
        <w:rPr>
          <w:rFonts w:hint="default" w:ascii="方正楷体_GBK" w:hAnsi="方正楷体_GBK" w:eastAsia="方正楷体_GBK" w:cs="方正楷体_GBK"/>
          <w:b w:val="0"/>
          <w:bCs w:val="0"/>
          <w:color w:val="auto"/>
          <w:sz w:val="44"/>
          <w:szCs w:val="44"/>
          <w:highlight w:val="none"/>
          <w:u w:val="single"/>
          <w:lang w:val="en-US" w:eastAsia="zh-CN"/>
        </w:rPr>
      </w:pPr>
      <w:r>
        <w:rPr>
          <w:rFonts w:hint="eastAsia" w:ascii="方正楷体_GBK" w:hAnsi="方正楷体_GBK" w:eastAsia="方正楷体_GBK" w:cs="方正楷体_GBK"/>
          <w:color w:val="auto"/>
          <w:sz w:val="44"/>
          <w:szCs w:val="44"/>
          <w:highlight w:val="none"/>
          <w:u w:val="none"/>
        </w:rPr>
        <w:t>项目编号</w:t>
      </w:r>
      <w:r>
        <w:rPr>
          <w:rFonts w:hint="eastAsia" w:ascii="方正楷体_GBK" w:hAnsi="方正楷体_GBK" w:eastAsia="方正楷体_GBK" w:cs="方正楷体_GBK"/>
          <w:color w:val="auto"/>
          <w:sz w:val="44"/>
          <w:szCs w:val="44"/>
          <w:highlight w:val="none"/>
          <w:u w:val="none"/>
          <w:lang w:eastAsia="zh-CN"/>
        </w:rPr>
        <w:t>：</w:t>
      </w:r>
      <w:r>
        <w:rPr>
          <w:rFonts w:hint="eastAsia" w:ascii="方正楷体_GBK" w:hAnsi="方正楷体_GBK" w:eastAsia="方正楷体_GBK" w:cs="方正楷体_GBK"/>
          <w:color w:val="auto"/>
          <w:sz w:val="44"/>
          <w:szCs w:val="44"/>
          <w:highlight w:val="none"/>
          <w:u w:val="single"/>
          <w:lang w:val="en-US" w:eastAsia="zh-CN"/>
        </w:rPr>
        <w:t>JSZC-320000-JSJX-C2026-0001</w:t>
      </w:r>
    </w:p>
    <w:p w14:paraId="189E007D">
      <w:pPr>
        <w:pStyle w:val="24"/>
        <w:keepNext w:val="0"/>
        <w:keepLines w:val="0"/>
        <w:pageBreakBefore w:val="0"/>
        <w:widowControl w:val="0"/>
        <w:tabs>
          <w:tab w:val="left" w:pos="0"/>
          <w:tab w:val="left" w:pos="993"/>
          <w:tab w:val="left" w:pos="1134"/>
        </w:tabs>
        <w:kinsoku/>
        <w:wordWrap/>
        <w:overflowPunct/>
        <w:topLinePunct w:val="0"/>
        <w:autoSpaceDE/>
        <w:autoSpaceDN/>
        <w:bidi w:val="0"/>
        <w:adjustRightInd/>
        <w:snapToGrid/>
        <w:spacing w:line="360" w:lineRule="auto"/>
        <w:ind w:firstLine="0" w:firstLineChars="0"/>
        <w:jc w:val="center"/>
        <w:textAlignment w:val="auto"/>
        <w:rPr>
          <w:rFonts w:hint="eastAsia" w:ascii="方正楷体_GBK" w:hAnsi="方正楷体_GBK" w:eastAsia="方正楷体_GBK" w:cs="方正楷体_GBK"/>
          <w:b w:val="0"/>
          <w:bCs w:val="0"/>
          <w:color w:val="auto"/>
          <w:sz w:val="44"/>
          <w:szCs w:val="44"/>
          <w:highlight w:val="none"/>
          <w:u w:val="single"/>
          <w:lang w:val="en-US" w:eastAsia="zh-CN"/>
        </w:rPr>
      </w:pPr>
      <w:r>
        <w:rPr>
          <w:rFonts w:hint="eastAsia" w:ascii="方正楷体_GBK" w:hAnsi="方正楷体_GBK" w:eastAsia="方正楷体_GBK" w:cs="方正楷体_GBK"/>
          <w:b w:val="0"/>
          <w:bCs w:val="0"/>
          <w:color w:val="auto"/>
          <w:sz w:val="44"/>
          <w:szCs w:val="44"/>
          <w:highlight w:val="none"/>
          <w:u w:val="none"/>
          <w:lang w:val="en-US" w:eastAsia="zh-CN"/>
        </w:rPr>
        <w:t xml:space="preserve">  采购项目：</w:t>
      </w:r>
      <w:r>
        <w:rPr>
          <w:rFonts w:hint="eastAsia" w:ascii="方正楷体_GBK" w:hAnsi="方正楷体_GBK" w:eastAsia="方正楷体_GBK" w:cs="方正楷体_GBK"/>
          <w:b w:val="0"/>
          <w:bCs w:val="0"/>
          <w:color w:val="auto"/>
          <w:sz w:val="44"/>
          <w:szCs w:val="44"/>
          <w:highlight w:val="none"/>
          <w:u w:val="single"/>
          <w:lang w:val="en-US" w:eastAsia="zh-CN"/>
        </w:rPr>
        <w:t>造价咨询服务</w:t>
      </w:r>
    </w:p>
    <w:p w14:paraId="11939E7E">
      <w:pPr>
        <w:pStyle w:val="66"/>
        <w:rPr>
          <w:rFonts w:hint="eastAsia" w:ascii="华文仿宋" w:hAnsi="华文仿宋" w:eastAsia="华文仿宋" w:cs="华文仿宋"/>
          <w:b w:val="0"/>
          <w:bCs w:val="0"/>
          <w:color w:val="auto"/>
          <w:sz w:val="44"/>
          <w:szCs w:val="44"/>
          <w:highlight w:val="none"/>
          <w:u w:val="single"/>
          <w:lang w:val="en-US" w:eastAsia="zh-CN"/>
        </w:rPr>
      </w:pPr>
    </w:p>
    <w:p w14:paraId="3C0B3264">
      <w:pPr>
        <w:pStyle w:val="66"/>
        <w:rPr>
          <w:rFonts w:hint="default" w:ascii="华文仿宋" w:hAnsi="华文仿宋" w:eastAsia="华文仿宋" w:cs="华文仿宋"/>
          <w:b w:val="0"/>
          <w:bCs w:val="0"/>
          <w:color w:val="auto"/>
          <w:sz w:val="44"/>
          <w:szCs w:val="44"/>
          <w:highlight w:val="none"/>
          <w:u w:val="single"/>
          <w:lang w:val="en-US" w:eastAsia="zh-CN"/>
        </w:rPr>
      </w:pPr>
    </w:p>
    <w:p w14:paraId="13B21F5F">
      <w:pPr>
        <w:spacing w:line="240" w:lineRule="auto"/>
        <w:jc w:val="center"/>
        <w:rPr>
          <w:rFonts w:hint="eastAsia" w:ascii="华文仿宋" w:hAnsi="华文仿宋" w:eastAsia="华文仿宋" w:cs="华文仿宋"/>
          <w:color w:val="auto"/>
          <w:sz w:val="44"/>
          <w:szCs w:val="44"/>
          <w:highlight w:val="none"/>
          <w:u w:val="none"/>
          <w:lang w:val="en-US" w:eastAsia="zh-CN"/>
        </w:rPr>
      </w:pPr>
      <w:r>
        <w:rPr>
          <w:rFonts w:hint="eastAsia" w:ascii="华文仿宋" w:hAnsi="华文仿宋" w:eastAsia="华文仿宋" w:cs="华文仿宋"/>
          <w:color w:val="auto"/>
          <w:sz w:val="44"/>
          <w:szCs w:val="44"/>
          <w:highlight w:val="none"/>
          <w:lang w:val="zh-CN"/>
        </w:rPr>
        <w:t>采</w:t>
      </w:r>
      <w:r>
        <w:rPr>
          <w:rFonts w:hint="eastAsia" w:ascii="华文仿宋" w:hAnsi="华文仿宋" w:eastAsia="华文仿宋" w:cs="华文仿宋"/>
          <w:color w:val="auto"/>
          <w:sz w:val="44"/>
          <w:szCs w:val="44"/>
          <w:highlight w:val="none"/>
        </w:rPr>
        <w:t xml:space="preserve"> </w:t>
      </w:r>
      <w:r>
        <w:rPr>
          <w:rFonts w:hint="eastAsia" w:ascii="华文仿宋" w:hAnsi="华文仿宋" w:eastAsia="华文仿宋" w:cs="华文仿宋"/>
          <w:color w:val="auto"/>
          <w:sz w:val="44"/>
          <w:szCs w:val="44"/>
          <w:highlight w:val="none"/>
          <w:lang w:val="zh-CN"/>
        </w:rPr>
        <w:t>购</w:t>
      </w:r>
      <w:r>
        <w:rPr>
          <w:rFonts w:hint="eastAsia" w:ascii="华文仿宋" w:hAnsi="华文仿宋" w:eastAsia="华文仿宋" w:cs="华文仿宋"/>
          <w:color w:val="auto"/>
          <w:sz w:val="44"/>
          <w:szCs w:val="44"/>
          <w:highlight w:val="none"/>
        </w:rPr>
        <w:t xml:space="preserve"> </w:t>
      </w:r>
      <w:r>
        <w:rPr>
          <w:rFonts w:hint="eastAsia" w:ascii="华文仿宋" w:hAnsi="华文仿宋" w:eastAsia="华文仿宋" w:cs="华文仿宋"/>
          <w:color w:val="auto"/>
          <w:sz w:val="44"/>
          <w:szCs w:val="44"/>
          <w:highlight w:val="none"/>
          <w:lang w:val="zh-CN"/>
        </w:rPr>
        <w:t>人：</w:t>
      </w:r>
      <w:r>
        <w:rPr>
          <w:rFonts w:hint="eastAsia" w:ascii="华文仿宋" w:hAnsi="华文仿宋" w:eastAsia="华文仿宋" w:cs="华文仿宋"/>
          <w:color w:val="auto"/>
          <w:sz w:val="44"/>
          <w:szCs w:val="44"/>
          <w:highlight w:val="none"/>
          <w:u w:val="none"/>
          <w:lang w:val="zh-CN"/>
        </w:rPr>
        <w:t>江苏省机关事务管理局</w:t>
      </w:r>
    </w:p>
    <w:p w14:paraId="1AF4C7A3">
      <w:pPr>
        <w:spacing w:line="240" w:lineRule="auto"/>
        <w:ind w:firstLine="1258" w:firstLineChars="286"/>
        <w:jc w:val="left"/>
        <w:rPr>
          <w:rFonts w:hint="eastAsia" w:ascii="宋体" w:hAnsi="宋体" w:cs="宋体"/>
          <w:color w:val="auto"/>
          <w:sz w:val="44"/>
          <w:szCs w:val="44"/>
          <w:highlight w:val="none"/>
          <w:lang w:val="zh-CN"/>
        </w:rPr>
      </w:pPr>
      <w:r>
        <w:rPr>
          <w:rFonts w:hint="eastAsia" w:ascii="华文仿宋" w:hAnsi="华文仿宋" w:eastAsia="华文仿宋" w:cs="华文仿宋"/>
          <w:color w:val="auto"/>
          <w:sz w:val="44"/>
          <w:szCs w:val="44"/>
          <w:highlight w:val="none"/>
          <w:lang w:val="zh-CN"/>
        </w:rPr>
        <w:t>代理机构：</w:t>
      </w:r>
      <w:r>
        <w:rPr>
          <w:rFonts w:hint="eastAsia" w:ascii="华文仿宋" w:hAnsi="华文仿宋" w:eastAsia="华文仿宋" w:cs="华文仿宋"/>
          <w:color w:val="auto"/>
          <w:sz w:val="44"/>
          <w:szCs w:val="44"/>
          <w:highlight w:val="none"/>
          <w:u w:val="none"/>
          <w:lang w:val="zh-CN"/>
        </w:rPr>
        <w:t>江苏省建信招投标有限公司</w:t>
      </w:r>
    </w:p>
    <w:p w14:paraId="01BC7EA5">
      <w:pPr>
        <w:jc w:val="center"/>
        <w:rPr>
          <w:rFonts w:hint="eastAsia" w:ascii="方正小标宋_GBK" w:hAnsi="方正小标宋_GBK" w:eastAsia="方正小标宋_GBK" w:cs="方正小标宋_GBK"/>
          <w:b/>
          <w:bCs/>
          <w:color w:val="auto"/>
          <w:sz w:val="36"/>
          <w:szCs w:val="36"/>
          <w:highlight w:val="none"/>
        </w:rPr>
      </w:pPr>
      <w:bookmarkStart w:id="1" w:name="_Toc23476"/>
    </w:p>
    <w:p w14:paraId="41324C3D">
      <w:pPr>
        <w:jc w:val="center"/>
        <w:rPr>
          <w:rFonts w:hint="eastAsia" w:ascii="方正小标宋_GBK" w:hAnsi="方正小标宋_GBK" w:eastAsia="方正小标宋_GBK" w:cs="方正小标宋_GBK"/>
          <w:b/>
          <w:bCs/>
          <w:color w:val="auto"/>
          <w:sz w:val="36"/>
          <w:szCs w:val="36"/>
          <w:highlight w:val="none"/>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rPr>
        <w:t>二〇二</w:t>
      </w:r>
      <w:r>
        <w:rPr>
          <w:rFonts w:hint="eastAsia" w:ascii="华文仿宋" w:hAnsi="华文仿宋" w:eastAsia="华文仿宋" w:cs="华文仿宋"/>
          <w:color w:val="auto"/>
          <w:sz w:val="36"/>
          <w:szCs w:val="36"/>
          <w:highlight w:val="none"/>
          <w:lang w:val="en-US" w:eastAsia="zh-CN"/>
        </w:rPr>
        <w:t>六</w:t>
      </w:r>
      <w:r>
        <w:rPr>
          <w:rFonts w:hint="eastAsia" w:ascii="华文仿宋" w:hAnsi="华文仿宋" w:eastAsia="华文仿宋" w:cs="华文仿宋"/>
          <w:color w:val="auto"/>
          <w:sz w:val="36"/>
          <w:szCs w:val="36"/>
          <w:highlight w:val="none"/>
        </w:rPr>
        <w:t>年</w:t>
      </w:r>
      <w:r>
        <w:rPr>
          <w:rFonts w:hint="eastAsia" w:ascii="华文仿宋" w:hAnsi="华文仿宋" w:eastAsia="华文仿宋" w:cs="华文仿宋"/>
          <w:color w:val="auto"/>
          <w:sz w:val="36"/>
          <w:szCs w:val="36"/>
          <w:highlight w:val="none"/>
          <w:u w:val="none"/>
          <w:lang w:val="en-US" w:eastAsia="zh-CN"/>
        </w:rPr>
        <w:t>五</w:t>
      </w:r>
      <w:r>
        <w:rPr>
          <w:rFonts w:hint="eastAsia" w:ascii="华文仿宋" w:hAnsi="华文仿宋" w:eastAsia="华文仿宋" w:cs="华文仿宋"/>
          <w:color w:val="auto"/>
          <w:sz w:val="36"/>
          <w:szCs w:val="36"/>
          <w:highlight w:val="none"/>
        </w:rPr>
        <w:t>月</w:t>
      </w:r>
    </w:p>
    <w:p w14:paraId="1EE8B24A">
      <w:pPr>
        <w:pageBreakBefore/>
        <w:jc w:val="center"/>
        <w:rPr>
          <w:rFonts w:hint="eastAsia" w:ascii="方正小标宋_GBK" w:hAnsi="方正小标宋_GBK" w:eastAsia="方正小标宋_GBK" w:cs="方正小标宋_GBK"/>
          <w:b/>
          <w:bCs/>
          <w:color w:val="auto"/>
          <w:sz w:val="36"/>
          <w:szCs w:val="36"/>
          <w:highlight w:val="none"/>
        </w:rPr>
        <w:sectPr>
          <w:headerReference r:id="rId3" w:type="default"/>
          <w:footerReference r:id="rId4" w:type="default"/>
          <w:pgSz w:w="11906" w:h="16838"/>
          <w:pgMar w:top="1440" w:right="1080" w:bottom="1440" w:left="1080" w:header="720" w:footer="720" w:gutter="0"/>
          <w:pgNumType w:fmt="decimal"/>
          <w:cols w:space="720" w:num="1"/>
        </w:sectPr>
      </w:pPr>
    </w:p>
    <w:p w14:paraId="48F2B641">
      <w:pPr>
        <w:pageBreakBefore/>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t>目 录</w:t>
      </w:r>
      <w:bookmarkEnd w:id="0"/>
      <w:bookmarkEnd w:id="1"/>
    </w:p>
    <w:p w14:paraId="0A7BF5DE">
      <w:pPr>
        <w:pStyle w:val="47"/>
        <w:tabs>
          <w:tab w:val="right" w:leader="dot" w:pos="9746"/>
        </w:tabs>
        <w:rPr>
          <w:rFonts w:hint="eastAsia" w:ascii="方正仿宋_GBK" w:hAnsi="方正仿宋_GBK" w:eastAsia="方正仿宋_GBK" w:cs="方正仿宋_GBK"/>
          <w:color w:val="auto"/>
          <w:sz w:val="28"/>
          <w:szCs w:val="28"/>
          <w:highlight w:val="none"/>
        </w:rPr>
      </w:pPr>
    </w:p>
    <w:p w14:paraId="31C2D74D">
      <w:pPr>
        <w:pStyle w:val="47"/>
        <w:tabs>
          <w:tab w:val="right" w:leader="dot" w:pos="9746"/>
        </w:tabs>
        <w:spacing w:line="36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HYPERLINK \l _Toc1190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bCs/>
          <w:color w:val="auto"/>
          <w:spacing w:val="-10"/>
          <w:sz w:val="30"/>
          <w:szCs w:val="30"/>
          <w:highlight w:val="none"/>
        </w:rPr>
        <w:t>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3</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508AE655">
      <w:pPr>
        <w:pStyle w:val="47"/>
        <w:tabs>
          <w:tab w:val="right" w:leader="dot" w:pos="9746"/>
        </w:tabs>
        <w:spacing w:line="36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HYPERLINK \l _Toc11224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bCs/>
          <w:color w:val="auto"/>
          <w:spacing w:val="-10"/>
          <w:sz w:val="30"/>
          <w:szCs w:val="30"/>
          <w:highlight w:val="none"/>
        </w:rPr>
        <w:t>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_Toc11224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9</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52F16007">
      <w:pPr>
        <w:pStyle w:val="47"/>
        <w:tabs>
          <w:tab w:val="right" w:leader="dot" w:pos="9746"/>
        </w:tabs>
        <w:spacing w:line="36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HYPERLINK \l _Toc11584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bCs/>
          <w:color w:val="auto"/>
          <w:spacing w:val="-10"/>
          <w:sz w:val="30"/>
          <w:szCs w:val="30"/>
          <w:highlight w:val="none"/>
        </w:rPr>
        <w:t>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22</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7C2AC64C">
      <w:pPr>
        <w:pStyle w:val="47"/>
        <w:tabs>
          <w:tab w:val="right" w:leader="dot" w:pos="9746"/>
        </w:tabs>
        <w:spacing w:line="360" w:lineRule="auto"/>
        <w:rPr>
          <w:rFonts w:hint="eastAsia" w:ascii="方正仿宋_GBK" w:hAnsi="方正仿宋_GBK" w:eastAsia="方正仿宋_GBK" w:cs="方正仿宋_GBK"/>
          <w:color w:val="auto"/>
          <w:sz w:val="30"/>
          <w:szCs w:val="30"/>
          <w:highlight w:val="none"/>
          <w:lang w:eastAsia="zh-CN"/>
        </w:rPr>
      </w:pP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HYPERLINK \l _Toc12729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bCs/>
          <w:color w:val="auto"/>
          <w:sz w:val="30"/>
          <w:szCs w:val="30"/>
          <w:highlight w:val="none"/>
          <w:lang w:val="zh-CN"/>
        </w:rPr>
        <w:t>第四章 采购需求</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27</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4B8E66F2">
      <w:pPr>
        <w:pStyle w:val="47"/>
        <w:tabs>
          <w:tab w:val="right" w:leader="dot" w:pos="9746"/>
        </w:tabs>
        <w:spacing w:line="360" w:lineRule="auto"/>
        <w:rPr>
          <w:rFonts w:hint="default" w:ascii="方正仿宋_GBK" w:hAnsi="方正仿宋_GBK" w:eastAsia="方正仿宋_GBK" w:cs="方正仿宋_GBK"/>
          <w:color w:val="auto"/>
          <w:sz w:val="30"/>
          <w:szCs w:val="30"/>
          <w:highlight w:val="none"/>
          <w:lang w:val="en-US" w:eastAsia="zh-CN"/>
        </w:rPr>
      </w:pP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HYPERLINK \l _Toc300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bCs/>
          <w:color w:val="auto"/>
          <w:sz w:val="30"/>
          <w:szCs w:val="30"/>
          <w:highlight w:val="none"/>
          <w:lang w:val="zh-CN"/>
        </w:rPr>
        <w:t>第五章</w:t>
      </w:r>
      <w:r>
        <w:rPr>
          <w:rFonts w:hint="eastAsia" w:ascii="方正仿宋_GBK" w:hAnsi="方正仿宋_GBK" w:eastAsia="方正仿宋_GBK" w:cs="方正仿宋_GBK"/>
          <w:bCs/>
          <w:color w:val="auto"/>
          <w:sz w:val="30"/>
          <w:szCs w:val="30"/>
          <w:highlight w:val="none"/>
        </w:rPr>
        <w:t xml:space="preserve"> 合同</w:t>
      </w:r>
      <w:r>
        <w:rPr>
          <w:rFonts w:hint="eastAsia" w:ascii="方正仿宋_GBK" w:hAnsi="方正仿宋_GBK" w:eastAsia="方正仿宋_GBK" w:cs="方正仿宋_GBK"/>
          <w:bCs/>
          <w:color w:val="auto"/>
          <w:sz w:val="30"/>
          <w:szCs w:val="30"/>
          <w:highlight w:val="none"/>
          <w:lang w:val="en-US" w:eastAsia="zh-CN"/>
        </w:rPr>
        <w:t>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28</w:t>
      </w:r>
    </w:p>
    <w:p w14:paraId="7001E800">
      <w:pPr>
        <w:pStyle w:val="47"/>
        <w:tabs>
          <w:tab w:val="right" w:leader="dot" w:pos="9746"/>
        </w:tabs>
        <w:spacing w:line="360" w:lineRule="auto"/>
        <w:rPr>
          <w:rFonts w:hint="default"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HYPERLINK \l _Toc22380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bCs/>
          <w:color w:val="auto"/>
          <w:sz w:val="30"/>
          <w:szCs w:val="30"/>
          <w:highlight w:val="none"/>
        </w:rPr>
        <w:t>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40</w:t>
      </w:r>
    </w:p>
    <w:p w14:paraId="1E18C9B1">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p>
    <w:p w14:paraId="735A1218">
      <w:pPr>
        <w:widowControl/>
        <w:spacing w:line="360" w:lineRule="auto"/>
        <w:jc w:val="left"/>
        <w:rPr>
          <w:rFonts w:hint="eastAsia" w:ascii="方正仿宋_GBK" w:hAnsi="方正仿宋_GBK" w:eastAsia="方正仿宋_GBK" w:cs="方正仿宋_GBK"/>
          <w:color w:val="auto"/>
          <w:sz w:val="28"/>
          <w:szCs w:val="28"/>
          <w:highlight w:val="none"/>
        </w:rPr>
        <w:sectPr>
          <w:footerReference r:id="rId5" w:type="default"/>
          <w:pgSz w:w="11906" w:h="16838"/>
          <w:pgMar w:top="1440" w:right="1366" w:bottom="1440" w:left="1080" w:header="720" w:footer="720" w:gutter="0"/>
          <w:pgNumType w:fmt="decimal"/>
          <w:cols w:space="720" w:num="1"/>
        </w:sectPr>
      </w:pPr>
    </w:p>
    <w:p w14:paraId="56D9AAF4">
      <w:pPr>
        <w:jc w:val="center"/>
        <w:outlineLvl w:val="0"/>
        <w:rPr>
          <w:rFonts w:hint="eastAsia" w:ascii="方正小标宋_GBK" w:hAnsi="方正小标宋_GBK" w:eastAsia="方正小标宋_GBK" w:cs="方正小标宋_GBK"/>
          <w:b w:val="0"/>
          <w:bCs w:val="0"/>
          <w:color w:val="auto"/>
          <w:spacing w:val="-10"/>
          <w:sz w:val="36"/>
          <w:szCs w:val="36"/>
          <w:highlight w:val="none"/>
        </w:rPr>
      </w:pPr>
      <w:bookmarkStart w:id="2" w:name="_Toc18603"/>
      <w:bookmarkStart w:id="3" w:name="_Toc1190"/>
      <w:r>
        <w:rPr>
          <w:rFonts w:hint="eastAsia" w:ascii="方正小标宋_GBK" w:hAnsi="方正小标宋_GBK" w:eastAsia="方正小标宋_GBK" w:cs="方正小标宋_GBK"/>
          <w:b w:val="0"/>
          <w:bCs w:val="0"/>
          <w:color w:val="auto"/>
          <w:spacing w:val="-10"/>
          <w:sz w:val="36"/>
          <w:szCs w:val="36"/>
          <w:highlight w:val="none"/>
        </w:rPr>
        <w:t>第一章 竞争性磋商</w:t>
      </w:r>
      <w:bookmarkEnd w:id="2"/>
      <w:r>
        <w:rPr>
          <w:rFonts w:hint="eastAsia" w:ascii="方正小标宋_GBK" w:hAnsi="方正小标宋_GBK" w:eastAsia="方正小标宋_GBK" w:cs="方正小标宋_GBK"/>
          <w:b w:val="0"/>
          <w:bCs w:val="0"/>
          <w:color w:val="auto"/>
          <w:spacing w:val="-10"/>
          <w:sz w:val="36"/>
          <w:szCs w:val="36"/>
          <w:highlight w:val="none"/>
        </w:rPr>
        <w:t>公告</w:t>
      </w:r>
      <w:bookmarkEnd w:id="3"/>
    </w:p>
    <w:p w14:paraId="5EE887D8">
      <w:pPr>
        <w:pStyle w:val="25"/>
        <w:ind w:left="0" w:leftChars="0" w:right="1470"/>
        <w:jc w:val="left"/>
        <w:rPr>
          <w:rFonts w:hint="eastAsia"/>
          <w:color w:val="auto"/>
          <w:highlight w:val="none"/>
          <w:lang w:val="zh-CN"/>
        </w:rPr>
      </w:pPr>
    </w:p>
    <w:p w14:paraId="0BB5F419">
      <w:pPr>
        <w:pBdr>
          <w:top w:val="single" w:color="auto" w:sz="4" w:space="1"/>
          <w:left w:val="single" w:color="auto" w:sz="4" w:space="4"/>
          <w:bottom w:val="single" w:color="auto" w:sz="4" w:space="1"/>
          <w:right w:val="single" w:color="auto" w:sz="4" w:space="4"/>
        </w:pBdr>
        <w:spacing w:line="560" w:lineRule="exact"/>
        <w:rPr>
          <w:rFonts w:hint="eastAsia" w:ascii="方正黑体_GBK" w:hAnsi="方正黑体_GBK" w:eastAsia="方正黑体_GBK" w:cs="方正黑体_GBK"/>
          <w:color w:val="auto"/>
          <w:sz w:val="28"/>
          <w:szCs w:val="28"/>
          <w:highlight w:val="none"/>
          <w:lang w:eastAsia="zh-CN"/>
        </w:rPr>
      </w:pPr>
      <w:r>
        <w:rPr>
          <w:rFonts w:hint="eastAsia" w:ascii="方正黑体_GBK" w:hAnsi="方正黑体_GBK" w:eastAsia="方正黑体_GBK" w:cs="方正黑体_GBK"/>
          <w:color w:val="auto"/>
          <w:sz w:val="28"/>
          <w:szCs w:val="28"/>
          <w:highlight w:val="none"/>
        </w:rPr>
        <w:t>项目概况</w:t>
      </w:r>
      <w:r>
        <w:rPr>
          <w:rFonts w:hint="eastAsia" w:ascii="方正黑体_GBK" w:hAnsi="方正黑体_GBK" w:eastAsia="方正黑体_GBK" w:cs="方正黑体_GBK"/>
          <w:color w:val="auto"/>
          <w:sz w:val="28"/>
          <w:szCs w:val="28"/>
          <w:highlight w:val="none"/>
          <w:lang w:eastAsia="zh-CN"/>
        </w:rPr>
        <w:t>：</w:t>
      </w:r>
    </w:p>
    <w:p w14:paraId="378FED75">
      <w:pPr>
        <w:pBdr>
          <w:top w:val="single" w:color="auto" w:sz="4" w:space="1"/>
          <w:left w:val="single" w:color="auto" w:sz="4" w:space="4"/>
          <w:bottom w:val="single" w:color="auto" w:sz="4" w:space="1"/>
          <w:right w:val="single" w:color="auto" w:sz="4" w:space="4"/>
        </w:pBdr>
        <w:spacing w:line="560" w:lineRule="exact"/>
        <w:ind w:firstLine="560" w:firstLineChars="200"/>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u w:val="single"/>
          <w:lang w:val="en-US" w:eastAsia="zh-CN"/>
        </w:rPr>
        <w:t>江苏省老年医院改造工程造价咨询服务（跟踪审计、决算审计）</w:t>
      </w:r>
      <w:r>
        <w:rPr>
          <w:rFonts w:hint="eastAsia" w:ascii="华文仿宋" w:hAnsi="华文仿宋" w:eastAsia="华文仿宋" w:cs="华文仿宋"/>
          <w:color w:val="auto"/>
          <w:sz w:val="28"/>
          <w:szCs w:val="28"/>
          <w:highlight w:val="none"/>
          <w:u w:val="none"/>
          <w:lang w:val="en-US" w:eastAsia="zh-CN"/>
        </w:rPr>
        <w:t>（采购项目名称）</w:t>
      </w:r>
      <w:r>
        <w:rPr>
          <w:rFonts w:hint="eastAsia" w:ascii="华文仿宋" w:hAnsi="华文仿宋" w:eastAsia="华文仿宋" w:cs="华文仿宋"/>
          <w:color w:val="auto"/>
          <w:sz w:val="28"/>
          <w:szCs w:val="28"/>
          <w:highlight w:val="none"/>
        </w:rPr>
        <w:t>的潜在供应商应在江苏省政府采购(苏采云)平台获取采购文件，并于2026年5月26日09点30分</w:t>
      </w:r>
      <w:r>
        <w:rPr>
          <w:rFonts w:hint="eastAsia" w:ascii="华文仿宋" w:hAnsi="华文仿宋" w:eastAsia="华文仿宋" w:cs="华文仿宋"/>
          <w:bCs/>
          <w:color w:val="auto"/>
          <w:sz w:val="28"/>
          <w:szCs w:val="28"/>
          <w:highlight w:val="none"/>
        </w:rPr>
        <w:t>（北京时间）前提交响应文件</w:t>
      </w:r>
      <w:r>
        <w:rPr>
          <w:rFonts w:hint="eastAsia" w:ascii="华文仿宋" w:hAnsi="华文仿宋" w:eastAsia="华文仿宋" w:cs="华文仿宋"/>
          <w:color w:val="auto"/>
          <w:sz w:val="28"/>
          <w:szCs w:val="28"/>
          <w:highlight w:val="none"/>
        </w:rPr>
        <w:t>。</w:t>
      </w:r>
    </w:p>
    <w:p w14:paraId="7372DC7B">
      <w:pPr>
        <w:keepNext/>
        <w:keepLines/>
        <w:pageBreakBefore w:val="0"/>
        <w:kinsoku/>
        <w:wordWrap/>
        <w:overflowPunct/>
        <w:topLinePunct w:val="0"/>
        <w:autoSpaceDE/>
        <w:autoSpaceDN/>
        <w:bidi w:val="0"/>
        <w:spacing w:line="560" w:lineRule="exact"/>
        <w:ind w:firstLine="560" w:firstLineChars="200"/>
        <w:textAlignment w:val="auto"/>
        <w:rPr>
          <w:rFonts w:hint="eastAsia" w:ascii="方正黑体_GBK" w:hAnsi="方正黑体_GBK" w:eastAsia="方正黑体_GBK" w:cs="方正黑体_GBK"/>
          <w:b w:val="0"/>
          <w:bCs/>
          <w:color w:val="auto"/>
          <w:sz w:val="28"/>
          <w:szCs w:val="28"/>
          <w:highlight w:val="none"/>
        </w:rPr>
      </w:pPr>
      <w:bookmarkStart w:id="4" w:name="_Toc35393798"/>
      <w:bookmarkStart w:id="5" w:name="_Toc28359089"/>
      <w:bookmarkStart w:id="6" w:name="_Toc28359012"/>
      <w:bookmarkStart w:id="7" w:name="_Toc35393629"/>
      <w:r>
        <w:rPr>
          <w:rFonts w:hint="eastAsia" w:ascii="方正黑体_GBK" w:hAnsi="方正黑体_GBK" w:eastAsia="方正黑体_GBK" w:cs="方正黑体_GBK"/>
          <w:b w:val="0"/>
          <w:bCs/>
          <w:color w:val="auto"/>
          <w:sz w:val="28"/>
          <w:szCs w:val="28"/>
          <w:highlight w:val="none"/>
        </w:rPr>
        <w:t>一、项目基本情况</w:t>
      </w:r>
      <w:bookmarkEnd w:id="4"/>
      <w:bookmarkEnd w:id="5"/>
      <w:bookmarkEnd w:id="6"/>
      <w:bookmarkEnd w:id="7"/>
    </w:p>
    <w:p w14:paraId="08F52368">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根据《可行性研究报告的批复》（苏发改投资发〔2025〕1190号），该项目由江苏省机关事务管理局实施集中建设，总投资估算约1.5亿元。现委托江苏省建信招投标有限公司通过公开招标，公开采购项目全过程造价咨询单位。</w:t>
      </w:r>
    </w:p>
    <w:p w14:paraId="15C6BCEB">
      <w:pPr>
        <w:pStyle w:val="2"/>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 w:val="0"/>
          <w:color w:val="auto"/>
          <w:szCs w:val="28"/>
          <w:highlight w:val="none"/>
          <w:lang w:val="en-US" w:eastAsia="zh-CN"/>
        </w:rPr>
        <w:t>项目立项代码：2307-320000-04-01-295720</w:t>
      </w:r>
    </w:p>
    <w:p w14:paraId="03669AAE">
      <w:pPr>
        <w:pStyle w:val="2"/>
        <w:pageBreakBefore w:val="0"/>
        <w:kinsoku/>
        <w:wordWrap/>
        <w:overflowPunct/>
        <w:topLinePunct w:val="0"/>
        <w:autoSpaceDE/>
        <w:autoSpaceDN/>
        <w:bidi w:val="0"/>
        <w:spacing w:line="560" w:lineRule="exact"/>
        <w:ind w:firstLine="561" w:firstLineChars="200"/>
        <w:textAlignment w:val="auto"/>
        <w:rPr>
          <w:rFonts w:hint="eastAsia" w:ascii="华文仿宋" w:hAnsi="华文仿宋" w:eastAsia="华文仿宋" w:cs="华文仿宋"/>
          <w:color w:val="auto"/>
          <w:sz w:val="28"/>
          <w:szCs w:val="28"/>
          <w:highlight w:val="none"/>
          <w:u w:val="single"/>
          <w:lang w:val="en-US" w:eastAsia="zh-CN"/>
        </w:rPr>
      </w:pPr>
      <w:r>
        <w:rPr>
          <w:rFonts w:hint="eastAsia" w:ascii="华文仿宋" w:hAnsi="华文仿宋" w:eastAsia="华文仿宋" w:cs="华文仿宋"/>
          <w:color w:val="auto"/>
          <w:sz w:val="28"/>
          <w:szCs w:val="28"/>
          <w:highlight w:val="none"/>
          <w:lang w:val="en-US" w:eastAsia="zh-CN"/>
        </w:rPr>
        <w:t>采购代理机构内部编号：</w:t>
      </w:r>
      <w:r>
        <w:rPr>
          <w:rFonts w:hint="eastAsia" w:ascii="华文仿宋" w:hAnsi="华文仿宋" w:eastAsia="华文仿宋" w:cs="华文仿宋"/>
          <w:color w:val="auto"/>
          <w:sz w:val="28"/>
          <w:szCs w:val="28"/>
          <w:highlight w:val="none"/>
          <w:u w:val="single"/>
          <w:lang w:val="en-US" w:eastAsia="zh-CN"/>
        </w:rPr>
        <w:t xml:space="preserve"> JSJX-LNYY-2026001 </w:t>
      </w:r>
    </w:p>
    <w:p w14:paraId="42B2810C">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eastAsia="zh-CN"/>
        </w:rPr>
        <w:t>采购</w:t>
      </w:r>
      <w:r>
        <w:rPr>
          <w:rFonts w:hint="eastAsia" w:ascii="华文仿宋" w:hAnsi="华文仿宋" w:eastAsia="华文仿宋" w:cs="华文仿宋"/>
          <w:color w:val="auto"/>
          <w:sz w:val="28"/>
          <w:szCs w:val="28"/>
          <w:highlight w:val="none"/>
        </w:rPr>
        <w:t>项目名称：</w:t>
      </w:r>
      <w:r>
        <w:rPr>
          <w:rFonts w:hint="eastAsia" w:ascii="华文仿宋" w:hAnsi="华文仿宋" w:eastAsia="华文仿宋" w:cs="华文仿宋"/>
          <w:color w:val="auto"/>
          <w:sz w:val="28"/>
          <w:szCs w:val="28"/>
          <w:highlight w:val="none"/>
          <w:u w:val="single"/>
          <w:lang w:val="en-US" w:eastAsia="zh-CN"/>
        </w:rPr>
        <w:t>江苏省老年医院改造工程造价咨询服务（跟踪审计、决算审计）</w:t>
      </w:r>
    </w:p>
    <w:p w14:paraId="1E68F0BC">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u w:val="single"/>
          <w:lang w:val="en-US" w:eastAsia="zh-CN"/>
        </w:rPr>
      </w:pPr>
      <w:r>
        <w:rPr>
          <w:rFonts w:hint="eastAsia" w:ascii="华文仿宋" w:hAnsi="华文仿宋" w:eastAsia="华文仿宋" w:cs="华文仿宋"/>
          <w:color w:val="auto"/>
          <w:sz w:val="28"/>
          <w:szCs w:val="28"/>
          <w:highlight w:val="none"/>
        </w:rPr>
        <w:t>预算金额：</w:t>
      </w:r>
      <w:r>
        <w:rPr>
          <w:rFonts w:hint="eastAsia" w:ascii="华文仿宋" w:hAnsi="华文仿宋" w:eastAsia="华文仿宋" w:cs="华文仿宋"/>
          <w:color w:val="auto"/>
          <w:sz w:val="28"/>
          <w:szCs w:val="28"/>
          <w:highlight w:val="none"/>
          <w:u w:val="single"/>
          <w:lang w:val="en-US" w:eastAsia="zh-CN"/>
        </w:rPr>
        <w:t>项目批复建安工程造价11027万元，造价咨询服务费用</w:t>
      </w:r>
      <w:r>
        <w:rPr>
          <w:rFonts w:hint="eastAsia" w:ascii="华文仿宋" w:hAnsi="华文仿宋" w:eastAsia="华文仿宋" w:cs="华文仿宋"/>
          <w:b w:val="0"/>
          <w:bCs w:val="0"/>
          <w:color w:val="auto"/>
          <w:sz w:val="28"/>
          <w:szCs w:val="28"/>
          <w:highlight w:val="none"/>
          <w:u w:val="single"/>
          <w:lang w:val="en-US" w:eastAsia="zh-CN"/>
        </w:rPr>
        <w:t xml:space="preserve">  133.5万元</w:t>
      </w:r>
      <w:r>
        <w:rPr>
          <w:rFonts w:hint="eastAsia" w:ascii="华文仿宋" w:hAnsi="华文仿宋" w:eastAsia="华文仿宋" w:cs="华文仿宋"/>
          <w:color w:val="auto"/>
          <w:sz w:val="28"/>
          <w:szCs w:val="28"/>
          <w:highlight w:val="none"/>
          <w:u w:val="single"/>
          <w:lang w:val="en-US" w:eastAsia="zh-CN"/>
        </w:rPr>
        <w:t>。</w:t>
      </w:r>
    </w:p>
    <w:p w14:paraId="6FBF5EF0">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u w:val="single"/>
        </w:rPr>
      </w:pPr>
      <w:r>
        <w:rPr>
          <w:rFonts w:hint="eastAsia" w:ascii="华文仿宋" w:hAnsi="华文仿宋" w:eastAsia="华文仿宋" w:cs="华文仿宋"/>
          <w:color w:val="auto"/>
          <w:sz w:val="28"/>
          <w:szCs w:val="28"/>
          <w:highlight w:val="none"/>
        </w:rPr>
        <w:t>最高限价</w:t>
      </w:r>
      <w:r>
        <w:rPr>
          <w:rFonts w:hint="eastAsia" w:ascii="华文仿宋" w:hAnsi="华文仿宋" w:eastAsia="华文仿宋" w:cs="华文仿宋"/>
          <w:color w:val="auto"/>
          <w:sz w:val="28"/>
          <w:szCs w:val="28"/>
          <w:highlight w:val="none"/>
          <w:u w:val="none"/>
        </w:rPr>
        <w:t>：</w:t>
      </w:r>
      <w:r>
        <w:rPr>
          <w:rFonts w:hint="eastAsia" w:ascii="华文仿宋" w:hAnsi="华文仿宋" w:eastAsia="华文仿宋" w:cs="华文仿宋"/>
          <w:b/>
          <w:bCs/>
          <w:color w:val="auto"/>
          <w:sz w:val="28"/>
          <w:szCs w:val="28"/>
          <w:highlight w:val="none"/>
          <w:u w:val="single"/>
          <w:lang w:val="en-US" w:eastAsia="zh-CN"/>
        </w:rPr>
        <w:t>133.5万元。</w:t>
      </w:r>
      <w:r>
        <w:rPr>
          <w:rFonts w:hint="eastAsia" w:ascii="华文仿宋" w:hAnsi="华文仿宋" w:eastAsia="华文仿宋" w:cs="华文仿宋"/>
          <w:color w:val="auto"/>
          <w:sz w:val="28"/>
          <w:szCs w:val="28"/>
          <w:highlight w:val="none"/>
          <w:u w:val="single"/>
          <w:lang w:val="en-US" w:eastAsia="zh-CN"/>
        </w:rPr>
        <w:t>建安工程造价暂估11027万元，</w:t>
      </w:r>
      <w:r>
        <w:rPr>
          <w:rFonts w:hint="eastAsia" w:ascii="华文仿宋" w:hAnsi="华文仿宋" w:eastAsia="华文仿宋" w:cs="华文仿宋"/>
          <w:b/>
          <w:bCs/>
          <w:color w:val="auto"/>
          <w:sz w:val="28"/>
          <w:szCs w:val="28"/>
          <w:highlight w:val="none"/>
          <w:u w:val="single"/>
          <w:lang w:val="en-US" w:eastAsia="zh-CN"/>
        </w:rPr>
        <w:t>按苏价服</w:t>
      </w:r>
      <w:r>
        <w:rPr>
          <w:rFonts w:hint="eastAsia" w:ascii="微软雅黑" w:hAnsi="微软雅黑" w:eastAsia="微软雅黑" w:cs="微软雅黑"/>
          <w:b/>
          <w:bCs/>
          <w:color w:val="auto"/>
          <w:sz w:val="28"/>
          <w:szCs w:val="28"/>
          <w:highlight w:val="none"/>
          <w:u w:val="single"/>
          <w:lang w:val="en-US" w:eastAsia="zh-CN"/>
        </w:rPr>
        <w:t>〔</w:t>
      </w:r>
      <w:r>
        <w:rPr>
          <w:rFonts w:hint="eastAsia" w:ascii="华文仿宋" w:hAnsi="华文仿宋" w:eastAsia="华文仿宋" w:cs="华文仿宋"/>
          <w:b/>
          <w:bCs/>
          <w:color w:val="auto"/>
          <w:sz w:val="28"/>
          <w:szCs w:val="28"/>
          <w:highlight w:val="none"/>
          <w:u w:val="single"/>
          <w:lang w:val="en-US" w:eastAsia="zh-CN"/>
        </w:rPr>
        <w:t>2014</w:t>
      </w:r>
      <w:r>
        <w:rPr>
          <w:rFonts w:hint="eastAsia" w:ascii="微软雅黑" w:hAnsi="微软雅黑" w:eastAsia="微软雅黑" w:cs="微软雅黑"/>
          <w:b/>
          <w:bCs/>
          <w:color w:val="auto"/>
          <w:sz w:val="28"/>
          <w:szCs w:val="28"/>
          <w:highlight w:val="none"/>
          <w:u w:val="single"/>
          <w:lang w:val="en-US" w:eastAsia="zh-CN"/>
        </w:rPr>
        <w:t>〕</w:t>
      </w:r>
      <w:r>
        <w:rPr>
          <w:rFonts w:hint="eastAsia" w:ascii="华文仿宋" w:hAnsi="华文仿宋" w:eastAsia="华文仿宋" w:cs="华文仿宋"/>
          <w:b/>
          <w:bCs/>
          <w:color w:val="auto"/>
          <w:sz w:val="28"/>
          <w:szCs w:val="28"/>
          <w:highlight w:val="none"/>
          <w:u w:val="single"/>
          <w:lang w:val="en-US" w:eastAsia="zh-CN"/>
        </w:rPr>
        <w:t>383号文收费标准的70%计算最高限价</w:t>
      </w:r>
      <w:r>
        <w:rPr>
          <w:rFonts w:hint="eastAsia" w:ascii="华文仿宋" w:hAnsi="华文仿宋" w:eastAsia="华文仿宋" w:cs="华文仿宋"/>
          <w:b/>
          <w:bCs/>
          <w:color w:val="auto"/>
          <w:sz w:val="28"/>
          <w:szCs w:val="28"/>
          <w:highlight w:val="none"/>
          <w:u w:val="single"/>
        </w:rPr>
        <w:t>。</w:t>
      </w:r>
      <w:r>
        <w:rPr>
          <w:rFonts w:hint="eastAsia" w:ascii="华文仿宋" w:hAnsi="华文仿宋" w:eastAsia="华文仿宋" w:cs="华文仿宋"/>
          <w:color w:val="auto"/>
          <w:sz w:val="28"/>
          <w:szCs w:val="28"/>
          <w:highlight w:val="none"/>
          <w:u w:val="single"/>
        </w:rPr>
        <w:t>本项目预算包含招标阶段：工程预算、招标控制价、投标报价（含工程量清单审核）审核；施工阶段全过程造价控制：基本费</w:t>
      </w:r>
      <w:r>
        <w:rPr>
          <w:rFonts w:hint="eastAsia" w:ascii="华文仿宋" w:hAnsi="华文仿宋" w:eastAsia="华文仿宋" w:cs="华文仿宋"/>
          <w:color w:val="auto"/>
          <w:sz w:val="28"/>
          <w:szCs w:val="28"/>
          <w:highlight w:val="none"/>
          <w:u w:val="single"/>
          <w:lang w:val="en-US" w:eastAsia="zh-CN"/>
        </w:rPr>
        <w:t>和驻场费</w:t>
      </w:r>
      <w:r>
        <w:rPr>
          <w:rFonts w:hint="eastAsia" w:ascii="华文仿宋" w:hAnsi="华文仿宋" w:eastAsia="华文仿宋" w:cs="华文仿宋"/>
          <w:color w:val="auto"/>
          <w:sz w:val="28"/>
          <w:szCs w:val="28"/>
          <w:highlight w:val="none"/>
          <w:u w:val="single"/>
          <w:lang w:eastAsia="zh-CN"/>
        </w:rPr>
        <w:t>（不计效益费）</w:t>
      </w:r>
      <w:r>
        <w:rPr>
          <w:rFonts w:hint="eastAsia" w:ascii="华文仿宋" w:hAnsi="华文仿宋" w:eastAsia="华文仿宋" w:cs="华文仿宋"/>
          <w:color w:val="auto"/>
          <w:sz w:val="28"/>
          <w:szCs w:val="28"/>
          <w:highlight w:val="none"/>
          <w:u w:val="single"/>
        </w:rPr>
        <w:t>；竣工结算及决算阶段：工程结算审核效益费（不计基本费）</w:t>
      </w:r>
      <w:r>
        <w:rPr>
          <w:rFonts w:hint="eastAsia" w:ascii="华文仿宋" w:hAnsi="华文仿宋" w:eastAsia="华文仿宋" w:cs="华文仿宋"/>
          <w:color w:val="auto"/>
          <w:sz w:val="28"/>
          <w:szCs w:val="28"/>
          <w:highlight w:val="none"/>
          <w:u w:val="single"/>
          <w:lang w:eastAsia="zh-CN"/>
        </w:rPr>
        <w:t>（</w:t>
      </w:r>
      <w:r>
        <w:rPr>
          <w:rFonts w:hint="eastAsia" w:ascii="华文仿宋" w:hAnsi="华文仿宋" w:eastAsia="华文仿宋" w:cs="华文仿宋"/>
          <w:color w:val="auto"/>
          <w:sz w:val="28"/>
          <w:szCs w:val="28"/>
          <w:highlight w:val="none"/>
          <w:u w:val="single"/>
          <w:lang w:val="en-US" w:eastAsia="zh-CN"/>
        </w:rPr>
        <w:t>核增减额暂按建安工程造价的10%计取，具体按实际核增减额结算</w:t>
      </w:r>
      <w:r>
        <w:rPr>
          <w:rFonts w:hint="eastAsia" w:ascii="华文仿宋" w:hAnsi="华文仿宋" w:eastAsia="华文仿宋" w:cs="华文仿宋"/>
          <w:color w:val="auto"/>
          <w:sz w:val="28"/>
          <w:szCs w:val="28"/>
          <w:highlight w:val="none"/>
          <w:u w:val="single"/>
          <w:lang w:eastAsia="zh-CN"/>
        </w:rPr>
        <w:t>）</w:t>
      </w:r>
      <w:r>
        <w:rPr>
          <w:rFonts w:hint="eastAsia" w:ascii="华文仿宋" w:hAnsi="华文仿宋" w:eastAsia="华文仿宋" w:cs="华文仿宋"/>
          <w:color w:val="auto"/>
          <w:sz w:val="28"/>
          <w:szCs w:val="28"/>
          <w:highlight w:val="none"/>
          <w:u w:val="single"/>
        </w:rPr>
        <w:t>。</w:t>
      </w:r>
    </w:p>
    <w:p w14:paraId="74936D2F">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u w:val="single"/>
          <w:lang w:eastAsia="zh-CN"/>
        </w:rPr>
      </w:pPr>
      <w:r>
        <w:rPr>
          <w:rFonts w:hint="eastAsia" w:ascii="华文仿宋" w:hAnsi="华文仿宋" w:eastAsia="华文仿宋" w:cs="华文仿宋"/>
          <w:color w:val="auto"/>
          <w:sz w:val="28"/>
          <w:szCs w:val="28"/>
          <w:highlight w:val="none"/>
          <w:u w:val="single"/>
        </w:rPr>
        <w:t>服务收费标准参照《省物价局省住房和城乡建设厅关于规范工程造价咨询服务收费标准及有关事项的通知》（苏价服</w:t>
      </w:r>
      <w:r>
        <w:rPr>
          <w:rFonts w:hint="eastAsia" w:ascii="微软雅黑" w:hAnsi="微软雅黑" w:eastAsia="微软雅黑" w:cs="微软雅黑"/>
          <w:b/>
          <w:bCs/>
          <w:color w:val="auto"/>
          <w:sz w:val="28"/>
          <w:szCs w:val="28"/>
          <w:highlight w:val="none"/>
          <w:u w:val="single"/>
          <w:lang w:val="en-US" w:eastAsia="zh-CN"/>
        </w:rPr>
        <w:t>〔</w:t>
      </w:r>
      <w:r>
        <w:rPr>
          <w:rFonts w:hint="eastAsia" w:ascii="华文仿宋" w:hAnsi="华文仿宋" w:eastAsia="华文仿宋" w:cs="华文仿宋"/>
          <w:color w:val="auto"/>
          <w:sz w:val="28"/>
          <w:szCs w:val="28"/>
          <w:highlight w:val="none"/>
          <w:u w:val="single"/>
        </w:rPr>
        <w:t>2014</w:t>
      </w:r>
      <w:r>
        <w:rPr>
          <w:rFonts w:hint="eastAsia" w:ascii="微软雅黑" w:hAnsi="微软雅黑" w:eastAsia="微软雅黑" w:cs="微软雅黑"/>
          <w:b/>
          <w:bCs/>
          <w:color w:val="auto"/>
          <w:sz w:val="28"/>
          <w:szCs w:val="28"/>
          <w:highlight w:val="none"/>
          <w:u w:val="single"/>
          <w:lang w:val="en-US" w:eastAsia="zh-CN"/>
        </w:rPr>
        <w:t>〕</w:t>
      </w:r>
      <w:r>
        <w:rPr>
          <w:rFonts w:hint="eastAsia" w:ascii="华文仿宋" w:hAnsi="华文仿宋" w:eastAsia="华文仿宋" w:cs="华文仿宋"/>
          <w:color w:val="auto"/>
          <w:sz w:val="28"/>
          <w:szCs w:val="28"/>
          <w:highlight w:val="none"/>
          <w:u w:val="single"/>
        </w:rPr>
        <w:t>383号）</w:t>
      </w:r>
      <w:r>
        <w:rPr>
          <w:rFonts w:hint="eastAsia" w:ascii="华文仿宋" w:hAnsi="华文仿宋" w:eastAsia="华文仿宋" w:cs="华文仿宋"/>
          <w:color w:val="auto"/>
          <w:sz w:val="28"/>
          <w:szCs w:val="28"/>
          <w:highlight w:val="none"/>
          <w:u w:val="single"/>
          <w:lang w:eastAsia="zh-CN"/>
        </w:rPr>
        <w:t>。</w:t>
      </w:r>
    </w:p>
    <w:p w14:paraId="62287107">
      <w:pPr>
        <w:keepNext w:val="0"/>
        <w:keepLines w:val="0"/>
        <w:widowControl/>
        <w:suppressLineNumbers w:val="0"/>
        <w:ind w:firstLine="560" w:firstLineChars="200"/>
        <w:jc w:val="left"/>
        <w:rPr>
          <w:rFonts w:hint="eastAsia" w:ascii="华文仿宋" w:hAnsi="华文仿宋" w:eastAsia="华文仿宋" w:cs="华文仿宋"/>
          <w:color w:val="auto"/>
          <w:sz w:val="28"/>
          <w:szCs w:val="28"/>
          <w:highlight w:val="none"/>
          <w:u w:val="single"/>
        </w:rPr>
      </w:pPr>
      <w:r>
        <w:rPr>
          <w:rFonts w:hint="default" w:ascii="华文仿宋" w:hAnsi="华文仿宋" w:eastAsia="华文仿宋" w:cs="华文仿宋"/>
          <w:color w:val="auto"/>
          <w:sz w:val="28"/>
          <w:szCs w:val="28"/>
          <w:highlight w:val="none"/>
          <w:u w:val="single"/>
          <w:lang w:val="en-US" w:eastAsia="zh-CN"/>
        </w:rPr>
        <w:t>项目说明：</w:t>
      </w:r>
      <w:r>
        <w:rPr>
          <w:rFonts w:hint="eastAsia" w:ascii="华文仿宋" w:hAnsi="华文仿宋" w:eastAsia="华文仿宋" w:cs="华文仿宋"/>
          <w:color w:val="auto"/>
          <w:kern w:val="2"/>
          <w:sz w:val="28"/>
          <w:szCs w:val="28"/>
          <w:highlight w:val="none"/>
          <w:u w:val="single"/>
          <w:lang w:val="en-US" w:eastAsia="zh-CN" w:bidi="ar"/>
        </w:rPr>
        <w:t>本工程改造总建筑面积为</w:t>
      </w:r>
      <w:r>
        <w:rPr>
          <w:rFonts w:hint="eastAsia" w:ascii="华文仿宋" w:hAnsi="华文仿宋" w:eastAsia="华文仿宋" w:cs="华文仿宋"/>
          <w:b w:val="0"/>
          <w:bCs w:val="0"/>
          <w:color w:val="auto"/>
          <w:kern w:val="2"/>
          <w:sz w:val="28"/>
          <w:szCs w:val="28"/>
          <w:highlight w:val="none"/>
          <w:u w:val="single"/>
          <w:lang w:val="en-US" w:eastAsia="zh-CN" w:bidi="ar"/>
        </w:rPr>
        <w:t>12563.17</w:t>
      </w:r>
      <w:r>
        <w:rPr>
          <w:rFonts w:hint="eastAsia" w:ascii="华文仿宋" w:hAnsi="华文仿宋" w:eastAsia="华文仿宋" w:cs="华文仿宋"/>
          <w:color w:val="auto"/>
          <w:kern w:val="2"/>
          <w:sz w:val="28"/>
          <w:szCs w:val="28"/>
          <w:highlight w:val="none"/>
          <w:u w:val="single"/>
          <w:lang w:val="en-US" w:eastAsia="zh-CN" w:bidi="ar"/>
        </w:rPr>
        <w:t>平方米，其中地上</w:t>
      </w:r>
      <w:r>
        <w:rPr>
          <w:rFonts w:hint="eastAsia" w:ascii="华文仿宋" w:hAnsi="华文仿宋" w:eastAsia="华文仿宋" w:cs="华文仿宋"/>
          <w:b w:val="0"/>
          <w:bCs w:val="0"/>
          <w:color w:val="auto"/>
          <w:kern w:val="2"/>
          <w:sz w:val="28"/>
          <w:szCs w:val="28"/>
          <w:highlight w:val="none"/>
          <w:u w:val="single"/>
          <w:lang w:val="en-US" w:eastAsia="zh-CN" w:bidi="ar"/>
        </w:rPr>
        <w:t>10585.86</w:t>
      </w:r>
      <w:r>
        <w:rPr>
          <w:rFonts w:hint="eastAsia" w:ascii="华文仿宋" w:hAnsi="华文仿宋" w:eastAsia="华文仿宋" w:cs="华文仿宋"/>
          <w:color w:val="auto"/>
          <w:kern w:val="2"/>
          <w:sz w:val="28"/>
          <w:szCs w:val="28"/>
          <w:highlight w:val="none"/>
          <w:u w:val="single"/>
          <w:lang w:val="en-US" w:eastAsia="zh-CN" w:bidi="ar"/>
        </w:rPr>
        <w:t>平方米，地下</w:t>
      </w:r>
      <w:r>
        <w:rPr>
          <w:rFonts w:hint="eastAsia" w:ascii="华文仿宋" w:hAnsi="华文仿宋" w:eastAsia="华文仿宋" w:cs="华文仿宋"/>
          <w:b w:val="0"/>
          <w:bCs w:val="0"/>
          <w:color w:val="auto"/>
          <w:kern w:val="2"/>
          <w:sz w:val="28"/>
          <w:szCs w:val="28"/>
          <w:highlight w:val="none"/>
          <w:u w:val="single"/>
          <w:lang w:val="en-US" w:eastAsia="zh-CN" w:bidi="ar"/>
        </w:rPr>
        <w:t>1977.31</w:t>
      </w:r>
      <w:r>
        <w:rPr>
          <w:rFonts w:hint="eastAsia" w:ascii="华文仿宋" w:hAnsi="华文仿宋" w:eastAsia="华文仿宋" w:cs="华文仿宋"/>
          <w:color w:val="auto"/>
          <w:kern w:val="2"/>
          <w:sz w:val="28"/>
          <w:szCs w:val="28"/>
          <w:highlight w:val="none"/>
          <w:u w:val="single"/>
          <w:lang w:val="en-US" w:eastAsia="zh-CN" w:bidi="ar"/>
        </w:rPr>
        <w:t>平方米；改造范围：1号楼局部外立面出新改造。原2号急诊病房楼及地下室、3号医疗辅助楼二层及以上楼层、5号楼设备用房，现状屋顶花园，以及现状地下车库局部改造；7号楼整体改造；12号楼地下室、一层及外立面局部改造，室外增加电梯，其他部分出新。包含门急诊、医技、药剂、保障系统、行政管理、院内生活、科研办公等功能。</w:t>
      </w:r>
    </w:p>
    <w:p w14:paraId="0B744B0E">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合同履行期限：</w:t>
      </w:r>
      <w:r>
        <w:rPr>
          <w:rFonts w:hint="eastAsia" w:ascii="华文仿宋" w:hAnsi="华文仿宋" w:eastAsia="华文仿宋" w:cs="华文仿宋"/>
          <w:color w:val="auto"/>
          <w:sz w:val="28"/>
          <w:szCs w:val="28"/>
          <w:highlight w:val="none"/>
          <w:lang w:eastAsia="zh-CN"/>
        </w:rPr>
        <w:t>从委托合同签订至项目竣工</w:t>
      </w:r>
      <w:r>
        <w:rPr>
          <w:rFonts w:hint="eastAsia" w:ascii="华文仿宋" w:hAnsi="华文仿宋" w:eastAsia="华文仿宋" w:cs="华文仿宋"/>
          <w:color w:val="auto"/>
          <w:sz w:val="28"/>
          <w:szCs w:val="28"/>
          <w:highlight w:val="none"/>
          <w:lang w:val="en-US" w:eastAsia="zh-CN"/>
        </w:rPr>
        <w:t>结算审核全部</w:t>
      </w:r>
      <w:r>
        <w:rPr>
          <w:rFonts w:hint="eastAsia" w:ascii="华文仿宋" w:hAnsi="华文仿宋" w:eastAsia="华文仿宋" w:cs="华文仿宋"/>
          <w:color w:val="auto"/>
          <w:sz w:val="28"/>
          <w:szCs w:val="28"/>
          <w:highlight w:val="none"/>
          <w:lang w:eastAsia="zh-CN"/>
        </w:rPr>
        <w:t>完成</w:t>
      </w:r>
      <w:r>
        <w:rPr>
          <w:rFonts w:hint="eastAsia" w:ascii="华文仿宋" w:hAnsi="华文仿宋" w:eastAsia="华文仿宋" w:cs="华文仿宋"/>
          <w:color w:val="auto"/>
          <w:sz w:val="28"/>
          <w:szCs w:val="28"/>
          <w:highlight w:val="none"/>
          <w:lang w:val="en-US" w:eastAsia="zh-CN"/>
        </w:rPr>
        <w:t>，项目竣工财务决算编报至取得批复。</w:t>
      </w:r>
    </w:p>
    <w:p w14:paraId="3EF40D7A">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本项目</w:t>
      </w:r>
      <w:r>
        <w:rPr>
          <w:rFonts w:hint="eastAsia" w:ascii="华文仿宋" w:hAnsi="华文仿宋" w:eastAsia="华文仿宋" w:cs="华文仿宋"/>
          <w:color w:val="auto"/>
          <w:sz w:val="28"/>
          <w:szCs w:val="28"/>
          <w:highlight w:val="none"/>
          <w:lang w:val="en-US" w:eastAsia="zh-CN"/>
        </w:rPr>
        <w:t>是否接受</w:t>
      </w:r>
      <w:r>
        <w:rPr>
          <w:rFonts w:hint="eastAsia" w:ascii="华文仿宋" w:hAnsi="华文仿宋" w:eastAsia="华文仿宋" w:cs="华文仿宋"/>
          <w:color w:val="auto"/>
          <w:sz w:val="28"/>
          <w:szCs w:val="28"/>
          <w:highlight w:val="none"/>
        </w:rPr>
        <w:t>联合体</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u w:val="single"/>
          <w:lang w:val="en-US" w:eastAsia="zh-CN"/>
        </w:rPr>
        <w:t>否</w:t>
      </w:r>
      <w:r>
        <w:rPr>
          <w:rFonts w:hint="eastAsia" w:ascii="华文仿宋" w:hAnsi="华文仿宋" w:eastAsia="华文仿宋" w:cs="华文仿宋"/>
          <w:color w:val="auto"/>
          <w:sz w:val="28"/>
          <w:szCs w:val="28"/>
          <w:highlight w:val="none"/>
        </w:rPr>
        <w:t>。</w:t>
      </w:r>
    </w:p>
    <w:p w14:paraId="3A061D6F">
      <w:pPr>
        <w:keepNext/>
        <w:keepLines/>
        <w:pageBreakBefore w:val="0"/>
        <w:kinsoku/>
        <w:wordWrap/>
        <w:overflowPunct/>
        <w:topLinePunct w:val="0"/>
        <w:autoSpaceDE/>
        <w:autoSpaceDN/>
        <w:bidi w:val="0"/>
        <w:spacing w:line="560" w:lineRule="exact"/>
        <w:ind w:firstLine="560" w:firstLineChars="200"/>
        <w:textAlignment w:val="auto"/>
        <w:rPr>
          <w:rFonts w:hint="eastAsia" w:ascii="方正黑体_GBK" w:hAnsi="方正黑体_GBK" w:eastAsia="方正黑体_GBK" w:cs="方正黑体_GBK"/>
          <w:b w:val="0"/>
          <w:bCs/>
          <w:color w:val="auto"/>
          <w:sz w:val="28"/>
          <w:szCs w:val="28"/>
          <w:highlight w:val="none"/>
        </w:rPr>
      </w:pPr>
      <w:bookmarkStart w:id="8" w:name="_Toc28359090"/>
      <w:bookmarkStart w:id="9" w:name="_Toc35393630"/>
      <w:bookmarkStart w:id="10" w:name="_Toc35393799"/>
      <w:bookmarkStart w:id="11" w:name="_Toc28359013"/>
      <w:r>
        <w:rPr>
          <w:rFonts w:hint="eastAsia" w:ascii="方正黑体_GBK" w:hAnsi="方正黑体_GBK" w:eastAsia="方正黑体_GBK" w:cs="方正黑体_GBK"/>
          <w:b w:val="0"/>
          <w:bCs/>
          <w:color w:val="auto"/>
          <w:sz w:val="28"/>
          <w:szCs w:val="28"/>
          <w:highlight w:val="none"/>
        </w:rPr>
        <w:t>二、申请人的资格要求</w:t>
      </w:r>
      <w:bookmarkEnd w:id="8"/>
      <w:bookmarkEnd w:id="9"/>
      <w:bookmarkEnd w:id="10"/>
      <w:bookmarkEnd w:id="11"/>
    </w:p>
    <w:p w14:paraId="4F89A081">
      <w:pPr>
        <w:pageBreakBefore w:val="0"/>
        <w:kinsoku/>
        <w:wordWrap/>
        <w:overflowPunct/>
        <w:topLinePunct w:val="0"/>
        <w:autoSpaceDE/>
        <w:autoSpaceDN/>
        <w:bidi w:val="0"/>
        <w:spacing w:line="560" w:lineRule="exact"/>
        <w:ind w:firstLine="562" w:firstLineChars="200"/>
        <w:textAlignment w:val="auto"/>
        <w:rPr>
          <w:rFonts w:hint="eastAsia"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b/>
          <w:bCs/>
          <w:color w:val="auto"/>
          <w:sz w:val="28"/>
          <w:szCs w:val="28"/>
          <w:highlight w:val="none"/>
        </w:rPr>
        <w:t>1.满足《中华人民共和国政府采购法》第二十二条规定：</w:t>
      </w:r>
    </w:p>
    <w:p w14:paraId="7FD65DBE">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w:t>
      </w:r>
      <w:bookmarkStart w:id="12" w:name="OLE_LINK2"/>
      <w:r>
        <w:rPr>
          <w:rFonts w:hint="eastAsia" w:ascii="华文仿宋" w:hAnsi="华文仿宋" w:eastAsia="华文仿宋" w:cs="华文仿宋"/>
          <w:color w:val="auto"/>
          <w:sz w:val="28"/>
          <w:szCs w:val="28"/>
          <w:highlight w:val="none"/>
        </w:rPr>
        <w:t>具有独立承担民事责任的能力（提供法人或者其他组织的营业执照复印件加盖公章）</w:t>
      </w:r>
      <w:bookmarkEnd w:id="12"/>
      <w:r>
        <w:rPr>
          <w:rFonts w:hint="eastAsia" w:ascii="华文仿宋" w:hAnsi="华文仿宋" w:eastAsia="华文仿宋" w:cs="华文仿宋"/>
          <w:color w:val="auto"/>
          <w:sz w:val="28"/>
          <w:szCs w:val="28"/>
          <w:highlight w:val="none"/>
        </w:rPr>
        <w:t>；</w:t>
      </w:r>
    </w:p>
    <w:p w14:paraId="265EFF9F">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具有良好的商业信誉和健全的财务会计制度（提供距开标时间六个月内任意一月份的财务状况报告且至少包括资产负债表和利润表（法人或者其他组织成立未满三个月的可以不提供)，或银行出具的开标前六个月内的资信证书复印件，或</w:t>
      </w:r>
      <w:r>
        <w:rPr>
          <w:rFonts w:hint="eastAsia" w:ascii="华文仿宋" w:hAnsi="华文仿宋" w:eastAsia="华文仿宋" w:cs="华文仿宋"/>
          <w:color w:val="auto"/>
          <w:sz w:val="28"/>
          <w:szCs w:val="28"/>
          <w:highlight w:val="none"/>
          <w:u w:val="single"/>
          <w:lang w:val="en-US" w:eastAsia="zh-CN"/>
        </w:rPr>
        <w:t>2024</w:t>
      </w:r>
      <w:r>
        <w:rPr>
          <w:rFonts w:hint="eastAsia" w:ascii="华文仿宋" w:hAnsi="华文仿宋" w:eastAsia="华文仿宋" w:cs="华文仿宋"/>
          <w:color w:val="auto"/>
          <w:sz w:val="28"/>
          <w:szCs w:val="28"/>
          <w:highlight w:val="none"/>
          <w:u w:val="none"/>
        </w:rPr>
        <w:t>年度</w:t>
      </w:r>
      <w:r>
        <w:rPr>
          <w:rFonts w:hint="eastAsia" w:ascii="华文仿宋" w:hAnsi="华文仿宋" w:eastAsia="华文仿宋" w:cs="华文仿宋"/>
          <w:color w:val="auto"/>
          <w:sz w:val="28"/>
          <w:szCs w:val="28"/>
          <w:highlight w:val="none"/>
        </w:rPr>
        <w:t>经审计的财务报告复印件并加盖公章）；</w:t>
      </w:r>
    </w:p>
    <w:p w14:paraId="3D3A19FD">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（3）具有履行合同所必需的设备和专业技术能力（根据项目需求提供履行合同所</w:t>
      </w:r>
      <w:r>
        <w:rPr>
          <w:rFonts w:hint="eastAsia" w:ascii="华文仿宋" w:hAnsi="华文仿宋" w:eastAsia="华文仿宋" w:cs="华文仿宋"/>
          <w:color w:val="auto"/>
          <w:sz w:val="28"/>
          <w:szCs w:val="28"/>
          <w:highlight w:val="none"/>
          <w:lang w:eastAsia="zh-CN"/>
        </w:rPr>
        <w:t>必需的设备和专业</w:t>
      </w:r>
      <w:r>
        <w:rPr>
          <w:rFonts w:hint="eastAsia" w:ascii="华文仿宋" w:hAnsi="华文仿宋" w:eastAsia="华文仿宋" w:cs="华文仿宋"/>
          <w:color w:val="auto"/>
          <w:sz w:val="28"/>
          <w:szCs w:val="28"/>
          <w:highlight w:val="none"/>
        </w:rPr>
        <w:t>技术能力的声明或证明材料复印件并加盖公章）；</w:t>
      </w:r>
    </w:p>
    <w:p w14:paraId="4829B520">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（4）有依法缴纳税收和社会保障资金的良好记录（提供参加本次政府采购活动前半年内（</w:t>
      </w:r>
      <w:r>
        <w:rPr>
          <w:rFonts w:hint="eastAsia" w:ascii="华文仿宋" w:hAnsi="华文仿宋" w:eastAsia="华文仿宋" w:cs="华文仿宋"/>
          <w:color w:val="auto"/>
          <w:sz w:val="28"/>
          <w:szCs w:val="28"/>
          <w:highlight w:val="none"/>
          <w:lang w:eastAsia="zh-CN"/>
        </w:rPr>
        <w:t>任意</w:t>
      </w:r>
      <w:r>
        <w:rPr>
          <w:rFonts w:hint="eastAsia" w:ascii="华文仿宋" w:hAnsi="华文仿宋" w:eastAsia="华文仿宋" w:cs="华文仿宋"/>
          <w:color w:val="auto"/>
          <w:sz w:val="28"/>
          <w:szCs w:val="28"/>
          <w:highlight w:val="none"/>
        </w:rPr>
        <w:t>一个月）依法缴纳税收和社会保障资金的相关材料复印件</w:t>
      </w:r>
      <w:r>
        <w:rPr>
          <w:rFonts w:hint="eastAsia" w:ascii="华文仿宋" w:hAnsi="华文仿宋" w:eastAsia="华文仿宋" w:cs="华文仿宋"/>
          <w:color w:val="auto"/>
          <w:sz w:val="28"/>
          <w:szCs w:val="28"/>
          <w:highlight w:val="none"/>
          <w:lang w:val="en-US" w:eastAsia="zh-CN"/>
        </w:rPr>
        <w:t>并</w:t>
      </w:r>
      <w:r>
        <w:rPr>
          <w:rFonts w:hint="eastAsia" w:ascii="华文仿宋" w:hAnsi="华文仿宋" w:eastAsia="华文仿宋" w:cs="华文仿宋"/>
          <w:color w:val="auto"/>
          <w:sz w:val="28"/>
          <w:szCs w:val="28"/>
          <w:highlight w:val="none"/>
        </w:rPr>
        <w:t>加盖公章）；</w:t>
      </w:r>
    </w:p>
    <w:p w14:paraId="485B48B9">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（5）参加政府采购活动前三年内，在经营活动中没有重大违法记录（提供参加本次政府采购活动前3年内在经营活动中没有重大违法记录的书面声明并加盖公章）；</w:t>
      </w:r>
    </w:p>
    <w:p w14:paraId="1A987B3F">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（6）法律、行政法规规定的其他条件。</w:t>
      </w:r>
    </w:p>
    <w:p w14:paraId="42AEF6E1">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bookmarkStart w:id="13" w:name="_Toc28359014"/>
      <w:bookmarkStart w:id="14" w:name="_Toc28359091"/>
      <w:r>
        <w:rPr>
          <w:rFonts w:hint="eastAsia" w:ascii="华文仿宋" w:hAnsi="华文仿宋" w:eastAsia="华文仿宋" w:cs="华文仿宋"/>
          <w:color w:val="auto"/>
          <w:sz w:val="28"/>
          <w:szCs w:val="28"/>
          <w:highlight w:val="none"/>
        </w:rPr>
        <w:t>2.落实政府采购政策需满足的资格要求：</w:t>
      </w:r>
    </w:p>
    <w:p w14:paraId="02DCA202">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4CA9DA6B">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方正楷体_GBK" w:hAnsi="方正楷体_GBK" w:eastAsia="方正楷体_GBK" w:cs="方正楷体_GBK"/>
          <w:color w:val="auto"/>
          <w:sz w:val="28"/>
          <w:szCs w:val="28"/>
          <w:highlight w:val="none"/>
        </w:rPr>
        <w:t>3.本项目的特定资格要求：</w:t>
      </w:r>
      <w:bookmarkStart w:id="15" w:name="_Toc35393631"/>
      <w:bookmarkStart w:id="16" w:name="_Toc35393800"/>
    </w:p>
    <w:p w14:paraId="77C11FB6">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项目负责人须具备：注册一级造价工程师</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rPr>
        <w:t>旧版为注册造价工程师（含执业资格）</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rPr>
        <w:t>提供有效的证书复印件加盖公章</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rPr>
        <w:t>；供应商须提供</w:t>
      </w:r>
      <w:r>
        <w:rPr>
          <w:rFonts w:hint="eastAsia" w:ascii="华文仿宋" w:hAnsi="华文仿宋" w:eastAsia="华文仿宋" w:cs="华文仿宋"/>
          <w:bCs/>
          <w:color w:val="auto"/>
          <w:sz w:val="28"/>
          <w:szCs w:val="28"/>
          <w:highlight w:val="none"/>
          <w:lang w:eastAsia="zh-CN"/>
        </w:rPr>
        <w:t>与</w:t>
      </w:r>
      <w:r>
        <w:rPr>
          <w:rFonts w:hint="eastAsia" w:ascii="华文仿宋" w:hAnsi="华文仿宋" w:eastAsia="华文仿宋" w:cs="华文仿宋"/>
          <w:bCs/>
          <w:color w:val="auto"/>
          <w:sz w:val="28"/>
          <w:szCs w:val="28"/>
          <w:highlight w:val="none"/>
        </w:rPr>
        <w:t>拟投入本工程项目负责人签订的有效劳动合同</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rPr>
        <w:t>为项目负责人缴纳的由社保机构出具的</w:t>
      </w:r>
      <w:r>
        <w:rPr>
          <w:rFonts w:hint="eastAsia" w:ascii="华文仿宋" w:hAnsi="华文仿宋" w:eastAsia="华文仿宋" w:cs="华文仿宋"/>
          <w:bCs/>
          <w:color w:val="auto"/>
          <w:sz w:val="28"/>
          <w:szCs w:val="28"/>
          <w:highlight w:val="none"/>
          <w:lang w:val="en-US" w:eastAsia="zh-CN"/>
        </w:rPr>
        <w:t>2025年10月-2026年03月</w:t>
      </w:r>
      <w:r>
        <w:rPr>
          <w:rFonts w:hint="eastAsia" w:ascii="华文仿宋" w:hAnsi="华文仿宋" w:eastAsia="华文仿宋" w:cs="华文仿宋"/>
          <w:bCs/>
          <w:color w:val="auto"/>
          <w:sz w:val="28"/>
          <w:szCs w:val="28"/>
          <w:highlight w:val="none"/>
        </w:rPr>
        <w:t>的养老保险缴纳单据凭证。（须明确缴费月份、个人姓名、缴费单位，且加盖社保中心章或社保中心参保缴费证明电子专用章（具有可验证的二维码或验证码））；若项目负责人属企业退休人员、</w:t>
      </w:r>
      <w:r>
        <w:rPr>
          <w:rFonts w:hint="eastAsia" w:ascii="华文仿宋" w:hAnsi="华文仿宋" w:eastAsia="华文仿宋" w:cs="华文仿宋"/>
          <w:bCs/>
          <w:color w:val="auto"/>
          <w:sz w:val="28"/>
          <w:szCs w:val="28"/>
          <w:highlight w:val="none"/>
          <w:lang w:val="en-US" w:eastAsia="zh-CN"/>
        </w:rPr>
        <w:t>退</w:t>
      </w:r>
      <w:r>
        <w:rPr>
          <w:rFonts w:hint="eastAsia" w:ascii="华文仿宋" w:hAnsi="华文仿宋" w:eastAsia="华文仿宋" w:cs="华文仿宋"/>
          <w:bCs/>
          <w:color w:val="auto"/>
          <w:sz w:val="28"/>
          <w:szCs w:val="28"/>
          <w:highlight w:val="none"/>
        </w:rPr>
        <w:t>役军人等客观原因无法提供养老保险金缴费证明，必须出具相关证明材料，若事业编制人员需要提供所在单位上级人事主管部门的人事证明材料。以上材料</w:t>
      </w:r>
      <w:r>
        <w:rPr>
          <w:rFonts w:hint="eastAsia" w:ascii="华文仿宋" w:hAnsi="华文仿宋" w:eastAsia="华文仿宋" w:cs="华文仿宋"/>
          <w:bCs/>
          <w:color w:val="auto"/>
          <w:sz w:val="28"/>
          <w:szCs w:val="28"/>
          <w:highlight w:val="none"/>
          <w:lang w:val="en-US" w:eastAsia="zh-CN"/>
        </w:rPr>
        <w:t>须</w:t>
      </w:r>
      <w:r>
        <w:rPr>
          <w:rFonts w:hint="eastAsia" w:ascii="华文仿宋" w:hAnsi="华文仿宋" w:eastAsia="华文仿宋" w:cs="华文仿宋"/>
          <w:bCs/>
          <w:color w:val="auto"/>
          <w:sz w:val="28"/>
          <w:szCs w:val="28"/>
          <w:highlight w:val="none"/>
        </w:rPr>
        <w:t>提供</w:t>
      </w:r>
      <w:r>
        <w:rPr>
          <w:rFonts w:hint="eastAsia" w:ascii="华文仿宋" w:hAnsi="华文仿宋" w:eastAsia="华文仿宋" w:cs="华文仿宋"/>
          <w:bCs/>
          <w:color w:val="auto"/>
          <w:sz w:val="28"/>
          <w:szCs w:val="28"/>
          <w:highlight w:val="none"/>
          <w:lang w:val="en-US" w:eastAsia="zh-CN"/>
        </w:rPr>
        <w:t>证明材料</w:t>
      </w:r>
      <w:r>
        <w:rPr>
          <w:rFonts w:hint="eastAsia" w:ascii="华文仿宋" w:hAnsi="华文仿宋" w:eastAsia="华文仿宋" w:cs="华文仿宋"/>
          <w:bCs/>
          <w:color w:val="auto"/>
          <w:sz w:val="28"/>
          <w:szCs w:val="28"/>
          <w:highlight w:val="none"/>
        </w:rPr>
        <w:t>复印件加盖公章。）</w:t>
      </w:r>
    </w:p>
    <w:p w14:paraId="1E5D0314">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华文仿宋" w:hAnsi="华文仿宋" w:eastAsia="华文仿宋" w:cs="华文仿宋"/>
          <w:bCs/>
          <w:color w:val="auto"/>
          <w:kern w:val="2"/>
          <w:sz w:val="28"/>
          <w:szCs w:val="28"/>
          <w:highlight w:val="none"/>
          <w:lang w:val="en-US" w:eastAsia="zh-CN" w:bidi="ar-SA"/>
        </w:rPr>
      </w:pPr>
      <w:r>
        <w:rPr>
          <w:rFonts w:hint="eastAsia" w:ascii="方正楷体_GBK" w:hAnsi="方正楷体_GBK" w:eastAsia="方正楷体_GBK" w:cs="方正楷体_GBK"/>
          <w:bCs/>
          <w:color w:val="auto"/>
          <w:kern w:val="2"/>
          <w:sz w:val="28"/>
          <w:szCs w:val="28"/>
          <w:highlight w:val="none"/>
          <w:lang w:val="en-US" w:eastAsia="zh-CN" w:bidi="ar-SA"/>
        </w:rPr>
        <w:t>4.拒绝下述供应商参加本次采购活动：</w:t>
      </w:r>
    </w:p>
    <w:p w14:paraId="4657F5B8">
      <w:pPr>
        <w:spacing w:line="360" w:lineRule="auto"/>
        <w:ind w:firstLine="560" w:firstLineChars="200"/>
        <w:rPr>
          <w:rFonts w:hint="eastAsia" w:ascii="华文仿宋" w:hAnsi="华文仿宋" w:eastAsia="华文仿宋" w:cs="华文仿宋"/>
          <w:bCs/>
          <w:color w:val="auto"/>
          <w:kern w:val="2"/>
          <w:sz w:val="28"/>
          <w:szCs w:val="28"/>
          <w:highlight w:val="none"/>
          <w:lang w:val="en-US"/>
        </w:rPr>
      </w:pPr>
      <w:r>
        <w:rPr>
          <w:rFonts w:hint="eastAsia" w:ascii="华文仿宋" w:hAnsi="华文仿宋" w:eastAsia="华文仿宋" w:cs="华文仿宋"/>
          <w:bCs/>
          <w:color w:val="auto"/>
          <w:kern w:val="2"/>
          <w:sz w:val="28"/>
          <w:szCs w:val="28"/>
          <w:highlight w:val="none"/>
          <w:lang w:val="en-US"/>
        </w:rPr>
        <w:t>（1）供应商单位负责人为同一人或者存在直接控股、管理关系的不同供应商，不得参加同一合同项下的政府采购活动。</w:t>
      </w:r>
    </w:p>
    <w:p w14:paraId="5A5A23B7">
      <w:pPr>
        <w:spacing w:line="360" w:lineRule="auto"/>
        <w:ind w:firstLine="560" w:firstLineChars="200"/>
        <w:rPr>
          <w:rFonts w:hint="eastAsia" w:ascii="华文仿宋" w:hAnsi="华文仿宋" w:eastAsia="华文仿宋" w:cs="华文仿宋"/>
          <w:bCs/>
          <w:color w:val="auto"/>
          <w:kern w:val="2"/>
          <w:sz w:val="28"/>
          <w:szCs w:val="28"/>
          <w:highlight w:val="none"/>
          <w:lang w:val="en-US"/>
        </w:rPr>
      </w:pPr>
      <w:r>
        <w:rPr>
          <w:rFonts w:hint="eastAsia" w:ascii="华文仿宋" w:hAnsi="华文仿宋" w:eastAsia="华文仿宋" w:cs="华文仿宋"/>
          <w:bCs/>
          <w:color w:val="auto"/>
          <w:kern w:val="2"/>
          <w:sz w:val="28"/>
          <w:szCs w:val="28"/>
          <w:highlight w:val="none"/>
          <w:lang w:val="en-US"/>
        </w:rPr>
        <w:t>（2）凡为采购项目提供整体设计、规范编制或者项目管理、监理、检测等服务的供应商，不得再参加本项目的采购活动。</w:t>
      </w:r>
    </w:p>
    <w:p w14:paraId="2400857A">
      <w:pPr>
        <w:spacing w:line="360" w:lineRule="auto"/>
        <w:ind w:firstLine="560" w:firstLineChars="200"/>
        <w:rPr>
          <w:rFonts w:hint="eastAsia" w:ascii="华文仿宋" w:hAnsi="华文仿宋" w:eastAsia="华文仿宋" w:cs="华文仿宋"/>
          <w:bCs/>
          <w:color w:val="auto"/>
          <w:kern w:val="2"/>
          <w:sz w:val="28"/>
          <w:szCs w:val="28"/>
          <w:highlight w:val="none"/>
          <w:lang w:val="en-US"/>
        </w:rPr>
      </w:pPr>
      <w:r>
        <w:rPr>
          <w:rFonts w:hint="eastAsia" w:ascii="华文仿宋" w:hAnsi="华文仿宋" w:eastAsia="华文仿宋" w:cs="华文仿宋"/>
          <w:bCs/>
          <w:color w:val="auto"/>
          <w:kern w:val="2"/>
          <w:sz w:val="28"/>
          <w:szCs w:val="28"/>
          <w:highlight w:val="none"/>
          <w:lang w:val="en-US"/>
        </w:rPr>
        <w:t>（3）供应商被“信用中国”网站（www.creditchina.gov.cn）、“中国政府采购网"(www.ccgp.gov.cn)列入失信被执行人、重大税收违法案件当事人名单、政府采购严重违法失信行为记录名单。</w:t>
      </w:r>
    </w:p>
    <w:p w14:paraId="0B7F0823">
      <w:pPr>
        <w:spacing w:line="360" w:lineRule="auto"/>
        <w:ind w:firstLine="561" w:firstLineChars="200"/>
        <w:rPr>
          <w:rFonts w:hint="eastAsia" w:ascii="华文仿宋" w:hAnsi="华文仿宋" w:eastAsia="华文仿宋" w:cs="华文仿宋"/>
          <w:b/>
          <w:bCs w:val="0"/>
          <w:color w:val="auto"/>
          <w:kern w:val="2"/>
          <w:sz w:val="28"/>
          <w:szCs w:val="28"/>
          <w:highlight w:val="none"/>
          <w:lang w:val="en-US" w:eastAsia="zh-CN"/>
        </w:rPr>
      </w:pPr>
      <w:r>
        <w:rPr>
          <w:rFonts w:hint="eastAsia" w:ascii="华文仿宋" w:hAnsi="华文仿宋" w:eastAsia="华文仿宋" w:cs="华文仿宋"/>
          <w:b/>
          <w:bCs w:val="0"/>
          <w:color w:val="auto"/>
          <w:kern w:val="2"/>
          <w:sz w:val="28"/>
          <w:szCs w:val="28"/>
          <w:highlight w:val="none"/>
          <w:lang w:val="en-US" w:eastAsia="zh-CN"/>
        </w:rPr>
        <w:t>供应商应通过“信用中国”网站(</w:t>
      </w:r>
      <w:r>
        <w:rPr>
          <w:rFonts w:hint="eastAsia" w:ascii="华文仿宋" w:hAnsi="华文仿宋" w:eastAsia="华文仿宋" w:cs="华文仿宋"/>
          <w:b/>
          <w:bCs w:val="0"/>
          <w:color w:val="auto"/>
          <w:kern w:val="2"/>
          <w:sz w:val="28"/>
          <w:szCs w:val="28"/>
          <w:highlight w:val="none"/>
          <w:lang w:val="en-US"/>
        </w:rPr>
        <w:t>www.creditchina.gov.cn</w:t>
      </w:r>
      <w:r>
        <w:rPr>
          <w:rFonts w:hint="eastAsia" w:ascii="华文仿宋" w:hAnsi="华文仿宋" w:eastAsia="华文仿宋" w:cs="华文仿宋"/>
          <w:b/>
          <w:bCs w:val="0"/>
          <w:color w:val="auto"/>
          <w:kern w:val="2"/>
          <w:sz w:val="28"/>
          <w:szCs w:val="28"/>
          <w:highlight w:val="none"/>
          <w:lang w:val="en-US" w:eastAsia="zh-CN"/>
        </w:rPr>
        <w:t>)、“中国政府采购网”网站(</w:t>
      </w:r>
      <w:r>
        <w:rPr>
          <w:rFonts w:hint="eastAsia" w:ascii="华文仿宋" w:hAnsi="华文仿宋" w:eastAsia="华文仿宋" w:cs="华文仿宋"/>
          <w:b/>
          <w:bCs w:val="0"/>
          <w:color w:val="auto"/>
          <w:kern w:val="2"/>
          <w:sz w:val="28"/>
          <w:szCs w:val="28"/>
          <w:highlight w:val="none"/>
          <w:lang w:val="en-US"/>
        </w:rPr>
        <w:t>www.ccgp.gov.cn</w:t>
      </w:r>
      <w:r>
        <w:rPr>
          <w:rFonts w:hint="eastAsia" w:ascii="华文仿宋" w:hAnsi="华文仿宋" w:eastAsia="华文仿宋" w:cs="华文仿宋"/>
          <w:b/>
          <w:bCs w:val="0"/>
          <w:color w:val="auto"/>
          <w:kern w:val="2"/>
          <w:sz w:val="28"/>
          <w:szCs w:val="28"/>
          <w:highlight w:val="none"/>
          <w:lang w:val="en-US" w:eastAsia="zh-CN"/>
        </w:rPr>
        <w:t>)等渠道查询信用记录并在响应文件中提供。</w:t>
      </w:r>
    </w:p>
    <w:p w14:paraId="6DDAA869">
      <w:pPr>
        <w:pageBreakBefore w:val="0"/>
        <w:kinsoku/>
        <w:wordWrap/>
        <w:overflowPunct/>
        <w:topLinePunct w:val="0"/>
        <w:autoSpaceDE/>
        <w:autoSpaceDN/>
        <w:bidi w:val="0"/>
        <w:spacing w:line="560" w:lineRule="exact"/>
        <w:ind w:firstLine="560" w:firstLineChars="200"/>
        <w:textAlignment w:val="auto"/>
        <w:rPr>
          <w:rFonts w:hint="eastAsia" w:ascii="方正黑体_GBK" w:hAnsi="方正黑体_GBK" w:eastAsia="方正黑体_GBK" w:cs="方正黑体_GBK"/>
          <w:b w:val="0"/>
          <w:bCs/>
          <w:color w:val="auto"/>
          <w:sz w:val="28"/>
          <w:szCs w:val="28"/>
          <w:highlight w:val="none"/>
        </w:rPr>
      </w:pPr>
      <w:r>
        <w:rPr>
          <w:rFonts w:hint="eastAsia" w:ascii="方正黑体_GBK" w:hAnsi="方正黑体_GBK" w:eastAsia="方正黑体_GBK" w:cs="方正黑体_GBK"/>
          <w:b w:val="0"/>
          <w:bCs/>
          <w:color w:val="auto"/>
          <w:sz w:val="28"/>
          <w:szCs w:val="28"/>
          <w:highlight w:val="none"/>
        </w:rPr>
        <w:t>三、获取采购文件</w:t>
      </w:r>
      <w:bookmarkEnd w:id="13"/>
      <w:bookmarkEnd w:id="14"/>
      <w:bookmarkEnd w:id="15"/>
      <w:bookmarkEnd w:id="16"/>
      <w:bookmarkStart w:id="17" w:name="_Toc35393801"/>
      <w:bookmarkStart w:id="18" w:name="_Toc35393632"/>
      <w:bookmarkStart w:id="19" w:name="_Toc28359092"/>
      <w:bookmarkStart w:id="20" w:name="_Toc28359015"/>
    </w:p>
    <w:p w14:paraId="5B662246">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rPr>
        <w:t>时间：</w:t>
      </w:r>
      <w:r>
        <w:rPr>
          <w:rFonts w:hint="eastAsia" w:ascii="华文仿宋" w:hAnsi="华文仿宋" w:eastAsia="华文仿宋" w:cs="华文仿宋"/>
          <w:color w:val="auto"/>
          <w:sz w:val="28"/>
          <w:szCs w:val="28"/>
          <w:highlight w:val="none"/>
          <w:u w:val="single"/>
          <w:lang w:eastAsia="zh-CN"/>
        </w:rPr>
        <w:t>自磋商文件公告发布之日起5个工作日</w:t>
      </w:r>
      <w:r>
        <w:rPr>
          <w:rFonts w:hint="eastAsia" w:ascii="华文仿宋" w:hAnsi="华文仿宋" w:eastAsia="华文仿宋" w:cs="华文仿宋"/>
          <w:color w:val="auto"/>
          <w:sz w:val="28"/>
          <w:szCs w:val="28"/>
          <w:highlight w:val="none"/>
        </w:rPr>
        <w:t>。</w:t>
      </w:r>
    </w:p>
    <w:p w14:paraId="4E7F491F">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u w:val="single"/>
          <w:lang w:eastAsia="zh-CN"/>
        </w:rPr>
      </w:pPr>
      <w:r>
        <w:rPr>
          <w:rFonts w:hint="eastAsia" w:ascii="华文仿宋" w:hAnsi="华文仿宋" w:eastAsia="华文仿宋" w:cs="华文仿宋"/>
          <w:color w:val="auto"/>
          <w:sz w:val="28"/>
          <w:szCs w:val="28"/>
          <w:highlight w:val="none"/>
          <w:lang w:val="en-US" w:eastAsia="zh-CN"/>
        </w:rPr>
        <w:t>2.</w:t>
      </w:r>
      <w:r>
        <w:rPr>
          <w:rFonts w:hint="eastAsia" w:ascii="华文仿宋" w:hAnsi="华文仿宋" w:eastAsia="华文仿宋" w:cs="华文仿宋"/>
          <w:color w:val="auto"/>
          <w:sz w:val="28"/>
          <w:szCs w:val="28"/>
          <w:highlight w:val="none"/>
        </w:rPr>
        <w:t>地点：</w:t>
      </w:r>
      <w:bookmarkStart w:id="21" w:name="OLE_LINK1"/>
      <w:r>
        <w:rPr>
          <w:rFonts w:hint="eastAsia" w:ascii="华文仿宋" w:hAnsi="华文仿宋" w:eastAsia="华文仿宋" w:cs="华文仿宋"/>
          <w:color w:val="auto"/>
          <w:sz w:val="28"/>
          <w:szCs w:val="28"/>
          <w:highlight w:val="none"/>
          <w:u w:val="single"/>
          <w:lang w:eastAsia="zh-CN"/>
        </w:rPr>
        <w:t>江苏省政府采购(苏采云)平台</w:t>
      </w:r>
      <w:bookmarkEnd w:id="21"/>
    </w:p>
    <w:p w14:paraId="39687F78">
      <w:pPr>
        <w:spacing w:line="560" w:lineRule="exact"/>
        <w:ind w:firstLine="560" w:firstLineChars="200"/>
        <w:rPr>
          <w:rFonts w:hint="eastAsia" w:ascii="华文仿宋" w:hAnsi="华文仿宋" w:eastAsia="华文仿宋" w:cs="华文仿宋"/>
          <w:color w:val="auto"/>
          <w:sz w:val="28"/>
          <w:szCs w:val="28"/>
          <w:highlight w:val="none"/>
          <w:u w:val="single"/>
          <w:lang w:eastAsia="zh-CN"/>
        </w:rPr>
      </w:pPr>
      <w:r>
        <w:rPr>
          <w:rFonts w:hint="eastAsia" w:ascii="华文仿宋" w:hAnsi="华文仿宋" w:eastAsia="华文仿宋" w:cs="华文仿宋"/>
          <w:color w:val="auto"/>
          <w:sz w:val="28"/>
          <w:szCs w:val="28"/>
          <w:highlight w:val="none"/>
          <w:lang w:val="en-US" w:eastAsia="zh-CN"/>
        </w:rPr>
        <w:t>3.</w:t>
      </w:r>
      <w:r>
        <w:rPr>
          <w:rFonts w:hint="eastAsia" w:ascii="华文仿宋" w:hAnsi="华文仿宋" w:eastAsia="华文仿宋" w:cs="华文仿宋"/>
          <w:color w:val="auto"/>
          <w:sz w:val="28"/>
          <w:szCs w:val="28"/>
          <w:highlight w:val="none"/>
        </w:rPr>
        <w:t>方式：</w:t>
      </w:r>
      <w:r>
        <w:rPr>
          <w:rFonts w:hint="eastAsia" w:ascii="华文仿宋" w:hAnsi="华文仿宋" w:eastAsia="华文仿宋" w:cs="华文仿宋"/>
          <w:color w:val="auto"/>
          <w:sz w:val="28"/>
          <w:szCs w:val="28"/>
          <w:highlight w:val="none"/>
          <w:u w:val="single"/>
        </w:rPr>
        <w:t>网上下载</w:t>
      </w:r>
    </w:p>
    <w:p w14:paraId="6FEDDC4D">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u w:val="none"/>
          <w:lang w:val="en-US" w:eastAsia="zh-CN"/>
        </w:rPr>
        <w:t>4.</w:t>
      </w:r>
      <w:r>
        <w:rPr>
          <w:rFonts w:hint="eastAsia" w:ascii="华文仿宋" w:hAnsi="华文仿宋" w:eastAsia="华文仿宋" w:cs="华文仿宋"/>
          <w:color w:val="auto"/>
          <w:sz w:val="28"/>
          <w:szCs w:val="28"/>
          <w:highlight w:val="none"/>
          <w:u w:val="none"/>
        </w:rPr>
        <w:t>售价</w:t>
      </w:r>
      <w:r>
        <w:rPr>
          <w:rFonts w:hint="eastAsia" w:ascii="华文仿宋" w:hAnsi="华文仿宋" w:eastAsia="华文仿宋" w:cs="华文仿宋"/>
          <w:color w:val="auto"/>
          <w:sz w:val="28"/>
          <w:szCs w:val="28"/>
          <w:highlight w:val="none"/>
          <w:u w:val="none"/>
          <w:lang w:eastAsia="zh-CN"/>
        </w:rPr>
        <w:t>：</w:t>
      </w:r>
      <w:r>
        <w:rPr>
          <w:rFonts w:hint="eastAsia" w:ascii="华文仿宋" w:hAnsi="华文仿宋" w:eastAsia="华文仿宋" w:cs="华文仿宋"/>
          <w:color w:val="auto"/>
          <w:sz w:val="28"/>
          <w:szCs w:val="28"/>
          <w:highlight w:val="none"/>
          <w:u w:val="none"/>
          <w:lang w:val="en-US" w:eastAsia="zh-CN"/>
        </w:rPr>
        <w:t>0.00</w:t>
      </w:r>
      <w:r>
        <w:rPr>
          <w:rFonts w:hint="eastAsia" w:ascii="华文仿宋" w:hAnsi="华文仿宋" w:eastAsia="华文仿宋" w:cs="华文仿宋"/>
          <w:color w:val="auto"/>
          <w:sz w:val="28"/>
          <w:szCs w:val="28"/>
          <w:highlight w:val="none"/>
        </w:rPr>
        <w:t>元/份</w:t>
      </w:r>
      <w:r>
        <w:rPr>
          <w:rFonts w:hint="eastAsia" w:ascii="华文仿宋" w:hAnsi="华文仿宋" w:eastAsia="华文仿宋" w:cs="华文仿宋"/>
          <w:color w:val="auto"/>
          <w:sz w:val="28"/>
          <w:szCs w:val="28"/>
          <w:highlight w:val="none"/>
        </w:rPr>
        <w:t>。</w:t>
      </w:r>
    </w:p>
    <w:p w14:paraId="7E789A86">
      <w:pPr>
        <w:keepNext/>
        <w:keepLines/>
        <w:pageBreakBefore w:val="0"/>
        <w:kinsoku/>
        <w:wordWrap/>
        <w:overflowPunct/>
        <w:topLinePunct w:val="0"/>
        <w:autoSpaceDE/>
        <w:autoSpaceDN/>
        <w:bidi w:val="0"/>
        <w:spacing w:line="560" w:lineRule="exact"/>
        <w:ind w:firstLine="560" w:firstLineChars="200"/>
        <w:textAlignment w:val="auto"/>
        <w:rPr>
          <w:rFonts w:hint="eastAsia" w:ascii="方正黑体_GBK" w:hAnsi="方正黑体_GBK" w:eastAsia="方正黑体_GBK" w:cs="方正黑体_GBK"/>
          <w:b w:val="0"/>
          <w:bCs/>
          <w:color w:val="auto"/>
          <w:sz w:val="28"/>
          <w:szCs w:val="28"/>
          <w:highlight w:val="none"/>
        </w:rPr>
      </w:pPr>
      <w:r>
        <w:rPr>
          <w:rFonts w:hint="eastAsia" w:ascii="方正黑体_GBK" w:hAnsi="方正黑体_GBK" w:eastAsia="方正黑体_GBK" w:cs="方正黑体_GBK"/>
          <w:b w:val="0"/>
          <w:bCs/>
          <w:color w:val="auto"/>
          <w:sz w:val="28"/>
          <w:szCs w:val="28"/>
          <w:highlight w:val="none"/>
        </w:rPr>
        <w:t>四、响应文件提交</w:t>
      </w:r>
      <w:bookmarkEnd w:id="17"/>
      <w:bookmarkEnd w:id="18"/>
      <w:bookmarkEnd w:id="19"/>
      <w:bookmarkEnd w:id="20"/>
    </w:p>
    <w:p w14:paraId="4D1EDEBA">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color w:val="auto"/>
          <w:sz w:val="28"/>
          <w:szCs w:val="28"/>
          <w:highlight w:val="none"/>
        </w:rPr>
        <w:t>截止时间：</w:t>
      </w:r>
      <w:r>
        <w:rPr>
          <w:rFonts w:hint="eastAsia" w:ascii="华文仿宋" w:hAnsi="华文仿宋" w:eastAsia="华文仿宋" w:cs="华文仿宋"/>
          <w:color w:val="auto"/>
          <w:sz w:val="28"/>
          <w:szCs w:val="28"/>
          <w:highlight w:val="none"/>
          <w:u w:val="single"/>
          <w:lang w:val="en-US" w:eastAsia="zh-CN"/>
        </w:rPr>
        <w:t>2026年5月</w:t>
      </w:r>
      <w:r>
        <w:rPr>
          <w:rFonts w:hint="eastAsia" w:ascii="华文仿宋" w:hAnsi="华文仿宋" w:eastAsia="华文仿宋" w:cs="华文仿宋"/>
          <w:bCs/>
          <w:color w:val="auto"/>
          <w:sz w:val="28"/>
          <w:szCs w:val="28"/>
          <w:highlight w:val="none"/>
          <w:u w:val="single"/>
          <w:lang w:val="en-US" w:eastAsia="zh-CN"/>
        </w:rPr>
        <w:t>26</w:t>
      </w:r>
      <w:r>
        <w:rPr>
          <w:rFonts w:hint="eastAsia" w:ascii="华文仿宋" w:hAnsi="华文仿宋" w:eastAsia="华文仿宋" w:cs="华文仿宋"/>
          <w:bCs/>
          <w:color w:val="auto"/>
          <w:sz w:val="28"/>
          <w:szCs w:val="28"/>
          <w:highlight w:val="none"/>
          <w:u w:val="single"/>
        </w:rPr>
        <w:t>日</w:t>
      </w:r>
      <w:r>
        <w:rPr>
          <w:rFonts w:hint="eastAsia" w:ascii="华文仿宋" w:hAnsi="华文仿宋" w:eastAsia="华文仿宋" w:cs="华文仿宋"/>
          <w:bCs/>
          <w:color w:val="auto"/>
          <w:sz w:val="28"/>
          <w:szCs w:val="28"/>
          <w:highlight w:val="none"/>
          <w:u w:val="single"/>
          <w:lang w:val="en-US" w:eastAsia="zh-CN"/>
        </w:rPr>
        <w:t>09</w:t>
      </w:r>
      <w:r>
        <w:rPr>
          <w:rFonts w:hint="eastAsia" w:ascii="华文仿宋" w:hAnsi="华文仿宋" w:eastAsia="华文仿宋" w:cs="华文仿宋"/>
          <w:bCs/>
          <w:color w:val="auto"/>
          <w:sz w:val="28"/>
          <w:szCs w:val="28"/>
          <w:highlight w:val="none"/>
          <w:u w:val="single"/>
        </w:rPr>
        <w:t>点</w:t>
      </w:r>
      <w:r>
        <w:rPr>
          <w:rFonts w:hint="eastAsia" w:ascii="华文仿宋" w:hAnsi="华文仿宋" w:eastAsia="华文仿宋" w:cs="华文仿宋"/>
          <w:bCs/>
          <w:color w:val="auto"/>
          <w:sz w:val="28"/>
          <w:szCs w:val="28"/>
          <w:highlight w:val="none"/>
          <w:u w:val="single"/>
          <w:lang w:val="en-US" w:eastAsia="zh-CN"/>
        </w:rPr>
        <w:t>30</w:t>
      </w:r>
      <w:r>
        <w:rPr>
          <w:rFonts w:hint="eastAsia" w:ascii="华文仿宋" w:hAnsi="华文仿宋" w:eastAsia="华文仿宋" w:cs="华文仿宋"/>
          <w:bCs/>
          <w:color w:val="auto"/>
          <w:sz w:val="28"/>
          <w:szCs w:val="28"/>
          <w:highlight w:val="none"/>
          <w:u w:val="single"/>
        </w:rPr>
        <w:t>分</w:t>
      </w:r>
      <w:r>
        <w:rPr>
          <w:rFonts w:hint="eastAsia" w:ascii="华文仿宋" w:hAnsi="华文仿宋" w:eastAsia="华文仿宋" w:cs="华文仿宋"/>
          <w:bCs/>
          <w:color w:val="auto"/>
          <w:sz w:val="28"/>
          <w:szCs w:val="28"/>
          <w:highlight w:val="none"/>
        </w:rPr>
        <w:t>（北京时间）</w:t>
      </w:r>
    </w:p>
    <w:p w14:paraId="0969F78C">
      <w:pPr>
        <w:pageBreakBefore w:val="0"/>
        <w:kinsoku/>
        <w:wordWrap/>
        <w:overflowPunct/>
        <w:topLinePunct w:val="0"/>
        <w:autoSpaceDE/>
        <w:autoSpaceDN/>
        <w:bidi w:val="0"/>
        <w:spacing w:line="560" w:lineRule="exact"/>
        <w:ind w:firstLine="560" w:firstLineChars="200"/>
        <w:textAlignment w:val="auto"/>
        <w:rPr>
          <w:rFonts w:hint="default" w:ascii="华文仿宋" w:hAnsi="华文仿宋" w:eastAsia="华文仿宋" w:cs="华文仿宋"/>
          <w:bCs/>
          <w:color w:val="auto"/>
          <w:sz w:val="28"/>
          <w:szCs w:val="28"/>
          <w:highlight w:val="none"/>
          <w:u w:val="single"/>
          <w:lang w:val="en-US" w:eastAsia="zh-CN"/>
        </w:rPr>
      </w:pPr>
      <w:r>
        <w:rPr>
          <w:rFonts w:hint="eastAsia" w:ascii="华文仿宋" w:hAnsi="华文仿宋" w:eastAsia="华文仿宋" w:cs="华文仿宋"/>
          <w:color w:val="auto"/>
          <w:sz w:val="28"/>
          <w:szCs w:val="28"/>
          <w:highlight w:val="none"/>
        </w:rPr>
        <w:t>地点：</w:t>
      </w:r>
      <w:bookmarkStart w:id="22" w:name="_Toc35393633"/>
      <w:bookmarkStart w:id="23" w:name="_Toc28359016"/>
      <w:bookmarkStart w:id="24" w:name="_Toc35393802"/>
      <w:bookmarkStart w:id="25" w:name="_Toc28359093"/>
      <w:r>
        <w:rPr>
          <w:rFonts w:hint="eastAsia" w:ascii="华文仿宋" w:hAnsi="华文仿宋" w:eastAsia="华文仿宋" w:cs="华文仿宋"/>
          <w:color w:val="auto"/>
          <w:sz w:val="28"/>
          <w:szCs w:val="28"/>
          <w:highlight w:val="none"/>
          <w:u w:val="single"/>
          <w:lang w:eastAsia="zh-CN"/>
        </w:rPr>
        <w:t>江苏省政府采购(苏采云)平台</w:t>
      </w:r>
    </w:p>
    <w:p w14:paraId="7C6A331C">
      <w:pPr>
        <w:keepNext/>
        <w:keepLines/>
        <w:pageBreakBefore w:val="0"/>
        <w:kinsoku/>
        <w:wordWrap/>
        <w:overflowPunct/>
        <w:topLinePunct w:val="0"/>
        <w:autoSpaceDE/>
        <w:autoSpaceDN/>
        <w:bidi w:val="0"/>
        <w:spacing w:line="560" w:lineRule="exact"/>
        <w:ind w:firstLine="560" w:firstLineChars="200"/>
        <w:textAlignment w:val="auto"/>
        <w:rPr>
          <w:rFonts w:hint="eastAsia" w:ascii="方正黑体_GBK" w:hAnsi="方正黑体_GBK" w:eastAsia="方正黑体_GBK" w:cs="方正黑体_GBK"/>
          <w:b w:val="0"/>
          <w:bCs/>
          <w:color w:val="auto"/>
          <w:sz w:val="28"/>
          <w:szCs w:val="28"/>
          <w:highlight w:val="none"/>
        </w:rPr>
      </w:pPr>
      <w:r>
        <w:rPr>
          <w:rFonts w:hint="eastAsia" w:ascii="方正黑体_GBK" w:hAnsi="方正黑体_GBK" w:eastAsia="方正黑体_GBK" w:cs="方正黑体_GBK"/>
          <w:b w:val="0"/>
          <w:bCs/>
          <w:color w:val="auto"/>
          <w:sz w:val="28"/>
          <w:szCs w:val="28"/>
          <w:highlight w:val="none"/>
        </w:rPr>
        <w:t>五、开启</w:t>
      </w:r>
      <w:bookmarkEnd w:id="22"/>
      <w:bookmarkEnd w:id="23"/>
      <w:bookmarkEnd w:id="24"/>
      <w:bookmarkEnd w:id="25"/>
    </w:p>
    <w:p w14:paraId="2B64A735">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rPr>
        <w:t>时间：</w:t>
      </w:r>
      <w:r>
        <w:rPr>
          <w:rFonts w:hint="eastAsia" w:ascii="华文仿宋" w:hAnsi="华文仿宋" w:eastAsia="华文仿宋" w:cs="华文仿宋"/>
          <w:color w:val="auto"/>
          <w:sz w:val="28"/>
          <w:szCs w:val="28"/>
          <w:highlight w:val="none"/>
          <w:u w:val="single"/>
          <w:lang w:val="en-US" w:eastAsia="zh-CN"/>
        </w:rPr>
        <w:t>2026年5月</w:t>
      </w:r>
      <w:r>
        <w:rPr>
          <w:rFonts w:hint="eastAsia" w:ascii="华文仿宋" w:hAnsi="华文仿宋" w:eastAsia="华文仿宋" w:cs="华文仿宋"/>
          <w:bCs/>
          <w:color w:val="auto"/>
          <w:sz w:val="28"/>
          <w:szCs w:val="28"/>
          <w:highlight w:val="none"/>
          <w:u w:val="single"/>
          <w:lang w:val="en-US" w:eastAsia="zh-CN"/>
        </w:rPr>
        <w:t>26</w:t>
      </w:r>
      <w:r>
        <w:rPr>
          <w:rFonts w:hint="eastAsia" w:ascii="华文仿宋" w:hAnsi="华文仿宋" w:eastAsia="华文仿宋" w:cs="华文仿宋"/>
          <w:bCs/>
          <w:color w:val="auto"/>
          <w:sz w:val="28"/>
          <w:szCs w:val="28"/>
          <w:highlight w:val="none"/>
          <w:u w:val="single"/>
        </w:rPr>
        <w:t>日</w:t>
      </w:r>
      <w:r>
        <w:rPr>
          <w:rFonts w:hint="eastAsia" w:ascii="华文仿宋" w:hAnsi="华文仿宋" w:eastAsia="华文仿宋" w:cs="华文仿宋"/>
          <w:bCs/>
          <w:color w:val="auto"/>
          <w:sz w:val="28"/>
          <w:szCs w:val="28"/>
          <w:highlight w:val="none"/>
          <w:u w:val="single"/>
          <w:lang w:val="en-US" w:eastAsia="zh-CN"/>
        </w:rPr>
        <w:t>09</w:t>
      </w:r>
      <w:r>
        <w:rPr>
          <w:rFonts w:hint="eastAsia" w:ascii="华文仿宋" w:hAnsi="华文仿宋" w:eastAsia="华文仿宋" w:cs="华文仿宋"/>
          <w:bCs/>
          <w:color w:val="auto"/>
          <w:sz w:val="28"/>
          <w:szCs w:val="28"/>
          <w:highlight w:val="none"/>
          <w:u w:val="single"/>
        </w:rPr>
        <w:t>点</w:t>
      </w:r>
      <w:r>
        <w:rPr>
          <w:rFonts w:hint="eastAsia" w:ascii="华文仿宋" w:hAnsi="华文仿宋" w:eastAsia="华文仿宋" w:cs="华文仿宋"/>
          <w:bCs/>
          <w:color w:val="auto"/>
          <w:sz w:val="28"/>
          <w:szCs w:val="28"/>
          <w:highlight w:val="none"/>
          <w:u w:val="single"/>
          <w:lang w:val="en-US" w:eastAsia="zh-CN"/>
        </w:rPr>
        <w:t>30</w:t>
      </w:r>
      <w:r>
        <w:rPr>
          <w:rFonts w:hint="eastAsia" w:ascii="华文仿宋" w:hAnsi="华文仿宋" w:eastAsia="华文仿宋" w:cs="华文仿宋"/>
          <w:bCs/>
          <w:color w:val="auto"/>
          <w:sz w:val="28"/>
          <w:szCs w:val="28"/>
          <w:highlight w:val="none"/>
          <w:u w:val="single"/>
        </w:rPr>
        <w:t>分</w:t>
      </w:r>
      <w:r>
        <w:rPr>
          <w:rFonts w:hint="eastAsia" w:ascii="华文仿宋" w:hAnsi="华文仿宋" w:eastAsia="华文仿宋" w:cs="华文仿宋"/>
          <w:color w:val="auto"/>
          <w:sz w:val="28"/>
          <w:szCs w:val="28"/>
          <w:highlight w:val="none"/>
        </w:rPr>
        <w:t>（北京时间）</w:t>
      </w:r>
    </w:p>
    <w:p w14:paraId="7E3DB218">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2.</w:t>
      </w:r>
      <w:r>
        <w:rPr>
          <w:rFonts w:hint="eastAsia" w:ascii="华文仿宋" w:hAnsi="华文仿宋" w:eastAsia="华文仿宋" w:cs="华文仿宋"/>
          <w:color w:val="auto"/>
          <w:sz w:val="28"/>
          <w:szCs w:val="28"/>
          <w:highlight w:val="none"/>
        </w:rPr>
        <w:t>地点：</w:t>
      </w:r>
      <w:r>
        <w:rPr>
          <w:rFonts w:hint="eastAsia" w:ascii="华文仿宋" w:hAnsi="华文仿宋" w:eastAsia="华文仿宋" w:cs="华文仿宋"/>
          <w:color w:val="auto"/>
          <w:sz w:val="28"/>
          <w:szCs w:val="28"/>
          <w:highlight w:val="none"/>
          <w:lang w:val="en-US" w:eastAsia="zh-CN"/>
        </w:rPr>
        <w:t xml:space="preserve">“苏采云”政府采购交易系统网上开标大厅 </w:t>
      </w:r>
    </w:p>
    <w:p w14:paraId="7629E6CF">
      <w:pPr>
        <w:pageBreakBefore w:val="0"/>
        <w:kinsoku/>
        <w:wordWrap/>
        <w:overflowPunct/>
        <w:topLinePunct w:val="0"/>
        <w:autoSpaceDE/>
        <w:autoSpaceDN/>
        <w:bidi w:val="0"/>
        <w:spacing w:line="560" w:lineRule="exact"/>
        <w:ind w:firstLine="560" w:firstLineChars="200"/>
        <w:textAlignment w:val="auto"/>
        <w:rPr>
          <w:rFonts w:hint="eastAsia" w:ascii="方正黑体_GBK" w:hAnsi="方正黑体_GBK" w:eastAsia="方正黑体_GBK" w:cs="方正黑体_GBK"/>
          <w:b w:val="0"/>
          <w:bCs/>
          <w:color w:val="auto"/>
          <w:sz w:val="28"/>
          <w:szCs w:val="28"/>
          <w:highlight w:val="none"/>
        </w:rPr>
      </w:pPr>
      <w:bookmarkStart w:id="26" w:name="_Toc35393634"/>
      <w:bookmarkStart w:id="27" w:name="_Toc28359094"/>
      <w:bookmarkStart w:id="28" w:name="_Toc28359017"/>
      <w:bookmarkStart w:id="29" w:name="_Toc35393803"/>
      <w:r>
        <w:rPr>
          <w:rFonts w:hint="eastAsia" w:ascii="方正黑体_GBK" w:hAnsi="方正黑体_GBK" w:eastAsia="方正黑体_GBK" w:cs="方正黑体_GBK"/>
          <w:b w:val="0"/>
          <w:bCs/>
          <w:color w:val="auto"/>
          <w:sz w:val="28"/>
          <w:szCs w:val="28"/>
          <w:highlight w:val="none"/>
        </w:rPr>
        <w:t>六、公告期限</w:t>
      </w:r>
      <w:bookmarkEnd w:id="26"/>
      <w:bookmarkEnd w:id="27"/>
      <w:bookmarkEnd w:id="28"/>
      <w:bookmarkEnd w:id="29"/>
    </w:p>
    <w:p w14:paraId="228DD604">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自本公告发布之日起3个工作日。</w:t>
      </w:r>
    </w:p>
    <w:p w14:paraId="77B39685">
      <w:pPr>
        <w:pageBreakBefore w:val="0"/>
        <w:kinsoku/>
        <w:wordWrap/>
        <w:overflowPunct/>
        <w:topLinePunct w:val="0"/>
        <w:autoSpaceDE/>
        <w:autoSpaceDN/>
        <w:bidi w:val="0"/>
        <w:spacing w:line="560" w:lineRule="exact"/>
        <w:ind w:firstLine="560" w:firstLineChars="200"/>
        <w:textAlignment w:val="auto"/>
        <w:rPr>
          <w:rFonts w:hint="eastAsia" w:ascii="方正黑体_GBK" w:hAnsi="方正黑体_GBK" w:eastAsia="方正黑体_GBK" w:cs="方正黑体_GBK"/>
          <w:b w:val="0"/>
          <w:bCs/>
          <w:color w:val="auto"/>
          <w:sz w:val="28"/>
          <w:szCs w:val="28"/>
          <w:highlight w:val="none"/>
        </w:rPr>
      </w:pPr>
      <w:bookmarkStart w:id="30" w:name="_Toc35393804"/>
      <w:bookmarkStart w:id="31" w:name="_Toc35393635"/>
      <w:r>
        <w:rPr>
          <w:rFonts w:hint="eastAsia" w:ascii="方正黑体_GBK" w:hAnsi="方正黑体_GBK" w:eastAsia="方正黑体_GBK" w:cs="方正黑体_GBK"/>
          <w:b w:val="0"/>
          <w:bCs/>
          <w:color w:val="auto"/>
          <w:sz w:val="28"/>
          <w:szCs w:val="28"/>
          <w:highlight w:val="none"/>
        </w:rPr>
        <w:t>七、其他补充事宜</w:t>
      </w:r>
      <w:bookmarkEnd w:id="30"/>
      <w:bookmarkEnd w:id="31"/>
    </w:p>
    <w:p w14:paraId="73A8321B">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color w:val="auto"/>
          <w:kern w:val="0"/>
          <w:sz w:val="28"/>
          <w:szCs w:val="28"/>
          <w:highlight w:val="none"/>
          <w:lang w:val="en-US" w:eastAsia="zh-CN" w:bidi="ar-SA"/>
        </w:rPr>
      </w:pPr>
      <w:bookmarkStart w:id="32" w:name="_Toc28359018"/>
      <w:bookmarkStart w:id="33" w:name="_Toc35393805"/>
      <w:bookmarkStart w:id="34" w:name="_Toc28359095"/>
      <w:bookmarkStart w:id="35" w:name="_Toc35393636"/>
      <w:r>
        <w:rPr>
          <w:rFonts w:hint="eastAsia" w:ascii="华文仿宋" w:hAnsi="华文仿宋" w:eastAsia="华文仿宋" w:cs="华文仿宋"/>
          <w:color w:val="auto"/>
          <w:kern w:val="0"/>
          <w:sz w:val="28"/>
          <w:szCs w:val="28"/>
          <w:highlight w:val="none"/>
          <w:lang w:val="en-US" w:eastAsia="zh-CN" w:bidi="ar-SA"/>
        </w:rPr>
        <w:t>7.1.本项目在江苏政府采购网发布公告。</w:t>
      </w:r>
    </w:p>
    <w:p w14:paraId="0337AB4D">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bidi="ar-SA"/>
        </w:rPr>
        <w:t>7.2.供应商应当从采购代理机构合法获得本项目磋商文件。</w:t>
      </w:r>
    </w:p>
    <w:p w14:paraId="61B3DB37">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bidi="ar-SA"/>
        </w:rPr>
        <w:t>7.3.勘察现场或答疑:本项目不组织集中踏勘，但各供应商自行勘察现场。未勘察现场或勘察工作不详细的供应商中标后，不得以不完全了解现场情况为理由而向采购人提出任何索赔或其他要求，对此采购人不承担任何责任并将不作任何答复。</w:t>
      </w:r>
    </w:p>
    <w:p w14:paraId="6E810D3E">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bidi="ar-SA"/>
        </w:rPr>
        <w:t>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135D1093">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bidi="ar-SA"/>
        </w:rPr>
        <w:t>操作手册下载地址:http://www.ccgp-jiangsu.gov. cn/jiangsu/zlxz/ee/ee3a4bc5a3454aa2b0d9312230633ce9.html首次登录“苏采云”系统的新用户，登录网址后，点击“用户注册”--“新CA办理指南”一获取CA后绑定、登录系统一-采购项目参与--下载采购文件(文件后缀名为“.kedt”)。</w:t>
      </w:r>
    </w:p>
    <w:p w14:paraId="73A9650B">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bidi="ar-SA"/>
        </w:rPr>
        <w:t>“苏采云”南京地区客服热线025-83633744、025-83633743。</w:t>
      </w:r>
    </w:p>
    <w:p w14:paraId="5E89423D">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bidi="ar-SA"/>
        </w:rPr>
        <w:t>7.5.有关本次采购的事项若存在变动或修改，请及时关注“江苏政府采购网”(www.ccgp-jiangsu.gov.cn)更正公告。</w:t>
      </w:r>
    </w:p>
    <w:p w14:paraId="5A1C20E7">
      <w:pPr>
        <w:keepNext/>
        <w:keepLines/>
        <w:pageBreakBefore w:val="0"/>
        <w:kinsoku/>
        <w:wordWrap/>
        <w:overflowPunct/>
        <w:topLinePunct w:val="0"/>
        <w:autoSpaceDE/>
        <w:autoSpaceDN/>
        <w:bidi w:val="0"/>
        <w:spacing w:line="560" w:lineRule="exact"/>
        <w:ind w:firstLine="560" w:firstLineChars="200"/>
        <w:textAlignment w:val="auto"/>
        <w:rPr>
          <w:rFonts w:hint="eastAsia" w:ascii="方正黑体_GBK" w:hAnsi="方正黑体_GBK" w:eastAsia="方正黑体_GBK" w:cs="方正黑体_GBK"/>
          <w:b w:val="0"/>
          <w:bCs/>
          <w:color w:val="auto"/>
          <w:sz w:val="28"/>
          <w:szCs w:val="28"/>
          <w:highlight w:val="none"/>
        </w:rPr>
      </w:pPr>
      <w:r>
        <w:rPr>
          <w:rFonts w:hint="eastAsia" w:ascii="方正黑体_GBK" w:hAnsi="方正黑体_GBK" w:eastAsia="方正黑体_GBK" w:cs="方正黑体_GBK"/>
          <w:b w:val="0"/>
          <w:bCs/>
          <w:color w:val="auto"/>
          <w:sz w:val="28"/>
          <w:szCs w:val="28"/>
          <w:highlight w:val="none"/>
        </w:rPr>
        <w:t>八、凡对本次采购提出询问，请按以下方式联系</w:t>
      </w:r>
      <w:bookmarkEnd w:id="32"/>
      <w:bookmarkEnd w:id="33"/>
      <w:bookmarkEnd w:id="34"/>
      <w:bookmarkEnd w:id="35"/>
    </w:p>
    <w:p w14:paraId="4D9F49B2">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bCs/>
          <w:color w:val="auto"/>
          <w:sz w:val="28"/>
          <w:szCs w:val="28"/>
          <w:highlight w:val="none"/>
        </w:rPr>
      </w:pPr>
      <w:bookmarkStart w:id="36" w:name="_Toc35393637"/>
      <w:bookmarkStart w:id="37" w:name="_Toc28359019"/>
      <w:bookmarkStart w:id="38" w:name="_Toc35393806"/>
      <w:bookmarkStart w:id="39" w:name="_Toc28359096"/>
      <w:r>
        <w:rPr>
          <w:rFonts w:hint="eastAsia" w:ascii="华文仿宋" w:hAnsi="华文仿宋" w:eastAsia="华文仿宋" w:cs="华文仿宋"/>
          <w:bCs/>
          <w:color w:val="auto"/>
          <w:sz w:val="28"/>
          <w:szCs w:val="28"/>
          <w:highlight w:val="none"/>
        </w:rPr>
        <w:t>1.采购人信息</w:t>
      </w:r>
    </w:p>
    <w:p w14:paraId="25DC61E9">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单位名称</w:t>
      </w:r>
      <w:r>
        <w:rPr>
          <w:rFonts w:hint="eastAsia" w:ascii="华文仿宋" w:hAnsi="华文仿宋" w:eastAsia="华文仿宋" w:cs="华文仿宋"/>
          <w:bCs/>
          <w:color w:val="auto"/>
          <w:sz w:val="28"/>
          <w:szCs w:val="28"/>
          <w:highlight w:val="none"/>
        </w:rPr>
        <w:t>：</w:t>
      </w:r>
      <w:r>
        <w:rPr>
          <w:rFonts w:hint="eastAsia" w:ascii="华文仿宋" w:hAnsi="华文仿宋" w:eastAsia="华文仿宋" w:cs="华文仿宋"/>
          <w:bCs/>
          <w:color w:val="auto"/>
          <w:sz w:val="28"/>
          <w:szCs w:val="28"/>
          <w:highlight w:val="none"/>
          <w:lang w:eastAsia="zh-CN"/>
        </w:rPr>
        <w:t>江苏省机关事务管理局</w:t>
      </w:r>
      <w:r>
        <w:rPr>
          <w:rFonts w:hint="eastAsia" w:ascii="华文仿宋" w:hAnsi="华文仿宋" w:eastAsia="华文仿宋" w:cs="华文仿宋"/>
          <w:bCs/>
          <w:color w:val="auto"/>
          <w:sz w:val="28"/>
          <w:szCs w:val="28"/>
          <w:highlight w:val="none"/>
        </w:rPr>
        <w:t xml:space="preserve"> </w:t>
      </w:r>
    </w:p>
    <w:p w14:paraId="0E2874CB">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单位地址</w:t>
      </w:r>
      <w:r>
        <w:rPr>
          <w:rFonts w:hint="eastAsia" w:ascii="华文仿宋" w:hAnsi="华文仿宋" w:eastAsia="华文仿宋" w:cs="华文仿宋"/>
          <w:bCs/>
          <w:color w:val="auto"/>
          <w:sz w:val="28"/>
          <w:szCs w:val="28"/>
          <w:highlight w:val="none"/>
        </w:rPr>
        <w:t>：南京市西康路47号</w:t>
      </w:r>
      <w:r>
        <w:rPr>
          <w:rFonts w:hint="eastAsia" w:ascii="华文仿宋" w:hAnsi="华文仿宋" w:eastAsia="华文仿宋" w:cs="华文仿宋"/>
          <w:bCs/>
          <w:color w:val="auto"/>
          <w:sz w:val="28"/>
          <w:szCs w:val="28"/>
          <w:highlight w:val="none"/>
          <w:lang w:val="en-US" w:eastAsia="zh-CN"/>
        </w:rPr>
        <w:t xml:space="preserve"> </w:t>
      </w:r>
    </w:p>
    <w:p w14:paraId="7380F41C">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联系人：林工    </w:t>
      </w:r>
    </w:p>
    <w:p w14:paraId="1DE074BE">
      <w:pPr>
        <w:pStyle w:val="33"/>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联系</w:t>
      </w:r>
      <w:r>
        <w:rPr>
          <w:rFonts w:hint="eastAsia" w:ascii="华文仿宋" w:hAnsi="华文仿宋" w:eastAsia="华文仿宋" w:cs="华文仿宋"/>
          <w:bCs/>
          <w:color w:val="auto"/>
          <w:sz w:val="28"/>
          <w:szCs w:val="28"/>
          <w:highlight w:val="none"/>
          <w:lang w:val="en-US" w:eastAsia="zh-CN"/>
        </w:rPr>
        <w:t>电话</w:t>
      </w:r>
      <w:r>
        <w:rPr>
          <w:rFonts w:hint="eastAsia" w:ascii="华文仿宋" w:hAnsi="华文仿宋" w:eastAsia="华文仿宋" w:cs="华文仿宋"/>
          <w:bCs/>
          <w:color w:val="auto"/>
          <w:sz w:val="28"/>
          <w:szCs w:val="28"/>
          <w:highlight w:val="none"/>
        </w:rPr>
        <w:t>：</w:t>
      </w:r>
      <w:r>
        <w:rPr>
          <w:rFonts w:hint="eastAsia" w:ascii="华文仿宋" w:hAnsi="华文仿宋" w:eastAsia="华文仿宋" w:cs="华文仿宋"/>
          <w:color w:val="auto"/>
          <w:kern w:val="0"/>
          <w:sz w:val="28"/>
          <w:szCs w:val="28"/>
          <w:highlight w:val="none"/>
          <w:u w:val="none"/>
          <w:lang w:val="en-US" w:eastAsia="zh-CN"/>
        </w:rPr>
        <w:t xml:space="preserve"> 83398652</w:t>
      </w:r>
      <w:r>
        <w:rPr>
          <w:rFonts w:hint="eastAsia" w:ascii="华文仿宋" w:hAnsi="华文仿宋" w:eastAsia="华文仿宋" w:cs="华文仿宋"/>
          <w:bCs/>
          <w:color w:val="auto"/>
          <w:sz w:val="28"/>
          <w:szCs w:val="28"/>
          <w:highlight w:val="none"/>
        </w:rPr>
        <w:t xml:space="preserve">   </w:t>
      </w:r>
    </w:p>
    <w:p w14:paraId="6C4AEC04">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2.</w:t>
      </w:r>
      <w:r>
        <w:rPr>
          <w:rFonts w:hint="eastAsia" w:ascii="华文仿宋" w:hAnsi="华文仿宋" w:eastAsia="华文仿宋" w:cs="华文仿宋"/>
          <w:bCs/>
          <w:color w:val="auto"/>
          <w:sz w:val="28"/>
          <w:szCs w:val="28"/>
          <w:highlight w:val="none"/>
        </w:rPr>
        <w:t>采购代理机构信息</w:t>
      </w:r>
    </w:p>
    <w:p w14:paraId="3D32799A">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 单位名称：江苏省建信招投标有限公司 </w:t>
      </w:r>
    </w:p>
    <w:p w14:paraId="3EE209FC">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单位地址：南京市西康路7号15楼</w:t>
      </w:r>
    </w:p>
    <w:p w14:paraId="6A5A63AE">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 联系人：王工    </w:t>
      </w:r>
    </w:p>
    <w:p w14:paraId="7C278C60">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联系电话：025-83248662-8042</w:t>
      </w:r>
    </w:p>
    <w:p w14:paraId="533B8F85">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firstLine="187" w:firstLineChars="67"/>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3.项目联系方式  </w:t>
      </w:r>
    </w:p>
    <w:p w14:paraId="241E338E">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firstLine="187" w:firstLineChars="67"/>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项目联系人：王工    </w:t>
      </w:r>
    </w:p>
    <w:p w14:paraId="31E31D30">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firstLine="187" w:firstLineChars="67"/>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电话：025-83248662-8042   </w:t>
      </w:r>
    </w:p>
    <w:bookmarkEnd w:id="36"/>
    <w:bookmarkEnd w:id="37"/>
    <w:bookmarkEnd w:id="38"/>
    <w:bookmarkEnd w:id="39"/>
    <w:p w14:paraId="65E8D648">
      <w:pPr>
        <w:pageBreakBefore/>
        <w:widowControl/>
        <w:spacing w:line="360" w:lineRule="auto"/>
        <w:ind w:firstLine="720" w:firstLineChars="200"/>
        <w:jc w:val="center"/>
        <w:outlineLvl w:val="0"/>
        <w:rPr>
          <w:rFonts w:hint="eastAsia" w:ascii="方正小标宋_GBK" w:hAnsi="方正小标宋_GBK" w:eastAsia="方正小标宋_GBK" w:cs="方正小标宋_GBK"/>
          <w:b w:val="0"/>
          <w:bCs w:val="0"/>
          <w:color w:val="auto"/>
          <w:spacing w:val="0"/>
          <w:sz w:val="36"/>
          <w:szCs w:val="36"/>
          <w:highlight w:val="none"/>
          <w:lang w:val="zh-CN"/>
        </w:rPr>
      </w:pPr>
      <w:bookmarkStart w:id="40" w:name="_Toc11224"/>
      <w:r>
        <w:rPr>
          <w:rFonts w:hint="eastAsia" w:ascii="方正小标宋_GBK" w:hAnsi="方正小标宋_GBK" w:eastAsia="方正小标宋_GBK" w:cs="方正小标宋_GBK"/>
          <w:b w:val="0"/>
          <w:bCs w:val="0"/>
          <w:color w:val="auto"/>
          <w:spacing w:val="0"/>
          <w:sz w:val="36"/>
          <w:szCs w:val="36"/>
          <w:highlight w:val="none"/>
        </w:rPr>
        <w:t>第二章 竞争性磋商须知</w:t>
      </w:r>
      <w:bookmarkEnd w:id="40"/>
    </w:p>
    <w:p w14:paraId="772A08DB">
      <w:pPr>
        <w:keepNext w:val="0"/>
        <w:keepLines w:val="0"/>
        <w:pageBreakBefore w:val="0"/>
        <w:kinsoku/>
        <w:wordWrap/>
        <w:overflowPunct/>
        <w:topLinePunct w:val="0"/>
        <w:autoSpaceDE w:val="0"/>
        <w:autoSpaceDN w:val="0"/>
        <w:bidi w:val="0"/>
        <w:adjustRightInd w:val="0"/>
        <w:snapToGrid w:val="0"/>
        <w:spacing w:line="560" w:lineRule="exact"/>
        <w:ind w:firstLine="562" w:firstLineChars="200"/>
        <w:rPr>
          <w:rFonts w:hint="eastAsia" w:ascii="方正黑体_GBK" w:hAnsi="方正黑体_GBK" w:eastAsia="方正黑体_GBK" w:cs="方正黑体_GBK"/>
          <w:b w:val="0"/>
          <w:bCs w:val="0"/>
          <w:color w:val="auto"/>
          <w:sz w:val="28"/>
          <w:szCs w:val="28"/>
          <w:highlight w:val="none"/>
          <w:lang w:val="zh-CN"/>
        </w:rPr>
      </w:pPr>
      <w:r>
        <w:rPr>
          <w:rFonts w:hint="eastAsia" w:ascii="方正黑体_GBK" w:hAnsi="方正黑体_GBK" w:eastAsia="方正黑体_GBK" w:cs="方正黑体_GBK"/>
          <w:b/>
          <w:bCs/>
          <w:color w:val="auto"/>
          <w:sz w:val="28"/>
          <w:szCs w:val="28"/>
          <w:highlight w:val="none"/>
          <w:lang w:val="zh-CN"/>
        </w:rPr>
        <w:t>一、总则</w:t>
      </w:r>
    </w:p>
    <w:p w14:paraId="058D0639">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b w:val="0"/>
          <w:bCs w:val="0"/>
          <w:color w:val="auto"/>
          <w:sz w:val="28"/>
          <w:szCs w:val="28"/>
          <w:highlight w:val="none"/>
          <w:u w:val="single"/>
          <w:lang w:val="en-US" w:eastAsia="zh-CN"/>
        </w:rPr>
      </w:pPr>
      <w:bookmarkStart w:id="41" w:name="_Toc508699410"/>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u w:val="none"/>
          <w:lang w:val="zh-CN"/>
        </w:rPr>
        <w:t>适用</w:t>
      </w:r>
      <w:bookmarkEnd w:id="41"/>
      <w:r>
        <w:rPr>
          <w:rFonts w:hint="eastAsia" w:ascii="华文仿宋" w:hAnsi="华文仿宋" w:eastAsia="华文仿宋" w:cs="华文仿宋"/>
          <w:color w:val="auto"/>
          <w:sz w:val="28"/>
          <w:szCs w:val="28"/>
          <w:highlight w:val="none"/>
          <w:u w:val="none"/>
          <w:lang w:val="en-US" w:eastAsia="zh-CN"/>
        </w:rPr>
        <w:t>/参照法律规章</w:t>
      </w:r>
    </w:p>
    <w:p w14:paraId="02E7132A">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1.1 《中华人民共和国政府采购法》《中华人民共和国政府采购法实施条例》《政府采购竞争性磋商采购方式管理暂行办法》等有关法律、规章和规定等。</w:t>
      </w:r>
    </w:p>
    <w:p w14:paraId="03BAA699">
      <w:pPr>
        <w:keepNext w:val="0"/>
        <w:keepLines w:val="0"/>
        <w:pageBreakBefore w:val="0"/>
        <w:kinsoku/>
        <w:wordWrap/>
        <w:overflowPunct/>
        <w:topLinePunct w:val="0"/>
        <w:autoSpaceDE w:val="0"/>
        <w:autoSpaceDN w:val="0"/>
        <w:bidi w:val="0"/>
        <w:adjustRightInd w:val="0"/>
        <w:spacing w:line="560" w:lineRule="exact"/>
        <w:ind w:firstLine="561" w:firstLineChars="200"/>
        <w:rPr>
          <w:rFonts w:hint="eastAsia" w:ascii="华文仿宋" w:hAnsi="华文仿宋" w:eastAsia="华文仿宋" w:cs="华文仿宋"/>
          <w:b/>
          <w:color w:val="auto"/>
          <w:sz w:val="28"/>
          <w:szCs w:val="28"/>
          <w:highlight w:val="none"/>
          <w:lang w:val="zh-CN"/>
        </w:rPr>
      </w:pPr>
      <w:bookmarkStart w:id="42" w:name="_Toc508699411"/>
      <w:r>
        <w:rPr>
          <w:rFonts w:hint="eastAsia" w:ascii="华文仿宋" w:hAnsi="华文仿宋" w:eastAsia="华文仿宋" w:cs="华文仿宋"/>
          <w:b/>
          <w:color w:val="auto"/>
          <w:sz w:val="28"/>
          <w:szCs w:val="28"/>
          <w:highlight w:val="none"/>
          <w:lang w:val="zh-CN"/>
        </w:rPr>
        <w:t>2、定义</w:t>
      </w:r>
      <w:bookmarkEnd w:id="42"/>
    </w:p>
    <w:p w14:paraId="3F588A57">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rPr>
        <w:t xml:space="preserve">2.1 </w:t>
      </w:r>
      <w:r>
        <w:rPr>
          <w:rFonts w:hint="eastAsia" w:ascii="华文仿宋" w:hAnsi="华文仿宋" w:eastAsia="华文仿宋" w:cs="华文仿宋"/>
          <w:color w:val="auto"/>
          <w:sz w:val="28"/>
          <w:szCs w:val="28"/>
          <w:highlight w:val="none"/>
          <w:lang w:val="zh-CN"/>
        </w:rPr>
        <w:t>“采购人”是指依法进行政府采购的国家机关、事业单位、团体组织，</w:t>
      </w:r>
      <w:r>
        <w:rPr>
          <w:rFonts w:hint="eastAsia" w:ascii="华文仿宋" w:hAnsi="华文仿宋" w:eastAsia="华文仿宋" w:cs="华文仿宋"/>
          <w:color w:val="auto"/>
          <w:sz w:val="28"/>
          <w:szCs w:val="28"/>
          <w:highlight w:val="none"/>
          <w:lang w:val="en-US" w:eastAsia="zh-CN"/>
        </w:rPr>
        <w:t>即合同的发包人。</w:t>
      </w:r>
    </w:p>
    <w:p w14:paraId="75B72347">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2.</w:t>
      </w:r>
      <w:r>
        <w:rPr>
          <w:rFonts w:hint="eastAsia" w:ascii="华文仿宋" w:hAnsi="华文仿宋" w:eastAsia="华文仿宋" w:cs="华文仿宋"/>
          <w:color w:val="auto"/>
          <w:sz w:val="28"/>
          <w:szCs w:val="28"/>
          <w:highlight w:val="none"/>
        </w:rPr>
        <w:t>2</w:t>
      </w:r>
      <w:r>
        <w:rPr>
          <w:rFonts w:hint="eastAsia" w:ascii="华文仿宋" w:hAnsi="华文仿宋" w:eastAsia="华文仿宋" w:cs="华文仿宋"/>
          <w:color w:val="auto"/>
          <w:sz w:val="28"/>
          <w:szCs w:val="28"/>
          <w:highlight w:val="none"/>
          <w:lang w:val="zh-CN"/>
        </w:rPr>
        <w:t xml:space="preserve"> “供应商”</w:t>
      </w:r>
      <w:r>
        <w:rPr>
          <w:rFonts w:hint="eastAsia" w:ascii="华文仿宋" w:hAnsi="华文仿宋" w:eastAsia="华文仿宋" w:cs="华文仿宋"/>
          <w:color w:val="auto"/>
          <w:sz w:val="28"/>
          <w:szCs w:val="28"/>
          <w:highlight w:val="none"/>
        </w:rPr>
        <w:t>是指参加磋商竞争，并符合采购文件规定资格条件的法人、其他组织或者自然人。</w:t>
      </w:r>
    </w:p>
    <w:p w14:paraId="73F79F11">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2.</w:t>
      </w:r>
      <w:r>
        <w:rPr>
          <w:rFonts w:hint="eastAsia" w:ascii="华文仿宋" w:hAnsi="华文仿宋" w:eastAsia="华文仿宋" w:cs="华文仿宋"/>
          <w:color w:val="auto"/>
          <w:sz w:val="28"/>
          <w:szCs w:val="28"/>
          <w:highlight w:val="none"/>
        </w:rPr>
        <w:t>3</w:t>
      </w:r>
      <w:r>
        <w:rPr>
          <w:rFonts w:hint="eastAsia" w:ascii="华文仿宋" w:hAnsi="华文仿宋" w:eastAsia="华文仿宋" w:cs="华文仿宋"/>
          <w:color w:val="auto"/>
          <w:sz w:val="28"/>
          <w:szCs w:val="28"/>
          <w:highlight w:val="none"/>
          <w:lang w:val="zh-CN"/>
        </w:rPr>
        <w:t xml:space="preserve"> “货物、服务、工程”指本采购文件中所述相关货物、服务、工程。</w:t>
      </w:r>
    </w:p>
    <w:p w14:paraId="6C38B97B">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2.</w:t>
      </w:r>
      <w:r>
        <w:rPr>
          <w:rFonts w:hint="eastAsia" w:ascii="华文仿宋" w:hAnsi="华文仿宋" w:eastAsia="华文仿宋" w:cs="华文仿宋"/>
          <w:color w:val="auto"/>
          <w:sz w:val="28"/>
          <w:szCs w:val="28"/>
          <w:highlight w:val="none"/>
        </w:rPr>
        <w:t>4</w:t>
      </w:r>
      <w:r>
        <w:rPr>
          <w:rFonts w:hint="eastAsia" w:ascii="华文仿宋" w:hAnsi="华文仿宋" w:eastAsia="华文仿宋" w:cs="华文仿宋"/>
          <w:color w:val="auto"/>
          <w:sz w:val="28"/>
          <w:szCs w:val="28"/>
          <w:highlight w:val="none"/>
          <w:lang w:val="zh-CN"/>
        </w:rPr>
        <w:t xml:space="preserve"> “用户或使用单位”是指</w:t>
      </w:r>
      <w:r>
        <w:rPr>
          <w:rFonts w:hint="eastAsia" w:ascii="华文仿宋" w:hAnsi="华文仿宋" w:eastAsia="华文仿宋" w:cs="华文仿宋"/>
          <w:color w:val="auto"/>
          <w:sz w:val="28"/>
          <w:szCs w:val="28"/>
          <w:highlight w:val="none"/>
          <w:lang w:val="en-US" w:eastAsia="zh-CN"/>
        </w:rPr>
        <w:t>合法</w:t>
      </w:r>
      <w:r>
        <w:rPr>
          <w:rFonts w:hint="eastAsia" w:ascii="华文仿宋" w:hAnsi="华文仿宋" w:eastAsia="华文仿宋" w:cs="华文仿宋"/>
          <w:color w:val="auto"/>
          <w:sz w:val="28"/>
          <w:szCs w:val="28"/>
          <w:highlight w:val="none"/>
          <w:lang w:val="zh-CN"/>
        </w:rPr>
        <w:t>使用货物、服务、工程的单位。</w:t>
      </w:r>
    </w:p>
    <w:p w14:paraId="64C2A83B">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2.5 “代理人”是指为本采购项目服务的采购代理机构。</w:t>
      </w:r>
    </w:p>
    <w:p w14:paraId="21C3A125">
      <w:pPr>
        <w:keepNext w:val="0"/>
        <w:keepLines w:val="0"/>
        <w:pageBreakBefore w:val="0"/>
        <w:kinsoku/>
        <w:wordWrap/>
        <w:overflowPunct/>
        <w:topLinePunct w:val="0"/>
        <w:autoSpaceDE w:val="0"/>
        <w:autoSpaceDN w:val="0"/>
        <w:bidi w:val="0"/>
        <w:adjustRightInd w:val="0"/>
        <w:spacing w:line="560" w:lineRule="exact"/>
        <w:ind w:firstLine="561" w:firstLineChars="200"/>
        <w:rPr>
          <w:rFonts w:hint="eastAsia" w:ascii="华文仿宋" w:hAnsi="华文仿宋" w:eastAsia="华文仿宋" w:cs="华文仿宋"/>
          <w:b/>
          <w:color w:val="auto"/>
          <w:sz w:val="28"/>
          <w:szCs w:val="28"/>
          <w:highlight w:val="none"/>
          <w:lang w:val="zh-CN"/>
        </w:rPr>
      </w:pPr>
      <w:r>
        <w:rPr>
          <w:rFonts w:hint="eastAsia" w:ascii="华文仿宋" w:hAnsi="华文仿宋" w:eastAsia="华文仿宋" w:cs="华文仿宋"/>
          <w:b/>
          <w:color w:val="auto"/>
          <w:sz w:val="28"/>
          <w:szCs w:val="28"/>
          <w:highlight w:val="none"/>
          <w:lang w:val="zh-CN"/>
        </w:rPr>
        <w:t>3、政策功能</w:t>
      </w:r>
    </w:p>
    <w:p w14:paraId="1F3D25FE">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bookmarkStart w:id="43" w:name="_Toc508699412"/>
      <w:r>
        <w:rPr>
          <w:rFonts w:hint="eastAsia" w:ascii="华文仿宋" w:hAnsi="华文仿宋" w:eastAsia="华文仿宋" w:cs="华文仿宋"/>
          <w:color w:val="auto"/>
          <w:sz w:val="28"/>
          <w:szCs w:val="28"/>
          <w:highlight w:val="none"/>
        </w:rPr>
        <w:t>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 号）。对于专门面向中小企业或小型、微型企业的项目，只面向中小企业或小型、微型企业采购。对于非专门面向中小企业的项目，对符合规定的小微企业报价给予10%的扣除，用扣除后的价格参加评审。</w:t>
      </w:r>
    </w:p>
    <w:p w14:paraId="6CC9953E">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3.2 政府采购支持监狱和戒毒企业发展政策，监狱和戒毒企业提供的产品和服务在</w:t>
      </w:r>
      <w:r>
        <w:rPr>
          <w:rFonts w:hint="eastAsia" w:ascii="华文仿宋" w:hAnsi="华文仿宋" w:eastAsia="华文仿宋" w:cs="华文仿宋"/>
          <w:color w:val="auto"/>
          <w:sz w:val="28"/>
          <w:szCs w:val="28"/>
          <w:highlight w:val="none"/>
          <w:lang w:eastAsia="zh-CN"/>
        </w:rPr>
        <w:t>评审</w:t>
      </w:r>
      <w:r>
        <w:rPr>
          <w:rFonts w:hint="eastAsia" w:ascii="华文仿宋" w:hAnsi="华文仿宋" w:eastAsia="华文仿宋" w:cs="华文仿宋"/>
          <w:color w:val="auto"/>
          <w:sz w:val="28"/>
          <w:szCs w:val="28"/>
          <w:highlight w:val="none"/>
        </w:rPr>
        <w:t>时将获得优势，参加</w:t>
      </w:r>
      <w:r>
        <w:rPr>
          <w:rFonts w:hint="eastAsia" w:ascii="华文仿宋" w:hAnsi="华文仿宋" w:eastAsia="华文仿宋" w:cs="华文仿宋"/>
          <w:color w:val="auto"/>
          <w:sz w:val="28"/>
          <w:szCs w:val="28"/>
          <w:highlight w:val="none"/>
          <w:lang w:val="en-US" w:eastAsia="zh-CN"/>
        </w:rPr>
        <w:t>磋商</w:t>
      </w:r>
      <w:r>
        <w:rPr>
          <w:rFonts w:hint="eastAsia" w:ascii="华文仿宋" w:hAnsi="华文仿宋" w:eastAsia="华文仿宋" w:cs="华文仿宋"/>
          <w:color w:val="auto"/>
          <w:sz w:val="28"/>
          <w:szCs w:val="28"/>
          <w:highlight w:val="none"/>
        </w:rPr>
        <w:t>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p>
    <w:p w14:paraId="6035039D">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3.3 政府采购促进残疾人就业政策，残疾人福利性单位提供的产品和服务在</w:t>
      </w:r>
      <w:r>
        <w:rPr>
          <w:rFonts w:hint="eastAsia" w:ascii="华文仿宋" w:hAnsi="华文仿宋" w:eastAsia="华文仿宋" w:cs="华文仿宋"/>
          <w:color w:val="auto"/>
          <w:sz w:val="28"/>
          <w:szCs w:val="28"/>
          <w:highlight w:val="none"/>
          <w:lang w:eastAsia="zh-CN"/>
        </w:rPr>
        <w:t>评审</w:t>
      </w:r>
      <w:r>
        <w:rPr>
          <w:rFonts w:hint="eastAsia" w:ascii="华文仿宋" w:hAnsi="华文仿宋" w:eastAsia="华文仿宋" w:cs="华文仿宋"/>
          <w:color w:val="auto"/>
          <w:sz w:val="28"/>
          <w:szCs w:val="28"/>
          <w:highlight w:val="none"/>
        </w:rPr>
        <w:t>时将获得优势，参加</w:t>
      </w:r>
      <w:r>
        <w:rPr>
          <w:rFonts w:hint="eastAsia" w:ascii="华文仿宋" w:hAnsi="华文仿宋" w:eastAsia="华文仿宋" w:cs="华文仿宋"/>
          <w:color w:val="auto"/>
          <w:sz w:val="28"/>
          <w:szCs w:val="28"/>
          <w:highlight w:val="none"/>
          <w:lang w:val="en-US" w:eastAsia="zh-CN"/>
        </w:rPr>
        <w:t>磋商</w:t>
      </w:r>
      <w:r>
        <w:rPr>
          <w:rFonts w:hint="eastAsia" w:ascii="华文仿宋" w:hAnsi="华文仿宋" w:eastAsia="华文仿宋" w:cs="华文仿宋"/>
          <w:color w:val="auto"/>
          <w:sz w:val="28"/>
          <w:szCs w:val="28"/>
          <w:highlight w:val="none"/>
        </w:rPr>
        <w:t>的残疾人福利性单位，应当提供《残疾人福利性单位声明函》，残疾人福利性单位享受政府采购支持政策的要求详见《关于促进残疾人就业政府采购政策的通知》（财库〔2017〕141 号）。</w:t>
      </w:r>
    </w:p>
    <w:p w14:paraId="05581902">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w:t>
      </w:r>
      <w:r>
        <w:rPr>
          <w:rFonts w:hint="eastAsia" w:ascii="华文仿宋" w:hAnsi="华文仿宋" w:eastAsia="华文仿宋" w:cs="华文仿宋"/>
          <w:color w:val="auto"/>
          <w:sz w:val="28"/>
          <w:szCs w:val="28"/>
          <w:highlight w:val="none"/>
          <w:lang w:eastAsia="zh-CN"/>
        </w:rPr>
        <w:t>供应商</w:t>
      </w:r>
      <w:r>
        <w:rPr>
          <w:rFonts w:hint="eastAsia" w:ascii="华文仿宋" w:hAnsi="华文仿宋" w:eastAsia="华文仿宋" w:cs="华文仿宋"/>
          <w:color w:val="auto"/>
          <w:sz w:val="28"/>
          <w:szCs w:val="28"/>
          <w:highlight w:val="none"/>
        </w:rPr>
        <w:t>应当提供国家确定的认证机构出具的、处于有效期之内的节能产品、环境标志产品认证证书。</w:t>
      </w:r>
    </w:p>
    <w:p w14:paraId="3A1FBCEB">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3.5 强制采购信息安全产品。参加政府采购活动的信息安全产品</w:t>
      </w:r>
      <w:r>
        <w:rPr>
          <w:rFonts w:hint="eastAsia" w:ascii="华文仿宋" w:hAnsi="华文仿宋" w:eastAsia="华文仿宋" w:cs="华文仿宋"/>
          <w:color w:val="auto"/>
          <w:sz w:val="28"/>
          <w:szCs w:val="28"/>
          <w:highlight w:val="none"/>
          <w:lang w:eastAsia="zh-CN"/>
        </w:rPr>
        <w:t>供应商</w:t>
      </w:r>
      <w:r>
        <w:rPr>
          <w:rFonts w:hint="eastAsia" w:ascii="华文仿宋" w:hAnsi="华文仿宋" w:eastAsia="华文仿宋" w:cs="华文仿宋"/>
          <w:color w:val="auto"/>
          <w:sz w:val="28"/>
          <w:szCs w:val="28"/>
          <w:highlight w:val="none"/>
        </w:rPr>
        <w:t>应当选择经国家认证的信息安全产品</w:t>
      </w:r>
      <w:r>
        <w:rPr>
          <w:rFonts w:hint="eastAsia" w:ascii="华文仿宋" w:hAnsi="华文仿宋" w:eastAsia="华文仿宋" w:cs="华文仿宋"/>
          <w:color w:val="auto"/>
          <w:sz w:val="28"/>
          <w:szCs w:val="28"/>
          <w:highlight w:val="none"/>
          <w:lang w:val="en-US" w:eastAsia="zh-CN"/>
        </w:rPr>
        <w:t>响应</w:t>
      </w:r>
      <w:r>
        <w:rPr>
          <w:rFonts w:hint="eastAsia" w:ascii="华文仿宋" w:hAnsi="华文仿宋" w:eastAsia="华文仿宋" w:cs="华文仿宋"/>
          <w:color w:val="auto"/>
          <w:sz w:val="28"/>
          <w:szCs w:val="28"/>
          <w:highlight w:val="none"/>
        </w:rPr>
        <w:t>，并提供由国家信息安全认证中心按国家标准认证颁发的有效认证证书。</w:t>
      </w:r>
    </w:p>
    <w:p w14:paraId="30AFF5A6">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3.6 进口产品政策 </w:t>
      </w:r>
    </w:p>
    <w:p w14:paraId="48F5F8D0">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（1）除</w:t>
      </w:r>
      <w:r>
        <w:rPr>
          <w:rFonts w:hint="eastAsia" w:ascii="华文仿宋" w:hAnsi="华文仿宋" w:eastAsia="华文仿宋" w:cs="华文仿宋"/>
          <w:color w:val="auto"/>
          <w:sz w:val="28"/>
          <w:szCs w:val="28"/>
          <w:highlight w:val="none"/>
          <w:lang w:eastAsia="zh-CN"/>
        </w:rPr>
        <w:t>采购</w:t>
      </w:r>
      <w:r>
        <w:rPr>
          <w:rFonts w:hint="eastAsia" w:ascii="华文仿宋" w:hAnsi="华文仿宋" w:eastAsia="华文仿宋" w:cs="华文仿宋"/>
          <w:color w:val="auto"/>
          <w:sz w:val="28"/>
          <w:szCs w:val="28"/>
          <w:highlight w:val="none"/>
        </w:rPr>
        <w:t>公告载明接受进口产品参加外，不允许进口产品参加。进口产品认定依照《财政部关于政府采购进口产品管理有关问题的通知》（财办库〔2008〕248 号）的规定。</w:t>
      </w:r>
    </w:p>
    <w:p w14:paraId="56278574">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（2）允许进口产品参加的，满足需求的国内产品可以参加。</w:t>
      </w:r>
    </w:p>
    <w:p w14:paraId="7437C49C">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（3）允许进口产品参加的，优先采购向我国企业转让技术、与我国企业签订消化吸收再创新方案的</w:t>
      </w:r>
      <w:r>
        <w:rPr>
          <w:rFonts w:hint="eastAsia" w:ascii="华文仿宋" w:hAnsi="华文仿宋" w:eastAsia="华文仿宋" w:cs="华文仿宋"/>
          <w:color w:val="auto"/>
          <w:sz w:val="28"/>
          <w:szCs w:val="28"/>
          <w:highlight w:val="none"/>
          <w:lang w:eastAsia="zh-CN"/>
        </w:rPr>
        <w:t>供应商</w:t>
      </w:r>
      <w:r>
        <w:rPr>
          <w:rFonts w:hint="eastAsia" w:ascii="华文仿宋" w:hAnsi="华文仿宋" w:eastAsia="华文仿宋" w:cs="华文仿宋"/>
          <w:color w:val="auto"/>
          <w:sz w:val="28"/>
          <w:szCs w:val="28"/>
          <w:highlight w:val="none"/>
        </w:rPr>
        <w:t>的进口产品。</w:t>
      </w:r>
    </w:p>
    <w:p w14:paraId="350E9F1F">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3.7 未按要求提供相关材料的，不享受相关政策。</w:t>
      </w:r>
    </w:p>
    <w:p w14:paraId="0EFD3879">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color w:val="auto"/>
          <w:sz w:val="28"/>
          <w:szCs w:val="28"/>
          <w:highlight w:val="none"/>
        </w:rPr>
        <w:t>4、</w:t>
      </w:r>
      <w:r>
        <w:rPr>
          <w:rFonts w:hint="eastAsia" w:ascii="华文仿宋" w:hAnsi="华文仿宋" w:eastAsia="华文仿宋" w:cs="华文仿宋"/>
          <w:b/>
          <w:bCs/>
          <w:color w:val="auto"/>
          <w:sz w:val="28"/>
          <w:szCs w:val="28"/>
          <w:highlight w:val="none"/>
          <w:lang w:val="zh-CN"/>
        </w:rPr>
        <w:t>磋商费用</w:t>
      </w:r>
      <w:bookmarkEnd w:id="43"/>
    </w:p>
    <w:p w14:paraId="21768062">
      <w:pPr>
        <w:keepNext w:val="0"/>
        <w:keepLines w:val="0"/>
        <w:pageBreakBefore w:val="0"/>
        <w:tabs>
          <w:tab w:val="left" w:pos="525"/>
          <w:tab w:val="left" w:pos="945"/>
        </w:tabs>
        <w:kinsoku/>
        <w:wordWrap/>
        <w:overflowPunct/>
        <w:topLinePunct w:val="0"/>
        <w:bidi w:val="0"/>
        <w:spacing w:line="560" w:lineRule="exact"/>
        <w:ind w:firstLine="560" w:firstLineChars="200"/>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color w:val="auto"/>
          <w:sz w:val="28"/>
          <w:szCs w:val="28"/>
          <w:highlight w:val="none"/>
          <w:lang w:val="zh-CN"/>
        </w:rPr>
        <w:t>4.1 供应商应承担所有与准备和参加磋商有关的费用，无论采购结果如何，代理人和采购人在任</w:t>
      </w:r>
      <w:r>
        <w:rPr>
          <w:rFonts w:hint="eastAsia" w:ascii="华文仿宋" w:hAnsi="华文仿宋" w:eastAsia="华文仿宋" w:cs="华文仿宋"/>
          <w:bCs/>
          <w:color w:val="auto"/>
          <w:sz w:val="28"/>
          <w:szCs w:val="28"/>
          <w:highlight w:val="none"/>
        </w:rPr>
        <w:t>何情况下均无义务和责任承担这些费用。</w:t>
      </w:r>
    </w:p>
    <w:p w14:paraId="233CA88E">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4.2 本项目的</w:t>
      </w:r>
      <w:r>
        <w:rPr>
          <w:rFonts w:hint="eastAsia" w:ascii="华文仿宋" w:hAnsi="华文仿宋" w:eastAsia="华文仿宋" w:cs="华文仿宋"/>
          <w:bCs/>
          <w:color w:val="auto"/>
          <w:sz w:val="28"/>
          <w:szCs w:val="28"/>
          <w:highlight w:val="none"/>
          <w:lang w:eastAsia="zh-CN"/>
        </w:rPr>
        <w:t>采购</w:t>
      </w:r>
      <w:r>
        <w:rPr>
          <w:rFonts w:hint="eastAsia" w:ascii="华文仿宋" w:hAnsi="华文仿宋" w:eastAsia="华文仿宋" w:cs="华文仿宋"/>
          <w:bCs/>
          <w:color w:val="auto"/>
          <w:sz w:val="28"/>
          <w:szCs w:val="28"/>
          <w:highlight w:val="none"/>
        </w:rPr>
        <w:t>代理服务费由</w:t>
      </w:r>
      <w:r>
        <w:rPr>
          <w:rFonts w:hint="eastAsia" w:ascii="华文仿宋" w:hAnsi="华文仿宋" w:eastAsia="华文仿宋" w:cs="华文仿宋"/>
          <w:bCs/>
          <w:color w:val="auto"/>
          <w:sz w:val="28"/>
          <w:szCs w:val="28"/>
          <w:highlight w:val="none"/>
          <w:lang w:eastAsia="zh-CN"/>
        </w:rPr>
        <w:t>江苏省机关事务管理局</w:t>
      </w:r>
      <w:r>
        <w:rPr>
          <w:rFonts w:hint="eastAsia" w:ascii="华文仿宋" w:hAnsi="华文仿宋" w:eastAsia="华文仿宋" w:cs="华文仿宋"/>
          <w:bCs/>
          <w:color w:val="auto"/>
          <w:sz w:val="28"/>
          <w:szCs w:val="28"/>
          <w:highlight w:val="none"/>
        </w:rPr>
        <w:t>承担。</w:t>
      </w:r>
    </w:p>
    <w:p w14:paraId="5285D6B5">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4.3 本项目不收取磋商保证金。</w:t>
      </w:r>
    </w:p>
    <w:p w14:paraId="1869A59E">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方正黑体_GBK" w:hAnsi="方正黑体_GBK" w:eastAsia="方正黑体_GBK" w:cs="方正黑体_GBK"/>
          <w:b w:val="0"/>
          <w:bCs/>
          <w:color w:val="auto"/>
          <w:sz w:val="28"/>
          <w:szCs w:val="28"/>
          <w:highlight w:val="none"/>
          <w:lang w:val="zh-CN"/>
        </w:rPr>
      </w:pPr>
      <w:r>
        <w:rPr>
          <w:rFonts w:hint="eastAsia" w:ascii="方正黑体_GBK" w:hAnsi="方正黑体_GBK" w:eastAsia="方正黑体_GBK" w:cs="方正黑体_GBK"/>
          <w:b w:val="0"/>
          <w:bCs/>
          <w:color w:val="auto"/>
          <w:sz w:val="28"/>
          <w:szCs w:val="28"/>
          <w:highlight w:val="none"/>
          <w:lang w:val="zh-CN"/>
        </w:rPr>
        <w:t>二、响应文件编制</w:t>
      </w:r>
    </w:p>
    <w:p w14:paraId="08C09DC5">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bCs/>
          <w:color w:val="auto"/>
          <w:sz w:val="28"/>
          <w:szCs w:val="28"/>
          <w:highlight w:val="none"/>
          <w:lang w:val="zh-CN"/>
        </w:rPr>
        <w:t>5、</w:t>
      </w:r>
      <w:r>
        <w:rPr>
          <w:rFonts w:hint="eastAsia" w:ascii="华文仿宋" w:hAnsi="华文仿宋" w:eastAsia="华文仿宋" w:cs="华文仿宋"/>
          <w:color w:val="auto"/>
          <w:sz w:val="28"/>
          <w:szCs w:val="28"/>
          <w:highlight w:val="none"/>
          <w:lang w:val="zh-CN"/>
        </w:rPr>
        <w:t>供应商应当按照采购文件的要求编制响应文件，并对其提交的响应文件真实性、合法性承担法律责任。</w:t>
      </w:r>
    </w:p>
    <w:p w14:paraId="353C2FFF">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bCs/>
          <w:color w:val="auto"/>
          <w:sz w:val="28"/>
          <w:szCs w:val="28"/>
          <w:highlight w:val="none"/>
          <w:lang w:val="zh-CN"/>
        </w:rPr>
        <w:t>6、响应文件的语言、计量单位、货币和编制</w:t>
      </w:r>
    </w:p>
    <w:p w14:paraId="2D251FA3">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6FFBA4B2">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6.2 供应商所使用的计量单位应为国家法定计量单位。</w:t>
      </w:r>
    </w:p>
    <w:p w14:paraId="54C20A11">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6.3 供应商应用人民币报价。</w:t>
      </w:r>
    </w:p>
    <w:p w14:paraId="208DFF5E">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6.4 响应文件应字迹清楚、内容齐全、不得涂改。如有修改，修改处须有供应商公章或法定代表人或其授权磋商代表签字。</w:t>
      </w:r>
    </w:p>
    <w:p w14:paraId="113D2D15">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6.5 响应文件应按照磋商文件规定的顺序，统一用A4规格幅面打印、装订成册并编制目录，由于编排混乱导致磋商文件被误读或查找不到，责任由供应商承担。</w:t>
      </w:r>
    </w:p>
    <w:p w14:paraId="7737E71D">
      <w:pPr>
        <w:keepNext w:val="0"/>
        <w:keepLines w:val="0"/>
        <w:pageBreakBefore w:val="0"/>
        <w:kinsoku/>
        <w:wordWrap/>
        <w:overflowPunct/>
        <w:topLinePunct w:val="0"/>
        <w:bidi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6.6响应文件应逐页编码，不得跳页。</w:t>
      </w:r>
    </w:p>
    <w:p w14:paraId="687828A4">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6.7 供应商应在响应文件中写清相应的项目编号、项目名称、供应商名称、地址、电话、传真等。</w:t>
      </w:r>
    </w:p>
    <w:p w14:paraId="786084C8">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bCs/>
          <w:snapToGrid w:val="0"/>
          <w:color w:val="auto"/>
          <w:sz w:val="28"/>
          <w:szCs w:val="28"/>
          <w:highlight w:val="none"/>
          <w:lang w:val="zh-CN"/>
        </w:rPr>
      </w:pPr>
      <w:r>
        <w:rPr>
          <w:rFonts w:hint="eastAsia" w:ascii="华文仿宋" w:hAnsi="华文仿宋" w:eastAsia="华文仿宋" w:cs="华文仿宋"/>
          <w:b/>
          <w:bCs/>
          <w:snapToGrid w:val="0"/>
          <w:color w:val="auto"/>
          <w:sz w:val="28"/>
          <w:szCs w:val="28"/>
          <w:highlight w:val="none"/>
          <w:lang w:val="zh-CN"/>
        </w:rPr>
        <w:t>7、响应文件的组成</w:t>
      </w:r>
    </w:p>
    <w:p w14:paraId="7ADBB939">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snapToGrid w:val="0"/>
          <w:color w:val="auto"/>
          <w:sz w:val="28"/>
          <w:szCs w:val="28"/>
          <w:highlight w:val="none"/>
          <w:lang w:val="zh-CN"/>
        </w:rPr>
      </w:pPr>
      <w:r>
        <w:rPr>
          <w:rFonts w:hint="eastAsia" w:ascii="华文仿宋" w:hAnsi="华文仿宋" w:eastAsia="华文仿宋" w:cs="华文仿宋"/>
          <w:snapToGrid w:val="0"/>
          <w:color w:val="auto"/>
          <w:sz w:val="28"/>
          <w:szCs w:val="28"/>
          <w:highlight w:val="none"/>
          <w:lang w:val="zh-CN"/>
        </w:rPr>
        <w:t xml:space="preserve">7.1 </w:t>
      </w:r>
      <w:r>
        <w:rPr>
          <w:rFonts w:hint="eastAsia" w:ascii="华文仿宋" w:hAnsi="华文仿宋" w:eastAsia="华文仿宋" w:cs="华文仿宋"/>
          <w:snapToGrid w:val="0"/>
          <w:color w:val="auto"/>
          <w:sz w:val="28"/>
          <w:szCs w:val="28"/>
          <w:highlight w:val="none"/>
        </w:rPr>
        <w:t>供应商应当根据磋商文件要求编制响应文件，并根据自己的商务能力、技术水平对磋商文件提出的要求和条件逐条标明是否响应。</w:t>
      </w:r>
      <w:r>
        <w:rPr>
          <w:rFonts w:hint="eastAsia" w:ascii="华文仿宋" w:hAnsi="华文仿宋" w:eastAsia="华文仿宋" w:cs="华文仿宋"/>
          <w:snapToGrid w:val="0"/>
          <w:color w:val="auto"/>
          <w:sz w:val="28"/>
          <w:szCs w:val="28"/>
          <w:highlight w:val="none"/>
          <w:lang w:val="zh-CN"/>
        </w:rPr>
        <w:t>响应文件由商务部分、技术部分、价格部分，以及其他部分组成。</w:t>
      </w:r>
    </w:p>
    <w:p w14:paraId="14588146">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snapToGrid w:val="0"/>
          <w:color w:val="auto"/>
          <w:sz w:val="28"/>
          <w:szCs w:val="28"/>
          <w:highlight w:val="none"/>
          <w:lang w:val="zh-CN"/>
        </w:rPr>
      </w:pPr>
      <w:r>
        <w:rPr>
          <w:rFonts w:hint="eastAsia" w:ascii="华文仿宋" w:hAnsi="华文仿宋" w:eastAsia="华文仿宋" w:cs="华文仿宋"/>
          <w:bCs/>
          <w:snapToGrid w:val="0"/>
          <w:color w:val="auto"/>
          <w:sz w:val="28"/>
          <w:szCs w:val="28"/>
          <w:highlight w:val="none"/>
          <w:lang w:val="zh-CN"/>
        </w:rPr>
        <w:t xml:space="preserve">7.2 </w:t>
      </w:r>
      <w:r>
        <w:rPr>
          <w:rFonts w:hint="eastAsia" w:ascii="华文仿宋" w:hAnsi="华文仿宋" w:eastAsia="华文仿宋" w:cs="华文仿宋"/>
          <w:b/>
          <w:bCs/>
          <w:snapToGrid w:val="0"/>
          <w:color w:val="auto"/>
          <w:sz w:val="28"/>
          <w:szCs w:val="28"/>
          <w:highlight w:val="none"/>
          <w:lang w:val="zh-CN"/>
        </w:rPr>
        <w:t>响应文件的商务部分。</w:t>
      </w:r>
      <w:r>
        <w:rPr>
          <w:rFonts w:hint="eastAsia" w:ascii="华文仿宋" w:hAnsi="华文仿宋" w:eastAsia="华文仿宋" w:cs="华文仿宋"/>
          <w:snapToGrid w:val="0"/>
          <w:color w:val="auto"/>
          <w:sz w:val="28"/>
          <w:szCs w:val="28"/>
          <w:highlight w:val="none"/>
          <w:lang w:val="zh-CN"/>
        </w:rPr>
        <w:t>商务部分是证明供应商有资格参加磋商和成交后有能力履行合同的文件，</w:t>
      </w:r>
      <w:r>
        <w:rPr>
          <w:rFonts w:hint="eastAsia" w:ascii="华文仿宋" w:hAnsi="华文仿宋" w:eastAsia="华文仿宋" w:cs="华文仿宋"/>
          <w:snapToGrid w:val="0"/>
          <w:color w:val="auto"/>
          <w:sz w:val="28"/>
          <w:szCs w:val="28"/>
          <w:highlight w:val="none"/>
        </w:rPr>
        <w:t>这些文件应能满足竞争性磋商采购文件的要求</w:t>
      </w:r>
      <w:r>
        <w:rPr>
          <w:rFonts w:hint="eastAsia" w:ascii="华文仿宋" w:hAnsi="华文仿宋" w:eastAsia="华文仿宋" w:cs="华文仿宋"/>
          <w:snapToGrid w:val="0"/>
          <w:color w:val="auto"/>
          <w:sz w:val="28"/>
          <w:szCs w:val="28"/>
          <w:highlight w:val="none"/>
          <w:lang w:val="zh-CN"/>
        </w:rPr>
        <w:t>，包括但不限于下列文件，其中加“*或★”项目不得有缺失或无效：</w:t>
      </w:r>
    </w:p>
    <w:p w14:paraId="01122388">
      <w:pPr>
        <w:keepNext w:val="0"/>
        <w:keepLines w:val="0"/>
        <w:pageBreakBefore w:val="0"/>
        <w:kinsoku/>
        <w:wordWrap/>
        <w:overflowPunct/>
        <w:topLinePunct w:val="0"/>
        <w:autoSpaceDE w:val="0"/>
        <w:autoSpaceDN w:val="0"/>
        <w:bidi w:val="0"/>
        <w:adjustRightInd w:val="0"/>
        <w:snapToGrid w:val="0"/>
        <w:spacing w:line="560" w:lineRule="exact"/>
        <w:ind w:firstLine="560" w:firstLineChars="200"/>
        <w:jc w:val="left"/>
        <w:rPr>
          <w:rFonts w:hint="eastAsia" w:ascii="华文仿宋" w:hAnsi="华文仿宋" w:eastAsia="华文仿宋" w:cs="华文仿宋"/>
          <w:snapToGrid w:val="0"/>
          <w:color w:val="auto"/>
          <w:sz w:val="28"/>
          <w:szCs w:val="28"/>
          <w:highlight w:val="none"/>
          <w:lang w:val="zh-CN"/>
        </w:rPr>
      </w:pPr>
      <w:r>
        <w:rPr>
          <w:rFonts w:hint="eastAsia" w:ascii="华文仿宋" w:hAnsi="华文仿宋" w:eastAsia="华文仿宋" w:cs="华文仿宋"/>
          <w:snapToGrid w:val="0"/>
          <w:color w:val="auto"/>
          <w:sz w:val="28"/>
          <w:szCs w:val="28"/>
          <w:highlight w:val="none"/>
          <w:lang w:val="zh-CN"/>
        </w:rPr>
        <w:t>（1）★ 磋商申请及声明；</w:t>
      </w:r>
    </w:p>
    <w:p w14:paraId="32B15874">
      <w:pPr>
        <w:keepNext w:val="0"/>
        <w:keepLines w:val="0"/>
        <w:pageBreakBefore w:val="0"/>
        <w:widowControl/>
        <w:kinsoku/>
        <w:wordWrap/>
        <w:overflowPunct/>
        <w:topLinePunct w:val="0"/>
        <w:bidi w:val="0"/>
        <w:adjustRightInd w:val="0"/>
        <w:snapToGrid w:val="0"/>
        <w:spacing w:line="560" w:lineRule="exact"/>
        <w:ind w:firstLine="560" w:firstLineChars="200"/>
        <w:jc w:val="left"/>
        <w:rPr>
          <w:rFonts w:hint="eastAsia" w:ascii="华文仿宋" w:hAnsi="华文仿宋" w:eastAsia="华文仿宋" w:cs="华文仿宋"/>
          <w:snapToGrid w:val="0"/>
          <w:color w:val="auto"/>
          <w:sz w:val="28"/>
          <w:szCs w:val="28"/>
          <w:highlight w:val="none"/>
          <w:lang w:val="zh-CN"/>
        </w:rPr>
      </w:pPr>
      <w:r>
        <w:rPr>
          <w:rFonts w:hint="eastAsia" w:ascii="华文仿宋" w:hAnsi="华文仿宋" w:eastAsia="华文仿宋" w:cs="华文仿宋"/>
          <w:snapToGrid w:val="0"/>
          <w:color w:val="auto"/>
          <w:sz w:val="28"/>
          <w:szCs w:val="28"/>
          <w:highlight w:val="none"/>
          <w:lang w:val="zh-CN"/>
        </w:rPr>
        <w:t>（2）★ 法定代表人授权委托书及委托代理人的身份证复印件；</w:t>
      </w:r>
    </w:p>
    <w:p w14:paraId="17942B22">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snapToGrid w:val="0"/>
          <w:color w:val="auto"/>
          <w:sz w:val="28"/>
          <w:szCs w:val="28"/>
          <w:highlight w:val="none"/>
          <w:lang w:val="zh-CN"/>
        </w:rPr>
      </w:pPr>
      <w:r>
        <w:rPr>
          <w:rFonts w:hint="eastAsia" w:ascii="华文仿宋" w:hAnsi="华文仿宋" w:eastAsia="华文仿宋" w:cs="华文仿宋"/>
          <w:snapToGrid w:val="0"/>
          <w:color w:val="auto"/>
          <w:sz w:val="28"/>
          <w:szCs w:val="28"/>
          <w:highlight w:val="none"/>
          <w:lang w:val="zh-CN"/>
        </w:rPr>
        <w:t xml:space="preserve">（3）★ </w:t>
      </w:r>
      <w:r>
        <w:rPr>
          <w:rFonts w:hint="eastAsia" w:ascii="华文仿宋" w:hAnsi="华文仿宋" w:eastAsia="华文仿宋" w:cs="华文仿宋"/>
          <w:snapToGrid w:val="0"/>
          <w:color w:val="auto"/>
          <w:sz w:val="28"/>
          <w:szCs w:val="28"/>
          <w:highlight w:val="none"/>
        </w:rPr>
        <w:t>第一章公告中二、申请人的资格要求</w:t>
      </w:r>
      <w:r>
        <w:rPr>
          <w:rFonts w:hint="eastAsia" w:ascii="华文仿宋" w:hAnsi="华文仿宋" w:eastAsia="华文仿宋" w:cs="华文仿宋"/>
          <w:snapToGrid w:val="0"/>
          <w:color w:val="auto"/>
          <w:sz w:val="28"/>
          <w:szCs w:val="28"/>
          <w:highlight w:val="none"/>
          <w:lang w:val="zh-CN"/>
        </w:rPr>
        <w:t>规定的资格条件证明文件；</w:t>
      </w:r>
    </w:p>
    <w:p w14:paraId="4065C65E">
      <w:pPr>
        <w:keepNext w:val="0"/>
        <w:keepLines w:val="0"/>
        <w:pageBreakBefore w:val="0"/>
        <w:widowControl/>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snapToGrid w:val="0"/>
          <w:color w:val="auto"/>
          <w:sz w:val="28"/>
          <w:szCs w:val="28"/>
          <w:highlight w:val="none"/>
          <w:lang w:val="zh-CN"/>
        </w:rPr>
      </w:pPr>
      <w:r>
        <w:rPr>
          <w:rFonts w:hint="eastAsia" w:ascii="华文仿宋" w:hAnsi="华文仿宋" w:eastAsia="华文仿宋" w:cs="华文仿宋"/>
          <w:snapToGrid w:val="0"/>
          <w:color w:val="auto"/>
          <w:sz w:val="28"/>
          <w:szCs w:val="28"/>
          <w:highlight w:val="none"/>
          <w:lang w:val="zh-CN"/>
        </w:rPr>
        <w:t>（</w:t>
      </w:r>
      <w:r>
        <w:rPr>
          <w:rFonts w:hint="eastAsia" w:ascii="华文仿宋" w:hAnsi="华文仿宋" w:eastAsia="华文仿宋" w:cs="华文仿宋"/>
          <w:snapToGrid w:val="0"/>
          <w:color w:val="auto"/>
          <w:sz w:val="28"/>
          <w:szCs w:val="28"/>
          <w:highlight w:val="none"/>
        </w:rPr>
        <w:t>4</w:t>
      </w:r>
      <w:r>
        <w:rPr>
          <w:rFonts w:hint="eastAsia" w:ascii="华文仿宋" w:hAnsi="华文仿宋" w:eastAsia="华文仿宋" w:cs="华文仿宋"/>
          <w:snapToGrid w:val="0"/>
          <w:color w:val="auto"/>
          <w:sz w:val="28"/>
          <w:szCs w:val="28"/>
          <w:highlight w:val="none"/>
          <w:lang w:val="zh-CN"/>
        </w:rPr>
        <w:t>）★报价表（格式见附件）；</w:t>
      </w:r>
    </w:p>
    <w:p w14:paraId="045489F6">
      <w:pPr>
        <w:keepNext w:val="0"/>
        <w:keepLines w:val="0"/>
        <w:pageBreakBefore w:val="0"/>
        <w:widowControl/>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snapToGrid w:val="0"/>
          <w:color w:val="auto"/>
          <w:sz w:val="28"/>
          <w:szCs w:val="28"/>
          <w:highlight w:val="none"/>
          <w:lang w:val="zh-CN"/>
        </w:rPr>
      </w:pPr>
      <w:r>
        <w:rPr>
          <w:rFonts w:hint="eastAsia" w:ascii="华文仿宋" w:hAnsi="华文仿宋" w:eastAsia="华文仿宋" w:cs="华文仿宋"/>
          <w:snapToGrid w:val="0"/>
          <w:color w:val="auto"/>
          <w:sz w:val="28"/>
          <w:szCs w:val="28"/>
          <w:highlight w:val="none"/>
          <w:lang w:val="zh-CN"/>
        </w:rPr>
        <w:t>（</w:t>
      </w:r>
      <w:r>
        <w:rPr>
          <w:rFonts w:hint="eastAsia" w:ascii="华文仿宋" w:hAnsi="华文仿宋" w:eastAsia="华文仿宋" w:cs="华文仿宋"/>
          <w:snapToGrid w:val="0"/>
          <w:color w:val="auto"/>
          <w:sz w:val="28"/>
          <w:szCs w:val="28"/>
          <w:highlight w:val="none"/>
        </w:rPr>
        <w:t>5</w:t>
      </w:r>
      <w:r>
        <w:rPr>
          <w:rFonts w:hint="eastAsia" w:ascii="华文仿宋" w:hAnsi="华文仿宋" w:eastAsia="华文仿宋" w:cs="华文仿宋"/>
          <w:snapToGrid w:val="0"/>
          <w:color w:val="auto"/>
          <w:sz w:val="28"/>
          <w:szCs w:val="28"/>
          <w:highlight w:val="none"/>
          <w:lang w:val="zh-CN"/>
        </w:rPr>
        <w:t>）分项报价表（如果有）；</w:t>
      </w:r>
    </w:p>
    <w:p w14:paraId="187B34D3">
      <w:pPr>
        <w:keepNext w:val="0"/>
        <w:keepLines w:val="0"/>
        <w:pageBreakBefore w:val="0"/>
        <w:widowControl/>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snapToGrid w:val="0"/>
          <w:color w:val="auto"/>
          <w:sz w:val="28"/>
          <w:szCs w:val="28"/>
          <w:highlight w:val="none"/>
          <w:lang w:val="zh-CN"/>
        </w:rPr>
      </w:pPr>
      <w:r>
        <w:rPr>
          <w:rFonts w:hint="eastAsia" w:ascii="华文仿宋" w:hAnsi="华文仿宋" w:eastAsia="华文仿宋" w:cs="华文仿宋"/>
          <w:snapToGrid w:val="0"/>
          <w:color w:val="auto"/>
          <w:sz w:val="28"/>
          <w:szCs w:val="28"/>
          <w:highlight w:val="none"/>
          <w:lang w:val="zh-CN"/>
        </w:rPr>
        <w:t>（</w:t>
      </w:r>
      <w:r>
        <w:rPr>
          <w:rFonts w:hint="eastAsia" w:ascii="华文仿宋" w:hAnsi="华文仿宋" w:eastAsia="华文仿宋" w:cs="华文仿宋"/>
          <w:snapToGrid w:val="0"/>
          <w:color w:val="auto"/>
          <w:sz w:val="28"/>
          <w:szCs w:val="28"/>
          <w:highlight w:val="none"/>
        </w:rPr>
        <w:t>6</w:t>
      </w:r>
      <w:r>
        <w:rPr>
          <w:rFonts w:hint="eastAsia" w:ascii="华文仿宋" w:hAnsi="华文仿宋" w:eastAsia="华文仿宋" w:cs="华文仿宋"/>
          <w:snapToGrid w:val="0"/>
          <w:color w:val="auto"/>
          <w:sz w:val="28"/>
          <w:szCs w:val="28"/>
          <w:highlight w:val="none"/>
          <w:lang w:val="zh-CN"/>
        </w:rPr>
        <w:t>）《商务条款偏离表》；</w:t>
      </w:r>
    </w:p>
    <w:p w14:paraId="609A836F">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snapToGrid w:val="0"/>
          <w:color w:val="auto"/>
          <w:sz w:val="28"/>
          <w:szCs w:val="28"/>
          <w:highlight w:val="none"/>
        </w:rPr>
      </w:pPr>
      <w:r>
        <w:rPr>
          <w:rFonts w:hint="eastAsia" w:ascii="华文仿宋" w:hAnsi="华文仿宋" w:eastAsia="华文仿宋" w:cs="华文仿宋"/>
          <w:snapToGrid w:val="0"/>
          <w:color w:val="auto"/>
          <w:sz w:val="28"/>
          <w:szCs w:val="28"/>
          <w:highlight w:val="none"/>
        </w:rPr>
        <w:t>（7）供应商认为需要</w:t>
      </w:r>
      <w:r>
        <w:rPr>
          <w:rFonts w:hint="eastAsia" w:ascii="华文仿宋" w:hAnsi="华文仿宋" w:eastAsia="华文仿宋" w:cs="华文仿宋"/>
          <w:snapToGrid w:val="0"/>
          <w:color w:val="auto"/>
          <w:sz w:val="28"/>
          <w:szCs w:val="28"/>
          <w:highlight w:val="none"/>
          <w:lang w:val="zh-CN"/>
        </w:rPr>
        <w:t>提供的其他资格证明文件和商务资料。</w:t>
      </w:r>
    </w:p>
    <w:p w14:paraId="43F5E6A6">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snapToGrid w:val="0"/>
          <w:color w:val="auto"/>
          <w:sz w:val="28"/>
          <w:szCs w:val="28"/>
          <w:highlight w:val="none"/>
          <w:lang w:val="zh-CN"/>
        </w:rPr>
      </w:pPr>
      <w:r>
        <w:rPr>
          <w:rFonts w:hint="eastAsia" w:ascii="华文仿宋" w:hAnsi="华文仿宋" w:eastAsia="华文仿宋" w:cs="华文仿宋"/>
          <w:bCs/>
          <w:snapToGrid w:val="0"/>
          <w:color w:val="auto"/>
          <w:sz w:val="28"/>
          <w:szCs w:val="28"/>
          <w:highlight w:val="none"/>
          <w:lang w:val="zh-CN"/>
        </w:rPr>
        <w:t xml:space="preserve">7.3 </w:t>
      </w:r>
      <w:r>
        <w:rPr>
          <w:rFonts w:hint="eastAsia" w:ascii="华文仿宋" w:hAnsi="华文仿宋" w:eastAsia="华文仿宋" w:cs="华文仿宋"/>
          <w:b/>
          <w:bCs/>
          <w:snapToGrid w:val="0"/>
          <w:color w:val="auto"/>
          <w:sz w:val="28"/>
          <w:szCs w:val="28"/>
          <w:highlight w:val="none"/>
          <w:lang w:val="zh-CN"/>
        </w:rPr>
        <w:t>响应文件的技术部分。</w:t>
      </w:r>
      <w:r>
        <w:rPr>
          <w:rFonts w:hint="eastAsia" w:ascii="华文仿宋" w:hAnsi="华文仿宋" w:eastAsia="华文仿宋" w:cs="华文仿宋"/>
          <w:snapToGrid w:val="0"/>
          <w:color w:val="auto"/>
          <w:sz w:val="28"/>
          <w:szCs w:val="28"/>
          <w:highlight w:val="none"/>
          <w:lang w:val="zh-CN"/>
        </w:rPr>
        <w:t>技术部分是证明</w:t>
      </w:r>
      <w:r>
        <w:rPr>
          <w:rFonts w:hint="eastAsia" w:ascii="华文仿宋" w:hAnsi="华文仿宋" w:eastAsia="华文仿宋" w:cs="华文仿宋"/>
          <w:snapToGrid w:val="0"/>
          <w:color w:val="auto"/>
          <w:sz w:val="28"/>
          <w:szCs w:val="28"/>
          <w:highlight w:val="none"/>
        </w:rPr>
        <w:t>供应商提供的货物、服务和工程是合格的，并符合磋商文件要求的证明文件，以及</w:t>
      </w:r>
      <w:r>
        <w:rPr>
          <w:rFonts w:hint="eastAsia" w:ascii="华文仿宋" w:hAnsi="华文仿宋" w:eastAsia="华文仿宋" w:cs="华文仿宋"/>
          <w:snapToGrid w:val="0"/>
          <w:color w:val="auto"/>
          <w:sz w:val="28"/>
          <w:szCs w:val="28"/>
          <w:highlight w:val="none"/>
          <w:lang w:val="zh-CN"/>
        </w:rPr>
        <w:t>对</w:t>
      </w:r>
      <w:r>
        <w:rPr>
          <w:rFonts w:hint="eastAsia" w:ascii="华文仿宋" w:hAnsi="华文仿宋" w:eastAsia="华文仿宋" w:cs="华文仿宋"/>
          <w:snapToGrid w:val="0"/>
          <w:color w:val="auto"/>
          <w:sz w:val="28"/>
          <w:szCs w:val="28"/>
          <w:highlight w:val="none"/>
        </w:rPr>
        <w:t>货物、服务和工程</w:t>
      </w:r>
      <w:r>
        <w:rPr>
          <w:rFonts w:hint="eastAsia" w:ascii="华文仿宋" w:hAnsi="华文仿宋" w:eastAsia="华文仿宋" w:cs="华文仿宋"/>
          <w:snapToGrid w:val="0"/>
          <w:color w:val="auto"/>
          <w:sz w:val="28"/>
          <w:szCs w:val="28"/>
          <w:highlight w:val="none"/>
          <w:lang w:val="zh-CN"/>
        </w:rPr>
        <w:t>的详细说明，这些文件可以是文字资料、图纸和数据等。提供的</w:t>
      </w:r>
      <w:r>
        <w:rPr>
          <w:rFonts w:hint="eastAsia" w:ascii="华文仿宋" w:hAnsi="华文仿宋" w:eastAsia="华文仿宋" w:cs="华文仿宋"/>
          <w:snapToGrid w:val="0"/>
          <w:color w:val="auto"/>
          <w:sz w:val="28"/>
          <w:szCs w:val="28"/>
          <w:highlight w:val="none"/>
        </w:rPr>
        <w:t>货物、服务和工程</w:t>
      </w:r>
      <w:r>
        <w:rPr>
          <w:rFonts w:hint="eastAsia" w:ascii="华文仿宋" w:hAnsi="华文仿宋" w:eastAsia="华文仿宋" w:cs="华文仿宋"/>
          <w:snapToGrid w:val="0"/>
          <w:color w:val="auto"/>
          <w:sz w:val="28"/>
          <w:szCs w:val="28"/>
          <w:highlight w:val="none"/>
          <w:lang w:val="zh-CN"/>
        </w:rPr>
        <w:t>如与磋商文件要求有不符之处，应说明其差别之所在。包括但不限于下列文件，其中加</w:t>
      </w:r>
      <w:r>
        <w:rPr>
          <w:rFonts w:hint="eastAsia" w:ascii="华文仿宋" w:hAnsi="华文仿宋" w:eastAsia="华文仿宋" w:cs="华文仿宋"/>
          <w:snapToGrid w:val="0"/>
          <w:color w:val="auto"/>
          <w:sz w:val="28"/>
          <w:szCs w:val="28"/>
          <w:highlight w:val="none"/>
        </w:rPr>
        <w:t>“</w:t>
      </w:r>
      <w:r>
        <w:rPr>
          <w:rFonts w:hint="eastAsia" w:ascii="华文仿宋" w:hAnsi="华文仿宋" w:eastAsia="华文仿宋" w:cs="华文仿宋"/>
          <w:snapToGrid w:val="0"/>
          <w:color w:val="auto"/>
          <w:sz w:val="28"/>
          <w:szCs w:val="28"/>
          <w:highlight w:val="none"/>
          <w:lang w:val="zh-CN"/>
        </w:rPr>
        <w:t>*或★</w:t>
      </w:r>
      <w:r>
        <w:rPr>
          <w:rFonts w:hint="eastAsia" w:ascii="华文仿宋" w:hAnsi="华文仿宋" w:eastAsia="华文仿宋" w:cs="华文仿宋"/>
          <w:snapToGrid w:val="0"/>
          <w:color w:val="auto"/>
          <w:sz w:val="28"/>
          <w:szCs w:val="28"/>
          <w:highlight w:val="none"/>
        </w:rPr>
        <w:t>”</w:t>
      </w:r>
      <w:r>
        <w:rPr>
          <w:rFonts w:hint="eastAsia" w:ascii="华文仿宋" w:hAnsi="华文仿宋" w:eastAsia="华文仿宋" w:cs="华文仿宋"/>
          <w:snapToGrid w:val="0"/>
          <w:color w:val="auto"/>
          <w:sz w:val="28"/>
          <w:szCs w:val="28"/>
          <w:highlight w:val="none"/>
          <w:lang w:val="zh-CN"/>
        </w:rPr>
        <w:t>项目不得有缺失或无效：</w:t>
      </w:r>
    </w:p>
    <w:p w14:paraId="63520171">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（1）项目服务方案或服务说明；</w:t>
      </w:r>
    </w:p>
    <w:p w14:paraId="20ADCB44">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（2）《采购需求条款偏离表》；</w:t>
      </w:r>
    </w:p>
    <w:p w14:paraId="0FD1160E">
      <w:pPr>
        <w:keepNext w:val="0"/>
        <w:keepLines w:val="0"/>
        <w:pageBreakBefore w:val="0"/>
        <w:widowControl/>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（3）供应商认为需要提供的其他技术资料。</w:t>
      </w:r>
    </w:p>
    <w:p w14:paraId="09D75CDB">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
          <w:color w:val="auto"/>
          <w:sz w:val="28"/>
          <w:szCs w:val="28"/>
          <w:highlight w:val="none"/>
          <w:lang w:val="zh-CN"/>
        </w:rPr>
      </w:pPr>
      <w:r>
        <w:rPr>
          <w:rFonts w:hint="eastAsia" w:ascii="华文仿宋" w:hAnsi="华文仿宋" w:eastAsia="华文仿宋" w:cs="华文仿宋"/>
          <w:color w:val="auto"/>
          <w:sz w:val="28"/>
          <w:szCs w:val="28"/>
          <w:highlight w:val="none"/>
          <w:lang w:val="zh-CN"/>
        </w:rPr>
        <w:t xml:space="preserve">7.4 </w:t>
      </w:r>
      <w:r>
        <w:rPr>
          <w:rFonts w:hint="eastAsia" w:ascii="华文仿宋" w:hAnsi="华文仿宋" w:eastAsia="华文仿宋" w:cs="华文仿宋"/>
          <w:b/>
          <w:color w:val="auto"/>
          <w:sz w:val="28"/>
          <w:szCs w:val="28"/>
          <w:highlight w:val="none"/>
          <w:lang w:val="zh-CN"/>
        </w:rPr>
        <w:t>响应文件的价格部分</w:t>
      </w:r>
    </w:p>
    <w:p w14:paraId="1438819A">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（1）价格部分是对</w:t>
      </w:r>
      <w:r>
        <w:rPr>
          <w:rFonts w:hint="eastAsia" w:ascii="华文仿宋" w:hAnsi="华文仿宋" w:eastAsia="华文仿宋" w:cs="华文仿宋"/>
          <w:snapToGrid w:val="0"/>
          <w:color w:val="auto"/>
          <w:sz w:val="28"/>
          <w:szCs w:val="28"/>
          <w:highlight w:val="none"/>
        </w:rPr>
        <w:t>货物、服务和工程</w:t>
      </w:r>
      <w:r>
        <w:rPr>
          <w:rFonts w:hint="eastAsia" w:ascii="华文仿宋" w:hAnsi="华文仿宋" w:eastAsia="华文仿宋" w:cs="华文仿宋"/>
          <w:color w:val="auto"/>
          <w:sz w:val="28"/>
          <w:szCs w:val="28"/>
          <w:highlight w:val="none"/>
          <w:lang w:val="zh-CN"/>
        </w:rPr>
        <w:t>价格构成的说明，磋商文件如没有特别说明的话，对每一项货物和服务仅接受一个价格。</w:t>
      </w:r>
    </w:p>
    <w:p w14:paraId="140A4855">
      <w:pPr>
        <w:keepNext w:val="0"/>
        <w:keepLines w:val="0"/>
        <w:pageBreakBefore w:val="0"/>
        <w:kinsoku/>
        <w:wordWrap/>
        <w:overflowPunct/>
        <w:topLinePunct w:val="0"/>
        <w:bidi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bCs/>
          <w:color w:val="auto"/>
          <w:sz w:val="28"/>
          <w:szCs w:val="28"/>
          <w:highlight w:val="none"/>
          <w:lang w:val="zh-CN"/>
        </w:rPr>
        <w:t>（2）报价应包含完成本项目发生的所有含税费用、支付给员工的工资和国家强制缴纳的各种社会保障资金</w:t>
      </w:r>
      <w:r>
        <w:rPr>
          <w:rFonts w:hint="eastAsia" w:ascii="华文仿宋" w:hAnsi="华文仿宋" w:eastAsia="华文仿宋" w:cs="华文仿宋"/>
          <w:b/>
          <w:bCs/>
          <w:color w:val="auto"/>
          <w:sz w:val="28"/>
          <w:szCs w:val="28"/>
          <w:highlight w:val="none"/>
          <w:lang w:val="en-US" w:eastAsia="zh-CN"/>
        </w:rPr>
        <w:t>及住房公积金</w:t>
      </w:r>
      <w:r>
        <w:rPr>
          <w:rFonts w:hint="eastAsia" w:ascii="华文仿宋" w:hAnsi="华文仿宋" w:eastAsia="华文仿宋" w:cs="华文仿宋"/>
          <w:b/>
          <w:bCs/>
          <w:color w:val="auto"/>
          <w:sz w:val="28"/>
          <w:szCs w:val="28"/>
          <w:highlight w:val="none"/>
        </w:rPr>
        <w:t>，以及供应商认为需要的其他费用等。</w:t>
      </w:r>
    </w:p>
    <w:p w14:paraId="4CD29D99">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（3）供应商应充分考虑到市场价格变动，以及项目实施过程中的不可预见因素，一旦成交，单价不变，如果有漏项，视同让利。</w:t>
      </w:r>
    </w:p>
    <w:p w14:paraId="49C5E40E">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 w:val="0"/>
          <w:color w:val="auto"/>
          <w:sz w:val="28"/>
          <w:szCs w:val="28"/>
          <w:highlight w:val="none"/>
          <w:lang w:val="zh-CN"/>
        </w:rPr>
      </w:pPr>
      <w:r>
        <w:rPr>
          <w:rFonts w:hint="eastAsia" w:ascii="华文仿宋" w:hAnsi="华文仿宋" w:eastAsia="华文仿宋" w:cs="华文仿宋"/>
          <w:color w:val="auto"/>
          <w:sz w:val="28"/>
          <w:szCs w:val="28"/>
          <w:highlight w:val="none"/>
          <w:lang w:val="zh-CN"/>
        </w:rPr>
        <w:t>（4）</w:t>
      </w:r>
      <w:r>
        <w:rPr>
          <w:rFonts w:hint="eastAsia" w:ascii="华文仿宋" w:hAnsi="华文仿宋" w:eastAsia="华文仿宋" w:cs="华文仿宋"/>
          <w:b w:val="0"/>
          <w:color w:val="auto"/>
          <w:sz w:val="28"/>
          <w:szCs w:val="28"/>
          <w:highlight w:val="none"/>
          <w:lang w:val="zh-CN"/>
        </w:rPr>
        <w:t>经磋商后，</w:t>
      </w:r>
      <w:r>
        <w:rPr>
          <w:rFonts w:hint="eastAsia" w:ascii="华文仿宋" w:hAnsi="华文仿宋" w:eastAsia="华文仿宋" w:cs="华文仿宋"/>
          <w:b w:val="0"/>
          <w:color w:val="auto"/>
          <w:sz w:val="28"/>
          <w:szCs w:val="28"/>
          <w:highlight w:val="none"/>
          <w:lang w:val="zh-CN" w:eastAsia="zh-CN"/>
        </w:rPr>
        <w:t>二次报价为最</w:t>
      </w:r>
      <w:r>
        <w:rPr>
          <w:rFonts w:hint="eastAsia" w:ascii="华文仿宋" w:hAnsi="华文仿宋" w:eastAsia="华文仿宋" w:cs="华文仿宋"/>
          <w:b w:val="0"/>
          <w:color w:val="auto"/>
          <w:sz w:val="28"/>
          <w:szCs w:val="28"/>
          <w:highlight w:val="none"/>
          <w:lang w:val="en-US" w:eastAsia="zh-CN"/>
        </w:rPr>
        <w:t>终</w:t>
      </w:r>
      <w:r>
        <w:rPr>
          <w:rFonts w:hint="eastAsia" w:ascii="华文仿宋" w:hAnsi="华文仿宋" w:eastAsia="华文仿宋" w:cs="华文仿宋"/>
          <w:b w:val="0"/>
          <w:color w:val="auto"/>
          <w:sz w:val="28"/>
          <w:szCs w:val="28"/>
          <w:highlight w:val="none"/>
          <w:lang w:val="zh-CN" w:eastAsia="zh-CN"/>
        </w:rPr>
        <w:t>报价，二次报价不</w:t>
      </w:r>
      <w:r>
        <w:rPr>
          <w:rFonts w:hint="eastAsia" w:ascii="华文仿宋" w:hAnsi="华文仿宋" w:eastAsia="华文仿宋" w:cs="华文仿宋"/>
          <w:b w:val="0"/>
          <w:color w:val="auto"/>
          <w:sz w:val="28"/>
          <w:szCs w:val="28"/>
          <w:highlight w:val="none"/>
          <w:lang w:val="en-US" w:eastAsia="zh-CN"/>
        </w:rPr>
        <w:t>得</w:t>
      </w:r>
      <w:r>
        <w:rPr>
          <w:rFonts w:hint="eastAsia" w:ascii="华文仿宋" w:hAnsi="华文仿宋" w:eastAsia="华文仿宋" w:cs="华文仿宋"/>
          <w:b w:val="0"/>
          <w:color w:val="auto"/>
          <w:sz w:val="28"/>
          <w:szCs w:val="28"/>
          <w:highlight w:val="none"/>
          <w:lang w:val="zh-CN" w:eastAsia="zh-CN"/>
        </w:rPr>
        <w:t>高于首次报价。</w:t>
      </w:r>
      <w:r>
        <w:rPr>
          <w:rFonts w:hint="eastAsia" w:ascii="华文仿宋" w:hAnsi="华文仿宋" w:eastAsia="华文仿宋" w:cs="华文仿宋"/>
          <w:b/>
          <w:bCs/>
          <w:color w:val="auto"/>
          <w:sz w:val="28"/>
          <w:szCs w:val="28"/>
          <w:highlight w:val="none"/>
          <w:lang w:val="zh-CN"/>
        </w:rPr>
        <w:t>如果成交价低于供应商在响应文件</w:t>
      </w:r>
      <w:r>
        <w:rPr>
          <w:rFonts w:hint="eastAsia" w:ascii="华文仿宋" w:hAnsi="华文仿宋" w:eastAsia="华文仿宋" w:cs="华文仿宋"/>
          <w:b/>
          <w:bCs/>
          <w:color w:val="auto"/>
          <w:sz w:val="28"/>
          <w:szCs w:val="28"/>
          <w:highlight w:val="none"/>
          <w:lang w:val="zh-CN" w:eastAsia="zh-CN"/>
        </w:rPr>
        <w:t>中</w:t>
      </w:r>
      <w:r>
        <w:rPr>
          <w:rFonts w:hint="eastAsia" w:ascii="华文仿宋" w:hAnsi="华文仿宋" w:eastAsia="华文仿宋" w:cs="华文仿宋"/>
          <w:b/>
          <w:bCs/>
          <w:color w:val="auto"/>
          <w:sz w:val="28"/>
          <w:szCs w:val="28"/>
          <w:highlight w:val="none"/>
          <w:lang w:val="zh-CN"/>
        </w:rPr>
        <w:t>首次报价的，</w:t>
      </w:r>
      <w:r>
        <w:rPr>
          <w:rFonts w:hint="eastAsia" w:ascii="华文仿宋" w:hAnsi="华文仿宋" w:eastAsia="华文仿宋" w:cs="华文仿宋"/>
          <w:b/>
          <w:bCs/>
          <w:color w:val="auto"/>
          <w:sz w:val="28"/>
          <w:szCs w:val="28"/>
          <w:highlight w:val="none"/>
          <w:lang w:val="zh-CN" w:eastAsia="zh-CN"/>
        </w:rPr>
        <w:t>其</w:t>
      </w:r>
      <w:r>
        <w:rPr>
          <w:rFonts w:hint="eastAsia" w:ascii="华文仿宋" w:hAnsi="华文仿宋" w:eastAsia="华文仿宋" w:cs="华文仿宋"/>
          <w:b/>
          <w:bCs/>
          <w:color w:val="auto"/>
          <w:sz w:val="28"/>
          <w:szCs w:val="28"/>
          <w:highlight w:val="none"/>
          <w:lang w:val="zh-CN"/>
        </w:rPr>
        <w:t>分项报价同比例调整（</w:t>
      </w:r>
      <w:r>
        <w:rPr>
          <w:rFonts w:hint="eastAsia" w:ascii="华文仿宋" w:hAnsi="华文仿宋" w:eastAsia="华文仿宋" w:cs="华文仿宋"/>
          <w:b/>
          <w:bCs/>
          <w:color w:val="auto"/>
          <w:sz w:val="28"/>
          <w:szCs w:val="28"/>
          <w:highlight w:val="none"/>
          <w:lang w:val="en-US" w:eastAsia="zh-CN"/>
        </w:rPr>
        <w:t>暂估价、暂列金额和规定的不可竞争费除外</w:t>
      </w:r>
      <w:r>
        <w:rPr>
          <w:rFonts w:hint="eastAsia" w:ascii="华文仿宋" w:hAnsi="华文仿宋" w:eastAsia="华文仿宋" w:cs="华文仿宋"/>
          <w:b/>
          <w:bCs/>
          <w:color w:val="auto"/>
          <w:sz w:val="28"/>
          <w:szCs w:val="28"/>
          <w:highlight w:val="none"/>
          <w:lang w:val="zh-CN"/>
        </w:rPr>
        <w:t>）。</w:t>
      </w:r>
    </w:p>
    <w:p w14:paraId="18B95131">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 xml:space="preserve">7.5 </w:t>
      </w:r>
      <w:r>
        <w:rPr>
          <w:rFonts w:hint="eastAsia" w:ascii="华文仿宋" w:hAnsi="华文仿宋" w:eastAsia="华文仿宋" w:cs="华文仿宋"/>
          <w:b/>
          <w:color w:val="auto"/>
          <w:sz w:val="28"/>
          <w:szCs w:val="28"/>
          <w:highlight w:val="none"/>
          <w:lang w:val="zh-CN"/>
        </w:rPr>
        <w:t>响应文件的其他部分。</w:t>
      </w:r>
      <w:r>
        <w:rPr>
          <w:rFonts w:hint="eastAsia" w:ascii="华文仿宋" w:hAnsi="华文仿宋" w:eastAsia="华文仿宋" w:cs="华文仿宋"/>
          <w:color w:val="auto"/>
          <w:sz w:val="28"/>
          <w:szCs w:val="28"/>
          <w:highlight w:val="none"/>
          <w:lang w:val="zh-CN"/>
        </w:rPr>
        <w:t>其他部分由供应商根据编制响应文件需要提供的其他相关文件。</w:t>
      </w:r>
    </w:p>
    <w:p w14:paraId="625C5BC9">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bCs/>
          <w:color w:val="auto"/>
          <w:sz w:val="28"/>
          <w:szCs w:val="28"/>
          <w:highlight w:val="none"/>
          <w:lang w:val="zh-CN"/>
        </w:rPr>
        <w:t>8、磋商保证金</w:t>
      </w:r>
    </w:p>
    <w:p w14:paraId="19E658DB">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rPr>
        <w:t>本项目不收取保证金</w:t>
      </w:r>
      <w:r>
        <w:rPr>
          <w:rFonts w:hint="eastAsia" w:ascii="华文仿宋" w:hAnsi="华文仿宋" w:eastAsia="华文仿宋" w:cs="华文仿宋"/>
          <w:color w:val="auto"/>
          <w:sz w:val="28"/>
          <w:szCs w:val="28"/>
          <w:highlight w:val="none"/>
          <w:lang w:val="zh-CN"/>
        </w:rPr>
        <w:t>。</w:t>
      </w:r>
    </w:p>
    <w:p w14:paraId="2385745E">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方正黑体_GBK" w:hAnsi="方正黑体_GBK" w:eastAsia="方正黑体_GBK" w:cs="方正黑体_GBK"/>
          <w:b w:val="0"/>
          <w:bCs w:val="0"/>
          <w:color w:val="auto"/>
          <w:sz w:val="28"/>
          <w:szCs w:val="28"/>
          <w:highlight w:val="none"/>
          <w:lang w:val="zh-CN"/>
        </w:rPr>
      </w:pPr>
      <w:bookmarkStart w:id="44" w:name="_Toc508699413"/>
      <w:r>
        <w:rPr>
          <w:rFonts w:hint="eastAsia" w:ascii="方正黑体_GBK" w:hAnsi="方正黑体_GBK" w:eastAsia="方正黑体_GBK" w:cs="方正黑体_GBK"/>
          <w:b w:val="0"/>
          <w:bCs w:val="0"/>
          <w:color w:val="auto"/>
          <w:sz w:val="28"/>
          <w:szCs w:val="28"/>
          <w:highlight w:val="none"/>
          <w:lang w:val="zh-CN"/>
        </w:rPr>
        <w:t>三、响应文件签署与提交</w:t>
      </w:r>
      <w:bookmarkEnd w:id="44"/>
    </w:p>
    <w:p w14:paraId="5DD5AC29">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bCs/>
          <w:color w:val="auto"/>
          <w:sz w:val="28"/>
          <w:szCs w:val="28"/>
          <w:highlight w:val="none"/>
          <w:lang w:val="zh-CN"/>
        </w:rPr>
        <w:t>9、响应文件签署</w:t>
      </w:r>
    </w:p>
    <w:p w14:paraId="2FC17B49">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color w:val="auto"/>
          <w:sz w:val="28"/>
          <w:szCs w:val="28"/>
          <w:highlight w:val="none"/>
          <w:lang w:val="zh-CN"/>
        </w:rPr>
        <w:t>9.1 响应文件应由供应商法定代表人或授权代表签字，并加盖公章。</w:t>
      </w:r>
    </w:p>
    <w:p w14:paraId="421CDFEE">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9.2 供应商应当在磋商文件要求提交响应文件的截止时间前，将响应文件密封送达指定地点。</w:t>
      </w:r>
    </w:p>
    <w:p w14:paraId="6628F110">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Cs/>
          <w:color w:val="auto"/>
          <w:sz w:val="28"/>
          <w:szCs w:val="28"/>
          <w:highlight w:val="none"/>
          <w:lang w:val="zh-CN"/>
        </w:rPr>
        <w:t xml:space="preserve">9.3 </w:t>
      </w:r>
      <w:r>
        <w:rPr>
          <w:rFonts w:hint="eastAsia" w:ascii="华文仿宋" w:hAnsi="华文仿宋" w:eastAsia="华文仿宋" w:cs="华文仿宋"/>
          <w:b/>
          <w:bCs/>
          <w:color w:val="auto"/>
          <w:sz w:val="28"/>
          <w:szCs w:val="28"/>
          <w:highlight w:val="none"/>
          <w:lang w:val="zh-CN"/>
        </w:rPr>
        <w:t>有下列情形之一的响应文件将拒收：</w:t>
      </w:r>
    </w:p>
    <w:p w14:paraId="4C75F08D">
      <w:pPr>
        <w:keepNext w:val="0"/>
        <w:keepLines w:val="0"/>
        <w:pageBreakBefore w:val="0"/>
        <w:numPr>
          <w:ilvl w:val="0"/>
          <w:numId w:val="5"/>
        </w:numPr>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在磋商文件要求提交响应文件的截止时间之后送达的；</w:t>
      </w:r>
    </w:p>
    <w:p w14:paraId="4B8AAB08">
      <w:pPr>
        <w:keepNext w:val="0"/>
        <w:keepLines w:val="0"/>
        <w:pageBreakBefore w:val="0"/>
        <w:numPr>
          <w:ilvl w:val="0"/>
          <w:numId w:val="0"/>
        </w:numPr>
        <w:kinsoku/>
        <w:wordWrap/>
        <w:overflowPunct/>
        <w:topLinePunct w:val="0"/>
        <w:autoSpaceDE w:val="0"/>
        <w:autoSpaceDN w:val="0"/>
        <w:bidi w:val="0"/>
        <w:adjustRightInd w:val="0"/>
        <w:snapToGrid w:val="0"/>
        <w:spacing w:line="560" w:lineRule="exact"/>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en-US" w:eastAsia="zh-CN"/>
        </w:rPr>
        <w:t xml:space="preserve">    </w:t>
      </w:r>
      <w:r>
        <w:rPr>
          <w:rFonts w:hint="eastAsia" w:ascii="华文仿宋" w:hAnsi="华文仿宋" w:eastAsia="华文仿宋" w:cs="华文仿宋"/>
          <w:color w:val="auto"/>
          <w:sz w:val="28"/>
          <w:szCs w:val="28"/>
          <w:highlight w:val="none"/>
          <w:lang w:val="zh-CN"/>
        </w:rPr>
        <w:t>（2）响应文件未密封的。</w:t>
      </w:r>
    </w:p>
    <w:p w14:paraId="5AACF159">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rPr>
      </w:pPr>
      <w:r>
        <w:rPr>
          <w:rFonts w:hint="eastAsia" w:ascii="方正黑体_GBK" w:hAnsi="方正黑体_GBK" w:eastAsia="方正黑体_GBK" w:cs="方正黑体_GBK"/>
          <w:b w:val="0"/>
          <w:bCs w:val="0"/>
          <w:color w:val="auto"/>
          <w:sz w:val="28"/>
          <w:szCs w:val="28"/>
          <w:highlight w:val="none"/>
          <w:lang w:val="zh-CN"/>
        </w:rPr>
        <w:t>四、磋商</w:t>
      </w:r>
    </w:p>
    <w:p w14:paraId="3EA6486B">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bCs/>
          <w:color w:val="auto"/>
          <w:sz w:val="28"/>
          <w:szCs w:val="28"/>
          <w:highlight w:val="none"/>
          <w:lang w:val="zh-CN"/>
        </w:rPr>
        <w:t>1</w:t>
      </w:r>
      <w:r>
        <w:rPr>
          <w:rFonts w:hint="eastAsia" w:ascii="华文仿宋" w:hAnsi="华文仿宋" w:eastAsia="华文仿宋" w:cs="华文仿宋"/>
          <w:b/>
          <w:bCs/>
          <w:color w:val="auto"/>
          <w:sz w:val="28"/>
          <w:szCs w:val="28"/>
          <w:highlight w:val="none"/>
        </w:rPr>
        <w:t>0</w:t>
      </w:r>
      <w:r>
        <w:rPr>
          <w:rFonts w:hint="eastAsia" w:ascii="华文仿宋" w:hAnsi="华文仿宋" w:eastAsia="华文仿宋" w:cs="华文仿宋"/>
          <w:b/>
          <w:bCs/>
          <w:color w:val="auto"/>
          <w:sz w:val="28"/>
          <w:szCs w:val="28"/>
          <w:highlight w:val="none"/>
          <w:lang w:val="zh-CN"/>
        </w:rPr>
        <w:t>、磋商组织</w:t>
      </w:r>
    </w:p>
    <w:p w14:paraId="646BEBDB">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0</w:t>
      </w:r>
      <w:r>
        <w:rPr>
          <w:rFonts w:hint="eastAsia" w:ascii="华文仿宋" w:hAnsi="华文仿宋" w:eastAsia="华文仿宋" w:cs="华文仿宋"/>
          <w:color w:val="auto"/>
          <w:sz w:val="28"/>
          <w:szCs w:val="28"/>
          <w:highlight w:val="none"/>
          <w:lang w:val="zh-CN"/>
        </w:rPr>
        <w:t>.1 在提交响应文件时间截止后，代理人在规定的时间和地点组织</w:t>
      </w:r>
      <w:r>
        <w:rPr>
          <w:rFonts w:hint="eastAsia" w:ascii="华文仿宋" w:hAnsi="华文仿宋" w:eastAsia="华文仿宋" w:cs="华文仿宋"/>
          <w:color w:val="auto"/>
          <w:sz w:val="28"/>
          <w:szCs w:val="28"/>
          <w:highlight w:val="none"/>
        </w:rPr>
        <w:t>磋商</w:t>
      </w:r>
      <w:r>
        <w:rPr>
          <w:rFonts w:hint="eastAsia" w:ascii="华文仿宋" w:hAnsi="华文仿宋" w:eastAsia="华文仿宋" w:cs="华文仿宋"/>
          <w:color w:val="auto"/>
          <w:sz w:val="28"/>
          <w:szCs w:val="28"/>
          <w:highlight w:val="none"/>
          <w:lang w:val="zh-CN"/>
        </w:rPr>
        <w:t>小组分别与供应商进行磋商。</w:t>
      </w:r>
    </w:p>
    <w:p w14:paraId="102BC52A">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0</w:t>
      </w:r>
      <w:r>
        <w:rPr>
          <w:rFonts w:hint="eastAsia" w:ascii="华文仿宋" w:hAnsi="华文仿宋" w:eastAsia="华文仿宋" w:cs="华文仿宋"/>
          <w:color w:val="auto"/>
          <w:sz w:val="28"/>
          <w:szCs w:val="28"/>
          <w:highlight w:val="none"/>
          <w:lang w:val="zh-CN"/>
        </w:rPr>
        <w:t xml:space="preserve">.2 </w:t>
      </w:r>
      <w:r>
        <w:rPr>
          <w:rFonts w:hint="eastAsia" w:ascii="华文仿宋" w:hAnsi="华文仿宋" w:eastAsia="华文仿宋" w:cs="华文仿宋"/>
          <w:color w:val="auto"/>
          <w:sz w:val="28"/>
          <w:szCs w:val="28"/>
          <w:highlight w:val="none"/>
        </w:rPr>
        <w:t>磋商</w:t>
      </w:r>
      <w:r>
        <w:rPr>
          <w:rFonts w:hint="eastAsia" w:ascii="华文仿宋" w:hAnsi="华文仿宋" w:eastAsia="华文仿宋" w:cs="华文仿宋"/>
          <w:color w:val="auto"/>
          <w:sz w:val="28"/>
          <w:szCs w:val="28"/>
          <w:highlight w:val="none"/>
          <w:lang w:val="zh-CN"/>
        </w:rPr>
        <w:t>工作由代理人负责组织，具体</w:t>
      </w:r>
      <w:r>
        <w:rPr>
          <w:rFonts w:hint="eastAsia" w:ascii="华文仿宋" w:hAnsi="华文仿宋" w:eastAsia="华文仿宋" w:cs="华文仿宋"/>
          <w:color w:val="auto"/>
          <w:sz w:val="28"/>
          <w:szCs w:val="28"/>
          <w:highlight w:val="none"/>
        </w:rPr>
        <w:t>磋商</w:t>
      </w:r>
      <w:r>
        <w:rPr>
          <w:rFonts w:hint="eastAsia" w:ascii="华文仿宋" w:hAnsi="华文仿宋" w:eastAsia="华文仿宋" w:cs="华文仿宋"/>
          <w:color w:val="auto"/>
          <w:sz w:val="28"/>
          <w:szCs w:val="28"/>
          <w:highlight w:val="none"/>
          <w:lang w:val="zh-CN"/>
        </w:rPr>
        <w:t>事务由依法组建的磋商小组负责。</w:t>
      </w:r>
    </w:p>
    <w:p w14:paraId="7F102340">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color w:val="auto"/>
          <w:sz w:val="28"/>
          <w:szCs w:val="28"/>
          <w:highlight w:val="none"/>
          <w:lang w:val="zh-CN"/>
        </w:rPr>
      </w:pPr>
      <w:r>
        <w:rPr>
          <w:rFonts w:hint="eastAsia" w:ascii="华文仿宋" w:hAnsi="华文仿宋" w:eastAsia="华文仿宋" w:cs="华文仿宋"/>
          <w:b/>
          <w:color w:val="auto"/>
          <w:sz w:val="28"/>
          <w:szCs w:val="28"/>
          <w:highlight w:val="none"/>
          <w:lang w:val="zh-CN"/>
        </w:rPr>
        <w:t>1</w:t>
      </w:r>
      <w:r>
        <w:rPr>
          <w:rFonts w:hint="eastAsia" w:ascii="华文仿宋" w:hAnsi="华文仿宋" w:eastAsia="华文仿宋" w:cs="华文仿宋"/>
          <w:b/>
          <w:color w:val="auto"/>
          <w:sz w:val="28"/>
          <w:szCs w:val="28"/>
          <w:highlight w:val="none"/>
        </w:rPr>
        <w:t>1</w:t>
      </w:r>
      <w:r>
        <w:rPr>
          <w:rFonts w:hint="eastAsia" w:ascii="华文仿宋" w:hAnsi="华文仿宋" w:eastAsia="华文仿宋" w:cs="华文仿宋"/>
          <w:b/>
          <w:color w:val="auto"/>
          <w:sz w:val="28"/>
          <w:szCs w:val="28"/>
          <w:highlight w:val="none"/>
          <w:lang w:val="zh-CN"/>
        </w:rPr>
        <w:t>、磋商程序</w:t>
      </w:r>
    </w:p>
    <w:p w14:paraId="45A1FEA6">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1</w:t>
      </w:r>
      <w:r>
        <w:rPr>
          <w:rFonts w:hint="eastAsia" w:ascii="华文仿宋" w:hAnsi="华文仿宋" w:eastAsia="华文仿宋" w:cs="华文仿宋"/>
          <w:color w:val="auto"/>
          <w:sz w:val="28"/>
          <w:szCs w:val="28"/>
          <w:highlight w:val="none"/>
          <w:lang w:val="zh-CN"/>
        </w:rPr>
        <w:t>.1 磋商小组评审供应商所递交的响应性文件，</w:t>
      </w:r>
      <w:r>
        <w:rPr>
          <w:rFonts w:hint="eastAsia" w:ascii="华文仿宋" w:hAnsi="华文仿宋" w:eastAsia="华文仿宋" w:cs="华文仿宋"/>
          <w:color w:val="auto"/>
          <w:sz w:val="28"/>
          <w:szCs w:val="28"/>
          <w:highlight w:val="none"/>
        </w:rPr>
        <w:t>并根据磋商文件规定的程序、评定成交的标准等事项与实质性响应磋商文件要求的供应商进行磋商。未实质性响应磋商文件的响应文件按无效处理，磋商小组应将无效标原因告知有关供应商。</w:t>
      </w:r>
    </w:p>
    <w:p w14:paraId="674FD465">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1</w:t>
      </w:r>
      <w:r>
        <w:rPr>
          <w:rFonts w:hint="eastAsia" w:ascii="华文仿宋" w:hAnsi="华文仿宋" w:eastAsia="华文仿宋" w:cs="华文仿宋"/>
          <w:color w:val="auto"/>
          <w:sz w:val="28"/>
          <w:szCs w:val="28"/>
          <w:highlight w:val="none"/>
          <w:lang w:val="zh-CN"/>
        </w:rPr>
        <w:t>.2 磋商小组所有成员集中与单一供应商分别进行磋商，所有参加磋商的供应商均有同等的磋商机会，磋商顺序按照响应供应商签到表逆顺序进行。</w:t>
      </w:r>
    </w:p>
    <w:p w14:paraId="034F2276">
      <w:pPr>
        <w:pStyle w:val="6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pacing w:before="0" w:beforeAutospacing="0" w:after="0" w:afterAutospacing="0" w:line="560" w:lineRule="exact"/>
        <w:ind w:left="0" w:right="0" w:firstLine="560" w:firstLineChars="200"/>
        <w:jc w:val="both"/>
        <w:textAlignment w:val="baseline"/>
        <w:rPr>
          <w:rFonts w:hint="eastAsia" w:ascii="华文仿宋" w:hAnsi="华文仿宋" w:eastAsia="华文仿宋" w:cs="华文仿宋"/>
          <w:color w:val="auto"/>
          <w:kern w:val="2"/>
          <w:sz w:val="28"/>
          <w:szCs w:val="28"/>
          <w:highlight w:val="none"/>
          <w:lang w:val="zh-CN" w:eastAsia="zh-CN" w:bidi="ar-SA"/>
        </w:rPr>
      </w:pPr>
      <w:r>
        <w:rPr>
          <w:rFonts w:hint="eastAsia" w:ascii="华文仿宋" w:hAnsi="华文仿宋" w:eastAsia="华文仿宋" w:cs="华文仿宋"/>
          <w:color w:val="auto"/>
          <w:kern w:val="2"/>
          <w:sz w:val="28"/>
          <w:szCs w:val="28"/>
          <w:highlight w:val="none"/>
          <w:lang w:val="en-US" w:eastAsia="zh-CN" w:bidi="ar-SA"/>
        </w:rPr>
        <w:t>11.3</w:t>
      </w:r>
      <w:r>
        <w:rPr>
          <w:rFonts w:hint="eastAsia" w:ascii="华文仿宋" w:hAnsi="华文仿宋" w:eastAsia="华文仿宋" w:cs="华文仿宋"/>
          <w:color w:val="auto"/>
          <w:kern w:val="2"/>
          <w:sz w:val="28"/>
          <w:szCs w:val="28"/>
          <w:highlight w:val="none"/>
          <w:lang w:val="zh-CN" w:eastAsia="zh-CN" w:bidi="ar-SA"/>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246D559">
      <w:pPr>
        <w:pStyle w:val="6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pacing w:before="0" w:beforeAutospacing="0" w:after="0" w:afterAutospacing="0" w:line="560" w:lineRule="exact"/>
        <w:ind w:left="0" w:right="0" w:firstLine="560" w:firstLineChars="200"/>
        <w:jc w:val="both"/>
        <w:textAlignment w:val="baseline"/>
        <w:rPr>
          <w:rFonts w:hint="eastAsia" w:ascii="华文仿宋" w:hAnsi="华文仿宋" w:eastAsia="华文仿宋" w:cs="华文仿宋"/>
          <w:color w:val="auto"/>
          <w:kern w:val="2"/>
          <w:sz w:val="28"/>
          <w:szCs w:val="28"/>
          <w:highlight w:val="none"/>
          <w:lang w:val="zh-CN" w:eastAsia="zh-CN" w:bidi="ar-SA"/>
        </w:rPr>
      </w:pPr>
      <w:r>
        <w:rPr>
          <w:rFonts w:hint="eastAsia" w:ascii="华文仿宋" w:hAnsi="华文仿宋" w:eastAsia="华文仿宋" w:cs="华文仿宋"/>
          <w:color w:val="auto"/>
          <w:kern w:val="2"/>
          <w:sz w:val="28"/>
          <w:szCs w:val="28"/>
          <w:highlight w:val="none"/>
          <w:lang w:val="en-US" w:eastAsia="zh-CN" w:bidi="ar-SA"/>
        </w:rPr>
        <w:t>11.4</w:t>
      </w:r>
      <w:r>
        <w:rPr>
          <w:rFonts w:hint="eastAsia" w:ascii="华文仿宋" w:hAnsi="华文仿宋" w:eastAsia="华文仿宋" w:cs="华文仿宋"/>
          <w:color w:val="auto"/>
          <w:kern w:val="2"/>
          <w:sz w:val="28"/>
          <w:szCs w:val="28"/>
          <w:highlight w:val="none"/>
          <w:lang w:val="zh-CN" w:eastAsia="zh-CN" w:bidi="ar-SA"/>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1FA6C183">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1</w:t>
      </w:r>
      <w:r>
        <w:rPr>
          <w:rFonts w:hint="eastAsia" w:ascii="华文仿宋" w:hAnsi="华文仿宋" w:eastAsia="华文仿宋" w:cs="华文仿宋"/>
          <w:color w:val="auto"/>
          <w:sz w:val="28"/>
          <w:szCs w:val="28"/>
          <w:highlight w:val="none"/>
          <w:lang w:val="zh-CN"/>
        </w:rPr>
        <w:t>.5 磋商结束后，磋商小组将要求所有继续参加磋商的供应商在规定时间内提交最后报价。</w:t>
      </w:r>
      <w:r>
        <w:rPr>
          <w:rFonts w:hint="eastAsia" w:ascii="华文仿宋" w:hAnsi="华文仿宋" w:eastAsia="华文仿宋" w:cs="华文仿宋"/>
          <w:b/>
          <w:bCs/>
          <w:color w:val="auto"/>
          <w:sz w:val="28"/>
          <w:szCs w:val="28"/>
          <w:highlight w:val="none"/>
          <w:lang w:val="zh-CN"/>
        </w:rPr>
        <w:t>最后报价由其法定代表人或授权代表签字或者加盖公章，最后报价是供应商响应文件的有效组成部分。</w:t>
      </w:r>
    </w:p>
    <w:p w14:paraId="055F373A">
      <w:pPr>
        <w:keepNext w:val="0"/>
        <w:keepLines w:val="0"/>
        <w:pageBreakBefore w:val="0"/>
        <w:kinsoku/>
        <w:wordWrap/>
        <w:overflowPunct/>
        <w:topLinePunct w:val="0"/>
        <w:bidi w:val="0"/>
        <w:adjustRightInd w:val="0"/>
        <w:snapToGrid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bCs/>
          <w:color w:val="auto"/>
          <w:sz w:val="28"/>
          <w:szCs w:val="28"/>
          <w:highlight w:val="none"/>
          <w:lang w:val="zh-CN"/>
        </w:rPr>
        <w:t>1</w:t>
      </w:r>
      <w:r>
        <w:rPr>
          <w:rFonts w:hint="eastAsia" w:ascii="华文仿宋" w:hAnsi="华文仿宋" w:eastAsia="华文仿宋" w:cs="华文仿宋"/>
          <w:b/>
          <w:bCs/>
          <w:color w:val="auto"/>
          <w:sz w:val="28"/>
          <w:szCs w:val="28"/>
          <w:highlight w:val="none"/>
        </w:rPr>
        <w:t>1</w:t>
      </w:r>
      <w:r>
        <w:rPr>
          <w:rFonts w:hint="eastAsia" w:ascii="华文仿宋" w:hAnsi="华文仿宋" w:eastAsia="华文仿宋" w:cs="华文仿宋"/>
          <w:b/>
          <w:bCs/>
          <w:color w:val="auto"/>
          <w:sz w:val="28"/>
          <w:szCs w:val="28"/>
          <w:highlight w:val="none"/>
          <w:lang w:val="zh-CN"/>
        </w:rPr>
        <w:t>.</w:t>
      </w:r>
      <w:r>
        <w:rPr>
          <w:rFonts w:hint="eastAsia" w:ascii="华文仿宋" w:hAnsi="华文仿宋" w:eastAsia="华文仿宋" w:cs="华文仿宋"/>
          <w:b/>
          <w:bCs/>
          <w:color w:val="auto"/>
          <w:sz w:val="28"/>
          <w:szCs w:val="28"/>
          <w:highlight w:val="none"/>
          <w:lang w:val="en-US" w:eastAsia="zh-CN"/>
        </w:rPr>
        <w:t>6</w:t>
      </w:r>
      <w:r>
        <w:rPr>
          <w:rFonts w:hint="eastAsia" w:ascii="华文仿宋" w:hAnsi="华文仿宋" w:eastAsia="华文仿宋" w:cs="华文仿宋"/>
          <w:b/>
          <w:bCs/>
          <w:color w:val="auto"/>
          <w:sz w:val="28"/>
          <w:szCs w:val="28"/>
          <w:highlight w:val="none"/>
          <w:lang w:val="zh-CN"/>
        </w:rPr>
        <w:t xml:space="preserve"> 响应文件出现下列情况之一的，将作为无效响应文件处理，无效响应文件不予参加</w:t>
      </w:r>
      <w:r>
        <w:rPr>
          <w:rFonts w:hint="eastAsia" w:ascii="华文仿宋" w:hAnsi="华文仿宋" w:eastAsia="华文仿宋" w:cs="华文仿宋"/>
          <w:b/>
          <w:bCs/>
          <w:color w:val="auto"/>
          <w:sz w:val="28"/>
          <w:szCs w:val="28"/>
          <w:highlight w:val="none"/>
          <w:lang w:val="en-US" w:eastAsia="zh-CN"/>
        </w:rPr>
        <w:t>磋商</w:t>
      </w:r>
      <w:r>
        <w:rPr>
          <w:rFonts w:hint="eastAsia" w:ascii="华文仿宋" w:hAnsi="华文仿宋" w:eastAsia="华文仿宋" w:cs="华文仿宋"/>
          <w:b/>
          <w:bCs/>
          <w:color w:val="auto"/>
          <w:sz w:val="28"/>
          <w:szCs w:val="28"/>
          <w:highlight w:val="none"/>
          <w:lang w:val="zh-CN"/>
        </w:rPr>
        <w:t>。</w:t>
      </w:r>
    </w:p>
    <w:p w14:paraId="1908D149">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lang w:val="en-US" w:eastAsia="zh-CN"/>
        </w:rPr>
        <w:t>1</w:t>
      </w:r>
      <w:r>
        <w:rPr>
          <w:rFonts w:hint="eastAsia" w:ascii="华文仿宋" w:hAnsi="华文仿宋" w:eastAsia="华文仿宋" w:cs="华文仿宋"/>
          <w:b w:val="0"/>
          <w:bCs w:val="0"/>
          <w:color w:val="auto"/>
          <w:sz w:val="28"/>
          <w:szCs w:val="28"/>
          <w:highlight w:val="none"/>
          <w:lang w:val="zh-CN"/>
        </w:rPr>
        <w:t>）响应文件中的</w:t>
      </w:r>
      <w:r>
        <w:rPr>
          <w:rFonts w:hint="eastAsia" w:ascii="华文仿宋" w:hAnsi="华文仿宋" w:eastAsia="华文仿宋" w:cs="华文仿宋"/>
          <w:b w:val="0"/>
          <w:bCs w:val="0"/>
          <w:color w:val="auto"/>
          <w:sz w:val="28"/>
          <w:szCs w:val="28"/>
          <w:highlight w:val="none"/>
          <w:lang w:val="en-US" w:eastAsia="zh-CN"/>
        </w:rPr>
        <w:t>磋商</w:t>
      </w:r>
      <w:r>
        <w:rPr>
          <w:rFonts w:hint="eastAsia" w:ascii="华文仿宋" w:hAnsi="华文仿宋" w:eastAsia="华文仿宋" w:cs="华文仿宋"/>
          <w:b w:val="0"/>
          <w:bCs w:val="0"/>
          <w:color w:val="auto"/>
          <w:sz w:val="28"/>
          <w:szCs w:val="28"/>
          <w:highlight w:val="none"/>
          <w:lang w:val="zh-CN"/>
        </w:rPr>
        <w:t>申请及声明未加盖供应商单位公章及法定代表人或者委托代理人印章（签字）或委托书非原件的；</w:t>
      </w:r>
    </w:p>
    <w:p w14:paraId="52A594C3">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lang w:val="en-US" w:eastAsia="zh-CN"/>
        </w:rPr>
        <w:t>2</w:t>
      </w: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lang w:val="en-US" w:eastAsia="zh-CN"/>
        </w:rPr>
        <w:t>提供的响应文件</w:t>
      </w:r>
      <w:r>
        <w:rPr>
          <w:rFonts w:hint="eastAsia" w:ascii="华文仿宋" w:hAnsi="华文仿宋" w:eastAsia="华文仿宋" w:cs="华文仿宋"/>
          <w:b w:val="0"/>
          <w:bCs w:val="0"/>
          <w:color w:val="auto"/>
          <w:sz w:val="28"/>
          <w:szCs w:val="28"/>
          <w:highlight w:val="none"/>
          <w:lang w:val="zh-CN"/>
        </w:rPr>
        <w:t>少于指定份数</w:t>
      </w:r>
      <w:r>
        <w:rPr>
          <w:rFonts w:hint="eastAsia" w:ascii="华文仿宋" w:hAnsi="华文仿宋" w:eastAsia="华文仿宋" w:cs="华文仿宋"/>
          <w:b w:val="0"/>
          <w:bCs w:val="0"/>
          <w:color w:val="auto"/>
          <w:sz w:val="28"/>
          <w:szCs w:val="28"/>
          <w:highlight w:val="none"/>
          <w:lang w:val="en-US" w:eastAsia="zh-CN"/>
        </w:rPr>
        <w:t>的；</w:t>
      </w:r>
    </w:p>
    <w:p w14:paraId="2D148454">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lang w:val="en-US" w:eastAsia="zh-CN"/>
        </w:rPr>
        <w:t>3</w:t>
      </w:r>
      <w:r>
        <w:rPr>
          <w:rFonts w:hint="eastAsia" w:ascii="华文仿宋" w:hAnsi="华文仿宋" w:eastAsia="华文仿宋" w:cs="华文仿宋"/>
          <w:b w:val="0"/>
          <w:bCs w:val="0"/>
          <w:color w:val="auto"/>
          <w:sz w:val="28"/>
          <w:szCs w:val="28"/>
          <w:highlight w:val="none"/>
          <w:lang w:val="zh-CN"/>
        </w:rPr>
        <w:t>）未按磋商文件要求提供保证金的</w:t>
      </w:r>
      <w:r>
        <w:rPr>
          <w:rFonts w:hint="eastAsia" w:ascii="华文仿宋" w:hAnsi="华文仿宋" w:eastAsia="华文仿宋" w:cs="华文仿宋"/>
          <w:b w:val="0"/>
          <w:bCs w:val="0"/>
          <w:color w:val="auto"/>
          <w:sz w:val="28"/>
          <w:szCs w:val="28"/>
          <w:highlight w:val="none"/>
        </w:rPr>
        <w:t>(若有)</w:t>
      </w:r>
      <w:r>
        <w:rPr>
          <w:rFonts w:hint="eastAsia" w:ascii="华文仿宋" w:hAnsi="华文仿宋" w:eastAsia="华文仿宋" w:cs="华文仿宋"/>
          <w:b w:val="0"/>
          <w:bCs w:val="0"/>
          <w:color w:val="auto"/>
          <w:sz w:val="28"/>
          <w:szCs w:val="28"/>
          <w:highlight w:val="none"/>
          <w:lang w:val="zh-CN"/>
        </w:rPr>
        <w:t>；</w:t>
      </w:r>
    </w:p>
    <w:p w14:paraId="6522C890">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lang w:val="en-US" w:eastAsia="zh-CN"/>
        </w:rPr>
        <w:t>4</w:t>
      </w:r>
      <w:r>
        <w:rPr>
          <w:rFonts w:hint="eastAsia" w:ascii="华文仿宋" w:hAnsi="华文仿宋" w:eastAsia="华文仿宋" w:cs="华文仿宋"/>
          <w:b w:val="0"/>
          <w:bCs w:val="0"/>
          <w:color w:val="auto"/>
          <w:sz w:val="28"/>
          <w:szCs w:val="28"/>
          <w:highlight w:val="none"/>
          <w:lang w:val="zh-CN"/>
        </w:rPr>
        <w:t>）经</w:t>
      </w:r>
      <w:r>
        <w:rPr>
          <w:rFonts w:hint="eastAsia" w:ascii="华文仿宋" w:hAnsi="华文仿宋" w:eastAsia="华文仿宋" w:cs="华文仿宋"/>
          <w:b w:val="0"/>
          <w:bCs w:val="0"/>
          <w:color w:val="auto"/>
          <w:sz w:val="28"/>
          <w:szCs w:val="28"/>
          <w:highlight w:val="none"/>
          <w:lang w:val="en-US" w:eastAsia="zh-CN"/>
        </w:rPr>
        <w:t>磋商小组</w:t>
      </w:r>
      <w:r>
        <w:rPr>
          <w:rFonts w:hint="eastAsia" w:ascii="华文仿宋" w:hAnsi="华文仿宋" w:eastAsia="华文仿宋" w:cs="华文仿宋"/>
          <w:b w:val="0"/>
          <w:bCs w:val="0"/>
          <w:color w:val="auto"/>
          <w:sz w:val="28"/>
          <w:szCs w:val="28"/>
          <w:highlight w:val="none"/>
          <w:lang w:val="zh-CN"/>
        </w:rPr>
        <w:t>认定供应商以低于成本价报价，恶意竞争的；</w:t>
      </w:r>
    </w:p>
    <w:p w14:paraId="6451BE3C">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lang w:val="en-US" w:eastAsia="zh-CN"/>
        </w:rPr>
        <w:t>5</w:t>
      </w:r>
      <w:r>
        <w:rPr>
          <w:rFonts w:hint="eastAsia" w:ascii="华文仿宋" w:hAnsi="华文仿宋" w:eastAsia="华文仿宋" w:cs="华文仿宋"/>
          <w:b w:val="0"/>
          <w:bCs w:val="0"/>
          <w:color w:val="auto"/>
          <w:sz w:val="28"/>
          <w:szCs w:val="28"/>
          <w:highlight w:val="none"/>
          <w:lang w:val="zh-CN"/>
        </w:rPr>
        <w:t>）响应文件中提出采购人不能接受的条件的；</w:t>
      </w:r>
    </w:p>
    <w:p w14:paraId="73B0FCF3">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lang w:val="en-US" w:eastAsia="zh-CN"/>
        </w:rPr>
        <w:t>6</w:t>
      </w:r>
      <w:r>
        <w:rPr>
          <w:rFonts w:hint="eastAsia" w:ascii="华文仿宋" w:hAnsi="华文仿宋" w:eastAsia="华文仿宋" w:cs="华文仿宋"/>
          <w:b w:val="0"/>
          <w:bCs w:val="0"/>
          <w:color w:val="auto"/>
          <w:sz w:val="28"/>
          <w:szCs w:val="28"/>
          <w:highlight w:val="none"/>
          <w:lang w:val="zh-CN"/>
        </w:rPr>
        <w:t>）响应文件载明的工程项目完成期限超过磋商文件规定的期限的；</w:t>
      </w:r>
    </w:p>
    <w:p w14:paraId="6B35EDD7">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lang w:val="en-US" w:eastAsia="zh-CN"/>
        </w:rPr>
        <w:t>7</w:t>
      </w:r>
      <w:r>
        <w:rPr>
          <w:rFonts w:hint="eastAsia" w:ascii="华文仿宋" w:hAnsi="华文仿宋" w:eastAsia="华文仿宋" w:cs="华文仿宋"/>
          <w:b w:val="0"/>
          <w:bCs w:val="0"/>
          <w:color w:val="auto"/>
          <w:sz w:val="28"/>
          <w:szCs w:val="28"/>
          <w:highlight w:val="none"/>
          <w:lang w:val="zh-CN"/>
        </w:rPr>
        <w:t>）明显不符合技术规格、技术标准的要求；</w:t>
      </w:r>
    </w:p>
    <w:p w14:paraId="3781F11A">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lang w:val="en-US" w:eastAsia="zh-CN"/>
        </w:rPr>
        <w:t>8</w:t>
      </w:r>
      <w:r>
        <w:rPr>
          <w:rFonts w:hint="eastAsia" w:ascii="华文仿宋" w:hAnsi="华文仿宋" w:eastAsia="华文仿宋" w:cs="华文仿宋"/>
          <w:b w:val="0"/>
          <w:bCs w:val="0"/>
          <w:color w:val="auto"/>
          <w:sz w:val="28"/>
          <w:szCs w:val="28"/>
          <w:highlight w:val="none"/>
          <w:lang w:val="zh-CN"/>
        </w:rPr>
        <w:t>）供应商企业名称或项目经理与通过资格审查的不一致的；</w:t>
      </w:r>
    </w:p>
    <w:p w14:paraId="11A3F403">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lang w:val="en-US" w:eastAsia="zh-CN"/>
        </w:rPr>
        <w:t>9</w:t>
      </w:r>
      <w:r>
        <w:rPr>
          <w:rFonts w:hint="eastAsia" w:ascii="华文仿宋" w:hAnsi="华文仿宋" w:eastAsia="华文仿宋" w:cs="华文仿宋"/>
          <w:b w:val="0"/>
          <w:bCs w:val="0"/>
          <w:color w:val="auto"/>
          <w:sz w:val="28"/>
          <w:szCs w:val="28"/>
          <w:highlight w:val="none"/>
          <w:lang w:val="zh-CN"/>
        </w:rPr>
        <w:t>）改变磋商文件提供的工程量清单中计量单位、工程数量的；</w:t>
      </w:r>
    </w:p>
    <w:p w14:paraId="19D64FC7">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lang w:val="en-US" w:eastAsia="zh-CN"/>
        </w:rPr>
        <w:t>10</w:t>
      </w:r>
      <w:r>
        <w:rPr>
          <w:rFonts w:hint="eastAsia" w:ascii="华文仿宋" w:hAnsi="华文仿宋" w:eastAsia="华文仿宋" w:cs="华文仿宋"/>
          <w:b w:val="0"/>
          <w:bCs w:val="0"/>
          <w:color w:val="auto"/>
          <w:sz w:val="28"/>
          <w:szCs w:val="28"/>
          <w:highlight w:val="none"/>
          <w:lang w:val="zh-CN"/>
        </w:rPr>
        <w:t>）响应文件字迹潦草、模糊、难以辨认；</w:t>
      </w:r>
    </w:p>
    <w:p w14:paraId="75F9E905">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rPr>
        <w:t>1</w:t>
      </w:r>
      <w:r>
        <w:rPr>
          <w:rFonts w:hint="eastAsia" w:ascii="华文仿宋" w:hAnsi="华文仿宋" w:eastAsia="华文仿宋" w:cs="华文仿宋"/>
          <w:b w:val="0"/>
          <w:bCs w:val="0"/>
          <w:color w:val="auto"/>
          <w:sz w:val="28"/>
          <w:szCs w:val="28"/>
          <w:highlight w:val="none"/>
          <w:lang w:val="en-US" w:eastAsia="zh-CN"/>
        </w:rPr>
        <w:t>1</w:t>
      </w:r>
      <w:r>
        <w:rPr>
          <w:rFonts w:hint="eastAsia" w:ascii="华文仿宋" w:hAnsi="华文仿宋" w:eastAsia="华文仿宋" w:cs="华文仿宋"/>
          <w:b w:val="0"/>
          <w:bCs w:val="0"/>
          <w:color w:val="auto"/>
          <w:sz w:val="28"/>
          <w:szCs w:val="28"/>
          <w:highlight w:val="none"/>
          <w:lang w:val="zh-CN"/>
        </w:rPr>
        <w:t>）供应商在一份响应文件中，对同一项目报有两个或多个报价，且未书面确定以哪个报价为准；</w:t>
      </w:r>
    </w:p>
    <w:p w14:paraId="3064B99F">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rPr>
        <w:t>1</w:t>
      </w:r>
      <w:r>
        <w:rPr>
          <w:rFonts w:hint="eastAsia" w:ascii="华文仿宋" w:hAnsi="华文仿宋" w:eastAsia="华文仿宋" w:cs="华文仿宋"/>
          <w:b w:val="0"/>
          <w:bCs w:val="0"/>
          <w:color w:val="auto"/>
          <w:sz w:val="28"/>
          <w:szCs w:val="28"/>
          <w:highlight w:val="none"/>
          <w:lang w:val="en-US" w:eastAsia="zh-CN"/>
        </w:rPr>
        <w:t>2</w:t>
      </w:r>
      <w:r>
        <w:rPr>
          <w:rFonts w:hint="eastAsia" w:ascii="华文仿宋" w:hAnsi="华文仿宋" w:eastAsia="华文仿宋" w:cs="华文仿宋"/>
          <w:b w:val="0"/>
          <w:bCs w:val="0"/>
          <w:color w:val="auto"/>
          <w:sz w:val="28"/>
          <w:szCs w:val="28"/>
          <w:highlight w:val="none"/>
          <w:lang w:val="zh-CN"/>
        </w:rPr>
        <w:t>）供应商在响应文件中存在严重错误；</w:t>
      </w:r>
    </w:p>
    <w:p w14:paraId="61FE2626">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rPr>
        <w:t>1</w:t>
      </w:r>
      <w:r>
        <w:rPr>
          <w:rFonts w:hint="eastAsia" w:ascii="华文仿宋" w:hAnsi="华文仿宋" w:eastAsia="华文仿宋" w:cs="华文仿宋"/>
          <w:b w:val="0"/>
          <w:bCs w:val="0"/>
          <w:color w:val="auto"/>
          <w:sz w:val="28"/>
          <w:szCs w:val="28"/>
          <w:highlight w:val="none"/>
          <w:lang w:val="en-US" w:eastAsia="zh-CN"/>
        </w:rPr>
        <w:t>3</w:t>
      </w:r>
      <w:r>
        <w:rPr>
          <w:rFonts w:hint="eastAsia" w:ascii="华文仿宋" w:hAnsi="华文仿宋" w:eastAsia="华文仿宋" w:cs="华文仿宋"/>
          <w:b w:val="0"/>
          <w:bCs w:val="0"/>
          <w:color w:val="auto"/>
          <w:sz w:val="28"/>
          <w:szCs w:val="28"/>
          <w:highlight w:val="none"/>
          <w:lang w:val="zh-CN"/>
        </w:rPr>
        <w:t>）响应文件所述情况和所附相关资料不实的；</w:t>
      </w:r>
    </w:p>
    <w:p w14:paraId="381C053C">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rPr>
        <w:t>1</w:t>
      </w:r>
      <w:r>
        <w:rPr>
          <w:rFonts w:hint="eastAsia" w:ascii="华文仿宋" w:hAnsi="华文仿宋" w:eastAsia="华文仿宋" w:cs="华文仿宋"/>
          <w:b w:val="0"/>
          <w:bCs w:val="0"/>
          <w:color w:val="auto"/>
          <w:sz w:val="28"/>
          <w:szCs w:val="28"/>
          <w:highlight w:val="none"/>
          <w:lang w:val="en-US" w:eastAsia="zh-CN"/>
        </w:rPr>
        <w:t>4</w:t>
      </w: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rPr>
        <w:t>不具备磋商文件中规定资格条件的；</w:t>
      </w:r>
    </w:p>
    <w:p w14:paraId="15EF3164">
      <w:pPr>
        <w:keepNext w:val="0"/>
        <w:keepLines w:val="0"/>
        <w:pageBreakBefore w:val="0"/>
        <w:kinsoku/>
        <w:wordWrap/>
        <w:overflowPunct/>
        <w:topLinePunct w:val="0"/>
        <w:bidi w:val="0"/>
        <w:spacing w:line="560" w:lineRule="exact"/>
        <w:ind w:firstLine="560" w:firstLineChars="200"/>
        <w:rPr>
          <w:rFonts w:hint="eastAsia" w:ascii="华文仿宋" w:hAnsi="华文仿宋" w:eastAsia="华文仿宋" w:cs="华文仿宋"/>
          <w:b w:val="0"/>
          <w:bCs w:val="0"/>
          <w:color w:val="auto"/>
          <w:sz w:val="28"/>
          <w:szCs w:val="28"/>
          <w:highlight w:val="none"/>
        </w:rPr>
      </w:pPr>
      <w:r>
        <w:rPr>
          <w:rFonts w:hint="eastAsia" w:ascii="华文仿宋" w:hAnsi="华文仿宋" w:eastAsia="华文仿宋" w:cs="华文仿宋"/>
          <w:b w:val="0"/>
          <w:bCs w:val="0"/>
          <w:color w:val="auto"/>
          <w:sz w:val="28"/>
          <w:szCs w:val="28"/>
          <w:highlight w:val="none"/>
        </w:rPr>
        <w:t>（1</w:t>
      </w:r>
      <w:r>
        <w:rPr>
          <w:rFonts w:hint="eastAsia" w:ascii="华文仿宋" w:hAnsi="华文仿宋" w:eastAsia="华文仿宋" w:cs="华文仿宋"/>
          <w:b w:val="0"/>
          <w:bCs w:val="0"/>
          <w:color w:val="auto"/>
          <w:sz w:val="28"/>
          <w:szCs w:val="28"/>
          <w:highlight w:val="none"/>
          <w:lang w:val="en-US" w:eastAsia="zh-CN"/>
        </w:rPr>
        <w:t>5</w:t>
      </w:r>
      <w:r>
        <w:rPr>
          <w:rFonts w:hint="eastAsia" w:ascii="华文仿宋" w:hAnsi="华文仿宋" w:eastAsia="华文仿宋" w:cs="华文仿宋"/>
          <w:b w:val="0"/>
          <w:bCs w:val="0"/>
          <w:color w:val="auto"/>
          <w:sz w:val="28"/>
          <w:szCs w:val="28"/>
          <w:highlight w:val="none"/>
        </w:rPr>
        <w:t>）</w:t>
      </w:r>
      <w:r>
        <w:rPr>
          <w:rFonts w:hint="eastAsia" w:ascii="华文仿宋" w:hAnsi="华文仿宋" w:eastAsia="华文仿宋" w:cs="华文仿宋"/>
          <w:b w:val="0"/>
          <w:bCs w:val="0"/>
          <w:color w:val="auto"/>
          <w:sz w:val="28"/>
          <w:szCs w:val="28"/>
          <w:highlight w:val="none"/>
          <w:lang w:val="zh-CN"/>
        </w:rPr>
        <w:t>供应商被</w:t>
      </w:r>
      <w:r>
        <w:rPr>
          <w:rFonts w:hint="eastAsia" w:ascii="华文仿宋" w:hAnsi="华文仿宋" w:eastAsia="华文仿宋" w:cs="华文仿宋"/>
          <w:b w:val="0"/>
          <w:bCs w:val="0"/>
          <w:color w:val="auto"/>
          <w:sz w:val="28"/>
          <w:szCs w:val="28"/>
          <w:highlight w:val="none"/>
        </w:rPr>
        <w:t>“</w:t>
      </w:r>
      <w:r>
        <w:rPr>
          <w:rFonts w:hint="eastAsia" w:ascii="华文仿宋" w:hAnsi="华文仿宋" w:eastAsia="华文仿宋" w:cs="华文仿宋"/>
          <w:b w:val="0"/>
          <w:bCs w:val="0"/>
          <w:color w:val="auto"/>
          <w:sz w:val="28"/>
          <w:szCs w:val="28"/>
          <w:highlight w:val="none"/>
          <w:lang w:val="zh-CN"/>
        </w:rPr>
        <w:t>信用中国</w:t>
      </w:r>
      <w:r>
        <w:rPr>
          <w:rFonts w:hint="eastAsia" w:ascii="华文仿宋" w:hAnsi="华文仿宋" w:eastAsia="华文仿宋" w:cs="华文仿宋"/>
          <w:b w:val="0"/>
          <w:bCs w:val="0"/>
          <w:color w:val="auto"/>
          <w:sz w:val="28"/>
          <w:szCs w:val="28"/>
          <w:highlight w:val="none"/>
        </w:rPr>
        <w:t>”</w:t>
      </w:r>
      <w:r>
        <w:rPr>
          <w:rFonts w:hint="eastAsia" w:ascii="华文仿宋" w:hAnsi="华文仿宋" w:eastAsia="华文仿宋" w:cs="华文仿宋"/>
          <w:b w:val="0"/>
          <w:bCs w:val="0"/>
          <w:color w:val="auto"/>
          <w:sz w:val="28"/>
          <w:szCs w:val="28"/>
          <w:highlight w:val="none"/>
          <w:lang w:val="zh-CN"/>
        </w:rPr>
        <w:t>网站</w:t>
      </w:r>
      <w:r>
        <w:rPr>
          <w:rFonts w:hint="eastAsia" w:ascii="华文仿宋" w:hAnsi="华文仿宋" w:eastAsia="华文仿宋" w:cs="华文仿宋"/>
          <w:b w:val="0"/>
          <w:bCs w:val="0"/>
          <w:color w:val="auto"/>
          <w:sz w:val="28"/>
          <w:szCs w:val="28"/>
          <w:highlight w:val="none"/>
        </w:rPr>
        <w:t>（www.creditchina.gov.cn）</w:t>
      </w: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rPr>
        <w:t>“</w:t>
      </w:r>
      <w:r>
        <w:rPr>
          <w:rFonts w:hint="eastAsia" w:ascii="华文仿宋" w:hAnsi="华文仿宋" w:eastAsia="华文仿宋" w:cs="华文仿宋"/>
          <w:b w:val="0"/>
          <w:bCs w:val="0"/>
          <w:color w:val="auto"/>
          <w:sz w:val="28"/>
          <w:szCs w:val="28"/>
          <w:highlight w:val="none"/>
          <w:lang w:val="zh-CN"/>
        </w:rPr>
        <w:t>中国政府采购网</w:t>
      </w:r>
      <w:r>
        <w:rPr>
          <w:rFonts w:hint="eastAsia" w:ascii="华文仿宋" w:hAnsi="华文仿宋" w:eastAsia="华文仿宋" w:cs="华文仿宋"/>
          <w:b w:val="0"/>
          <w:bCs w:val="0"/>
          <w:color w:val="auto"/>
          <w:sz w:val="28"/>
          <w:szCs w:val="28"/>
          <w:highlight w:val="none"/>
        </w:rPr>
        <w:t>"(www.ccgp.gov.cn)</w:t>
      </w:r>
      <w:r>
        <w:rPr>
          <w:rFonts w:hint="eastAsia" w:ascii="华文仿宋" w:hAnsi="华文仿宋" w:eastAsia="华文仿宋" w:cs="华文仿宋"/>
          <w:b w:val="0"/>
          <w:bCs w:val="0"/>
          <w:color w:val="auto"/>
          <w:sz w:val="28"/>
          <w:szCs w:val="28"/>
          <w:highlight w:val="none"/>
          <w:lang w:val="zh-CN"/>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6DB5A132">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rPr>
      </w:pPr>
      <w:r>
        <w:rPr>
          <w:rFonts w:hint="eastAsia" w:ascii="华文仿宋" w:hAnsi="华文仿宋" w:eastAsia="华文仿宋" w:cs="华文仿宋"/>
          <w:b w:val="0"/>
          <w:bCs w:val="0"/>
          <w:color w:val="auto"/>
          <w:sz w:val="28"/>
          <w:szCs w:val="28"/>
          <w:highlight w:val="none"/>
        </w:rPr>
        <w:t>（1</w:t>
      </w:r>
      <w:r>
        <w:rPr>
          <w:rFonts w:hint="eastAsia" w:ascii="华文仿宋" w:hAnsi="华文仿宋" w:eastAsia="华文仿宋" w:cs="华文仿宋"/>
          <w:b w:val="0"/>
          <w:bCs w:val="0"/>
          <w:color w:val="auto"/>
          <w:sz w:val="28"/>
          <w:szCs w:val="28"/>
          <w:highlight w:val="none"/>
          <w:lang w:val="en-US" w:eastAsia="zh-CN"/>
        </w:rPr>
        <w:t>6</w:t>
      </w:r>
      <w:r>
        <w:rPr>
          <w:rFonts w:hint="eastAsia" w:ascii="华文仿宋" w:hAnsi="华文仿宋" w:eastAsia="华文仿宋" w:cs="华文仿宋"/>
          <w:b w:val="0"/>
          <w:bCs w:val="0"/>
          <w:color w:val="auto"/>
          <w:sz w:val="28"/>
          <w:szCs w:val="28"/>
          <w:highlight w:val="none"/>
        </w:rPr>
        <w:t>）未实质性响应磋商文件要求的；</w:t>
      </w:r>
    </w:p>
    <w:p w14:paraId="21377171">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rPr>
      </w:pPr>
      <w:r>
        <w:rPr>
          <w:rFonts w:hint="eastAsia" w:ascii="华文仿宋" w:hAnsi="华文仿宋" w:eastAsia="华文仿宋" w:cs="华文仿宋"/>
          <w:b w:val="0"/>
          <w:bCs w:val="0"/>
          <w:color w:val="auto"/>
          <w:sz w:val="28"/>
          <w:szCs w:val="28"/>
          <w:highlight w:val="none"/>
          <w:lang w:val="zh-CN"/>
        </w:rPr>
        <w:t>（</w:t>
      </w:r>
      <w:r>
        <w:rPr>
          <w:rFonts w:hint="eastAsia" w:ascii="华文仿宋" w:hAnsi="华文仿宋" w:eastAsia="华文仿宋" w:cs="华文仿宋"/>
          <w:b w:val="0"/>
          <w:bCs w:val="0"/>
          <w:color w:val="auto"/>
          <w:sz w:val="28"/>
          <w:szCs w:val="28"/>
          <w:highlight w:val="none"/>
        </w:rPr>
        <w:t>1</w:t>
      </w:r>
      <w:r>
        <w:rPr>
          <w:rFonts w:hint="eastAsia" w:ascii="华文仿宋" w:hAnsi="华文仿宋" w:eastAsia="华文仿宋" w:cs="华文仿宋"/>
          <w:b w:val="0"/>
          <w:bCs w:val="0"/>
          <w:color w:val="auto"/>
          <w:sz w:val="28"/>
          <w:szCs w:val="28"/>
          <w:highlight w:val="none"/>
          <w:lang w:val="en-US" w:eastAsia="zh-CN"/>
        </w:rPr>
        <w:t>7</w:t>
      </w:r>
      <w:r>
        <w:rPr>
          <w:rFonts w:hint="eastAsia" w:ascii="华文仿宋" w:hAnsi="华文仿宋" w:eastAsia="华文仿宋" w:cs="华文仿宋"/>
          <w:b w:val="0"/>
          <w:bCs w:val="0"/>
          <w:color w:val="auto"/>
          <w:sz w:val="28"/>
          <w:szCs w:val="28"/>
          <w:highlight w:val="none"/>
          <w:lang w:val="zh-CN"/>
        </w:rPr>
        <w:t>）报价低于完成本项目发生的所有含税费用、支付给员工的工资（不得低于供应商所在地最低工资标准）和国家强制缴纳的各种社会保障资金</w:t>
      </w:r>
      <w:r>
        <w:rPr>
          <w:rFonts w:hint="eastAsia" w:ascii="华文仿宋" w:hAnsi="华文仿宋" w:eastAsia="华文仿宋" w:cs="华文仿宋"/>
          <w:b w:val="0"/>
          <w:bCs w:val="0"/>
          <w:color w:val="auto"/>
          <w:sz w:val="28"/>
          <w:szCs w:val="28"/>
          <w:highlight w:val="none"/>
        </w:rPr>
        <w:t>、</w:t>
      </w:r>
      <w:r>
        <w:rPr>
          <w:rFonts w:hint="eastAsia" w:ascii="华文仿宋" w:hAnsi="华文仿宋" w:eastAsia="华文仿宋" w:cs="华文仿宋"/>
          <w:b w:val="0"/>
          <w:bCs w:val="0"/>
          <w:color w:val="auto"/>
          <w:sz w:val="28"/>
          <w:szCs w:val="28"/>
          <w:highlight w:val="none"/>
          <w:lang w:val="en-US" w:eastAsia="zh-CN"/>
        </w:rPr>
        <w:t>住房</w:t>
      </w:r>
      <w:r>
        <w:rPr>
          <w:rFonts w:hint="eastAsia" w:ascii="华文仿宋" w:hAnsi="华文仿宋" w:eastAsia="华文仿宋" w:cs="华文仿宋"/>
          <w:b w:val="0"/>
          <w:bCs w:val="0"/>
          <w:color w:val="auto"/>
          <w:sz w:val="28"/>
          <w:szCs w:val="28"/>
          <w:highlight w:val="none"/>
        </w:rPr>
        <w:t>公积金，以及</w:t>
      </w:r>
      <w:r>
        <w:rPr>
          <w:rFonts w:hint="eastAsia" w:ascii="华文仿宋" w:hAnsi="华文仿宋" w:eastAsia="华文仿宋" w:cs="华文仿宋"/>
          <w:b w:val="0"/>
          <w:bCs w:val="0"/>
          <w:color w:val="auto"/>
          <w:sz w:val="28"/>
          <w:szCs w:val="28"/>
          <w:highlight w:val="none"/>
          <w:lang w:val="en-US" w:eastAsia="zh-CN"/>
        </w:rPr>
        <w:t>磋商小组</w:t>
      </w:r>
      <w:r>
        <w:rPr>
          <w:rFonts w:hint="eastAsia" w:ascii="华文仿宋" w:hAnsi="华文仿宋" w:eastAsia="华文仿宋" w:cs="华文仿宋"/>
          <w:b w:val="0"/>
          <w:bCs w:val="0"/>
          <w:color w:val="auto"/>
          <w:sz w:val="28"/>
          <w:szCs w:val="28"/>
          <w:highlight w:val="none"/>
        </w:rPr>
        <w:t>认为需要的其他费用等；</w:t>
      </w:r>
    </w:p>
    <w:p w14:paraId="25FC1104">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 w:val="0"/>
          <w:bCs w:val="0"/>
          <w:color w:val="auto"/>
          <w:sz w:val="28"/>
          <w:szCs w:val="28"/>
          <w:highlight w:val="none"/>
          <w:lang w:val="zh-CN"/>
        </w:rPr>
      </w:pPr>
      <w:r>
        <w:rPr>
          <w:rFonts w:hint="eastAsia" w:ascii="华文仿宋" w:hAnsi="华文仿宋" w:eastAsia="华文仿宋" w:cs="华文仿宋"/>
          <w:b w:val="0"/>
          <w:bCs w:val="0"/>
          <w:color w:val="auto"/>
          <w:sz w:val="28"/>
          <w:szCs w:val="28"/>
          <w:highlight w:val="none"/>
        </w:rPr>
        <w:t>（1</w:t>
      </w:r>
      <w:r>
        <w:rPr>
          <w:rFonts w:hint="eastAsia" w:ascii="华文仿宋" w:hAnsi="华文仿宋" w:eastAsia="华文仿宋" w:cs="华文仿宋"/>
          <w:b w:val="0"/>
          <w:bCs w:val="0"/>
          <w:color w:val="auto"/>
          <w:sz w:val="28"/>
          <w:szCs w:val="28"/>
          <w:highlight w:val="none"/>
          <w:lang w:val="en-US" w:eastAsia="zh-CN"/>
        </w:rPr>
        <w:t>8</w:t>
      </w:r>
      <w:r>
        <w:rPr>
          <w:rFonts w:hint="eastAsia" w:ascii="华文仿宋" w:hAnsi="华文仿宋" w:eastAsia="华文仿宋" w:cs="华文仿宋"/>
          <w:b w:val="0"/>
          <w:bCs w:val="0"/>
          <w:color w:val="auto"/>
          <w:sz w:val="28"/>
          <w:szCs w:val="28"/>
          <w:highlight w:val="none"/>
        </w:rPr>
        <w:t>）</w:t>
      </w:r>
      <w:r>
        <w:rPr>
          <w:rFonts w:hint="eastAsia" w:ascii="华文仿宋" w:hAnsi="华文仿宋" w:eastAsia="华文仿宋" w:cs="华文仿宋"/>
          <w:b w:val="0"/>
          <w:bCs w:val="0"/>
          <w:color w:val="auto"/>
          <w:sz w:val="28"/>
          <w:szCs w:val="28"/>
          <w:highlight w:val="none"/>
          <w:lang w:val="zh-CN"/>
        </w:rPr>
        <w:t>不符合法律、法规和采购文件规定的其他实质性要求的。</w:t>
      </w:r>
    </w:p>
    <w:p w14:paraId="09D34C46">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bCs/>
          <w:color w:val="auto"/>
          <w:sz w:val="28"/>
          <w:szCs w:val="28"/>
          <w:highlight w:val="none"/>
        </w:rPr>
      </w:pPr>
      <w:bookmarkStart w:id="45" w:name="_Toc508699414"/>
      <w:r>
        <w:rPr>
          <w:rFonts w:hint="eastAsia" w:ascii="华文仿宋" w:hAnsi="华文仿宋" w:eastAsia="华文仿宋" w:cs="华文仿宋"/>
          <w:b/>
          <w:bCs/>
          <w:color w:val="auto"/>
          <w:sz w:val="28"/>
          <w:szCs w:val="28"/>
          <w:highlight w:val="none"/>
          <w:lang w:val="zh-CN"/>
        </w:rPr>
        <w:t>1</w:t>
      </w:r>
      <w:r>
        <w:rPr>
          <w:rFonts w:hint="eastAsia" w:ascii="华文仿宋" w:hAnsi="华文仿宋" w:eastAsia="华文仿宋" w:cs="华文仿宋"/>
          <w:b/>
          <w:bCs/>
          <w:color w:val="auto"/>
          <w:sz w:val="28"/>
          <w:szCs w:val="28"/>
          <w:highlight w:val="none"/>
        </w:rPr>
        <w:t>1</w:t>
      </w:r>
      <w:r>
        <w:rPr>
          <w:rFonts w:hint="eastAsia" w:ascii="华文仿宋" w:hAnsi="华文仿宋" w:eastAsia="华文仿宋" w:cs="华文仿宋"/>
          <w:b/>
          <w:bCs/>
          <w:color w:val="auto"/>
          <w:sz w:val="28"/>
          <w:szCs w:val="28"/>
          <w:highlight w:val="none"/>
          <w:lang w:val="zh-CN"/>
        </w:rPr>
        <w:t>.</w:t>
      </w:r>
      <w:r>
        <w:rPr>
          <w:rFonts w:hint="eastAsia" w:ascii="华文仿宋" w:hAnsi="华文仿宋" w:eastAsia="华文仿宋" w:cs="华文仿宋"/>
          <w:b/>
          <w:bCs/>
          <w:color w:val="auto"/>
          <w:sz w:val="28"/>
          <w:szCs w:val="28"/>
          <w:highlight w:val="none"/>
          <w:lang w:val="en-US" w:eastAsia="zh-CN"/>
        </w:rPr>
        <w:t>7</w:t>
      </w:r>
      <w:r>
        <w:rPr>
          <w:rFonts w:hint="eastAsia" w:ascii="华文仿宋" w:hAnsi="华文仿宋" w:eastAsia="华文仿宋" w:cs="华文仿宋"/>
          <w:color w:val="auto"/>
          <w:sz w:val="28"/>
          <w:szCs w:val="28"/>
          <w:highlight w:val="none"/>
          <w:lang w:val="zh-CN"/>
        </w:rPr>
        <w:t xml:space="preserve"> </w:t>
      </w:r>
      <w:r>
        <w:rPr>
          <w:rFonts w:hint="eastAsia" w:ascii="华文仿宋" w:hAnsi="华文仿宋" w:eastAsia="华文仿宋" w:cs="华文仿宋"/>
          <w:b/>
          <w:bCs/>
          <w:color w:val="auto"/>
          <w:sz w:val="28"/>
          <w:szCs w:val="28"/>
          <w:highlight w:val="none"/>
        </w:rPr>
        <w:t>出现下列情形之一的，磋商终止：</w:t>
      </w:r>
      <w:bookmarkEnd w:id="45"/>
    </w:p>
    <w:p w14:paraId="6E77FA7E">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Cs/>
          <w:color w:val="auto"/>
          <w:sz w:val="28"/>
          <w:szCs w:val="28"/>
          <w:highlight w:val="none"/>
          <w:lang w:val="zh-CN"/>
        </w:rPr>
      </w:pPr>
      <w:bookmarkStart w:id="46" w:name="_Toc508699415"/>
      <w:r>
        <w:rPr>
          <w:rFonts w:hint="eastAsia" w:ascii="华文仿宋" w:hAnsi="华文仿宋" w:eastAsia="华文仿宋" w:cs="华文仿宋"/>
          <w:bCs/>
          <w:color w:val="auto"/>
          <w:sz w:val="28"/>
          <w:szCs w:val="28"/>
          <w:highlight w:val="none"/>
          <w:lang w:val="zh-CN"/>
        </w:rPr>
        <w:t>（1）因情况变化，不再符合规定的竞争性磋商采购方式适用情形的；</w:t>
      </w:r>
      <w:bookmarkEnd w:id="46"/>
    </w:p>
    <w:p w14:paraId="61A8E8CF">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Cs/>
          <w:color w:val="auto"/>
          <w:sz w:val="28"/>
          <w:szCs w:val="28"/>
          <w:highlight w:val="none"/>
          <w:lang w:val="zh-CN"/>
        </w:rPr>
      </w:pPr>
      <w:bookmarkStart w:id="47" w:name="_Toc508699416"/>
      <w:r>
        <w:rPr>
          <w:rFonts w:hint="eastAsia" w:ascii="华文仿宋" w:hAnsi="华文仿宋" w:eastAsia="华文仿宋" w:cs="华文仿宋"/>
          <w:bCs/>
          <w:color w:val="auto"/>
          <w:sz w:val="28"/>
          <w:szCs w:val="28"/>
          <w:highlight w:val="none"/>
          <w:lang w:val="zh-CN"/>
        </w:rPr>
        <w:t>（2）所有供应商的响应文件被磋商小组认定为无效的；</w:t>
      </w:r>
      <w:bookmarkEnd w:id="47"/>
    </w:p>
    <w:p w14:paraId="014DA9CA">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Cs/>
          <w:color w:val="auto"/>
          <w:sz w:val="28"/>
          <w:szCs w:val="28"/>
          <w:highlight w:val="none"/>
          <w:lang w:val="zh-CN"/>
        </w:rPr>
      </w:pPr>
      <w:bookmarkStart w:id="48" w:name="_Toc508699417"/>
      <w:r>
        <w:rPr>
          <w:rFonts w:hint="eastAsia" w:ascii="华文仿宋" w:hAnsi="华文仿宋" w:eastAsia="华文仿宋" w:cs="华文仿宋"/>
          <w:bCs/>
          <w:color w:val="auto"/>
          <w:sz w:val="28"/>
          <w:szCs w:val="28"/>
          <w:highlight w:val="none"/>
          <w:lang w:val="zh-CN"/>
        </w:rPr>
        <w:t>（3）出现影响采购公正的违法、违规行为的；</w:t>
      </w:r>
      <w:bookmarkEnd w:id="48"/>
    </w:p>
    <w:p w14:paraId="1CB08C6B">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Cs/>
          <w:color w:val="auto"/>
          <w:sz w:val="28"/>
          <w:szCs w:val="28"/>
          <w:highlight w:val="none"/>
          <w:lang w:val="zh-CN"/>
        </w:rPr>
      </w:pPr>
      <w:bookmarkStart w:id="49" w:name="_Toc508699418"/>
      <w:r>
        <w:rPr>
          <w:rFonts w:hint="eastAsia" w:ascii="华文仿宋" w:hAnsi="华文仿宋" w:eastAsia="华文仿宋" w:cs="华文仿宋"/>
          <w:bCs/>
          <w:color w:val="auto"/>
          <w:sz w:val="28"/>
          <w:szCs w:val="28"/>
          <w:highlight w:val="none"/>
          <w:lang w:val="zh-CN"/>
        </w:rPr>
        <w:t>（4）供应商的最终报价超过采购预算的；</w:t>
      </w:r>
      <w:bookmarkEnd w:id="49"/>
    </w:p>
    <w:p w14:paraId="2AB80B51">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Cs/>
          <w:color w:val="auto"/>
          <w:sz w:val="28"/>
          <w:szCs w:val="28"/>
          <w:highlight w:val="none"/>
          <w:lang w:val="zh-CN"/>
        </w:rPr>
      </w:pPr>
      <w:r>
        <w:rPr>
          <w:rFonts w:hint="eastAsia" w:ascii="华文仿宋" w:hAnsi="华文仿宋" w:eastAsia="华文仿宋" w:cs="华文仿宋"/>
          <w:bCs/>
          <w:color w:val="auto"/>
          <w:sz w:val="28"/>
          <w:szCs w:val="28"/>
          <w:highlight w:val="none"/>
          <w:lang w:val="zh-CN"/>
        </w:rPr>
        <w:t>（5）因重大变故，采购任务取消的；</w:t>
      </w:r>
    </w:p>
    <w:p w14:paraId="7607BA7A">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（6）采购人需求发生重大变化暂时不能确定或供应商提供的货物和服务不能满足需求等。</w:t>
      </w:r>
    </w:p>
    <w:p w14:paraId="5EBC0574">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color w:val="auto"/>
          <w:sz w:val="28"/>
          <w:szCs w:val="28"/>
          <w:highlight w:val="none"/>
          <w:lang w:val="zh-CN"/>
        </w:rPr>
      </w:pPr>
      <w:r>
        <w:rPr>
          <w:rFonts w:hint="eastAsia" w:ascii="华文仿宋" w:hAnsi="华文仿宋" w:eastAsia="华文仿宋" w:cs="华文仿宋"/>
          <w:b/>
          <w:color w:val="auto"/>
          <w:sz w:val="28"/>
          <w:szCs w:val="28"/>
          <w:highlight w:val="none"/>
          <w:lang w:val="zh-CN"/>
        </w:rPr>
        <w:t>1</w:t>
      </w:r>
      <w:r>
        <w:rPr>
          <w:rFonts w:hint="eastAsia" w:ascii="华文仿宋" w:hAnsi="华文仿宋" w:eastAsia="华文仿宋" w:cs="华文仿宋"/>
          <w:b/>
          <w:color w:val="auto"/>
          <w:sz w:val="28"/>
          <w:szCs w:val="28"/>
          <w:highlight w:val="none"/>
        </w:rPr>
        <w:t>2</w:t>
      </w:r>
      <w:r>
        <w:rPr>
          <w:rFonts w:hint="eastAsia" w:ascii="华文仿宋" w:hAnsi="华文仿宋" w:eastAsia="华文仿宋" w:cs="华文仿宋"/>
          <w:b/>
          <w:color w:val="auto"/>
          <w:sz w:val="28"/>
          <w:szCs w:val="28"/>
          <w:highlight w:val="none"/>
          <w:lang w:val="zh-CN"/>
        </w:rPr>
        <w:t>、评定成交标准</w:t>
      </w:r>
    </w:p>
    <w:p w14:paraId="0D15EC5D">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2</w:t>
      </w:r>
      <w:r>
        <w:rPr>
          <w:rFonts w:hint="eastAsia" w:ascii="华文仿宋" w:hAnsi="华文仿宋" w:eastAsia="华文仿宋" w:cs="华文仿宋"/>
          <w:color w:val="auto"/>
          <w:sz w:val="28"/>
          <w:szCs w:val="28"/>
          <w:highlight w:val="none"/>
          <w:lang w:val="zh-CN"/>
        </w:rPr>
        <w:t>.1 成交标准，</w:t>
      </w:r>
      <w:r>
        <w:rPr>
          <w:rFonts w:hint="eastAsia" w:ascii="华文仿宋" w:hAnsi="华文仿宋" w:eastAsia="华文仿宋" w:cs="华文仿宋"/>
          <w:color w:val="auto"/>
          <w:sz w:val="28"/>
          <w:szCs w:val="28"/>
          <w:highlight w:val="none"/>
        </w:rPr>
        <w:t>质量和服务均能满足采购文件实质性要求，且综合得分最高的。</w:t>
      </w:r>
    </w:p>
    <w:p w14:paraId="1A06B82A">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2</w:t>
      </w:r>
      <w:r>
        <w:rPr>
          <w:rFonts w:hint="eastAsia" w:ascii="华文仿宋" w:hAnsi="华文仿宋" w:eastAsia="华文仿宋" w:cs="华文仿宋"/>
          <w:color w:val="auto"/>
          <w:sz w:val="28"/>
          <w:szCs w:val="28"/>
          <w:highlight w:val="none"/>
          <w:lang w:val="zh-CN"/>
        </w:rPr>
        <w:t>.2 评定方法，详见第三章。</w:t>
      </w:r>
    </w:p>
    <w:p w14:paraId="64711AC0">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bCs/>
          <w:color w:val="auto"/>
          <w:sz w:val="28"/>
          <w:szCs w:val="28"/>
          <w:highlight w:val="none"/>
          <w:lang w:val="zh-CN"/>
        </w:rPr>
        <w:t>1</w:t>
      </w:r>
      <w:r>
        <w:rPr>
          <w:rFonts w:hint="eastAsia" w:ascii="华文仿宋" w:hAnsi="华文仿宋" w:eastAsia="华文仿宋" w:cs="华文仿宋"/>
          <w:b/>
          <w:bCs/>
          <w:color w:val="auto"/>
          <w:sz w:val="28"/>
          <w:szCs w:val="28"/>
          <w:highlight w:val="none"/>
        </w:rPr>
        <w:t>3</w:t>
      </w:r>
      <w:r>
        <w:rPr>
          <w:rFonts w:hint="eastAsia" w:ascii="华文仿宋" w:hAnsi="华文仿宋" w:eastAsia="华文仿宋" w:cs="华文仿宋"/>
          <w:b/>
          <w:bCs/>
          <w:color w:val="auto"/>
          <w:sz w:val="28"/>
          <w:szCs w:val="28"/>
          <w:highlight w:val="none"/>
          <w:lang w:val="zh-CN"/>
        </w:rPr>
        <w:t>、确定成交供应商</w:t>
      </w:r>
    </w:p>
    <w:p w14:paraId="72CB0AFD">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3</w:t>
      </w:r>
      <w:r>
        <w:rPr>
          <w:rFonts w:hint="eastAsia" w:ascii="华文仿宋" w:hAnsi="华文仿宋" w:eastAsia="华文仿宋" w:cs="华文仿宋"/>
          <w:color w:val="auto"/>
          <w:sz w:val="28"/>
          <w:szCs w:val="28"/>
          <w:highlight w:val="none"/>
          <w:lang w:val="zh-CN"/>
        </w:rPr>
        <w:t>.1 磋商小组对</w:t>
      </w:r>
      <w:r>
        <w:rPr>
          <w:rFonts w:hint="eastAsia" w:ascii="华文仿宋" w:hAnsi="华文仿宋" w:eastAsia="华文仿宋" w:cs="华文仿宋"/>
          <w:color w:val="auto"/>
          <w:sz w:val="28"/>
          <w:szCs w:val="28"/>
          <w:highlight w:val="none"/>
        </w:rPr>
        <w:t>质量和货物和服务均能满足采购文件实质性要求的供应商，按评定后的得分由高到低的顺序进行排列。报价相同的，按技术指标和服务标准优劣顺序排列，并</w:t>
      </w:r>
      <w:r>
        <w:rPr>
          <w:rFonts w:hint="eastAsia" w:ascii="华文仿宋" w:hAnsi="华文仿宋" w:eastAsia="华文仿宋" w:cs="华文仿宋"/>
          <w:b/>
          <w:color w:val="auto"/>
          <w:sz w:val="28"/>
          <w:szCs w:val="28"/>
          <w:highlight w:val="none"/>
          <w:lang w:eastAsia="zh-CN"/>
        </w:rPr>
        <w:t>推荐</w:t>
      </w:r>
      <w:r>
        <w:rPr>
          <w:rFonts w:hint="eastAsia" w:ascii="华文仿宋" w:hAnsi="华文仿宋" w:eastAsia="华文仿宋" w:cs="华文仿宋"/>
          <w:b/>
          <w:color w:val="auto"/>
          <w:sz w:val="28"/>
          <w:szCs w:val="28"/>
          <w:highlight w:val="none"/>
        </w:rPr>
        <w:t>综合得分最高的供应商为成交供应商。</w:t>
      </w:r>
    </w:p>
    <w:p w14:paraId="58B905D7">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3</w:t>
      </w:r>
      <w:r>
        <w:rPr>
          <w:rFonts w:hint="eastAsia" w:ascii="华文仿宋" w:hAnsi="华文仿宋" w:eastAsia="华文仿宋" w:cs="华文仿宋"/>
          <w:color w:val="auto"/>
          <w:sz w:val="28"/>
          <w:szCs w:val="28"/>
          <w:highlight w:val="none"/>
          <w:lang w:val="zh-CN"/>
        </w:rPr>
        <w:t>.2 成交供应商待采购人确定后，将在发布采购公告的媒体上发布成交公告，成交供应商及时到</w:t>
      </w:r>
      <w:r>
        <w:rPr>
          <w:rFonts w:hint="eastAsia" w:ascii="华文仿宋" w:hAnsi="华文仿宋" w:eastAsia="华文仿宋" w:cs="华文仿宋"/>
          <w:color w:val="auto"/>
          <w:sz w:val="28"/>
          <w:szCs w:val="28"/>
          <w:highlight w:val="none"/>
          <w:lang w:val="en-US" w:eastAsia="zh-CN"/>
        </w:rPr>
        <w:t>代理人处</w:t>
      </w:r>
      <w:r>
        <w:rPr>
          <w:rFonts w:hint="eastAsia" w:ascii="华文仿宋" w:hAnsi="华文仿宋" w:eastAsia="华文仿宋" w:cs="华文仿宋"/>
          <w:color w:val="auto"/>
          <w:sz w:val="28"/>
          <w:szCs w:val="28"/>
          <w:highlight w:val="none"/>
          <w:lang w:val="zh-CN"/>
        </w:rPr>
        <w:t>领取《成交通知书》。</w:t>
      </w:r>
    </w:p>
    <w:p w14:paraId="2632052C">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3</w:t>
      </w:r>
      <w:r>
        <w:rPr>
          <w:rFonts w:hint="eastAsia" w:ascii="华文仿宋" w:hAnsi="华文仿宋" w:eastAsia="华文仿宋" w:cs="华文仿宋"/>
          <w:color w:val="auto"/>
          <w:sz w:val="28"/>
          <w:szCs w:val="28"/>
          <w:highlight w:val="none"/>
          <w:lang w:val="zh-CN"/>
        </w:rPr>
        <w:t>.3 成交通知书对采购人和成交供应商具有同等法律效力。</w:t>
      </w:r>
    </w:p>
    <w:p w14:paraId="42A23D75">
      <w:pPr>
        <w:keepNext w:val="0"/>
        <w:keepLines w:val="0"/>
        <w:pageBreakBefore w:val="0"/>
        <w:tabs>
          <w:tab w:val="left" w:pos="1260"/>
        </w:tabs>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13.4 代理人对未成交的供应商不作未成交原因的解释。</w:t>
      </w:r>
    </w:p>
    <w:p w14:paraId="182EC059">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color w:val="auto"/>
          <w:sz w:val="28"/>
          <w:szCs w:val="28"/>
          <w:highlight w:val="none"/>
        </w:rPr>
        <w:t>13.5 所有响应文件都将作为档案保存，不论成交与否，代理人均不退回。</w:t>
      </w:r>
    </w:p>
    <w:p w14:paraId="42FEC1FD">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b/>
          <w:color w:val="auto"/>
          <w:sz w:val="28"/>
          <w:szCs w:val="28"/>
          <w:highlight w:val="none"/>
          <w:lang w:val="zh-CN"/>
        </w:rPr>
        <w:t>1</w:t>
      </w:r>
      <w:r>
        <w:rPr>
          <w:rFonts w:hint="eastAsia" w:ascii="华文仿宋" w:hAnsi="华文仿宋" w:eastAsia="华文仿宋" w:cs="华文仿宋"/>
          <w:b/>
          <w:color w:val="auto"/>
          <w:sz w:val="28"/>
          <w:szCs w:val="28"/>
          <w:highlight w:val="none"/>
        </w:rPr>
        <w:t>4</w:t>
      </w:r>
      <w:r>
        <w:rPr>
          <w:rFonts w:hint="eastAsia" w:ascii="华文仿宋" w:hAnsi="华文仿宋" w:eastAsia="华文仿宋" w:cs="华文仿宋"/>
          <w:b/>
          <w:bCs/>
          <w:color w:val="auto"/>
          <w:sz w:val="28"/>
          <w:szCs w:val="28"/>
          <w:highlight w:val="none"/>
          <w:lang w:val="zh-CN"/>
        </w:rPr>
        <w:t>、</w:t>
      </w:r>
      <w:r>
        <w:rPr>
          <w:rFonts w:hint="eastAsia" w:ascii="华文仿宋" w:hAnsi="华文仿宋" w:eastAsia="华文仿宋" w:cs="华文仿宋"/>
          <w:b/>
          <w:color w:val="auto"/>
          <w:sz w:val="28"/>
          <w:szCs w:val="28"/>
          <w:highlight w:val="none"/>
        </w:rPr>
        <w:t>编写评审报告</w:t>
      </w:r>
    </w:p>
    <w:p w14:paraId="4F5681DC">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14.1 磋商小组根据磋商过程和结果编写评审报告。</w:t>
      </w:r>
    </w:p>
    <w:p w14:paraId="6B609DFB">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color w:val="auto"/>
          <w:sz w:val="28"/>
          <w:szCs w:val="28"/>
          <w:highlight w:val="none"/>
          <w:lang w:val="zh-CN"/>
        </w:rPr>
        <w:t>1</w:t>
      </w:r>
      <w:r>
        <w:rPr>
          <w:rFonts w:hint="eastAsia" w:ascii="华文仿宋" w:hAnsi="华文仿宋" w:eastAsia="华文仿宋" w:cs="华文仿宋"/>
          <w:b/>
          <w:color w:val="auto"/>
          <w:sz w:val="28"/>
          <w:szCs w:val="28"/>
          <w:highlight w:val="none"/>
        </w:rPr>
        <w:t>5</w:t>
      </w:r>
      <w:r>
        <w:rPr>
          <w:rFonts w:hint="eastAsia" w:ascii="华文仿宋" w:hAnsi="华文仿宋" w:eastAsia="华文仿宋" w:cs="华文仿宋"/>
          <w:b/>
          <w:color w:val="auto"/>
          <w:sz w:val="28"/>
          <w:szCs w:val="28"/>
          <w:highlight w:val="none"/>
          <w:lang w:val="zh-CN"/>
        </w:rPr>
        <w:t>、</w:t>
      </w:r>
      <w:r>
        <w:rPr>
          <w:rFonts w:hint="eastAsia" w:ascii="华文仿宋" w:hAnsi="华文仿宋" w:eastAsia="华文仿宋" w:cs="华文仿宋"/>
          <w:b/>
          <w:bCs/>
          <w:color w:val="auto"/>
          <w:sz w:val="28"/>
          <w:szCs w:val="28"/>
          <w:highlight w:val="none"/>
          <w:lang w:val="zh-CN"/>
        </w:rPr>
        <w:t>签订合同</w:t>
      </w:r>
    </w:p>
    <w:p w14:paraId="4DDF81D9">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rPr>
        <w:t>15</w:t>
      </w:r>
      <w:r>
        <w:rPr>
          <w:rFonts w:hint="eastAsia" w:ascii="华文仿宋" w:hAnsi="华文仿宋" w:eastAsia="华文仿宋" w:cs="华文仿宋"/>
          <w:color w:val="auto"/>
          <w:sz w:val="28"/>
          <w:szCs w:val="28"/>
          <w:highlight w:val="none"/>
          <w:lang w:val="zh-CN"/>
        </w:rPr>
        <w:t>.</w:t>
      </w:r>
      <w:r>
        <w:rPr>
          <w:rFonts w:hint="eastAsia" w:ascii="华文仿宋" w:hAnsi="华文仿宋" w:eastAsia="华文仿宋" w:cs="华文仿宋"/>
          <w:color w:val="auto"/>
          <w:sz w:val="28"/>
          <w:szCs w:val="28"/>
          <w:highlight w:val="none"/>
        </w:rPr>
        <w:t>1 成交供应商应当</w:t>
      </w:r>
      <w:r>
        <w:rPr>
          <w:rFonts w:hint="eastAsia" w:ascii="华文仿宋" w:hAnsi="华文仿宋" w:eastAsia="华文仿宋" w:cs="华文仿宋"/>
          <w:color w:val="auto"/>
          <w:sz w:val="28"/>
          <w:szCs w:val="28"/>
          <w:highlight w:val="none"/>
          <w:lang w:val="zh-CN"/>
        </w:rPr>
        <w:t>自成交通知书发出之日起三十日内，</w:t>
      </w:r>
      <w:r>
        <w:rPr>
          <w:rFonts w:hint="eastAsia" w:ascii="华文仿宋" w:hAnsi="华文仿宋" w:eastAsia="华文仿宋" w:cs="华文仿宋"/>
          <w:color w:val="auto"/>
          <w:sz w:val="28"/>
          <w:szCs w:val="28"/>
          <w:highlight w:val="none"/>
        </w:rPr>
        <w:t>与采购人签订采购合同，所签订的合同不得对采购文件和响应文件作实质性修改。</w:t>
      </w:r>
    </w:p>
    <w:p w14:paraId="75BC1483">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15</w:t>
      </w:r>
      <w:r>
        <w:rPr>
          <w:rFonts w:hint="eastAsia" w:ascii="华文仿宋" w:hAnsi="华文仿宋" w:eastAsia="华文仿宋" w:cs="华文仿宋"/>
          <w:color w:val="auto"/>
          <w:sz w:val="28"/>
          <w:szCs w:val="28"/>
          <w:highlight w:val="none"/>
          <w:lang w:val="zh-CN"/>
        </w:rPr>
        <w:t xml:space="preserve">.2 </w:t>
      </w:r>
      <w:r>
        <w:rPr>
          <w:rFonts w:hint="eastAsia" w:ascii="华文仿宋" w:hAnsi="华文仿宋" w:eastAsia="华文仿宋" w:cs="华文仿宋"/>
          <w:color w:val="auto"/>
          <w:sz w:val="28"/>
          <w:szCs w:val="28"/>
          <w:highlight w:val="none"/>
        </w:rPr>
        <w:t>采购人不得向成交供应商提出任何不合理的要求作为签订合同的条件，不得与成交供应商私下订立背离合同实质性内容的协议。</w:t>
      </w:r>
    </w:p>
    <w:p w14:paraId="4E6C3306">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5</w:t>
      </w:r>
      <w:r>
        <w:rPr>
          <w:rFonts w:hint="eastAsia" w:ascii="华文仿宋" w:hAnsi="华文仿宋" w:eastAsia="华文仿宋" w:cs="华文仿宋"/>
          <w:color w:val="auto"/>
          <w:sz w:val="28"/>
          <w:szCs w:val="28"/>
          <w:highlight w:val="none"/>
          <w:lang w:val="zh-CN"/>
        </w:rPr>
        <w:t>.3</w:t>
      </w:r>
      <w:r>
        <w:rPr>
          <w:rFonts w:hint="eastAsia" w:ascii="华文仿宋" w:hAnsi="华文仿宋" w:eastAsia="华文仿宋" w:cs="华文仿宋"/>
          <w:color w:val="auto"/>
          <w:sz w:val="28"/>
          <w:szCs w:val="28"/>
          <w:highlight w:val="none"/>
        </w:rPr>
        <w:t xml:space="preserve"> 除不可抗力等因素外，</w:t>
      </w:r>
      <w:r>
        <w:rPr>
          <w:rFonts w:hint="eastAsia" w:ascii="华文仿宋" w:hAnsi="华文仿宋" w:eastAsia="华文仿宋" w:cs="华文仿宋"/>
          <w:color w:val="auto"/>
          <w:sz w:val="28"/>
          <w:szCs w:val="28"/>
          <w:highlight w:val="none"/>
          <w:lang w:val="zh-CN"/>
        </w:rPr>
        <w:t>成交通知书发出后，采购人改变成交结果，或者成交供应商拒绝签订政府采购合同的，应当承担相应的法律责任。</w:t>
      </w:r>
    </w:p>
    <w:p w14:paraId="3552CA47">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5</w:t>
      </w:r>
      <w:r>
        <w:rPr>
          <w:rFonts w:hint="eastAsia" w:ascii="华文仿宋" w:hAnsi="华文仿宋" w:eastAsia="华文仿宋" w:cs="华文仿宋"/>
          <w:color w:val="auto"/>
          <w:sz w:val="28"/>
          <w:szCs w:val="28"/>
          <w:highlight w:val="none"/>
          <w:lang w:val="zh-CN"/>
        </w:rPr>
        <w:t>.4 成交供应商除发生法律规定的不能预见、不能避免并不能克服的客观情况外不得放弃或拒绝签订合同。放弃或拒绝签订合同的，采购人视情将其列入不良行为名单，在一至三年内不得参加采购人组织的采购活动。</w:t>
      </w:r>
    </w:p>
    <w:p w14:paraId="7F2001F9">
      <w:pPr>
        <w:keepNext w:val="0"/>
        <w:keepLines w:val="0"/>
        <w:pageBreakBefore w:val="0"/>
        <w:kinsoku/>
        <w:wordWrap/>
        <w:overflowPunct/>
        <w:topLinePunct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5</w:t>
      </w:r>
      <w:r>
        <w:rPr>
          <w:rFonts w:hint="eastAsia" w:ascii="华文仿宋" w:hAnsi="华文仿宋" w:eastAsia="华文仿宋" w:cs="华文仿宋"/>
          <w:color w:val="auto"/>
          <w:sz w:val="28"/>
          <w:szCs w:val="28"/>
          <w:highlight w:val="none"/>
          <w:lang w:val="zh-CN"/>
        </w:rPr>
        <w:t>.5成交供应商拒绝签订采购合同的，</w:t>
      </w:r>
      <w:r>
        <w:rPr>
          <w:rFonts w:hint="eastAsia" w:ascii="华文仿宋" w:hAnsi="华文仿宋" w:eastAsia="华文仿宋" w:cs="华文仿宋"/>
          <w:color w:val="auto"/>
          <w:sz w:val="28"/>
          <w:szCs w:val="28"/>
          <w:highlight w:val="none"/>
        </w:rPr>
        <w:t>或因不可抗力或者自身原因不能履行采购合同的，</w:t>
      </w:r>
      <w:r>
        <w:rPr>
          <w:rFonts w:hint="eastAsia" w:ascii="华文仿宋" w:hAnsi="华文仿宋" w:eastAsia="华文仿宋" w:cs="华文仿宋"/>
          <w:color w:val="auto"/>
          <w:sz w:val="28"/>
          <w:szCs w:val="28"/>
          <w:highlight w:val="none"/>
          <w:lang w:val="zh-CN"/>
        </w:rPr>
        <w:t>采购人可以视情与排位在成交供应商之后第一位的成交候选供应商签订采购合同，也可以重新开展采购活动。</w:t>
      </w:r>
    </w:p>
    <w:p w14:paraId="1FC0D2DF">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5</w:t>
      </w:r>
      <w:r>
        <w:rPr>
          <w:rFonts w:hint="eastAsia" w:ascii="华文仿宋" w:hAnsi="华文仿宋" w:eastAsia="华文仿宋" w:cs="华文仿宋"/>
          <w:color w:val="auto"/>
          <w:sz w:val="28"/>
          <w:szCs w:val="28"/>
          <w:highlight w:val="none"/>
          <w:lang w:val="zh-CN"/>
        </w:rPr>
        <w:t>.6 采购合同履行中，采购人需追加与合同标的相同的服务的，在不改变合同其他条款的前提下，可以与供应商协商签订补充合同，但所有补充合同的采购金额不得超过原合同采购金额的百分之十。</w:t>
      </w:r>
    </w:p>
    <w:p w14:paraId="7B5AC639">
      <w:pPr>
        <w:keepNext w:val="0"/>
        <w:keepLines w:val="0"/>
        <w:pageBreakBefore w:val="0"/>
        <w:kinsoku/>
        <w:wordWrap/>
        <w:overflowPunct/>
        <w:topLinePunct w:val="0"/>
        <w:autoSpaceDE w:val="0"/>
        <w:autoSpaceDN w:val="0"/>
        <w:bidi w:val="0"/>
        <w:adjustRightInd w:val="0"/>
        <w:snapToGrid w:val="0"/>
        <w:spacing w:line="560" w:lineRule="exact"/>
        <w:ind w:firstLine="560" w:firstLineChars="200"/>
        <w:rPr>
          <w:rFonts w:hint="eastAsia" w:ascii="方正黑体_GBK" w:hAnsi="方正黑体_GBK" w:eastAsia="方正黑体_GBK" w:cs="方正黑体_GBK"/>
          <w:b w:val="0"/>
          <w:bCs w:val="0"/>
          <w:color w:val="auto"/>
          <w:sz w:val="28"/>
          <w:szCs w:val="28"/>
          <w:highlight w:val="none"/>
          <w:lang w:val="zh-CN"/>
        </w:rPr>
      </w:pPr>
      <w:bookmarkStart w:id="50" w:name="_Toc508699419"/>
      <w:r>
        <w:rPr>
          <w:rFonts w:hint="eastAsia" w:ascii="方正黑体_GBK" w:hAnsi="方正黑体_GBK" w:eastAsia="方正黑体_GBK" w:cs="方正黑体_GBK"/>
          <w:b w:val="0"/>
          <w:bCs w:val="0"/>
          <w:color w:val="auto"/>
          <w:sz w:val="28"/>
          <w:szCs w:val="28"/>
          <w:highlight w:val="none"/>
          <w:lang w:val="zh-CN"/>
        </w:rPr>
        <w:t>五、询问、质疑、投诉和诚实信用</w:t>
      </w:r>
      <w:bookmarkEnd w:id="50"/>
    </w:p>
    <w:p w14:paraId="4369130A">
      <w:pPr>
        <w:keepNext w:val="0"/>
        <w:keepLines w:val="0"/>
        <w:pageBreakBefore w:val="0"/>
        <w:kinsoku/>
        <w:wordWrap/>
        <w:overflowPunct/>
        <w:topLinePunct w:val="0"/>
        <w:autoSpaceDE w:val="0"/>
        <w:autoSpaceDN w:val="0"/>
        <w:bidi w:val="0"/>
        <w:adjustRightInd w:val="0"/>
        <w:snapToGrid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bCs/>
          <w:color w:val="auto"/>
          <w:sz w:val="28"/>
          <w:szCs w:val="28"/>
          <w:highlight w:val="none"/>
          <w:lang w:val="zh-CN"/>
        </w:rPr>
        <w:t>1</w:t>
      </w:r>
      <w:r>
        <w:rPr>
          <w:rFonts w:hint="eastAsia" w:ascii="华文仿宋" w:hAnsi="华文仿宋" w:eastAsia="华文仿宋" w:cs="华文仿宋"/>
          <w:b/>
          <w:bCs/>
          <w:color w:val="auto"/>
          <w:sz w:val="28"/>
          <w:szCs w:val="28"/>
          <w:highlight w:val="none"/>
        </w:rPr>
        <w:t>6</w:t>
      </w:r>
      <w:r>
        <w:rPr>
          <w:rFonts w:hint="eastAsia" w:ascii="华文仿宋" w:hAnsi="华文仿宋" w:eastAsia="华文仿宋" w:cs="华文仿宋"/>
          <w:b/>
          <w:bCs/>
          <w:color w:val="auto"/>
          <w:sz w:val="28"/>
          <w:szCs w:val="28"/>
          <w:highlight w:val="none"/>
          <w:lang w:val="zh-CN"/>
        </w:rPr>
        <w:t>、询问</w:t>
      </w:r>
    </w:p>
    <w:p w14:paraId="1E39BA3B">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b/>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6</w:t>
      </w:r>
      <w:r>
        <w:rPr>
          <w:rFonts w:hint="eastAsia" w:ascii="华文仿宋" w:hAnsi="华文仿宋" w:eastAsia="华文仿宋" w:cs="华文仿宋"/>
          <w:color w:val="auto"/>
          <w:sz w:val="28"/>
          <w:szCs w:val="28"/>
          <w:highlight w:val="none"/>
          <w:lang w:val="zh-CN"/>
        </w:rPr>
        <w:t>.1 供应商对采购活动事项有疑问的，可以向代理人提出询问，代理人将在两个工作日内作出答复，但答复的内容不涉及商业秘密</w:t>
      </w:r>
      <w:r>
        <w:rPr>
          <w:rFonts w:hint="eastAsia" w:ascii="华文仿宋" w:hAnsi="华文仿宋" w:eastAsia="华文仿宋" w:cs="华文仿宋"/>
          <w:b/>
          <w:color w:val="auto"/>
          <w:sz w:val="28"/>
          <w:szCs w:val="28"/>
          <w:highlight w:val="none"/>
          <w:lang w:val="zh-CN"/>
        </w:rPr>
        <w:t>。</w:t>
      </w:r>
    </w:p>
    <w:p w14:paraId="1A4BB606">
      <w:pPr>
        <w:keepNext w:val="0"/>
        <w:keepLines w:val="0"/>
        <w:pageBreakBefore w:val="0"/>
        <w:kinsoku/>
        <w:wordWrap/>
        <w:overflowPunct/>
        <w:topLinePunct w:val="0"/>
        <w:autoSpaceDE w:val="0"/>
        <w:autoSpaceDN w:val="0"/>
        <w:bidi w:val="0"/>
        <w:adjustRightInd w:val="0"/>
        <w:spacing w:line="560" w:lineRule="exact"/>
        <w:ind w:firstLine="561" w:firstLineChars="200"/>
        <w:rPr>
          <w:rFonts w:hint="eastAsia" w:ascii="华文仿宋" w:hAnsi="华文仿宋" w:eastAsia="华文仿宋" w:cs="华文仿宋"/>
          <w:b/>
          <w:color w:val="auto"/>
          <w:sz w:val="28"/>
          <w:szCs w:val="28"/>
          <w:highlight w:val="none"/>
          <w:lang w:val="zh-CN"/>
        </w:rPr>
      </w:pPr>
      <w:r>
        <w:rPr>
          <w:rFonts w:hint="eastAsia" w:ascii="华文仿宋" w:hAnsi="华文仿宋" w:eastAsia="华文仿宋" w:cs="华文仿宋"/>
          <w:b/>
          <w:color w:val="auto"/>
          <w:sz w:val="28"/>
          <w:szCs w:val="28"/>
          <w:highlight w:val="none"/>
          <w:lang w:val="zh-CN"/>
        </w:rPr>
        <w:t>1</w:t>
      </w:r>
      <w:r>
        <w:rPr>
          <w:rFonts w:hint="eastAsia" w:ascii="华文仿宋" w:hAnsi="华文仿宋" w:eastAsia="华文仿宋" w:cs="华文仿宋"/>
          <w:b/>
          <w:color w:val="auto"/>
          <w:sz w:val="28"/>
          <w:szCs w:val="28"/>
          <w:highlight w:val="none"/>
        </w:rPr>
        <w:t>7</w:t>
      </w:r>
      <w:r>
        <w:rPr>
          <w:rFonts w:hint="eastAsia" w:ascii="华文仿宋" w:hAnsi="华文仿宋" w:eastAsia="华文仿宋" w:cs="华文仿宋"/>
          <w:b/>
          <w:color w:val="auto"/>
          <w:sz w:val="28"/>
          <w:szCs w:val="28"/>
          <w:highlight w:val="none"/>
          <w:lang w:val="zh-CN"/>
        </w:rPr>
        <w:t>、质疑</w:t>
      </w:r>
    </w:p>
    <w:p w14:paraId="1924E94F">
      <w:pPr>
        <w:keepNext w:val="0"/>
        <w:keepLines w:val="0"/>
        <w:pageBreakBefore w:val="0"/>
        <w:kinsoku/>
        <w:wordWrap/>
        <w:overflowPunct/>
        <w:topLinePunct w:val="0"/>
        <w:bidi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7</w:t>
      </w: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 xml:space="preserve"> </w:t>
      </w:r>
      <w:r>
        <w:rPr>
          <w:rFonts w:hint="eastAsia" w:ascii="华文仿宋" w:hAnsi="华文仿宋" w:eastAsia="华文仿宋" w:cs="华文仿宋"/>
          <w:color w:val="auto"/>
          <w:sz w:val="28"/>
          <w:szCs w:val="28"/>
          <w:highlight w:val="none"/>
          <w:lang w:val="zh-CN"/>
        </w:rPr>
        <w:t>质疑供应商是指直接参加本次采购活动的供应商，未参加采购活动的供应商或在采购活动中自身权益未受到损害的供应商所提出的质疑不予受理。</w:t>
      </w:r>
    </w:p>
    <w:p w14:paraId="2FC55A9D">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7</w:t>
      </w:r>
      <w:r>
        <w:rPr>
          <w:rFonts w:hint="eastAsia" w:ascii="华文仿宋" w:hAnsi="华文仿宋" w:eastAsia="华文仿宋" w:cs="华文仿宋"/>
          <w:color w:val="auto"/>
          <w:sz w:val="28"/>
          <w:szCs w:val="28"/>
          <w:highlight w:val="none"/>
          <w:lang w:val="zh-CN"/>
        </w:rPr>
        <w:t>.2 供应商认为采购文件、采购过程和成交结果使自己的合法权益受到损害的，可以在知道或者应当知道其权益受到损害之日起七个工作日内，将质疑文件</w:t>
      </w:r>
      <w:r>
        <w:rPr>
          <w:rFonts w:hint="eastAsia" w:ascii="华文仿宋" w:hAnsi="华文仿宋" w:eastAsia="华文仿宋" w:cs="华文仿宋"/>
          <w:b/>
          <w:color w:val="auto"/>
          <w:sz w:val="28"/>
          <w:szCs w:val="28"/>
          <w:highlight w:val="none"/>
          <w:lang w:val="zh-CN"/>
        </w:rPr>
        <w:t>原件送达</w:t>
      </w:r>
      <w:r>
        <w:rPr>
          <w:rFonts w:hint="eastAsia" w:ascii="华文仿宋" w:hAnsi="华文仿宋" w:eastAsia="华文仿宋" w:cs="华文仿宋"/>
          <w:b w:val="0"/>
          <w:bCs/>
          <w:color w:val="auto"/>
          <w:sz w:val="28"/>
          <w:szCs w:val="28"/>
          <w:highlight w:val="none"/>
          <w:lang w:val="zh-CN"/>
        </w:rPr>
        <w:t>至</w:t>
      </w:r>
      <w:r>
        <w:rPr>
          <w:rFonts w:hint="eastAsia" w:ascii="华文仿宋" w:hAnsi="华文仿宋" w:eastAsia="华文仿宋" w:cs="华文仿宋"/>
          <w:color w:val="auto"/>
          <w:sz w:val="28"/>
          <w:szCs w:val="28"/>
          <w:highlight w:val="none"/>
          <w:lang w:val="zh-CN"/>
        </w:rPr>
        <w:t>代理人处。</w:t>
      </w:r>
    </w:p>
    <w:p w14:paraId="2B601342">
      <w:pPr>
        <w:keepNext w:val="0"/>
        <w:keepLines w:val="0"/>
        <w:pageBreakBefore w:val="0"/>
        <w:kinsoku/>
        <w:wordWrap/>
        <w:overflowPunct/>
        <w:topLinePunct w:val="0"/>
        <w:bidi w:val="0"/>
        <w:snapToGri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7</w:t>
      </w:r>
      <w:r>
        <w:rPr>
          <w:rFonts w:hint="eastAsia" w:ascii="华文仿宋" w:hAnsi="华文仿宋" w:eastAsia="华文仿宋" w:cs="华文仿宋"/>
          <w:color w:val="auto"/>
          <w:sz w:val="28"/>
          <w:szCs w:val="28"/>
          <w:highlight w:val="none"/>
          <w:lang w:val="zh-CN"/>
        </w:rPr>
        <w:t>.3</w:t>
      </w:r>
      <w:r>
        <w:rPr>
          <w:rFonts w:hint="eastAsia" w:ascii="华文仿宋" w:hAnsi="华文仿宋" w:eastAsia="华文仿宋" w:cs="华文仿宋"/>
          <w:color w:val="auto"/>
          <w:sz w:val="28"/>
          <w:szCs w:val="28"/>
          <w:highlight w:val="none"/>
        </w:rPr>
        <w:t xml:space="preserve"> </w:t>
      </w:r>
      <w:r>
        <w:rPr>
          <w:rFonts w:hint="eastAsia" w:ascii="华文仿宋" w:hAnsi="华文仿宋" w:eastAsia="华文仿宋" w:cs="华文仿宋"/>
          <w:color w:val="auto"/>
          <w:sz w:val="28"/>
          <w:szCs w:val="28"/>
          <w:highlight w:val="none"/>
          <w:lang w:val="zh-CN"/>
        </w:rPr>
        <w:t>上述应知其权益受到损害之日是指：</w:t>
      </w:r>
    </w:p>
    <w:p w14:paraId="7CDA15CE">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（1）对磋商文件提出质疑的，为磋商文件公告期限届满之日起计算；</w:t>
      </w:r>
    </w:p>
    <w:p w14:paraId="23EE4A0B">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（2）对采购过程提出质疑的，自采购程序环节结束之日起计算；</w:t>
      </w:r>
    </w:p>
    <w:p w14:paraId="58F81C86">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（3）对成交结果提出质疑的，自成交结果公告期限届满之日起计算。</w:t>
      </w:r>
    </w:p>
    <w:p w14:paraId="530F4944">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snapToGrid w:val="0"/>
          <w:color w:val="auto"/>
          <w:sz w:val="28"/>
          <w:szCs w:val="28"/>
          <w:highlight w:val="none"/>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7</w:t>
      </w:r>
      <w:r>
        <w:rPr>
          <w:rFonts w:hint="eastAsia" w:ascii="华文仿宋" w:hAnsi="华文仿宋" w:eastAsia="华文仿宋" w:cs="华文仿宋"/>
          <w:color w:val="auto"/>
          <w:sz w:val="28"/>
          <w:szCs w:val="28"/>
          <w:highlight w:val="none"/>
          <w:lang w:val="zh-CN"/>
        </w:rPr>
        <w:t>.4 质疑文件应包括以下主要内容，并</w:t>
      </w:r>
      <w:r>
        <w:rPr>
          <w:rFonts w:hint="eastAsia" w:ascii="华文仿宋" w:hAnsi="华文仿宋" w:eastAsia="华文仿宋" w:cs="华文仿宋"/>
          <w:color w:val="auto"/>
          <w:sz w:val="28"/>
          <w:szCs w:val="28"/>
          <w:highlight w:val="none"/>
        </w:rPr>
        <w:t>按照“谁主张、谁举证”的原则，附上相关证明材料。否则，代理人不予受理：</w:t>
      </w:r>
    </w:p>
    <w:p w14:paraId="7D9A37D4">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rPr>
        <w:t>（1）质疑项目名称、项目编号、包号、采购公告发布时间、磋商时间；</w:t>
      </w:r>
    </w:p>
    <w:p w14:paraId="0E0CD68D">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（2）提起质疑的日期、具体的质疑事项及事实根据（具体条款）；</w:t>
      </w:r>
    </w:p>
    <w:p w14:paraId="7CFF29B1">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（3）认为自己合法权益受到损害或可能受到损害的相关证据材料；</w:t>
      </w:r>
    </w:p>
    <w:p w14:paraId="22C1756E">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（4）质疑供应商名称、地址、邮编、联系人、联系电话</w:t>
      </w:r>
      <w:r>
        <w:rPr>
          <w:rFonts w:hint="eastAsia" w:ascii="华文仿宋" w:hAnsi="华文仿宋" w:eastAsia="华文仿宋" w:cs="华文仿宋"/>
          <w:color w:val="auto"/>
          <w:sz w:val="28"/>
          <w:szCs w:val="28"/>
          <w:highlight w:val="none"/>
        </w:rPr>
        <w:t>（包括座机、手机、传真号码等）</w:t>
      </w:r>
      <w:r>
        <w:rPr>
          <w:rFonts w:hint="eastAsia" w:ascii="华文仿宋" w:hAnsi="华文仿宋" w:eastAsia="华文仿宋" w:cs="华文仿宋"/>
          <w:color w:val="auto"/>
          <w:sz w:val="28"/>
          <w:szCs w:val="28"/>
          <w:highlight w:val="none"/>
          <w:lang w:val="zh-CN"/>
        </w:rPr>
        <w:t>；</w:t>
      </w:r>
    </w:p>
    <w:p w14:paraId="283F5529">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（5）质疑函应当署名，质疑人为自然人的，应当由本人签字并附有效身份证明；质疑人为法人或其他组织的，应当由法定代表人签字并加盖单位公章；</w:t>
      </w:r>
    </w:p>
    <w:p w14:paraId="1597A3DD">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zh-CN"/>
        </w:rPr>
        <w:t>（6）供应商委托代理质疑的，应当提交授权委托书，并载明委托代理的具体权限和事项。</w:t>
      </w:r>
    </w:p>
    <w:p w14:paraId="303F4A78">
      <w:pPr>
        <w:keepNext w:val="0"/>
        <w:keepLines w:val="0"/>
        <w:pageBreakBefore w:val="0"/>
        <w:kinsoku/>
        <w:wordWrap/>
        <w:overflowPunct/>
        <w:topLinePunct w:val="0"/>
        <w:bidi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rPr>
        <w:t>17.5 采购人（代理人）在收到供应商的书面质疑后将及时组织调查核实，在</w:t>
      </w:r>
      <w:r>
        <w:rPr>
          <w:rFonts w:hint="eastAsia" w:ascii="华文仿宋" w:hAnsi="华文仿宋" w:eastAsia="华文仿宋" w:cs="华文仿宋"/>
          <w:b/>
          <w:bCs/>
          <w:color w:val="auto"/>
          <w:sz w:val="28"/>
          <w:szCs w:val="28"/>
          <w:highlight w:val="none"/>
          <w:lang w:val="zh-CN"/>
        </w:rPr>
        <w:t>七个工作日内</w:t>
      </w:r>
      <w:r>
        <w:rPr>
          <w:rFonts w:hint="eastAsia" w:ascii="华文仿宋" w:hAnsi="华文仿宋" w:eastAsia="华文仿宋" w:cs="华文仿宋"/>
          <w:color w:val="auto"/>
          <w:sz w:val="28"/>
          <w:szCs w:val="28"/>
          <w:highlight w:val="none"/>
          <w:lang w:val="zh-CN"/>
        </w:rPr>
        <w:t>作出答复，并以书面通知质疑供应商和其他有关供应商，答复的内容不涉及商业秘密。代理人</w:t>
      </w:r>
      <w:r>
        <w:rPr>
          <w:rFonts w:hint="eastAsia" w:ascii="华文仿宋" w:hAnsi="华文仿宋" w:eastAsia="华文仿宋" w:cs="华文仿宋"/>
          <w:color w:val="auto"/>
          <w:sz w:val="28"/>
          <w:szCs w:val="28"/>
          <w:highlight w:val="none"/>
        </w:rPr>
        <w:t>遵循“谁过错谁负担”的原则，有过错的一方承担调查论证费用。</w:t>
      </w:r>
    </w:p>
    <w:p w14:paraId="33DEE2A7">
      <w:pPr>
        <w:keepNext w:val="0"/>
        <w:keepLines w:val="0"/>
        <w:pageBreakBefore w:val="0"/>
        <w:kinsoku/>
        <w:wordWrap/>
        <w:overflowPunct/>
        <w:topLinePunct w:val="0"/>
        <w:autoSpaceDE w:val="0"/>
        <w:autoSpaceDN w:val="0"/>
        <w:bidi w:val="0"/>
        <w:adjustRightInd w:val="0"/>
        <w:spacing w:line="560" w:lineRule="exact"/>
        <w:ind w:firstLine="561"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b/>
          <w:bCs/>
          <w:color w:val="auto"/>
          <w:sz w:val="28"/>
          <w:szCs w:val="28"/>
          <w:highlight w:val="none"/>
          <w:lang w:val="zh-CN"/>
        </w:rPr>
        <w:t>1</w:t>
      </w:r>
      <w:r>
        <w:rPr>
          <w:rFonts w:hint="eastAsia" w:ascii="华文仿宋" w:hAnsi="华文仿宋" w:eastAsia="华文仿宋" w:cs="华文仿宋"/>
          <w:b/>
          <w:bCs/>
          <w:color w:val="auto"/>
          <w:sz w:val="28"/>
          <w:szCs w:val="28"/>
          <w:highlight w:val="none"/>
        </w:rPr>
        <w:t>8</w:t>
      </w:r>
      <w:r>
        <w:rPr>
          <w:rFonts w:hint="eastAsia" w:ascii="华文仿宋" w:hAnsi="华文仿宋" w:eastAsia="华文仿宋" w:cs="华文仿宋"/>
          <w:b/>
          <w:bCs/>
          <w:color w:val="auto"/>
          <w:sz w:val="28"/>
          <w:szCs w:val="28"/>
          <w:highlight w:val="none"/>
          <w:lang w:val="zh-CN"/>
        </w:rPr>
        <w:t>、投诉</w:t>
      </w:r>
    </w:p>
    <w:p w14:paraId="56390118">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lang w:val="zh-CN"/>
        </w:rPr>
        <w:t>1</w:t>
      </w:r>
      <w:r>
        <w:rPr>
          <w:rFonts w:hint="eastAsia" w:ascii="华文仿宋" w:hAnsi="华文仿宋" w:eastAsia="华文仿宋" w:cs="华文仿宋"/>
          <w:color w:val="auto"/>
          <w:sz w:val="28"/>
          <w:szCs w:val="28"/>
          <w:highlight w:val="none"/>
        </w:rPr>
        <w:t>8</w:t>
      </w:r>
      <w:r>
        <w:rPr>
          <w:rFonts w:hint="eastAsia" w:ascii="华文仿宋" w:hAnsi="华文仿宋" w:eastAsia="华文仿宋" w:cs="华文仿宋"/>
          <w:color w:val="auto"/>
          <w:sz w:val="28"/>
          <w:szCs w:val="28"/>
          <w:highlight w:val="none"/>
          <w:lang w:val="zh-CN"/>
        </w:rPr>
        <w:t>.1 质疑供应商对采购人（代理人）的答复不满意，或采购人（代理人）未在规定的时间内作出答复的，可以在答复期满后</w:t>
      </w:r>
      <w:r>
        <w:rPr>
          <w:rFonts w:hint="eastAsia" w:ascii="华文仿宋" w:hAnsi="华文仿宋" w:eastAsia="华文仿宋" w:cs="华文仿宋"/>
          <w:b/>
          <w:bCs/>
          <w:color w:val="auto"/>
          <w:sz w:val="28"/>
          <w:szCs w:val="28"/>
          <w:highlight w:val="none"/>
          <w:lang w:val="zh-CN"/>
        </w:rPr>
        <w:t>十五个工作日内</w:t>
      </w:r>
      <w:r>
        <w:rPr>
          <w:rFonts w:hint="eastAsia" w:ascii="华文仿宋" w:hAnsi="华文仿宋" w:eastAsia="华文仿宋" w:cs="华文仿宋"/>
          <w:color w:val="auto"/>
          <w:sz w:val="28"/>
          <w:szCs w:val="28"/>
          <w:highlight w:val="none"/>
          <w:lang w:val="zh-CN"/>
        </w:rPr>
        <w:t>向采购项目同级财政部门投诉。</w:t>
      </w:r>
    </w:p>
    <w:p w14:paraId="5D998902">
      <w:pPr>
        <w:keepNext w:val="0"/>
        <w:keepLines w:val="0"/>
        <w:pageBreakBefore w:val="0"/>
        <w:kinsoku/>
        <w:wordWrap/>
        <w:overflowPunct/>
        <w:topLinePunct w:val="0"/>
        <w:autoSpaceDE w:val="0"/>
        <w:autoSpaceDN w:val="0"/>
        <w:bidi w:val="0"/>
        <w:adjustRightInd w:val="0"/>
        <w:spacing w:line="560" w:lineRule="exact"/>
        <w:ind w:firstLine="561" w:firstLineChars="200"/>
        <w:rPr>
          <w:rFonts w:hint="eastAsia" w:ascii="华文仿宋" w:hAnsi="华文仿宋" w:eastAsia="华文仿宋" w:cs="华文仿宋"/>
          <w:b/>
          <w:bCs/>
          <w:color w:val="auto"/>
          <w:sz w:val="28"/>
          <w:szCs w:val="28"/>
          <w:highlight w:val="none"/>
          <w:lang w:val="zh-CN"/>
        </w:rPr>
      </w:pPr>
      <w:r>
        <w:rPr>
          <w:rFonts w:hint="eastAsia" w:ascii="华文仿宋" w:hAnsi="华文仿宋" w:eastAsia="华文仿宋" w:cs="华文仿宋"/>
          <w:b/>
          <w:bCs/>
          <w:color w:val="auto"/>
          <w:sz w:val="28"/>
          <w:szCs w:val="28"/>
          <w:highlight w:val="none"/>
        </w:rPr>
        <w:t>19</w:t>
      </w:r>
      <w:r>
        <w:rPr>
          <w:rFonts w:hint="eastAsia" w:ascii="华文仿宋" w:hAnsi="华文仿宋" w:eastAsia="华文仿宋" w:cs="华文仿宋"/>
          <w:b/>
          <w:bCs/>
          <w:color w:val="auto"/>
          <w:sz w:val="28"/>
          <w:szCs w:val="28"/>
          <w:highlight w:val="none"/>
          <w:lang w:val="zh-CN"/>
        </w:rPr>
        <w:t>、诚实信用</w:t>
      </w:r>
    </w:p>
    <w:p w14:paraId="41739ECA">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rPr>
        <w:t>19</w:t>
      </w:r>
      <w:r>
        <w:rPr>
          <w:rFonts w:hint="eastAsia" w:ascii="华文仿宋" w:hAnsi="华文仿宋" w:eastAsia="华文仿宋" w:cs="华文仿宋"/>
          <w:color w:val="auto"/>
          <w:sz w:val="28"/>
          <w:szCs w:val="28"/>
          <w:highlight w:val="none"/>
          <w:lang w:val="zh-CN"/>
        </w:rPr>
        <w:t>.1 供应商之间不得相互串通响应报价，不得妨碍其他供应商的公平竞争，不得损害采购人和其他供应商的合法权益。</w:t>
      </w:r>
    </w:p>
    <w:p w14:paraId="7B1DB81C">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rPr>
        <w:t>19</w:t>
      </w:r>
      <w:r>
        <w:rPr>
          <w:rFonts w:hint="eastAsia" w:ascii="华文仿宋" w:hAnsi="华文仿宋" w:eastAsia="华文仿宋" w:cs="华文仿宋"/>
          <w:color w:val="auto"/>
          <w:sz w:val="28"/>
          <w:szCs w:val="28"/>
          <w:highlight w:val="none"/>
          <w:lang w:val="zh-CN"/>
        </w:rPr>
        <w:t>.2 供应商不得以向采购人（代理人）工作人员、磋商小组成员行贿或者采取其他不正当手段谋取成交。经查实供应商有此行为的，</w:t>
      </w:r>
      <w:r>
        <w:rPr>
          <w:rFonts w:hint="eastAsia" w:ascii="华文仿宋" w:hAnsi="华文仿宋" w:eastAsia="华文仿宋" w:cs="华文仿宋"/>
          <w:color w:val="auto"/>
          <w:sz w:val="28"/>
          <w:szCs w:val="28"/>
          <w:highlight w:val="none"/>
        </w:rPr>
        <w:t>政府采购管理部门将供应商列入不良行为记录名单，按照</w:t>
      </w:r>
      <w:r>
        <w:rPr>
          <w:rFonts w:hint="eastAsia" w:ascii="华文仿宋" w:hAnsi="华文仿宋" w:eastAsia="华文仿宋" w:cs="华文仿宋"/>
          <w:b w:val="0"/>
          <w:bCs/>
          <w:color w:val="auto"/>
          <w:sz w:val="28"/>
          <w:szCs w:val="28"/>
          <w:highlight w:val="none"/>
          <w:lang w:eastAsia="zh-CN"/>
        </w:rPr>
        <w:t>《中华人民共和国政府采购法》</w:t>
      </w:r>
      <w:r>
        <w:rPr>
          <w:rFonts w:hint="eastAsia" w:ascii="华文仿宋" w:hAnsi="华文仿宋" w:eastAsia="华文仿宋" w:cs="华文仿宋"/>
          <w:color w:val="auto"/>
          <w:sz w:val="28"/>
          <w:szCs w:val="28"/>
          <w:highlight w:val="none"/>
        </w:rPr>
        <w:t>有关规定处理。</w:t>
      </w:r>
    </w:p>
    <w:p w14:paraId="5BA3C8AD">
      <w:pPr>
        <w:keepNext w:val="0"/>
        <w:keepLines w:val="0"/>
        <w:pageBreakBefore w:val="0"/>
        <w:kinsoku/>
        <w:wordWrap/>
        <w:overflowPunct/>
        <w:topLinePunct w:val="0"/>
        <w:autoSpaceDE w:val="0"/>
        <w:autoSpaceDN w:val="0"/>
        <w:bidi w:val="0"/>
        <w:adjustRightInd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rPr>
        <w:t>19</w:t>
      </w:r>
      <w:r>
        <w:rPr>
          <w:rFonts w:hint="eastAsia" w:ascii="华文仿宋" w:hAnsi="华文仿宋" w:eastAsia="华文仿宋" w:cs="华文仿宋"/>
          <w:color w:val="auto"/>
          <w:sz w:val="28"/>
          <w:szCs w:val="28"/>
          <w:highlight w:val="none"/>
          <w:lang w:val="zh-CN"/>
        </w:rPr>
        <w:t>.3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p>
    <w:p w14:paraId="4EA04FB3">
      <w:pPr>
        <w:keepNext w:val="0"/>
        <w:keepLines w:val="0"/>
        <w:pageBreakBefore w:val="0"/>
        <w:kinsoku/>
        <w:wordWrap/>
        <w:overflowPunct/>
        <w:topLinePunct w:val="0"/>
        <w:bidi w:val="0"/>
        <w:spacing w:line="560" w:lineRule="exact"/>
        <w:ind w:firstLine="560" w:firstLineChars="200"/>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rPr>
        <w:t>19</w:t>
      </w:r>
      <w:r>
        <w:rPr>
          <w:rFonts w:hint="eastAsia" w:ascii="华文仿宋" w:hAnsi="华文仿宋" w:eastAsia="华文仿宋" w:cs="华文仿宋"/>
          <w:color w:val="auto"/>
          <w:sz w:val="28"/>
          <w:szCs w:val="28"/>
          <w:highlight w:val="none"/>
          <w:lang w:val="zh-CN"/>
        </w:rPr>
        <w:t>.4 供应商不得虚假承诺，否则，按照提供虚假材料谋取成交处理。</w:t>
      </w:r>
    </w:p>
    <w:p w14:paraId="2CDCC626">
      <w:pPr>
        <w:keepNext w:val="0"/>
        <w:keepLines w:val="0"/>
        <w:pageBreakBefore w:val="0"/>
        <w:widowControl w:val="0"/>
        <w:kinsoku/>
        <w:wordWrap/>
        <w:overflowPunct/>
        <w:topLinePunct w:val="0"/>
        <w:bidi w:val="0"/>
        <w:snapToGrid/>
        <w:spacing w:line="560" w:lineRule="exact"/>
        <w:ind w:firstLine="560" w:firstLineChars="200"/>
        <w:textAlignment w:val="auto"/>
        <w:rPr>
          <w:rFonts w:hint="eastAsia" w:ascii="华文仿宋" w:hAnsi="华文仿宋" w:eastAsia="华文仿宋" w:cs="华文仿宋"/>
          <w:color w:val="auto"/>
          <w:sz w:val="28"/>
          <w:szCs w:val="28"/>
          <w:highlight w:val="none"/>
          <w:lang w:val="zh-CN"/>
        </w:rPr>
      </w:pPr>
      <w:r>
        <w:rPr>
          <w:rFonts w:hint="eastAsia" w:ascii="华文仿宋" w:hAnsi="华文仿宋" w:eastAsia="华文仿宋" w:cs="华文仿宋"/>
          <w:color w:val="auto"/>
          <w:sz w:val="28"/>
          <w:szCs w:val="28"/>
          <w:highlight w:val="none"/>
        </w:rPr>
        <w:t>19</w:t>
      </w:r>
      <w:r>
        <w:rPr>
          <w:rFonts w:hint="eastAsia" w:ascii="华文仿宋" w:hAnsi="华文仿宋" w:eastAsia="华文仿宋" w:cs="华文仿宋"/>
          <w:color w:val="auto"/>
          <w:sz w:val="28"/>
          <w:szCs w:val="28"/>
          <w:highlight w:val="none"/>
          <w:lang w:val="zh-CN"/>
        </w:rPr>
        <w:t>.5 供应商应自觉遵守磋商纪律，扰乱磋商现场秩序的，属于失信行为，根据《江苏省政府采购供应商监督管理暂行办法》，失信行为将</w:t>
      </w:r>
      <w:r>
        <w:rPr>
          <w:rFonts w:hint="eastAsia" w:ascii="华文仿宋" w:hAnsi="华文仿宋" w:eastAsia="华文仿宋" w:cs="华文仿宋"/>
          <w:color w:val="auto"/>
          <w:sz w:val="28"/>
          <w:szCs w:val="28"/>
          <w:highlight w:val="none"/>
          <w:lang w:val="zh-CN"/>
        </w:rPr>
        <w:t>被记入供应商诚信档案。</w:t>
      </w:r>
    </w:p>
    <w:p w14:paraId="5B3EBAC9">
      <w:pPr>
        <w:keepNext w:val="0"/>
        <w:keepLines w:val="0"/>
        <w:pageBreakBefore w:val="0"/>
        <w:widowControl w:val="0"/>
        <w:kinsoku/>
        <w:wordWrap/>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20、其他</w:t>
      </w:r>
    </w:p>
    <w:p w14:paraId="2F4F1B68">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20.1 异常低价审查</w:t>
      </w:r>
    </w:p>
    <w:p w14:paraId="4F3C6AD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default" w:ascii="华文仿宋" w:hAnsi="华文仿宋" w:eastAsia="华文仿宋" w:cs="华文仿宋"/>
          <w:b w:val="0"/>
          <w:bCs w:val="0"/>
          <w:color w:val="auto"/>
          <w:sz w:val="28"/>
          <w:szCs w:val="28"/>
          <w:highlight w:val="none"/>
          <w:lang w:val="en-US" w:eastAsia="zh-CN"/>
        </w:rPr>
      </w:pPr>
      <w:r>
        <w:rPr>
          <w:rFonts w:hint="default" w:ascii="华文仿宋" w:hAnsi="华文仿宋" w:eastAsia="华文仿宋" w:cs="华文仿宋"/>
          <w:b w:val="0"/>
          <w:bCs w:val="0"/>
          <w:color w:val="auto"/>
          <w:sz w:val="28"/>
          <w:szCs w:val="28"/>
          <w:highlight w:val="none"/>
          <w:lang w:val="en-US" w:eastAsia="zh-CN"/>
        </w:rPr>
        <w:t>(1)</w:t>
      </w:r>
      <w:r>
        <w:rPr>
          <w:rFonts w:hint="eastAsia" w:ascii="华文仿宋" w:hAnsi="华文仿宋" w:eastAsia="华文仿宋" w:cs="华文仿宋"/>
          <w:b w:val="0"/>
          <w:bCs w:val="0"/>
          <w:color w:val="auto"/>
          <w:sz w:val="28"/>
          <w:szCs w:val="28"/>
          <w:highlight w:val="none"/>
          <w:lang w:val="en-US" w:eastAsia="zh-CN"/>
        </w:rPr>
        <w:t>磋商</w:t>
      </w:r>
      <w:r>
        <w:rPr>
          <w:rFonts w:hint="default" w:ascii="华文仿宋" w:hAnsi="华文仿宋" w:eastAsia="华文仿宋" w:cs="华文仿宋"/>
          <w:b w:val="0"/>
          <w:bCs w:val="0"/>
          <w:color w:val="auto"/>
          <w:sz w:val="28"/>
          <w:szCs w:val="28"/>
          <w:highlight w:val="none"/>
          <w:lang w:val="en-US" w:eastAsia="zh-CN"/>
        </w:rPr>
        <w:t>过程中出现下列情形之一的，</w:t>
      </w:r>
      <w:r>
        <w:rPr>
          <w:rFonts w:hint="eastAsia" w:ascii="华文仿宋" w:hAnsi="华文仿宋" w:eastAsia="华文仿宋" w:cs="华文仿宋"/>
          <w:b w:val="0"/>
          <w:bCs w:val="0"/>
          <w:color w:val="auto"/>
          <w:sz w:val="28"/>
          <w:szCs w:val="28"/>
          <w:highlight w:val="none"/>
          <w:lang w:val="en-US" w:eastAsia="zh-CN"/>
        </w:rPr>
        <w:t>磋商小组</w:t>
      </w:r>
      <w:r>
        <w:rPr>
          <w:rFonts w:hint="default" w:ascii="华文仿宋" w:hAnsi="华文仿宋" w:eastAsia="华文仿宋" w:cs="华文仿宋"/>
          <w:b w:val="0"/>
          <w:bCs w:val="0"/>
          <w:color w:val="auto"/>
          <w:sz w:val="28"/>
          <w:szCs w:val="28"/>
          <w:highlight w:val="none"/>
          <w:lang w:val="en-US" w:eastAsia="zh-CN"/>
        </w:rPr>
        <w:t>应当启动异常低价响应审查程序:</w:t>
      </w:r>
    </w:p>
    <w:p w14:paraId="70919A07">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default" w:ascii="华文仿宋" w:hAnsi="华文仿宋" w:eastAsia="华文仿宋" w:cs="华文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①</w:t>
      </w:r>
      <w:r>
        <w:rPr>
          <w:rFonts w:hint="default" w:ascii="华文仿宋" w:hAnsi="华文仿宋" w:eastAsia="华文仿宋" w:cs="华文仿宋"/>
          <w:b w:val="0"/>
          <w:bCs w:val="0"/>
          <w:color w:val="auto"/>
          <w:sz w:val="28"/>
          <w:szCs w:val="28"/>
          <w:highlight w:val="none"/>
          <w:lang w:val="en-US" w:eastAsia="zh-CN"/>
        </w:rPr>
        <w:t xml:space="preserve"> 响应报价低于采购项目预算50%的，即响应报价&lt;采购项目预算</w:t>
      </w:r>
      <w:r>
        <w:rPr>
          <w:rFonts w:hint="eastAsia" w:ascii="华文仿宋" w:hAnsi="华文仿宋" w:eastAsia="华文仿宋" w:cs="华文仿宋"/>
          <w:b w:val="0"/>
          <w:bCs w:val="0"/>
          <w:color w:val="auto"/>
          <w:sz w:val="28"/>
          <w:szCs w:val="28"/>
          <w:highlight w:val="none"/>
          <w:lang w:val="en-US" w:eastAsia="zh-CN"/>
        </w:rPr>
        <w:t>*</w:t>
      </w:r>
      <w:r>
        <w:rPr>
          <w:rFonts w:hint="default" w:ascii="华文仿宋" w:hAnsi="华文仿宋" w:eastAsia="华文仿宋" w:cs="华文仿宋"/>
          <w:b w:val="0"/>
          <w:bCs w:val="0"/>
          <w:color w:val="auto"/>
          <w:sz w:val="28"/>
          <w:szCs w:val="28"/>
          <w:highlight w:val="none"/>
          <w:lang w:val="en-US" w:eastAsia="zh-CN"/>
        </w:rPr>
        <w:t>50%;</w:t>
      </w:r>
    </w:p>
    <w:p w14:paraId="3FCF90B0">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default" w:ascii="华文仿宋" w:hAnsi="华文仿宋" w:eastAsia="华文仿宋" w:cs="华文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②</w:t>
      </w:r>
      <w:r>
        <w:rPr>
          <w:rFonts w:hint="default" w:ascii="华文仿宋" w:hAnsi="华文仿宋" w:eastAsia="华文仿宋" w:cs="华文仿宋"/>
          <w:b w:val="0"/>
          <w:bCs w:val="0"/>
          <w:color w:val="auto"/>
          <w:sz w:val="28"/>
          <w:szCs w:val="28"/>
          <w:highlight w:val="none"/>
          <w:lang w:val="en-US" w:eastAsia="zh-CN"/>
        </w:rPr>
        <w:t xml:space="preserve"> 响应报价低于采购项目最高限价45%的，即响应报价&lt;采购项目最高限价</w:t>
      </w:r>
      <w:r>
        <w:rPr>
          <w:rFonts w:hint="eastAsia" w:ascii="华文仿宋" w:hAnsi="华文仿宋" w:eastAsia="华文仿宋" w:cs="华文仿宋"/>
          <w:b w:val="0"/>
          <w:bCs w:val="0"/>
          <w:color w:val="auto"/>
          <w:sz w:val="28"/>
          <w:szCs w:val="28"/>
          <w:highlight w:val="none"/>
          <w:lang w:val="en-US" w:eastAsia="zh-CN"/>
        </w:rPr>
        <w:t>*</w:t>
      </w:r>
      <w:r>
        <w:rPr>
          <w:rFonts w:hint="default" w:ascii="华文仿宋" w:hAnsi="华文仿宋" w:eastAsia="华文仿宋" w:cs="华文仿宋"/>
          <w:b w:val="0"/>
          <w:bCs w:val="0"/>
          <w:color w:val="auto"/>
          <w:sz w:val="28"/>
          <w:szCs w:val="28"/>
          <w:highlight w:val="none"/>
          <w:lang w:val="en-US" w:eastAsia="zh-CN"/>
        </w:rPr>
        <w:t>45%;</w:t>
      </w:r>
    </w:p>
    <w:p w14:paraId="04064F52">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default" w:ascii="华文仿宋" w:hAnsi="华文仿宋" w:eastAsia="华文仿宋" w:cs="华文仿宋"/>
          <w:b w:val="0"/>
          <w:bCs w:val="0"/>
          <w:color w:val="auto"/>
          <w:sz w:val="28"/>
          <w:szCs w:val="28"/>
          <w:highlight w:val="none"/>
          <w:lang w:val="en-US" w:eastAsia="zh-CN"/>
        </w:rPr>
      </w:pPr>
      <w:r>
        <w:rPr>
          <w:rFonts w:hint="default" w:ascii="华文仿宋" w:hAnsi="华文仿宋" w:eastAsia="华文仿宋" w:cs="华文仿宋"/>
          <w:b w:val="0"/>
          <w:bCs w:val="0"/>
          <w:color w:val="auto"/>
          <w:sz w:val="28"/>
          <w:szCs w:val="28"/>
          <w:highlight w:val="none"/>
          <w:lang w:val="en-US" w:eastAsia="zh-CN"/>
        </w:rPr>
        <w:t xml:space="preserve">③ </w:t>
      </w:r>
      <w:r>
        <w:rPr>
          <w:rFonts w:hint="eastAsia" w:ascii="华文仿宋" w:hAnsi="华文仿宋" w:eastAsia="华文仿宋" w:cs="华文仿宋"/>
          <w:b w:val="0"/>
          <w:bCs w:val="0"/>
          <w:color w:val="auto"/>
          <w:sz w:val="28"/>
          <w:szCs w:val="28"/>
          <w:highlight w:val="none"/>
          <w:lang w:val="en-US" w:eastAsia="zh-CN"/>
        </w:rPr>
        <w:t>磋商小组</w:t>
      </w:r>
      <w:r>
        <w:rPr>
          <w:rFonts w:hint="default" w:ascii="华文仿宋" w:hAnsi="华文仿宋" w:eastAsia="华文仿宋" w:cs="华文仿宋"/>
          <w:b w:val="0"/>
          <w:bCs w:val="0"/>
          <w:color w:val="auto"/>
          <w:sz w:val="28"/>
          <w:szCs w:val="28"/>
          <w:highlight w:val="none"/>
          <w:lang w:val="en-US" w:eastAsia="zh-CN"/>
        </w:rPr>
        <w:t>认定的供应商报价过低、有可能影响产品质量或者不能诚信履约的其他情形。</w:t>
      </w:r>
    </w:p>
    <w:p w14:paraId="3EB20F2F">
      <w:pPr>
        <w:autoSpaceDE w:val="0"/>
        <w:autoSpaceDN w:val="0"/>
        <w:adjustRightInd w:val="0"/>
        <w:spacing w:line="560" w:lineRule="exact"/>
        <w:ind w:firstLine="560" w:firstLineChars="200"/>
        <w:jc w:val="left"/>
        <w:rPr>
          <w:rFonts w:hint="default" w:ascii="宋体" w:hAnsi="宋体" w:eastAsia="宋体" w:cs="宋体"/>
          <w:b/>
          <w:bCs/>
          <w:color w:val="auto"/>
          <w:sz w:val="24"/>
          <w:szCs w:val="24"/>
          <w:highlight w:val="none"/>
          <w:lang w:val="en-US" w:eastAsia="zh-CN"/>
        </w:rPr>
      </w:pPr>
      <w:r>
        <w:rPr>
          <w:rFonts w:hint="default" w:ascii="华文仿宋" w:hAnsi="华文仿宋" w:eastAsia="华文仿宋" w:cs="华文仿宋"/>
          <w:b w:val="0"/>
          <w:bCs w:val="0"/>
          <w:color w:val="auto"/>
          <w:sz w:val="28"/>
          <w:szCs w:val="28"/>
          <w:highlight w:val="none"/>
          <w:lang w:val="en-US" w:eastAsia="zh-CN"/>
        </w:rPr>
        <w:t>(2)启动异常低价响应审查后，</w:t>
      </w:r>
      <w:r>
        <w:rPr>
          <w:rFonts w:hint="eastAsia" w:ascii="华文仿宋" w:hAnsi="华文仿宋" w:eastAsia="华文仿宋" w:cs="华文仿宋"/>
          <w:b w:val="0"/>
          <w:bCs w:val="0"/>
          <w:color w:val="auto"/>
          <w:sz w:val="28"/>
          <w:szCs w:val="28"/>
          <w:highlight w:val="none"/>
          <w:lang w:val="en-US" w:eastAsia="zh-CN"/>
        </w:rPr>
        <w:t>磋商小组</w:t>
      </w:r>
      <w:r>
        <w:rPr>
          <w:rFonts w:hint="default" w:ascii="华文仿宋" w:hAnsi="华文仿宋" w:eastAsia="华文仿宋" w:cs="华文仿宋"/>
          <w:b w:val="0"/>
          <w:bCs w:val="0"/>
          <w:color w:val="auto"/>
          <w:sz w:val="28"/>
          <w:szCs w:val="28"/>
          <w:highlight w:val="none"/>
          <w:lang w:val="en-US" w:eastAsia="zh-CN"/>
        </w:rPr>
        <w:t>应当要求相关供应商在</w:t>
      </w:r>
      <w:r>
        <w:rPr>
          <w:rFonts w:hint="eastAsia" w:ascii="华文仿宋" w:hAnsi="华文仿宋" w:eastAsia="华文仿宋" w:cs="华文仿宋"/>
          <w:b w:val="0"/>
          <w:bCs w:val="0"/>
          <w:color w:val="auto"/>
          <w:sz w:val="28"/>
          <w:szCs w:val="28"/>
          <w:highlight w:val="none"/>
          <w:lang w:val="en-US" w:eastAsia="zh-CN"/>
        </w:rPr>
        <w:t>评审</w:t>
      </w:r>
      <w:r>
        <w:rPr>
          <w:rFonts w:hint="default" w:ascii="华文仿宋" w:hAnsi="华文仿宋" w:eastAsia="华文仿宋" w:cs="华文仿宋"/>
          <w:b w:val="0"/>
          <w:bCs w:val="0"/>
          <w:color w:val="auto"/>
          <w:sz w:val="28"/>
          <w:szCs w:val="28"/>
          <w:highlight w:val="none"/>
          <w:lang w:val="en-US" w:eastAsia="zh-CN"/>
        </w:rPr>
        <w:t>现场合理的时间内，提供项目具体成本测算等与报价合理性相关的书面说明及相关证明材料，对响应价格作出解释，由</w:t>
      </w:r>
      <w:r>
        <w:rPr>
          <w:rFonts w:hint="eastAsia" w:ascii="华文仿宋" w:hAnsi="华文仿宋" w:eastAsia="华文仿宋" w:cs="华文仿宋"/>
          <w:b w:val="0"/>
          <w:bCs w:val="0"/>
          <w:color w:val="auto"/>
          <w:sz w:val="28"/>
          <w:szCs w:val="28"/>
          <w:highlight w:val="none"/>
          <w:lang w:val="en-US" w:eastAsia="zh-CN"/>
        </w:rPr>
        <w:t>磋商小组</w:t>
      </w:r>
      <w:r>
        <w:rPr>
          <w:rFonts w:hint="default" w:ascii="华文仿宋" w:hAnsi="华文仿宋" w:eastAsia="华文仿宋" w:cs="华文仿宋"/>
          <w:b w:val="0"/>
          <w:bCs w:val="0"/>
          <w:color w:val="auto"/>
          <w:sz w:val="28"/>
          <w:szCs w:val="28"/>
          <w:highlight w:val="none"/>
          <w:lang w:val="en-US" w:eastAsia="zh-CN"/>
        </w:rPr>
        <w:t>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华文仿宋" w:hAnsi="华文仿宋" w:eastAsia="华文仿宋" w:cs="华文仿宋"/>
          <w:b w:val="0"/>
          <w:bCs w:val="0"/>
          <w:color w:val="auto"/>
          <w:sz w:val="28"/>
          <w:szCs w:val="28"/>
          <w:highlight w:val="none"/>
          <w:lang w:val="en-US" w:eastAsia="zh-CN"/>
        </w:rPr>
        <w:t>磋商小组</w:t>
      </w:r>
      <w:r>
        <w:rPr>
          <w:rFonts w:hint="default" w:ascii="华文仿宋" w:hAnsi="华文仿宋" w:eastAsia="华文仿宋" w:cs="华文仿宋"/>
          <w:b w:val="0"/>
          <w:bCs w:val="0"/>
          <w:color w:val="auto"/>
          <w:sz w:val="28"/>
          <w:szCs w:val="28"/>
          <w:highlight w:val="none"/>
          <w:lang w:val="en-US" w:eastAsia="zh-CN"/>
        </w:rPr>
        <w:t>应当将其作为无效响应处理。审查相关情况应当在评审报告中进行记录。</w:t>
      </w:r>
    </w:p>
    <w:p w14:paraId="1759D1A6">
      <w:pPr>
        <w:autoSpaceDE w:val="0"/>
        <w:autoSpaceDN w:val="0"/>
        <w:adjustRightInd w:val="0"/>
        <w:spacing w:line="360" w:lineRule="auto"/>
        <w:ind w:firstLine="0" w:firstLineChars="0"/>
        <w:jc w:val="center"/>
        <w:outlineLvl w:val="0"/>
        <w:rPr>
          <w:rFonts w:hint="eastAsia" w:ascii="方正小标宋_GBK" w:hAnsi="方正小标宋_GBK" w:eastAsia="方正小标宋_GBK" w:cs="方正小标宋_GBK"/>
          <w:b w:val="0"/>
          <w:bCs w:val="0"/>
          <w:color w:val="auto"/>
          <w:spacing w:val="0"/>
          <w:sz w:val="36"/>
          <w:szCs w:val="36"/>
          <w:highlight w:val="none"/>
        </w:rPr>
      </w:pPr>
      <w:r>
        <w:rPr>
          <w:rFonts w:hint="eastAsia" w:ascii="宋体" w:hAnsi="宋体" w:cs="宋体"/>
          <w:color w:val="auto"/>
          <w:sz w:val="28"/>
          <w:szCs w:val="28"/>
          <w:highlight w:val="none"/>
        </w:rPr>
        <w:br w:type="page"/>
      </w:r>
      <w:bookmarkStart w:id="51" w:name="_Toc11584"/>
      <w:bookmarkStart w:id="52" w:name="_Toc7918"/>
      <w:r>
        <w:rPr>
          <w:rFonts w:hint="eastAsia" w:ascii="方正小标宋_GBK" w:hAnsi="方正小标宋_GBK" w:eastAsia="方正小标宋_GBK" w:cs="方正小标宋_GBK"/>
          <w:b w:val="0"/>
          <w:bCs w:val="0"/>
          <w:color w:val="auto"/>
          <w:spacing w:val="0"/>
          <w:sz w:val="36"/>
          <w:szCs w:val="36"/>
          <w:highlight w:val="none"/>
        </w:rPr>
        <w:t>第三章 成交标准</w:t>
      </w:r>
      <w:bookmarkEnd w:id="51"/>
      <w:bookmarkEnd w:id="52"/>
    </w:p>
    <w:p w14:paraId="55A2769A">
      <w:pPr>
        <w:keepNext w:val="0"/>
        <w:keepLines w:val="0"/>
        <w:pageBreakBefore w:val="0"/>
        <w:widowControl w:val="0"/>
        <w:kinsoku/>
        <w:wordWrap/>
        <w:overflowPunct/>
        <w:topLinePunct w:val="0"/>
        <w:autoSpaceDE/>
        <w:autoSpaceDN/>
        <w:bidi w:val="0"/>
        <w:adjustRightInd w:val="0"/>
        <w:snapToGrid/>
        <w:spacing w:line="560" w:lineRule="exact"/>
        <w:ind w:firstLine="560" w:firstLineChars="200"/>
        <w:jc w:val="left"/>
        <w:textAlignment w:val="auto"/>
        <w:outlineLvl w:val="0"/>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color w:val="auto"/>
          <w:sz w:val="28"/>
          <w:szCs w:val="28"/>
          <w:highlight w:val="none"/>
        </w:rPr>
        <w:t>1、成交标准：质量和服务均能满足采购文件实质性要求，且符合采购人要求</w:t>
      </w:r>
      <w:r>
        <w:rPr>
          <w:rFonts w:hint="eastAsia" w:ascii="华文仿宋" w:hAnsi="华文仿宋" w:eastAsia="华文仿宋" w:cs="华文仿宋"/>
          <w:b/>
          <w:color w:val="auto"/>
          <w:sz w:val="28"/>
          <w:szCs w:val="28"/>
          <w:highlight w:val="none"/>
        </w:rPr>
        <w:t>。</w:t>
      </w:r>
    </w:p>
    <w:p w14:paraId="22A88500">
      <w:pPr>
        <w:keepNext w:val="0"/>
        <w:keepLines w:val="0"/>
        <w:pageBreakBefore w:val="0"/>
        <w:widowControl w:val="0"/>
        <w:kinsoku/>
        <w:wordWrap/>
        <w:overflowPunct/>
        <w:topLinePunct w:val="0"/>
        <w:autoSpaceDE/>
        <w:autoSpaceDN/>
        <w:bidi w:val="0"/>
        <w:adjustRightInd w:val="0"/>
        <w:snapToGrid/>
        <w:spacing w:line="560" w:lineRule="exact"/>
        <w:ind w:firstLine="560" w:firstLineChars="200"/>
        <w:textAlignment w:val="auto"/>
        <w:rPr>
          <w:rFonts w:hint="eastAsia" w:ascii="华文仿宋" w:hAnsi="华文仿宋" w:eastAsia="华文仿宋" w:cs="华文仿宋"/>
          <w:b w:val="0"/>
          <w:color w:val="auto"/>
          <w:sz w:val="28"/>
          <w:szCs w:val="28"/>
          <w:highlight w:val="none"/>
          <w:lang w:val="en-US" w:eastAsia="zh-CN"/>
        </w:rPr>
      </w:pPr>
      <w:r>
        <w:rPr>
          <w:rFonts w:hint="eastAsia" w:ascii="华文仿宋" w:hAnsi="华文仿宋" w:eastAsia="华文仿宋" w:cs="华文仿宋"/>
          <w:b w:val="0"/>
          <w:color w:val="auto"/>
          <w:sz w:val="28"/>
          <w:szCs w:val="28"/>
          <w:highlight w:val="none"/>
        </w:rPr>
        <w:t>2、评定标准：</w:t>
      </w:r>
      <w:r>
        <w:rPr>
          <w:rFonts w:hint="eastAsia" w:ascii="华文仿宋" w:hAnsi="华文仿宋" w:eastAsia="华文仿宋" w:cs="华文仿宋"/>
          <w:b w:val="0"/>
          <w:color w:val="auto"/>
          <w:sz w:val="28"/>
          <w:szCs w:val="28"/>
          <w:highlight w:val="none"/>
          <w:lang w:val="en-US" w:eastAsia="zh-CN"/>
        </w:rPr>
        <w:t>综合评分法</w:t>
      </w:r>
      <w:r>
        <w:rPr>
          <w:rFonts w:hint="eastAsia" w:ascii="华文仿宋" w:hAnsi="华文仿宋" w:eastAsia="华文仿宋" w:cs="华文仿宋"/>
          <w:b w:val="0"/>
          <w:color w:val="auto"/>
          <w:sz w:val="28"/>
          <w:szCs w:val="28"/>
          <w:highlight w:val="none"/>
          <w:lang w:val="zh-CN"/>
        </w:rPr>
        <w:t xml:space="preserve"> ，</w:t>
      </w:r>
      <w:r>
        <w:rPr>
          <w:rFonts w:hint="eastAsia" w:ascii="华文仿宋" w:hAnsi="华文仿宋" w:eastAsia="华文仿宋" w:cs="华文仿宋"/>
          <w:b w:val="0"/>
          <w:color w:val="auto"/>
          <w:sz w:val="28"/>
          <w:szCs w:val="28"/>
          <w:highlight w:val="none"/>
          <w:lang w:val="en-US" w:eastAsia="zh-CN"/>
        </w:rPr>
        <w:t>采用百分制（满分100分）。</w:t>
      </w:r>
    </w:p>
    <w:tbl>
      <w:tblPr>
        <w:tblStyle w:val="67"/>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9"/>
        <w:gridCol w:w="797"/>
        <w:gridCol w:w="7354"/>
      </w:tblGrid>
      <w:tr w14:paraId="15A37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 w:hRule="atLeast"/>
          <w:jc w:val="center"/>
        </w:trPr>
        <w:tc>
          <w:tcPr>
            <w:tcW w:w="1509" w:type="dxa"/>
            <w:tcBorders>
              <w:top w:val="single" w:color="auto" w:sz="4" w:space="0"/>
              <w:left w:val="single" w:color="auto" w:sz="4" w:space="0"/>
              <w:bottom w:val="single" w:color="auto" w:sz="4" w:space="0"/>
              <w:right w:val="single" w:color="auto" w:sz="4" w:space="0"/>
            </w:tcBorders>
            <w:vAlign w:val="center"/>
          </w:tcPr>
          <w:p w14:paraId="7E25B2AC">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rPr>
            </w:pPr>
            <w:bookmarkStart w:id="53" w:name="_Toc4559"/>
            <w:r>
              <w:rPr>
                <w:rFonts w:hint="eastAsia" w:ascii="华文仿宋" w:hAnsi="华文仿宋" w:eastAsia="华文仿宋" w:cs="华文仿宋"/>
                <w:color w:val="auto"/>
                <w:sz w:val="28"/>
                <w:szCs w:val="28"/>
                <w:highlight w:val="none"/>
              </w:rPr>
              <w:t>评分因素</w:t>
            </w:r>
          </w:p>
        </w:tc>
        <w:tc>
          <w:tcPr>
            <w:tcW w:w="797" w:type="dxa"/>
            <w:tcBorders>
              <w:top w:val="single" w:color="auto" w:sz="4" w:space="0"/>
              <w:left w:val="single" w:color="auto" w:sz="4" w:space="0"/>
              <w:bottom w:val="single" w:color="auto" w:sz="4" w:space="0"/>
              <w:right w:val="single" w:color="auto" w:sz="4" w:space="0"/>
            </w:tcBorders>
            <w:vAlign w:val="center"/>
          </w:tcPr>
          <w:p w14:paraId="64529EEB">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分值</w:t>
            </w:r>
          </w:p>
        </w:tc>
        <w:tc>
          <w:tcPr>
            <w:tcW w:w="7354" w:type="dxa"/>
            <w:tcBorders>
              <w:top w:val="single" w:color="auto" w:sz="4" w:space="0"/>
              <w:left w:val="single" w:color="auto" w:sz="4" w:space="0"/>
              <w:bottom w:val="single" w:color="auto" w:sz="4" w:space="0"/>
              <w:right w:val="single" w:color="auto" w:sz="4" w:space="0"/>
            </w:tcBorders>
            <w:vAlign w:val="center"/>
          </w:tcPr>
          <w:p w14:paraId="6234C7B4">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评审标准</w:t>
            </w:r>
          </w:p>
        </w:tc>
      </w:tr>
      <w:tr w14:paraId="7957E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7" w:hRule="atLeast"/>
          <w:jc w:val="center"/>
        </w:trPr>
        <w:tc>
          <w:tcPr>
            <w:tcW w:w="1509" w:type="dxa"/>
            <w:tcBorders>
              <w:top w:val="single" w:color="auto" w:sz="4" w:space="0"/>
              <w:left w:val="single" w:color="auto" w:sz="4" w:space="0"/>
              <w:bottom w:val="single" w:color="auto" w:sz="4" w:space="0"/>
              <w:right w:val="single" w:color="auto" w:sz="4" w:space="0"/>
            </w:tcBorders>
            <w:vAlign w:val="center"/>
          </w:tcPr>
          <w:p w14:paraId="645B8159">
            <w:pPr>
              <w:keepNext w:val="0"/>
              <w:keepLines w:val="0"/>
              <w:pageBreakBefore w:val="0"/>
              <w:widowControl w:val="0"/>
              <w:kinsoku/>
              <w:wordWrap/>
              <w:overflowPunct/>
              <w:topLinePunct w:val="0"/>
              <w:autoSpaceDE/>
              <w:autoSpaceDN/>
              <w:bidi w:val="0"/>
              <w:adjustRightInd w:val="0"/>
              <w:snapToGrid/>
              <w:spacing w:line="560" w:lineRule="exact"/>
              <w:ind w:firstLine="560" w:firstLineChars="200"/>
              <w:jc w:val="center"/>
              <w:textAlignment w:val="auto"/>
              <w:outlineLvl w:val="0"/>
              <w:rPr>
                <w:rFonts w:hint="eastAsia" w:ascii="华文仿宋" w:hAnsi="华文仿宋" w:eastAsia="华文仿宋" w:cs="华文仿宋"/>
                <w:color w:val="auto"/>
                <w:sz w:val="28"/>
                <w:szCs w:val="28"/>
                <w:highlight w:val="none"/>
              </w:rPr>
            </w:pPr>
          </w:p>
          <w:p w14:paraId="5B5390E7">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报价</w:t>
            </w:r>
          </w:p>
          <w:p w14:paraId="6E4AFC9E">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（15分）</w:t>
            </w:r>
          </w:p>
        </w:tc>
        <w:tc>
          <w:tcPr>
            <w:tcW w:w="797" w:type="dxa"/>
            <w:tcBorders>
              <w:top w:val="single" w:color="auto" w:sz="4" w:space="0"/>
              <w:left w:val="single" w:color="auto" w:sz="4" w:space="0"/>
              <w:bottom w:val="single" w:color="auto" w:sz="4" w:space="0"/>
              <w:right w:val="single" w:color="auto" w:sz="4" w:space="0"/>
            </w:tcBorders>
            <w:vAlign w:val="center"/>
          </w:tcPr>
          <w:p w14:paraId="76C21995">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15</w:t>
            </w:r>
          </w:p>
        </w:tc>
        <w:tc>
          <w:tcPr>
            <w:tcW w:w="7354" w:type="dxa"/>
            <w:tcBorders>
              <w:top w:val="single" w:color="auto" w:sz="4" w:space="0"/>
              <w:left w:val="single" w:color="auto" w:sz="4" w:space="0"/>
              <w:bottom w:val="single" w:color="auto" w:sz="4" w:space="0"/>
              <w:right w:val="single" w:color="auto" w:sz="4" w:space="0"/>
            </w:tcBorders>
            <w:vAlign w:val="center"/>
          </w:tcPr>
          <w:p w14:paraId="495A4D5F">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以报价</w:t>
            </w:r>
            <w:r>
              <w:rPr>
                <w:rFonts w:hint="eastAsia" w:ascii="华文仿宋" w:hAnsi="华文仿宋" w:eastAsia="华文仿宋" w:cs="华文仿宋"/>
                <w:color w:val="auto"/>
                <w:sz w:val="28"/>
                <w:szCs w:val="28"/>
                <w:highlight w:val="none"/>
                <w:lang w:val="en-US" w:eastAsia="zh-CN"/>
              </w:rPr>
              <w:t>费率</w:t>
            </w:r>
            <w:r>
              <w:rPr>
                <w:rFonts w:hint="eastAsia" w:ascii="华文仿宋" w:hAnsi="华文仿宋" w:eastAsia="华文仿宋" w:cs="华文仿宋"/>
                <w:color w:val="auto"/>
                <w:sz w:val="28"/>
                <w:szCs w:val="28"/>
                <w:highlight w:val="none"/>
              </w:rPr>
              <w:t>的最低值为A，A值为价格分的满分</w:t>
            </w:r>
            <w:r>
              <w:rPr>
                <w:rFonts w:hint="eastAsia" w:ascii="华文仿宋" w:hAnsi="华文仿宋" w:eastAsia="华文仿宋" w:cs="华文仿宋"/>
                <w:color w:val="auto"/>
                <w:sz w:val="28"/>
                <w:szCs w:val="28"/>
                <w:highlight w:val="none"/>
                <w:lang w:eastAsia="zh-CN"/>
              </w:rPr>
              <w:t>，即</w:t>
            </w:r>
            <w:r>
              <w:rPr>
                <w:rFonts w:hint="eastAsia" w:ascii="华文仿宋" w:hAnsi="华文仿宋" w:eastAsia="华文仿宋" w:cs="华文仿宋"/>
                <w:color w:val="auto"/>
                <w:sz w:val="28"/>
                <w:szCs w:val="28"/>
                <w:highlight w:val="none"/>
                <w:lang w:val="en-US" w:eastAsia="zh-CN"/>
              </w:rPr>
              <w:t>15</w:t>
            </w:r>
            <w:r>
              <w:rPr>
                <w:rFonts w:hint="eastAsia" w:ascii="华文仿宋" w:hAnsi="华文仿宋" w:eastAsia="华文仿宋" w:cs="华文仿宋"/>
                <w:color w:val="auto"/>
                <w:sz w:val="28"/>
                <w:szCs w:val="28"/>
                <w:highlight w:val="none"/>
              </w:rPr>
              <w:t>分。其他供应商的价格分统一按照以下公式计算：</w:t>
            </w:r>
          </w:p>
          <w:p w14:paraId="31197995">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报价得分=（A／该供应商</w:t>
            </w:r>
            <w:r>
              <w:rPr>
                <w:rFonts w:hint="eastAsia" w:ascii="华文仿宋" w:hAnsi="华文仿宋" w:eastAsia="华文仿宋" w:cs="华文仿宋"/>
                <w:color w:val="auto"/>
                <w:sz w:val="28"/>
                <w:szCs w:val="28"/>
                <w:highlight w:val="none"/>
                <w:lang w:val="en-US" w:eastAsia="zh-CN"/>
              </w:rPr>
              <w:t>最终</w:t>
            </w:r>
            <w:r>
              <w:rPr>
                <w:rFonts w:hint="eastAsia" w:ascii="华文仿宋" w:hAnsi="华文仿宋" w:eastAsia="华文仿宋" w:cs="华文仿宋"/>
                <w:color w:val="auto"/>
                <w:sz w:val="28"/>
                <w:szCs w:val="28"/>
                <w:highlight w:val="none"/>
              </w:rPr>
              <w:t>报价</w:t>
            </w:r>
            <w:r>
              <w:rPr>
                <w:rFonts w:hint="eastAsia" w:ascii="华文仿宋" w:hAnsi="华文仿宋" w:eastAsia="华文仿宋" w:cs="华文仿宋"/>
                <w:color w:val="auto"/>
                <w:sz w:val="28"/>
                <w:szCs w:val="28"/>
                <w:highlight w:val="none"/>
                <w:lang w:val="en-US" w:eastAsia="zh-CN"/>
              </w:rPr>
              <w:t>费率</w:t>
            </w:r>
            <w:r>
              <w:rPr>
                <w:rFonts w:hint="eastAsia" w:ascii="华文仿宋" w:hAnsi="华文仿宋" w:eastAsia="华文仿宋" w:cs="华文仿宋"/>
                <w:color w:val="auto"/>
                <w:sz w:val="28"/>
                <w:szCs w:val="28"/>
                <w:highlight w:val="none"/>
              </w:rPr>
              <w:t>）×</w:t>
            </w:r>
            <w:r>
              <w:rPr>
                <w:rFonts w:hint="eastAsia" w:ascii="华文仿宋" w:hAnsi="华文仿宋" w:eastAsia="华文仿宋" w:cs="华文仿宋"/>
                <w:color w:val="auto"/>
                <w:sz w:val="28"/>
                <w:szCs w:val="28"/>
                <w:highlight w:val="none"/>
                <w:lang w:val="en-US" w:eastAsia="zh-CN"/>
              </w:rPr>
              <w:t>15</w:t>
            </w:r>
            <w:r>
              <w:rPr>
                <w:rFonts w:hint="eastAsia" w:ascii="华文仿宋" w:hAnsi="华文仿宋" w:eastAsia="华文仿宋" w:cs="华文仿宋"/>
                <w:color w:val="auto"/>
                <w:sz w:val="28"/>
                <w:szCs w:val="28"/>
                <w:highlight w:val="none"/>
              </w:rPr>
              <w:t>。</w:t>
            </w:r>
          </w:p>
          <w:p w14:paraId="64C84163">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评分分值计算保留小数点后两位，小数点后第三位“四舍五入”</w:t>
            </w:r>
            <w:r>
              <w:rPr>
                <w:rFonts w:hint="eastAsia" w:ascii="华文仿宋" w:hAnsi="华文仿宋" w:eastAsia="华文仿宋" w:cs="华文仿宋"/>
                <w:color w:val="auto"/>
                <w:sz w:val="28"/>
                <w:szCs w:val="28"/>
                <w:highlight w:val="none"/>
                <w:lang w:eastAsia="zh-CN"/>
              </w:rPr>
              <w:t>。</w:t>
            </w:r>
          </w:p>
          <w:p w14:paraId="51023519">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eastAsia="zh-CN"/>
              </w:rPr>
              <w:t>参照《省物价局省住房和城乡建设厅关于规范工程造价咨询服务收费标准及有关事项的通知》（苏价服【2014】383号）收费标准。</w:t>
            </w:r>
            <w:r>
              <w:rPr>
                <w:rFonts w:hint="eastAsia" w:ascii="华文仿宋" w:hAnsi="华文仿宋" w:eastAsia="华文仿宋" w:cs="华文仿宋"/>
                <w:color w:val="auto"/>
                <w:sz w:val="28"/>
                <w:szCs w:val="28"/>
                <w:highlight w:val="none"/>
                <w:lang w:val="en-US" w:eastAsia="zh-CN"/>
              </w:rPr>
              <w:t>报价应</w:t>
            </w:r>
            <w:r>
              <w:rPr>
                <w:rFonts w:hint="eastAsia" w:ascii="华文仿宋" w:hAnsi="华文仿宋" w:eastAsia="华文仿宋" w:cs="华文仿宋"/>
                <w:color w:val="auto"/>
                <w:sz w:val="28"/>
                <w:szCs w:val="28"/>
                <w:highlight w:val="none"/>
              </w:rPr>
              <w:t>包含招标阶段：工程预算、招标控制价、投标报价（含工程量清单审核）审核；施工阶段全过程造价控制：基本费</w:t>
            </w:r>
            <w:r>
              <w:rPr>
                <w:rFonts w:hint="eastAsia" w:ascii="华文仿宋" w:hAnsi="华文仿宋" w:eastAsia="华文仿宋" w:cs="华文仿宋"/>
                <w:color w:val="auto"/>
                <w:sz w:val="28"/>
                <w:szCs w:val="28"/>
                <w:highlight w:val="none"/>
                <w:lang w:val="en-US" w:eastAsia="zh-CN"/>
              </w:rPr>
              <w:t>和驻场费</w:t>
            </w:r>
            <w:r>
              <w:rPr>
                <w:rFonts w:hint="eastAsia" w:ascii="华文仿宋" w:hAnsi="华文仿宋" w:eastAsia="华文仿宋" w:cs="华文仿宋"/>
                <w:color w:val="auto"/>
                <w:sz w:val="28"/>
                <w:szCs w:val="28"/>
                <w:highlight w:val="none"/>
              </w:rPr>
              <w:t>；竣工结算</w:t>
            </w:r>
            <w:r>
              <w:rPr>
                <w:rFonts w:hint="eastAsia" w:ascii="华文仿宋" w:hAnsi="华文仿宋" w:eastAsia="华文仿宋" w:cs="华文仿宋"/>
                <w:color w:val="auto"/>
                <w:sz w:val="28"/>
                <w:szCs w:val="28"/>
                <w:highlight w:val="none"/>
                <w:lang w:val="en-US" w:eastAsia="zh-CN"/>
              </w:rPr>
              <w:t>及决算</w:t>
            </w:r>
            <w:r>
              <w:rPr>
                <w:rFonts w:hint="eastAsia" w:ascii="华文仿宋" w:hAnsi="华文仿宋" w:eastAsia="华文仿宋" w:cs="华文仿宋"/>
                <w:color w:val="auto"/>
                <w:sz w:val="28"/>
                <w:szCs w:val="28"/>
                <w:highlight w:val="none"/>
              </w:rPr>
              <w:t>阶段：工程结算审核效益费</w:t>
            </w:r>
          </w:p>
        </w:tc>
      </w:tr>
      <w:tr w14:paraId="6477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1509" w:type="dxa"/>
            <w:vMerge w:val="restart"/>
            <w:tcBorders>
              <w:top w:val="single" w:color="auto" w:sz="4" w:space="0"/>
              <w:left w:val="single" w:color="auto" w:sz="4" w:space="0"/>
              <w:right w:val="single" w:color="auto" w:sz="4" w:space="0"/>
            </w:tcBorders>
            <w:vAlign w:val="center"/>
          </w:tcPr>
          <w:p w14:paraId="4B51B045">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项目团队人员配备（21分）</w:t>
            </w:r>
          </w:p>
        </w:tc>
        <w:tc>
          <w:tcPr>
            <w:tcW w:w="797" w:type="dxa"/>
            <w:tcBorders>
              <w:top w:val="single" w:color="auto" w:sz="4" w:space="0"/>
              <w:left w:val="single" w:color="auto" w:sz="4" w:space="0"/>
              <w:bottom w:val="single" w:color="auto" w:sz="4" w:space="0"/>
              <w:right w:val="single" w:color="auto" w:sz="4" w:space="0"/>
            </w:tcBorders>
            <w:shd w:val="clear" w:color="auto" w:fill="auto"/>
            <w:vAlign w:val="center"/>
          </w:tcPr>
          <w:p w14:paraId="2E71A58E">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2</w:t>
            </w:r>
          </w:p>
        </w:tc>
        <w:tc>
          <w:tcPr>
            <w:tcW w:w="7354" w:type="dxa"/>
            <w:tcBorders>
              <w:top w:val="single" w:color="auto" w:sz="4" w:space="0"/>
              <w:left w:val="single" w:color="auto" w:sz="4" w:space="0"/>
              <w:bottom w:val="single" w:color="auto" w:sz="4" w:space="0"/>
              <w:right w:val="single" w:color="auto" w:sz="4" w:space="0"/>
            </w:tcBorders>
            <w:vAlign w:val="center"/>
          </w:tcPr>
          <w:p w14:paraId="7C500724">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eastAsia="zh-CN"/>
              </w:rPr>
              <w:t>拟投入</w:t>
            </w:r>
            <w:r>
              <w:rPr>
                <w:rFonts w:hint="eastAsia" w:ascii="华文仿宋" w:hAnsi="华文仿宋" w:eastAsia="华文仿宋" w:cs="华文仿宋"/>
                <w:color w:val="auto"/>
                <w:sz w:val="28"/>
                <w:szCs w:val="28"/>
                <w:highlight w:val="none"/>
                <w:lang w:val="en-US" w:eastAsia="zh-CN"/>
              </w:rPr>
              <w:t>的</w:t>
            </w:r>
            <w:r>
              <w:rPr>
                <w:rFonts w:hint="eastAsia" w:ascii="华文仿宋" w:hAnsi="华文仿宋" w:eastAsia="华文仿宋" w:cs="华文仿宋"/>
                <w:color w:val="auto"/>
                <w:sz w:val="28"/>
                <w:szCs w:val="28"/>
                <w:highlight w:val="none"/>
                <w:lang w:eastAsia="zh-CN"/>
              </w:rPr>
              <w:t>项目负责人具有工程类高级及以上职称证书得</w:t>
            </w:r>
            <w:r>
              <w:rPr>
                <w:rFonts w:hint="eastAsia" w:ascii="华文仿宋" w:hAnsi="华文仿宋" w:eastAsia="华文仿宋" w:cs="华文仿宋"/>
                <w:color w:val="auto"/>
                <w:sz w:val="28"/>
                <w:szCs w:val="28"/>
                <w:highlight w:val="none"/>
                <w:lang w:val="en-US" w:eastAsia="zh-CN"/>
              </w:rPr>
              <w:t>2</w:t>
            </w:r>
            <w:r>
              <w:rPr>
                <w:rFonts w:hint="eastAsia" w:ascii="华文仿宋" w:hAnsi="华文仿宋" w:eastAsia="华文仿宋" w:cs="华文仿宋"/>
                <w:color w:val="auto"/>
                <w:sz w:val="28"/>
                <w:szCs w:val="28"/>
                <w:highlight w:val="none"/>
                <w:lang w:eastAsia="zh-CN"/>
              </w:rPr>
              <w:t>分。（</w:t>
            </w:r>
            <w:r>
              <w:rPr>
                <w:rFonts w:hint="eastAsia" w:ascii="华文仿宋" w:hAnsi="华文仿宋" w:eastAsia="华文仿宋" w:cs="华文仿宋"/>
                <w:color w:val="auto"/>
                <w:sz w:val="28"/>
                <w:szCs w:val="28"/>
                <w:highlight w:val="none"/>
                <w:lang w:val="en-US" w:eastAsia="zh-CN"/>
              </w:rPr>
              <w:t>供应商</w:t>
            </w:r>
            <w:r>
              <w:rPr>
                <w:rFonts w:hint="eastAsia" w:ascii="华文仿宋" w:hAnsi="华文仿宋" w:eastAsia="华文仿宋" w:cs="华文仿宋"/>
                <w:color w:val="auto"/>
                <w:sz w:val="28"/>
                <w:szCs w:val="28"/>
                <w:highlight w:val="none"/>
                <w:lang w:eastAsia="zh-CN"/>
              </w:rPr>
              <w:t>提供有效的相关证书</w:t>
            </w:r>
            <w:r>
              <w:rPr>
                <w:rFonts w:hint="eastAsia" w:ascii="华文仿宋" w:hAnsi="华文仿宋" w:eastAsia="华文仿宋" w:cs="华文仿宋"/>
                <w:color w:val="auto"/>
                <w:sz w:val="28"/>
                <w:szCs w:val="28"/>
                <w:highlight w:val="none"/>
                <w:lang w:val="en-US" w:eastAsia="zh-CN"/>
              </w:rPr>
              <w:t>复印件加盖公章</w:t>
            </w:r>
            <w:r>
              <w:rPr>
                <w:rFonts w:hint="eastAsia" w:ascii="华文仿宋" w:hAnsi="华文仿宋" w:eastAsia="华文仿宋" w:cs="华文仿宋"/>
                <w:color w:val="auto"/>
                <w:sz w:val="28"/>
                <w:szCs w:val="28"/>
                <w:highlight w:val="none"/>
                <w:lang w:eastAsia="zh-CN"/>
              </w:rPr>
              <w:t>。因资料不全而影响该项评审的，不得分。）</w:t>
            </w:r>
          </w:p>
        </w:tc>
      </w:tr>
      <w:tr w14:paraId="3EAC3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09" w:type="dxa"/>
            <w:vMerge w:val="continue"/>
            <w:tcBorders>
              <w:left w:val="single" w:color="auto" w:sz="4" w:space="0"/>
              <w:right w:val="single" w:color="auto" w:sz="4" w:space="0"/>
            </w:tcBorders>
            <w:vAlign w:val="center"/>
          </w:tcPr>
          <w:p w14:paraId="6EE8A3D7">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p>
        </w:tc>
        <w:tc>
          <w:tcPr>
            <w:tcW w:w="797" w:type="dxa"/>
            <w:tcBorders>
              <w:top w:val="single" w:color="auto" w:sz="4" w:space="0"/>
              <w:left w:val="single" w:color="auto" w:sz="4" w:space="0"/>
              <w:bottom w:val="single" w:color="auto" w:sz="4" w:space="0"/>
              <w:right w:val="single" w:color="auto" w:sz="4" w:space="0"/>
            </w:tcBorders>
            <w:shd w:val="clear" w:color="auto" w:fill="auto"/>
            <w:vAlign w:val="center"/>
          </w:tcPr>
          <w:p w14:paraId="768D0FD9">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3</w:t>
            </w:r>
          </w:p>
        </w:tc>
        <w:tc>
          <w:tcPr>
            <w:tcW w:w="7354" w:type="dxa"/>
            <w:tcBorders>
              <w:top w:val="single" w:color="auto" w:sz="4" w:space="0"/>
              <w:left w:val="single" w:color="auto" w:sz="4" w:space="0"/>
              <w:bottom w:val="single" w:color="auto" w:sz="4" w:space="0"/>
              <w:right w:val="single" w:color="auto" w:sz="4" w:space="0"/>
            </w:tcBorders>
            <w:shd w:val="clear" w:color="auto" w:fill="auto"/>
            <w:vAlign w:val="center"/>
          </w:tcPr>
          <w:p w14:paraId="20877C93">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eastAsia="zh-CN"/>
              </w:rPr>
              <w:t>拟投入的项目负责人从事造价咨询工作</w:t>
            </w:r>
            <w:r>
              <w:rPr>
                <w:rFonts w:hint="eastAsia" w:ascii="华文仿宋" w:hAnsi="华文仿宋" w:eastAsia="华文仿宋" w:cs="华文仿宋"/>
                <w:color w:val="auto"/>
                <w:sz w:val="28"/>
                <w:szCs w:val="28"/>
                <w:highlight w:val="none"/>
                <w:lang w:val="en-US" w:eastAsia="zh-CN"/>
              </w:rPr>
              <w:t>15</w:t>
            </w:r>
            <w:r>
              <w:rPr>
                <w:rFonts w:hint="eastAsia" w:ascii="华文仿宋" w:hAnsi="华文仿宋" w:eastAsia="华文仿宋" w:cs="华文仿宋"/>
                <w:color w:val="auto"/>
                <w:sz w:val="28"/>
                <w:szCs w:val="28"/>
                <w:highlight w:val="none"/>
                <w:lang w:eastAsia="zh-CN"/>
              </w:rPr>
              <w:t>年以上的（含</w:t>
            </w:r>
            <w:r>
              <w:rPr>
                <w:rFonts w:hint="eastAsia" w:ascii="华文仿宋" w:hAnsi="华文仿宋" w:eastAsia="华文仿宋" w:cs="华文仿宋"/>
                <w:color w:val="auto"/>
                <w:sz w:val="28"/>
                <w:szCs w:val="28"/>
                <w:highlight w:val="none"/>
                <w:lang w:val="en-US" w:eastAsia="zh-CN"/>
              </w:rPr>
              <w:t>15</w:t>
            </w:r>
            <w:r>
              <w:rPr>
                <w:rFonts w:hint="eastAsia" w:ascii="华文仿宋" w:hAnsi="华文仿宋" w:eastAsia="华文仿宋" w:cs="华文仿宋"/>
                <w:color w:val="auto"/>
                <w:sz w:val="28"/>
                <w:szCs w:val="28"/>
                <w:highlight w:val="none"/>
                <w:lang w:eastAsia="zh-CN"/>
              </w:rPr>
              <w:t>年）的，得3分；1</w:t>
            </w:r>
            <w:r>
              <w:rPr>
                <w:rFonts w:hint="eastAsia" w:ascii="华文仿宋" w:hAnsi="华文仿宋" w:eastAsia="华文仿宋" w:cs="华文仿宋"/>
                <w:color w:val="auto"/>
                <w:sz w:val="28"/>
                <w:szCs w:val="28"/>
                <w:highlight w:val="none"/>
                <w:lang w:val="en-US" w:eastAsia="zh-CN"/>
              </w:rPr>
              <w:t>0</w:t>
            </w:r>
            <w:r>
              <w:rPr>
                <w:rFonts w:hint="eastAsia" w:ascii="华文仿宋" w:hAnsi="华文仿宋" w:eastAsia="华文仿宋" w:cs="华文仿宋"/>
                <w:color w:val="auto"/>
                <w:sz w:val="28"/>
                <w:szCs w:val="28"/>
                <w:highlight w:val="none"/>
                <w:lang w:eastAsia="zh-CN"/>
              </w:rPr>
              <w:t>年到</w:t>
            </w:r>
            <w:r>
              <w:rPr>
                <w:rFonts w:hint="eastAsia" w:ascii="华文仿宋" w:hAnsi="华文仿宋" w:eastAsia="华文仿宋" w:cs="华文仿宋"/>
                <w:color w:val="auto"/>
                <w:sz w:val="28"/>
                <w:szCs w:val="28"/>
                <w:highlight w:val="none"/>
                <w:lang w:val="en-US" w:eastAsia="zh-CN"/>
              </w:rPr>
              <w:t>15</w:t>
            </w:r>
            <w:r>
              <w:rPr>
                <w:rFonts w:hint="eastAsia" w:ascii="华文仿宋" w:hAnsi="华文仿宋" w:eastAsia="华文仿宋" w:cs="华文仿宋"/>
                <w:color w:val="auto"/>
                <w:sz w:val="28"/>
                <w:szCs w:val="28"/>
                <w:highlight w:val="none"/>
                <w:lang w:eastAsia="zh-CN"/>
              </w:rPr>
              <w:t>年（不含15年）的，得2分；</w:t>
            </w:r>
            <w:r>
              <w:rPr>
                <w:rFonts w:hint="eastAsia" w:ascii="华文仿宋" w:hAnsi="华文仿宋" w:eastAsia="华文仿宋" w:cs="华文仿宋"/>
                <w:color w:val="auto"/>
                <w:sz w:val="28"/>
                <w:szCs w:val="28"/>
                <w:highlight w:val="none"/>
                <w:lang w:val="en-US" w:eastAsia="zh-CN"/>
              </w:rPr>
              <w:t>10年及以下的，得1分</w:t>
            </w:r>
            <w:r>
              <w:rPr>
                <w:rFonts w:hint="eastAsia" w:ascii="华文仿宋" w:hAnsi="华文仿宋" w:eastAsia="华文仿宋" w:cs="华文仿宋"/>
                <w:color w:val="auto"/>
                <w:sz w:val="28"/>
                <w:szCs w:val="28"/>
                <w:highlight w:val="none"/>
                <w:lang w:eastAsia="zh-CN"/>
              </w:rPr>
              <w:t>。以注册造价工程师初始注册时间为准。</w:t>
            </w:r>
            <w:r>
              <w:rPr>
                <w:rFonts w:hint="eastAsia" w:ascii="华文仿宋" w:hAnsi="华文仿宋" w:eastAsia="华文仿宋" w:cs="华文仿宋"/>
                <w:color w:val="auto"/>
                <w:sz w:val="28"/>
                <w:szCs w:val="28"/>
                <w:highlight w:val="none"/>
                <w:lang w:val="en-US" w:eastAsia="zh-CN"/>
              </w:rPr>
              <w:t>（供应商</w:t>
            </w:r>
            <w:r>
              <w:rPr>
                <w:rFonts w:hint="eastAsia" w:ascii="华文仿宋" w:hAnsi="华文仿宋" w:eastAsia="华文仿宋" w:cs="华文仿宋"/>
                <w:color w:val="auto"/>
                <w:sz w:val="28"/>
                <w:szCs w:val="28"/>
                <w:highlight w:val="none"/>
                <w:lang w:eastAsia="zh-CN"/>
              </w:rPr>
              <w:t>提供有效的相关证书</w:t>
            </w:r>
            <w:r>
              <w:rPr>
                <w:rFonts w:hint="eastAsia" w:ascii="华文仿宋" w:hAnsi="华文仿宋" w:eastAsia="华文仿宋" w:cs="华文仿宋"/>
                <w:color w:val="auto"/>
                <w:sz w:val="28"/>
                <w:szCs w:val="28"/>
                <w:highlight w:val="none"/>
                <w:lang w:val="en-US" w:eastAsia="zh-CN"/>
              </w:rPr>
              <w:t>复印件加盖公章</w:t>
            </w:r>
            <w:r>
              <w:rPr>
                <w:rFonts w:hint="eastAsia" w:ascii="华文仿宋" w:hAnsi="华文仿宋" w:eastAsia="华文仿宋" w:cs="华文仿宋"/>
                <w:color w:val="auto"/>
                <w:sz w:val="28"/>
                <w:szCs w:val="28"/>
                <w:highlight w:val="none"/>
                <w:lang w:eastAsia="zh-CN"/>
              </w:rPr>
              <w:t>。因资料不全而影响该项评审的，不得分。</w:t>
            </w:r>
            <w:r>
              <w:rPr>
                <w:rFonts w:hint="eastAsia" w:ascii="华文仿宋" w:hAnsi="华文仿宋" w:eastAsia="华文仿宋" w:cs="华文仿宋"/>
                <w:color w:val="auto"/>
                <w:sz w:val="28"/>
                <w:szCs w:val="28"/>
                <w:highlight w:val="none"/>
                <w:lang w:val="en-US" w:eastAsia="zh-CN"/>
              </w:rPr>
              <w:t>）</w:t>
            </w:r>
          </w:p>
        </w:tc>
      </w:tr>
      <w:tr w14:paraId="61CEF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509" w:type="dxa"/>
            <w:vMerge w:val="continue"/>
            <w:tcBorders>
              <w:left w:val="single" w:color="auto" w:sz="4" w:space="0"/>
              <w:right w:val="single" w:color="auto" w:sz="4" w:space="0"/>
            </w:tcBorders>
            <w:vAlign w:val="center"/>
          </w:tcPr>
          <w:p w14:paraId="11D38683">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p>
        </w:tc>
        <w:tc>
          <w:tcPr>
            <w:tcW w:w="797" w:type="dxa"/>
            <w:tcBorders>
              <w:top w:val="single" w:color="auto" w:sz="4" w:space="0"/>
              <w:left w:val="single" w:color="auto" w:sz="4" w:space="0"/>
              <w:bottom w:val="single" w:color="auto" w:sz="4" w:space="0"/>
              <w:right w:val="single" w:color="auto" w:sz="4" w:space="0"/>
            </w:tcBorders>
            <w:shd w:val="clear" w:color="auto" w:fill="auto"/>
            <w:vAlign w:val="center"/>
          </w:tcPr>
          <w:p w14:paraId="7F0FE5D2">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6</w:t>
            </w:r>
          </w:p>
        </w:tc>
        <w:tc>
          <w:tcPr>
            <w:tcW w:w="7354" w:type="dxa"/>
            <w:tcBorders>
              <w:top w:val="single" w:color="auto" w:sz="4" w:space="0"/>
              <w:left w:val="single" w:color="auto" w:sz="4" w:space="0"/>
              <w:bottom w:val="single" w:color="auto" w:sz="4" w:space="0"/>
              <w:right w:val="single" w:color="auto" w:sz="4" w:space="0"/>
            </w:tcBorders>
            <w:shd w:val="clear" w:color="auto" w:fill="auto"/>
            <w:vAlign w:val="center"/>
          </w:tcPr>
          <w:p w14:paraId="45700302">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eastAsia="zh-CN"/>
              </w:rPr>
              <w:t>项目组其他成员：配备至少</w:t>
            </w:r>
            <w:r>
              <w:rPr>
                <w:rFonts w:hint="eastAsia" w:ascii="华文仿宋" w:hAnsi="华文仿宋" w:eastAsia="华文仿宋" w:cs="华文仿宋"/>
                <w:color w:val="auto"/>
                <w:sz w:val="28"/>
                <w:szCs w:val="28"/>
                <w:highlight w:val="none"/>
                <w:lang w:val="en-US" w:eastAsia="zh-CN"/>
              </w:rPr>
              <w:t>6</w:t>
            </w:r>
            <w:r>
              <w:rPr>
                <w:rFonts w:hint="eastAsia" w:ascii="华文仿宋" w:hAnsi="华文仿宋" w:eastAsia="华文仿宋" w:cs="华文仿宋"/>
                <w:color w:val="auto"/>
                <w:sz w:val="28"/>
                <w:szCs w:val="28"/>
                <w:highlight w:val="none"/>
                <w:lang w:eastAsia="zh-CN"/>
              </w:rPr>
              <w:t>人，</w:t>
            </w:r>
            <w:r>
              <w:rPr>
                <w:rFonts w:hint="eastAsia" w:ascii="华文仿宋" w:hAnsi="华文仿宋" w:eastAsia="华文仿宋" w:cs="华文仿宋"/>
                <w:color w:val="auto"/>
                <w:sz w:val="28"/>
                <w:szCs w:val="28"/>
                <w:highlight w:val="none"/>
                <w:lang w:eastAsia="zh-CN"/>
              </w:rPr>
              <w:t>人数不足此项不得分</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lang w:val="en-US" w:eastAsia="zh-CN"/>
              </w:rPr>
              <w:t>其中</w:t>
            </w:r>
            <w:r>
              <w:rPr>
                <w:rFonts w:hint="eastAsia" w:ascii="华文仿宋" w:hAnsi="华文仿宋" w:eastAsia="华文仿宋" w:cs="华文仿宋"/>
                <w:color w:val="auto"/>
                <w:sz w:val="28"/>
                <w:szCs w:val="28"/>
                <w:highlight w:val="none"/>
                <w:lang w:eastAsia="zh-CN"/>
              </w:rPr>
              <w:t>具备</w:t>
            </w:r>
            <w:r>
              <w:rPr>
                <w:rFonts w:hint="eastAsia" w:ascii="华文仿宋" w:hAnsi="华文仿宋" w:eastAsia="华文仿宋" w:cs="华文仿宋"/>
                <w:color w:val="auto"/>
                <w:sz w:val="28"/>
                <w:szCs w:val="28"/>
                <w:highlight w:val="none"/>
                <w:lang w:val="en-US" w:eastAsia="zh-CN"/>
              </w:rPr>
              <w:t>注册一级造价工程师（旧版为注册造价工程师）（含执业资格）</w:t>
            </w:r>
            <w:r>
              <w:rPr>
                <w:rFonts w:hint="eastAsia" w:ascii="华文仿宋" w:hAnsi="华文仿宋" w:eastAsia="华文仿宋" w:cs="华文仿宋"/>
                <w:color w:val="auto"/>
                <w:sz w:val="28"/>
                <w:szCs w:val="28"/>
                <w:highlight w:val="none"/>
                <w:lang w:eastAsia="zh-CN"/>
              </w:rPr>
              <w:t>证书，每有一人得</w:t>
            </w: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lang w:eastAsia="zh-CN"/>
              </w:rPr>
              <w:t>分，最多</w:t>
            </w:r>
            <w:r>
              <w:rPr>
                <w:rFonts w:hint="eastAsia" w:ascii="华文仿宋" w:hAnsi="华文仿宋" w:eastAsia="华文仿宋" w:cs="华文仿宋"/>
                <w:color w:val="auto"/>
                <w:sz w:val="28"/>
                <w:szCs w:val="28"/>
                <w:highlight w:val="none"/>
                <w:lang w:val="en-US" w:eastAsia="zh-CN"/>
              </w:rPr>
              <w:t>得6</w:t>
            </w:r>
            <w:r>
              <w:rPr>
                <w:rFonts w:hint="eastAsia" w:ascii="华文仿宋" w:hAnsi="华文仿宋" w:eastAsia="华文仿宋" w:cs="华文仿宋"/>
                <w:color w:val="auto"/>
                <w:sz w:val="28"/>
                <w:szCs w:val="28"/>
                <w:highlight w:val="none"/>
                <w:lang w:eastAsia="zh-CN"/>
              </w:rPr>
              <w:t>分（</w:t>
            </w:r>
            <w:r>
              <w:rPr>
                <w:rFonts w:hint="eastAsia" w:ascii="华文仿宋" w:hAnsi="华文仿宋" w:eastAsia="华文仿宋" w:cs="华文仿宋"/>
                <w:color w:val="auto"/>
                <w:sz w:val="28"/>
                <w:szCs w:val="28"/>
                <w:highlight w:val="none"/>
                <w:lang w:val="en-US" w:eastAsia="zh-CN"/>
              </w:rPr>
              <w:t>至少一级造价工程师</w:t>
            </w:r>
            <w:r>
              <w:rPr>
                <w:rFonts w:hint="eastAsia" w:ascii="华文仿宋" w:hAnsi="华文仿宋" w:eastAsia="华文仿宋" w:cs="华文仿宋"/>
                <w:color w:val="auto"/>
                <w:sz w:val="28"/>
                <w:szCs w:val="28"/>
                <w:highlight w:val="none"/>
                <w:lang w:eastAsia="zh-CN"/>
              </w:rPr>
              <w:t>土建</w:t>
            </w:r>
            <w:r>
              <w:rPr>
                <w:rFonts w:hint="eastAsia" w:ascii="华文仿宋" w:hAnsi="华文仿宋" w:eastAsia="华文仿宋" w:cs="华文仿宋"/>
                <w:color w:val="auto"/>
                <w:sz w:val="28"/>
                <w:szCs w:val="28"/>
                <w:highlight w:val="none"/>
                <w:lang w:val="en-US" w:eastAsia="zh-CN"/>
              </w:rPr>
              <w:t>专业2人、一级造价工程师</w:t>
            </w:r>
            <w:r>
              <w:rPr>
                <w:rFonts w:hint="eastAsia" w:ascii="华文仿宋" w:hAnsi="华文仿宋" w:eastAsia="华文仿宋" w:cs="华文仿宋"/>
                <w:color w:val="auto"/>
                <w:sz w:val="28"/>
                <w:szCs w:val="28"/>
                <w:highlight w:val="none"/>
                <w:lang w:eastAsia="zh-CN"/>
              </w:rPr>
              <w:t>安装专业</w:t>
            </w:r>
            <w:r>
              <w:rPr>
                <w:rFonts w:hint="eastAsia" w:ascii="华文仿宋" w:hAnsi="华文仿宋" w:eastAsia="华文仿宋" w:cs="华文仿宋"/>
                <w:color w:val="auto"/>
                <w:sz w:val="28"/>
                <w:szCs w:val="28"/>
                <w:highlight w:val="none"/>
                <w:lang w:val="en-US" w:eastAsia="zh-CN"/>
              </w:rPr>
              <w:t>2</w:t>
            </w:r>
            <w:r>
              <w:rPr>
                <w:rFonts w:hint="eastAsia" w:ascii="华文仿宋" w:hAnsi="华文仿宋" w:eastAsia="华文仿宋" w:cs="华文仿宋"/>
                <w:color w:val="auto"/>
                <w:sz w:val="28"/>
                <w:szCs w:val="28"/>
                <w:highlight w:val="none"/>
                <w:lang w:eastAsia="zh-CN"/>
              </w:rPr>
              <w:t>人，</w:t>
            </w:r>
            <w:r>
              <w:rPr>
                <w:rFonts w:hint="eastAsia" w:ascii="华文仿宋" w:hAnsi="华文仿宋" w:eastAsia="华文仿宋" w:cs="华文仿宋"/>
                <w:color w:val="auto"/>
                <w:sz w:val="28"/>
                <w:szCs w:val="28"/>
                <w:highlight w:val="none"/>
                <w:lang w:val="en-US" w:eastAsia="zh-CN"/>
              </w:rPr>
              <w:t>否则不得分</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lang w:val="en-US" w:eastAsia="zh-CN"/>
              </w:rPr>
              <w:t>。（供应商</w:t>
            </w:r>
            <w:r>
              <w:rPr>
                <w:rFonts w:hint="eastAsia" w:ascii="华文仿宋" w:hAnsi="华文仿宋" w:eastAsia="华文仿宋" w:cs="华文仿宋"/>
                <w:color w:val="auto"/>
                <w:sz w:val="28"/>
                <w:szCs w:val="28"/>
                <w:highlight w:val="none"/>
                <w:lang w:eastAsia="zh-CN"/>
              </w:rPr>
              <w:t>提供有效的相关证书</w:t>
            </w:r>
            <w:r>
              <w:rPr>
                <w:rFonts w:hint="eastAsia" w:ascii="华文仿宋" w:hAnsi="华文仿宋" w:eastAsia="华文仿宋" w:cs="华文仿宋"/>
                <w:color w:val="auto"/>
                <w:sz w:val="28"/>
                <w:szCs w:val="28"/>
                <w:highlight w:val="none"/>
                <w:lang w:val="en-US" w:eastAsia="zh-CN"/>
              </w:rPr>
              <w:t>复印件加盖公章</w:t>
            </w:r>
            <w:r>
              <w:rPr>
                <w:rFonts w:hint="eastAsia" w:ascii="华文仿宋" w:hAnsi="华文仿宋" w:eastAsia="华文仿宋" w:cs="华文仿宋"/>
                <w:color w:val="auto"/>
                <w:sz w:val="28"/>
                <w:szCs w:val="28"/>
                <w:highlight w:val="none"/>
                <w:lang w:eastAsia="zh-CN"/>
              </w:rPr>
              <w:t>。因资料不全而影响该项评审的，不得分。</w:t>
            </w:r>
            <w:r>
              <w:rPr>
                <w:rFonts w:hint="eastAsia" w:ascii="华文仿宋" w:hAnsi="华文仿宋" w:eastAsia="华文仿宋" w:cs="华文仿宋"/>
                <w:color w:val="auto"/>
                <w:sz w:val="28"/>
                <w:szCs w:val="28"/>
                <w:highlight w:val="none"/>
                <w:lang w:val="en-US" w:eastAsia="zh-CN"/>
              </w:rPr>
              <w:t>）</w:t>
            </w:r>
          </w:p>
        </w:tc>
      </w:tr>
      <w:tr w14:paraId="4533D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509" w:type="dxa"/>
            <w:vMerge w:val="continue"/>
            <w:tcBorders>
              <w:left w:val="single" w:color="auto" w:sz="4" w:space="0"/>
              <w:right w:val="single" w:color="auto" w:sz="4" w:space="0"/>
            </w:tcBorders>
            <w:vAlign w:val="center"/>
          </w:tcPr>
          <w:p w14:paraId="7EAE7BCB">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p>
        </w:tc>
        <w:tc>
          <w:tcPr>
            <w:tcW w:w="797" w:type="dxa"/>
            <w:tcBorders>
              <w:top w:val="single" w:color="auto" w:sz="4" w:space="0"/>
              <w:left w:val="single" w:color="auto" w:sz="4" w:space="0"/>
              <w:bottom w:val="single" w:color="auto" w:sz="4" w:space="0"/>
              <w:right w:val="single" w:color="auto" w:sz="4" w:space="0"/>
            </w:tcBorders>
            <w:shd w:val="clear" w:color="auto" w:fill="auto"/>
            <w:vAlign w:val="center"/>
          </w:tcPr>
          <w:p w14:paraId="465FD254">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6</w:t>
            </w:r>
          </w:p>
        </w:tc>
        <w:tc>
          <w:tcPr>
            <w:tcW w:w="7354" w:type="dxa"/>
            <w:tcBorders>
              <w:top w:val="single" w:color="auto" w:sz="4" w:space="0"/>
              <w:left w:val="single" w:color="auto" w:sz="4" w:space="0"/>
              <w:bottom w:val="single" w:color="auto" w:sz="4" w:space="0"/>
              <w:right w:val="single" w:color="auto" w:sz="4" w:space="0"/>
            </w:tcBorders>
            <w:shd w:val="clear" w:color="auto" w:fill="auto"/>
            <w:vAlign w:val="center"/>
          </w:tcPr>
          <w:p w14:paraId="4ED9966D">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eastAsia="zh-CN"/>
              </w:rPr>
              <w:t>项目组其他成员：具有工程类高级及以上职称证书的，每有一人</w:t>
            </w:r>
            <w:r>
              <w:rPr>
                <w:rFonts w:hint="eastAsia" w:ascii="华文仿宋" w:hAnsi="华文仿宋" w:eastAsia="华文仿宋" w:cs="华文仿宋"/>
                <w:color w:val="auto"/>
                <w:sz w:val="28"/>
                <w:szCs w:val="28"/>
                <w:highlight w:val="none"/>
                <w:lang w:val="en-US" w:eastAsia="zh-CN"/>
              </w:rPr>
              <w:t>得1</w:t>
            </w:r>
            <w:r>
              <w:rPr>
                <w:rFonts w:hint="eastAsia" w:ascii="华文仿宋" w:hAnsi="华文仿宋" w:eastAsia="华文仿宋" w:cs="华文仿宋"/>
                <w:color w:val="auto"/>
                <w:sz w:val="28"/>
                <w:szCs w:val="28"/>
                <w:highlight w:val="none"/>
                <w:lang w:eastAsia="zh-CN"/>
              </w:rPr>
              <w:t>分，最多</w:t>
            </w:r>
            <w:r>
              <w:rPr>
                <w:rFonts w:hint="eastAsia" w:ascii="华文仿宋" w:hAnsi="华文仿宋" w:eastAsia="华文仿宋" w:cs="华文仿宋"/>
                <w:color w:val="auto"/>
                <w:sz w:val="28"/>
                <w:szCs w:val="28"/>
                <w:highlight w:val="none"/>
                <w:lang w:val="en-US" w:eastAsia="zh-CN"/>
              </w:rPr>
              <w:t>得6</w:t>
            </w:r>
            <w:r>
              <w:rPr>
                <w:rFonts w:hint="eastAsia" w:ascii="华文仿宋" w:hAnsi="华文仿宋" w:eastAsia="华文仿宋" w:cs="华文仿宋"/>
                <w:color w:val="auto"/>
                <w:sz w:val="28"/>
                <w:szCs w:val="28"/>
                <w:highlight w:val="none"/>
                <w:lang w:eastAsia="zh-CN"/>
              </w:rPr>
              <w:t>分，没有不</w:t>
            </w:r>
            <w:r>
              <w:rPr>
                <w:rFonts w:hint="eastAsia" w:ascii="华文仿宋" w:hAnsi="华文仿宋" w:eastAsia="华文仿宋" w:cs="华文仿宋"/>
                <w:color w:val="auto"/>
                <w:sz w:val="28"/>
                <w:szCs w:val="28"/>
                <w:highlight w:val="none"/>
                <w:lang w:val="en-US" w:eastAsia="zh-CN"/>
              </w:rPr>
              <w:t>得</w:t>
            </w:r>
            <w:r>
              <w:rPr>
                <w:rFonts w:hint="eastAsia" w:ascii="华文仿宋" w:hAnsi="华文仿宋" w:eastAsia="华文仿宋" w:cs="华文仿宋"/>
                <w:color w:val="auto"/>
                <w:sz w:val="28"/>
                <w:szCs w:val="28"/>
                <w:highlight w:val="none"/>
                <w:lang w:eastAsia="zh-CN"/>
              </w:rPr>
              <w:t>分</w:t>
            </w:r>
            <w:r>
              <w:rPr>
                <w:rFonts w:hint="eastAsia" w:ascii="华文仿宋" w:hAnsi="华文仿宋" w:eastAsia="华文仿宋" w:cs="华文仿宋"/>
                <w:color w:val="auto"/>
                <w:sz w:val="28"/>
                <w:szCs w:val="28"/>
                <w:highlight w:val="none"/>
                <w:lang w:val="en-US" w:eastAsia="zh-CN"/>
              </w:rPr>
              <w:t>。（供应商</w:t>
            </w:r>
            <w:r>
              <w:rPr>
                <w:rFonts w:hint="eastAsia" w:ascii="华文仿宋" w:hAnsi="华文仿宋" w:eastAsia="华文仿宋" w:cs="华文仿宋"/>
                <w:color w:val="auto"/>
                <w:sz w:val="28"/>
                <w:szCs w:val="28"/>
                <w:highlight w:val="none"/>
                <w:lang w:eastAsia="zh-CN"/>
              </w:rPr>
              <w:t>提供有效的相关证书</w:t>
            </w:r>
            <w:r>
              <w:rPr>
                <w:rFonts w:hint="eastAsia" w:ascii="华文仿宋" w:hAnsi="华文仿宋" w:eastAsia="华文仿宋" w:cs="华文仿宋"/>
                <w:color w:val="auto"/>
                <w:sz w:val="28"/>
                <w:szCs w:val="28"/>
                <w:highlight w:val="none"/>
                <w:lang w:val="en-US" w:eastAsia="zh-CN"/>
              </w:rPr>
              <w:t>复印件加盖公章</w:t>
            </w:r>
            <w:r>
              <w:rPr>
                <w:rFonts w:hint="eastAsia" w:ascii="华文仿宋" w:hAnsi="华文仿宋" w:eastAsia="华文仿宋" w:cs="华文仿宋"/>
                <w:color w:val="auto"/>
                <w:sz w:val="28"/>
                <w:szCs w:val="28"/>
                <w:highlight w:val="none"/>
                <w:lang w:eastAsia="zh-CN"/>
              </w:rPr>
              <w:t>。因资料不全而影响该项评审的，不得分。</w:t>
            </w:r>
            <w:r>
              <w:rPr>
                <w:rFonts w:hint="eastAsia" w:ascii="华文仿宋" w:hAnsi="华文仿宋" w:eastAsia="华文仿宋" w:cs="华文仿宋"/>
                <w:color w:val="auto"/>
                <w:sz w:val="28"/>
                <w:szCs w:val="28"/>
                <w:highlight w:val="none"/>
                <w:lang w:val="en-US" w:eastAsia="zh-CN"/>
              </w:rPr>
              <w:t>）</w:t>
            </w:r>
          </w:p>
        </w:tc>
      </w:tr>
      <w:tr w14:paraId="794EC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509" w:type="dxa"/>
            <w:vMerge w:val="continue"/>
            <w:tcBorders>
              <w:left w:val="single" w:color="auto" w:sz="4" w:space="0"/>
              <w:right w:val="single" w:color="auto" w:sz="4" w:space="0"/>
            </w:tcBorders>
            <w:vAlign w:val="center"/>
          </w:tcPr>
          <w:p w14:paraId="0090C65F">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p>
        </w:tc>
        <w:tc>
          <w:tcPr>
            <w:tcW w:w="797" w:type="dxa"/>
            <w:tcBorders>
              <w:top w:val="single" w:color="auto" w:sz="4" w:space="0"/>
              <w:left w:val="single" w:color="auto" w:sz="4" w:space="0"/>
              <w:bottom w:val="single" w:color="auto" w:sz="4" w:space="0"/>
              <w:right w:val="single" w:color="auto" w:sz="4" w:space="0"/>
            </w:tcBorders>
            <w:shd w:val="clear" w:color="auto" w:fill="auto"/>
            <w:vAlign w:val="center"/>
          </w:tcPr>
          <w:p w14:paraId="0D857335">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4</w:t>
            </w:r>
          </w:p>
        </w:tc>
        <w:tc>
          <w:tcPr>
            <w:tcW w:w="7354" w:type="dxa"/>
            <w:tcBorders>
              <w:top w:val="single" w:color="auto" w:sz="4" w:space="0"/>
              <w:left w:val="single" w:color="auto" w:sz="4" w:space="0"/>
              <w:bottom w:val="single" w:color="auto" w:sz="4" w:space="0"/>
              <w:right w:val="single" w:color="auto" w:sz="4" w:space="0"/>
            </w:tcBorders>
            <w:shd w:val="clear" w:color="auto" w:fill="auto"/>
            <w:vAlign w:val="center"/>
          </w:tcPr>
          <w:p w14:paraId="6853E9F8">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eastAsia="zh-CN"/>
              </w:rPr>
              <w:t>项目组其他成员：注册造价工程师年限超过10年的，每人</w:t>
            </w:r>
            <w:r>
              <w:rPr>
                <w:rFonts w:hint="eastAsia" w:ascii="华文仿宋" w:hAnsi="华文仿宋" w:eastAsia="华文仿宋" w:cs="华文仿宋"/>
                <w:color w:val="auto"/>
                <w:sz w:val="28"/>
                <w:szCs w:val="28"/>
                <w:highlight w:val="none"/>
                <w:lang w:val="en-US" w:eastAsia="zh-CN"/>
              </w:rPr>
              <w:t>得2</w:t>
            </w:r>
            <w:r>
              <w:rPr>
                <w:rFonts w:hint="eastAsia" w:ascii="华文仿宋" w:hAnsi="华文仿宋" w:eastAsia="华文仿宋" w:cs="华文仿宋"/>
                <w:color w:val="auto"/>
                <w:sz w:val="28"/>
                <w:szCs w:val="28"/>
                <w:highlight w:val="none"/>
                <w:lang w:eastAsia="zh-CN"/>
              </w:rPr>
              <w:t>分，最多</w:t>
            </w:r>
            <w:r>
              <w:rPr>
                <w:rFonts w:hint="eastAsia" w:ascii="华文仿宋" w:hAnsi="华文仿宋" w:eastAsia="华文仿宋" w:cs="华文仿宋"/>
                <w:color w:val="auto"/>
                <w:sz w:val="28"/>
                <w:szCs w:val="28"/>
                <w:highlight w:val="none"/>
                <w:lang w:val="en-US" w:eastAsia="zh-CN"/>
              </w:rPr>
              <w:t>得</w:t>
            </w:r>
            <w:r>
              <w:rPr>
                <w:rFonts w:hint="eastAsia" w:ascii="华文仿宋" w:hAnsi="华文仿宋" w:eastAsia="华文仿宋" w:cs="华文仿宋"/>
                <w:color w:val="auto"/>
                <w:sz w:val="28"/>
                <w:szCs w:val="28"/>
                <w:highlight w:val="none"/>
                <w:lang w:eastAsia="zh-CN"/>
              </w:rPr>
              <w:t>4分，没有不</w:t>
            </w:r>
            <w:r>
              <w:rPr>
                <w:rFonts w:hint="eastAsia" w:ascii="华文仿宋" w:hAnsi="华文仿宋" w:eastAsia="华文仿宋" w:cs="华文仿宋"/>
                <w:color w:val="auto"/>
                <w:sz w:val="28"/>
                <w:szCs w:val="28"/>
                <w:highlight w:val="none"/>
                <w:lang w:val="en-US" w:eastAsia="zh-CN"/>
              </w:rPr>
              <w:t>得</w:t>
            </w:r>
            <w:r>
              <w:rPr>
                <w:rFonts w:hint="eastAsia" w:ascii="华文仿宋" w:hAnsi="华文仿宋" w:eastAsia="华文仿宋" w:cs="华文仿宋"/>
                <w:color w:val="auto"/>
                <w:sz w:val="28"/>
                <w:szCs w:val="28"/>
                <w:highlight w:val="none"/>
                <w:lang w:eastAsia="zh-CN"/>
              </w:rPr>
              <w:t>分，以注册造价工程师初始注册时间为准。</w:t>
            </w:r>
            <w:r>
              <w:rPr>
                <w:rFonts w:hint="eastAsia" w:ascii="华文仿宋" w:hAnsi="华文仿宋" w:eastAsia="华文仿宋" w:cs="华文仿宋"/>
                <w:color w:val="auto"/>
                <w:sz w:val="28"/>
                <w:szCs w:val="28"/>
                <w:highlight w:val="none"/>
                <w:lang w:val="en-US" w:eastAsia="zh-CN"/>
              </w:rPr>
              <w:t>（供应商</w:t>
            </w:r>
            <w:r>
              <w:rPr>
                <w:rFonts w:hint="eastAsia" w:ascii="华文仿宋" w:hAnsi="华文仿宋" w:eastAsia="华文仿宋" w:cs="华文仿宋"/>
                <w:color w:val="auto"/>
                <w:sz w:val="28"/>
                <w:szCs w:val="28"/>
                <w:highlight w:val="none"/>
                <w:lang w:eastAsia="zh-CN"/>
              </w:rPr>
              <w:t>提供有效的相关证书</w:t>
            </w:r>
            <w:r>
              <w:rPr>
                <w:rFonts w:hint="eastAsia" w:ascii="华文仿宋" w:hAnsi="华文仿宋" w:eastAsia="华文仿宋" w:cs="华文仿宋"/>
                <w:color w:val="auto"/>
                <w:sz w:val="28"/>
                <w:szCs w:val="28"/>
                <w:highlight w:val="none"/>
                <w:lang w:val="en-US" w:eastAsia="zh-CN"/>
              </w:rPr>
              <w:t>复印件加盖公章</w:t>
            </w:r>
            <w:r>
              <w:rPr>
                <w:rFonts w:hint="eastAsia" w:ascii="华文仿宋" w:hAnsi="华文仿宋" w:eastAsia="华文仿宋" w:cs="华文仿宋"/>
                <w:color w:val="auto"/>
                <w:sz w:val="28"/>
                <w:szCs w:val="28"/>
                <w:highlight w:val="none"/>
                <w:lang w:eastAsia="zh-CN"/>
              </w:rPr>
              <w:t>。因资料不全而影响该项评审的，不得分</w:t>
            </w:r>
            <w:r>
              <w:rPr>
                <w:rFonts w:hint="eastAsia" w:ascii="华文仿宋" w:hAnsi="华文仿宋" w:eastAsia="华文仿宋" w:cs="华文仿宋"/>
                <w:color w:val="auto"/>
                <w:sz w:val="28"/>
                <w:szCs w:val="28"/>
                <w:highlight w:val="none"/>
                <w:lang w:val="en-US" w:eastAsia="zh-CN"/>
              </w:rPr>
              <w:t>）</w:t>
            </w:r>
          </w:p>
        </w:tc>
      </w:tr>
      <w:tr w14:paraId="080E4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1509" w:type="dxa"/>
            <w:vMerge w:val="continue"/>
            <w:tcBorders>
              <w:left w:val="single" w:color="auto" w:sz="4" w:space="0"/>
              <w:bottom w:val="single" w:color="auto" w:sz="4" w:space="0"/>
              <w:right w:val="single" w:color="auto" w:sz="4" w:space="0"/>
            </w:tcBorders>
            <w:vAlign w:val="center"/>
          </w:tcPr>
          <w:p w14:paraId="307A80EA">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p>
        </w:tc>
        <w:tc>
          <w:tcPr>
            <w:tcW w:w="8151" w:type="dxa"/>
            <w:gridSpan w:val="2"/>
            <w:tcBorders>
              <w:top w:val="single" w:color="auto" w:sz="4" w:space="0"/>
              <w:left w:val="single" w:color="auto" w:sz="4" w:space="0"/>
              <w:bottom w:val="single" w:color="auto" w:sz="4" w:space="0"/>
              <w:right w:val="single" w:color="auto" w:sz="4" w:space="0"/>
            </w:tcBorders>
            <w:vAlign w:val="center"/>
          </w:tcPr>
          <w:p w14:paraId="76082F43">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注：项目组人员须为供应商本单位正式员工，并须提供近半年（2025年10月-2026年03月）的社保证明，</w:t>
            </w:r>
            <w:r>
              <w:rPr>
                <w:rFonts w:hint="eastAsia" w:ascii="华文仿宋" w:hAnsi="华文仿宋" w:eastAsia="华文仿宋" w:cs="华文仿宋"/>
                <w:color w:val="auto"/>
                <w:sz w:val="28"/>
                <w:szCs w:val="28"/>
                <w:highlight w:val="none"/>
                <w:lang w:eastAsia="zh-CN"/>
              </w:rPr>
              <w:t>须明确缴费月份、个人姓名、缴费单位，且加盖社保中心章或社保中心参保缴费证明电子专用章（具有可验证的二维码或验证码）；若属企业退休人员、</w:t>
            </w:r>
            <w:r>
              <w:rPr>
                <w:rFonts w:hint="eastAsia" w:ascii="华文仿宋" w:hAnsi="华文仿宋" w:eastAsia="华文仿宋" w:cs="华文仿宋"/>
                <w:color w:val="auto"/>
                <w:sz w:val="28"/>
                <w:szCs w:val="28"/>
                <w:highlight w:val="none"/>
                <w:lang w:val="en-US" w:eastAsia="zh-CN"/>
              </w:rPr>
              <w:t>退</w:t>
            </w:r>
            <w:r>
              <w:rPr>
                <w:rFonts w:hint="eastAsia" w:ascii="华文仿宋" w:hAnsi="华文仿宋" w:eastAsia="华文仿宋" w:cs="华文仿宋"/>
                <w:color w:val="auto"/>
                <w:sz w:val="28"/>
                <w:szCs w:val="28"/>
                <w:highlight w:val="none"/>
                <w:lang w:eastAsia="zh-CN"/>
              </w:rPr>
              <w:t>役军人等客观原因无法提供养老保险金缴费证明，必须出具相关证明材料，若事业编制人员需要提供所在单位上级人事主管部门的人事证明材料。以上材料</w:t>
            </w:r>
            <w:r>
              <w:rPr>
                <w:rFonts w:hint="eastAsia" w:ascii="华文仿宋" w:hAnsi="华文仿宋" w:eastAsia="华文仿宋" w:cs="华文仿宋"/>
                <w:color w:val="auto"/>
                <w:sz w:val="28"/>
                <w:szCs w:val="28"/>
                <w:highlight w:val="none"/>
                <w:lang w:val="en-US" w:eastAsia="zh-CN"/>
              </w:rPr>
              <w:t>须</w:t>
            </w:r>
            <w:r>
              <w:rPr>
                <w:rFonts w:hint="eastAsia" w:ascii="华文仿宋" w:hAnsi="华文仿宋" w:eastAsia="华文仿宋" w:cs="华文仿宋"/>
                <w:color w:val="auto"/>
                <w:sz w:val="28"/>
                <w:szCs w:val="28"/>
                <w:highlight w:val="none"/>
                <w:lang w:eastAsia="zh-CN"/>
              </w:rPr>
              <w:t>提供</w:t>
            </w:r>
            <w:r>
              <w:rPr>
                <w:rFonts w:hint="eastAsia" w:ascii="华文仿宋" w:hAnsi="华文仿宋" w:eastAsia="华文仿宋" w:cs="华文仿宋"/>
                <w:color w:val="auto"/>
                <w:sz w:val="28"/>
                <w:szCs w:val="28"/>
                <w:highlight w:val="none"/>
                <w:lang w:val="en-US" w:eastAsia="zh-CN"/>
              </w:rPr>
              <w:t>证明材料</w:t>
            </w:r>
            <w:r>
              <w:rPr>
                <w:rFonts w:hint="eastAsia" w:ascii="华文仿宋" w:hAnsi="华文仿宋" w:eastAsia="华文仿宋" w:cs="华文仿宋"/>
                <w:color w:val="auto"/>
                <w:sz w:val="28"/>
                <w:szCs w:val="28"/>
                <w:highlight w:val="none"/>
                <w:lang w:eastAsia="zh-CN"/>
              </w:rPr>
              <w:t>复印件加盖公章</w:t>
            </w:r>
            <w:r>
              <w:rPr>
                <w:rFonts w:hint="eastAsia" w:ascii="华文仿宋" w:hAnsi="华文仿宋" w:eastAsia="华文仿宋" w:cs="华文仿宋"/>
                <w:color w:val="auto"/>
                <w:sz w:val="28"/>
                <w:szCs w:val="28"/>
                <w:highlight w:val="none"/>
                <w:lang w:val="en-US" w:eastAsia="zh-CN"/>
              </w:rPr>
              <w:t>，否则视为未提供社保证明；以上证明材料如未提供，该人员不得分。团队人员配置得分以投标文件中提供的职称证书或学历证书、注册执业资格或职业资格证书为准。</w:t>
            </w:r>
          </w:p>
        </w:tc>
      </w:tr>
      <w:tr w14:paraId="2D4C2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1509" w:type="dxa"/>
            <w:tcBorders>
              <w:top w:val="single" w:color="auto" w:sz="4" w:space="0"/>
              <w:left w:val="single" w:color="auto" w:sz="4" w:space="0"/>
              <w:bottom w:val="single" w:color="auto" w:sz="4" w:space="0"/>
              <w:right w:val="single" w:color="auto" w:sz="4" w:space="0"/>
            </w:tcBorders>
            <w:vAlign w:val="center"/>
          </w:tcPr>
          <w:p w14:paraId="513880A7">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企业业绩</w:t>
            </w:r>
          </w:p>
          <w:p w14:paraId="4460F8B0">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（9分）</w:t>
            </w:r>
          </w:p>
        </w:tc>
        <w:tc>
          <w:tcPr>
            <w:tcW w:w="797" w:type="dxa"/>
            <w:tcBorders>
              <w:top w:val="single" w:color="auto" w:sz="4" w:space="0"/>
              <w:left w:val="single" w:color="auto" w:sz="4" w:space="0"/>
              <w:bottom w:val="single" w:color="auto" w:sz="4" w:space="0"/>
              <w:right w:val="single" w:color="auto" w:sz="4" w:space="0"/>
            </w:tcBorders>
            <w:vAlign w:val="center"/>
          </w:tcPr>
          <w:p w14:paraId="561B91F4">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9</w:t>
            </w:r>
          </w:p>
        </w:tc>
        <w:tc>
          <w:tcPr>
            <w:tcW w:w="7354" w:type="dxa"/>
            <w:tcBorders>
              <w:top w:val="single" w:color="auto" w:sz="4" w:space="0"/>
              <w:left w:val="single" w:color="auto" w:sz="4" w:space="0"/>
              <w:bottom w:val="single" w:color="auto" w:sz="4" w:space="0"/>
              <w:right w:val="single" w:color="auto" w:sz="4" w:space="0"/>
            </w:tcBorders>
            <w:vAlign w:val="center"/>
          </w:tcPr>
          <w:p w14:paraId="0CBA499C">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供应商自2021年3月1日以来，承担过建筑工程建设类项目的</w:t>
            </w:r>
            <w:r>
              <w:rPr>
                <w:rFonts w:hint="eastAsia" w:ascii="华文仿宋" w:hAnsi="华文仿宋" w:eastAsia="华文仿宋" w:cs="华文仿宋"/>
                <w:color w:val="auto"/>
                <w:sz w:val="28"/>
                <w:szCs w:val="28"/>
                <w:highlight w:val="none"/>
                <w:lang w:val="en-US" w:eastAsia="zh-CN"/>
              </w:rPr>
              <w:t>全过程</w:t>
            </w:r>
            <w:r>
              <w:rPr>
                <w:rFonts w:hint="eastAsia" w:ascii="华文仿宋" w:hAnsi="华文仿宋" w:eastAsia="华文仿宋" w:cs="华文仿宋"/>
                <w:color w:val="auto"/>
                <w:sz w:val="28"/>
                <w:szCs w:val="28"/>
                <w:highlight w:val="none"/>
                <w:lang w:val="en-US" w:eastAsia="zh-CN"/>
              </w:rPr>
              <w:t>造价咨询服务，每有1个业绩得3分，最多得9分。</w:t>
            </w:r>
          </w:p>
          <w:p w14:paraId="09A7D882">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需提供合同复印件（含合同首页、签字盖章页以及能体现项目名称和审核工作内容的页面，时间以合同签订时间为准），且企业业绩和项目负责人业绩不可兼得。</w:t>
            </w:r>
          </w:p>
        </w:tc>
      </w:tr>
      <w:tr w14:paraId="10ECB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09" w:type="dxa"/>
            <w:tcBorders>
              <w:top w:val="single" w:color="auto" w:sz="4" w:space="0"/>
              <w:left w:val="single" w:color="auto" w:sz="4" w:space="0"/>
              <w:bottom w:val="single" w:color="auto" w:sz="4" w:space="0"/>
              <w:right w:val="single" w:color="auto" w:sz="4" w:space="0"/>
            </w:tcBorders>
            <w:vAlign w:val="center"/>
          </w:tcPr>
          <w:p w14:paraId="02834CC2">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项目负责人业绩</w:t>
            </w:r>
          </w:p>
          <w:p w14:paraId="4E617FA6">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（9分）</w:t>
            </w:r>
          </w:p>
        </w:tc>
        <w:tc>
          <w:tcPr>
            <w:tcW w:w="797" w:type="dxa"/>
            <w:tcBorders>
              <w:top w:val="single" w:color="auto" w:sz="4" w:space="0"/>
              <w:left w:val="single" w:color="auto" w:sz="4" w:space="0"/>
              <w:bottom w:val="single" w:color="auto" w:sz="4" w:space="0"/>
              <w:right w:val="single" w:color="auto" w:sz="4" w:space="0"/>
            </w:tcBorders>
            <w:shd w:val="clear" w:color="auto" w:fill="auto"/>
            <w:vAlign w:val="center"/>
          </w:tcPr>
          <w:p w14:paraId="7EBBE185">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9</w:t>
            </w:r>
          </w:p>
        </w:tc>
        <w:tc>
          <w:tcPr>
            <w:tcW w:w="7354" w:type="dxa"/>
            <w:tcBorders>
              <w:top w:val="single" w:color="auto" w:sz="4" w:space="0"/>
              <w:left w:val="single" w:color="auto" w:sz="4" w:space="0"/>
              <w:bottom w:val="single" w:color="auto" w:sz="4" w:space="0"/>
              <w:right w:val="single" w:color="auto" w:sz="4" w:space="0"/>
            </w:tcBorders>
            <w:shd w:val="clear" w:color="auto" w:fill="auto"/>
            <w:vAlign w:val="center"/>
          </w:tcPr>
          <w:p w14:paraId="6242B613">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拟投入的项目负责人自2021年3月1日以来，作为造价咨询服务项目负责人完成过建筑工程建设类项目</w:t>
            </w:r>
            <w:r>
              <w:rPr>
                <w:rFonts w:hint="eastAsia" w:ascii="华文仿宋" w:hAnsi="华文仿宋" w:eastAsia="华文仿宋" w:cs="华文仿宋"/>
                <w:color w:val="auto"/>
                <w:sz w:val="28"/>
                <w:szCs w:val="28"/>
                <w:highlight w:val="none"/>
                <w:lang w:val="en-US" w:eastAsia="zh-CN"/>
              </w:rPr>
              <w:t>全过程</w:t>
            </w:r>
            <w:r>
              <w:rPr>
                <w:rFonts w:hint="eastAsia" w:ascii="华文仿宋" w:hAnsi="华文仿宋" w:eastAsia="华文仿宋" w:cs="华文仿宋"/>
                <w:color w:val="auto"/>
                <w:sz w:val="28"/>
                <w:szCs w:val="28"/>
                <w:highlight w:val="none"/>
                <w:lang w:val="en-US" w:eastAsia="zh-CN"/>
              </w:rPr>
              <w:t>造价咨询服务，每有1个业绩得3分，最多得9分。</w:t>
            </w:r>
          </w:p>
          <w:p w14:paraId="2FE02D4D">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需提供合同复印件（含合同首页、签字盖章页以及能体现项目名称和审核工作内容的页面，时间以合同签订时间为准），且企业业绩和项目负责人业绩不可兼得。</w:t>
            </w:r>
          </w:p>
        </w:tc>
      </w:tr>
      <w:tr w14:paraId="5DF67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1509" w:type="dxa"/>
            <w:tcBorders>
              <w:top w:val="single" w:color="auto" w:sz="4" w:space="0"/>
              <w:left w:val="single" w:color="auto" w:sz="4" w:space="0"/>
              <w:right w:val="single" w:color="auto" w:sz="4" w:space="0"/>
            </w:tcBorders>
            <w:vAlign w:val="center"/>
          </w:tcPr>
          <w:p w14:paraId="3C8F050A">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企业实力（1分）</w:t>
            </w:r>
          </w:p>
        </w:tc>
        <w:tc>
          <w:tcPr>
            <w:tcW w:w="797" w:type="dxa"/>
            <w:tcBorders>
              <w:top w:val="single" w:color="auto" w:sz="4" w:space="0"/>
              <w:left w:val="single" w:color="auto" w:sz="4" w:space="0"/>
              <w:bottom w:val="single" w:color="auto" w:sz="4" w:space="0"/>
              <w:right w:val="single" w:color="auto" w:sz="4" w:space="0"/>
            </w:tcBorders>
            <w:vAlign w:val="center"/>
          </w:tcPr>
          <w:p w14:paraId="5552D003">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w:t>
            </w:r>
          </w:p>
        </w:tc>
        <w:tc>
          <w:tcPr>
            <w:tcW w:w="7354" w:type="dxa"/>
            <w:tcBorders>
              <w:top w:val="single" w:color="auto" w:sz="4" w:space="0"/>
              <w:left w:val="single" w:color="auto" w:sz="4" w:space="0"/>
              <w:bottom w:val="single" w:color="auto" w:sz="4" w:space="0"/>
              <w:right w:val="single" w:color="auto" w:sz="4" w:space="0"/>
            </w:tcBorders>
            <w:vAlign w:val="center"/>
          </w:tcPr>
          <w:p w14:paraId="46A3A801">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供应商具有有效期内国家认监委认可的认证机构颁发的ISO9001质量管理体系证书，得1分。提供相关证书复印件加盖公章。</w:t>
            </w:r>
          </w:p>
        </w:tc>
      </w:tr>
      <w:tr w14:paraId="43B5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9" w:type="dxa"/>
            <w:vMerge w:val="restart"/>
            <w:tcBorders>
              <w:top w:val="single" w:color="auto" w:sz="4" w:space="0"/>
              <w:left w:val="single" w:color="auto" w:sz="4" w:space="0"/>
              <w:right w:val="single" w:color="auto" w:sz="4" w:space="0"/>
            </w:tcBorders>
            <w:vAlign w:val="center"/>
          </w:tcPr>
          <w:p w14:paraId="4A6BF5A2">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服务方案（45分）</w:t>
            </w:r>
          </w:p>
        </w:tc>
        <w:tc>
          <w:tcPr>
            <w:tcW w:w="797" w:type="dxa"/>
            <w:vMerge w:val="restart"/>
            <w:tcBorders>
              <w:top w:val="single" w:color="auto" w:sz="4" w:space="0"/>
              <w:left w:val="single" w:color="auto" w:sz="4" w:space="0"/>
              <w:right w:val="single" w:color="auto" w:sz="4" w:space="0"/>
            </w:tcBorders>
            <w:vAlign w:val="center"/>
          </w:tcPr>
          <w:p w14:paraId="2ED9A900">
            <w:pPr>
              <w:keepNext w:val="0"/>
              <w:keepLines w:val="0"/>
              <w:pageBreakBefore w:val="0"/>
              <w:widowControl w:val="0"/>
              <w:kinsoku/>
              <w:wordWrap/>
              <w:overflowPunct/>
              <w:topLinePunct w:val="0"/>
              <w:autoSpaceDE/>
              <w:autoSpaceDN/>
              <w:bidi w:val="0"/>
              <w:adjustRightInd w:val="0"/>
              <w:snapToGrid/>
              <w:spacing w:line="560" w:lineRule="exact"/>
              <w:jc w:val="center"/>
              <w:textAlignment w:val="auto"/>
              <w:outlineLvl w:val="0"/>
              <w:rPr>
                <w:rFonts w:hint="default"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45</w:t>
            </w:r>
          </w:p>
        </w:tc>
        <w:tc>
          <w:tcPr>
            <w:tcW w:w="7354" w:type="dxa"/>
            <w:tcBorders>
              <w:top w:val="single" w:color="auto" w:sz="4" w:space="0"/>
              <w:left w:val="single" w:color="auto" w:sz="4" w:space="0"/>
              <w:bottom w:val="single" w:color="auto" w:sz="4" w:space="0"/>
              <w:right w:val="single" w:color="auto" w:sz="4" w:space="0"/>
            </w:tcBorders>
            <w:vAlign w:val="center"/>
          </w:tcPr>
          <w:p w14:paraId="088633C2">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（1）造价控制和跟踪审计服务方案：根据采购方案要求，编制科学、全面、合理、可靠的服务方案，需结构完整、表达清晰、功能完备，具有针对性。</w:t>
            </w:r>
          </w:p>
          <w:p w14:paraId="312AF3AA">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方案内容完整、针对性强、合理可行的得9分；</w:t>
            </w:r>
          </w:p>
          <w:p w14:paraId="0FC456CE">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方案内容较完整、针对性较强、较合理可行的得6分；</w:t>
            </w:r>
          </w:p>
          <w:p w14:paraId="06D7CCCE">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方案内容基本完整、具有一定的针对性、基本合理可行的得3分；</w:t>
            </w:r>
          </w:p>
          <w:p w14:paraId="788F0F2D">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方案内容不完整、不具备针对性、不合理可行或未提供的不得分。</w:t>
            </w:r>
          </w:p>
        </w:tc>
      </w:tr>
      <w:tr w14:paraId="7699B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9" w:type="dxa"/>
            <w:vMerge w:val="continue"/>
            <w:tcBorders>
              <w:left w:val="single" w:color="auto" w:sz="4" w:space="0"/>
              <w:right w:val="single" w:color="auto" w:sz="4" w:space="0"/>
            </w:tcBorders>
            <w:vAlign w:val="center"/>
          </w:tcPr>
          <w:p w14:paraId="34DD85B4">
            <w:pPr>
              <w:keepNext w:val="0"/>
              <w:keepLines w:val="0"/>
              <w:pageBreakBefore w:val="0"/>
              <w:wordWrap/>
              <w:overflowPunct/>
              <w:topLinePunct w:val="0"/>
              <w:bidi w:val="0"/>
              <w:spacing w:line="240" w:lineRule="auto"/>
              <w:jc w:val="center"/>
              <w:rPr>
                <w:rFonts w:hint="eastAsia" w:ascii="华文宋体" w:hAnsi="华文宋体" w:eastAsia="华文宋体" w:cs="华文宋体"/>
                <w:b w:val="0"/>
                <w:bCs w:val="0"/>
                <w:color w:val="auto"/>
                <w:sz w:val="21"/>
                <w:szCs w:val="21"/>
                <w:highlight w:val="none"/>
                <w:lang w:val="en-US" w:eastAsia="zh-CN"/>
              </w:rPr>
            </w:pPr>
          </w:p>
        </w:tc>
        <w:tc>
          <w:tcPr>
            <w:tcW w:w="797" w:type="dxa"/>
            <w:vMerge w:val="continue"/>
            <w:tcBorders>
              <w:left w:val="single" w:color="auto" w:sz="4" w:space="0"/>
              <w:right w:val="single" w:color="auto" w:sz="4" w:space="0"/>
            </w:tcBorders>
            <w:vAlign w:val="center"/>
          </w:tcPr>
          <w:p w14:paraId="3B092752">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p>
        </w:tc>
        <w:tc>
          <w:tcPr>
            <w:tcW w:w="7354" w:type="dxa"/>
            <w:tcBorders>
              <w:top w:val="single" w:color="auto" w:sz="4" w:space="0"/>
              <w:left w:val="single" w:color="auto" w:sz="4" w:space="0"/>
              <w:bottom w:val="single" w:color="auto" w:sz="4" w:space="0"/>
              <w:right w:val="single" w:color="auto" w:sz="4" w:space="0"/>
            </w:tcBorders>
            <w:vAlign w:val="center"/>
          </w:tcPr>
          <w:p w14:paraId="5BD601BE">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（2）项目实施技术路线与工作流程：根据采购方案要求，编制项目实施技术路线和工作流程等，需思路清晰、流程合理，具有较强针对性。</w:t>
            </w:r>
          </w:p>
          <w:p w14:paraId="5B64340D">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方案内容完整、针对性强、合理可行的得9分；</w:t>
            </w:r>
          </w:p>
          <w:p w14:paraId="2120FB16">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方案内容较完整、针对性较强、较合理可行的得6分；</w:t>
            </w:r>
          </w:p>
          <w:p w14:paraId="2CFDFCBF">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方案内容基本完整、具有一定的针对性、基本合理可行的得3分；</w:t>
            </w:r>
          </w:p>
          <w:p w14:paraId="137FA424">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方案内容不完整、不具备针对性、不合理可行或未提供的不得分。</w:t>
            </w:r>
          </w:p>
        </w:tc>
      </w:tr>
      <w:tr w14:paraId="63D1E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9" w:type="dxa"/>
            <w:vMerge w:val="continue"/>
            <w:tcBorders>
              <w:left w:val="single" w:color="auto" w:sz="4" w:space="0"/>
              <w:right w:val="single" w:color="auto" w:sz="4" w:space="0"/>
            </w:tcBorders>
            <w:vAlign w:val="center"/>
          </w:tcPr>
          <w:p w14:paraId="632D327C">
            <w:pPr>
              <w:keepNext w:val="0"/>
              <w:keepLines w:val="0"/>
              <w:pageBreakBefore w:val="0"/>
              <w:wordWrap/>
              <w:overflowPunct/>
              <w:topLinePunct w:val="0"/>
              <w:bidi w:val="0"/>
              <w:spacing w:line="240" w:lineRule="auto"/>
              <w:jc w:val="center"/>
              <w:rPr>
                <w:rFonts w:hint="eastAsia" w:ascii="华文宋体" w:hAnsi="华文宋体" w:eastAsia="华文宋体" w:cs="华文宋体"/>
                <w:b w:val="0"/>
                <w:bCs w:val="0"/>
                <w:color w:val="auto"/>
                <w:sz w:val="21"/>
                <w:szCs w:val="21"/>
                <w:highlight w:val="none"/>
                <w:lang w:val="en-US" w:eastAsia="zh-CN"/>
              </w:rPr>
            </w:pPr>
          </w:p>
        </w:tc>
        <w:tc>
          <w:tcPr>
            <w:tcW w:w="797" w:type="dxa"/>
            <w:vMerge w:val="continue"/>
            <w:tcBorders>
              <w:left w:val="single" w:color="auto" w:sz="4" w:space="0"/>
              <w:right w:val="single" w:color="auto" w:sz="4" w:space="0"/>
            </w:tcBorders>
            <w:vAlign w:val="center"/>
          </w:tcPr>
          <w:p w14:paraId="226FB59E">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p>
        </w:tc>
        <w:tc>
          <w:tcPr>
            <w:tcW w:w="7354" w:type="dxa"/>
            <w:tcBorders>
              <w:top w:val="single" w:color="auto" w:sz="4" w:space="0"/>
              <w:left w:val="single" w:color="auto" w:sz="4" w:space="0"/>
              <w:bottom w:val="single" w:color="auto" w:sz="4" w:space="0"/>
              <w:right w:val="single" w:color="auto" w:sz="4" w:space="0"/>
            </w:tcBorders>
            <w:vAlign w:val="center"/>
          </w:tcPr>
          <w:p w14:paraId="568CFDDE">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（3）进度安排及质量保障措施：根据采购方案要求，制定工作进度计划、各阶段进度及跟审质量保证措施等，需思路清晰、安排合理，措施有效，具有较强针对性。</w:t>
            </w:r>
          </w:p>
          <w:p w14:paraId="053C660C">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方案内容完整、针对性强、合理可行的得9分；</w:t>
            </w:r>
          </w:p>
          <w:p w14:paraId="2E83422D">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方案内容较完整、针对性较强、较合理可行的得6分；</w:t>
            </w:r>
          </w:p>
          <w:p w14:paraId="1E48E5B1">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方案内容基本完整、具有一定的针对性、基本合理可行的得3分；</w:t>
            </w:r>
          </w:p>
          <w:p w14:paraId="785C8260">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方案内容不完整、不具备针对性、不合理可行或未提供的不得分。</w:t>
            </w:r>
          </w:p>
        </w:tc>
      </w:tr>
      <w:tr w14:paraId="4EE4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9" w:type="dxa"/>
            <w:vMerge w:val="continue"/>
            <w:tcBorders>
              <w:left w:val="single" w:color="auto" w:sz="4" w:space="0"/>
              <w:right w:val="single" w:color="auto" w:sz="4" w:space="0"/>
            </w:tcBorders>
            <w:vAlign w:val="center"/>
          </w:tcPr>
          <w:p w14:paraId="0CFA3EFF">
            <w:pPr>
              <w:keepNext w:val="0"/>
              <w:keepLines w:val="0"/>
              <w:pageBreakBefore w:val="0"/>
              <w:wordWrap/>
              <w:overflowPunct/>
              <w:topLinePunct w:val="0"/>
              <w:bidi w:val="0"/>
              <w:spacing w:line="240" w:lineRule="auto"/>
              <w:jc w:val="center"/>
              <w:rPr>
                <w:rFonts w:hint="eastAsia" w:ascii="华文宋体" w:hAnsi="华文宋体" w:eastAsia="华文宋体" w:cs="华文宋体"/>
                <w:b w:val="0"/>
                <w:bCs w:val="0"/>
                <w:color w:val="auto"/>
                <w:sz w:val="21"/>
                <w:szCs w:val="21"/>
                <w:highlight w:val="none"/>
                <w:lang w:val="en-US" w:eastAsia="zh-CN"/>
              </w:rPr>
            </w:pPr>
          </w:p>
        </w:tc>
        <w:tc>
          <w:tcPr>
            <w:tcW w:w="797" w:type="dxa"/>
            <w:vMerge w:val="continue"/>
            <w:tcBorders>
              <w:left w:val="single" w:color="auto" w:sz="4" w:space="0"/>
              <w:right w:val="single" w:color="auto" w:sz="4" w:space="0"/>
            </w:tcBorders>
            <w:vAlign w:val="center"/>
          </w:tcPr>
          <w:p w14:paraId="0B7146F3">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p>
        </w:tc>
        <w:tc>
          <w:tcPr>
            <w:tcW w:w="7354" w:type="dxa"/>
            <w:tcBorders>
              <w:top w:val="single" w:color="auto" w:sz="4" w:space="0"/>
              <w:left w:val="single" w:color="auto" w:sz="4" w:space="0"/>
              <w:bottom w:val="single" w:color="auto" w:sz="4" w:space="0"/>
              <w:right w:val="single" w:color="auto" w:sz="4" w:space="0"/>
            </w:tcBorders>
            <w:vAlign w:val="center"/>
          </w:tcPr>
          <w:p w14:paraId="4C564E72">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（4）项目实施重点、难点及关键过程分析：根据采购方案要求，分析项目实施重难点问题和关键过程，并制定解决方案和措施，需思路清晰、分析准确、重点突出，方案全面、措施有效、针对性强。</w:t>
            </w:r>
          </w:p>
          <w:p w14:paraId="750BD554">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方案内容完整、针对性强、合理可行的得9分；</w:t>
            </w:r>
          </w:p>
          <w:p w14:paraId="675ADD13">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方案内容较完整、针对性较强、较合理可行的得6分；</w:t>
            </w:r>
          </w:p>
          <w:p w14:paraId="5FE5937B">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方案内容基本完整、具有一定的针对性、基本合理可行的得3分；</w:t>
            </w:r>
          </w:p>
          <w:p w14:paraId="52E5E947">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方案内容不完整、不具备针对性、不合理可行或未提供的不得分。</w:t>
            </w:r>
          </w:p>
        </w:tc>
      </w:tr>
      <w:tr w14:paraId="7DF7B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509" w:type="dxa"/>
            <w:vMerge w:val="continue"/>
            <w:tcBorders>
              <w:left w:val="single" w:color="auto" w:sz="4" w:space="0"/>
              <w:right w:val="single" w:color="auto" w:sz="4" w:space="0"/>
            </w:tcBorders>
            <w:vAlign w:val="center"/>
          </w:tcPr>
          <w:p w14:paraId="44D797B3">
            <w:pPr>
              <w:keepNext w:val="0"/>
              <w:keepLines w:val="0"/>
              <w:pageBreakBefore w:val="0"/>
              <w:wordWrap/>
              <w:overflowPunct/>
              <w:topLinePunct w:val="0"/>
              <w:bidi w:val="0"/>
              <w:spacing w:line="240" w:lineRule="auto"/>
              <w:jc w:val="center"/>
              <w:rPr>
                <w:rFonts w:hint="eastAsia" w:ascii="华文宋体" w:hAnsi="华文宋体" w:eastAsia="华文宋体" w:cs="华文宋体"/>
                <w:b w:val="0"/>
                <w:bCs w:val="0"/>
                <w:color w:val="auto"/>
                <w:sz w:val="21"/>
                <w:szCs w:val="21"/>
                <w:highlight w:val="none"/>
                <w:lang w:val="en-US" w:eastAsia="zh-CN"/>
              </w:rPr>
            </w:pPr>
          </w:p>
        </w:tc>
        <w:tc>
          <w:tcPr>
            <w:tcW w:w="797" w:type="dxa"/>
            <w:vMerge w:val="continue"/>
            <w:tcBorders>
              <w:left w:val="single" w:color="auto" w:sz="4" w:space="0"/>
              <w:right w:val="single" w:color="auto" w:sz="4" w:space="0"/>
            </w:tcBorders>
            <w:vAlign w:val="center"/>
          </w:tcPr>
          <w:p w14:paraId="78439C59">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p>
        </w:tc>
        <w:tc>
          <w:tcPr>
            <w:tcW w:w="7354" w:type="dxa"/>
            <w:tcBorders>
              <w:top w:val="single" w:color="auto" w:sz="4" w:space="0"/>
              <w:left w:val="single" w:color="auto" w:sz="4" w:space="0"/>
              <w:bottom w:val="single" w:color="auto" w:sz="4" w:space="0"/>
              <w:right w:val="single" w:color="auto" w:sz="4" w:space="0"/>
            </w:tcBorders>
            <w:vAlign w:val="center"/>
          </w:tcPr>
          <w:p w14:paraId="7A174AA5">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（5）资料管理方案：根据采购方案要求，制定资料管理方案，需思路清晰、考虑全面，有针对性，确保资料管理安全全面。</w:t>
            </w:r>
          </w:p>
          <w:p w14:paraId="492AE4C4">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方案内容完整、针对性强、合理可行的得9分；</w:t>
            </w:r>
          </w:p>
          <w:p w14:paraId="46D66386">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方案内容较完整、针对性较强、较合理可行的得6分；</w:t>
            </w:r>
          </w:p>
          <w:p w14:paraId="60284B0E">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方案内容基本完整、具有一定的针对性、基本合理可行的得3分；</w:t>
            </w:r>
          </w:p>
          <w:p w14:paraId="7267CD16">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方案内容不完整、不具备针对性、不合理可行或未提供的不得分。</w:t>
            </w:r>
          </w:p>
        </w:tc>
      </w:tr>
      <w:tr w14:paraId="035A6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509" w:type="dxa"/>
            <w:vMerge w:val="continue"/>
            <w:tcBorders>
              <w:left w:val="single" w:color="auto" w:sz="4" w:space="0"/>
              <w:right w:val="single" w:color="auto" w:sz="4" w:space="0"/>
            </w:tcBorders>
            <w:vAlign w:val="center"/>
          </w:tcPr>
          <w:p w14:paraId="1011DC90">
            <w:pPr>
              <w:keepNext w:val="0"/>
              <w:keepLines w:val="0"/>
              <w:pageBreakBefore w:val="0"/>
              <w:widowControl/>
              <w:wordWrap/>
              <w:overflowPunct/>
              <w:topLinePunct w:val="0"/>
              <w:bidi w:val="0"/>
              <w:spacing w:line="240" w:lineRule="auto"/>
              <w:jc w:val="left"/>
              <w:rPr>
                <w:rFonts w:hint="eastAsia" w:ascii="华文宋体" w:hAnsi="华文宋体" w:eastAsia="华文宋体" w:cs="华文宋体"/>
                <w:b w:val="0"/>
                <w:bCs w:val="0"/>
                <w:color w:val="auto"/>
                <w:sz w:val="21"/>
                <w:szCs w:val="21"/>
                <w:highlight w:val="none"/>
              </w:rPr>
            </w:pPr>
          </w:p>
        </w:tc>
        <w:tc>
          <w:tcPr>
            <w:tcW w:w="8151" w:type="dxa"/>
            <w:gridSpan w:val="2"/>
            <w:tcBorders>
              <w:left w:val="single" w:color="auto" w:sz="4" w:space="0"/>
              <w:right w:val="single" w:color="auto" w:sz="4" w:space="0"/>
            </w:tcBorders>
            <w:vAlign w:val="center"/>
          </w:tcPr>
          <w:p w14:paraId="5EF20806">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注：</w:t>
            </w:r>
          </w:p>
          <w:p w14:paraId="3B6897FD">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1、服务方案中缺少相应内容的评审要点不得分。</w:t>
            </w:r>
          </w:p>
          <w:p w14:paraId="02A072F3">
            <w:pPr>
              <w:keepNext w:val="0"/>
              <w:keepLines w:val="0"/>
              <w:pageBreakBefore w:val="0"/>
              <w:widowControl w:val="0"/>
              <w:kinsoku/>
              <w:wordWrap/>
              <w:overflowPunct/>
              <w:topLinePunct w:val="0"/>
              <w:autoSpaceDE/>
              <w:autoSpaceDN/>
              <w:bidi w:val="0"/>
              <w:adjustRightInd w:val="0"/>
              <w:snapToGrid/>
              <w:spacing w:line="560" w:lineRule="exact"/>
              <w:jc w:val="left"/>
              <w:textAlignment w:val="auto"/>
              <w:outlineLvl w:val="0"/>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2、投标文件的服务方案得分应取所有评委评分中分别去掉一个最高和最低评分后的平均值为最终得分, 保留两位小数（如评审小组成员为5人及以上）。投标文件中除服务方案外的其他得分均按分项汇总规则汇总累加得分为最终得分( 每一项经评审委员会表决后打统一分)。</w:t>
            </w:r>
          </w:p>
        </w:tc>
      </w:tr>
    </w:tbl>
    <w:p w14:paraId="5E60169A">
      <w:pPr>
        <w:autoSpaceDE w:val="0"/>
        <w:autoSpaceDN w:val="0"/>
        <w:adjustRightInd w:val="0"/>
        <w:spacing w:line="560" w:lineRule="exact"/>
        <w:ind w:firstLine="561" w:firstLineChars="200"/>
        <w:jc w:val="left"/>
        <w:rPr>
          <w:rFonts w:hint="eastAsia" w:ascii="华文仿宋" w:hAnsi="华文仿宋" w:eastAsia="华文仿宋" w:cs="华文仿宋"/>
          <w:b w:val="0"/>
          <w:bCs w:val="0"/>
          <w:color w:val="auto"/>
          <w:sz w:val="28"/>
          <w:szCs w:val="28"/>
          <w:highlight w:val="none"/>
        </w:rPr>
      </w:pPr>
      <w:r>
        <w:rPr>
          <w:rFonts w:hint="eastAsia" w:ascii="华文仿宋" w:hAnsi="华文仿宋" w:eastAsia="华文仿宋" w:cs="华文仿宋"/>
          <w:b/>
          <w:bCs/>
          <w:color w:val="auto"/>
          <w:sz w:val="28"/>
          <w:szCs w:val="28"/>
          <w:highlight w:val="none"/>
        </w:rPr>
        <w:t>说明：</w:t>
      </w:r>
    </w:p>
    <w:p w14:paraId="01835FAF">
      <w:pPr>
        <w:keepNext w:val="0"/>
        <w:keepLines w:val="0"/>
        <w:pageBreakBefore w:val="0"/>
        <w:widowControl w:val="0"/>
        <w:numPr>
          <w:ilvl w:val="0"/>
          <w:numId w:val="0"/>
        </w:numPr>
        <w:kinsoku/>
        <w:wordWrap/>
        <w:overflowPunct/>
        <w:topLinePunct w:val="0"/>
        <w:bidi w:val="0"/>
        <w:snapToGrid/>
        <w:spacing w:line="560" w:lineRule="exact"/>
        <w:ind w:firstLine="560" w:firstLineChars="200"/>
        <w:jc w:val="left"/>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rPr>
        <w:t>所有证书及合同业绩均以有效的证明文件的复印件加盖公章为依据，原件备查，当复印件不清晰时需要提供原件备查，不能提供者该项不得分。</w:t>
      </w:r>
    </w:p>
    <w:p w14:paraId="51E92F03">
      <w:pPr>
        <w:keepNext w:val="0"/>
        <w:keepLines w:val="0"/>
        <w:pageBreakBefore w:val="0"/>
        <w:widowControl w:val="0"/>
        <w:numPr>
          <w:ilvl w:val="-1"/>
          <w:numId w:val="0"/>
        </w:numPr>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2、</w:t>
      </w:r>
      <w:r>
        <w:rPr>
          <w:rFonts w:hint="eastAsia" w:ascii="华文仿宋" w:hAnsi="华文仿宋" w:eastAsia="华文仿宋" w:cs="华文仿宋"/>
          <w:color w:val="auto"/>
          <w:sz w:val="28"/>
          <w:szCs w:val="28"/>
          <w:highlight w:val="none"/>
        </w:rPr>
        <w:t>对国家认定的节能产品和环保产品分别给予最终报价的</w:t>
      </w:r>
      <w:r>
        <w:rPr>
          <w:rFonts w:hint="eastAsia" w:ascii="华文仿宋" w:hAnsi="华文仿宋" w:eastAsia="华文仿宋" w:cs="华文仿宋"/>
          <w:color w:val="auto"/>
          <w:sz w:val="28"/>
          <w:szCs w:val="28"/>
          <w:highlight w:val="none"/>
          <w:lang w:val="en-US" w:eastAsia="zh-CN"/>
        </w:rPr>
        <w:t>10</w:t>
      </w:r>
      <w:r>
        <w:rPr>
          <w:rFonts w:hint="eastAsia" w:ascii="华文仿宋" w:hAnsi="华文仿宋" w:eastAsia="华文仿宋" w:cs="华文仿宋"/>
          <w:color w:val="auto"/>
          <w:sz w:val="28"/>
          <w:szCs w:val="28"/>
          <w:highlight w:val="none"/>
        </w:rPr>
        <w:t>%的价格扣除，用扣除后的价格参与评审（节能、环保产品必须纳入“中国政府采购网 http://www.ccgp.gov.cn/”等官方网站“节能、环保产品查询系统”，且以提供的有效的证书复印件）。</w:t>
      </w:r>
    </w:p>
    <w:p w14:paraId="75181915">
      <w:pPr>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560" w:firstLineChars="200"/>
        <w:jc w:val="left"/>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w:t>
      </w:r>
      <w:r>
        <w:rPr>
          <w:rFonts w:hint="eastAsia" w:ascii="华文仿宋" w:hAnsi="华文仿宋" w:eastAsia="华文仿宋" w:cs="华文仿宋"/>
          <w:color w:val="auto"/>
          <w:sz w:val="28"/>
          <w:szCs w:val="28"/>
          <w:highlight w:val="none"/>
          <w:u w:val="none"/>
        </w:rPr>
        <w:t>根据“关于印发《政府采购促进中小企业发展管理办法》的通知”（财库〔2020〕46号）的规定，对小微企业</w:t>
      </w:r>
      <w:r>
        <w:rPr>
          <w:rFonts w:hint="eastAsia" w:ascii="华文仿宋" w:hAnsi="华文仿宋" w:eastAsia="华文仿宋" w:cs="华文仿宋"/>
          <w:color w:val="auto"/>
          <w:sz w:val="28"/>
          <w:szCs w:val="28"/>
          <w:highlight w:val="none"/>
          <w:u w:val="none"/>
          <w:lang w:val="en-US" w:eastAsia="zh-CN"/>
        </w:rPr>
        <w:t>提供的服务</w:t>
      </w:r>
      <w:r>
        <w:rPr>
          <w:rFonts w:hint="eastAsia" w:ascii="华文仿宋" w:hAnsi="华文仿宋" w:eastAsia="华文仿宋" w:cs="华文仿宋"/>
          <w:color w:val="auto"/>
          <w:sz w:val="28"/>
          <w:szCs w:val="28"/>
          <w:highlight w:val="none"/>
          <w:u w:val="none"/>
        </w:rPr>
        <w:t>给予</w:t>
      </w:r>
      <w:r>
        <w:rPr>
          <w:rFonts w:hint="eastAsia" w:ascii="华文仿宋" w:hAnsi="华文仿宋" w:eastAsia="华文仿宋" w:cs="华文仿宋"/>
          <w:color w:val="auto"/>
          <w:sz w:val="28"/>
          <w:szCs w:val="28"/>
          <w:highlight w:val="none"/>
          <w:u w:val="none"/>
          <w:lang w:val="en-US" w:eastAsia="zh-CN"/>
        </w:rPr>
        <w:t>报</w:t>
      </w:r>
      <w:r>
        <w:rPr>
          <w:rFonts w:hint="eastAsia" w:ascii="华文仿宋" w:hAnsi="华文仿宋" w:eastAsia="华文仿宋" w:cs="华文仿宋"/>
          <w:color w:val="auto"/>
          <w:sz w:val="28"/>
          <w:szCs w:val="28"/>
          <w:highlight w:val="none"/>
          <w:u w:val="none"/>
        </w:rPr>
        <w:t>价的10%价格扣除，用扣除后的价格参与评审。</w:t>
      </w:r>
    </w:p>
    <w:p w14:paraId="5B2C9DCF">
      <w:pPr>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560" w:firstLineChars="200"/>
        <w:jc w:val="left"/>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4、</w:t>
      </w:r>
      <w:r>
        <w:rPr>
          <w:rFonts w:hint="eastAsia" w:ascii="华文仿宋" w:hAnsi="华文仿宋" w:eastAsia="华文仿宋" w:cs="华文仿宋"/>
          <w:color w:val="auto"/>
          <w:sz w:val="28"/>
          <w:szCs w:val="28"/>
          <w:highlight w:val="none"/>
          <w:lang w:val="en-US" w:eastAsia="zh-CN"/>
        </w:rPr>
        <w:t>磋商小组</w:t>
      </w:r>
      <w:r>
        <w:rPr>
          <w:rFonts w:hint="eastAsia" w:ascii="华文仿宋" w:hAnsi="华文仿宋" w:eastAsia="华文仿宋" w:cs="华文仿宋"/>
          <w:color w:val="auto"/>
          <w:sz w:val="28"/>
          <w:szCs w:val="28"/>
          <w:highlight w:val="none"/>
        </w:rPr>
        <w:t xml:space="preserve">不保证有效报价最低的供应商成交。 </w:t>
      </w:r>
    </w:p>
    <w:p w14:paraId="5E10176F">
      <w:pPr>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560" w:firstLineChars="200"/>
        <w:jc w:val="left"/>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5、若供应商提供虚假资料，一经查实作无效</w:t>
      </w:r>
      <w:r>
        <w:rPr>
          <w:rFonts w:hint="eastAsia" w:ascii="华文仿宋" w:hAnsi="华文仿宋" w:eastAsia="华文仿宋" w:cs="华文仿宋"/>
          <w:color w:val="auto"/>
          <w:sz w:val="28"/>
          <w:szCs w:val="28"/>
          <w:highlight w:val="none"/>
          <w:lang w:val="en-US" w:eastAsia="zh-CN"/>
        </w:rPr>
        <w:t>响应</w:t>
      </w:r>
      <w:r>
        <w:rPr>
          <w:rFonts w:hint="eastAsia" w:ascii="华文仿宋" w:hAnsi="华文仿宋" w:eastAsia="华文仿宋" w:cs="华文仿宋"/>
          <w:color w:val="auto"/>
          <w:sz w:val="28"/>
          <w:szCs w:val="28"/>
          <w:highlight w:val="none"/>
        </w:rPr>
        <w:t>文件处理。</w:t>
      </w:r>
    </w:p>
    <w:p w14:paraId="2B5AC1DC">
      <w:pPr>
        <w:keepNext w:val="0"/>
        <w:keepLines w:val="0"/>
        <w:pageBreakBefore w:val="0"/>
        <w:widowControl/>
        <w:kinsoku/>
        <w:wordWrap/>
        <w:overflowPunct/>
        <w:topLinePunct w:val="0"/>
        <w:autoSpaceDE w:val="0"/>
        <w:autoSpaceDN w:val="0"/>
        <w:bidi w:val="0"/>
        <w:adjustRightInd w:val="0"/>
        <w:snapToGrid/>
        <w:spacing w:line="360" w:lineRule="auto"/>
        <w:ind w:left="0" w:leftChars="0" w:firstLine="561" w:firstLineChars="200"/>
        <w:jc w:val="center"/>
        <w:textAlignment w:val="auto"/>
        <w:outlineLvl w:val="0"/>
        <w:rPr>
          <w:rFonts w:hint="default" w:ascii="方正小标宋_GBK" w:hAnsi="方正小标宋_GBK" w:eastAsia="方正小标宋_GBK" w:cs="方正小标宋_GBK"/>
          <w:b w:val="0"/>
          <w:bCs w:val="0"/>
          <w:color w:val="auto"/>
          <w:spacing w:val="0"/>
          <w:sz w:val="36"/>
          <w:szCs w:val="36"/>
          <w:highlight w:val="none"/>
          <w:lang w:val="en-US" w:eastAsia="zh-CN"/>
        </w:rPr>
      </w:pPr>
      <w:r>
        <w:rPr>
          <w:rFonts w:hint="eastAsia" w:ascii="华文仿宋" w:hAnsi="华文仿宋" w:eastAsia="华文仿宋" w:cs="华文仿宋"/>
          <w:b/>
          <w:bCs/>
          <w:color w:val="auto"/>
          <w:spacing w:val="-10"/>
          <w:sz w:val="30"/>
          <w:szCs w:val="30"/>
          <w:highlight w:val="none"/>
        </w:rPr>
        <w:br w:type="page"/>
      </w:r>
      <w:bookmarkStart w:id="54" w:name="_Toc12729"/>
      <w:r>
        <w:rPr>
          <w:rFonts w:hint="eastAsia" w:ascii="方正小标宋_GBK" w:hAnsi="方正小标宋_GBK" w:eastAsia="方正小标宋_GBK" w:cs="方正小标宋_GBK"/>
          <w:b w:val="0"/>
          <w:bCs w:val="0"/>
          <w:color w:val="auto"/>
          <w:spacing w:val="0"/>
          <w:sz w:val="36"/>
          <w:szCs w:val="36"/>
          <w:highlight w:val="none"/>
          <w:lang w:val="zh-CN"/>
        </w:rPr>
        <w:t>第四章 采购</w:t>
      </w:r>
      <w:bookmarkEnd w:id="53"/>
      <w:bookmarkEnd w:id="54"/>
      <w:r>
        <w:rPr>
          <w:rFonts w:hint="eastAsia" w:ascii="方正小标宋_GBK" w:hAnsi="方正小标宋_GBK" w:eastAsia="方正小标宋_GBK" w:cs="方正小标宋_GBK"/>
          <w:b w:val="0"/>
          <w:bCs w:val="0"/>
          <w:color w:val="auto"/>
          <w:spacing w:val="0"/>
          <w:sz w:val="36"/>
          <w:szCs w:val="36"/>
          <w:highlight w:val="none"/>
          <w:lang w:val="en-US" w:eastAsia="zh-CN"/>
        </w:rPr>
        <w:t>需求</w:t>
      </w:r>
    </w:p>
    <w:p w14:paraId="4C120BC3">
      <w:pPr>
        <w:spacing w:before="120" w:beforeLines="50" w:after="120" w:afterLines="50" w:line="360" w:lineRule="auto"/>
        <w:jc w:val="both"/>
        <w:rPr>
          <w:rFonts w:hint="eastAsia" w:ascii="华文仿宋" w:hAnsi="华文仿宋" w:eastAsia="华文仿宋" w:cs="华文仿宋"/>
          <w:color w:val="auto"/>
          <w:sz w:val="28"/>
          <w:szCs w:val="28"/>
          <w:highlight w:val="none"/>
          <w:lang w:eastAsia="zh-CN"/>
        </w:rPr>
      </w:pPr>
      <w:bookmarkStart w:id="55" w:name="_Toc21900"/>
      <w:bookmarkStart w:id="56" w:name="_Toc22755"/>
      <w:bookmarkStart w:id="57" w:name="_Toc488329636"/>
      <w:bookmarkStart w:id="58" w:name="_Toc300"/>
      <w:r>
        <w:rPr>
          <w:rFonts w:hint="eastAsia" w:ascii="华文仿宋" w:hAnsi="华文仿宋" w:eastAsia="华文仿宋" w:cs="华文仿宋"/>
          <w:color w:val="auto"/>
          <w:sz w:val="28"/>
          <w:szCs w:val="28"/>
          <w:highlight w:val="none"/>
          <w:lang w:eastAsia="zh-CN"/>
        </w:rPr>
        <w:t>一、采购标的清单</w:t>
      </w:r>
    </w:p>
    <w:p w14:paraId="366D03F3">
      <w:pPr>
        <w:pStyle w:val="2"/>
        <w:rPr>
          <w:rFonts w:hint="eastAsia"/>
          <w:color w:val="auto"/>
          <w:highlight w:val="none"/>
          <w:lang w:eastAsia="zh-CN"/>
        </w:rPr>
      </w:pPr>
    </w:p>
    <w:tbl>
      <w:tblPr>
        <w:tblStyle w:val="68"/>
        <w:tblW w:w="901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5376"/>
        <w:gridCol w:w="2683"/>
      </w:tblGrid>
      <w:tr w14:paraId="222ED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958" w:type="dxa"/>
            <w:vAlign w:val="center"/>
          </w:tcPr>
          <w:p w14:paraId="717F4D77">
            <w:pP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采购包</w:t>
            </w:r>
          </w:p>
        </w:tc>
        <w:tc>
          <w:tcPr>
            <w:tcW w:w="5376" w:type="dxa"/>
            <w:vAlign w:val="center"/>
          </w:tcPr>
          <w:p w14:paraId="143F777C">
            <w:pPr>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采购标的</w:t>
            </w:r>
          </w:p>
        </w:tc>
        <w:tc>
          <w:tcPr>
            <w:tcW w:w="2683" w:type="dxa"/>
            <w:vAlign w:val="center"/>
          </w:tcPr>
          <w:p w14:paraId="098348ED">
            <w:pPr>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对应中小企业划分标准所属行业</w:t>
            </w:r>
          </w:p>
        </w:tc>
      </w:tr>
      <w:tr w14:paraId="4C9B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58" w:type="dxa"/>
            <w:vAlign w:val="center"/>
          </w:tcPr>
          <w:p w14:paraId="3F6AC974">
            <w:pPr>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一</w:t>
            </w:r>
          </w:p>
        </w:tc>
        <w:tc>
          <w:tcPr>
            <w:tcW w:w="5376" w:type="dxa"/>
            <w:vAlign w:val="center"/>
          </w:tcPr>
          <w:p w14:paraId="3F06BCB4">
            <w:pPr>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江苏省老年医院改造工程造价咨询服务（跟踪审计、决算审计）</w:t>
            </w:r>
          </w:p>
        </w:tc>
        <w:tc>
          <w:tcPr>
            <w:tcW w:w="2683" w:type="dxa"/>
            <w:vAlign w:val="center"/>
          </w:tcPr>
          <w:p w14:paraId="603DAB12">
            <w:pPr>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其他咨询服务</w:t>
            </w:r>
          </w:p>
        </w:tc>
      </w:tr>
    </w:tbl>
    <w:p w14:paraId="4B7771E2">
      <w:pPr>
        <w:spacing w:before="120" w:beforeLines="50" w:after="120" w:afterLines="50" w:line="360" w:lineRule="auto"/>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二、项目说明</w:t>
      </w:r>
      <w:bookmarkEnd w:id="55"/>
    </w:p>
    <w:p w14:paraId="46228E3F">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1、工程名称：江苏省老年医院改造工程造价咨询服务（跟踪审计、决算审计）</w:t>
      </w:r>
    </w:p>
    <w:p w14:paraId="4E2CABB3">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2、工程地点：南京市鼓楼区江苏路65号</w:t>
      </w:r>
      <w:r>
        <w:rPr>
          <w:rFonts w:hint="eastAsia" w:ascii="华文仿宋" w:hAnsi="华文仿宋" w:eastAsia="华文仿宋" w:cs="华文仿宋"/>
          <w:color w:val="auto"/>
          <w:sz w:val="28"/>
          <w:szCs w:val="28"/>
          <w:highlight w:val="none"/>
          <w:lang w:val="en-US" w:eastAsia="zh-CN"/>
        </w:rPr>
        <w:t>和江苏路75号</w:t>
      </w:r>
      <w:r>
        <w:rPr>
          <w:rFonts w:hint="eastAsia" w:ascii="华文仿宋" w:hAnsi="华文仿宋" w:eastAsia="华文仿宋" w:cs="华文仿宋"/>
          <w:color w:val="auto"/>
          <w:sz w:val="28"/>
          <w:szCs w:val="28"/>
          <w:highlight w:val="none"/>
          <w:lang w:eastAsia="zh-CN"/>
        </w:rPr>
        <w:t xml:space="preserve">  </w:t>
      </w:r>
    </w:p>
    <w:p w14:paraId="768740F3">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3、建设内容及规模：</w:t>
      </w:r>
    </w:p>
    <w:p w14:paraId="48EAFD5B">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主要内容包括消险加固存在安全隐患建筑，扩建特约门诊、康复中心、药房、中医门诊等功能区域，以及改造急诊、干部保健病区、发热门诊、实验室、业务管理用房、相关辅助用房等。</w:t>
      </w:r>
    </w:p>
    <w:p w14:paraId="41493CB5">
      <w:pPr>
        <w:spacing w:before="120" w:beforeLines="50" w:after="120" w:afterLines="50" w:line="360" w:lineRule="auto"/>
        <w:ind w:firstLine="560" w:firstLineChars="200"/>
        <w:jc w:val="both"/>
        <w:rPr>
          <w:rFonts w:hint="default"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4、工程总投资约1.5亿元，建安造价费约11027万元。</w:t>
      </w:r>
    </w:p>
    <w:p w14:paraId="0C9D2516">
      <w:pPr>
        <w:spacing w:before="120" w:beforeLines="50" w:after="120" w:afterLines="50" w:line="360" w:lineRule="auto"/>
        <w:jc w:val="both"/>
        <w:rPr>
          <w:rFonts w:hint="eastAsia" w:ascii="华文仿宋" w:hAnsi="华文仿宋" w:eastAsia="华文仿宋" w:cs="华文仿宋"/>
          <w:color w:val="auto"/>
          <w:sz w:val="28"/>
          <w:szCs w:val="28"/>
          <w:highlight w:val="none"/>
          <w:lang w:eastAsia="zh-CN"/>
        </w:rPr>
      </w:pPr>
      <w:bookmarkStart w:id="59" w:name="_Toc5293"/>
      <w:r>
        <w:rPr>
          <w:rFonts w:hint="eastAsia" w:ascii="华文仿宋" w:hAnsi="华文仿宋" w:eastAsia="华文仿宋" w:cs="华文仿宋"/>
          <w:color w:val="auto"/>
          <w:sz w:val="28"/>
          <w:szCs w:val="28"/>
          <w:highlight w:val="none"/>
          <w:lang w:eastAsia="zh-CN"/>
        </w:rPr>
        <w:t>三、方案要求</w:t>
      </w:r>
    </w:p>
    <w:bookmarkEnd w:id="59"/>
    <w:p w14:paraId="41D85FA8">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编制项目造价咨询服务方案，明确项目实施技术路线与工作流程，提出进度安排及质量保障措施，做好项目实施重点、难点及关键过程分析，有针对性的制定项目资料管理方案，满足以下具体要求（包括但不限于）：</w:t>
      </w:r>
    </w:p>
    <w:p w14:paraId="646E09C5">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（一）造价控制和跟踪审计服务要求：</w:t>
      </w:r>
    </w:p>
    <w:p w14:paraId="0E5EECE4">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1、制定造价控制和跟踪审计服务的实施细则，确定控制目标和跟踪审计要点；</w:t>
      </w:r>
    </w:p>
    <w:p w14:paraId="5D8821EE">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2、审核工程进度款用款计划书，并出具审核意见；</w:t>
      </w:r>
    </w:p>
    <w:p w14:paraId="34CB1406">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3、审核工程项目变更、签证等工程计量和计价依据；</w:t>
      </w:r>
    </w:p>
    <w:p w14:paraId="509AE31A">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4、根据承发包合同和相应的建设工程法律、法规、标准规范与定额、投标文件、施工图纸及现场发生的各项有效证明，对施工单位计量依据、工程量、定额套用、材料价格、计费费率等各类费用进行审核，并对相关文件使用、计算过程、签批手续等进行跟踪审计；</w:t>
      </w:r>
    </w:p>
    <w:p w14:paraId="6504226C">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5、提供涉及委托咨询工程项目的人工、材料、设备等造价信息和与造价控制相关的其他咨询服务。</w:t>
      </w:r>
    </w:p>
    <w:p w14:paraId="1A2ADBEF">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6、审核工程项目关键控制节点、隐蔽工程计量并参与验收，相应调整造价控制目标，并向采购人提供造价控制动态分析报告；</w:t>
      </w:r>
    </w:p>
    <w:p w14:paraId="0B7FB9D6">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7、参与施工协调会、工程监理例会，及时掌握施工中发生的对造价有影响的情况，并按月向采购人提供造价控制动态分析报告（即项目情况月报）；</w:t>
      </w:r>
    </w:p>
    <w:p w14:paraId="2CEEAEF8">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8、做好政策性调整、设计变更和物价上涨等因素影响项目投资的情况分析，建立实际投资与概预算动态对照分析表，定期向采购人提供造价控制动态分析报告；</w:t>
      </w:r>
    </w:p>
    <w:p w14:paraId="078B9533">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9、审核合同未约定或约定不明的价格及费用分摊等；</w:t>
      </w:r>
    </w:p>
    <w:p w14:paraId="2511FB10">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10、审核工程项目竣工结算，出具工程造价结算审计报告；</w:t>
      </w:r>
    </w:p>
    <w:p w14:paraId="2FECC909">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11、审核工程经济合同履行情况，工程竣工结算完成后，编制项目概决算分析报告；</w:t>
      </w:r>
    </w:p>
    <w:p w14:paraId="5B3DC772">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12、编制工程竣工财务决算报告；</w:t>
      </w:r>
    </w:p>
    <w:p w14:paraId="31AF0998">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13、完成工程款项支付及质保金等审核核对工作；</w:t>
      </w:r>
    </w:p>
    <w:p w14:paraId="5B76D280">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14、配合财政、审计等部门的投资审计复审工作；</w:t>
      </w:r>
    </w:p>
    <w:p w14:paraId="27158204">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15、协助工程项目竣工验收、交付及相关资料归档工作；</w:t>
      </w:r>
    </w:p>
    <w:p w14:paraId="409C2932">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16、配合工程项目效益性评价等相关工作；</w:t>
      </w:r>
    </w:p>
    <w:p w14:paraId="015BC81C">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17、项目完成后编制一份针对项目或委托单位的管理建议书；</w:t>
      </w:r>
    </w:p>
    <w:p w14:paraId="679F2580">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18、其他事项。</w:t>
      </w:r>
    </w:p>
    <w:p w14:paraId="2F1A7260">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（二）项目实施技术与工作流程要求：</w:t>
      </w:r>
    </w:p>
    <w:p w14:paraId="1844BE43">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1、明确实施造价控制和跟踪审计的技术要求、方法措施等；</w:t>
      </w:r>
    </w:p>
    <w:p w14:paraId="5F00AE9E">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2、制定具体工作流程，落实各项管理要求；</w:t>
      </w:r>
    </w:p>
    <w:p w14:paraId="4313C24B">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3、其他和项目实施有关的技术要求和工作流程要求。</w:t>
      </w:r>
    </w:p>
    <w:p w14:paraId="6448C826">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（三）项目质量要求：</w:t>
      </w:r>
    </w:p>
    <w:p w14:paraId="7F283890">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1、应当严格遵守国家的有关法律法规、制度规定及有关执业规范要求；</w:t>
      </w:r>
    </w:p>
    <w:p w14:paraId="7C598AFB">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2、对造价咨询意见的真实性、完整性、可靠性负责；</w:t>
      </w:r>
    </w:p>
    <w:p w14:paraId="6ECABD1E">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3、严格执行项目概算批复要求，严格按标准按合同控制工程造价，项目各子项不得超概算；</w:t>
      </w:r>
    </w:p>
    <w:p w14:paraId="7B4C03BF">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4、及时出具符合采购人要求的各类报表、报告并报送相关资料；</w:t>
      </w:r>
    </w:p>
    <w:p w14:paraId="73430EE8">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（1）按月编报工程项目情况月报，每月25日前报送：包括项目实施情况、合同签订情况、签证变更情况、资金申请情况、实际工程量清单等；</w:t>
      </w:r>
    </w:p>
    <w:p w14:paraId="5382562F">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（2）根据项目实施情况，编制项目合同台账和付款明细；</w:t>
      </w:r>
    </w:p>
    <w:p w14:paraId="5EBE914C">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（3）每次工程付款时，提供付款审核意见书；</w:t>
      </w:r>
    </w:p>
    <w:p w14:paraId="454050B6">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（4）工程竣工后，编制建设工程结算审核书，出具造价咨询报告、工程结算造价咨询报告等文件；</w:t>
      </w:r>
    </w:p>
    <w:p w14:paraId="2873BBC1">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（5）工程竣工结算审核全部完成后，编制概算与决算费用拆分对照表、工程竣工财务决算表和分析报告；</w:t>
      </w:r>
    </w:p>
    <w:p w14:paraId="174795DF">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（6）其他采购人需要的与项目造价咨询相关的报表、报告。</w:t>
      </w:r>
    </w:p>
    <w:p w14:paraId="4BC25449">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5、造价咨询过程中出现重大分歧而又确需相关各方协调解决的问题，供应商应提出书面意见(应附调查取证资料、建议处理方案以及相关单位意见)报采购人，采购人将会同有关单位共同核实资料、了解具体情况，经研究形成的处理意见后，在其咨询报告中调整。</w:t>
      </w:r>
    </w:p>
    <w:p w14:paraId="144F41D6">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（四）项目实施重点、难点和关键点要求：</w:t>
      </w:r>
    </w:p>
    <w:p w14:paraId="10FACE99">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1、理清新建工程项目造价控制和跟踪审计的重点、难点和关键点；</w:t>
      </w:r>
    </w:p>
    <w:p w14:paraId="4FB32366">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2、制定解决方案和具体解决措施，合理把控工程造价和结算送审金额；</w:t>
      </w:r>
    </w:p>
    <w:p w14:paraId="709A948F">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3、为采购人提出的项目造价控制问题，提供解决建议；</w:t>
      </w:r>
    </w:p>
    <w:p w14:paraId="3BBB985A">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4、其他事项。</w:t>
      </w:r>
    </w:p>
    <w:p w14:paraId="2C28AB6C">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（五）项目资料管理要求</w:t>
      </w:r>
    </w:p>
    <w:p w14:paraId="5697EA8A">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1、严格落实档案管理的各项法律法规和保密项目档案资料管理规定；</w:t>
      </w:r>
    </w:p>
    <w:p w14:paraId="218A0F05">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2、妥善保管造价咨询过程中的各类原始资料、项目实施过程各类报表、报告等；</w:t>
      </w:r>
    </w:p>
    <w:p w14:paraId="0523549E">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3、造价咨询服务工作全部结束时，供应商须将工作期间形成的、使用的所有纸质资料和电子文档整理归档并移交采购人，不得另作保存；</w:t>
      </w:r>
    </w:p>
    <w:p w14:paraId="07236FAF">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4、项目资料管理其他事项。</w:t>
      </w:r>
    </w:p>
    <w:p w14:paraId="2AC0F2D4">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四、履约能力</w:t>
      </w:r>
    </w:p>
    <w:p w14:paraId="2FA9F3CA">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（一）造价咨询服务人员要求</w:t>
      </w:r>
    </w:p>
    <w:p w14:paraId="072BE278">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1、本项目中除项目负责人外，还须配备不少于4名造价咨询服务人员（土建、安装专业各2人），项目施工期间日常驻场咨询人员不少于2名、项目负责人每周驻场时间不少于1天。</w:t>
      </w:r>
    </w:p>
    <w:p w14:paraId="47FD810E">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2、项目负责人必须具有注册一级造价工程师（旧版为注册造价工程师）（含执业资格）证书。</w:t>
      </w:r>
    </w:p>
    <w:p w14:paraId="3A1274A6">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3、项目负责人自2021年3月1日以来，作为造价咨询服务项目负责人完成过建筑工程建设类项目的造价咨询服务（全过程跟踪审计）。</w:t>
      </w:r>
    </w:p>
    <w:p w14:paraId="5B36BD9F">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4、拟配备的项目组成员须具备造价咨询（跟踪审计）工作经验，且至少2人具备注册一级造价工程师（旧版为注册造价工程师）（含执业资格）证书</w:t>
      </w:r>
      <w:r>
        <w:rPr>
          <w:rFonts w:hint="eastAsia" w:ascii="华文仿宋" w:hAnsi="华文仿宋" w:eastAsia="华文仿宋" w:cs="华文仿宋"/>
          <w:color w:val="auto"/>
          <w:sz w:val="28"/>
          <w:szCs w:val="28"/>
          <w:highlight w:val="none"/>
          <w:lang w:eastAsia="zh-CN"/>
        </w:rPr>
        <w:t>（土建、安装专业各</w:t>
      </w: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lang w:eastAsia="zh-CN"/>
        </w:rPr>
        <w:t>人）</w:t>
      </w:r>
      <w:r>
        <w:rPr>
          <w:rFonts w:hint="eastAsia" w:ascii="华文仿宋" w:hAnsi="华文仿宋" w:eastAsia="华文仿宋" w:cs="华文仿宋"/>
          <w:color w:val="auto"/>
          <w:sz w:val="28"/>
          <w:szCs w:val="28"/>
          <w:highlight w:val="none"/>
          <w:lang w:eastAsia="zh-CN"/>
        </w:rPr>
        <w:t>；</w:t>
      </w:r>
    </w:p>
    <w:p w14:paraId="3A715926">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5、实际参加造价咨询服务工作的人员必须与响应时人员名单保持一致，未经采购人书面同意，不得随意更换。</w:t>
      </w:r>
    </w:p>
    <w:p w14:paraId="6E0D18D4">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（二）业绩要求及其他</w:t>
      </w:r>
    </w:p>
    <w:p w14:paraId="5BC19DAD">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1、供应商自2021年3月1日以来，完成过建筑工程建设类项目维修改造工程的造价咨询服务。</w:t>
      </w:r>
    </w:p>
    <w:p w14:paraId="36ACDB7D">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2、供应商具有有效期内国家认监委认可的认证机构颁发的ISO9001质量管理体系认证。</w:t>
      </w:r>
    </w:p>
    <w:p w14:paraId="5BA99549">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3、供应商业绩和项目负责人业绩不共用。</w:t>
      </w:r>
    </w:p>
    <w:p w14:paraId="3DB2ED94">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五、商务部分</w:t>
      </w:r>
    </w:p>
    <w:p w14:paraId="73DEDE32">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（一）服务期限：</w:t>
      </w:r>
    </w:p>
    <w:p w14:paraId="7B18FF3F">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从委托合同签订至项目竣工结算审核全部完成，项目竣工财务决算编报至取得批复。</w:t>
      </w:r>
    </w:p>
    <w:p w14:paraId="579C4F44">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（二）报价要求和付款要求</w:t>
      </w:r>
    </w:p>
    <w:p w14:paraId="6E2C1538">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1、报价方式：费率（参照标准收费的实际费率）。</w:t>
      </w:r>
    </w:p>
    <w:p w14:paraId="7BD78AC7">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（1）报价应是招标文件所确定的采购范围内全部内容的体现，包括但不限于人工费、工本费用、差旅费、汇报费用、通讯费、邮递费、会议会务费、加班费、保险费、利润、管理费、税费等。</w:t>
      </w:r>
    </w:p>
    <w:p w14:paraId="01D55BC3">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（2）供应商应充分考虑到市场价格变动，以及项目实施过程中的不可预见因素。</w:t>
      </w:r>
    </w:p>
    <w:p w14:paraId="228185CC">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3）参照《江苏省物价局省住房和城乡建设厅关于规范工程造价咨询服务收费标准及有关事项的通知》（苏价服【2014】383号）收费标准，本次采购预算包含全过程造价控制的招标阶段：工程预算、招标控制价、投标报价（含工程量清单审核）审核；施工阶段：基本费和驻场费；竣工结算及决算阶段：工程结算审核效益费。收费标准参照苏价服【2014】383号，所有阶段收费费率一致。</w:t>
      </w:r>
    </w:p>
    <w:p w14:paraId="076BF6C0">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（4）采购人不接受具有附加条件的报价，含有附加条件的报价视为无效响应。</w:t>
      </w:r>
    </w:p>
    <w:p w14:paraId="549C5F73">
      <w:pPr>
        <w:spacing w:before="120" w:beforeLines="50" w:after="120" w:afterLines="50" w:line="360" w:lineRule="auto"/>
        <w:ind w:firstLine="560" w:firstLineChars="200"/>
        <w:jc w:val="both"/>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2、付款要求：执行合同约定的酬金计算方式和支付方式。</w:t>
      </w:r>
    </w:p>
    <w:p w14:paraId="5F8EF5BB">
      <w:pPr>
        <w:pStyle w:val="2"/>
        <w:rPr>
          <w:rFonts w:hint="eastAsia" w:ascii="华文仿宋" w:hAnsi="华文仿宋" w:eastAsia="华文仿宋" w:cs="华文仿宋"/>
          <w:color w:val="auto"/>
          <w:sz w:val="28"/>
          <w:szCs w:val="28"/>
          <w:highlight w:val="none"/>
          <w:lang w:eastAsia="zh-CN"/>
        </w:rPr>
      </w:pPr>
    </w:p>
    <w:p w14:paraId="745F516B">
      <w:pPr>
        <w:rPr>
          <w:rFonts w:hint="eastAsia" w:ascii="华文仿宋" w:hAnsi="华文仿宋" w:eastAsia="华文仿宋" w:cs="华文仿宋"/>
          <w:color w:val="auto"/>
          <w:sz w:val="28"/>
          <w:szCs w:val="28"/>
          <w:highlight w:val="none"/>
          <w:lang w:eastAsia="zh-CN"/>
        </w:rPr>
      </w:pPr>
    </w:p>
    <w:p w14:paraId="2C0607CB">
      <w:pPr>
        <w:pStyle w:val="2"/>
        <w:rPr>
          <w:rFonts w:hint="eastAsia" w:ascii="华文仿宋" w:hAnsi="华文仿宋" w:eastAsia="华文仿宋" w:cs="华文仿宋"/>
          <w:color w:val="auto"/>
          <w:sz w:val="28"/>
          <w:szCs w:val="28"/>
          <w:highlight w:val="none"/>
          <w:lang w:eastAsia="zh-CN"/>
        </w:rPr>
      </w:pPr>
    </w:p>
    <w:p w14:paraId="2235F4C0">
      <w:pPr>
        <w:rPr>
          <w:rFonts w:hint="eastAsia" w:ascii="华文仿宋" w:hAnsi="华文仿宋" w:eastAsia="华文仿宋" w:cs="华文仿宋"/>
          <w:color w:val="auto"/>
          <w:sz w:val="28"/>
          <w:szCs w:val="28"/>
          <w:highlight w:val="none"/>
          <w:lang w:eastAsia="zh-CN"/>
        </w:rPr>
      </w:pPr>
    </w:p>
    <w:p w14:paraId="5004137A">
      <w:pPr>
        <w:pStyle w:val="2"/>
        <w:rPr>
          <w:rFonts w:hint="eastAsia" w:ascii="华文仿宋" w:hAnsi="华文仿宋" w:eastAsia="华文仿宋" w:cs="华文仿宋"/>
          <w:color w:val="auto"/>
          <w:sz w:val="28"/>
          <w:szCs w:val="28"/>
          <w:highlight w:val="none"/>
          <w:lang w:eastAsia="zh-CN"/>
        </w:rPr>
      </w:pPr>
    </w:p>
    <w:p w14:paraId="626C6C9A">
      <w:pPr>
        <w:rPr>
          <w:rFonts w:hint="eastAsia" w:ascii="华文仿宋" w:hAnsi="华文仿宋" w:eastAsia="华文仿宋" w:cs="华文仿宋"/>
          <w:color w:val="auto"/>
          <w:sz w:val="28"/>
          <w:szCs w:val="28"/>
          <w:highlight w:val="none"/>
          <w:lang w:eastAsia="zh-CN"/>
        </w:rPr>
      </w:pPr>
    </w:p>
    <w:p w14:paraId="284437C0">
      <w:pPr>
        <w:pStyle w:val="2"/>
        <w:rPr>
          <w:rFonts w:hint="eastAsia" w:ascii="华文仿宋" w:hAnsi="华文仿宋" w:eastAsia="华文仿宋" w:cs="华文仿宋"/>
          <w:color w:val="auto"/>
          <w:sz w:val="28"/>
          <w:szCs w:val="28"/>
          <w:highlight w:val="none"/>
          <w:lang w:eastAsia="zh-CN"/>
        </w:rPr>
      </w:pPr>
    </w:p>
    <w:p w14:paraId="69560B55">
      <w:pPr>
        <w:rPr>
          <w:rFonts w:hint="eastAsia" w:ascii="华文仿宋" w:hAnsi="华文仿宋" w:eastAsia="华文仿宋" w:cs="华文仿宋"/>
          <w:color w:val="auto"/>
          <w:sz w:val="28"/>
          <w:szCs w:val="28"/>
          <w:highlight w:val="none"/>
          <w:lang w:eastAsia="zh-CN"/>
        </w:rPr>
      </w:pPr>
    </w:p>
    <w:p w14:paraId="5E70D71F">
      <w:pPr>
        <w:pStyle w:val="2"/>
        <w:rPr>
          <w:rFonts w:hint="eastAsia" w:ascii="华文仿宋" w:hAnsi="华文仿宋" w:eastAsia="华文仿宋" w:cs="华文仿宋"/>
          <w:color w:val="auto"/>
          <w:sz w:val="28"/>
          <w:szCs w:val="28"/>
          <w:highlight w:val="none"/>
          <w:lang w:eastAsia="zh-CN"/>
        </w:rPr>
      </w:pPr>
    </w:p>
    <w:p w14:paraId="4EAF43F5">
      <w:pPr>
        <w:rPr>
          <w:rFonts w:hint="eastAsia" w:ascii="华文仿宋" w:hAnsi="华文仿宋" w:eastAsia="华文仿宋" w:cs="华文仿宋"/>
          <w:color w:val="auto"/>
          <w:sz w:val="28"/>
          <w:szCs w:val="28"/>
          <w:highlight w:val="none"/>
          <w:lang w:eastAsia="zh-CN"/>
        </w:rPr>
      </w:pPr>
    </w:p>
    <w:p w14:paraId="2ED12124">
      <w:pPr>
        <w:pStyle w:val="2"/>
        <w:rPr>
          <w:rFonts w:hint="eastAsia" w:ascii="华文仿宋" w:hAnsi="华文仿宋" w:eastAsia="华文仿宋" w:cs="华文仿宋"/>
          <w:color w:val="auto"/>
          <w:sz w:val="28"/>
          <w:szCs w:val="28"/>
          <w:highlight w:val="none"/>
          <w:lang w:eastAsia="zh-CN"/>
        </w:rPr>
      </w:pPr>
    </w:p>
    <w:p w14:paraId="6A7120C8">
      <w:pPr>
        <w:rPr>
          <w:rFonts w:hint="eastAsia" w:ascii="华文仿宋" w:hAnsi="华文仿宋" w:eastAsia="华文仿宋" w:cs="华文仿宋"/>
          <w:color w:val="auto"/>
          <w:sz w:val="28"/>
          <w:szCs w:val="28"/>
          <w:highlight w:val="none"/>
          <w:lang w:eastAsia="zh-CN"/>
        </w:rPr>
      </w:pPr>
    </w:p>
    <w:p w14:paraId="44E2C8DF">
      <w:pPr>
        <w:rPr>
          <w:rFonts w:hint="eastAsia"/>
          <w:color w:val="auto"/>
          <w:highlight w:val="none"/>
          <w:lang w:eastAsia="zh-CN"/>
        </w:rPr>
      </w:pPr>
    </w:p>
    <w:p w14:paraId="2AF0172F">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auto"/>
        <w:outlineLvl w:val="0"/>
        <w:rPr>
          <w:rFonts w:hint="eastAsia" w:ascii="华文仿宋" w:hAnsi="华文仿宋" w:eastAsia="华文仿宋" w:cs="华文仿宋"/>
          <w:bCs/>
          <w:color w:val="auto"/>
          <w:kern w:val="2"/>
          <w:sz w:val="30"/>
          <w:szCs w:val="30"/>
          <w:highlight w:val="none"/>
          <w:lang w:eastAsia="zh-CN"/>
        </w:rPr>
      </w:pPr>
      <w:r>
        <w:rPr>
          <w:rFonts w:hint="eastAsia" w:ascii="方正小标宋_GBK" w:hAnsi="方正小标宋_GBK" w:eastAsia="方正小标宋_GBK" w:cs="方正小标宋_GBK"/>
          <w:b w:val="0"/>
          <w:bCs w:val="0"/>
          <w:color w:val="auto"/>
          <w:sz w:val="36"/>
          <w:szCs w:val="36"/>
          <w:highlight w:val="none"/>
          <w:lang w:val="zh-CN"/>
        </w:rPr>
        <w:t>第五章</w:t>
      </w:r>
      <w:r>
        <w:rPr>
          <w:rFonts w:hint="eastAsia" w:ascii="方正小标宋_GBK" w:hAnsi="方正小标宋_GBK" w:eastAsia="方正小标宋_GBK" w:cs="方正小标宋_GBK"/>
          <w:b w:val="0"/>
          <w:bCs w:val="0"/>
          <w:color w:val="auto"/>
          <w:sz w:val="36"/>
          <w:szCs w:val="36"/>
          <w:highlight w:val="none"/>
        </w:rPr>
        <w:t xml:space="preserve"> </w:t>
      </w:r>
      <w:bookmarkEnd w:id="56"/>
      <w:bookmarkEnd w:id="57"/>
      <w:r>
        <w:rPr>
          <w:rFonts w:hint="eastAsia" w:ascii="方正小标宋_GBK" w:hAnsi="方正小标宋_GBK" w:eastAsia="方正小标宋_GBK" w:cs="方正小标宋_GBK"/>
          <w:b w:val="0"/>
          <w:bCs w:val="0"/>
          <w:color w:val="auto"/>
          <w:sz w:val="36"/>
          <w:szCs w:val="36"/>
          <w:highlight w:val="none"/>
        </w:rPr>
        <w:t>合同</w:t>
      </w:r>
      <w:r>
        <w:rPr>
          <w:rFonts w:hint="eastAsia" w:ascii="方正小标宋_GBK" w:hAnsi="方正小标宋_GBK" w:eastAsia="方正小标宋_GBK" w:cs="方正小标宋_GBK"/>
          <w:b w:val="0"/>
          <w:bCs w:val="0"/>
          <w:color w:val="auto"/>
          <w:sz w:val="36"/>
          <w:szCs w:val="36"/>
          <w:highlight w:val="none"/>
          <w:lang w:val="en-US" w:eastAsia="zh-CN"/>
        </w:rPr>
        <w:t>内容及格式</w:t>
      </w:r>
      <w:bookmarkEnd w:id="58"/>
    </w:p>
    <w:p w14:paraId="336A424B">
      <w:pPr>
        <w:snapToGrid w:val="0"/>
        <w:spacing w:line="240" w:lineRule="auto"/>
        <w:jc w:val="center"/>
        <w:rPr>
          <w:rFonts w:hint="eastAsia" w:ascii="宋体" w:hAnsi="宋体"/>
          <w:color w:val="auto"/>
          <w:spacing w:val="40"/>
          <w:sz w:val="60"/>
          <w:highlight w:val="none"/>
        </w:rPr>
      </w:pPr>
    </w:p>
    <w:p w14:paraId="21290C94">
      <w:pPr>
        <w:jc w:val="center"/>
        <w:rPr>
          <w:rFonts w:hint="eastAsia"/>
          <w:color w:val="auto"/>
          <w:sz w:val="40"/>
          <w:szCs w:val="40"/>
          <w:highlight w:val="none"/>
          <w:lang w:eastAsia="zh-CN"/>
        </w:rPr>
      </w:pPr>
      <w:r>
        <w:rPr>
          <w:rFonts w:hint="eastAsia"/>
          <w:color w:val="auto"/>
          <w:sz w:val="40"/>
          <w:szCs w:val="40"/>
          <w:highlight w:val="none"/>
          <w:lang w:eastAsia="zh-CN"/>
        </w:rPr>
        <w:t>江苏省建设工程造价咨询合同</w:t>
      </w:r>
    </w:p>
    <w:p w14:paraId="14163C24">
      <w:pPr>
        <w:jc w:val="center"/>
        <w:rPr>
          <w:rFonts w:hint="eastAsia"/>
          <w:color w:val="auto"/>
          <w:highlight w:val="none"/>
          <w:lang w:eastAsia="zh-CN"/>
        </w:rPr>
      </w:pPr>
    </w:p>
    <w:p w14:paraId="22F0F996">
      <w:pPr>
        <w:jc w:val="center"/>
        <w:rPr>
          <w:rFonts w:hint="eastAsia"/>
          <w:color w:val="auto"/>
          <w:highlight w:val="none"/>
          <w:lang w:eastAsia="zh-CN"/>
        </w:rPr>
      </w:pPr>
    </w:p>
    <w:p w14:paraId="148AD4E5">
      <w:pPr>
        <w:jc w:val="center"/>
        <w:rPr>
          <w:rFonts w:hint="eastAsia"/>
          <w:color w:val="auto"/>
          <w:highlight w:val="none"/>
          <w:lang w:eastAsia="zh-CN"/>
        </w:rPr>
      </w:pPr>
    </w:p>
    <w:p w14:paraId="40E44C3B">
      <w:pPr>
        <w:pStyle w:val="5"/>
        <w:rPr>
          <w:rFonts w:hint="eastAsia"/>
          <w:color w:val="auto"/>
          <w:highlight w:val="none"/>
          <w:lang w:eastAsia="zh-CN"/>
        </w:rPr>
      </w:pPr>
    </w:p>
    <w:p w14:paraId="60BBADCF">
      <w:pPr>
        <w:rPr>
          <w:rFonts w:hint="eastAsia"/>
          <w:color w:val="auto"/>
          <w:highlight w:val="none"/>
          <w:lang w:eastAsia="zh-CN"/>
        </w:rPr>
      </w:pPr>
    </w:p>
    <w:p w14:paraId="42089B40">
      <w:pPr>
        <w:jc w:val="center"/>
        <w:rPr>
          <w:rFonts w:hint="eastAsia"/>
          <w:color w:val="auto"/>
          <w:highlight w:val="none"/>
          <w:lang w:eastAsia="zh-CN"/>
        </w:rPr>
      </w:pPr>
    </w:p>
    <w:p w14:paraId="7BA73D92">
      <w:pPr>
        <w:jc w:val="center"/>
        <w:rPr>
          <w:rFonts w:hint="eastAsia"/>
          <w:color w:val="auto"/>
          <w:highlight w:val="none"/>
          <w:lang w:eastAsia="zh-CN"/>
        </w:rPr>
      </w:pPr>
    </w:p>
    <w:p w14:paraId="0473F36C">
      <w:pPr>
        <w:jc w:val="center"/>
        <w:rPr>
          <w:rFonts w:hint="eastAsia"/>
          <w:color w:val="auto"/>
          <w:highlight w:val="none"/>
          <w:lang w:eastAsia="zh-CN"/>
        </w:rPr>
      </w:pPr>
    </w:p>
    <w:p w14:paraId="6A2AF072">
      <w:pPr>
        <w:jc w:val="center"/>
        <w:rPr>
          <w:rFonts w:hint="eastAsia"/>
          <w:color w:val="auto"/>
          <w:sz w:val="36"/>
          <w:szCs w:val="36"/>
          <w:highlight w:val="none"/>
          <w:lang w:eastAsia="zh-CN"/>
        </w:rPr>
      </w:pPr>
      <w:r>
        <w:rPr>
          <w:rFonts w:hint="eastAsia"/>
          <w:color w:val="auto"/>
          <w:sz w:val="36"/>
          <w:szCs w:val="36"/>
          <w:highlight w:val="none"/>
          <w:lang w:eastAsia="zh-CN"/>
        </w:rPr>
        <w:t>项 目 名 称：</w:t>
      </w:r>
    </w:p>
    <w:p w14:paraId="72C40BE6">
      <w:pPr>
        <w:jc w:val="center"/>
        <w:rPr>
          <w:rFonts w:hint="eastAsia"/>
          <w:color w:val="auto"/>
          <w:sz w:val="36"/>
          <w:szCs w:val="36"/>
          <w:highlight w:val="none"/>
          <w:lang w:eastAsia="zh-CN"/>
        </w:rPr>
      </w:pPr>
      <w:r>
        <w:rPr>
          <w:rFonts w:hint="eastAsia"/>
          <w:color w:val="auto"/>
          <w:sz w:val="36"/>
          <w:szCs w:val="36"/>
          <w:highlight w:val="none"/>
          <w:lang w:eastAsia="zh-CN"/>
        </w:rPr>
        <w:t>建 设 地 点：</w:t>
      </w:r>
    </w:p>
    <w:p w14:paraId="250A4C0D">
      <w:pPr>
        <w:jc w:val="center"/>
        <w:rPr>
          <w:color w:val="auto"/>
          <w:sz w:val="36"/>
          <w:szCs w:val="36"/>
          <w:highlight w:val="none"/>
          <w:lang w:eastAsia="zh-CN"/>
        </w:rPr>
      </w:pPr>
      <w:r>
        <w:rPr>
          <w:rFonts w:hint="eastAsia"/>
          <w:color w:val="auto"/>
          <w:sz w:val="36"/>
          <w:szCs w:val="36"/>
          <w:highlight w:val="none"/>
          <w:lang w:eastAsia="zh-CN"/>
        </w:rPr>
        <w:t>合 同 编 号：</w:t>
      </w:r>
    </w:p>
    <w:p w14:paraId="52EEAA38">
      <w:pPr>
        <w:pStyle w:val="5"/>
        <w:rPr>
          <w:rFonts w:hint="eastAsia"/>
          <w:color w:val="auto"/>
          <w:highlight w:val="none"/>
          <w:lang w:eastAsia="zh-CN"/>
        </w:rPr>
      </w:pPr>
    </w:p>
    <w:p w14:paraId="245D300C">
      <w:pPr>
        <w:jc w:val="center"/>
        <w:rPr>
          <w:rFonts w:hint="eastAsia"/>
          <w:color w:val="auto"/>
          <w:sz w:val="36"/>
          <w:szCs w:val="36"/>
          <w:highlight w:val="none"/>
          <w:lang w:eastAsia="zh-CN"/>
        </w:rPr>
      </w:pPr>
      <w:r>
        <w:rPr>
          <w:rFonts w:hint="eastAsia"/>
          <w:color w:val="auto"/>
          <w:sz w:val="36"/>
          <w:szCs w:val="36"/>
          <w:highlight w:val="none"/>
          <w:lang w:eastAsia="zh-CN"/>
        </w:rPr>
        <w:t>咨 询 类 型： 全过程造价咨询服务</w:t>
      </w:r>
    </w:p>
    <w:p w14:paraId="61847E74">
      <w:pPr>
        <w:jc w:val="center"/>
        <w:rPr>
          <w:rFonts w:hint="eastAsia"/>
          <w:color w:val="auto"/>
          <w:highlight w:val="none"/>
          <w:lang w:eastAsia="zh-CN"/>
        </w:rPr>
      </w:pPr>
    </w:p>
    <w:p w14:paraId="168D4FBE">
      <w:pPr>
        <w:jc w:val="center"/>
        <w:rPr>
          <w:rFonts w:hint="eastAsia"/>
          <w:color w:val="auto"/>
          <w:highlight w:val="none"/>
          <w:lang w:eastAsia="zh-CN"/>
        </w:rPr>
      </w:pPr>
    </w:p>
    <w:p w14:paraId="245227F4">
      <w:pPr>
        <w:jc w:val="center"/>
        <w:rPr>
          <w:rFonts w:hint="eastAsia"/>
          <w:color w:val="auto"/>
          <w:highlight w:val="none"/>
          <w:lang w:eastAsia="zh-CN"/>
        </w:rPr>
      </w:pPr>
    </w:p>
    <w:p w14:paraId="0B822E48">
      <w:pPr>
        <w:jc w:val="center"/>
        <w:rPr>
          <w:rFonts w:hint="eastAsia"/>
          <w:color w:val="auto"/>
          <w:highlight w:val="none"/>
          <w:lang w:eastAsia="zh-CN"/>
        </w:rPr>
      </w:pPr>
    </w:p>
    <w:p w14:paraId="320231D4">
      <w:pPr>
        <w:jc w:val="center"/>
        <w:rPr>
          <w:color w:val="auto"/>
          <w:highlight w:val="none"/>
          <w:lang w:eastAsia="zh-CN"/>
        </w:rPr>
      </w:pPr>
    </w:p>
    <w:p w14:paraId="60DE54DE">
      <w:pPr>
        <w:pStyle w:val="5"/>
        <w:rPr>
          <w:color w:val="auto"/>
          <w:highlight w:val="none"/>
          <w:lang w:eastAsia="zh-CN"/>
        </w:rPr>
      </w:pPr>
    </w:p>
    <w:p w14:paraId="4857AD00">
      <w:pPr>
        <w:rPr>
          <w:color w:val="auto"/>
          <w:highlight w:val="none"/>
          <w:lang w:eastAsia="zh-CN"/>
        </w:rPr>
      </w:pPr>
    </w:p>
    <w:p w14:paraId="39FEC4A9">
      <w:pPr>
        <w:pStyle w:val="5"/>
        <w:rPr>
          <w:color w:val="auto"/>
          <w:highlight w:val="none"/>
          <w:lang w:eastAsia="zh-CN"/>
        </w:rPr>
      </w:pPr>
    </w:p>
    <w:p w14:paraId="369A97A5">
      <w:pPr>
        <w:rPr>
          <w:color w:val="auto"/>
          <w:highlight w:val="none"/>
          <w:lang w:eastAsia="zh-CN"/>
        </w:rPr>
      </w:pPr>
    </w:p>
    <w:p w14:paraId="56A06446">
      <w:pPr>
        <w:pStyle w:val="5"/>
        <w:rPr>
          <w:color w:val="auto"/>
          <w:highlight w:val="none"/>
          <w:lang w:eastAsia="zh-CN"/>
        </w:rPr>
      </w:pPr>
    </w:p>
    <w:p w14:paraId="1CC10445">
      <w:pPr>
        <w:rPr>
          <w:color w:val="auto"/>
          <w:highlight w:val="none"/>
          <w:lang w:eastAsia="zh-CN"/>
        </w:rPr>
      </w:pPr>
    </w:p>
    <w:p w14:paraId="06EB288D">
      <w:pPr>
        <w:pStyle w:val="5"/>
        <w:rPr>
          <w:color w:val="auto"/>
          <w:highlight w:val="none"/>
          <w:lang w:eastAsia="zh-CN"/>
        </w:rPr>
      </w:pPr>
    </w:p>
    <w:p w14:paraId="2B65A6DC">
      <w:pPr>
        <w:rPr>
          <w:rFonts w:hint="eastAsia"/>
          <w:color w:val="auto"/>
          <w:highlight w:val="none"/>
          <w:lang w:eastAsia="zh-CN"/>
        </w:rPr>
      </w:pPr>
    </w:p>
    <w:p w14:paraId="4A919EBE">
      <w:pPr>
        <w:pStyle w:val="5"/>
        <w:rPr>
          <w:color w:val="auto"/>
          <w:highlight w:val="none"/>
          <w:lang w:eastAsia="zh-CN"/>
        </w:rPr>
      </w:pPr>
    </w:p>
    <w:p w14:paraId="5DB8D317">
      <w:pPr>
        <w:rPr>
          <w:rFonts w:hint="eastAsia"/>
          <w:color w:val="auto"/>
          <w:highlight w:val="none"/>
          <w:lang w:eastAsia="zh-CN"/>
        </w:rPr>
      </w:pPr>
    </w:p>
    <w:p w14:paraId="085B4128">
      <w:pPr>
        <w:jc w:val="center"/>
        <w:rPr>
          <w:rFonts w:hint="eastAsia"/>
          <w:color w:val="auto"/>
          <w:highlight w:val="none"/>
          <w:lang w:eastAsia="zh-CN"/>
        </w:rPr>
      </w:pPr>
      <w:bookmarkStart w:id="60" w:name="_Hlt16619369"/>
      <w:bookmarkEnd w:id="60"/>
    </w:p>
    <w:p w14:paraId="6189F891">
      <w:pPr>
        <w:jc w:val="center"/>
        <w:rPr>
          <w:rFonts w:hint="eastAsia"/>
          <w:color w:val="auto"/>
          <w:highlight w:val="none"/>
          <w:lang w:eastAsia="zh-CN"/>
        </w:rPr>
      </w:pPr>
    </w:p>
    <w:tbl>
      <w:tblPr>
        <w:tblStyle w:val="67"/>
        <w:tblpPr w:leftFromText="180" w:rightFromText="180" w:vertAnchor="text" w:horzAnchor="page" w:tblpX="3265" w:tblpY="345"/>
        <w:tblOverlap w:val="never"/>
        <w:tblW w:w="5352" w:type="dxa"/>
        <w:tblInd w:w="0" w:type="dxa"/>
        <w:tblLayout w:type="fixed"/>
        <w:tblCellMar>
          <w:top w:w="0" w:type="dxa"/>
          <w:left w:w="108" w:type="dxa"/>
          <w:bottom w:w="0" w:type="dxa"/>
          <w:right w:w="108" w:type="dxa"/>
        </w:tblCellMar>
      </w:tblPr>
      <w:tblGrid>
        <w:gridCol w:w="4335"/>
        <w:gridCol w:w="1017"/>
      </w:tblGrid>
      <w:tr w14:paraId="1E0478A2">
        <w:tblPrEx>
          <w:tblCellMar>
            <w:top w:w="0" w:type="dxa"/>
            <w:left w:w="108" w:type="dxa"/>
            <w:bottom w:w="0" w:type="dxa"/>
            <w:right w:w="108" w:type="dxa"/>
          </w:tblCellMar>
        </w:tblPrEx>
        <w:trPr>
          <w:trHeight w:val="451" w:hRule="atLeast"/>
        </w:trPr>
        <w:tc>
          <w:tcPr>
            <w:tcW w:w="4335" w:type="dxa"/>
            <w:vAlign w:val="center"/>
          </w:tcPr>
          <w:p w14:paraId="2E2D1F0D">
            <w:pPr>
              <w:jc w:val="center"/>
              <w:rPr>
                <w:rFonts w:hint="eastAsia"/>
                <w:color w:val="auto"/>
                <w:sz w:val="32"/>
                <w:szCs w:val="32"/>
                <w:highlight w:val="none"/>
                <w:lang w:eastAsia="zh-CN"/>
              </w:rPr>
            </w:pPr>
            <w:r>
              <w:rPr>
                <w:rFonts w:hint="eastAsia"/>
                <w:color w:val="auto"/>
                <w:sz w:val="32"/>
                <w:szCs w:val="32"/>
                <w:highlight w:val="none"/>
                <w:lang w:eastAsia="zh-CN"/>
              </w:rPr>
              <w:t>江苏省住房和城乡建设厅</w:t>
            </w:r>
          </w:p>
        </w:tc>
        <w:tc>
          <w:tcPr>
            <w:tcW w:w="1017" w:type="dxa"/>
            <w:vMerge w:val="restart"/>
            <w:vAlign w:val="center"/>
          </w:tcPr>
          <w:p w14:paraId="2B7FDC95">
            <w:pPr>
              <w:jc w:val="center"/>
              <w:rPr>
                <w:rFonts w:hint="eastAsia"/>
                <w:color w:val="auto"/>
                <w:sz w:val="32"/>
                <w:szCs w:val="32"/>
                <w:highlight w:val="none"/>
                <w:lang w:eastAsia="zh-CN"/>
              </w:rPr>
            </w:pPr>
            <w:r>
              <w:rPr>
                <w:rFonts w:hint="eastAsia"/>
                <w:color w:val="auto"/>
                <w:sz w:val="32"/>
                <w:szCs w:val="32"/>
                <w:highlight w:val="none"/>
                <w:lang w:eastAsia="zh-CN"/>
              </w:rPr>
              <w:t>制定</w:t>
            </w:r>
          </w:p>
        </w:tc>
      </w:tr>
      <w:tr w14:paraId="1B0CA748">
        <w:tblPrEx>
          <w:tblCellMar>
            <w:top w:w="0" w:type="dxa"/>
            <w:left w:w="108" w:type="dxa"/>
            <w:bottom w:w="0" w:type="dxa"/>
            <w:right w:w="108" w:type="dxa"/>
          </w:tblCellMar>
        </w:tblPrEx>
        <w:tc>
          <w:tcPr>
            <w:tcW w:w="4335" w:type="dxa"/>
            <w:vAlign w:val="center"/>
          </w:tcPr>
          <w:p w14:paraId="74993062">
            <w:pPr>
              <w:jc w:val="center"/>
              <w:rPr>
                <w:rFonts w:hint="eastAsia"/>
                <w:color w:val="auto"/>
                <w:sz w:val="32"/>
                <w:szCs w:val="32"/>
                <w:highlight w:val="none"/>
                <w:lang w:eastAsia="zh-CN"/>
              </w:rPr>
            </w:pPr>
            <w:r>
              <w:rPr>
                <w:rFonts w:hint="eastAsia"/>
                <w:color w:val="auto"/>
                <w:sz w:val="32"/>
                <w:szCs w:val="32"/>
                <w:highlight w:val="none"/>
                <w:lang w:eastAsia="zh-CN"/>
              </w:rPr>
              <w:t>江苏省工商行政管理局</w:t>
            </w:r>
          </w:p>
        </w:tc>
        <w:tc>
          <w:tcPr>
            <w:tcW w:w="1017" w:type="dxa"/>
            <w:vMerge w:val="continue"/>
            <w:vAlign w:val="center"/>
          </w:tcPr>
          <w:p w14:paraId="6849C230">
            <w:pPr>
              <w:jc w:val="center"/>
              <w:rPr>
                <w:rFonts w:hint="eastAsia"/>
                <w:color w:val="auto"/>
                <w:sz w:val="32"/>
                <w:szCs w:val="32"/>
                <w:highlight w:val="none"/>
                <w:lang w:eastAsia="zh-CN"/>
              </w:rPr>
            </w:pPr>
          </w:p>
        </w:tc>
      </w:tr>
    </w:tbl>
    <w:p w14:paraId="4DBF5DA1">
      <w:pPr>
        <w:jc w:val="center"/>
        <w:rPr>
          <w:rFonts w:hint="eastAsia"/>
          <w:color w:val="auto"/>
          <w:sz w:val="32"/>
          <w:szCs w:val="32"/>
          <w:highlight w:val="none"/>
          <w:lang w:eastAsia="zh-CN"/>
        </w:rPr>
      </w:pPr>
    </w:p>
    <w:p w14:paraId="7902C476">
      <w:pPr>
        <w:jc w:val="center"/>
        <w:rPr>
          <w:rFonts w:hint="eastAsia"/>
          <w:color w:val="auto"/>
          <w:sz w:val="32"/>
          <w:szCs w:val="32"/>
          <w:highlight w:val="none"/>
          <w:lang w:eastAsia="zh-CN"/>
        </w:rPr>
      </w:pPr>
    </w:p>
    <w:p w14:paraId="3A80FACA">
      <w:pPr>
        <w:spacing w:before="120" w:beforeLines="50" w:after="120" w:afterLines="50" w:line="360" w:lineRule="auto"/>
        <w:ind w:firstLine="3360" w:firstLineChars="1200"/>
        <w:jc w:val="both"/>
        <w:rPr>
          <w:rFonts w:hint="eastAsia"/>
          <w:color w:val="auto"/>
          <w:sz w:val="28"/>
          <w:szCs w:val="28"/>
          <w:highlight w:val="none"/>
          <w:lang w:eastAsia="zh-CN"/>
        </w:rPr>
      </w:pPr>
    </w:p>
    <w:p w14:paraId="5BE02BE6">
      <w:pPr>
        <w:spacing w:before="120" w:beforeLines="50" w:after="120" w:afterLines="50" w:line="360" w:lineRule="auto"/>
        <w:ind w:firstLine="2520" w:firstLineChars="1200"/>
        <w:jc w:val="both"/>
        <w:rPr>
          <w:rFonts w:hint="eastAsia"/>
          <w:color w:val="auto"/>
          <w:sz w:val="21"/>
          <w:szCs w:val="21"/>
          <w:highlight w:val="none"/>
          <w:lang w:eastAsia="zh-CN"/>
        </w:rPr>
      </w:pPr>
    </w:p>
    <w:p w14:paraId="12D20F15">
      <w:pPr>
        <w:spacing w:before="120" w:beforeLines="50" w:after="120" w:afterLines="50" w:line="360" w:lineRule="auto"/>
        <w:ind w:firstLine="2530" w:firstLineChars="1200"/>
        <w:jc w:val="both"/>
        <w:rPr>
          <w:rFonts w:hint="eastAsia"/>
          <w:b/>
          <w:bCs/>
          <w:color w:val="auto"/>
          <w:sz w:val="21"/>
          <w:szCs w:val="21"/>
          <w:highlight w:val="none"/>
          <w:lang w:eastAsia="zh-CN"/>
        </w:rPr>
      </w:pPr>
      <w:r>
        <w:rPr>
          <w:rFonts w:hint="eastAsia"/>
          <w:b/>
          <w:bCs/>
          <w:color w:val="auto"/>
          <w:sz w:val="21"/>
          <w:szCs w:val="21"/>
          <w:highlight w:val="none"/>
          <w:lang w:eastAsia="zh-CN"/>
        </w:rPr>
        <w:t>第一部分　建设工程造价咨询协议书</w:t>
      </w:r>
    </w:p>
    <w:p w14:paraId="3B4F36B6">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委托人（甲方）：</w:t>
      </w:r>
      <w:r>
        <w:rPr>
          <w:rFonts w:hint="eastAsia"/>
          <w:color w:val="auto"/>
          <w:sz w:val="21"/>
          <w:szCs w:val="21"/>
          <w:highlight w:val="none"/>
          <w:u w:val="single"/>
          <w:lang w:eastAsia="zh-CN"/>
        </w:rPr>
        <w:t xml:space="preserve">江苏省机关事务管理局 </w:t>
      </w:r>
      <w:r>
        <w:rPr>
          <w:rFonts w:hint="eastAsia"/>
          <w:color w:val="auto"/>
          <w:sz w:val="21"/>
          <w:szCs w:val="21"/>
          <w:highlight w:val="none"/>
          <w:lang w:eastAsia="zh-CN"/>
        </w:rPr>
        <w:t xml:space="preserve">          　　　</w:t>
      </w:r>
    </w:p>
    <w:p w14:paraId="6EC97EFB">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咨询人（乙方）：                 </w:t>
      </w:r>
    </w:p>
    <w:p w14:paraId="5F9E68DB">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依据《中华人民共和国民法典》及工程造价相关管理规定，经过双方协商一致，签订本工程造价咨询合同。</w:t>
      </w:r>
    </w:p>
    <w:p w14:paraId="08BCF55F">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一、委托人委托咨询人为以下项目提供建设工程造价咨询服务：</w:t>
      </w:r>
    </w:p>
    <w:p w14:paraId="058BBDDC">
      <w:pPr>
        <w:spacing w:before="120" w:beforeLines="50" w:after="120" w:afterLines="50" w:line="360" w:lineRule="auto"/>
        <w:ind w:firstLine="420" w:firstLineChars="200"/>
        <w:jc w:val="both"/>
        <w:rPr>
          <w:rFonts w:hint="eastAsia"/>
          <w:color w:val="auto"/>
          <w:sz w:val="21"/>
          <w:szCs w:val="21"/>
          <w:highlight w:val="none"/>
          <w:u w:val="single"/>
          <w:lang w:eastAsia="zh-CN"/>
        </w:rPr>
      </w:pPr>
      <w:r>
        <w:rPr>
          <w:rFonts w:hint="eastAsia"/>
          <w:color w:val="auto"/>
          <w:sz w:val="21"/>
          <w:szCs w:val="21"/>
          <w:highlight w:val="none"/>
          <w:lang w:eastAsia="zh-CN"/>
        </w:rPr>
        <w:t xml:space="preserve">1．项目名称： </w:t>
      </w:r>
      <w:r>
        <w:rPr>
          <w:rFonts w:hint="eastAsia"/>
          <w:color w:val="auto"/>
          <w:sz w:val="21"/>
          <w:szCs w:val="21"/>
          <w:highlight w:val="none"/>
          <w:u w:val="single"/>
          <w:lang w:eastAsia="zh-CN"/>
        </w:rPr>
        <w:t xml:space="preserve"> 江苏省老年医院改造工程   </w:t>
      </w:r>
    </w:p>
    <w:p w14:paraId="729FDA7D">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2．建设地点：</w:t>
      </w:r>
      <w:r>
        <w:rPr>
          <w:rFonts w:hint="eastAsia"/>
          <w:color w:val="auto"/>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 xml:space="preserve"> 南京市鼓楼区江苏路65号</w:t>
      </w:r>
      <w:r>
        <w:rPr>
          <w:rFonts w:hint="eastAsia" w:ascii="宋体" w:hAnsi="宋体" w:cs="宋体"/>
          <w:color w:val="auto"/>
          <w:kern w:val="2"/>
          <w:sz w:val="21"/>
          <w:szCs w:val="21"/>
          <w:highlight w:val="none"/>
          <w:u w:val="single"/>
          <w:lang w:val="en-US" w:eastAsia="zh-CN"/>
        </w:rPr>
        <w:t>和江苏路75号</w:t>
      </w:r>
      <w:r>
        <w:rPr>
          <w:rFonts w:hint="eastAsia" w:ascii="宋体" w:hAnsi="宋体" w:eastAsia="宋体" w:cs="宋体"/>
          <w:color w:val="auto"/>
          <w:kern w:val="2"/>
          <w:sz w:val="21"/>
          <w:szCs w:val="21"/>
          <w:highlight w:val="none"/>
          <w:u w:val="single"/>
          <w:lang w:eastAsia="zh-CN"/>
        </w:rPr>
        <w:t xml:space="preserve">  </w:t>
      </w:r>
      <w:r>
        <w:rPr>
          <w:rFonts w:hint="eastAsia"/>
          <w:color w:val="auto"/>
          <w:sz w:val="21"/>
          <w:szCs w:val="21"/>
          <w:highlight w:val="none"/>
          <w:u w:val="single"/>
          <w:lang w:eastAsia="zh-CN"/>
        </w:rPr>
        <w:t xml:space="preserve">   </w:t>
      </w:r>
    </w:p>
    <w:p w14:paraId="643B46D7">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3．资金来源：</w:t>
      </w:r>
      <w:r>
        <w:rPr>
          <w:rFonts w:hint="eastAsia"/>
          <w:color w:val="auto"/>
          <w:sz w:val="21"/>
          <w:szCs w:val="21"/>
          <w:highlight w:val="none"/>
          <w:u w:val="single"/>
          <w:lang w:eastAsia="zh-CN"/>
        </w:rPr>
        <w:t xml:space="preserve">   </w:t>
      </w:r>
      <w:r>
        <w:rPr>
          <w:rFonts w:hint="eastAsia"/>
          <w:color w:val="auto"/>
          <w:sz w:val="21"/>
          <w:szCs w:val="21"/>
          <w:highlight w:val="none"/>
          <w:u w:val="single"/>
          <w:lang w:val="en-US" w:eastAsia="zh-CN"/>
        </w:rPr>
        <w:t>省级财政</w:t>
      </w:r>
      <w:r>
        <w:rPr>
          <w:rFonts w:hint="eastAsia"/>
          <w:color w:val="auto"/>
          <w:sz w:val="21"/>
          <w:szCs w:val="21"/>
          <w:highlight w:val="none"/>
          <w:u w:val="single"/>
          <w:lang w:eastAsia="zh-CN"/>
        </w:rPr>
        <w:t xml:space="preserve">                      </w:t>
      </w:r>
    </w:p>
    <w:p w14:paraId="307D70CA">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4．项目规模：总投资额</w:t>
      </w:r>
      <w:r>
        <w:rPr>
          <w:rFonts w:hint="eastAsia"/>
          <w:color w:val="auto"/>
          <w:sz w:val="21"/>
          <w:szCs w:val="21"/>
          <w:highlight w:val="none"/>
          <w:u w:val="single"/>
          <w:lang w:eastAsia="zh-CN"/>
        </w:rPr>
        <w:t xml:space="preserve">  </w:t>
      </w:r>
      <w:r>
        <w:rPr>
          <w:rFonts w:hint="eastAsia"/>
          <w:color w:val="auto"/>
          <w:sz w:val="21"/>
          <w:szCs w:val="21"/>
          <w:highlight w:val="none"/>
          <w:u w:val="single"/>
          <w:lang w:val="en-US" w:eastAsia="zh-CN"/>
        </w:rPr>
        <w:t xml:space="preserve"> 约15000   </w:t>
      </w:r>
      <w:r>
        <w:rPr>
          <w:rFonts w:hint="eastAsia"/>
          <w:color w:val="auto"/>
          <w:sz w:val="21"/>
          <w:szCs w:val="21"/>
          <w:highlight w:val="none"/>
          <w:lang w:eastAsia="zh-CN"/>
        </w:rPr>
        <w:t>万元。</w:t>
      </w:r>
    </w:p>
    <w:p w14:paraId="75D8A30A">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5．咨询业务范围及内容：</w:t>
      </w:r>
      <w:r>
        <w:rPr>
          <w:rFonts w:hint="eastAsia"/>
          <w:color w:val="auto"/>
          <w:sz w:val="21"/>
          <w:szCs w:val="21"/>
          <w:highlight w:val="none"/>
          <w:u w:val="single"/>
          <w:lang w:eastAsia="zh-CN"/>
        </w:rPr>
        <w:t xml:space="preserve">  </w:t>
      </w:r>
      <w:r>
        <w:rPr>
          <w:rFonts w:hint="eastAsia"/>
          <w:color w:val="auto"/>
          <w:sz w:val="21"/>
          <w:szCs w:val="21"/>
          <w:highlight w:val="none"/>
          <w:u w:val="single"/>
          <w:lang w:val="en-US" w:eastAsia="zh-CN"/>
        </w:rPr>
        <w:t>详见合同专用条款</w:t>
      </w:r>
      <w:r>
        <w:rPr>
          <w:rFonts w:hint="eastAsia"/>
          <w:color w:val="auto"/>
          <w:sz w:val="21"/>
          <w:szCs w:val="21"/>
          <w:highlight w:val="none"/>
          <w:u w:val="single"/>
          <w:lang w:eastAsia="zh-CN"/>
        </w:rPr>
        <w:t xml:space="preserve">                       </w:t>
      </w:r>
      <w:r>
        <w:rPr>
          <w:rFonts w:hint="eastAsia"/>
          <w:color w:val="auto"/>
          <w:sz w:val="21"/>
          <w:szCs w:val="21"/>
          <w:highlight w:val="none"/>
          <w:lang w:eastAsia="zh-CN"/>
        </w:rPr>
        <w:t>。</w:t>
      </w:r>
    </w:p>
    <w:p w14:paraId="1CDF9B61">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二、本协议书的措词和用语与所属建设工程造价咨询合同通用条款赋予的定义相同。</w:t>
      </w:r>
    </w:p>
    <w:p w14:paraId="63CFBADB">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三、本合同的组成部分及解释顺序为：</w:t>
      </w:r>
    </w:p>
    <w:p w14:paraId="3C1C6610">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1．建设工程造价咨询协议书；</w:t>
      </w:r>
    </w:p>
    <w:p w14:paraId="14EF71DE">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2. 建设工程造价咨询合同专用条款；</w:t>
      </w:r>
    </w:p>
    <w:p w14:paraId="56324F47">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3．建设工程造价咨询合同通用条款；</w:t>
      </w:r>
    </w:p>
    <w:p w14:paraId="730B2DEF">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4．建设工程造价咨询合同履行中共同签署的补充文件；</w:t>
      </w:r>
    </w:p>
    <w:p w14:paraId="0750F095">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5．通过采购方式获得咨询业务的，还包括下列资料：</w:t>
      </w:r>
    </w:p>
    <w:p w14:paraId="63BAC78C">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（1）</w:t>
      </w:r>
      <w:r>
        <w:rPr>
          <w:rFonts w:hint="eastAsia"/>
          <w:color w:val="auto"/>
          <w:sz w:val="21"/>
          <w:szCs w:val="21"/>
          <w:highlight w:val="none"/>
          <w:lang w:val="en-US" w:eastAsia="zh-CN"/>
        </w:rPr>
        <w:t>招标</w:t>
      </w:r>
      <w:r>
        <w:rPr>
          <w:rFonts w:hint="eastAsia"/>
          <w:color w:val="auto"/>
          <w:sz w:val="21"/>
          <w:szCs w:val="21"/>
          <w:highlight w:val="none"/>
          <w:lang w:eastAsia="zh-CN"/>
        </w:rPr>
        <w:t>文件；</w:t>
      </w:r>
    </w:p>
    <w:p w14:paraId="594D1FF0">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（2）</w:t>
      </w:r>
      <w:r>
        <w:rPr>
          <w:rFonts w:hint="eastAsia"/>
          <w:color w:val="auto"/>
          <w:sz w:val="21"/>
          <w:szCs w:val="21"/>
          <w:highlight w:val="none"/>
          <w:lang w:val="en-US" w:eastAsia="zh-CN"/>
        </w:rPr>
        <w:t>招标</w:t>
      </w:r>
      <w:r>
        <w:rPr>
          <w:rFonts w:hint="eastAsia"/>
          <w:color w:val="auto"/>
          <w:sz w:val="21"/>
          <w:szCs w:val="21"/>
          <w:highlight w:val="none"/>
          <w:lang w:eastAsia="zh-CN"/>
        </w:rPr>
        <w:t>文件及其附件；</w:t>
      </w:r>
    </w:p>
    <w:p w14:paraId="5D70A03B">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（3）</w:t>
      </w:r>
      <w:r>
        <w:rPr>
          <w:rFonts w:hint="eastAsia"/>
          <w:color w:val="auto"/>
          <w:sz w:val="21"/>
          <w:szCs w:val="21"/>
          <w:highlight w:val="none"/>
          <w:lang w:val="en-US" w:eastAsia="zh-CN"/>
        </w:rPr>
        <w:t>中标</w:t>
      </w:r>
      <w:r>
        <w:rPr>
          <w:rFonts w:hint="eastAsia"/>
          <w:color w:val="auto"/>
          <w:sz w:val="21"/>
          <w:szCs w:val="21"/>
          <w:highlight w:val="none"/>
          <w:lang w:eastAsia="zh-CN"/>
        </w:rPr>
        <w:t>通知书。</w:t>
      </w:r>
    </w:p>
    <w:p w14:paraId="6D8A8A27">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四、咨询人同意按照本合同的约定，承担本合同专用条款中约定范围内的建设工程造价咨询业务。</w:t>
      </w:r>
    </w:p>
    <w:p w14:paraId="4E1C97EF">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五、委托人同意按照专用条款中约定的期限、方式、币种和额度向咨询人支付酬金。</w:t>
      </w:r>
    </w:p>
    <w:p w14:paraId="788FED2E">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六、本合同的建设工程造价咨询业务自 </w:t>
      </w:r>
      <w:r>
        <w:rPr>
          <w:rFonts w:hint="eastAsia"/>
          <w:color w:val="auto"/>
          <w:sz w:val="21"/>
          <w:szCs w:val="21"/>
          <w:highlight w:val="none"/>
          <w:u w:val="single"/>
          <w:lang w:eastAsia="zh-CN"/>
        </w:rPr>
        <w:t xml:space="preserve">     年     月     </w:t>
      </w:r>
      <w:r>
        <w:rPr>
          <w:rFonts w:hint="eastAsia"/>
          <w:color w:val="auto"/>
          <w:sz w:val="21"/>
          <w:szCs w:val="21"/>
          <w:highlight w:val="none"/>
          <w:lang w:eastAsia="zh-CN"/>
        </w:rPr>
        <w:t>日开始实施，至工程竣工财务决算完成。若委托人提供咨询资料延后则时间相应顺延，若增加工作内容具体完成时间另行约定。</w:t>
      </w:r>
    </w:p>
    <w:p w14:paraId="2C42CCC7">
      <w:pPr>
        <w:spacing w:before="120" w:beforeLines="50" w:after="120" w:afterLines="50" w:line="360" w:lineRule="auto"/>
        <w:jc w:val="both"/>
        <w:rPr>
          <w:rFonts w:hint="eastAsia" w:ascii="Times New Roman" w:hAnsi="Times New Roman" w:eastAsia="Times New Roman" w:cs="Times New Roman"/>
          <w:color w:val="auto"/>
          <w:sz w:val="21"/>
          <w:szCs w:val="21"/>
          <w:highlight w:val="none"/>
          <w:lang w:eastAsia="zh-CN"/>
        </w:rPr>
      </w:pPr>
      <w:r>
        <w:rPr>
          <w:rFonts w:hint="eastAsia"/>
          <w:color w:val="auto"/>
          <w:sz w:val="21"/>
          <w:szCs w:val="21"/>
          <w:highlight w:val="none"/>
          <w:lang w:eastAsia="zh-CN"/>
        </w:rPr>
        <w:t>　　</w:t>
      </w:r>
      <w:r>
        <w:rPr>
          <w:rFonts w:hint="eastAsia" w:ascii="Times New Roman" w:hAnsi="Times New Roman" w:eastAsia="Times New Roman" w:cs="Times New Roman"/>
          <w:color w:val="auto"/>
          <w:sz w:val="21"/>
          <w:szCs w:val="21"/>
          <w:highlight w:val="none"/>
          <w:lang w:eastAsia="zh-CN"/>
        </w:rPr>
        <w:t>七、本合同一式</w:t>
      </w:r>
      <w:r>
        <w:rPr>
          <w:rFonts w:hint="eastAsia" w:ascii="Times New Roman" w:hAnsi="Times New Roman" w:eastAsia="Times New Roman" w:cs="Times New Roman"/>
          <w:color w:val="auto"/>
          <w:sz w:val="21"/>
          <w:szCs w:val="21"/>
          <w:highlight w:val="none"/>
          <w:lang w:val="en-US" w:eastAsia="zh-CN"/>
        </w:rPr>
        <w:t xml:space="preserve">  陆 </w:t>
      </w:r>
      <w:r>
        <w:rPr>
          <w:rFonts w:hint="eastAsia" w:ascii="Times New Roman" w:hAnsi="Times New Roman" w:eastAsia="Times New Roman" w:cs="Times New Roman"/>
          <w:color w:val="auto"/>
          <w:sz w:val="21"/>
          <w:szCs w:val="21"/>
          <w:highlight w:val="none"/>
          <w:lang w:eastAsia="zh-CN"/>
        </w:rPr>
        <w:t>份，</w:t>
      </w:r>
      <w:r>
        <w:rPr>
          <w:rFonts w:hint="eastAsia" w:ascii="Times New Roman" w:hAnsi="Times New Roman" w:eastAsia="Times New Roman" w:cs="Times New Roman"/>
          <w:color w:val="auto"/>
          <w:sz w:val="21"/>
          <w:szCs w:val="21"/>
          <w:highlight w:val="none"/>
          <w:lang w:val="en-US" w:eastAsia="zh-CN"/>
        </w:rPr>
        <w:t xml:space="preserve">双方各执  叁 </w:t>
      </w:r>
      <w:r>
        <w:rPr>
          <w:rFonts w:hint="eastAsia" w:ascii="Times New Roman" w:hAnsi="Times New Roman" w:eastAsia="Times New Roman" w:cs="Times New Roman"/>
          <w:color w:val="auto"/>
          <w:sz w:val="21"/>
          <w:szCs w:val="21"/>
          <w:highlight w:val="none"/>
          <w:lang w:eastAsia="zh-CN"/>
        </w:rPr>
        <w:t>份。</w:t>
      </w:r>
    </w:p>
    <w:p w14:paraId="1A7C5ABB">
      <w:pPr>
        <w:spacing w:before="120" w:beforeLines="50" w:after="120" w:afterLines="50" w:line="360" w:lineRule="auto"/>
        <w:jc w:val="both"/>
        <w:rPr>
          <w:rFonts w:hint="eastAsia"/>
          <w:color w:val="auto"/>
          <w:sz w:val="21"/>
          <w:szCs w:val="21"/>
          <w:highlight w:val="none"/>
          <w:lang w:eastAsia="zh-CN"/>
        </w:rPr>
      </w:pPr>
    </w:p>
    <w:p w14:paraId="42E0A738">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委　托　人：江苏省机关事务管理局（盖章） 咨　询　人：（盖章）</w:t>
      </w:r>
    </w:p>
    <w:p w14:paraId="76A6E288">
      <w:pPr>
        <w:pStyle w:val="415"/>
        <w:spacing w:line="360" w:lineRule="auto"/>
        <w:ind w:firstLine="420" w:firstLineChars="200"/>
        <w:rPr>
          <w:rFonts w:hint="eastAsia" w:ascii="宋体" w:hAnsi="宋体"/>
          <w:color w:val="auto"/>
          <w:kern w:val="2"/>
          <w:sz w:val="21"/>
          <w:szCs w:val="21"/>
          <w:highlight w:val="none"/>
        </w:rPr>
      </w:pPr>
    </w:p>
    <w:p w14:paraId="1CC3C12F">
      <w:pPr>
        <w:rPr>
          <w:rFonts w:hint="eastAsia"/>
          <w:color w:val="auto"/>
          <w:highlight w:val="none"/>
          <w:lang w:eastAsia="zh-CN"/>
        </w:rPr>
      </w:pPr>
    </w:p>
    <w:p w14:paraId="5BDC0F62">
      <w:pPr>
        <w:pStyle w:val="5"/>
        <w:rPr>
          <w:rFonts w:hint="eastAsia"/>
          <w:color w:val="auto"/>
          <w:highlight w:val="none"/>
          <w:lang w:eastAsia="zh-CN"/>
        </w:rPr>
      </w:pPr>
    </w:p>
    <w:p w14:paraId="2845D7BA">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法定代表人                               法定代表人</w:t>
      </w:r>
    </w:p>
    <w:p w14:paraId="4B1CFCE2">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或委托代理人：（签字）　　　　           或委托代理人：（签字）</w:t>
      </w:r>
    </w:p>
    <w:p w14:paraId="3A127E63">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住　　所：　　　　　　    　　　　　　　 住　　所：</w:t>
      </w:r>
    </w:p>
    <w:p w14:paraId="236F92D1">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开户银行：　　　　　　　　 　　　　　    开户银行：</w:t>
      </w:r>
    </w:p>
    <w:p w14:paraId="1D42F23D">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帐　　号：　　　　　　　　　　　    　　 帐　　号：</w:t>
      </w:r>
    </w:p>
    <w:p w14:paraId="06AF11F1">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电　　话：　　　　　　　　 　　　　    　电　　话：</w:t>
      </w:r>
    </w:p>
    <w:p w14:paraId="3947419F">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传　　真：　　　　　　　　　　　　　     传　　真：</w:t>
      </w:r>
    </w:p>
    <w:p w14:paraId="6E413AD7">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电子邮箱：　　　　　　　　　　　　　　　 电子邮箱：</w:t>
      </w:r>
    </w:p>
    <w:p w14:paraId="61EEE2E2">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邮政编码：　　　　　　　　 　　　　　　　邮政编码：</w:t>
      </w:r>
    </w:p>
    <w:p w14:paraId="490434B2">
      <w:pPr>
        <w:spacing w:before="120" w:beforeLines="50" w:after="120" w:afterLines="50" w:line="360" w:lineRule="auto"/>
        <w:jc w:val="both"/>
        <w:rPr>
          <w:rFonts w:hint="eastAsia"/>
          <w:color w:val="auto"/>
          <w:sz w:val="21"/>
          <w:szCs w:val="21"/>
          <w:highlight w:val="none"/>
          <w:lang w:eastAsia="zh-CN"/>
        </w:rPr>
      </w:pPr>
    </w:p>
    <w:p w14:paraId="480BF194">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年　　月　　日　　　　　　 　　　　 　    年　　月　　日</w:t>
      </w:r>
    </w:p>
    <w:p w14:paraId="56A04DEE">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br w:type="page"/>
      </w:r>
    </w:p>
    <w:p w14:paraId="1D5AF8A8">
      <w:pPr>
        <w:spacing w:before="120" w:beforeLines="50" w:after="120" w:afterLines="50" w:line="360" w:lineRule="auto"/>
        <w:jc w:val="center"/>
        <w:rPr>
          <w:rFonts w:hint="eastAsia"/>
          <w:b/>
          <w:bCs/>
          <w:color w:val="auto"/>
          <w:sz w:val="21"/>
          <w:szCs w:val="21"/>
          <w:highlight w:val="none"/>
          <w:lang w:eastAsia="zh-CN"/>
        </w:rPr>
      </w:pPr>
      <w:bookmarkStart w:id="61" w:name="_Toc28539"/>
      <w:r>
        <w:rPr>
          <w:rFonts w:hint="eastAsia"/>
          <w:b/>
          <w:bCs/>
          <w:color w:val="auto"/>
          <w:sz w:val="21"/>
          <w:szCs w:val="21"/>
          <w:highlight w:val="none"/>
          <w:lang w:eastAsia="zh-CN"/>
        </w:rPr>
        <w:t>第二部分　建设工程造价咨询合同通用条款</w:t>
      </w:r>
      <w:bookmarkEnd w:id="61"/>
    </w:p>
    <w:p w14:paraId="7A4B636F">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xml:space="preserve">    词语定义、适用语言和法律、法规</w:t>
      </w:r>
    </w:p>
    <w:p w14:paraId="2D7B355E">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第一条　下列名词和用语，除上下文另有规定外具有如下含义。</w:t>
      </w:r>
    </w:p>
    <w:p w14:paraId="4ED34479">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1、“委托人”是指在建设工程造价咨询协议书上指明并与咨询人在该协议书上签字、盖章的当事人。</w:t>
      </w:r>
    </w:p>
    <w:p w14:paraId="50CF5483">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2、“咨询人”是指具有《工程造价咨询企业资质证书》,在建设工程造价咨询协议书上指明并与委托人在该协议书上签字、盖章的当事人。</w:t>
      </w:r>
    </w:p>
    <w:p w14:paraId="4B59BF5A">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3、“第三人”是指除委托人、咨询人以外与本咨询业务有关的当事人。</w:t>
      </w:r>
    </w:p>
    <w:p w14:paraId="5974FD4C">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4、“日”是指任何一个午夜至下一个午夜的时间段。</w:t>
      </w:r>
    </w:p>
    <w:p w14:paraId="52DD2231">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5、“正常服务”是指双方在专用条款中约定的工程造价咨询工作；</w:t>
      </w:r>
    </w:p>
    <w:p w14:paraId="47F25B2B">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6、“附加服务”是指在“正常服务”以外，经双方书面协议确定的附加服务；</w:t>
      </w:r>
    </w:p>
    <w:p w14:paraId="5F4CC765">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7、“额外服务”是指不属于“正常服务”和“附加服务”，咨询人增加的额外工作量。</w:t>
      </w:r>
    </w:p>
    <w:p w14:paraId="61D42A96">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第二条　建设工程造价咨询合同适用的法律、法规是中华人民共和国的法律、法规，以及专用条款中约定的部门规章、工程造价有关计价办法、规定，及项目所在地的地方法规、地方规章。</w:t>
      </w:r>
    </w:p>
    <w:p w14:paraId="475D2FE8">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第三条　建设工程造价咨询合同的书写、解释和说明，以汉语为主导语言。当不同语言文本发生不同解释时，以汉语合同文本为准。</w:t>
      </w:r>
    </w:p>
    <w:p w14:paraId="3F258BD0">
      <w:pPr>
        <w:spacing w:before="120" w:beforeLines="50" w:after="120" w:afterLines="50" w:line="360" w:lineRule="auto"/>
        <w:jc w:val="center"/>
        <w:rPr>
          <w:rFonts w:hint="eastAsia"/>
          <w:color w:val="auto"/>
          <w:sz w:val="21"/>
          <w:szCs w:val="21"/>
          <w:highlight w:val="none"/>
          <w:lang w:eastAsia="zh-CN"/>
        </w:rPr>
      </w:pPr>
      <w:r>
        <w:rPr>
          <w:rFonts w:hint="eastAsia"/>
          <w:color w:val="auto"/>
          <w:sz w:val="21"/>
          <w:szCs w:val="21"/>
          <w:highlight w:val="none"/>
          <w:lang w:eastAsia="zh-CN"/>
        </w:rPr>
        <w:t>咨询人的义务</w:t>
      </w:r>
    </w:p>
    <w:p w14:paraId="6AEC9CA0">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第四条　向委托人提供与工程造价咨询业务有关的资料，包括工程造价咨询企业资质证书及承担本合同咨询业务的专业人员名单、咨询工作计划等。</w:t>
      </w:r>
    </w:p>
    <w:p w14:paraId="5D19F2E1">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第五条　咨询人按专用条款中约定的工作范围和内容，向委托人提供工程造价咨询专业服务，包括正常服务、附加服务和额外服务。咨询人应完全按照</w:t>
      </w:r>
      <w:r>
        <w:rPr>
          <w:rFonts w:hint="eastAsia"/>
          <w:color w:val="auto"/>
          <w:sz w:val="21"/>
          <w:szCs w:val="21"/>
          <w:highlight w:val="none"/>
          <w:lang w:val="en-US" w:eastAsia="zh-CN"/>
        </w:rPr>
        <w:t>成交</w:t>
      </w:r>
      <w:r>
        <w:rPr>
          <w:rFonts w:hint="eastAsia"/>
          <w:color w:val="auto"/>
          <w:sz w:val="21"/>
          <w:szCs w:val="21"/>
          <w:highlight w:val="none"/>
          <w:lang w:eastAsia="zh-CN"/>
        </w:rPr>
        <w:t>文件中的服务方案履行服务，并在合同约定的时间内，提供符合行业管理规定的咨询成果文件。</w:t>
      </w:r>
    </w:p>
    <w:p w14:paraId="0327D63B">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第六条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p>
    <w:p w14:paraId="0EDEC8D1">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第七条　咨询人不得泄露与本合同规定业务活动有关的保密资料。</w:t>
      </w:r>
    </w:p>
    <w:p w14:paraId="325C601B">
      <w:pPr>
        <w:spacing w:before="120" w:beforeLines="50" w:after="120" w:afterLines="50" w:line="360" w:lineRule="auto"/>
        <w:jc w:val="center"/>
        <w:rPr>
          <w:rFonts w:hint="eastAsia"/>
          <w:color w:val="auto"/>
          <w:sz w:val="21"/>
          <w:szCs w:val="21"/>
          <w:highlight w:val="none"/>
          <w:lang w:eastAsia="zh-CN"/>
        </w:rPr>
      </w:pPr>
      <w:r>
        <w:rPr>
          <w:rFonts w:hint="eastAsia"/>
          <w:color w:val="auto"/>
          <w:sz w:val="21"/>
          <w:szCs w:val="21"/>
          <w:highlight w:val="none"/>
          <w:lang w:eastAsia="zh-CN"/>
        </w:rPr>
        <w:t>委托人的义务</w:t>
      </w:r>
    </w:p>
    <w:p w14:paraId="27D84ACD">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第八条　委托人应负责与本建设工程造价咨询业务有关的第三人的协调，为咨询人工作提供外部条件。委托人应当授权胜任本咨询业务的代表，负责与咨询人联系，解决在咨询业务中的委托方问题，并代表委托人签署相关文件。</w:t>
      </w:r>
    </w:p>
    <w:p w14:paraId="5A077153">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第九条　委托人在约定的时间内，免费向咨询人提供与本项目咨询业务有关的资料。并对资料的真实性、完整性负责。</w:t>
      </w:r>
    </w:p>
    <w:p w14:paraId="190BF1FD">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第十条 委托人在约定的时间内就咨询人书面提交并要求做出答复的事宜做出书面答复。　　</w:t>
      </w:r>
    </w:p>
    <w:p w14:paraId="2FB5593F">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第十一条　委托人应当按合同条款规定及时支付咨询费用。</w:t>
      </w:r>
    </w:p>
    <w:p w14:paraId="2E692D04">
      <w:pPr>
        <w:spacing w:before="120" w:beforeLines="50" w:after="120" w:afterLines="50" w:line="360" w:lineRule="auto"/>
        <w:jc w:val="center"/>
        <w:rPr>
          <w:rFonts w:hint="eastAsia"/>
          <w:color w:val="auto"/>
          <w:sz w:val="21"/>
          <w:szCs w:val="21"/>
          <w:highlight w:val="none"/>
          <w:lang w:eastAsia="zh-CN"/>
        </w:rPr>
      </w:pPr>
      <w:r>
        <w:rPr>
          <w:rFonts w:hint="eastAsia"/>
          <w:color w:val="auto"/>
          <w:sz w:val="21"/>
          <w:szCs w:val="21"/>
          <w:highlight w:val="none"/>
          <w:lang w:eastAsia="zh-CN"/>
        </w:rPr>
        <w:t>咨询人的权利</w:t>
      </w:r>
    </w:p>
    <w:p w14:paraId="027AA2E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第十二条　咨询人在咨询过程中，如委托人提供的资料不明确时可向委托人提出书面报告。</w:t>
      </w:r>
    </w:p>
    <w:p w14:paraId="4F9D6096">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第十三条  咨询人在咨询过程中，有权对与本咨询业务有关的问题进行核对或查问，以及到工程现场勘察。</w:t>
      </w:r>
    </w:p>
    <w:p w14:paraId="44BE4129">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第十四条  咨询人在咨询过程中，由于委托人原因造成咨询人无法继续履行合同时，咨询人有权解除合同并要求委托人承担相应赔偿。</w:t>
      </w:r>
    </w:p>
    <w:p w14:paraId="6BEEF975">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第十五条  咨询人在咨询过程中，有独立执行工程造价咨询业务工作的权利。</w:t>
      </w:r>
    </w:p>
    <w:p w14:paraId="5683213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咨询人有权拒绝委托人提出的有失公平、公正及违反法律法规的要求，由此原因造成的咨询合同终止咨询人免责。对于造成咨询人损失的，由委托人给予赔偿。</w:t>
      </w:r>
    </w:p>
    <w:p w14:paraId="50E6416A">
      <w:pPr>
        <w:spacing w:before="120" w:beforeLines="50" w:after="120" w:afterLines="50" w:line="360" w:lineRule="auto"/>
        <w:jc w:val="center"/>
        <w:rPr>
          <w:rFonts w:hint="eastAsia"/>
          <w:color w:val="auto"/>
          <w:sz w:val="21"/>
          <w:szCs w:val="21"/>
          <w:highlight w:val="none"/>
          <w:lang w:eastAsia="zh-CN"/>
        </w:rPr>
      </w:pPr>
      <w:r>
        <w:rPr>
          <w:rFonts w:hint="eastAsia"/>
          <w:color w:val="auto"/>
          <w:sz w:val="21"/>
          <w:szCs w:val="21"/>
          <w:highlight w:val="none"/>
          <w:lang w:eastAsia="zh-CN"/>
        </w:rPr>
        <w:t>委托人的权利</w:t>
      </w:r>
    </w:p>
    <w:p w14:paraId="0B71D158">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第十六条　委托人有权向咨询人询问工作进展情况及相关的内容。</w:t>
      </w:r>
    </w:p>
    <w:p w14:paraId="48A725B6">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第十七条  委托人有权阐述对具体问题的意见和建议。</w:t>
      </w:r>
    </w:p>
    <w:p w14:paraId="5F2F2F9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第十八条  当委托人认定咨询专业人员不按咨询合同履行其职责，或与第三人串通给委托人造成经济损失的，委托人有权要求更换咨询专业人员，直至终止合同并要求咨询人承担相应的赔偿责任。</w:t>
      </w:r>
    </w:p>
    <w:p w14:paraId="43277B88">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第十九条  当委托人认定咨询人执行的专业咨询业务不符合相关规范时，有向行业主管部门申诉的权利。</w:t>
      </w:r>
    </w:p>
    <w:p w14:paraId="538CA682">
      <w:pPr>
        <w:spacing w:before="120" w:beforeLines="50" w:after="120" w:afterLines="50" w:line="360" w:lineRule="auto"/>
        <w:jc w:val="center"/>
        <w:rPr>
          <w:rFonts w:hint="eastAsia"/>
          <w:color w:val="auto"/>
          <w:sz w:val="21"/>
          <w:szCs w:val="21"/>
          <w:highlight w:val="none"/>
          <w:lang w:eastAsia="zh-CN"/>
        </w:rPr>
      </w:pPr>
      <w:r>
        <w:rPr>
          <w:rFonts w:hint="eastAsia"/>
          <w:color w:val="auto"/>
          <w:sz w:val="21"/>
          <w:szCs w:val="21"/>
          <w:highlight w:val="none"/>
          <w:lang w:eastAsia="zh-CN"/>
        </w:rPr>
        <w:t>咨询人的责任</w:t>
      </w:r>
    </w:p>
    <w:p w14:paraId="57861A82">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第二十条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p>
    <w:p w14:paraId="69A213FE">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第二十一条　咨询人对委托人或第三人所提出的咨询业务范围内的问题不能及时核对或答复，导致合同不能全部或部分履行，咨询人应承担相应的责任。</w:t>
      </w:r>
    </w:p>
    <w:p w14:paraId="08F3EE2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第二十二条　咨询人向委托人提出赔偿要求不能成立时，则应补偿由于该赔偿或其他要求所导致委托人的各种费用的支出。</w:t>
      </w:r>
    </w:p>
    <w:p w14:paraId="0783BFA1">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第二十三条 咨询人不按本合同约定组建符合委托人要求的跟踪审计小组，因此影响工程建设的，应赔偿委托人全部损失（包括工程施工方的索赔）。不能组建符合要求的跟踪审计小组超过2周，委托人可以解除本合同，同时咨询人须支付合同价20％的违约金。</w:t>
      </w:r>
    </w:p>
    <w:p w14:paraId="02BDBACE">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第二十四条 咨询人指派的人员如不具备相应资质，应及时更换，同时咨询人须向委托人支付合同价5％的违约金。</w:t>
      </w:r>
    </w:p>
    <w:p w14:paraId="078F58FA">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第二十五条 咨询人不及时提交跟踪审计方案、报告（包括月结算审核报告）意见的（因委托人、监理单位、承包商原因所致除外），委托人有权责令其在规定的时间内提交，逾期仍未提交的，咨询人每次按合同价的5％向委托人支付违约金。</w:t>
      </w:r>
    </w:p>
    <w:p w14:paraId="3918480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第二十六条 跟踪审计人员和工程承包商</w:t>
      </w:r>
      <w:r>
        <w:rPr>
          <w:rFonts w:hint="eastAsia"/>
          <w:color w:val="auto"/>
          <w:sz w:val="21"/>
          <w:szCs w:val="21"/>
          <w:highlight w:val="none"/>
          <w:lang w:val="en-US" w:eastAsia="zh-CN"/>
        </w:rPr>
        <w:t>串</w:t>
      </w:r>
      <w:r>
        <w:rPr>
          <w:rFonts w:hint="eastAsia"/>
          <w:color w:val="auto"/>
          <w:sz w:val="21"/>
          <w:szCs w:val="21"/>
          <w:highlight w:val="none"/>
          <w:lang w:eastAsia="zh-CN"/>
        </w:rPr>
        <w:t>通，损害委托人利益的，一经发现，委托人可以解除本合同，并扣除应付跟踪审计费，同时咨询人须支付合同价20％的违约金，并同时承担连带赔偿责任。</w:t>
      </w:r>
    </w:p>
    <w:p w14:paraId="14804019">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第二十七条 咨询人擅自将本合同的全部或部分事务转由第三人承担，委托人可解除本合同，同时咨询人应向委托人支付合同价的50％违约金，发生损失的应赔偿损失。</w:t>
      </w:r>
    </w:p>
    <w:p w14:paraId="5E5F91B2">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第二十八条 因跟踪审计人员违背工程施工合同的工程造价条款等，出具的跟踪审计结果不真实、不准确，咨询人应承担由此造成的委托人相应损失赔偿责任，同时咨询人每次按合同价的10％向委托人支付违约金。</w:t>
      </w:r>
    </w:p>
    <w:p w14:paraId="24BD00A1">
      <w:pPr>
        <w:spacing w:before="120" w:beforeLines="50" w:after="120" w:afterLines="50" w:line="360" w:lineRule="auto"/>
        <w:jc w:val="center"/>
        <w:rPr>
          <w:rFonts w:hint="eastAsia"/>
          <w:color w:val="auto"/>
          <w:sz w:val="21"/>
          <w:szCs w:val="21"/>
          <w:highlight w:val="none"/>
          <w:lang w:eastAsia="zh-CN"/>
        </w:rPr>
      </w:pPr>
      <w:r>
        <w:rPr>
          <w:rFonts w:hint="eastAsia"/>
          <w:color w:val="auto"/>
          <w:sz w:val="21"/>
          <w:szCs w:val="21"/>
          <w:highlight w:val="none"/>
          <w:lang w:eastAsia="zh-CN"/>
        </w:rPr>
        <w:t>委托人的责任</w:t>
      </w:r>
    </w:p>
    <w:p w14:paraId="376CCBF1">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第二十九条　委托人应当履行建设工程造价咨询合同约定的义务，如有违反则应当承担违约责任，赔偿给咨询人造成的损失。</w:t>
      </w:r>
    </w:p>
    <w:p w14:paraId="33B34A07">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第三十条　委托人如果向咨询人提出赔偿或其他要求不能成立时，则应补偿由于该赔偿或其他要求所导致咨询人的各种费用的支出。</w:t>
      </w:r>
    </w:p>
    <w:p w14:paraId="45F01816">
      <w:pPr>
        <w:spacing w:before="120" w:beforeLines="50" w:after="120" w:afterLines="50" w:line="360" w:lineRule="auto"/>
        <w:jc w:val="center"/>
        <w:rPr>
          <w:rFonts w:hint="eastAsia"/>
          <w:color w:val="auto"/>
          <w:sz w:val="21"/>
          <w:szCs w:val="21"/>
          <w:highlight w:val="none"/>
          <w:lang w:eastAsia="zh-CN"/>
        </w:rPr>
      </w:pPr>
      <w:r>
        <w:rPr>
          <w:rFonts w:hint="eastAsia"/>
          <w:color w:val="auto"/>
          <w:sz w:val="21"/>
          <w:szCs w:val="21"/>
          <w:highlight w:val="none"/>
          <w:lang w:eastAsia="zh-CN"/>
        </w:rPr>
        <w:t>合同生效、变更与终止</w:t>
      </w:r>
    </w:p>
    <w:p w14:paraId="113639AA">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第三十一条　本合同自双方签字盖章之日起生效。</w:t>
      </w:r>
    </w:p>
    <w:p w14:paraId="13BE07FF">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第三十二条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p>
    <w:p w14:paraId="6745C791">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第三十三条　当事人一方要求变更或解除合同时，则应当在7个工作日前通知对方；因变更或解除合同使一方遭受损失的，应由责任方负责赔偿。</w:t>
      </w:r>
    </w:p>
    <w:p w14:paraId="6DEC38A3">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第三十四条　咨询人由于非自身原因暂停或中止执行建设工程造价咨询业务，由此而增加的恢复执行建设工程造价咨询业务的工作，应视为额外服务，有权得到额外的时间和酬金。</w:t>
      </w:r>
    </w:p>
    <w:p w14:paraId="3D9BC0DB">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第三十五条　变更或解除合同的通知或协议应当采取书面形式，新的协议未达成之前，原合同仍然有效。</w:t>
      </w:r>
    </w:p>
    <w:p w14:paraId="58C3903B">
      <w:pPr>
        <w:spacing w:before="120" w:beforeLines="50" w:after="120" w:afterLines="50" w:line="360" w:lineRule="auto"/>
        <w:jc w:val="center"/>
        <w:rPr>
          <w:rFonts w:hint="eastAsia"/>
          <w:color w:val="auto"/>
          <w:sz w:val="21"/>
          <w:szCs w:val="21"/>
          <w:highlight w:val="none"/>
          <w:lang w:eastAsia="zh-CN"/>
        </w:rPr>
      </w:pPr>
      <w:r>
        <w:rPr>
          <w:rFonts w:hint="eastAsia"/>
          <w:color w:val="auto"/>
          <w:sz w:val="21"/>
          <w:szCs w:val="21"/>
          <w:highlight w:val="none"/>
          <w:lang w:eastAsia="zh-CN"/>
        </w:rPr>
        <w:t>咨询业务酬金</w:t>
      </w:r>
    </w:p>
    <w:p w14:paraId="17A8B737">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第三十六条　正常服务，附加服务和额外服务的酬金，按照建设工程造价咨询合同专用条款约定的方法计取，并按约定的时间、数额和币种支付。</w:t>
      </w:r>
    </w:p>
    <w:p w14:paraId="63856BC0">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第三十七条　如果委托人在规定的支付期限内未支付建设工程造价咨询酬金，自规定支付之日起，应当向咨询人补偿应支付的酬金利息。利息额按规定支付期限最后一日银行贷款利率计算。</w:t>
      </w:r>
    </w:p>
    <w:p w14:paraId="20A6EE41">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第三十八条　如果委托人对咨询人提交的支付通知书中酬金或部分酬金项目提出异议，应当在收到支付通知书五个工作日内向咨询人发出异议的通知，但委托人不得拖延其无异议部分酬金的支付。</w:t>
      </w:r>
    </w:p>
    <w:p w14:paraId="0DA91452">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第三十九条　支付建设工程造价咨询酬金所采取的货币币种、汇率由合同专用条款约定。</w:t>
      </w:r>
    </w:p>
    <w:p w14:paraId="2B3927EE">
      <w:pPr>
        <w:spacing w:before="120" w:beforeLines="50" w:after="120" w:afterLines="50" w:line="360" w:lineRule="auto"/>
        <w:jc w:val="center"/>
        <w:rPr>
          <w:rFonts w:hint="eastAsia"/>
          <w:color w:val="auto"/>
          <w:sz w:val="21"/>
          <w:szCs w:val="21"/>
          <w:highlight w:val="none"/>
          <w:lang w:eastAsia="zh-CN"/>
        </w:rPr>
      </w:pPr>
      <w:r>
        <w:rPr>
          <w:rFonts w:hint="eastAsia"/>
          <w:color w:val="auto"/>
          <w:sz w:val="21"/>
          <w:szCs w:val="21"/>
          <w:highlight w:val="none"/>
          <w:lang w:eastAsia="zh-CN"/>
        </w:rPr>
        <w:t>其　　他</w:t>
      </w:r>
    </w:p>
    <w:p w14:paraId="4D9E17C4">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第四十条　因建设工程造价咨询业务的需要，咨询人在合同约定外的外出考察，经委托人同意，其所需费用由委托人负责。</w:t>
      </w:r>
    </w:p>
    <w:p w14:paraId="70752DEB">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第四十一条　咨询人如需外聘专家协助，在委托的建设工程造价咨询业务范围内其费用由咨询人承担；在委托的建设工程造价咨询业务范围以外经委托人认可其费用由委托人承担。</w:t>
      </w:r>
    </w:p>
    <w:p w14:paraId="1EA57D58">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第四十二条　未经对方的书面同意，各方均不得转让合同约定的权利和义务。</w:t>
      </w:r>
    </w:p>
    <w:p w14:paraId="0915A5B1">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第四十三条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p>
    <w:p w14:paraId="6C282260">
      <w:pPr>
        <w:spacing w:before="120" w:beforeLines="50" w:after="120" w:afterLines="50" w:line="360" w:lineRule="auto"/>
        <w:jc w:val="center"/>
        <w:rPr>
          <w:rFonts w:hint="eastAsia"/>
          <w:color w:val="auto"/>
          <w:sz w:val="21"/>
          <w:szCs w:val="21"/>
          <w:highlight w:val="none"/>
          <w:lang w:eastAsia="zh-CN"/>
        </w:rPr>
      </w:pPr>
      <w:r>
        <w:rPr>
          <w:rFonts w:hint="eastAsia"/>
          <w:color w:val="auto"/>
          <w:sz w:val="21"/>
          <w:szCs w:val="21"/>
          <w:highlight w:val="none"/>
          <w:lang w:eastAsia="zh-CN"/>
        </w:rPr>
        <w:t>合同争议的解决</w:t>
      </w:r>
    </w:p>
    <w:p w14:paraId="03B7BC26">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t>　　第四十四条　因违约或终止合同而引起的损失和损害的赔偿，委托人与咨询人之间应当协商解决；如未能达成一致，可提交有关主管部门调解；协商或调解不成的，根据双方约定提交仲裁机关仲裁，或向人民法院提起诉讼。</w:t>
      </w:r>
    </w:p>
    <w:p w14:paraId="4C91888E">
      <w:pPr>
        <w:spacing w:before="120" w:beforeLines="50" w:after="120" w:afterLines="50" w:line="360" w:lineRule="auto"/>
        <w:jc w:val="both"/>
        <w:rPr>
          <w:rFonts w:hint="eastAsia"/>
          <w:color w:val="auto"/>
          <w:sz w:val="21"/>
          <w:szCs w:val="21"/>
          <w:highlight w:val="none"/>
          <w:lang w:eastAsia="zh-CN"/>
        </w:rPr>
      </w:pPr>
      <w:r>
        <w:rPr>
          <w:rFonts w:hint="eastAsia"/>
          <w:color w:val="auto"/>
          <w:sz w:val="21"/>
          <w:szCs w:val="21"/>
          <w:highlight w:val="none"/>
          <w:lang w:eastAsia="zh-CN"/>
        </w:rPr>
        <w:br w:type="page"/>
      </w:r>
    </w:p>
    <w:p w14:paraId="7256B433">
      <w:pPr>
        <w:spacing w:before="120" w:beforeLines="50" w:after="120" w:afterLines="50" w:line="360" w:lineRule="auto"/>
        <w:jc w:val="center"/>
        <w:rPr>
          <w:rFonts w:hint="eastAsia"/>
          <w:b/>
          <w:bCs/>
          <w:color w:val="auto"/>
          <w:sz w:val="21"/>
          <w:szCs w:val="21"/>
          <w:highlight w:val="none"/>
          <w:lang w:eastAsia="zh-CN"/>
        </w:rPr>
      </w:pPr>
      <w:r>
        <w:rPr>
          <w:rFonts w:hint="eastAsia"/>
          <w:b/>
          <w:bCs/>
          <w:color w:val="auto"/>
          <w:sz w:val="21"/>
          <w:szCs w:val="21"/>
          <w:highlight w:val="none"/>
          <w:lang w:eastAsia="zh-CN"/>
        </w:rPr>
        <w:t>第三部分　建设工程造价咨询合同专用条款</w:t>
      </w:r>
    </w:p>
    <w:p w14:paraId="3B11F3B9">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  本合同适用的法律、法规及工程造价计价办法和规定</w:t>
      </w:r>
    </w:p>
    <w:p w14:paraId="60AC0A5D">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1．适用法律和法规：现行有关工程造价方面的法律法规。  　</w:t>
      </w:r>
    </w:p>
    <w:p w14:paraId="3609F573">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2．工程造价计价办法： 《江苏省建设工程费用定额》（2014）、《江苏省建设与装饰工程计价定额》（2014版）、《江苏省安装工程计价定额》（2014版）、《江苏省市政工程计价定额》（2014版）等，</w:t>
      </w:r>
      <w:r>
        <w:rPr>
          <w:rFonts w:hint="eastAsia"/>
          <w:b/>
          <w:bCs/>
          <w:color w:val="auto"/>
          <w:sz w:val="21"/>
          <w:szCs w:val="21"/>
          <w:highlight w:val="none"/>
          <w:lang w:val="en-US" w:eastAsia="zh-CN"/>
        </w:rPr>
        <w:t>如新办法出台，按新办法执行。</w:t>
      </w:r>
      <w:r>
        <w:rPr>
          <w:rFonts w:hint="eastAsia"/>
          <w:color w:val="auto"/>
          <w:sz w:val="21"/>
          <w:szCs w:val="21"/>
          <w:highlight w:val="none"/>
          <w:lang w:eastAsia="zh-CN"/>
        </w:rPr>
        <w:t xml:space="preserve"> 　</w:t>
      </w:r>
    </w:p>
    <w:p w14:paraId="79CD3710">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3.标准规范： 《建设工程工程量清单计价规范》（GB50500-2013）</w:t>
      </w:r>
      <w:r>
        <w:rPr>
          <w:rFonts w:hint="eastAsia"/>
          <w:color w:val="auto"/>
          <w:sz w:val="21"/>
          <w:szCs w:val="21"/>
          <w:highlight w:val="none"/>
          <w:lang w:val="en-US" w:eastAsia="zh-CN"/>
        </w:rPr>
        <w:t>等</w:t>
      </w:r>
      <w:r>
        <w:rPr>
          <w:rFonts w:hint="eastAsia"/>
          <w:color w:val="auto"/>
          <w:sz w:val="21"/>
          <w:szCs w:val="21"/>
          <w:highlight w:val="none"/>
          <w:lang w:eastAsia="zh-CN"/>
        </w:rPr>
        <w:t>，</w:t>
      </w:r>
      <w:r>
        <w:rPr>
          <w:rFonts w:hint="eastAsia"/>
          <w:b/>
          <w:bCs/>
          <w:color w:val="auto"/>
          <w:sz w:val="21"/>
          <w:szCs w:val="21"/>
          <w:highlight w:val="none"/>
          <w:lang w:val="en-US" w:eastAsia="zh-CN"/>
        </w:rPr>
        <w:t>如新规范出台，按新规范执行。</w:t>
      </w:r>
      <w:r>
        <w:rPr>
          <w:rFonts w:hint="eastAsia"/>
          <w:b/>
          <w:bCs/>
          <w:color w:val="auto"/>
          <w:sz w:val="21"/>
          <w:szCs w:val="21"/>
          <w:highlight w:val="none"/>
          <w:lang w:eastAsia="zh-CN"/>
        </w:rPr>
        <w:t xml:space="preserve"> </w:t>
      </w:r>
      <w:r>
        <w:rPr>
          <w:rFonts w:hint="eastAsia"/>
          <w:color w:val="auto"/>
          <w:sz w:val="21"/>
          <w:szCs w:val="21"/>
          <w:highlight w:val="none"/>
          <w:lang w:eastAsia="zh-CN"/>
        </w:rPr>
        <w:t>　</w:t>
      </w:r>
    </w:p>
    <w:p w14:paraId="6BB518CC">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 第四条  本合同咨询项目负责人由</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担任，负责本咨询项目的具体实施及与委托方的联系等事宜。 </w:t>
      </w:r>
    </w:p>
    <w:p w14:paraId="0A52A4F2">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第五条　建设工程造价咨询业务范围及内容</w:t>
      </w:r>
    </w:p>
    <w:p w14:paraId="1072864C">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1．委托工程造价咨询的工程范围：                                                      </w:t>
      </w:r>
    </w:p>
    <w:p w14:paraId="2EDDD30C">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2.委托工程造价咨询业务的内容（下列内容有委托的在□中打√）：　                                  </w:t>
      </w:r>
    </w:p>
    <w:p w14:paraId="7D6002D6">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2.1 建设工程造价咨询业务</w:t>
      </w:r>
    </w:p>
    <w:p w14:paraId="75FB2F2D">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投资决策阶段</w:t>
      </w:r>
    </w:p>
    <w:p w14:paraId="31C6641F">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□编制建设工程投资估算       □审核建设工程投资估算</w:t>
      </w:r>
    </w:p>
    <w:p w14:paraId="2ED472E2">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□建设工程项目经济评价       □其它</w:t>
      </w:r>
    </w:p>
    <w:p w14:paraId="12E9C4DC">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工程设计阶段</w:t>
      </w:r>
    </w:p>
    <w:p w14:paraId="4FFA3532">
      <w:pPr>
        <w:spacing w:before="143" w:after="143"/>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□编制建设工程概算        □审核建设工程概算</w:t>
      </w:r>
    </w:p>
    <w:p w14:paraId="72BF8480">
      <w:pPr>
        <w:spacing w:before="143" w:after="143"/>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□编制建设工程预算        □审核建设工程预算</w:t>
      </w:r>
    </w:p>
    <w:p w14:paraId="1C33F926">
      <w:pPr>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□设计方案经济比较        □其它</w:t>
      </w:r>
    </w:p>
    <w:p w14:paraId="78D4444B">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工程发承包/招投标阶段</w:t>
      </w:r>
    </w:p>
    <w:p w14:paraId="4B4C79B1">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☑审核</w:t>
      </w:r>
      <w:r>
        <w:rPr>
          <w:rFonts w:hint="eastAsia"/>
          <w:color w:val="auto"/>
          <w:sz w:val="21"/>
          <w:szCs w:val="21"/>
          <w:highlight w:val="none"/>
          <w:lang w:val="en-US" w:eastAsia="zh-CN"/>
        </w:rPr>
        <w:t>招标</w:t>
      </w:r>
      <w:r>
        <w:rPr>
          <w:rFonts w:hint="eastAsia"/>
          <w:color w:val="auto"/>
          <w:sz w:val="21"/>
          <w:szCs w:val="21"/>
          <w:highlight w:val="none"/>
          <w:lang w:eastAsia="zh-CN"/>
        </w:rPr>
        <w:t>文件造价控制条款</w:t>
      </w:r>
    </w:p>
    <w:p w14:paraId="7FA7E3F8">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□编制工程量清单   □编制招标控制价/发包工程预算（标底）              </w:t>
      </w:r>
    </w:p>
    <w:p w14:paraId="2CB73042">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☑审核工程量清单   ☑审核招标控制价/发包工程预算（标底）</w:t>
      </w:r>
    </w:p>
    <w:p w14:paraId="3AEF0405">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□参与审查经济标   □参与合同谈判，协助起草合同文本</w:t>
      </w:r>
    </w:p>
    <w:p w14:paraId="08BA084B">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□其它             </w:t>
      </w:r>
    </w:p>
    <w:p w14:paraId="5BCF331F">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工程施工阶段</w:t>
      </w:r>
    </w:p>
    <w:p w14:paraId="7D712FB8">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☑分析合同价款（投标报价/发包工程预算），咨询人应在工程正式开工后三个月内根据甲方需要按照施工图、招标文件、合同等审核和调整合同价款，确定工程造价控制目标，编制资金使用计划   </w:t>
      </w:r>
    </w:p>
    <w:p w14:paraId="26065F15">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☑审核工程计量与价款支付      </w:t>
      </w:r>
    </w:p>
    <w:p w14:paraId="2A502A7E">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☑及时审核工程索赔与签证费用（如施工单位未能在合同约定期限内上报索赔费用与费用签证的，咨询人应先行编制该费用估算，以便委托人掌握工程成本的变动情况）</w:t>
      </w:r>
    </w:p>
    <w:p w14:paraId="38672639">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☑审核工程价款调整     </w:t>
      </w:r>
    </w:p>
    <w:p w14:paraId="0E56D5BA">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☑业主分包的专业工程招标咨询，材料设备询价</w:t>
      </w:r>
    </w:p>
    <w:p w14:paraId="7A0E98B8">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☑分析工程投资偏差，调整工程造价控制目标 </w:t>
      </w:r>
    </w:p>
    <w:p w14:paraId="487A5B01">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☑工程施工阶段,按月报送造价咨询业务月报。</w:t>
      </w:r>
    </w:p>
    <w:p w14:paraId="2DAED4B2">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☑委托人交办的其他跟工程造价相关的工作             </w:t>
      </w:r>
    </w:p>
    <w:p w14:paraId="4903DD51">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工程竣工阶段</w:t>
      </w:r>
    </w:p>
    <w:p w14:paraId="7BE30A2A">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□编制工程结算书</w:t>
      </w:r>
    </w:p>
    <w:p w14:paraId="4F6E70CF">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☑审核工程竣工结算     ☑其它：编制项目竣工结算审核（全过程造价咨询）报告            </w:t>
      </w:r>
    </w:p>
    <w:p w14:paraId="70A41E0C">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2.2 造价咨询其它业务</w:t>
      </w:r>
    </w:p>
    <w:p w14:paraId="5B6D026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☑工程造价鉴定及仲裁咨询      ☑编制工程造价计价依据</w:t>
      </w:r>
    </w:p>
    <w:p w14:paraId="25F9AB63">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☑提供工程造价信息服务        ☑其它：配合编制竣工财务决算报告等</w:t>
      </w:r>
    </w:p>
    <w:p w14:paraId="2363656D">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☑对</w:t>
      </w:r>
      <w:r>
        <w:rPr>
          <w:rFonts w:hint="eastAsia"/>
          <w:color w:val="auto"/>
          <w:sz w:val="21"/>
          <w:szCs w:val="21"/>
          <w:highlight w:val="none"/>
          <w:lang w:val="en-US" w:eastAsia="zh-CN"/>
        </w:rPr>
        <w:t>招标</w:t>
      </w:r>
      <w:r>
        <w:rPr>
          <w:rFonts w:hint="eastAsia"/>
          <w:color w:val="auto"/>
          <w:sz w:val="21"/>
          <w:szCs w:val="21"/>
          <w:highlight w:val="none"/>
          <w:lang w:eastAsia="zh-CN"/>
        </w:rPr>
        <w:t>文件、工程量清单及控制价进行复核，并出具书面意见。</w:t>
      </w:r>
    </w:p>
    <w:p w14:paraId="5D14EDE6">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☑参与施工、材料采购合同的谈判。</w:t>
      </w:r>
    </w:p>
    <w:p w14:paraId="793D6568">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☑按照委托人要求参与工程造价控制有关的工作会议。</w:t>
      </w:r>
    </w:p>
    <w:p w14:paraId="6027FD80">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☑承发包双方提出索赔时，为委托方提供咨询意见。</w:t>
      </w:r>
    </w:p>
    <w:p w14:paraId="03FF6D6E">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☑及时审核设计变更、现场签证等发生的费用。</w:t>
      </w:r>
    </w:p>
    <w:p w14:paraId="0AE5B15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☑及时核定分阶段完工的单位工程结算；提供整套结算报告及各项费用汇总表交委托人归档。</w:t>
      </w:r>
    </w:p>
    <w:p w14:paraId="6758B7A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☑提供涉及委托咨询工程项目的人工、材料、设备等造价信息和与造价控制</w:t>
      </w:r>
    </w:p>
    <w:p w14:paraId="413EAF4D">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☑现场查勘、计量复核、审核现场工程签证。</w:t>
      </w:r>
    </w:p>
    <w:p w14:paraId="73AEC8B3">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☑对施工单位提出的部分材料进行核价。</w:t>
      </w:r>
    </w:p>
    <w:p w14:paraId="79382FA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☑相关的其他咨询服务内容以采购文件第四章采购需求第三条第（一）项为准。</w:t>
      </w:r>
    </w:p>
    <w:p w14:paraId="3AC3B116">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第八条  实施工程施工阶段造价咨询业务，要求咨询人常驻施工现场时，由委托人提供下列必要的办公条件：                                                                          </w:t>
      </w:r>
    </w:p>
    <w:p w14:paraId="3FBA8DCC">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第九条　双方约定的委托人应提供的建设工程造价咨询材料及提供时间：</w:t>
      </w:r>
    </w:p>
    <w:p w14:paraId="5368C911">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（1）工程招标文件（含招标控制价、工程量清单及工程量计算书及相应电子版）、投标文件、合同、设计图纸、设计变更、签证等有效资料，（2）</w:t>
      </w:r>
      <w:r>
        <w:rPr>
          <w:rFonts w:hint="eastAsia"/>
          <w:color w:val="auto"/>
          <w:sz w:val="21"/>
          <w:szCs w:val="21"/>
          <w:highlight w:val="none"/>
          <w:lang w:val="en-US" w:eastAsia="zh-CN"/>
        </w:rPr>
        <w:t>招标</w:t>
      </w:r>
      <w:r>
        <w:rPr>
          <w:rFonts w:hint="eastAsia"/>
          <w:color w:val="auto"/>
          <w:sz w:val="21"/>
          <w:szCs w:val="21"/>
          <w:highlight w:val="none"/>
          <w:lang w:eastAsia="zh-CN"/>
        </w:rPr>
        <w:t>文件、</w:t>
      </w:r>
      <w:r>
        <w:rPr>
          <w:rFonts w:hint="eastAsia"/>
          <w:color w:val="auto"/>
          <w:sz w:val="21"/>
          <w:szCs w:val="21"/>
          <w:highlight w:val="none"/>
          <w:lang w:val="en-US" w:eastAsia="zh-CN"/>
        </w:rPr>
        <w:t>投标</w:t>
      </w:r>
      <w:r>
        <w:rPr>
          <w:rFonts w:hint="eastAsia"/>
          <w:color w:val="auto"/>
          <w:sz w:val="21"/>
          <w:szCs w:val="21"/>
          <w:highlight w:val="none"/>
          <w:lang w:eastAsia="zh-CN"/>
        </w:rPr>
        <w:t>文件、合同，（3）设计变更、签证等文件。</w:t>
      </w:r>
    </w:p>
    <w:p w14:paraId="6786240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第十条　委托人应在3日内对咨询人书面提交并要求做出答复的事宜做出书面答复。</w:t>
      </w:r>
    </w:p>
    <w:p w14:paraId="79B42BFF">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第十一条  委托人授权</w:t>
      </w:r>
      <w:r>
        <w:rPr>
          <w:rFonts w:hint="eastAsia"/>
          <w:color w:val="auto"/>
          <w:sz w:val="21"/>
          <w:szCs w:val="21"/>
          <w:highlight w:val="none"/>
          <w:u w:val="single"/>
          <w:lang w:eastAsia="zh-CN"/>
        </w:rPr>
        <w:t xml:space="preserve">          </w:t>
      </w:r>
      <w:r>
        <w:rPr>
          <w:rFonts w:hint="eastAsia"/>
          <w:color w:val="auto"/>
          <w:sz w:val="21"/>
          <w:szCs w:val="21"/>
          <w:highlight w:val="none"/>
          <w:lang w:eastAsia="zh-CN"/>
        </w:rPr>
        <w:t>为本咨询业务的代表，负责与咨询人联系。</w:t>
      </w:r>
    </w:p>
    <w:p w14:paraId="0B2A4A32">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第二十三条  委托人对其提供资料的真实性、完整性和有效性负责，由此造成的咨询人工作的缺陷或失误及额外工作由委托人负责对咨询人进行赔偿。 </w:t>
      </w:r>
    </w:p>
    <w:p w14:paraId="28C64AF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第二十六条  咨询人发生额外工作包括：</w:t>
      </w:r>
    </w:p>
    <w:p w14:paraId="16B53738">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☑实施工程施工阶段造价咨询业务，由于委托人或第三人的原因工程建设周期延长；</w:t>
      </w:r>
    </w:p>
    <w:p w14:paraId="0A947787">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☑由于委托人提供的图纸等条件资料不全或发生变化，咨询人根据变化的条件资料发生的重复咨询工作；</w:t>
      </w:r>
    </w:p>
    <w:p w14:paraId="43BFF8EA">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☑其它。</w:t>
      </w:r>
    </w:p>
    <w:p w14:paraId="1F3BC9AC">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第三十条　委托人同意按以下的计算方法、支付时间与金额，支付咨询人的正常服务酬金：</w:t>
      </w:r>
    </w:p>
    <w:p w14:paraId="3542D072">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1、正常酬金计算方法</w:t>
      </w:r>
    </w:p>
    <w:p w14:paraId="58B912F5">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本项目的咨询服务酬金计算方法为：全过程造价咨询服务费按苏价服[2014]383号文</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%收取。    </w:t>
      </w:r>
    </w:p>
    <w:p w14:paraId="273BDC03">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（1）全过程造价咨询服务费包含基本收费</w:t>
      </w:r>
      <w:r>
        <w:rPr>
          <w:rFonts w:hint="eastAsia"/>
          <w:color w:val="auto"/>
          <w:sz w:val="21"/>
          <w:szCs w:val="21"/>
          <w:highlight w:val="none"/>
          <w:lang w:val="en-US" w:eastAsia="zh-CN"/>
        </w:rPr>
        <w:t>驻场收费</w:t>
      </w:r>
      <w:r>
        <w:rPr>
          <w:rFonts w:hint="eastAsia"/>
          <w:color w:val="auto"/>
          <w:sz w:val="21"/>
          <w:szCs w:val="21"/>
          <w:highlight w:val="none"/>
          <w:lang w:eastAsia="zh-CN"/>
        </w:rPr>
        <w:t>和效益收费。本项目总</w:t>
      </w:r>
      <w:r>
        <w:rPr>
          <w:rFonts w:hint="eastAsia"/>
          <w:color w:val="auto"/>
          <w:sz w:val="21"/>
          <w:szCs w:val="21"/>
          <w:highlight w:val="none"/>
          <w:lang w:val="en-US" w:eastAsia="zh-CN"/>
        </w:rPr>
        <w:t>合同</w:t>
      </w:r>
      <w:r>
        <w:rPr>
          <w:rFonts w:hint="eastAsia"/>
          <w:color w:val="auto"/>
          <w:sz w:val="21"/>
          <w:szCs w:val="21"/>
          <w:highlight w:val="none"/>
          <w:lang w:eastAsia="zh-CN"/>
        </w:rPr>
        <w:t>限额</w:t>
      </w:r>
      <w:r>
        <w:rPr>
          <w:rFonts w:hint="eastAsia"/>
          <w:color w:val="auto"/>
          <w:sz w:val="21"/>
          <w:szCs w:val="21"/>
          <w:highlight w:val="none"/>
          <w:u w:val="single"/>
          <w:lang w:val="en-US" w:eastAsia="zh-CN"/>
        </w:rPr>
        <w:t xml:space="preserve">      </w:t>
      </w:r>
      <w:r>
        <w:rPr>
          <w:rFonts w:hint="eastAsia"/>
          <w:color w:val="auto"/>
          <w:sz w:val="21"/>
          <w:szCs w:val="21"/>
          <w:highlight w:val="none"/>
          <w:lang w:eastAsia="zh-CN"/>
        </w:rPr>
        <w:t>万元</w:t>
      </w:r>
      <w:r>
        <w:rPr>
          <w:rFonts w:hint="eastAsia"/>
          <w:b w:val="0"/>
          <w:bCs w:val="0"/>
          <w:color w:val="auto"/>
          <w:sz w:val="21"/>
          <w:szCs w:val="21"/>
          <w:highlight w:val="none"/>
          <w:lang w:eastAsia="zh-CN"/>
        </w:rPr>
        <w:t>，其中基本收费占60%、效益收费占40%。</w:t>
      </w:r>
    </w:p>
    <w:p w14:paraId="259689B0">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（2）基本收费</w:t>
      </w:r>
      <w:r>
        <w:rPr>
          <w:rFonts w:hint="eastAsia"/>
          <w:color w:val="auto"/>
          <w:sz w:val="21"/>
          <w:szCs w:val="21"/>
          <w:highlight w:val="none"/>
          <w:lang w:val="en-US" w:eastAsia="zh-CN"/>
        </w:rPr>
        <w:t>和驻场收费</w:t>
      </w:r>
      <w:r>
        <w:rPr>
          <w:rFonts w:hint="eastAsia"/>
          <w:color w:val="auto"/>
          <w:sz w:val="21"/>
          <w:szCs w:val="21"/>
          <w:highlight w:val="none"/>
          <w:lang w:eastAsia="zh-CN"/>
        </w:rPr>
        <w:t>预算限额</w:t>
      </w:r>
      <w:r>
        <w:rPr>
          <w:rFonts w:hint="eastAsia"/>
          <w:color w:val="auto"/>
          <w:sz w:val="21"/>
          <w:szCs w:val="21"/>
          <w:highlight w:val="none"/>
          <w:u w:val="single"/>
          <w:lang w:val="en-US" w:eastAsia="zh-CN"/>
        </w:rPr>
        <w:t xml:space="preserve">     </w:t>
      </w:r>
      <w:r>
        <w:rPr>
          <w:rFonts w:hint="eastAsia"/>
          <w:color w:val="auto"/>
          <w:sz w:val="21"/>
          <w:szCs w:val="21"/>
          <w:highlight w:val="none"/>
          <w:lang w:eastAsia="zh-CN"/>
        </w:rPr>
        <w:t>万元：包括</w:t>
      </w:r>
      <w:r>
        <w:rPr>
          <w:rFonts w:hint="eastAsia"/>
          <w:color w:val="auto"/>
          <w:sz w:val="21"/>
          <w:szCs w:val="21"/>
          <w:highlight w:val="none"/>
          <w:lang w:eastAsia="zh-CN"/>
        </w:rPr>
        <w:sym w:font="Wingdings" w:char="F081"/>
      </w:r>
      <w:r>
        <w:rPr>
          <w:rFonts w:hint="eastAsia"/>
          <w:color w:val="auto"/>
          <w:sz w:val="21"/>
          <w:szCs w:val="21"/>
          <w:highlight w:val="none"/>
          <w:lang w:eastAsia="zh-CN"/>
        </w:rPr>
        <w:t>招标阶段：工程预算、招标控制价、投标报价（含工程量清单审核）审核；</w:t>
      </w:r>
      <w:r>
        <w:rPr>
          <w:rFonts w:hint="eastAsia"/>
          <w:color w:val="auto"/>
          <w:sz w:val="21"/>
          <w:szCs w:val="21"/>
          <w:highlight w:val="none"/>
          <w:lang w:eastAsia="zh-CN"/>
        </w:rPr>
        <w:sym w:font="Wingdings" w:char="F082"/>
      </w:r>
      <w:r>
        <w:rPr>
          <w:rFonts w:hint="eastAsia"/>
          <w:color w:val="auto"/>
          <w:sz w:val="21"/>
          <w:szCs w:val="21"/>
          <w:highlight w:val="none"/>
          <w:lang w:eastAsia="zh-CN"/>
        </w:rPr>
        <w:t xml:space="preserve">施工阶段全过程造价控制（无效益费）。计费方式为  </w:t>
      </w:r>
      <w:r>
        <w:rPr>
          <w:rFonts w:hint="eastAsia"/>
          <w:color w:val="auto"/>
          <w:sz w:val="21"/>
          <w:szCs w:val="21"/>
          <w:highlight w:val="none"/>
          <w:u w:val="single"/>
          <w:lang w:eastAsia="zh-CN"/>
        </w:rPr>
        <w:t>送审建安工程造价*</w:t>
      </w:r>
      <w:r>
        <w:rPr>
          <w:rFonts w:hint="eastAsia"/>
          <w:color w:val="auto"/>
          <w:sz w:val="21"/>
          <w:szCs w:val="21"/>
          <w:highlight w:val="none"/>
          <w:u w:val="single"/>
          <w:lang w:val="en-US" w:eastAsia="zh-CN"/>
        </w:rPr>
        <w:t>标准收费</w:t>
      </w:r>
      <w:r>
        <w:rPr>
          <w:rFonts w:hint="eastAsia"/>
          <w:color w:val="auto"/>
          <w:sz w:val="21"/>
          <w:szCs w:val="21"/>
          <w:highlight w:val="none"/>
          <w:u w:val="single"/>
          <w:lang w:eastAsia="zh-CN"/>
        </w:rPr>
        <w:t>费率*成交</w:t>
      </w:r>
      <w:r>
        <w:rPr>
          <w:rFonts w:hint="eastAsia"/>
          <w:color w:val="auto"/>
          <w:sz w:val="21"/>
          <w:szCs w:val="21"/>
          <w:highlight w:val="none"/>
          <w:u w:val="single"/>
          <w:lang w:val="en-US" w:eastAsia="zh-CN"/>
        </w:rPr>
        <w:t>费率</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 </w:t>
      </w:r>
    </w:p>
    <w:p w14:paraId="60FC1634">
      <w:pPr>
        <w:spacing w:before="120" w:beforeLines="50" w:after="120" w:afterLines="50" w:line="360" w:lineRule="auto"/>
        <w:ind w:firstLine="422" w:firstLineChars="200"/>
        <w:jc w:val="both"/>
        <w:rPr>
          <w:rFonts w:hint="eastAsia"/>
          <w:color w:val="auto"/>
          <w:sz w:val="21"/>
          <w:szCs w:val="21"/>
          <w:highlight w:val="none"/>
          <w:lang w:eastAsia="zh-CN"/>
        </w:rPr>
      </w:pPr>
      <w:r>
        <w:rPr>
          <w:rFonts w:hint="eastAsia"/>
          <w:b/>
          <w:bCs/>
          <w:color w:val="auto"/>
          <w:sz w:val="21"/>
          <w:szCs w:val="21"/>
          <w:highlight w:val="none"/>
          <w:lang w:eastAsia="zh-CN"/>
        </w:rPr>
        <w:t>基本收费按成交</w:t>
      </w:r>
      <w:r>
        <w:rPr>
          <w:rFonts w:hint="eastAsia"/>
          <w:b/>
          <w:bCs/>
          <w:color w:val="auto"/>
          <w:sz w:val="21"/>
          <w:szCs w:val="21"/>
          <w:highlight w:val="none"/>
          <w:lang w:val="en-US" w:eastAsia="zh-CN"/>
        </w:rPr>
        <w:t>费率</w:t>
      </w:r>
      <w:r>
        <w:rPr>
          <w:rFonts w:hint="eastAsia"/>
          <w:b/>
          <w:bCs/>
          <w:color w:val="auto"/>
          <w:sz w:val="21"/>
          <w:szCs w:val="21"/>
          <w:highlight w:val="none"/>
          <w:lang w:eastAsia="zh-CN"/>
        </w:rPr>
        <w:t>据实结算，如实际费用低于预算限额则按实结算，如实际费用高于预算限额则按预算限额结算。</w:t>
      </w:r>
    </w:p>
    <w:p w14:paraId="5DE1FEE0">
      <w:pPr>
        <w:numPr>
          <w:ilvl w:val="0"/>
          <w:numId w:val="5"/>
        </w:numPr>
        <w:spacing w:before="120" w:beforeLines="50" w:after="120" w:afterLines="50" w:line="360" w:lineRule="auto"/>
        <w:ind w:left="0" w:leftChars="0"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效益收费预算限额</w:t>
      </w:r>
      <w:r>
        <w:rPr>
          <w:rFonts w:hint="eastAsia"/>
          <w:color w:val="auto"/>
          <w:sz w:val="21"/>
          <w:szCs w:val="21"/>
          <w:highlight w:val="none"/>
          <w:u w:val="single"/>
          <w:lang w:val="en-US" w:eastAsia="zh-CN"/>
        </w:rPr>
        <w:t xml:space="preserve">     </w:t>
      </w:r>
      <w:r>
        <w:rPr>
          <w:rFonts w:hint="eastAsia"/>
          <w:color w:val="auto"/>
          <w:sz w:val="21"/>
          <w:szCs w:val="21"/>
          <w:highlight w:val="none"/>
          <w:lang w:eastAsia="zh-CN"/>
        </w:rPr>
        <w:t>万元：指竣工结算</w:t>
      </w:r>
      <w:r>
        <w:rPr>
          <w:rFonts w:hint="eastAsia"/>
          <w:color w:val="auto"/>
          <w:sz w:val="21"/>
          <w:szCs w:val="21"/>
          <w:highlight w:val="none"/>
          <w:lang w:val="en-US" w:eastAsia="zh-CN"/>
        </w:rPr>
        <w:t>及决算</w:t>
      </w:r>
      <w:r>
        <w:rPr>
          <w:rFonts w:hint="eastAsia"/>
          <w:color w:val="auto"/>
          <w:sz w:val="21"/>
          <w:szCs w:val="21"/>
          <w:highlight w:val="none"/>
          <w:lang w:eastAsia="zh-CN"/>
        </w:rPr>
        <w:t>阶段效益收费，计费方式为</w:t>
      </w:r>
      <w:r>
        <w:rPr>
          <w:rFonts w:hint="eastAsia"/>
          <w:color w:val="auto"/>
          <w:sz w:val="21"/>
          <w:szCs w:val="21"/>
          <w:highlight w:val="none"/>
          <w:u w:val="single"/>
          <w:lang w:eastAsia="zh-CN"/>
        </w:rPr>
        <w:t>工程结算核减（增）额*6%*成交</w:t>
      </w:r>
      <w:r>
        <w:rPr>
          <w:rFonts w:hint="eastAsia"/>
          <w:color w:val="auto"/>
          <w:sz w:val="21"/>
          <w:szCs w:val="21"/>
          <w:highlight w:val="none"/>
          <w:u w:val="single"/>
          <w:lang w:val="en-US" w:eastAsia="zh-CN"/>
        </w:rPr>
        <w:t>费率</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 。</w:t>
      </w:r>
    </w:p>
    <w:p w14:paraId="1D947700">
      <w:pPr>
        <w:spacing w:before="120" w:beforeLines="50" w:after="120" w:afterLines="50" w:line="360" w:lineRule="auto"/>
        <w:ind w:firstLine="422" w:firstLineChars="200"/>
        <w:jc w:val="both"/>
        <w:rPr>
          <w:rFonts w:hint="eastAsia"/>
          <w:b/>
          <w:bCs/>
          <w:color w:val="auto"/>
          <w:sz w:val="21"/>
          <w:szCs w:val="21"/>
          <w:highlight w:val="none"/>
          <w:lang w:eastAsia="zh-CN"/>
        </w:rPr>
      </w:pPr>
      <w:r>
        <w:rPr>
          <w:rFonts w:hint="eastAsia"/>
          <w:b/>
          <w:bCs/>
          <w:color w:val="auto"/>
          <w:sz w:val="21"/>
          <w:szCs w:val="21"/>
          <w:highlight w:val="none"/>
          <w:lang w:eastAsia="zh-CN"/>
        </w:rPr>
        <w:t>效益收费按成交</w:t>
      </w:r>
      <w:r>
        <w:rPr>
          <w:rFonts w:hint="eastAsia"/>
          <w:b/>
          <w:bCs/>
          <w:color w:val="auto"/>
          <w:sz w:val="21"/>
          <w:szCs w:val="21"/>
          <w:highlight w:val="none"/>
          <w:lang w:val="en-US" w:eastAsia="zh-CN"/>
        </w:rPr>
        <w:t>费率</w:t>
      </w:r>
      <w:r>
        <w:rPr>
          <w:rFonts w:hint="eastAsia"/>
          <w:b/>
          <w:bCs/>
          <w:color w:val="auto"/>
          <w:sz w:val="21"/>
          <w:szCs w:val="21"/>
          <w:highlight w:val="none"/>
          <w:lang w:eastAsia="zh-CN"/>
        </w:rPr>
        <w:t>据实结算，如实际费用低于预算限额则按实结算，如实际费用高于预算限额则按预算限额结算。</w:t>
      </w:r>
    </w:p>
    <w:p w14:paraId="4FAB49E6">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2、正常酬金支付方式</w:t>
      </w:r>
    </w:p>
    <w:p w14:paraId="0B96D7C2">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（1）预付款：委托合同生效一个月内，支付</w:t>
      </w:r>
      <w:r>
        <w:rPr>
          <w:rFonts w:hint="eastAsia"/>
          <w:color w:val="auto"/>
          <w:sz w:val="21"/>
          <w:szCs w:val="21"/>
          <w:highlight w:val="none"/>
          <w:lang w:val="en-US" w:eastAsia="zh-CN"/>
        </w:rPr>
        <w:t>合同基本收费</w:t>
      </w:r>
      <w:r>
        <w:rPr>
          <w:rFonts w:hint="eastAsia"/>
          <w:color w:val="auto"/>
          <w:sz w:val="21"/>
          <w:szCs w:val="21"/>
          <w:highlight w:val="none"/>
          <w:lang w:eastAsia="zh-CN"/>
        </w:rPr>
        <w:t>预算</w:t>
      </w:r>
      <w:r>
        <w:rPr>
          <w:rFonts w:hint="eastAsia"/>
          <w:color w:val="auto"/>
          <w:sz w:val="21"/>
          <w:szCs w:val="21"/>
          <w:highlight w:val="none"/>
          <w:lang w:val="en-US" w:eastAsia="zh-CN"/>
        </w:rPr>
        <w:t>限</w:t>
      </w:r>
      <w:r>
        <w:rPr>
          <w:rFonts w:hint="eastAsia"/>
          <w:color w:val="auto"/>
          <w:sz w:val="21"/>
          <w:szCs w:val="21"/>
          <w:highlight w:val="none"/>
          <w:lang w:eastAsia="zh-CN"/>
        </w:rPr>
        <w:t>额的</w:t>
      </w:r>
      <w:r>
        <w:rPr>
          <w:rFonts w:hint="eastAsia"/>
          <w:color w:val="auto"/>
          <w:sz w:val="21"/>
          <w:szCs w:val="21"/>
          <w:highlight w:val="none"/>
          <w:u w:val="single"/>
          <w:lang w:eastAsia="zh-CN"/>
        </w:rPr>
        <w:t>10%</w:t>
      </w:r>
      <w:r>
        <w:rPr>
          <w:rFonts w:hint="eastAsia"/>
          <w:color w:val="auto"/>
          <w:sz w:val="21"/>
          <w:szCs w:val="21"/>
          <w:highlight w:val="none"/>
          <w:lang w:eastAsia="zh-CN"/>
        </w:rPr>
        <w:t>作为预付款。</w:t>
      </w:r>
    </w:p>
    <w:p w14:paraId="3F01C7FF">
      <w:pPr>
        <w:spacing w:before="120" w:beforeLines="50" w:after="120" w:afterLines="50" w:line="360" w:lineRule="auto"/>
        <w:ind w:firstLine="420" w:firstLineChars="200"/>
        <w:jc w:val="both"/>
        <w:rPr>
          <w:rFonts w:hint="default"/>
          <w:color w:val="auto"/>
          <w:sz w:val="21"/>
          <w:szCs w:val="21"/>
          <w:highlight w:val="none"/>
          <w:lang w:val="en-US" w:eastAsia="zh-CN"/>
        </w:rPr>
      </w:pPr>
      <w:r>
        <w:rPr>
          <w:rFonts w:hint="eastAsia"/>
          <w:color w:val="auto"/>
          <w:sz w:val="21"/>
          <w:szCs w:val="21"/>
          <w:highlight w:val="none"/>
          <w:lang w:eastAsia="zh-CN"/>
        </w:rPr>
        <w:t>（2）</w:t>
      </w:r>
      <w:r>
        <w:rPr>
          <w:rFonts w:hint="eastAsia"/>
          <w:color w:val="auto"/>
          <w:sz w:val="21"/>
          <w:szCs w:val="21"/>
          <w:highlight w:val="none"/>
          <w:lang w:val="en-US" w:eastAsia="zh-CN"/>
        </w:rPr>
        <w:t>每6个月结算一次，按完成产值对应的咨询费用的60%支付;</w:t>
      </w:r>
    </w:p>
    <w:p w14:paraId="7A850DB0">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val="en-US" w:eastAsia="zh-CN"/>
        </w:rPr>
        <w:t>（3）项目竣工验收合格后，</w:t>
      </w:r>
      <w:r>
        <w:rPr>
          <w:rFonts w:hint="eastAsia"/>
          <w:color w:val="auto"/>
          <w:sz w:val="21"/>
          <w:szCs w:val="21"/>
          <w:highlight w:val="none"/>
          <w:lang w:eastAsia="zh-CN"/>
        </w:rPr>
        <w:t>咨询人</w:t>
      </w:r>
      <w:r>
        <w:rPr>
          <w:rFonts w:hint="eastAsia"/>
          <w:color w:val="auto"/>
          <w:sz w:val="21"/>
          <w:szCs w:val="21"/>
          <w:highlight w:val="none"/>
          <w:lang w:val="en-US" w:eastAsia="zh-CN"/>
        </w:rPr>
        <w:t>完成相应阶段义务，支付至基本收费、驻场收费</w:t>
      </w:r>
      <w:r>
        <w:rPr>
          <w:rFonts w:hint="eastAsia"/>
          <w:color w:val="auto"/>
          <w:sz w:val="21"/>
          <w:szCs w:val="21"/>
          <w:highlight w:val="none"/>
          <w:lang w:eastAsia="zh-CN"/>
        </w:rPr>
        <w:t>的</w:t>
      </w:r>
      <w:r>
        <w:rPr>
          <w:rFonts w:hint="eastAsia"/>
          <w:color w:val="auto"/>
          <w:sz w:val="21"/>
          <w:szCs w:val="21"/>
          <w:highlight w:val="none"/>
          <w:lang w:val="en-US" w:eastAsia="zh-CN"/>
        </w:rPr>
        <w:t>95</w:t>
      </w:r>
      <w:r>
        <w:rPr>
          <w:rFonts w:hint="eastAsia"/>
          <w:color w:val="auto"/>
          <w:sz w:val="21"/>
          <w:szCs w:val="21"/>
          <w:highlight w:val="none"/>
          <w:lang w:eastAsia="zh-CN"/>
        </w:rPr>
        <w:t>%。</w:t>
      </w:r>
    </w:p>
    <w:p w14:paraId="4E248E99">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4</w:t>
      </w:r>
      <w:r>
        <w:rPr>
          <w:rFonts w:hint="eastAsia"/>
          <w:color w:val="auto"/>
          <w:sz w:val="21"/>
          <w:szCs w:val="21"/>
          <w:highlight w:val="none"/>
          <w:lang w:eastAsia="zh-CN"/>
        </w:rPr>
        <w:t>）</w:t>
      </w:r>
      <w:r>
        <w:rPr>
          <w:rFonts w:hint="eastAsia"/>
          <w:color w:val="auto"/>
          <w:sz w:val="21"/>
          <w:szCs w:val="21"/>
          <w:highlight w:val="none"/>
          <w:lang w:val="en-US" w:eastAsia="zh-CN"/>
        </w:rPr>
        <w:t>项目竣工结算全部审核完成，</w:t>
      </w:r>
      <w:r>
        <w:rPr>
          <w:rFonts w:hint="eastAsia"/>
          <w:color w:val="auto"/>
          <w:sz w:val="21"/>
          <w:szCs w:val="21"/>
          <w:highlight w:val="none"/>
          <w:lang w:eastAsia="zh-CN"/>
        </w:rPr>
        <w:t>咨询人提交竣工结算审计报告结束后一个月内付至全部</w:t>
      </w:r>
      <w:r>
        <w:rPr>
          <w:rFonts w:hint="eastAsia"/>
          <w:color w:val="auto"/>
          <w:sz w:val="21"/>
          <w:szCs w:val="21"/>
          <w:highlight w:val="none"/>
          <w:lang w:val="en-US" w:eastAsia="zh-CN"/>
        </w:rPr>
        <w:t>造价咨询</w:t>
      </w:r>
      <w:r>
        <w:rPr>
          <w:rFonts w:hint="eastAsia"/>
          <w:color w:val="auto"/>
          <w:sz w:val="21"/>
          <w:szCs w:val="21"/>
          <w:highlight w:val="none"/>
          <w:lang w:eastAsia="zh-CN"/>
        </w:rPr>
        <w:t>费用的95%（需扣回预付款）。</w:t>
      </w:r>
    </w:p>
    <w:p w14:paraId="4893D95D">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4</w:t>
      </w:r>
      <w:r>
        <w:rPr>
          <w:rFonts w:hint="eastAsia"/>
          <w:color w:val="auto"/>
          <w:sz w:val="21"/>
          <w:szCs w:val="21"/>
          <w:highlight w:val="none"/>
          <w:lang w:eastAsia="zh-CN"/>
        </w:rPr>
        <w:t>）项目</w:t>
      </w:r>
      <w:r>
        <w:rPr>
          <w:rFonts w:hint="eastAsia"/>
          <w:color w:val="auto"/>
          <w:sz w:val="21"/>
          <w:szCs w:val="21"/>
          <w:highlight w:val="none"/>
          <w:lang w:val="en-US" w:eastAsia="zh-CN"/>
        </w:rPr>
        <w:t>全部</w:t>
      </w:r>
      <w:r>
        <w:rPr>
          <w:rFonts w:hint="eastAsia"/>
          <w:color w:val="auto"/>
          <w:sz w:val="21"/>
          <w:szCs w:val="21"/>
          <w:highlight w:val="none"/>
          <w:lang w:eastAsia="zh-CN"/>
        </w:rPr>
        <w:t>竣工</w:t>
      </w:r>
      <w:r>
        <w:rPr>
          <w:rFonts w:hint="eastAsia"/>
          <w:color w:val="auto"/>
          <w:sz w:val="21"/>
          <w:szCs w:val="21"/>
          <w:highlight w:val="none"/>
          <w:lang w:val="en-US" w:eastAsia="zh-CN"/>
        </w:rPr>
        <w:t>结算经财政评审</w:t>
      </w:r>
      <w:r>
        <w:rPr>
          <w:rFonts w:hint="eastAsia"/>
          <w:color w:val="auto"/>
          <w:sz w:val="21"/>
          <w:szCs w:val="21"/>
          <w:highlight w:val="none"/>
          <w:lang w:val="en-US" w:eastAsia="zh-CN"/>
        </w:rPr>
        <w:t>、竣工财务决算报告批复</w:t>
      </w:r>
      <w:r>
        <w:rPr>
          <w:rFonts w:hint="eastAsia"/>
          <w:color w:val="auto"/>
          <w:sz w:val="21"/>
          <w:szCs w:val="21"/>
          <w:highlight w:val="none"/>
          <w:lang w:eastAsia="zh-CN"/>
        </w:rPr>
        <w:t>后，一个月内付清尾款。</w:t>
      </w:r>
    </w:p>
    <w:p w14:paraId="7232C85E">
      <w:pPr>
        <w:spacing w:before="120" w:beforeLines="50" w:after="120" w:afterLines="50" w:line="360" w:lineRule="auto"/>
        <w:ind w:firstLine="422" w:firstLineChars="200"/>
        <w:jc w:val="both"/>
        <w:rPr>
          <w:rFonts w:hint="eastAsia"/>
          <w:color w:val="auto"/>
          <w:sz w:val="21"/>
          <w:szCs w:val="21"/>
          <w:highlight w:val="none"/>
          <w:lang w:eastAsia="zh-CN"/>
        </w:rPr>
      </w:pPr>
      <w:r>
        <w:rPr>
          <w:rFonts w:hint="eastAsia"/>
          <w:b/>
          <w:bCs/>
          <w:color w:val="auto"/>
          <w:sz w:val="21"/>
          <w:szCs w:val="21"/>
          <w:highlight w:val="none"/>
          <w:lang w:eastAsia="zh-CN"/>
        </w:rPr>
        <w:t>上述第（</w:t>
      </w:r>
      <w:r>
        <w:rPr>
          <w:rFonts w:hint="eastAsia"/>
          <w:b/>
          <w:bCs/>
          <w:color w:val="auto"/>
          <w:sz w:val="21"/>
          <w:szCs w:val="21"/>
          <w:highlight w:val="none"/>
          <w:lang w:val="en-US" w:eastAsia="zh-CN"/>
        </w:rPr>
        <w:t>3</w:t>
      </w:r>
      <w:r>
        <w:rPr>
          <w:rFonts w:hint="eastAsia"/>
          <w:b/>
          <w:bCs/>
          <w:color w:val="auto"/>
          <w:sz w:val="21"/>
          <w:szCs w:val="21"/>
          <w:highlight w:val="none"/>
          <w:lang w:eastAsia="zh-CN"/>
        </w:rPr>
        <w:t>）项所涉竣工结算审计报告中的结算金额与第（</w:t>
      </w:r>
      <w:r>
        <w:rPr>
          <w:rFonts w:hint="eastAsia"/>
          <w:b/>
          <w:bCs/>
          <w:color w:val="auto"/>
          <w:sz w:val="21"/>
          <w:szCs w:val="21"/>
          <w:highlight w:val="none"/>
          <w:lang w:val="en-US" w:eastAsia="zh-CN"/>
        </w:rPr>
        <w:t>4</w:t>
      </w:r>
      <w:r>
        <w:rPr>
          <w:rFonts w:hint="eastAsia"/>
          <w:b/>
          <w:bCs/>
          <w:color w:val="auto"/>
          <w:sz w:val="21"/>
          <w:szCs w:val="21"/>
          <w:highlight w:val="none"/>
          <w:lang w:eastAsia="zh-CN"/>
        </w:rPr>
        <w:t>）项</w:t>
      </w:r>
      <w:r>
        <w:rPr>
          <w:rFonts w:hint="eastAsia"/>
          <w:b/>
          <w:bCs/>
          <w:color w:val="auto"/>
          <w:sz w:val="21"/>
          <w:szCs w:val="21"/>
          <w:highlight w:val="none"/>
          <w:lang w:val="en-US" w:eastAsia="zh-CN"/>
        </w:rPr>
        <w:t>批复</w:t>
      </w:r>
      <w:r>
        <w:rPr>
          <w:rFonts w:hint="eastAsia"/>
          <w:b/>
          <w:bCs/>
          <w:color w:val="auto"/>
          <w:sz w:val="21"/>
          <w:szCs w:val="21"/>
          <w:highlight w:val="none"/>
          <w:lang w:eastAsia="zh-CN"/>
        </w:rPr>
        <w:t>决算金额变动差异在</w:t>
      </w:r>
      <w:r>
        <w:rPr>
          <w:rFonts w:hint="eastAsia"/>
          <w:b/>
          <w:bCs/>
          <w:color w:val="auto"/>
          <w:sz w:val="21"/>
          <w:szCs w:val="21"/>
          <w:highlight w:val="none"/>
          <w:lang w:val="en-US" w:eastAsia="zh-CN"/>
        </w:rPr>
        <w:t>3</w:t>
      </w:r>
      <w:r>
        <w:rPr>
          <w:rFonts w:hint="eastAsia"/>
          <w:b/>
          <w:bCs/>
          <w:color w:val="auto"/>
          <w:sz w:val="21"/>
          <w:szCs w:val="21"/>
          <w:highlight w:val="none"/>
          <w:lang w:eastAsia="zh-CN"/>
        </w:rPr>
        <w:t>%（含）以内的，</w:t>
      </w:r>
      <w:r>
        <w:rPr>
          <w:rFonts w:hint="eastAsia"/>
          <w:b/>
          <w:bCs/>
          <w:color w:val="auto"/>
          <w:sz w:val="21"/>
          <w:szCs w:val="21"/>
          <w:highlight w:val="none"/>
          <w:lang w:val="en-US" w:eastAsia="zh-CN"/>
        </w:rPr>
        <w:t>尾款正常支付</w:t>
      </w:r>
      <w:r>
        <w:rPr>
          <w:rFonts w:hint="eastAsia"/>
          <w:b/>
          <w:bCs/>
          <w:color w:val="auto"/>
          <w:sz w:val="21"/>
          <w:szCs w:val="21"/>
          <w:highlight w:val="none"/>
          <w:lang w:eastAsia="zh-CN"/>
        </w:rPr>
        <w:t>；变动差异超过</w:t>
      </w:r>
      <w:r>
        <w:rPr>
          <w:rFonts w:hint="eastAsia"/>
          <w:b/>
          <w:bCs/>
          <w:color w:val="auto"/>
          <w:sz w:val="21"/>
          <w:szCs w:val="21"/>
          <w:highlight w:val="none"/>
          <w:lang w:val="en-US" w:eastAsia="zh-CN"/>
        </w:rPr>
        <w:t>3</w:t>
      </w:r>
      <w:r>
        <w:rPr>
          <w:rFonts w:hint="eastAsia"/>
          <w:b/>
          <w:bCs/>
          <w:color w:val="auto"/>
          <w:sz w:val="21"/>
          <w:szCs w:val="21"/>
          <w:highlight w:val="none"/>
          <w:lang w:eastAsia="zh-CN"/>
        </w:rPr>
        <w:t>%的，尾款不予支付。</w:t>
      </w:r>
    </w:p>
    <w:p w14:paraId="5197EC56">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委托人每次付款前，咨询人必须开具等额正规发票，否则委托人有权拒绝付款，且不承担违约责任。</w:t>
      </w:r>
    </w:p>
    <w:p w14:paraId="1688F241">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3、其他约定</w:t>
      </w:r>
    </w:p>
    <w:p w14:paraId="214737CA">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附加服务酬金：如有附加服务，酬金另行协商。      </w:t>
      </w:r>
    </w:p>
    <w:p w14:paraId="69868D40">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 xml:space="preserve">额外服务酬金：如有附加服务，酬金另行协商。         </w:t>
      </w:r>
    </w:p>
    <w:p w14:paraId="770CE785">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第三十三条　双方同意用人民币支付酬金，按/汇率计付。</w:t>
      </w:r>
    </w:p>
    <w:p w14:paraId="4E892CF3">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第三十八条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无。</w:t>
      </w:r>
    </w:p>
    <w:p w14:paraId="54AA17A6">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第三十九条　建设工程造价咨询合同在履行过程中发生争议，委托人与咨询人应及时协商解决；如未能达成一致，可提交有关主管部门调解；协商或调解不成的，按下列第2种方式解决：</w:t>
      </w:r>
    </w:p>
    <w:p w14:paraId="69DB68A7">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1、提交</w:t>
      </w:r>
      <w:r>
        <w:rPr>
          <w:rFonts w:hint="eastAsia"/>
          <w:color w:val="auto"/>
          <w:sz w:val="21"/>
          <w:szCs w:val="21"/>
          <w:highlight w:val="none"/>
          <w:u w:val="single"/>
          <w:lang w:eastAsia="zh-CN"/>
        </w:rPr>
        <w:t xml:space="preserve"> 南京</w:t>
      </w:r>
      <w:r>
        <w:rPr>
          <w:rFonts w:hint="eastAsia"/>
          <w:color w:val="auto"/>
          <w:sz w:val="21"/>
          <w:szCs w:val="21"/>
          <w:highlight w:val="none"/>
          <w:lang w:eastAsia="zh-CN"/>
        </w:rPr>
        <w:t xml:space="preserve"> 仲裁委员会仲裁；</w:t>
      </w:r>
    </w:p>
    <w:p w14:paraId="10A96F19">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2、依法向甲方所在地有管辖权的人民法院起诉。</w:t>
      </w:r>
    </w:p>
    <w:p w14:paraId="2239BD64">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附加协议条款：</w:t>
      </w:r>
      <w:r>
        <w:rPr>
          <w:rFonts w:hint="eastAsia" w:ascii="Times New Roman" w:hAnsi="Times New Roman" w:eastAsia="宋体" w:cs="Times New Roman"/>
          <w:i w:val="0"/>
          <w:iCs w:val="0"/>
          <w:strike w:val="0"/>
          <w:dstrike w:val="0"/>
          <w:color w:val="auto"/>
          <w:sz w:val="21"/>
          <w:szCs w:val="21"/>
          <w:highlight w:val="none"/>
          <w:u w:val="single"/>
          <w:lang w:val="en-US" w:eastAsia="zh-CN"/>
        </w:rPr>
        <w:t>项目施工期间</w:t>
      </w:r>
      <w:r>
        <w:rPr>
          <w:rFonts w:hint="eastAsia" w:ascii="Times New Roman" w:hAnsi="Times New Roman" w:eastAsia="宋体" w:cs="Times New Roman"/>
          <w:i w:val="0"/>
          <w:iCs w:val="0"/>
          <w:strike w:val="0"/>
          <w:dstrike w:val="0"/>
          <w:color w:val="auto"/>
          <w:sz w:val="21"/>
          <w:szCs w:val="21"/>
          <w:highlight w:val="none"/>
          <w:u w:val="single"/>
          <w:lang w:eastAsia="zh-CN"/>
        </w:rPr>
        <w:t>日常驻场</w:t>
      </w:r>
      <w:r>
        <w:rPr>
          <w:rFonts w:hint="eastAsia" w:cs="Times New Roman"/>
          <w:i w:val="0"/>
          <w:iCs w:val="0"/>
          <w:strike w:val="0"/>
          <w:dstrike w:val="0"/>
          <w:color w:val="auto"/>
          <w:sz w:val="21"/>
          <w:szCs w:val="21"/>
          <w:highlight w:val="none"/>
          <w:u w:val="single"/>
          <w:lang w:eastAsia="zh-CN"/>
        </w:rPr>
        <w:t>咨询</w:t>
      </w:r>
      <w:r>
        <w:rPr>
          <w:rFonts w:hint="eastAsia" w:ascii="Times New Roman" w:hAnsi="Times New Roman" w:eastAsia="宋体" w:cs="Times New Roman"/>
          <w:i w:val="0"/>
          <w:iCs w:val="0"/>
          <w:strike w:val="0"/>
          <w:dstrike w:val="0"/>
          <w:color w:val="auto"/>
          <w:sz w:val="21"/>
          <w:szCs w:val="21"/>
          <w:highlight w:val="none"/>
          <w:u w:val="single"/>
          <w:lang w:eastAsia="zh-CN"/>
        </w:rPr>
        <w:t>人员不少于2名、项目负责人每周驻场时间不少于1天</w:t>
      </w:r>
      <w:r>
        <w:rPr>
          <w:rFonts w:hint="eastAsia" w:cs="Times New Roman"/>
          <w:i w:val="0"/>
          <w:iCs w:val="0"/>
          <w:strike w:val="0"/>
          <w:dstrike w:val="0"/>
          <w:color w:val="auto"/>
          <w:sz w:val="21"/>
          <w:szCs w:val="21"/>
          <w:highlight w:val="none"/>
          <w:u w:val="single"/>
          <w:lang w:eastAsia="zh-CN"/>
        </w:rPr>
        <w:t>。</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                                                                </w:t>
      </w:r>
    </w:p>
    <w:p w14:paraId="18FCEFE0">
      <w:pPr>
        <w:rPr>
          <w:rFonts w:hint="eastAsia"/>
          <w:color w:val="auto"/>
          <w:sz w:val="21"/>
          <w:szCs w:val="21"/>
          <w:highlight w:val="none"/>
          <w:lang w:eastAsia="zh-CN"/>
        </w:rPr>
      </w:pPr>
      <w:r>
        <w:rPr>
          <w:rFonts w:hint="eastAsia"/>
          <w:color w:val="auto"/>
          <w:sz w:val="21"/>
          <w:szCs w:val="21"/>
          <w:highlight w:val="none"/>
          <w:lang w:eastAsia="zh-CN"/>
        </w:rPr>
        <w:br w:type="page"/>
      </w:r>
    </w:p>
    <w:p w14:paraId="4F025978">
      <w:pPr>
        <w:spacing w:before="120" w:beforeLines="50" w:after="120" w:afterLines="50" w:line="360" w:lineRule="auto"/>
        <w:ind w:firstLine="420" w:firstLineChars="200"/>
        <w:jc w:val="both"/>
        <w:rPr>
          <w:rFonts w:hint="eastAsia"/>
          <w:color w:val="auto"/>
          <w:sz w:val="21"/>
          <w:szCs w:val="21"/>
          <w:highlight w:val="none"/>
          <w:lang w:eastAsia="zh-CN"/>
        </w:rPr>
      </w:pPr>
      <w:r>
        <w:rPr>
          <w:rFonts w:hint="eastAsia"/>
          <w:color w:val="auto"/>
          <w:sz w:val="21"/>
          <w:szCs w:val="21"/>
          <w:highlight w:val="none"/>
          <w:lang w:eastAsia="zh-CN"/>
        </w:rPr>
        <w:t>附件1、廉洁合同</w:t>
      </w:r>
    </w:p>
    <w:p w14:paraId="7ED6896C">
      <w:pPr>
        <w:spacing w:before="120" w:beforeLines="50" w:after="120" w:afterLines="50" w:line="360" w:lineRule="auto"/>
        <w:jc w:val="both"/>
        <w:rPr>
          <w:rFonts w:hint="eastAsia"/>
          <w:color w:val="auto"/>
          <w:sz w:val="21"/>
          <w:szCs w:val="21"/>
          <w:highlight w:val="none"/>
          <w:lang w:eastAsia="zh-CN"/>
        </w:rPr>
      </w:pPr>
      <w:r>
        <w:rPr>
          <w:rFonts w:hint="eastAsia"/>
          <w:b/>
          <w:bCs/>
          <w:color w:val="auto"/>
          <w:sz w:val="21"/>
          <w:szCs w:val="21"/>
          <w:highlight w:val="none"/>
          <w:lang w:eastAsia="zh-CN"/>
        </w:rPr>
        <w:t xml:space="preserve">   </w:t>
      </w:r>
    </w:p>
    <w:p w14:paraId="4FA113D0">
      <w:pPr>
        <w:spacing w:line="360" w:lineRule="auto"/>
        <w:jc w:val="center"/>
        <w:rPr>
          <w:rFonts w:hint="eastAsia" w:ascii="宋体" w:hAnsi="宋体" w:cs="宋体"/>
          <w:color w:val="auto"/>
          <w:kern w:val="2"/>
          <w:sz w:val="21"/>
          <w:szCs w:val="21"/>
          <w:highlight w:val="none"/>
        </w:rPr>
      </w:pPr>
      <w:r>
        <w:rPr>
          <w:rFonts w:hint="eastAsia" w:ascii="宋体" w:hAnsi="宋体" w:eastAsia="宋体" w:cs="Times New Roman"/>
          <w:b/>
          <w:color w:val="auto"/>
          <w:kern w:val="2"/>
          <w:sz w:val="21"/>
          <w:szCs w:val="21"/>
          <w:highlight w:val="none"/>
        </w:rPr>
        <w:t>廉洁合同</w:t>
      </w:r>
    </w:p>
    <w:p w14:paraId="3E9B59AD">
      <w:pPr>
        <w:pStyle w:val="197"/>
        <w:ind w:firstLine="420" w:firstLineChars="200"/>
        <w:rPr>
          <w:rFonts w:hint="eastAsia" w:ascii="宋体" w:hAnsi="宋体" w:cs="宋体"/>
          <w:color w:val="auto"/>
          <w:kern w:val="2"/>
          <w:sz w:val="21"/>
          <w:szCs w:val="21"/>
          <w:highlight w:val="none"/>
        </w:rPr>
      </w:pPr>
    </w:p>
    <w:p w14:paraId="30ACB109">
      <w:pPr>
        <w:pStyle w:val="197"/>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(全称)：</w:t>
      </w:r>
      <w:r>
        <w:rPr>
          <w:rFonts w:hint="eastAsia" w:ascii="宋体" w:hAnsi="宋体" w:cs="宋体"/>
          <w:color w:val="auto"/>
          <w:kern w:val="2"/>
          <w:sz w:val="21"/>
          <w:szCs w:val="21"/>
          <w:highlight w:val="none"/>
          <w:u w:val="single"/>
        </w:rPr>
        <w:t>江苏省机关事务管理局</w:t>
      </w:r>
    </w:p>
    <w:p w14:paraId="538F824D">
      <w:pPr>
        <w:pStyle w:val="197"/>
        <w:rPr>
          <w:rFonts w:hint="eastAsia" w:ascii="宋体" w:hAnsi="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(全称)：</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cs="宋体"/>
          <w:color w:val="auto"/>
          <w:kern w:val="2"/>
          <w:sz w:val="21"/>
          <w:szCs w:val="21"/>
          <w:highlight w:val="none"/>
          <w:u w:val="single"/>
        </w:rPr>
        <w:t xml:space="preserve"> </w:t>
      </w:r>
    </w:p>
    <w:p w14:paraId="3CEBBD13">
      <w:pPr>
        <w:pStyle w:val="197"/>
        <w:ind w:firstLine="420" w:firstLineChars="200"/>
        <w:rPr>
          <w:rFonts w:hint="eastAsia" w:ascii="宋体" w:hAnsi="宋体" w:cs="宋体"/>
          <w:color w:val="auto"/>
          <w:kern w:val="2"/>
          <w:sz w:val="21"/>
          <w:szCs w:val="21"/>
          <w:highlight w:val="none"/>
        </w:rPr>
      </w:pPr>
    </w:p>
    <w:p w14:paraId="770E62D0">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为了在工程项目建设中保持廉洁自律的工作作风，防止各种不正当行为的发生，根据廉政建设的各项规定，结合工程项目的特点，特定立本合同如下：</w:t>
      </w:r>
    </w:p>
    <w:p w14:paraId="000446DB">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一、甲乙双方应当自觉遵守国家和所在地区关于工程承发包工作规则和廉政建设的各项规定。</w:t>
      </w:r>
    </w:p>
    <w:p w14:paraId="7A1B02CD">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二、</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及其工作人员不得以任何形式向</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索要和收受回扣等好处费。</w:t>
      </w:r>
    </w:p>
    <w:p w14:paraId="64C4C40C">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三、</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工作人员应当保持与</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的正常业务交往，不得接受</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的礼金、有价证券和贵重物品，不得在</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报销任何应由个人支付的费用。</w:t>
      </w:r>
    </w:p>
    <w:p w14:paraId="417B533A">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四、</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工作人员不得参加可能对公正执行公务有影响的宴请和娱乐活动。</w:t>
      </w:r>
    </w:p>
    <w:p w14:paraId="5AB14E0A">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五、</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工作人员不得要求或者接受</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为其住房装修、婚丧嫁娶、家属和子女的工作安排以及出国提供方便。</w:t>
      </w:r>
    </w:p>
    <w:p w14:paraId="1B4C7D87">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六、</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工作人员不得向</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介绍家属或者亲友从事与</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工程有关的材料设备供应、工程分包等经济活动。</w:t>
      </w:r>
    </w:p>
    <w:p w14:paraId="3FCC3999">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七、</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应当通过正常途径开展相对业务工作，不得为获取某些不正当利益而向</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工作人员赠送礼金、有价证券和贵重物品等。</w:t>
      </w:r>
    </w:p>
    <w:p w14:paraId="257AE2A8">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八、</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不得为谋取私利擅自与</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工作人员就工程承包、工程费用、材料设备供应、工程量变动、工程验收、工程质量问题等进行私下商谈或者达成默契。</w:t>
      </w:r>
    </w:p>
    <w:p w14:paraId="7F4E6B2F">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九、</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不得以洽谈业务、签订经济合同为借口，邀请</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工作人员外出旅游和进入营业性高档娱乐场所。</w:t>
      </w:r>
    </w:p>
    <w:p w14:paraId="09E8736C">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十、</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不得为</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单位和个人购置或者提供通讯工具、交通工具、家电、高档办公用品等物品。</w:t>
      </w:r>
    </w:p>
    <w:p w14:paraId="3EA1574B">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十一、</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如发现</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工作人员有违反上述协议者，应向</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领导或者</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上级单位举报。</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不得找任何借口对</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进行报复。</w:t>
      </w:r>
    </w:p>
    <w:p w14:paraId="4047E52D">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十二、</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发现</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有违反本协议或者采取不正当的手段行贿</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工作人员，</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根据具体情节和造成的后果追究</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合同造价1－5％的违约金。由此给</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单位造成的损失均有</w:t>
      </w:r>
      <w:r>
        <w:rPr>
          <w:rFonts w:hint="eastAsia" w:ascii="宋体" w:hAnsi="宋体" w:eastAsia="宋体" w:cs="宋体"/>
          <w:color w:val="auto"/>
          <w:kern w:val="2"/>
          <w:sz w:val="21"/>
          <w:szCs w:val="21"/>
          <w:highlight w:val="none"/>
          <w:lang w:eastAsia="zh-CN"/>
        </w:rPr>
        <w:t>代理人</w:t>
      </w:r>
      <w:r>
        <w:rPr>
          <w:rFonts w:hint="eastAsia" w:ascii="宋体" w:hAnsi="宋体" w:cs="宋体"/>
          <w:color w:val="auto"/>
          <w:kern w:val="2"/>
          <w:sz w:val="21"/>
          <w:szCs w:val="21"/>
          <w:highlight w:val="none"/>
        </w:rPr>
        <w:t>承担，</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用不正当手段获取的非法所得由</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单位予以追缴。</w:t>
      </w:r>
    </w:p>
    <w:p w14:paraId="4523E56D">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十三、本廉洁合同作为</w:t>
      </w:r>
      <w:r>
        <w:rPr>
          <w:rFonts w:hint="eastAsia" w:ascii="宋体" w:hAnsi="宋体" w:eastAsia="宋体" w:cs="宋体"/>
          <w:color w:val="auto"/>
          <w:kern w:val="2"/>
          <w:sz w:val="21"/>
          <w:szCs w:val="21"/>
          <w:highlight w:val="none"/>
          <w:u w:val="single"/>
          <w:lang w:val="en-US" w:eastAsia="zh-CN"/>
        </w:rPr>
        <w:t>江苏省老年医院改造工程</w:t>
      </w:r>
      <w:r>
        <w:rPr>
          <w:rFonts w:hint="eastAsia" w:ascii="宋体" w:hAnsi="宋体" w:cs="宋体"/>
          <w:color w:val="auto"/>
          <w:kern w:val="2"/>
          <w:sz w:val="21"/>
          <w:szCs w:val="21"/>
          <w:highlight w:val="none"/>
        </w:rPr>
        <w:t>的招标代理合同的附件，与本合同具有同等法律效力。经协议双方签署后立即生效。</w:t>
      </w:r>
    </w:p>
    <w:p w14:paraId="3B874E4B">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十四、本合同</w:t>
      </w:r>
      <w:r>
        <w:rPr>
          <w:rFonts w:hint="eastAsia" w:ascii="宋体" w:hAnsi="宋体"/>
          <w:color w:val="auto"/>
          <w:sz w:val="21"/>
          <w:szCs w:val="21"/>
          <w:highlight w:val="none"/>
          <w:u w:val="single"/>
        </w:rPr>
        <w:t>陆</w:t>
      </w:r>
      <w:r>
        <w:rPr>
          <w:rFonts w:hint="eastAsia" w:ascii="宋体" w:hAnsi="宋体" w:cs="宋体"/>
          <w:color w:val="auto"/>
          <w:kern w:val="2"/>
          <w:sz w:val="21"/>
          <w:szCs w:val="21"/>
          <w:highlight w:val="none"/>
        </w:rPr>
        <w:t>份，</w:t>
      </w:r>
      <w:r>
        <w:rPr>
          <w:rFonts w:hint="eastAsia" w:ascii="宋体" w:hAnsi="宋体" w:eastAsia="宋体" w:cs="宋体"/>
          <w:color w:val="auto"/>
          <w:kern w:val="2"/>
          <w:sz w:val="21"/>
          <w:szCs w:val="21"/>
          <w:highlight w:val="none"/>
          <w:lang w:eastAsia="zh-CN"/>
        </w:rPr>
        <w:t>委托人</w:t>
      </w:r>
      <w:r>
        <w:rPr>
          <w:rFonts w:hint="eastAsia" w:ascii="宋体" w:hAnsi="宋体" w:cs="宋体"/>
          <w:color w:val="auto"/>
          <w:kern w:val="2"/>
          <w:sz w:val="21"/>
          <w:szCs w:val="21"/>
          <w:highlight w:val="none"/>
        </w:rPr>
        <w:t>、</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各执</w:t>
      </w:r>
      <w:r>
        <w:rPr>
          <w:rFonts w:hint="eastAsia" w:ascii="宋体" w:hAnsi="宋体" w:cs="宋体"/>
          <w:color w:val="auto"/>
          <w:kern w:val="2"/>
          <w:sz w:val="21"/>
          <w:szCs w:val="21"/>
          <w:highlight w:val="none"/>
          <w:lang w:val="en-US" w:eastAsia="zh-CN"/>
        </w:rPr>
        <w:t>叁</w:t>
      </w:r>
      <w:r>
        <w:rPr>
          <w:rFonts w:hint="eastAsia" w:ascii="宋体" w:hAnsi="宋体" w:cs="宋体"/>
          <w:color w:val="auto"/>
          <w:kern w:val="2"/>
          <w:sz w:val="21"/>
          <w:szCs w:val="21"/>
          <w:highlight w:val="none"/>
        </w:rPr>
        <w:t>份。</w:t>
      </w:r>
    </w:p>
    <w:p w14:paraId="7666824D">
      <w:pPr>
        <w:pStyle w:val="197"/>
        <w:rPr>
          <w:rFonts w:hint="eastAsia" w:ascii="宋体" w:hAnsi="宋体" w:cs="宋体"/>
          <w:color w:val="auto"/>
          <w:kern w:val="2"/>
          <w:sz w:val="21"/>
          <w:szCs w:val="21"/>
          <w:highlight w:val="none"/>
        </w:rPr>
      </w:pPr>
    </w:p>
    <w:p w14:paraId="729642CD">
      <w:pPr>
        <w:pStyle w:val="197"/>
        <w:ind w:firstLine="420" w:firstLineChars="200"/>
        <w:rPr>
          <w:rFonts w:hint="eastAsia" w:ascii="宋体" w:hAnsi="宋体" w:cs="宋体"/>
          <w:color w:val="auto"/>
          <w:kern w:val="2"/>
          <w:sz w:val="21"/>
          <w:szCs w:val="21"/>
          <w:highlight w:val="none"/>
        </w:rPr>
      </w:pPr>
    </w:p>
    <w:p w14:paraId="1D1BC2E0">
      <w:pPr>
        <w:pStyle w:val="197"/>
        <w:rPr>
          <w:rFonts w:hint="eastAsia" w:ascii="宋体" w:hAnsi="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委托人</w:t>
      </w:r>
      <w:r>
        <w:rPr>
          <w:rFonts w:hint="eastAsia" w:ascii="宋体" w:hAnsi="宋体" w:cs="宋体"/>
          <w:color w:val="auto"/>
          <w:kern w:val="2"/>
          <w:sz w:val="21"/>
          <w:szCs w:val="21"/>
          <w:highlight w:val="none"/>
        </w:rPr>
        <w:t xml:space="preserve">(公章)：江苏省机关事务管理局                </w:t>
      </w:r>
      <w:r>
        <w:rPr>
          <w:rFonts w:hint="eastAsia" w:ascii="宋体" w:hAnsi="宋体" w:eastAsia="宋体" w:cs="宋体"/>
          <w:color w:val="auto"/>
          <w:kern w:val="2"/>
          <w:sz w:val="21"/>
          <w:szCs w:val="21"/>
          <w:highlight w:val="none"/>
          <w:lang w:eastAsia="zh-CN"/>
        </w:rPr>
        <w:t>咨询人</w:t>
      </w:r>
      <w:r>
        <w:rPr>
          <w:rFonts w:hint="eastAsia" w:ascii="宋体" w:hAnsi="宋体" w:cs="宋体"/>
          <w:color w:val="auto"/>
          <w:kern w:val="2"/>
          <w:sz w:val="21"/>
          <w:szCs w:val="21"/>
          <w:highlight w:val="none"/>
        </w:rPr>
        <w:t xml:space="preserve">(公章)： </w:t>
      </w:r>
    </w:p>
    <w:p w14:paraId="32DCAC94">
      <w:pPr>
        <w:pStyle w:val="197"/>
        <w:ind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 xml:space="preserve">              </w:t>
      </w:r>
    </w:p>
    <w:p w14:paraId="18C4BD9B">
      <w:pPr>
        <w:pStyle w:val="197"/>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法定代表人                                        法定代表人</w:t>
      </w:r>
    </w:p>
    <w:p w14:paraId="3D8735BB">
      <w:pPr>
        <w:pStyle w:val="197"/>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或委托代理人(签字)：                              或委托代理人(签字)：</w:t>
      </w:r>
    </w:p>
    <w:p w14:paraId="3B3F6A58">
      <w:pPr>
        <w:pStyle w:val="197"/>
        <w:ind w:firstLine="420" w:firstLineChars="200"/>
        <w:rPr>
          <w:rFonts w:hint="eastAsia" w:ascii="宋体" w:hAnsi="宋体" w:cs="宋体"/>
          <w:color w:val="auto"/>
          <w:kern w:val="2"/>
          <w:sz w:val="21"/>
          <w:szCs w:val="21"/>
          <w:highlight w:val="none"/>
        </w:rPr>
      </w:pPr>
    </w:p>
    <w:p w14:paraId="1A353B69">
      <w:pPr>
        <w:spacing w:before="120" w:beforeLines="50" w:after="120" w:afterLines="50" w:line="360" w:lineRule="auto"/>
        <w:jc w:val="both"/>
        <w:rPr>
          <w:rFonts w:hint="eastAsia"/>
          <w:color w:val="auto"/>
          <w:sz w:val="21"/>
          <w:szCs w:val="21"/>
          <w:highlight w:val="none"/>
          <w:lang w:eastAsia="zh-CN"/>
        </w:rPr>
      </w:pPr>
      <w:r>
        <w:rPr>
          <w:rFonts w:hint="eastAsia" w:ascii="宋体" w:hAnsi="宋体" w:cs="宋体"/>
          <w:color w:val="auto"/>
          <w:kern w:val="2"/>
          <w:sz w:val="21"/>
          <w:szCs w:val="21"/>
          <w:highlight w:val="none"/>
        </w:rPr>
        <w:t>签订日期：202</w:t>
      </w:r>
      <w:r>
        <w:rPr>
          <w:rFonts w:hint="eastAsia" w:ascii="宋体" w:hAnsi="宋体" w:cs="宋体"/>
          <w:color w:val="auto"/>
          <w:kern w:val="2"/>
          <w:sz w:val="21"/>
          <w:szCs w:val="21"/>
          <w:highlight w:val="none"/>
          <w:lang w:val="en-US" w:eastAsia="zh-CN"/>
        </w:rPr>
        <w:t>6</w:t>
      </w:r>
      <w:r>
        <w:rPr>
          <w:rFonts w:hint="eastAsia" w:ascii="宋体" w:hAnsi="宋体" w:cs="宋体"/>
          <w:color w:val="auto"/>
          <w:kern w:val="2"/>
          <w:sz w:val="21"/>
          <w:szCs w:val="21"/>
          <w:highlight w:val="none"/>
        </w:rPr>
        <w:t>年      月      日                  签订日期：202</w:t>
      </w:r>
      <w:r>
        <w:rPr>
          <w:rFonts w:hint="eastAsia" w:ascii="宋体" w:hAnsi="宋体" w:cs="宋体"/>
          <w:color w:val="auto"/>
          <w:kern w:val="2"/>
          <w:sz w:val="21"/>
          <w:szCs w:val="21"/>
          <w:highlight w:val="none"/>
          <w:lang w:val="en-US" w:eastAsia="zh-CN"/>
        </w:rPr>
        <w:t>6</w:t>
      </w:r>
      <w:r>
        <w:rPr>
          <w:rFonts w:hint="eastAsia" w:ascii="宋体" w:hAnsi="宋体" w:cs="宋体"/>
          <w:color w:val="auto"/>
          <w:kern w:val="2"/>
          <w:sz w:val="21"/>
          <w:szCs w:val="21"/>
          <w:highlight w:val="none"/>
        </w:rPr>
        <w:t>年      月      日</w:t>
      </w:r>
    </w:p>
    <w:p w14:paraId="59E4F35C">
      <w:pPr>
        <w:spacing w:before="120" w:beforeLines="50" w:after="120" w:afterLines="50" w:line="360" w:lineRule="auto"/>
        <w:jc w:val="both"/>
        <w:rPr>
          <w:rFonts w:hint="eastAsia"/>
          <w:color w:val="auto"/>
          <w:sz w:val="21"/>
          <w:szCs w:val="21"/>
          <w:highlight w:val="none"/>
          <w:lang w:eastAsia="zh-CN"/>
        </w:rPr>
        <w:sectPr>
          <w:footerReference r:id="rId6" w:type="default"/>
          <w:pgSz w:w="11907" w:h="16839"/>
          <w:pgMar w:top="2098" w:right="1531" w:bottom="1417" w:left="1531" w:header="0" w:footer="1162" w:gutter="0"/>
          <w:cols w:space="720" w:num="1"/>
        </w:sectPr>
      </w:pPr>
    </w:p>
    <w:p w14:paraId="47141054">
      <w:pPr>
        <w:pStyle w:val="211"/>
        <w:keepNext w:val="0"/>
        <w:keepLines w:val="0"/>
        <w:pageBreakBefore w:val="0"/>
        <w:widowControl w:val="0"/>
        <w:kinsoku/>
        <w:wordWrap/>
        <w:overflowPunct/>
        <w:topLinePunct w:val="0"/>
        <w:autoSpaceDE/>
        <w:autoSpaceDN/>
        <w:bidi w:val="0"/>
        <w:adjustRightInd/>
        <w:snapToGrid/>
        <w:spacing w:line="240" w:lineRule="atLeast"/>
        <w:ind w:left="0" w:leftChars="0" w:firstLine="0" w:firstLineChars="0"/>
        <w:jc w:val="center"/>
        <w:textAlignment w:val="auto"/>
        <w:outlineLvl w:val="0"/>
        <w:rPr>
          <w:rFonts w:hint="eastAsia" w:ascii="方正小标宋_GBK" w:hAnsi="方正小标宋_GBK" w:eastAsia="方正小标宋_GBK" w:cs="方正小标宋_GBK"/>
          <w:b w:val="0"/>
          <w:bCs w:val="0"/>
          <w:color w:val="auto"/>
          <w:sz w:val="36"/>
          <w:szCs w:val="36"/>
          <w:highlight w:val="none"/>
          <w:lang w:val="zh-CN"/>
        </w:rPr>
      </w:pPr>
      <w:bookmarkStart w:id="62" w:name="_Toc22380"/>
      <w:r>
        <w:rPr>
          <w:rFonts w:hint="eastAsia" w:ascii="方正小标宋_GBK" w:hAnsi="方正小标宋_GBK" w:eastAsia="方正小标宋_GBK" w:cs="方正小标宋_GBK"/>
          <w:b w:val="0"/>
          <w:bCs w:val="0"/>
          <w:color w:val="auto"/>
          <w:sz w:val="36"/>
          <w:szCs w:val="36"/>
          <w:highlight w:val="none"/>
        </w:rPr>
        <w:t>第六章 竞争性磋商响应文件格式及附件</w:t>
      </w:r>
      <w:bookmarkEnd w:id="62"/>
    </w:p>
    <w:p w14:paraId="40B14A5B">
      <w:pPr>
        <w:jc w:val="center"/>
        <w:rPr>
          <w:rFonts w:ascii="宋体" w:hAnsi="宋体"/>
          <w:b/>
          <w:color w:val="auto"/>
          <w:sz w:val="72"/>
          <w:highlight w:val="none"/>
        </w:rPr>
      </w:pPr>
    </w:p>
    <w:p w14:paraId="5AA7F1AB">
      <w:pPr>
        <w:jc w:val="center"/>
        <w:rPr>
          <w:rFonts w:hint="eastAsia" w:ascii="方正小标宋_GBK" w:hAnsi="方正小标宋_GBK" w:eastAsia="方正小标宋_GBK" w:cs="方正小标宋_GBK"/>
          <w:b w:val="0"/>
          <w:bCs/>
          <w:color w:val="auto"/>
          <w:sz w:val="72"/>
          <w:highlight w:val="none"/>
        </w:rPr>
      </w:pPr>
      <w:r>
        <w:rPr>
          <w:rFonts w:hint="eastAsia" w:ascii="方正小标宋_GBK" w:hAnsi="方正小标宋_GBK" w:eastAsia="方正小标宋_GBK" w:cs="方正小标宋_GBK"/>
          <w:b w:val="0"/>
          <w:bCs/>
          <w:color w:val="auto"/>
          <w:sz w:val="72"/>
          <w:highlight w:val="none"/>
        </w:rPr>
        <w:t>竞争性磋商响应文件</w:t>
      </w:r>
    </w:p>
    <w:p w14:paraId="1A9C69B1">
      <w:pPr>
        <w:ind w:firstLine="3611" w:firstLineChars="1026"/>
        <w:rPr>
          <w:rFonts w:ascii="宋体" w:hAnsi="宋体"/>
          <w:b/>
          <w:color w:val="auto"/>
          <w:sz w:val="36"/>
          <w:highlight w:val="none"/>
        </w:rPr>
      </w:pPr>
    </w:p>
    <w:p w14:paraId="4104FED9">
      <w:pPr>
        <w:jc w:val="center"/>
        <w:rPr>
          <w:rFonts w:ascii="宋体" w:hAnsi="宋体"/>
          <w:b/>
          <w:color w:val="auto"/>
          <w:sz w:val="72"/>
          <w:highlight w:val="none"/>
        </w:rPr>
      </w:pPr>
    </w:p>
    <w:p w14:paraId="4CC9CB27">
      <w:pPr>
        <w:jc w:val="center"/>
        <w:rPr>
          <w:rFonts w:ascii="宋体" w:hAnsi="宋体"/>
          <w:b/>
          <w:color w:val="auto"/>
          <w:sz w:val="36"/>
          <w:highlight w:val="none"/>
        </w:rPr>
      </w:pPr>
    </w:p>
    <w:p w14:paraId="036A2FDF">
      <w:pPr>
        <w:jc w:val="center"/>
        <w:rPr>
          <w:rFonts w:ascii="宋体" w:hAnsi="宋体"/>
          <w:b/>
          <w:color w:val="auto"/>
          <w:sz w:val="36"/>
          <w:highlight w:val="none"/>
        </w:rPr>
      </w:pPr>
    </w:p>
    <w:p w14:paraId="1CD2BC62">
      <w:pPr>
        <w:pStyle w:val="25"/>
        <w:ind w:left="1470" w:right="1470"/>
        <w:rPr>
          <w:color w:val="auto"/>
          <w:highlight w:val="none"/>
        </w:rPr>
      </w:pPr>
    </w:p>
    <w:p w14:paraId="6D338DF7">
      <w:pPr>
        <w:ind w:firstLine="2112" w:firstLineChars="600"/>
        <w:jc w:val="left"/>
        <w:rPr>
          <w:rFonts w:hint="eastAsia" w:ascii="华文仿宋" w:hAnsi="华文仿宋" w:eastAsia="华文仿宋" w:cs="华文仿宋"/>
          <w:b/>
          <w:color w:val="auto"/>
          <w:sz w:val="36"/>
          <w:highlight w:val="none"/>
        </w:rPr>
      </w:pPr>
      <w:r>
        <w:rPr>
          <w:rFonts w:hint="eastAsia" w:ascii="华文仿宋" w:hAnsi="华文仿宋" w:eastAsia="华文仿宋" w:cs="华文仿宋"/>
          <w:b/>
          <w:color w:val="auto"/>
          <w:sz w:val="36"/>
          <w:highlight w:val="none"/>
        </w:rPr>
        <w:t xml:space="preserve">项 目 编号： </w:t>
      </w:r>
      <w:r>
        <w:rPr>
          <w:rFonts w:hint="eastAsia" w:ascii="华文仿宋" w:hAnsi="华文仿宋" w:eastAsia="华文仿宋" w:cs="华文仿宋"/>
          <w:b/>
          <w:color w:val="auto"/>
          <w:sz w:val="36"/>
          <w:highlight w:val="none"/>
          <w:u w:val="single"/>
        </w:rPr>
        <w:t xml:space="preserve">               </w:t>
      </w:r>
    </w:p>
    <w:p w14:paraId="41887E46">
      <w:pPr>
        <w:ind w:firstLine="2112" w:firstLineChars="600"/>
        <w:jc w:val="left"/>
        <w:rPr>
          <w:rFonts w:hint="eastAsia" w:ascii="华文仿宋" w:hAnsi="华文仿宋" w:eastAsia="华文仿宋" w:cs="华文仿宋"/>
          <w:b/>
          <w:color w:val="auto"/>
          <w:sz w:val="36"/>
          <w:highlight w:val="none"/>
          <w:u w:val="single"/>
        </w:rPr>
      </w:pPr>
      <w:r>
        <w:rPr>
          <w:rFonts w:hint="eastAsia" w:ascii="华文仿宋" w:hAnsi="华文仿宋" w:eastAsia="华文仿宋" w:cs="华文仿宋"/>
          <w:b/>
          <w:color w:val="auto"/>
          <w:sz w:val="36"/>
          <w:highlight w:val="none"/>
        </w:rPr>
        <w:t xml:space="preserve">项 目 名称： </w:t>
      </w:r>
      <w:r>
        <w:rPr>
          <w:rFonts w:hint="eastAsia" w:ascii="华文仿宋" w:hAnsi="华文仿宋" w:eastAsia="华文仿宋" w:cs="华文仿宋"/>
          <w:b/>
          <w:color w:val="auto"/>
          <w:sz w:val="36"/>
          <w:highlight w:val="none"/>
          <w:u w:val="single"/>
        </w:rPr>
        <w:t xml:space="preserve">               </w:t>
      </w:r>
    </w:p>
    <w:p w14:paraId="638BE6EA">
      <w:pPr>
        <w:jc w:val="left"/>
        <w:rPr>
          <w:rFonts w:ascii="宋体" w:hAnsi="宋体"/>
          <w:b/>
          <w:color w:val="auto"/>
          <w:sz w:val="36"/>
          <w:highlight w:val="none"/>
        </w:rPr>
      </w:pPr>
    </w:p>
    <w:p w14:paraId="054BD1B4">
      <w:pPr>
        <w:jc w:val="left"/>
        <w:rPr>
          <w:rFonts w:ascii="宋体" w:hAnsi="宋体"/>
          <w:b/>
          <w:color w:val="auto"/>
          <w:sz w:val="36"/>
          <w:highlight w:val="none"/>
        </w:rPr>
      </w:pPr>
    </w:p>
    <w:p w14:paraId="46AB29EA">
      <w:pPr>
        <w:jc w:val="left"/>
        <w:rPr>
          <w:rFonts w:ascii="宋体" w:hAnsi="宋体"/>
          <w:b/>
          <w:color w:val="auto"/>
          <w:sz w:val="36"/>
          <w:highlight w:val="none"/>
        </w:rPr>
      </w:pPr>
    </w:p>
    <w:p w14:paraId="745C90BF">
      <w:pPr>
        <w:jc w:val="left"/>
        <w:rPr>
          <w:rFonts w:ascii="宋体" w:hAnsi="宋体"/>
          <w:b/>
          <w:color w:val="auto"/>
          <w:sz w:val="36"/>
          <w:highlight w:val="none"/>
        </w:rPr>
      </w:pPr>
    </w:p>
    <w:p w14:paraId="50243822">
      <w:pPr>
        <w:jc w:val="left"/>
        <w:rPr>
          <w:rFonts w:ascii="宋体" w:hAnsi="宋体"/>
          <w:b/>
          <w:color w:val="auto"/>
          <w:sz w:val="36"/>
          <w:highlight w:val="none"/>
        </w:rPr>
      </w:pPr>
    </w:p>
    <w:p w14:paraId="13A60C40">
      <w:pPr>
        <w:ind w:firstLine="2112" w:firstLineChars="600"/>
        <w:jc w:val="left"/>
        <w:rPr>
          <w:rFonts w:hint="eastAsia" w:ascii="华文仿宋" w:hAnsi="华文仿宋" w:eastAsia="华文仿宋" w:cs="华文仿宋"/>
          <w:b/>
          <w:color w:val="auto"/>
          <w:sz w:val="36"/>
          <w:highlight w:val="none"/>
          <w:u w:val="single"/>
        </w:rPr>
      </w:pPr>
      <w:r>
        <w:rPr>
          <w:rFonts w:hint="eastAsia" w:ascii="华文仿宋" w:hAnsi="华文仿宋" w:eastAsia="华文仿宋" w:cs="华文仿宋"/>
          <w:b/>
          <w:color w:val="auto"/>
          <w:sz w:val="36"/>
          <w:highlight w:val="none"/>
        </w:rPr>
        <w:t>供应商名称 ：</w:t>
      </w:r>
      <w:r>
        <w:rPr>
          <w:rFonts w:hint="eastAsia" w:ascii="华文仿宋" w:hAnsi="华文仿宋" w:eastAsia="华文仿宋" w:cs="华文仿宋"/>
          <w:b/>
          <w:color w:val="auto"/>
          <w:sz w:val="36"/>
          <w:highlight w:val="none"/>
          <w:u w:val="single"/>
        </w:rPr>
        <w:t xml:space="preserve">               </w:t>
      </w:r>
    </w:p>
    <w:p w14:paraId="50484291">
      <w:pPr>
        <w:ind w:firstLine="2112" w:firstLineChars="600"/>
        <w:jc w:val="left"/>
        <w:rPr>
          <w:rFonts w:hint="eastAsia" w:ascii="华文仿宋" w:hAnsi="华文仿宋" w:eastAsia="华文仿宋" w:cs="华文仿宋"/>
          <w:b/>
          <w:color w:val="auto"/>
          <w:sz w:val="36"/>
          <w:highlight w:val="none"/>
        </w:rPr>
      </w:pPr>
      <w:r>
        <w:rPr>
          <w:rFonts w:hint="eastAsia" w:ascii="华文仿宋" w:hAnsi="华文仿宋" w:eastAsia="华文仿宋" w:cs="华文仿宋"/>
          <w:b/>
          <w:color w:val="auto"/>
          <w:sz w:val="36"/>
          <w:highlight w:val="none"/>
        </w:rPr>
        <w:t>日      期 ：</w:t>
      </w:r>
      <w:r>
        <w:rPr>
          <w:rFonts w:hint="eastAsia" w:ascii="华文仿宋" w:hAnsi="华文仿宋" w:eastAsia="华文仿宋" w:cs="华文仿宋"/>
          <w:b/>
          <w:color w:val="auto"/>
          <w:sz w:val="36"/>
          <w:highlight w:val="none"/>
          <w:u w:val="single"/>
        </w:rPr>
        <w:t xml:space="preserve">               </w:t>
      </w:r>
    </w:p>
    <w:p w14:paraId="48DF3729">
      <w:pPr>
        <w:jc w:val="center"/>
        <w:rPr>
          <w:rFonts w:hint="eastAsia" w:ascii="宋体" w:hAnsi="宋体" w:cs="宋体"/>
          <w:b/>
          <w:bCs/>
          <w:color w:val="auto"/>
          <w:sz w:val="32"/>
          <w:szCs w:val="32"/>
          <w:highlight w:val="none"/>
        </w:rPr>
      </w:pPr>
      <w:bookmarkStart w:id="63" w:name="_Toc489655320"/>
      <w:bookmarkStart w:id="64" w:name="_Toc508699424"/>
      <w:r>
        <w:rPr>
          <w:rFonts w:hint="eastAsia" w:ascii="宋体" w:hAnsi="宋体" w:cs="宋体"/>
          <w:b/>
          <w:bCs/>
          <w:color w:val="auto"/>
          <w:sz w:val="32"/>
          <w:szCs w:val="32"/>
          <w:highlight w:val="none"/>
        </w:rPr>
        <w:br w:type="page"/>
      </w:r>
    </w:p>
    <w:p w14:paraId="5BEF4A11">
      <w:pPr>
        <w:jc w:val="center"/>
        <w:rPr>
          <w:rFonts w:hint="eastAsia" w:ascii="方正黑体_GBK" w:hAnsi="方正黑体_GBK" w:eastAsia="方正黑体_GBK" w:cs="方正黑体_GBK"/>
          <w:b w:val="0"/>
          <w:bCs w:val="0"/>
          <w:color w:val="auto"/>
          <w:sz w:val="32"/>
          <w:szCs w:val="32"/>
          <w:highlight w:val="none"/>
        </w:rPr>
      </w:pPr>
      <w:r>
        <w:rPr>
          <w:rFonts w:hint="eastAsia" w:ascii="方正黑体_GBK" w:hAnsi="方正黑体_GBK" w:eastAsia="方正黑体_GBK" w:cs="方正黑体_GBK"/>
          <w:b w:val="0"/>
          <w:bCs w:val="0"/>
          <w:color w:val="auto"/>
          <w:sz w:val="32"/>
          <w:szCs w:val="32"/>
          <w:highlight w:val="none"/>
        </w:rPr>
        <w:t>磋商文件主要目录</w:t>
      </w:r>
      <w:bookmarkEnd w:id="63"/>
      <w:r>
        <w:rPr>
          <w:rFonts w:hint="eastAsia" w:ascii="方正黑体_GBK" w:hAnsi="方正黑体_GBK" w:eastAsia="方正黑体_GBK" w:cs="方正黑体_GBK"/>
          <w:b w:val="0"/>
          <w:bCs w:val="0"/>
          <w:color w:val="auto"/>
          <w:sz w:val="32"/>
          <w:szCs w:val="32"/>
          <w:highlight w:val="none"/>
        </w:rPr>
        <w:t>及相关证明材料格式、附件</w:t>
      </w:r>
      <w:bookmarkEnd w:id="64"/>
    </w:p>
    <w:p w14:paraId="2C549F1E">
      <w:pPr>
        <w:keepNext w:val="0"/>
        <w:keepLines w:val="0"/>
        <w:pageBreakBefore w:val="0"/>
        <w:widowControl w:val="0"/>
        <w:kinsoku/>
        <w:wordWrap/>
        <w:overflowPunct/>
        <w:topLinePunct w:val="0"/>
        <w:autoSpaceDE/>
        <w:autoSpaceDN/>
        <w:bidi w:val="0"/>
        <w:adjustRightInd/>
        <w:snapToGrid/>
        <w:spacing w:line="560" w:lineRule="exact"/>
        <w:ind w:left="0"/>
        <w:jc w:val="left"/>
        <w:textAlignment w:val="auto"/>
        <w:rPr>
          <w:rFonts w:hint="eastAsia" w:ascii="宋体" w:hAnsi="宋体" w:cs="宋体"/>
          <w:color w:val="auto"/>
          <w:sz w:val="28"/>
          <w:szCs w:val="28"/>
          <w:highlight w:val="none"/>
        </w:rPr>
      </w:pPr>
    </w:p>
    <w:p w14:paraId="28A2688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lang w:eastAsia="zh-CN"/>
        </w:rPr>
        <w:t>一、</w:t>
      </w:r>
      <w:r>
        <w:rPr>
          <w:rFonts w:hint="eastAsia" w:ascii="华文仿宋" w:hAnsi="华文仿宋" w:eastAsia="华文仿宋" w:cs="华文仿宋"/>
          <w:color w:val="auto"/>
          <w:sz w:val="30"/>
          <w:szCs w:val="30"/>
          <w:highlight w:val="none"/>
        </w:rPr>
        <w:t>磋商申请及声明</w:t>
      </w:r>
    </w:p>
    <w:p w14:paraId="63734F3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eastAsia="zh-CN"/>
        </w:rPr>
        <w:t>二、法定代表人授权书</w:t>
      </w:r>
    </w:p>
    <w:p w14:paraId="4536C66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eastAsia="zh-CN"/>
        </w:rPr>
        <w:t>三、磋商报价表</w:t>
      </w:r>
    </w:p>
    <w:p w14:paraId="11A9C12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eastAsia="zh-CN"/>
        </w:rPr>
        <w:t>四、资格证明文件</w:t>
      </w:r>
    </w:p>
    <w:p w14:paraId="201F06C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val="zh-CN" w:eastAsia="zh-CN"/>
        </w:rPr>
      </w:pPr>
      <w:r>
        <w:rPr>
          <w:rFonts w:hint="eastAsia" w:ascii="华文仿宋" w:hAnsi="华文仿宋" w:eastAsia="华文仿宋" w:cs="华文仿宋"/>
          <w:color w:val="auto"/>
          <w:sz w:val="30"/>
          <w:szCs w:val="30"/>
          <w:highlight w:val="none"/>
          <w:lang w:val="zh-CN" w:eastAsia="zh-CN"/>
        </w:rPr>
        <w:t>五、供应商类似业绩情况表</w:t>
      </w:r>
    </w:p>
    <w:p w14:paraId="4203D88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en-US" w:eastAsia="zh-CN"/>
        </w:rPr>
        <w:t>六</w:t>
      </w:r>
      <w:r>
        <w:rPr>
          <w:rFonts w:hint="eastAsia" w:ascii="华文仿宋" w:hAnsi="华文仿宋" w:eastAsia="华文仿宋" w:cs="华文仿宋"/>
          <w:color w:val="auto"/>
          <w:sz w:val="30"/>
          <w:szCs w:val="30"/>
          <w:highlight w:val="none"/>
          <w:lang w:eastAsia="zh-CN"/>
        </w:rPr>
        <w:t>、项目组</w:t>
      </w:r>
      <w:r>
        <w:rPr>
          <w:rFonts w:hint="eastAsia" w:ascii="华文仿宋" w:hAnsi="华文仿宋" w:eastAsia="华文仿宋" w:cs="华文仿宋"/>
          <w:color w:val="auto"/>
          <w:sz w:val="30"/>
          <w:szCs w:val="30"/>
          <w:highlight w:val="none"/>
          <w:lang w:val="en-US" w:eastAsia="zh-CN"/>
        </w:rPr>
        <w:t>成</w:t>
      </w:r>
      <w:r>
        <w:rPr>
          <w:rFonts w:hint="eastAsia" w:ascii="华文仿宋" w:hAnsi="华文仿宋" w:eastAsia="华文仿宋" w:cs="华文仿宋"/>
          <w:color w:val="auto"/>
          <w:sz w:val="30"/>
          <w:szCs w:val="30"/>
          <w:highlight w:val="none"/>
          <w:lang w:eastAsia="zh-CN"/>
        </w:rPr>
        <w:t>人员一览表</w:t>
      </w:r>
    </w:p>
    <w:p w14:paraId="5E23CA0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en-US" w:eastAsia="zh-CN"/>
        </w:rPr>
        <w:t>七</w:t>
      </w:r>
      <w:r>
        <w:rPr>
          <w:rFonts w:hint="eastAsia" w:ascii="华文仿宋" w:hAnsi="华文仿宋" w:eastAsia="华文仿宋" w:cs="华文仿宋"/>
          <w:color w:val="auto"/>
          <w:sz w:val="30"/>
          <w:szCs w:val="30"/>
          <w:highlight w:val="none"/>
          <w:lang w:eastAsia="zh-CN"/>
        </w:rPr>
        <w:t>、采购需求条款偏离表</w:t>
      </w:r>
    </w:p>
    <w:p w14:paraId="0ADE3C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en-US" w:eastAsia="zh-CN"/>
        </w:rPr>
        <w:t>八</w:t>
      </w:r>
      <w:r>
        <w:rPr>
          <w:rFonts w:hint="eastAsia" w:ascii="华文仿宋" w:hAnsi="华文仿宋" w:eastAsia="华文仿宋" w:cs="华文仿宋"/>
          <w:color w:val="auto"/>
          <w:sz w:val="30"/>
          <w:szCs w:val="30"/>
          <w:highlight w:val="none"/>
          <w:lang w:eastAsia="zh-CN"/>
        </w:rPr>
        <w:t>、商务条款偏离表</w:t>
      </w:r>
    </w:p>
    <w:p w14:paraId="4C1F7A3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en-US" w:eastAsia="zh-CN"/>
        </w:rPr>
        <w:t>九</w:t>
      </w:r>
      <w:r>
        <w:rPr>
          <w:rFonts w:hint="eastAsia" w:ascii="华文仿宋" w:hAnsi="华文仿宋" w:eastAsia="华文仿宋" w:cs="华文仿宋"/>
          <w:color w:val="auto"/>
          <w:sz w:val="30"/>
          <w:szCs w:val="30"/>
          <w:highlight w:val="none"/>
          <w:lang w:eastAsia="zh-CN"/>
        </w:rPr>
        <w:t>、项目服务方案或服务说明</w:t>
      </w:r>
    </w:p>
    <w:p w14:paraId="4F5E962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en-US" w:eastAsia="zh-CN"/>
        </w:rPr>
        <w:t>十、</w:t>
      </w:r>
      <w:r>
        <w:rPr>
          <w:rFonts w:hint="eastAsia" w:ascii="华文仿宋" w:hAnsi="华文仿宋" w:eastAsia="华文仿宋" w:cs="华文仿宋"/>
          <w:color w:val="auto"/>
          <w:sz w:val="30"/>
          <w:szCs w:val="30"/>
          <w:highlight w:val="none"/>
          <w:lang w:eastAsia="zh-CN"/>
        </w:rPr>
        <w:t>磋商需要的其他证明文件及材料（若有)</w:t>
      </w:r>
    </w:p>
    <w:p w14:paraId="19FC4C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eastAsia="zh-CN"/>
        </w:rPr>
        <w:t>附件一、中小企业声明函格式</w:t>
      </w:r>
    </w:p>
    <w:p w14:paraId="60B8A40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eastAsia="zh-CN"/>
        </w:rPr>
        <w:t>附件二、残疾人福利性单位声明函</w:t>
      </w:r>
    </w:p>
    <w:p w14:paraId="2D6FAE5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eastAsia="zh-CN"/>
        </w:rPr>
        <w:t>附件三、属于监狱企业的证明文件格式</w:t>
      </w:r>
    </w:p>
    <w:p w14:paraId="616CAEA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30" w:firstLineChars="147"/>
        <w:jc w:val="left"/>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eastAsia="zh-CN"/>
        </w:rPr>
        <w:t>附件四、无重大违法记录声明格式</w:t>
      </w:r>
    </w:p>
    <w:p w14:paraId="32A572C8">
      <w:pPr>
        <w:spacing w:line="560" w:lineRule="exact"/>
        <w:ind w:left="0" w:firstLine="430" w:firstLineChars="147"/>
        <w:jc w:val="lef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eastAsia="zh-CN"/>
        </w:rPr>
        <w:t>附件五、具备履行合同所必需的设备和专业技术能力的声明格式及证明材料</w:t>
      </w:r>
    </w:p>
    <w:p w14:paraId="2EF321EC">
      <w:pPr>
        <w:spacing w:line="560" w:lineRule="exact"/>
        <w:ind w:left="0" w:firstLine="430" w:firstLineChars="147"/>
        <w:jc w:val="lef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kern w:val="2"/>
          <w:sz w:val="30"/>
          <w:szCs w:val="30"/>
          <w:highlight w:val="none"/>
          <w:lang w:val="en-US" w:eastAsia="zh-CN" w:bidi="ar-SA"/>
        </w:rPr>
        <w:t>附件六 、承诺书</w:t>
      </w:r>
    </w:p>
    <w:p w14:paraId="30E4B631">
      <w:pPr>
        <w:autoSpaceDE w:val="0"/>
        <w:autoSpaceDN w:val="0"/>
        <w:adjustRightInd w:val="0"/>
        <w:spacing w:line="240" w:lineRule="atLeast"/>
        <w:rPr>
          <w:rFonts w:hint="eastAsia" w:ascii="宋体" w:hAnsi="宋体" w:cs="宋体"/>
          <w:b/>
          <w:color w:val="auto"/>
          <w:szCs w:val="21"/>
          <w:highlight w:val="none"/>
          <w:lang w:val="zh-CN"/>
        </w:rPr>
      </w:pPr>
    </w:p>
    <w:p w14:paraId="53E808A2">
      <w:pPr>
        <w:autoSpaceDE w:val="0"/>
        <w:autoSpaceDN w:val="0"/>
        <w:adjustRightInd w:val="0"/>
        <w:spacing w:line="240" w:lineRule="atLeast"/>
        <w:rPr>
          <w:rFonts w:hint="eastAsia" w:ascii="宋体" w:hAnsi="宋体" w:cs="宋体"/>
          <w:b/>
          <w:color w:val="auto"/>
          <w:szCs w:val="21"/>
          <w:highlight w:val="none"/>
          <w:lang w:val="zh-CN"/>
        </w:rPr>
      </w:pPr>
    </w:p>
    <w:p w14:paraId="7FEFFA83">
      <w:pPr>
        <w:autoSpaceDE w:val="0"/>
        <w:autoSpaceDN w:val="0"/>
        <w:adjustRightInd w:val="0"/>
        <w:spacing w:line="240" w:lineRule="atLeast"/>
        <w:rPr>
          <w:rFonts w:hint="eastAsia" w:ascii="宋体" w:hAnsi="宋体" w:cs="宋体"/>
          <w:b/>
          <w:color w:val="auto"/>
          <w:szCs w:val="21"/>
          <w:highlight w:val="none"/>
          <w:lang w:val="zh-CN"/>
        </w:rPr>
      </w:pPr>
    </w:p>
    <w:p w14:paraId="1726E63B">
      <w:pPr>
        <w:autoSpaceDE w:val="0"/>
        <w:autoSpaceDN w:val="0"/>
        <w:adjustRightInd w:val="0"/>
        <w:spacing w:line="360" w:lineRule="auto"/>
        <w:rPr>
          <w:rFonts w:hint="eastAsia" w:ascii="方正黑体_GBK" w:hAnsi="方正黑体_GBK" w:eastAsia="方正黑体_GBK" w:cs="方正黑体_GBK"/>
          <w:b w:val="0"/>
          <w:bCs w:val="0"/>
          <w:color w:val="auto"/>
          <w:sz w:val="30"/>
          <w:szCs w:val="30"/>
          <w:highlight w:val="none"/>
          <w:lang w:val="zh-CN"/>
        </w:rPr>
      </w:pPr>
    </w:p>
    <w:p w14:paraId="4F6FEC65">
      <w:pPr>
        <w:pageBreakBefore/>
        <w:autoSpaceDE w:val="0"/>
        <w:autoSpaceDN w:val="0"/>
        <w:adjustRightInd w:val="0"/>
        <w:spacing w:line="360" w:lineRule="auto"/>
        <w:rPr>
          <w:rFonts w:hint="eastAsia" w:ascii="华文仿宋" w:hAnsi="华文仿宋" w:eastAsia="华文仿宋" w:cs="华文仿宋"/>
          <w:b w:val="0"/>
          <w:bCs w:val="0"/>
          <w:color w:val="auto"/>
          <w:sz w:val="30"/>
          <w:szCs w:val="30"/>
          <w:highlight w:val="none"/>
          <w:lang w:val="zh-CN"/>
        </w:rPr>
      </w:pPr>
      <w:r>
        <w:rPr>
          <w:rFonts w:hint="eastAsia" w:ascii="方正黑体_GBK" w:hAnsi="方正黑体_GBK" w:eastAsia="方正黑体_GBK" w:cs="方正黑体_GBK"/>
          <w:b w:val="0"/>
          <w:bCs w:val="0"/>
          <w:color w:val="auto"/>
          <w:sz w:val="30"/>
          <w:szCs w:val="30"/>
          <w:highlight w:val="none"/>
          <w:lang w:val="zh-CN"/>
        </w:rPr>
        <w:t>目录一：磋商申请及声明</w:t>
      </w:r>
    </w:p>
    <w:p w14:paraId="08761A82">
      <w:pPr>
        <w:spacing w:line="360" w:lineRule="auto"/>
        <w:jc w:val="center"/>
        <w:rPr>
          <w:rFonts w:hint="eastAsia" w:ascii="宋体" w:hAnsi="宋体" w:cs="宋体"/>
          <w:b/>
          <w:bCs/>
          <w:color w:val="auto"/>
          <w:sz w:val="30"/>
          <w:szCs w:val="30"/>
          <w:highlight w:val="none"/>
        </w:rPr>
      </w:pPr>
    </w:p>
    <w:p w14:paraId="1557959C">
      <w:pPr>
        <w:spacing w:line="360" w:lineRule="auto"/>
        <w:jc w:val="center"/>
        <w:rPr>
          <w:rFonts w:hint="eastAsia" w:ascii="方正黑体_GBK" w:hAnsi="方正黑体_GBK" w:eastAsia="方正黑体_GBK" w:cs="方正黑体_GBK"/>
          <w:b w:val="0"/>
          <w:bCs w:val="0"/>
          <w:color w:val="auto"/>
          <w:sz w:val="36"/>
          <w:szCs w:val="36"/>
          <w:highlight w:val="none"/>
        </w:rPr>
      </w:pPr>
      <w:r>
        <w:rPr>
          <w:rFonts w:hint="eastAsia" w:ascii="方正黑体_GBK" w:hAnsi="方正黑体_GBK" w:eastAsia="方正黑体_GBK" w:cs="方正黑体_GBK"/>
          <w:b w:val="0"/>
          <w:bCs w:val="0"/>
          <w:color w:val="auto"/>
          <w:sz w:val="36"/>
          <w:szCs w:val="36"/>
          <w:highlight w:val="none"/>
        </w:rPr>
        <w:t>磋商申请及声明</w:t>
      </w:r>
    </w:p>
    <w:p w14:paraId="49149132">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致：</w:t>
      </w:r>
      <w:r>
        <w:rPr>
          <w:rFonts w:hint="eastAsia" w:ascii="华文仿宋" w:hAnsi="华文仿宋" w:eastAsia="华文仿宋" w:cs="华文仿宋"/>
          <w:color w:val="auto"/>
          <w:sz w:val="30"/>
          <w:szCs w:val="30"/>
          <w:highlight w:val="none"/>
          <w:u w:val="single"/>
          <w:lang w:val="en-US" w:eastAsia="zh-CN"/>
        </w:rPr>
        <w:t xml:space="preserve">                  </w:t>
      </w:r>
    </w:p>
    <w:p w14:paraId="75DD7E2C">
      <w:pPr>
        <w:keepNext w:val="0"/>
        <w:keepLines w:val="0"/>
        <w:pageBreakBefore w:val="0"/>
        <w:widowControl w:val="0"/>
        <w:kinsoku/>
        <w:wordWrap/>
        <w:overflowPunct/>
        <w:topLinePunct w:val="0"/>
        <w:autoSpaceDE w:val="0"/>
        <w:autoSpaceDN w:val="0"/>
        <w:bidi w:val="0"/>
        <w:adjustRightInd w:val="0"/>
        <w:snapToGrid/>
        <w:spacing w:line="560" w:lineRule="exact"/>
        <w:ind w:firstLine="584" w:firstLineChars="200"/>
        <w:textAlignment w:val="auto"/>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根据贵方</w:t>
      </w:r>
      <w:r>
        <w:rPr>
          <w:rFonts w:hint="eastAsia" w:ascii="华文仿宋" w:hAnsi="华文仿宋" w:eastAsia="华文仿宋" w:cs="华文仿宋"/>
          <w:color w:val="auto"/>
          <w:sz w:val="30"/>
          <w:szCs w:val="30"/>
          <w:highlight w:val="none"/>
          <w:u w:val="single"/>
          <w:lang w:val="zh-CN"/>
        </w:rPr>
        <w:t xml:space="preserve">                            </w:t>
      </w:r>
      <w:r>
        <w:rPr>
          <w:rFonts w:hint="eastAsia" w:ascii="华文仿宋" w:hAnsi="华文仿宋" w:eastAsia="华文仿宋" w:cs="华文仿宋"/>
          <w:color w:val="auto"/>
          <w:sz w:val="30"/>
          <w:szCs w:val="30"/>
          <w:highlight w:val="none"/>
          <w:lang w:val="zh-CN"/>
        </w:rPr>
        <w:t xml:space="preserve">（项目名称） </w:t>
      </w:r>
      <w:r>
        <w:rPr>
          <w:rFonts w:hint="eastAsia" w:ascii="华文仿宋" w:hAnsi="华文仿宋" w:eastAsia="华文仿宋" w:cs="华文仿宋"/>
          <w:b/>
          <w:color w:val="auto"/>
          <w:sz w:val="30"/>
          <w:szCs w:val="30"/>
          <w:highlight w:val="none"/>
          <w:u w:val="single"/>
        </w:rPr>
        <w:t xml:space="preserve">         </w:t>
      </w:r>
      <w:r>
        <w:rPr>
          <w:rFonts w:hint="eastAsia" w:ascii="华文仿宋" w:hAnsi="华文仿宋" w:eastAsia="华文仿宋" w:cs="华文仿宋"/>
          <w:color w:val="auto"/>
          <w:sz w:val="30"/>
          <w:szCs w:val="30"/>
          <w:highlight w:val="none"/>
          <w:lang w:val="zh-CN"/>
        </w:rPr>
        <w:t>（项目编号）磋商邀请，正式授权下述签字人</w:t>
      </w:r>
      <w:r>
        <w:rPr>
          <w:rFonts w:hint="eastAsia" w:ascii="华文仿宋" w:hAnsi="华文仿宋" w:eastAsia="华文仿宋" w:cs="华文仿宋"/>
          <w:color w:val="auto"/>
          <w:sz w:val="30"/>
          <w:szCs w:val="30"/>
          <w:highlight w:val="none"/>
          <w:u w:val="single"/>
          <w:lang w:val="zh-CN"/>
        </w:rPr>
        <w:t xml:space="preserve">                   </w:t>
      </w:r>
      <w:r>
        <w:rPr>
          <w:rFonts w:hint="eastAsia" w:ascii="华文仿宋" w:hAnsi="华文仿宋" w:eastAsia="华文仿宋" w:cs="华文仿宋"/>
          <w:color w:val="auto"/>
          <w:sz w:val="30"/>
          <w:szCs w:val="30"/>
          <w:highlight w:val="none"/>
          <w:lang w:val="zh-CN"/>
        </w:rPr>
        <w:t>(姓名和职务)代表</w:t>
      </w:r>
      <w:r>
        <w:rPr>
          <w:rFonts w:hint="eastAsia" w:ascii="华文仿宋" w:hAnsi="华文仿宋" w:eastAsia="华文仿宋" w:cs="华文仿宋"/>
          <w:color w:val="auto"/>
          <w:sz w:val="30"/>
          <w:szCs w:val="30"/>
          <w:highlight w:val="none"/>
          <w:u w:val="single"/>
          <w:lang w:val="zh-CN"/>
        </w:rPr>
        <w:t xml:space="preserve">                        </w:t>
      </w:r>
      <w:r>
        <w:rPr>
          <w:rFonts w:hint="eastAsia" w:ascii="华文仿宋" w:hAnsi="华文仿宋" w:eastAsia="华文仿宋" w:cs="华文仿宋"/>
          <w:color w:val="auto"/>
          <w:sz w:val="30"/>
          <w:szCs w:val="30"/>
          <w:highlight w:val="none"/>
          <w:lang w:val="zh-CN"/>
        </w:rPr>
        <w:t>（供应商名称），提交响应文件并参加磋商。</w:t>
      </w:r>
    </w:p>
    <w:p w14:paraId="22348269">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据此函，签字人兹宣布同意如下：</w:t>
      </w:r>
    </w:p>
    <w:p w14:paraId="0C65FBD5">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b w:val="0"/>
          <w:bCs w:val="0"/>
          <w:color w:val="auto"/>
          <w:sz w:val="30"/>
          <w:szCs w:val="30"/>
          <w:highlight w:val="none"/>
        </w:rPr>
        <w:t>1、</w:t>
      </w:r>
      <w:r>
        <w:rPr>
          <w:rFonts w:hint="eastAsia" w:ascii="华文仿宋" w:hAnsi="华文仿宋" w:eastAsia="华文仿宋" w:cs="华文仿宋"/>
          <w:b w:val="0"/>
          <w:bCs w:val="0"/>
          <w:color w:val="auto"/>
          <w:sz w:val="30"/>
          <w:szCs w:val="30"/>
          <w:highlight w:val="none"/>
          <w:lang w:val="zh-CN"/>
        </w:rPr>
        <w:t>我们的资格条件完全符合政府采购法和本次采购要求，</w:t>
      </w:r>
      <w:r>
        <w:rPr>
          <w:rFonts w:hint="eastAsia" w:ascii="华文仿宋" w:hAnsi="华文仿宋" w:eastAsia="华文仿宋" w:cs="华文仿宋"/>
          <w:color w:val="auto"/>
          <w:sz w:val="30"/>
          <w:szCs w:val="30"/>
          <w:highlight w:val="none"/>
        </w:rPr>
        <w:t>我们</w:t>
      </w:r>
      <w:r>
        <w:rPr>
          <w:rFonts w:hint="eastAsia" w:ascii="华文仿宋" w:hAnsi="华文仿宋" w:eastAsia="华文仿宋" w:cs="华文仿宋"/>
          <w:color w:val="auto"/>
          <w:sz w:val="30"/>
          <w:szCs w:val="30"/>
          <w:highlight w:val="none"/>
          <w:lang w:val="zh-CN"/>
        </w:rPr>
        <w:t>同意并向贵方提供了与本次采购活动有关的所有证据和资料</w:t>
      </w:r>
      <w:r>
        <w:rPr>
          <w:rFonts w:hint="eastAsia" w:ascii="华文仿宋" w:hAnsi="华文仿宋" w:eastAsia="华文仿宋" w:cs="华文仿宋"/>
          <w:color w:val="auto"/>
          <w:sz w:val="30"/>
          <w:szCs w:val="30"/>
          <w:highlight w:val="none"/>
        </w:rPr>
        <w:t>。</w:t>
      </w:r>
    </w:p>
    <w:p w14:paraId="0F673C73">
      <w:pPr>
        <w:keepNext w:val="0"/>
        <w:keepLines w:val="0"/>
        <w:pageBreakBefore w:val="0"/>
        <w:widowControl w:val="0"/>
        <w:kinsoku/>
        <w:wordWrap/>
        <w:overflowPunct/>
        <w:topLinePunct w:val="0"/>
        <w:bidi w:val="0"/>
        <w:snapToGrid/>
        <w:spacing w:line="560" w:lineRule="exact"/>
        <w:ind w:firstLine="584" w:firstLineChars="200"/>
        <w:jc w:val="left"/>
        <w:textAlignment w:val="auto"/>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2、项目</w:t>
      </w:r>
      <w:r>
        <w:rPr>
          <w:rFonts w:hint="eastAsia" w:ascii="华文仿宋" w:hAnsi="华文仿宋" w:eastAsia="华文仿宋" w:cs="华文仿宋"/>
          <w:color w:val="auto"/>
          <w:sz w:val="30"/>
          <w:szCs w:val="30"/>
          <w:highlight w:val="none"/>
          <w:lang w:eastAsia="zh-CN"/>
        </w:rPr>
        <w:t>名</w:t>
      </w:r>
      <w:r>
        <w:rPr>
          <w:rFonts w:hint="eastAsia" w:ascii="华文仿宋" w:hAnsi="华文仿宋" w:eastAsia="华文仿宋" w:cs="华文仿宋"/>
          <w:color w:val="auto"/>
          <w:sz w:val="30"/>
          <w:szCs w:val="30"/>
          <w:highlight w:val="none"/>
        </w:rPr>
        <w:t>称：</w:t>
      </w:r>
      <w:r>
        <w:rPr>
          <w:rFonts w:hint="eastAsia" w:ascii="华文仿宋" w:hAnsi="华文仿宋" w:eastAsia="华文仿宋" w:cs="华文仿宋"/>
          <w:color w:val="auto"/>
          <w:sz w:val="30"/>
          <w:szCs w:val="30"/>
          <w:highlight w:val="none"/>
          <w:u w:val="single"/>
        </w:rPr>
        <w:t xml:space="preserve">                                          </w:t>
      </w:r>
      <w:r>
        <w:rPr>
          <w:rFonts w:hint="eastAsia" w:ascii="华文仿宋" w:hAnsi="华文仿宋" w:eastAsia="华文仿宋" w:cs="华文仿宋"/>
          <w:color w:val="auto"/>
          <w:sz w:val="30"/>
          <w:szCs w:val="30"/>
          <w:highlight w:val="none"/>
        </w:rPr>
        <w:t>。</w:t>
      </w:r>
    </w:p>
    <w:p w14:paraId="72630E50">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u w:val="single"/>
          <w:lang w:val="zh-CN"/>
        </w:rPr>
      </w:pPr>
      <w:r>
        <w:rPr>
          <w:rFonts w:hint="eastAsia" w:ascii="华文仿宋" w:hAnsi="华文仿宋" w:eastAsia="华文仿宋" w:cs="华文仿宋"/>
          <w:color w:val="auto"/>
          <w:sz w:val="30"/>
          <w:szCs w:val="30"/>
          <w:highlight w:val="none"/>
        </w:rPr>
        <w:t>3、</w:t>
      </w:r>
      <w:r>
        <w:rPr>
          <w:rFonts w:hint="eastAsia" w:ascii="华文仿宋" w:hAnsi="华文仿宋" w:eastAsia="华文仿宋" w:cs="华文仿宋"/>
          <w:color w:val="auto"/>
          <w:sz w:val="30"/>
          <w:szCs w:val="30"/>
          <w:highlight w:val="none"/>
          <w:lang w:val="zh-CN"/>
        </w:rPr>
        <w:t>按采购</w:t>
      </w:r>
      <w:r>
        <w:rPr>
          <w:rFonts w:hint="eastAsia" w:ascii="华文仿宋" w:hAnsi="华文仿宋" w:eastAsia="华文仿宋" w:cs="华文仿宋"/>
          <w:color w:val="auto"/>
          <w:sz w:val="30"/>
          <w:szCs w:val="30"/>
          <w:highlight w:val="none"/>
          <w:lang w:val="en-US" w:eastAsia="zh-CN"/>
        </w:rPr>
        <w:t>文件</w:t>
      </w:r>
      <w:r>
        <w:rPr>
          <w:rFonts w:hint="eastAsia" w:ascii="华文仿宋" w:hAnsi="华文仿宋" w:eastAsia="华文仿宋" w:cs="华文仿宋"/>
          <w:color w:val="auto"/>
          <w:sz w:val="30"/>
          <w:szCs w:val="30"/>
          <w:highlight w:val="none"/>
          <w:lang w:val="zh-CN"/>
        </w:rPr>
        <w:t>要求，我</w:t>
      </w:r>
      <w:r>
        <w:rPr>
          <w:rFonts w:hint="eastAsia" w:ascii="华文仿宋" w:hAnsi="华文仿宋" w:eastAsia="华文仿宋" w:cs="华文仿宋"/>
          <w:color w:val="auto"/>
          <w:sz w:val="30"/>
          <w:szCs w:val="30"/>
          <w:highlight w:val="none"/>
          <w:lang w:val="en-US" w:eastAsia="zh-CN"/>
        </w:rPr>
        <w:t>方</w:t>
      </w:r>
      <w:r>
        <w:rPr>
          <w:rFonts w:hint="eastAsia" w:ascii="华文仿宋" w:hAnsi="华文仿宋" w:eastAsia="华文仿宋" w:cs="华文仿宋"/>
          <w:color w:val="auto"/>
          <w:sz w:val="30"/>
          <w:szCs w:val="30"/>
          <w:highlight w:val="none"/>
          <w:lang w:val="zh-CN"/>
        </w:rPr>
        <w:t>的</w:t>
      </w:r>
      <w:r>
        <w:rPr>
          <w:rFonts w:hint="eastAsia" w:ascii="华文仿宋" w:hAnsi="华文仿宋" w:eastAsia="华文仿宋" w:cs="华文仿宋"/>
          <w:color w:val="auto"/>
          <w:sz w:val="30"/>
          <w:szCs w:val="30"/>
          <w:highlight w:val="none"/>
          <w:lang w:val="en-US" w:eastAsia="zh-CN"/>
        </w:rPr>
        <w:t>响应报价（费率）</w:t>
      </w:r>
      <w:r>
        <w:rPr>
          <w:rFonts w:hint="eastAsia" w:ascii="华文仿宋" w:hAnsi="华文仿宋" w:eastAsia="华文仿宋" w:cs="华文仿宋"/>
          <w:color w:val="auto"/>
          <w:sz w:val="30"/>
          <w:szCs w:val="30"/>
          <w:highlight w:val="none"/>
          <w:lang w:val="zh-CN"/>
        </w:rPr>
        <w:t>：</w:t>
      </w:r>
      <w:r>
        <w:rPr>
          <w:rFonts w:hint="eastAsia" w:ascii="华文仿宋" w:hAnsi="华文仿宋" w:eastAsia="华文仿宋" w:cs="华文仿宋"/>
          <w:color w:val="auto"/>
          <w:sz w:val="30"/>
          <w:szCs w:val="30"/>
          <w:highlight w:val="none"/>
          <w:u w:val="single"/>
          <w:lang w:val="en-US" w:eastAsia="zh-CN"/>
        </w:rPr>
        <w:t xml:space="preserve"> 按苏价服【2014】383号文收费标准的     %</w:t>
      </w:r>
      <w:r>
        <w:rPr>
          <w:rFonts w:hint="eastAsia" w:ascii="华文仿宋" w:hAnsi="华文仿宋" w:eastAsia="华文仿宋" w:cs="华文仿宋"/>
          <w:color w:val="auto"/>
          <w:sz w:val="30"/>
          <w:szCs w:val="30"/>
          <w:highlight w:val="none"/>
          <w:u w:val="single"/>
          <w:lang w:val="zh-CN"/>
        </w:rPr>
        <w:t>。</w:t>
      </w:r>
    </w:p>
    <w:p w14:paraId="4F38E886">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4、</w:t>
      </w:r>
      <w:r>
        <w:rPr>
          <w:rFonts w:hint="eastAsia" w:ascii="华文仿宋" w:hAnsi="华文仿宋" w:eastAsia="华文仿宋" w:cs="华文仿宋"/>
          <w:color w:val="auto"/>
          <w:sz w:val="30"/>
          <w:szCs w:val="30"/>
          <w:highlight w:val="none"/>
          <w:lang w:val="zh-CN"/>
        </w:rPr>
        <w:t>我们已详细审核全部磋商文件及其有效补充文件，我们放弃对磋商文件任何误解的权利，提交响应文件后，</w:t>
      </w:r>
      <w:r>
        <w:rPr>
          <w:rFonts w:hint="eastAsia" w:ascii="华文仿宋" w:hAnsi="华文仿宋" w:eastAsia="华文仿宋" w:cs="华文仿宋"/>
          <w:b/>
          <w:color w:val="auto"/>
          <w:sz w:val="30"/>
          <w:szCs w:val="30"/>
          <w:highlight w:val="none"/>
          <w:lang w:val="zh-CN"/>
        </w:rPr>
        <w:t>不对磋商文件本身提出质疑</w:t>
      </w:r>
      <w:r>
        <w:rPr>
          <w:rFonts w:hint="eastAsia" w:ascii="华文仿宋" w:hAnsi="华文仿宋" w:eastAsia="华文仿宋" w:cs="华文仿宋"/>
          <w:color w:val="auto"/>
          <w:sz w:val="30"/>
          <w:szCs w:val="30"/>
          <w:highlight w:val="none"/>
          <w:lang w:val="zh-CN"/>
        </w:rPr>
        <w:t>。否则，属于不诚信和故意扰乱政府采购活动行为，我们将无条件接受处罚。</w:t>
      </w:r>
    </w:p>
    <w:p w14:paraId="4A0986CC">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5、一旦我方成交，我方将根据磋商文件的规定，</w:t>
      </w:r>
      <w:r>
        <w:rPr>
          <w:rFonts w:hint="eastAsia" w:ascii="华文仿宋" w:hAnsi="华文仿宋" w:eastAsia="华文仿宋" w:cs="华文仿宋"/>
          <w:color w:val="auto"/>
          <w:sz w:val="30"/>
          <w:szCs w:val="30"/>
          <w:highlight w:val="none"/>
          <w:lang w:val="en-US" w:eastAsia="zh-CN"/>
        </w:rPr>
        <w:t>在30日内签订合同并</w:t>
      </w:r>
      <w:r>
        <w:rPr>
          <w:rFonts w:hint="eastAsia" w:ascii="华文仿宋" w:hAnsi="华文仿宋" w:eastAsia="华文仿宋" w:cs="华文仿宋"/>
          <w:color w:val="auto"/>
          <w:sz w:val="30"/>
          <w:szCs w:val="30"/>
          <w:highlight w:val="none"/>
        </w:rPr>
        <w:t>严格履行，保证于承诺的时间内完成本项目规定的服务内容。</w:t>
      </w:r>
    </w:p>
    <w:p w14:paraId="24C0626F">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p>
    <w:p w14:paraId="63C6E24F">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7、我方正式通讯方式为：</w:t>
      </w:r>
    </w:p>
    <w:p w14:paraId="4B5D5824">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u w:val="single"/>
        </w:rPr>
      </w:pPr>
      <w:r>
        <w:rPr>
          <w:rFonts w:hint="eastAsia" w:ascii="华文仿宋" w:hAnsi="华文仿宋" w:eastAsia="华文仿宋" w:cs="华文仿宋"/>
          <w:color w:val="auto"/>
          <w:sz w:val="30"/>
          <w:szCs w:val="30"/>
          <w:highlight w:val="none"/>
        </w:rPr>
        <w:t>地   址：</w:t>
      </w:r>
      <w:r>
        <w:rPr>
          <w:rFonts w:hint="eastAsia" w:ascii="华文仿宋" w:hAnsi="华文仿宋" w:eastAsia="华文仿宋" w:cs="华文仿宋"/>
          <w:color w:val="auto"/>
          <w:sz w:val="30"/>
          <w:szCs w:val="30"/>
          <w:highlight w:val="none"/>
          <w:u w:val="single"/>
        </w:rPr>
        <w:t xml:space="preserve">                       </w:t>
      </w:r>
    </w:p>
    <w:p w14:paraId="5D215998">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u w:val="single"/>
        </w:rPr>
      </w:pPr>
      <w:r>
        <w:rPr>
          <w:rFonts w:hint="eastAsia" w:ascii="华文仿宋" w:hAnsi="华文仿宋" w:eastAsia="华文仿宋" w:cs="华文仿宋"/>
          <w:color w:val="auto"/>
          <w:sz w:val="30"/>
          <w:szCs w:val="30"/>
          <w:highlight w:val="none"/>
        </w:rPr>
        <w:t>电   话：</w:t>
      </w:r>
      <w:r>
        <w:rPr>
          <w:rFonts w:hint="eastAsia" w:ascii="华文仿宋" w:hAnsi="华文仿宋" w:eastAsia="华文仿宋" w:cs="华文仿宋"/>
          <w:color w:val="auto"/>
          <w:sz w:val="30"/>
          <w:szCs w:val="30"/>
          <w:highlight w:val="none"/>
          <w:u w:val="single"/>
        </w:rPr>
        <w:t xml:space="preserve">                       </w:t>
      </w:r>
    </w:p>
    <w:p w14:paraId="6681ABE6">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u w:val="single"/>
        </w:rPr>
      </w:pPr>
      <w:r>
        <w:rPr>
          <w:rFonts w:hint="eastAsia" w:ascii="华文仿宋" w:hAnsi="华文仿宋" w:eastAsia="华文仿宋" w:cs="华文仿宋"/>
          <w:color w:val="auto"/>
          <w:sz w:val="30"/>
          <w:szCs w:val="30"/>
          <w:highlight w:val="none"/>
        </w:rPr>
        <w:t>传   真：</w:t>
      </w:r>
      <w:r>
        <w:rPr>
          <w:rFonts w:hint="eastAsia" w:ascii="华文仿宋" w:hAnsi="华文仿宋" w:eastAsia="华文仿宋" w:cs="华文仿宋"/>
          <w:color w:val="auto"/>
          <w:sz w:val="30"/>
          <w:szCs w:val="30"/>
          <w:highlight w:val="none"/>
          <w:u w:val="single"/>
        </w:rPr>
        <w:t xml:space="preserve">                       </w:t>
      </w:r>
    </w:p>
    <w:p w14:paraId="3E123BDA">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8、我方正式开户银行和</w:t>
      </w:r>
      <w:r>
        <w:rPr>
          <w:rFonts w:hint="eastAsia" w:ascii="华文仿宋" w:hAnsi="华文仿宋" w:eastAsia="华文仿宋" w:cs="华文仿宋"/>
          <w:color w:val="auto"/>
          <w:sz w:val="30"/>
          <w:szCs w:val="30"/>
          <w:highlight w:val="none"/>
          <w:lang w:eastAsia="zh-CN"/>
        </w:rPr>
        <w:t>账</w:t>
      </w:r>
      <w:r>
        <w:rPr>
          <w:rFonts w:hint="eastAsia" w:ascii="华文仿宋" w:hAnsi="华文仿宋" w:eastAsia="华文仿宋" w:cs="华文仿宋"/>
          <w:color w:val="auto"/>
          <w:sz w:val="30"/>
          <w:szCs w:val="30"/>
          <w:highlight w:val="none"/>
        </w:rPr>
        <w:t>号为：</w:t>
      </w:r>
    </w:p>
    <w:p w14:paraId="7161A10D">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u w:val="single"/>
        </w:rPr>
      </w:pPr>
      <w:r>
        <w:rPr>
          <w:rFonts w:hint="eastAsia" w:ascii="华文仿宋" w:hAnsi="华文仿宋" w:eastAsia="华文仿宋" w:cs="华文仿宋"/>
          <w:color w:val="auto"/>
          <w:sz w:val="30"/>
          <w:szCs w:val="30"/>
          <w:highlight w:val="none"/>
        </w:rPr>
        <w:t>开户银行：</w:t>
      </w:r>
      <w:r>
        <w:rPr>
          <w:rFonts w:hint="eastAsia" w:ascii="华文仿宋" w:hAnsi="华文仿宋" w:eastAsia="华文仿宋" w:cs="华文仿宋"/>
          <w:color w:val="auto"/>
          <w:sz w:val="30"/>
          <w:szCs w:val="30"/>
          <w:highlight w:val="none"/>
          <w:u w:val="single"/>
        </w:rPr>
        <w:t xml:space="preserve">                       </w:t>
      </w:r>
    </w:p>
    <w:p w14:paraId="3FBB04D5">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lang w:eastAsia="zh-CN"/>
        </w:rPr>
        <w:t>账</w:t>
      </w:r>
      <w:r>
        <w:rPr>
          <w:rFonts w:hint="eastAsia" w:ascii="华文仿宋" w:hAnsi="华文仿宋" w:eastAsia="华文仿宋" w:cs="华文仿宋"/>
          <w:color w:val="auto"/>
          <w:sz w:val="30"/>
          <w:szCs w:val="30"/>
          <w:highlight w:val="none"/>
        </w:rPr>
        <w:t xml:space="preserve">    号：</w:t>
      </w:r>
      <w:r>
        <w:rPr>
          <w:rFonts w:hint="eastAsia" w:ascii="华文仿宋" w:hAnsi="华文仿宋" w:eastAsia="华文仿宋" w:cs="华文仿宋"/>
          <w:color w:val="auto"/>
          <w:sz w:val="30"/>
          <w:szCs w:val="30"/>
          <w:highlight w:val="none"/>
          <w:u w:val="single"/>
        </w:rPr>
        <w:t xml:space="preserve">                       </w:t>
      </w:r>
    </w:p>
    <w:p w14:paraId="2C332082">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u w:val="single"/>
        </w:rPr>
      </w:pPr>
      <w:r>
        <w:rPr>
          <w:rFonts w:hint="eastAsia" w:ascii="华文仿宋" w:hAnsi="华文仿宋" w:eastAsia="华文仿宋" w:cs="华文仿宋"/>
          <w:color w:val="auto"/>
          <w:sz w:val="30"/>
          <w:szCs w:val="30"/>
          <w:highlight w:val="none"/>
        </w:rPr>
        <w:t>供应商授权代表姓名（签字）：</w:t>
      </w:r>
      <w:r>
        <w:rPr>
          <w:rFonts w:hint="eastAsia" w:ascii="华文仿宋" w:hAnsi="华文仿宋" w:eastAsia="华文仿宋" w:cs="华文仿宋"/>
          <w:color w:val="auto"/>
          <w:sz w:val="30"/>
          <w:szCs w:val="30"/>
          <w:highlight w:val="none"/>
          <w:u w:val="single"/>
        </w:rPr>
        <w:t xml:space="preserve">         </w:t>
      </w:r>
    </w:p>
    <w:p w14:paraId="01A5CA57">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供应商名称（公章）：</w:t>
      </w:r>
      <w:r>
        <w:rPr>
          <w:rFonts w:hint="eastAsia" w:ascii="华文仿宋" w:hAnsi="华文仿宋" w:eastAsia="华文仿宋" w:cs="华文仿宋"/>
          <w:color w:val="auto"/>
          <w:sz w:val="30"/>
          <w:szCs w:val="30"/>
          <w:highlight w:val="none"/>
          <w:u w:val="single"/>
        </w:rPr>
        <w:t xml:space="preserve">                 </w:t>
      </w:r>
    </w:p>
    <w:p w14:paraId="79BBAB2C">
      <w:pPr>
        <w:keepNext w:val="0"/>
        <w:keepLines w:val="0"/>
        <w:pageBreakBefore w:val="0"/>
        <w:widowControl w:val="0"/>
        <w:kinsoku/>
        <w:wordWrap/>
        <w:overflowPunct/>
        <w:topLinePunct w:val="0"/>
        <w:bidi w:val="0"/>
        <w:snapToGrid/>
        <w:spacing w:line="560" w:lineRule="exact"/>
        <w:ind w:firstLine="584" w:firstLineChars="20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日    期：</w:t>
      </w:r>
      <w:r>
        <w:rPr>
          <w:rFonts w:hint="eastAsia" w:ascii="华文仿宋" w:hAnsi="华文仿宋" w:eastAsia="华文仿宋" w:cs="华文仿宋"/>
          <w:color w:val="auto"/>
          <w:sz w:val="30"/>
          <w:szCs w:val="30"/>
          <w:highlight w:val="none"/>
          <w:u w:val="single"/>
        </w:rPr>
        <w:t xml:space="preserve">       </w:t>
      </w:r>
      <w:r>
        <w:rPr>
          <w:rFonts w:hint="eastAsia" w:ascii="华文仿宋" w:hAnsi="华文仿宋" w:eastAsia="华文仿宋" w:cs="华文仿宋"/>
          <w:color w:val="auto"/>
          <w:sz w:val="30"/>
          <w:szCs w:val="30"/>
          <w:highlight w:val="none"/>
        </w:rPr>
        <w:t>年</w:t>
      </w:r>
      <w:r>
        <w:rPr>
          <w:rFonts w:hint="eastAsia" w:ascii="华文仿宋" w:hAnsi="华文仿宋" w:eastAsia="华文仿宋" w:cs="华文仿宋"/>
          <w:color w:val="auto"/>
          <w:sz w:val="30"/>
          <w:szCs w:val="30"/>
          <w:highlight w:val="none"/>
          <w:u w:val="single"/>
        </w:rPr>
        <w:t xml:space="preserve">    </w:t>
      </w:r>
      <w:r>
        <w:rPr>
          <w:rFonts w:hint="eastAsia" w:ascii="华文仿宋" w:hAnsi="华文仿宋" w:eastAsia="华文仿宋" w:cs="华文仿宋"/>
          <w:color w:val="auto"/>
          <w:sz w:val="30"/>
          <w:szCs w:val="30"/>
          <w:highlight w:val="none"/>
        </w:rPr>
        <w:t>月</w:t>
      </w:r>
      <w:r>
        <w:rPr>
          <w:rFonts w:hint="eastAsia" w:ascii="华文仿宋" w:hAnsi="华文仿宋" w:eastAsia="华文仿宋" w:cs="华文仿宋"/>
          <w:color w:val="auto"/>
          <w:sz w:val="30"/>
          <w:szCs w:val="30"/>
          <w:highlight w:val="none"/>
          <w:u w:val="single"/>
        </w:rPr>
        <w:t xml:space="preserve">    </w:t>
      </w:r>
      <w:r>
        <w:rPr>
          <w:rFonts w:hint="eastAsia" w:ascii="华文仿宋" w:hAnsi="华文仿宋" w:eastAsia="华文仿宋" w:cs="华文仿宋"/>
          <w:color w:val="auto"/>
          <w:sz w:val="30"/>
          <w:szCs w:val="30"/>
          <w:highlight w:val="none"/>
        </w:rPr>
        <w:t>日</w:t>
      </w:r>
    </w:p>
    <w:p w14:paraId="61BCD4F2">
      <w:pPr>
        <w:spacing w:line="360" w:lineRule="auto"/>
        <w:ind w:firstLine="584"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r>
    </w:p>
    <w:p w14:paraId="41F548B7">
      <w:pPr>
        <w:autoSpaceDE w:val="0"/>
        <w:autoSpaceDN w:val="0"/>
        <w:adjustRightInd w:val="0"/>
        <w:spacing w:line="360" w:lineRule="auto"/>
        <w:rPr>
          <w:rFonts w:hint="eastAsia" w:ascii="方正黑体_GBK" w:hAnsi="方正黑体_GBK" w:eastAsia="方正黑体_GBK" w:cs="方正黑体_GBK"/>
          <w:b w:val="0"/>
          <w:bCs w:val="0"/>
          <w:color w:val="auto"/>
          <w:sz w:val="30"/>
          <w:szCs w:val="30"/>
          <w:highlight w:val="none"/>
          <w:lang w:val="zh-CN"/>
        </w:rPr>
      </w:pPr>
      <w:r>
        <w:rPr>
          <w:rFonts w:hint="eastAsia" w:ascii="方正黑体_GBK" w:hAnsi="方正黑体_GBK" w:eastAsia="方正黑体_GBK" w:cs="方正黑体_GBK"/>
          <w:b w:val="0"/>
          <w:bCs w:val="0"/>
          <w:color w:val="auto"/>
          <w:sz w:val="30"/>
          <w:szCs w:val="30"/>
          <w:highlight w:val="none"/>
          <w:lang w:val="zh-CN"/>
        </w:rPr>
        <w:t>目录二：法定代表人授权书格式</w:t>
      </w:r>
    </w:p>
    <w:p w14:paraId="45EA05CE">
      <w:pPr>
        <w:spacing w:line="360" w:lineRule="auto"/>
        <w:jc w:val="center"/>
        <w:rPr>
          <w:rFonts w:hint="eastAsia" w:ascii="宋体" w:hAnsi="宋体" w:cs="宋体"/>
          <w:b/>
          <w:bCs/>
          <w:color w:val="auto"/>
          <w:sz w:val="30"/>
          <w:szCs w:val="30"/>
          <w:highlight w:val="none"/>
        </w:rPr>
      </w:pPr>
    </w:p>
    <w:p w14:paraId="2915BC9D">
      <w:pPr>
        <w:spacing w:line="360" w:lineRule="auto"/>
        <w:jc w:val="center"/>
        <w:rPr>
          <w:rFonts w:hint="eastAsia" w:ascii="方正小标宋_GBK" w:hAnsi="方正小标宋_GBK" w:eastAsia="方正小标宋_GBK" w:cs="方正小标宋_GBK"/>
          <w:b w:val="0"/>
          <w:bCs w:val="0"/>
          <w:color w:val="auto"/>
          <w:sz w:val="36"/>
          <w:szCs w:val="36"/>
          <w:highlight w:val="none"/>
        </w:rPr>
      </w:pPr>
      <w:r>
        <w:rPr>
          <w:rFonts w:hint="eastAsia" w:ascii="方正小标宋_GBK" w:hAnsi="方正小标宋_GBK" w:eastAsia="方正小标宋_GBK" w:cs="方正小标宋_GBK"/>
          <w:b w:val="0"/>
          <w:bCs w:val="0"/>
          <w:color w:val="auto"/>
          <w:sz w:val="36"/>
          <w:szCs w:val="36"/>
          <w:highlight w:val="none"/>
        </w:rPr>
        <w:t>法定代表人授权书</w:t>
      </w:r>
    </w:p>
    <w:p w14:paraId="12A13ADC">
      <w:pPr>
        <w:autoSpaceDE w:val="0"/>
        <w:autoSpaceDN w:val="0"/>
        <w:adjustRightInd w:val="0"/>
        <w:spacing w:line="360" w:lineRule="auto"/>
        <w:rPr>
          <w:rFonts w:hint="eastAsia" w:ascii="宋体" w:hAnsi="宋体" w:cs="宋体"/>
          <w:b w:val="0"/>
          <w:bCs w:val="0"/>
          <w:color w:val="auto"/>
          <w:sz w:val="30"/>
          <w:szCs w:val="30"/>
          <w:highlight w:val="none"/>
          <w:lang w:val="zh-CN"/>
        </w:rPr>
      </w:pPr>
      <w:r>
        <w:rPr>
          <w:rFonts w:hint="eastAsia" w:ascii="宋体" w:hAnsi="宋体" w:cs="宋体"/>
          <w:b/>
          <w:bCs/>
          <w:color w:val="auto"/>
          <w:sz w:val="30"/>
          <w:szCs w:val="30"/>
          <w:highlight w:val="none"/>
          <w:u w:val="single"/>
          <w:lang w:val="en-US" w:eastAsia="zh-CN"/>
        </w:rPr>
        <w:t xml:space="preserve">               </w:t>
      </w:r>
      <w:r>
        <w:rPr>
          <w:rFonts w:hint="eastAsia" w:ascii="宋体" w:hAnsi="宋体" w:cs="宋体"/>
          <w:b/>
          <w:bCs/>
          <w:color w:val="auto"/>
          <w:sz w:val="30"/>
          <w:szCs w:val="30"/>
          <w:highlight w:val="none"/>
          <w:u w:val="single"/>
        </w:rPr>
        <w:t xml:space="preserve"> </w:t>
      </w:r>
      <w:r>
        <w:rPr>
          <w:rFonts w:hint="eastAsia" w:ascii="宋体" w:hAnsi="宋体" w:cs="宋体"/>
          <w:b w:val="0"/>
          <w:bCs w:val="0"/>
          <w:color w:val="auto"/>
          <w:sz w:val="30"/>
          <w:szCs w:val="30"/>
          <w:highlight w:val="none"/>
          <w:lang w:val="zh-CN"/>
        </w:rPr>
        <w:t>：</w:t>
      </w:r>
    </w:p>
    <w:p w14:paraId="4FF794A8">
      <w:pPr>
        <w:autoSpaceDE w:val="0"/>
        <w:autoSpaceDN w:val="0"/>
        <w:adjustRightInd w:val="0"/>
        <w:spacing w:line="360" w:lineRule="auto"/>
        <w:ind w:firstLine="582"/>
        <w:rPr>
          <w:rFonts w:hint="default" w:ascii="华文仿宋" w:hAnsi="华文仿宋" w:eastAsia="华文仿宋" w:cs="华文仿宋"/>
          <w:color w:val="auto"/>
          <w:sz w:val="30"/>
          <w:szCs w:val="30"/>
          <w:highlight w:val="none"/>
          <w:u w:val="single"/>
          <w:lang w:val="en-US" w:eastAsia="zh-CN"/>
        </w:rPr>
      </w:pPr>
      <w:r>
        <w:rPr>
          <w:rFonts w:hint="eastAsia" w:ascii="华文仿宋" w:hAnsi="华文仿宋" w:eastAsia="华文仿宋" w:cs="华文仿宋"/>
          <w:color w:val="auto"/>
          <w:sz w:val="30"/>
          <w:szCs w:val="30"/>
          <w:highlight w:val="none"/>
          <w:lang w:val="zh-CN"/>
        </w:rPr>
        <w:t>本授权书声明：注册于</w:t>
      </w:r>
      <w:r>
        <w:rPr>
          <w:rFonts w:hint="eastAsia" w:ascii="华文仿宋" w:hAnsi="华文仿宋" w:eastAsia="华文仿宋" w:cs="华文仿宋"/>
          <w:color w:val="auto"/>
          <w:sz w:val="30"/>
          <w:szCs w:val="30"/>
          <w:highlight w:val="none"/>
          <w:u w:val="single"/>
          <w:lang w:val="zh-CN"/>
        </w:rPr>
        <w:t xml:space="preserve">                             </w:t>
      </w:r>
      <w:r>
        <w:rPr>
          <w:rFonts w:hint="eastAsia" w:ascii="华文仿宋" w:hAnsi="华文仿宋" w:eastAsia="华文仿宋" w:cs="华文仿宋"/>
          <w:color w:val="auto"/>
          <w:sz w:val="30"/>
          <w:szCs w:val="30"/>
          <w:highlight w:val="none"/>
          <w:lang w:val="zh-CN"/>
        </w:rPr>
        <w:t>（供应商住址）的</w:t>
      </w:r>
      <w:r>
        <w:rPr>
          <w:rFonts w:hint="eastAsia" w:ascii="华文仿宋" w:hAnsi="华文仿宋" w:eastAsia="华文仿宋" w:cs="华文仿宋"/>
          <w:color w:val="auto"/>
          <w:sz w:val="30"/>
          <w:szCs w:val="30"/>
          <w:highlight w:val="none"/>
          <w:u w:val="single"/>
          <w:lang w:val="zh-CN"/>
        </w:rPr>
        <w:t xml:space="preserve">    </w:t>
      </w:r>
      <w:r>
        <w:rPr>
          <w:rFonts w:hint="eastAsia" w:ascii="华文仿宋" w:hAnsi="华文仿宋" w:eastAsia="华文仿宋" w:cs="华文仿宋"/>
          <w:color w:val="auto"/>
          <w:sz w:val="30"/>
          <w:szCs w:val="30"/>
          <w:highlight w:val="none"/>
          <w:lang w:val="zh-CN"/>
        </w:rPr>
        <w:t>（供应商名称）法定代表人</w:t>
      </w:r>
      <w:r>
        <w:rPr>
          <w:rFonts w:hint="eastAsia" w:ascii="华文仿宋" w:hAnsi="华文仿宋" w:eastAsia="华文仿宋" w:cs="华文仿宋"/>
          <w:color w:val="auto"/>
          <w:sz w:val="30"/>
          <w:szCs w:val="30"/>
          <w:highlight w:val="none"/>
          <w:u w:val="single"/>
          <w:lang w:val="zh-CN"/>
        </w:rPr>
        <w:t xml:space="preserve">                      </w:t>
      </w:r>
      <w:r>
        <w:rPr>
          <w:rFonts w:hint="eastAsia" w:ascii="华文仿宋" w:hAnsi="华文仿宋" w:eastAsia="华文仿宋" w:cs="华文仿宋"/>
          <w:color w:val="auto"/>
          <w:sz w:val="30"/>
          <w:szCs w:val="30"/>
          <w:highlight w:val="none"/>
          <w:lang w:val="zh-CN"/>
        </w:rPr>
        <w:t>（法定代表人姓名、职务）代表本公司授权在下面签字的</w:t>
      </w:r>
      <w:r>
        <w:rPr>
          <w:rFonts w:hint="eastAsia" w:ascii="华文仿宋" w:hAnsi="华文仿宋" w:eastAsia="华文仿宋" w:cs="华文仿宋"/>
          <w:color w:val="auto"/>
          <w:sz w:val="30"/>
          <w:szCs w:val="30"/>
          <w:highlight w:val="none"/>
          <w:u w:val="single"/>
          <w:lang w:val="zh-CN"/>
        </w:rPr>
        <w:t xml:space="preserve">          </w:t>
      </w:r>
      <w:r>
        <w:rPr>
          <w:rFonts w:hint="eastAsia" w:ascii="华文仿宋" w:hAnsi="华文仿宋" w:eastAsia="华文仿宋" w:cs="华文仿宋"/>
          <w:color w:val="auto"/>
          <w:sz w:val="30"/>
          <w:szCs w:val="30"/>
          <w:highlight w:val="none"/>
          <w:lang w:val="zh-CN"/>
        </w:rPr>
        <w:t>（供应商代表姓名、职务）为本公司的合法代理人，就贵方组织的</w:t>
      </w:r>
      <w:r>
        <w:rPr>
          <w:rFonts w:hint="eastAsia" w:ascii="华文仿宋" w:hAnsi="华文仿宋" w:eastAsia="华文仿宋" w:cs="华文仿宋"/>
          <w:color w:val="auto"/>
          <w:sz w:val="30"/>
          <w:szCs w:val="30"/>
          <w:highlight w:val="none"/>
          <w:u w:val="single"/>
          <w:lang w:val="en-US" w:eastAsia="zh-CN"/>
        </w:rPr>
        <w:t xml:space="preserve">       </w:t>
      </w:r>
    </w:p>
    <w:p w14:paraId="21D24AFF">
      <w:pPr>
        <w:autoSpaceDE w:val="0"/>
        <w:autoSpaceDN w:val="0"/>
        <w:adjustRightInd w:val="0"/>
        <w:spacing w:line="360" w:lineRule="auto"/>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 xml:space="preserve">（项目名称） </w:t>
      </w:r>
      <w:r>
        <w:rPr>
          <w:rFonts w:hint="eastAsia" w:ascii="华文仿宋" w:hAnsi="华文仿宋" w:eastAsia="华文仿宋" w:cs="华文仿宋"/>
          <w:b/>
          <w:color w:val="auto"/>
          <w:sz w:val="30"/>
          <w:szCs w:val="30"/>
          <w:highlight w:val="none"/>
          <w:u w:val="single"/>
        </w:rPr>
        <w:t xml:space="preserve">         </w:t>
      </w:r>
      <w:r>
        <w:rPr>
          <w:rFonts w:hint="eastAsia" w:ascii="华文仿宋" w:hAnsi="华文仿宋" w:eastAsia="华文仿宋" w:cs="华文仿宋"/>
          <w:color w:val="auto"/>
          <w:sz w:val="30"/>
          <w:szCs w:val="30"/>
          <w:highlight w:val="none"/>
          <w:lang w:val="zh-CN"/>
        </w:rPr>
        <w:t>（项目编号）竞争性磋商，以本公司名义处理一切与之有关的事务。</w:t>
      </w:r>
    </w:p>
    <w:p w14:paraId="13DE2474">
      <w:pPr>
        <w:autoSpaceDE w:val="0"/>
        <w:autoSpaceDN w:val="0"/>
        <w:adjustRightInd w:val="0"/>
        <w:spacing w:line="360" w:lineRule="auto"/>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 xml:space="preserve">    本授权书于</w:t>
      </w:r>
      <w:r>
        <w:rPr>
          <w:rFonts w:hint="eastAsia" w:ascii="华文仿宋" w:hAnsi="华文仿宋" w:eastAsia="华文仿宋" w:cs="华文仿宋"/>
          <w:color w:val="auto"/>
          <w:sz w:val="30"/>
          <w:szCs w:val="30"/>
          <w:highlight w:val="none"/>
          <w:u w:val="single"/>
          <w:lang w:val="zh-CN"/>
        </w:rPr>
        <w:t xml:space="preserve">        </w:t>
      </w:r>
      <w:r>
        <w:rPr>
          <w:rFonts w:hint="eastAsia" w:ascii="华文仿宋" w:hAnsi="华文仿宋" w:eastAsia="华文仿宋" w:cs="华文仿宋"/>
          <w:color w:val="auto"/>
          <w:sz w:val="30"/>
          <w:szCs w:val="30"/>
          <w:highlight w:val="none"/>
          <w:lang w:val="zh-CN"/>
        </w:rPr>
        <w:t>年</w:t>
      </w:r>
      <w:r>
        <w:rPr>
          <w:rFonts w:hint="eastAsia" w:ascii="华文仿宋" w:hAnsi="华文仿宋" w:eastAsia="华文仿宋" w:cs="华文仿宋"/>
          <w:color w:val="auto"/>
          <w:sz w:val="30"/>
          <w:szCs w:val="30"/>
          <w:highlight w:val="none"/>
          <w:u w:val="single"/>
          <w:lang w:val="zh-CN"/>
        </w:rPr>
        <w:t xml:space="preserve">   </w:t>
      </w:r>
      <w:r>
        <w:rPr>
          <w:rFonts w:hint="eastAsia" w:ascii="华文仿宋" w:hAnsi="华文仿宋" w:eastAsia="华文仿宋" w:cs="华文仿宋"/>
          <w:color w:val="auto"/>
          <w:sz w:val="30"/>
          <w:szCs w:val="30"/>
          <w:highlight w:val="none"/>
          <w:lang w:val="zh-CN"/>
        </w:rPr>
        <w:t>月</w:t>
      </w:r>
      <w:r>
        <w:rPr>
          <w:rFonts w:hint="eastAsia" w:ascii="华文仿宋" w:hAnsi="华文仿宋" w:eastAsia="华文仿宋" w:cs="华文仿宋"/>
          <w:color w:val="auto"/>
          <w:sz w:val="30"/>
          <w:szCs w:val="30"/>
          <w:highlight w:val="none"/>
          <w:u w:val="single"/>
          <w:lang w:val="zh-CN"/>
        </w:rPr>
        <w:t xml:space="preserve">   </w:t>
      </w:r>
      <w:r>
        <w:rPr>
          <w:rFonts w:hint="eastAsia" w:ascii="华文仿宋" w:hAnsi="华文仿宋" w:eastAsia="华文仿宋" w:cs="华文仿宋"/>
          <w:color w:val="auto"/>
          <w:sz w:val="30"/>
          <w:szCs w:val="30"/>
          <w:highlight w:val="none"/>
          <w:lang w:val="zh-CN"/>
        </w:rPr>
        <w:t>日签字生效，特此声明。</w:t>
      </w:r>
    </w:p>
    <w:p w14:paraId="3E1E53EB">
      <w:pPr>
        <w:autoSpaceDE w:val="0"/>
        <w:autoSpaceDN w:val="0"/>
        <w:adjustRightInd w:val="0"/>
        <w:spacing w:line="360" w:lineRule="auto"/>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 xml:space="preserve">    法定代表人签字：</w:t>
      </w:r>
    </w:p>
    <w:p w14:paraId="705C9BD5">
      <w:pPr>
        <w:autoSpaceDE w:val="0"/>
        <w:autoSpaceDN w:val="0"/>
        <w:adjustRightInd w:val="0"/>
        <w:spacing w:line="360" w:lineRule="auto"/>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 xml:space="preserve">    被授权人签字：                    </w:t>
      </w:r>
    </w:p>
    <w:p w14:paraId="27645CAE">
      <w:pPr>
        <w:tabs>
          <w:tab w:val="left" w:pos="1440"/>
        </w:tabs>
        <w:autoSpaceDE w:val="0"/>
        <w:autoSpaceDN w:val="0"/>
        <w:adjustRightInd w:val="0"/>
        <w:spacing w:line="360" w:lineRule="auto"/>
        <w:ind w:firstLine="42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日        期：</w:t>
      </w:r>
      <w:r>
        <w:rPr>
          <w:rFonts w:hint="eastAsia" w:ascii="华文仿宋" w:hAnsi="华文仿宋" w:eastAsia="华文仿宋" w:cs="华文仿宋"/>
          <w:bCs/>
          <w:color w:val="auto"/>
          <w:kern w:val="0"/>
          <w:sz w:val="30"/>
          <w:szCs w:val="30"/>
          <w:highlight w:val="none"/>
          <w:lang w:val="zh-CN"/>
        </w:rPr>
        <w:t>年</w:t>
      </w:r>
      <w:r>
        <w:rPr>
          <w:rFonts w:hint="eastAsia" w:ascii="华文仿宋" w:hAnsi="华文仿宋" w:eastAsia="华文仿宋" w:cs="华文仿宋"/>
          <w:bCs/>
          <w:color w:val="auto"/>
          <w:kern w:val="0"/>
          <w:sz w:val="30"/>
          <w:szCs w:val="30"/>
          <w:highlight w:val="none"/>
          <w:lang w:val="zh-CN"/>
        </w:rPr>
        <w:tab/>
      </w:r>
      <w:r>
        <w:rPr>
          <w:rFonts w:hint="eastAsia" w:ascii="华文仿宋" w:hAnsi="华文仿宋" w:eastAsia="华文仿宋" w:cs="华文仿宋"/>
          <w:bCs/>
          <w:color w:val="auto"/>
          <w:kern w:val="0"/>
          <w:sz w:val="30"/>
          <w:szCs w:val="30"/>
          <w:highlight w:val="none"/>
          <w:lang w:val="zh-CN"/>
        </w:rPr>
        <w:t>月</w:t>
      </w:r>
      <w:r>
        <w:rPr>
          <w:rFonts w:hint="eastAsia" w:ascii="华文仿宋" w:hAnsi="华文仿宋" w:eastAsia="华文仿宋" w:cs="华文仿宋"/>
          <w:bCs/>
          <w:color w:val="auto"/>
          <w:kern w:val="0"/>
          <w:sz w:val="30"/>
          <w:szCs w:val="30"/>
          <w:highlight w:val="none"/>
          <w:lang w:val="zh-CN"/>
        </w:rPr>
        <w:tab/>
      </w:r>
      <w:r>
        <w:rPr>
          <w:rFonts w:hint="eastAsia" w:ascii="华文仿宋" w:hAnsi="华文仿宋" w:eastAsia="华文仿宋" w:cs="华文仿宋"/>
          <w:bCs/>
          <w:color w:val="auto"/>
          <w:kern w:val="0"/>
          <w:sz w:val="30"/>
          <w:szCs w:val="30"/>
          <w:highlight w:val="none"/>
          <w:lang w:val="zh-CN"/>
        </w:rPr>
        <w:t>日</w:t>
      </w:r>
    </w:p>
    <w:p w14:paraId="5852C047">
      <w:pPr>
        <w:ind w:firstLine="584" w:firstLineChars="200"/>
        <w:outlineLvl w:val="9"/>
        <w:rPr>
          <w:rFonts w:hint="eastAsia" w:ascii="华文仿宋" w:hAnsi="华文仿宋" w:eastAsia="华文仿宋" w:cs="华文仿宋"/>
          <w:b/>
          <w:color w:val="auto"/>
          <w:sz w:val="30"/>
          <w:szCs w:val="30"/>
          <w:highlight w:val="none"/>
          <w:lang w:val="zh-CN"/>
        </w:rPr>
      </w:pPr>
      <w:r>
        <w:rPr>
          <w:rFonts w:hint="eastAsia" w:ascii="华文仿宋" w:hAnsi="华文仿宋" w:eastAsia="华文仿宋" w:cs="华文仿宋"/>
          <w:b/>
          <w:color w:val="auto"/>
          <w:sz w:val="30"/>
          <w:szCs w:val="30"/>
          <w:highlight w:val="none"/>
          <w:lang w:val="zh-CN"/>
        </w:rPr>
        <w:t>附法定代表人及被授权人身份证复印件</w:t>
      </w:r>
    </w:p>
    <w:tbl>
      <w:tblPr>
        <w:tblStyle w:val="67"/>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0"/>
      </w:tblGrid>
      <w:tr w14:paraId="2B916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trPr>
        <w:tc>
          <w:tcPr>
            <w:tcW w:w="8440" w:type="dxa"/>
            <w:vAlign w:val="top"/>
          </w:tcPr>
          <w:p w14:paraId="3F10F270">
            <w:pPr>
              <w:pStyle w:val="29"/>
              <w:jc w:val="left"/>
              <w:rPr>
                <w:rFonts w:hAnsi="宋体" w:cs="宋体"/>
                <w:color w:val="auto"/>
                <w:sz w:val="24"/>
                <w:szCs w:val="24"/>
                <w:highlight w:val="none"/>
              </w:rPr>
            </w:pPr>
          </w:p>
          <w:p w14:paraId="350C5362">
            <w:pPr>
              <w:pStyle w:val="29"/>
              <w:jc w:val="left"/>
              <w:rPr>
                <w:rFonts w:hAnsi="宋体" w:cs="宋体"/>
                <w:color w:val="auto"/>
                <w:sz w:val="24"/>
                <w:szCs w:val="24"/>
                <w:highlight w:val="none"/>
              </w:rPr>
            </w:pPr>
          </w:p>
          <w:p w14:paraId="707665C8">
            <w:pPr>
              <w:pStyle w:val="29"/>
              <w:jc w:val="left"/>
              <w:rPr>
                <w:rFonts w:hAnsi="宋体" w:cs="宋体"/>
                <w:color w:val="auto"/>
                <w:sz w:val="24"/>
                <w:szCs w:val="24"/>
                <w:highlight w:val="none"/>
              </w:rPr>
            </w:pPr>
          </w:p>
          <w:p w14:paraId="5439A9C3">
            <w:pPr>
              <w:pStyle w:val="29"/>
              <w:jc w:val="left"/>
              <w:rPr>
                <w:rFonts w:hAnsi="宋体" w:cs="宋体"/>
                <w:color w:val="auto"/>
                <w:sz w:val="24"/>
                <w:szCs w:val="24"/>
                <w:highlight w:val="none"/>
              </w:rPr>
            </w:pPr>
          </w:p>
          <w:p w14:paraId="332D3576">
            <w:pPr>
              <w:pStyle w:val="29"/>
              <w:jc w:val="left"/>
              <w:rPr>
                <w:rFonts w:hAnsi="宋体" w:cs="宋体"/>
                <w:color w:val="auto"/>
                <w:sz w:val="24"/>
                <w:szCs w:val="24"/>
                <w:highlight w:val="none"/>
              </w:rPr>
            </w:pPr>
          </w:p>
          <w:p w14:paraId="74F71ED5">
            <w:pPr>
              <w:pStyle w:val="29"/>
              <w:jc w:val="left"/>
              <w:rPr>
                <w:rFonts w:hAnsi="宋体" w:cs="宋体"/>
                <w:color w:val="auto"/>
                <w:sz w:val="24"/>
                <w:szCs w:val="24"/>
                <w:highlight w:val="none"/>
              </w:rPr>
            </w:pPr>
          </w:p>
        </w:tc>
      </w:tr>
    </w:tbl>
    <w:p w14:paraId="02849A6C">
      <w:pPr>
        <w:autoSpaceDE w:val="0"/>
        <w:autoSpaceDN w:val="0"/>
        <w:adjustRightInd w:val="0"/>
        <w:spacing w:line="360" w:lineRule="auto"/>
        <w:rPr>
          <w:rFonts w:hint="eastAsia" w:ascii="宋体" w:hAnsi="宋体" w:cs="宋体"/>
          <w:color w:val="auto"/>
          <w:kern w:val="0"/>
          <w:szCs w:val="21"/>
          <w:highlight w:val="none"/>
          <w:lang w:val="zh-CN"/>
        </w:rPr>
      </w:pPr>
      <w:r>
        <w:rPr>
          <w:rFonts w:hint="eastAsia" w:ascii="宋体" w:hAnsi="宋体" w:cs="宋体"/>
          <w:color w:val="auto"/>
          <w:szCs w:val="21"/>
          <w:highlight w:val="none"/>
          <w:lang w:val="zh-CN"/>
        </w:rPr>
        <w:br w:type="page"/>
      </w:r>
      <w:r>
        <w:rPr>
          <w:rFonts w:hint="eastAsia" w:ascii="方正黑体_GBK" w:hAnsi="方正黑体_GBK" w:eastAsia="方正黑体_GBK" w:cs="方正黑体_GBK"/>
          <w:b w:val="0"/>
          <w:bCs w:val="0"/>
          <w:color w:val="auto"/>
          <w:sz w:val="30"/>
          <w:szCs w:val="30"/>
          <w:highlight w:val="none"/>
          <w:lang w:val="zh-CN"/>
        </w:rPr>
        <w:t>目录三：报价表格式</w:t>
      </w:r>
    </w:p>
    <w:p w14:paraId="298B7E44">
      <w:pPr>
        <w:spacing w:line="360" w:lineRule="auto"/>
        <w:jc w:val="center"/>
        <w:rPr>
          <w:rFonts w:hint="eastAsia" w:ascii="方正小标宋_GBK" w:hAnsi="方正小标宋_GBK" w:eastAsia="方正小标宋_GBK" w:cs="方正小标宋_GBK"/>
          <w:b w:val="0"/>
          <w:bCs w:val="0"/>
          <w:color w:val="auto"/>
          <w:sz w:val="36"/>
          <w:szCs w:val="36"/>
          <w:highlight w:val="none"/>
        </w:rPr>
      </w:pPr>
      <w:r>
        <w:rPr>
          <w:rFonts w:hint="eastAsia" w:ascii="方正小标宋_GBK" w:hAnsi="方正小标宋_GBK" w:eastAsia="方正小标宋_GBK" w:cs="方正小标宋_GBK"/>
          <w:b w:val="0"/>
          <w:bCs w:val="0"/>
          <w:color w:val="auto"/>
          <w:sz w:val="36"/>
          <w:szCs w:val="36"/>
          <w:highlight w:val="none"/>
        </w:rPr>
        <w:t>报</w:t>
      </w:r>
      <w:r>
        <w:rPr>
          <w:rFonts w:hint="eastAsia" w:ascii="方正小标宋_GBK" w:hAnsi="方正小标宋_GBK" w:eastAsia="方正小标宋_GBK" w:cs="方正小标宋_GBK"/>
          <w:b w:val="0"/>
          <w:bCs w:val="0"/>
          <w:color w:val="auto"/>
          <w:sz w:val="36"/>
          <w:szCs w:val="36"/>
          <w:highlight w:val="none"/>
        </w:rPr>
        <w:tab/>
      </w:r>
      <w:r>
        <w:rPr>
          <w:rFonts w:hint="eastAsia" w:ascii="方正小标宋_GBK" w:hAnsi="方正小标宋_GBK" w:eastAsia="方正小标宋_GBK" w:cs="方正小标宋_GBK"/>
          <w:b w:val="0"/>
          <w:bCs w:val="0"/>
          <w:color w:val="auto"/>
          <w:sz w:val="36"/>
          <w:szCs w:val="36"/>
          <w:highlight w:val="none"/>
        </w:rPr>
        <w:t>价</w:t>
      </w:r>
      <w:r>
        <w:rPr>
          <w:rFonts w:hint="eastAsia" w:ascii="方正小标宋_GBK" w:hAnsi="方正小标宋_GBK" w:eastAsia="方正小标宋_GBK" w:cs="方正小标宋_GBK"/>
          <w:b w:val="0"/>
          <w:bCs w:val="0"/>
          <w:color w:val="auto"/>
          <w:sz w:val="36"/>
          <w:szCs w:val="36"/>
          <w:highlight w:val="none"/>
        </w:rPr>
        <w:tab/>
      </w:r>
      <w:r>
        <w:rPr>
          <w:rFonts w:hint="eastAsia" w:ascii="方正小标宋_GBK" w:hAnsi="方正小标宋_GBK" w:eastAsia="方正小标宋_GBK" w:cs="方正小标宋_GBK"/>
          <w:b w:val="0"/>
          <w:bCs w:val="0"/>
          <w:color w:val="auto"/>
          <w:sz w:val="36"/>
          <w:szCs w:val="36"/>
          <w:highlight w:val="none"/>
        </w:rPr>
        <w:t>表</w:t>
      </w:r>
    </w:p>
    <w:tbl>
      <w:tblPr>
        <w:tblStyle w:val="67"/>
        <w:tblW w:w="8710" w:type="dxa"/>
        <w:jc w:val="center"/>
        <w:tblLayout w:type="fixed"/>
        <w:tblCellMar>
          <w:top w:w="0" w:type="dxa"/>
          <w:left w:w="0" w:type="dxa"/>
          <w:bottom w:w="0" w:type="dxa"/>
          <w:right w:w="0" w:type="dxa"/>
        </w:tblCellMar>
      </w:tblPr>
      <w:tblGrid>
        <w:gridCol w:w="2425"/>
        <w:gridCol w:w="4208"/>
        <w:gridCol w:w="2077"/>
      </w:tblGrid>
      <w:tr w14:paraId="4C91238C">
        <w:tblPrEx>
          <w:tblCellMar>
            <w:top w:w="0" w:type="dxa"/>
            <w:left w:w="0" w:type="dxa"/>
            <w:bottom w:w="0" w:type="dxa"/>
            <w:right w:w="0" w:type="dxa"/>
          </w:tblCellMar>
        </w:tblPrEx>
        <w:trPr>
          <w:trHeight w:val="284" w:hRule="atLeast"/>
          <w:jc w:val="center"/>
        </w:trPr>
        <w:tc>
          <w:tcPr>
            <w:tcW w:w="6633" w:type="dxa"/>
            <w:gridSpan w:val="2"/>
            <w:tcBorders>
              <w:top w:val="nil"/>
              <w:left w:val="nil"/>
              <w:bottom w:val="single" w:color="auto" w:sz="6" w:space="0"/>
              <w:right w:val="nil"/>
            </w:tcBorders>
            <w:vAlign w:val="center"/>
          </w:tcPr>
          <w:p w14:paraId="6F7A937E">
            <w:pPr>
              <w:widowControl/>
              <w:adjustRightInd w:val="0"/>
              <w:spacing w:line="360" w:lineRule="auto"/>
              <w:jc w:val="left"/>
              <w:rPr>
                <w:rFonts w:hint="eastAsia" w:ascii="华文仿宋" w:hAnsi="华文仿宋" w:eastAsia="华文仿宋" w:cs="华文仿宋"/>
                <w:color w:val="auto"/>
                <w:kern w:val="0"/>
                <w:sz w:val="28"/>
                <w:szCs w:val="28"/>
                <w:highlight w:val="none"/>
                <w:lang w:val="zh-CN"/>
              </w:rPr>
            </w:pPr>
            <w:r>
              <w:rPr>
                <w:rFonts w:hint="eastAsia" w:ascii="华文仿宋" w:hAnsi="华文仿宋" w:eastAsia="华文仿宋" w:cs="华文仿宋"/>
                <w:color w:val="auto"/>
                <w:kern w:val="0"/>
                <w:sz w:val="28"/>
                <w:szCs w:val="28"/>
                <w:highlight w:val="none"/>
                <w:lang w:val="zh-CN"/>
              </w:rPr>
              <w:t>项目名称：</w:t>
            </w:r>
          </w:p>
        </w:tc>
        <w:tc>
          <w:tcPr>
            <w:tcW w:w="2077" w:type="dxa"/>
            <w:tcBorders>
              <w:top w:val="nil"/>
              <w:left w:val="nil"/>
              <w:bottom w:val="single" w:color="auto" w:sz="6" w:space="0"/>
              <w:right w:val="nil"/>
            </w:tcBorders>
            <w:vAlign w:val="center"/>
          </w:tcPr>
          <w:p w14:paraId="3B79B943">
            <w:pPr>
              <w:widowControl/>
              <w:adjustRightInd w:val="0"/>
              <w:spacing w:line="360" w:lineRule="auto"/>
              <w:jc w:val="left"/>
              <w:rPr>
                <w:rFonts w:hint="eastAsia" w:ascii="华文仿宋" w:hAnsi="华文仿宋" w:eastAsia="华文仿宋" w:cs="华文仿宋"/>
                <w:color w:val="auto"/>
                <w:kern w:val="0"/>
                <w:sz w:val="28"/>
                <w:szCs w:val="28"/>
                <w:highlight w:val="none"/>
                <w:lang w:val="zh-CN"/>
              </w:rPr>
            </w:pPr>
            <w:r>
              <w:rPr>
                <w:rFonts w:hint="eastAsia" w:ascii="华文仿宋" w:hAnsi="华文仿宋" w:eastAsia="华文仿宋" w:cs="华文仿宋"/>
                <w:color w:val="auto"/>
                <w:kern w:val="0"/>
                <w:sz w:val="28"/>
                <w:szCs w:val="28"/>
                <w:highlight w:val="none"/>
                <w:lang w:val="zh-CN"/>
              </w:rPr>
              <w:t>项目编号：</w:t>
            </w:r>
          </w:p>
        </w:tc>
      </w:tr>
      <w:tr w14:paraId="3EC3C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jc w:val="center"/>
        </w:trPr>
        <w:tc>
          <w:tcPr>
            <w:tcW w:w="2425" w:type="dxa"/>
            <w:tcBorders>
              <w:bottom w:val="single" w:color="000000" w:sz="6" w:space="0"/>
            </w:tcBorders>
            <w:vAlign w:val="center"/>
          </w:tcPr>
          <w:p w14:paraId="0992E923">
            <w:pPr>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eastAsia="zh-CN"/>
              </w:rPr>
              <w:t>响应</w:t>
            </w:r>
            <w:r>
              <w:rPr>
                <w:rFonts w:hint="eastAsia" w:ascii="华文仿宋" w:hAnsi="华文仿宋" w:eastAsia="华文仿宋" w:cs="华文仿宋"/>
                <w:color w:val="auto"/>
                <w:sz w:val="28"/>
                <w:szCs w:val="28"/>
                <w:highlight w:val="none"/>
                <w:lang w:val="en-US" w:eastAsia="zh-CN"/>
              </w:rPr>
              <w:t>报</w:t>
            </w:r>
            <w:r>
              <w:rPr>
                <w:rFonts w:hint="eastAsia" w:ascii="华文仿宋" w:hAnsi="华文仿宋" w:eastAsia="华文仿宋" w:cs="华文仿宋"/>
                <w:color w:val="auto"/>
                <w:sz w:val="28"/>
                <w:szCs w:val="28"/>
                <w:highlight w:val="none"/>
              </w:rPr>
              <w:t>价（费率）</w:t>
            </w:r>
          </w:p>
        </w:tc>
        <w:tc>
          <w:tcPr>
            <w:tcW w:w="6285" w:type="dxa"/>
            <w:gridSpan w:val="2"/>
            <w:tcBorders>
              <w:bottom w:val="single" w:color="000000" w:sz="6" w:space="0"/>
            </w:tcBorders>
            <w:vAlign w:val="center"/>
          </w:tcPr>
          <w:p w14:paraId="3BBAC16F">
            <w:pPr>
              <w:jc w:val="both"/>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按苏价服【2014】383号文收费标准的</w:t>
            </w:r>
            <w:r>
              <w:rPr>
                <w:rFonts w:hint="eastAsia" w:ascii="华文仿宋" w:hAnsi="华文仿宋" w:eastAsia="华文仿宋" w:cs="华文仿宋"/>
                <w:color w:val="auto"/>
                <w:sz w:val="28"/>
                <w:szCs w:val="28"/>
                <w:highlight w:val="none"/>
                <w:u w:val="single"/>
              </w:rPr>
              <w:t xml:space="preserve">     %</w:t>
            </w:r>
          </w:p>
        </w:tc>
      </w:tr>
      <w:tr w14:paraId="2ED70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2425" w:type="dxa"/>
            <w:tcBorders>
              <w:top w:val="single" w:color="000000" w:sz="6" w:space="0"/>
            </w:tcBorders>
            <w:vAlign w:val="center"/>
          </w:tcPr>
          <w:p w14:paraId="1E21A3B5">
            <w:pPr>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合同履行期限</w:t>
            </w:r>
          </w:p>
        </w:tc>
        <w:tc>
          <w:tcPr>
            <w:tcW w:w="6285" w:type="dxa"/>
            <w:gridSpan w:val="2"/>
            <w:tcBorders>
              <w:top w:val="single" w:color="000000" w:sz="6" w:space="0"/>
            </w:tcBorders>
            <w:vAlign w:val="center"/>
          </w:tcPr>
          <w:p w14:paraId="54967449">
            <w:pPr>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满足磋商文件要求。</w:t>
            </w:r>
          </w:p>
        </w:tc>
      </w:tr>
      <w:tr w14:paraId="7B16A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2425" w:type="dxa"/>
            <w:tcBorders>
              <w:top w:val="single" w:color="000000" w:sz="6" w:space="0"/>
            </w:tcBorders>
            <w:vAlign w:val="center"/>
          </w:tcPr>
          <w:p w14:paraId="5436B371">
            <w:pPr>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项目负责人</w:t>
            </w:r>
          </w:p>
        </w:tc>
        <w:tc>
          <w:tcPr>
            <w:tcW w:w="6285" w:type="dxa"/>
            <w:gridSpan w:val="2"/>
            <w:tcBorders>
              <w:top w:val="single" w:color="000000" w:sz="6" w:space="0"/>
            </w:tcBorders>
            <w:vAlign w:val="center"/>
          </w:tcPr>
          <w:p w14:paraId="23B8F4FB">
            <w:pPr>
              <w:jc w:val="center"/>
              <w:rPr>
                <w:rFonts w:hint="eastAsia" w:ascii="华文仿宋" w:hAnsi="华文仿宋" w:eastAsia="华文仿宋" w:cs="华文仿宋"/>
                <w:color w:val="auto"/>
                <w:sz w:val="28"/>
                <w:szCs w:val="28"/>
                <w:highlight w:val="none"/>
              </w:rPr>
            </w:pPr>
          </w:p>
        </w:tc>
      </w:tr>
      <w:tr w14:paraId="04D9E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jc w:val="center"/>
        </w:trPr>
        <w:tc>
          <w:tcPr>
            <w:tcW w:w="2425" w:type="dxa"/>
            <w:vAlign w:val="center"/>
          </w:tcPr>
          <w:p w14:paraId="6822DCF4">
            <w:pPr>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eastAsia="zh-CN"/>
              </w:rPr>
              <w:t>响应</w:t>
            </w:r>
            <w:r>
              <w:rPr>
                <w:rFonts w:hint="eastAsia" w:ascii="华文仿宋" w:hAnsi="华文仿宋" w:eastAsia="华文仿宋" w:cs="华文仿宋"/>
                <w:color w:val="auto"/>
                <w:sz w:val="28"/>
                <w:szCs w:val="28"/>
                <w:highlight w:val="none"/>
              </w:rPr>
              <w:t>标的是否全部由小微企业提供</w:t>
            </w:r>
          </w:p>
        </w:tc>
        <w:tc>
          <w:tcPr>
            <w:tcW w:w="6285" w:type="dxa"/>
            <w:gridSpan w:val="2"/>
            <w:vAlign w:val="center"/>
          </w:tcPr>
          <w:p w14:paraId="57FBFE75">
            <w:pPr>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（填写“是”或“否）</w:t>
            </w:r>
          </w:p>
        </w:tc>
      </w:tr>
    </w:tbl>
    <w:p w14:paraId="140A20D8">
      <w:pPr>
        <w:keepNext w:val="0"/>
        <w:keepLines w:val="0"/>
        <w:pageBreakBefore w:val="0"/>
        <w:widowControl w:val="0"/>
        <w:kinsoku/>
        <w:wordWrap/>
        <w:overflowPunct/>
        <w:topLinePunct w:val="0"/>
        <w:autoSpaceDE/>
        <w:autoSpaceDN/>
        <w:bidi w:val="0"/>
        <w:adjustRightInd/>
        <w:snapToGrid/>
        <w:spacing w:line="520" w:lineRule="exact"/>
        <w:ind w:firstLine="584" w:firstLineChars="20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供应商（盖章）: </w:t>
      </w:r>
      <w:r>
        <w:rPr>
          <w:rFonts w:hint="eastAsia" w:ascii="华文仿宋" w:hAnsi="华文仿宋" w:eastAsia="华文仿宋" w:cs="华文仿宋"/>
          <w:color w:val="auto"/>
          <w:sz w:val="30"/>
          <w:szCs w:val="30"/>
          <w:highlight w:val="none"/>
        </w:rPr>
        <w:tab/>
      </w:r>
    </w:p>
    <w:p w14:paraId="2792B669">
      <w:pPr>
        <w:keepNext w:val="0"/>
        <w:keepLines w:val="0"/>
        <w:pageBreakBefore w:val="0"/>
        <w:widowControl w:val="0"/>
        <w:kinsoku/>
        <w:wordWrap/>
        <w:overflowPunct/>
        <w:topLinePunct w:val="0"/>
        <w:autoSpaceDE/>
        <w:autoSpaceDN/>
        <w:bidi w:val="0"/>
        <w:adjustRightInd/>
        <w:snapToGrid/>
        <w:spacing w:line="520" w:lineRule="exact"/>
        <w:ind w:firstLine="544"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法定代表人或其授权代表（签字）：</w:t>
      </w:r>
      <w:r>
        <w:rPr>
          <w:rFonts w:hint="eastAsia" w:ascii="华文仿宋" w:hAnsi="华文仿宋" w:eastAsia="华文仿宋" w:cs="华文仿宋"/>
          <w:color w:val="auto"/>
          <w:sz w:val="28"/>
          <w:szCs w:val="28"/>
          <w:highlight w:val="none"/>
        </w:rPr>
        <w:tab/>
      </w:r>
      <w:r>
        <w:rPr>
          <w:rFonts w:hint="eastAsia" w:ascii="华文仿宋" w:hAnsi="华文仿宋" w:eastAsia="华文仿宋" w:cs="华文仿宋"/>
          <w:color w:val="auto"/>
          <w:sz w:val="28"/>
          <w:szCs w:val="28"/>
          <w:highlight w:val="none"/>
        </w:rPr>
        <w:t xml:space="preserve">     </w:t>
      </w:r>
    </w:p>
    <w:p w14:paraId="6065354E">
      <w:pPr>
        <w:keepNext w:val="0"/>
        <w:keepLines w:val="0"/>
        <w:pageBreakBefore w:val="0"/>
        <w:widowControl w:val="0"/>
        <w:kinsoku/>
        <w:wordWrap/>
        <w:overflowPunct/>
        <w:topLinePunct w:val="0"/>
        <w:autoSpaceDE/>
        <w:autoSpaceDN/>
        <w:bidi w:val="0"/>
        <w:adjustRightInd/>
        <w:snapToGrid/>
        <w:spacing w:line="520" w:lineRule="exact"/>
        <w:ind w:firstLine="544"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日</w:t>
      </w:r>
      <w:r>
        <w:rPr>
          <w:rFonts w:hint="eastAsia" w:ascii="华文仿宋" w:hAnsi="华文仿宋" w:eastAsia="华文仿宋" w:cs="华文仿宋"/>
          <w:color w:val="auto"/>
          <w:sz w:val="28"/>
          <w:szCs w:val="28"/>
          <w:highlight w:val="none"/>
        </w:rPr>
        <w:tab/>
      </w:r>
      <w:r>
        <w:rPr>
          <w:rFonts w:hint="eastAsia" w:ascii="华文仿宋" w:hAnsi="华文仿宋" w:eastAsia="华文仿宋" w:cs="华文仿宋"/>
          <w:color w:val="auto"/>
          <w:sz w:val="28"/>
          <w:szCs w:val="28"/>
          <w:highlight w:val="none"/>
        </w:rPr>
        <w:t>期：</w:t>
      </w:r>
      <w:r>
        <w:rPr>
          <w:rFonts w:hint="eastAsia" w:ascii="华文仿宋" w:hAnsi="华文仿宋" w:eastAsia="华文仿宋" w:cs="华文仿宋"/>
          <w:color w:val="auto"/>
          <w:sz w:val="28"/>
          <w:szCs w:val="28"/>
          <w:highlight w:val="none"/>
        </w:rPr>
        <w:tab/>
      </w:r>
      <w:r>
        <w:rPr>
          <w:rFonts w:hint="eastAsia" w:ascii="华文仿宋" w:hAnsi="华文仿宋" w:eastAsia="华文仿宋" w:cs="华文仿宋"/>
          <w:color w:val="auto"/>
          <w:sz w:val="28"/>
          <w:szCs w:val="28"/>
          <w:highlight w:val="none"/>
        </w:rPr>
        <w:t>年</w:t>
      </w:r>
      <w:r>
        <w:rPr>
          <w:rFonts w:hint="eastAsia" w:ascii="华文仿宋" w:hAnsi="华文仿宋" w:eastAsia="华文仿宋" w:cs="华文仿宋"/>
          <w:color w:val="auto"/>
          <w:sz w:val="28"/>
          <w:szCs w:val="28"/>
          <w:highlight w:val="none"/>
        </w:rPr>
        <w:tab/>
      </w:r>
      <w:r>
        <w:rPr>
          <w:rFonts w:hint="eastAsia" w:ascii="华文仿宋" w:hAnsi="华文仿宋" w:eastAsia="华文仿宋" w:cs="华文仿宋"/>
          <w:color w:val="auto"/>
          <w:sz w:val="28"/>
          <w:szCs w:val="28"/>
          <w:highlight w:val="none"/>
        </w:rPr>
        <w:t>月</w:t>
      </w:r>
      <w:r>
        <w:rPr>
          <w:rFonts w:hint="eastAsia" w:ascii="华文仿宋" w:hAnsi="华文仿宋" w:eastAsia="华文仿宋" w:cs="华文仿宋"/>
          <w:color w:val="auto"/>
          <w:sz w:val="28"/>
          <w:szCs w:val="28"/>
          <w:highlight w:val="none"/>
        </w:rPr>
        <w:tab/>
      </w:r>
      <w:r>
        <w:rPr>
          <w:rFonts w:hint="eastAsia" w:ascii="华文仿宋" w:hAnsi="华文仿宋" w:eastAsia="华文仿宋" w:cs="华文仿宋"/>
          <w:color w:val="auto"/>
          <w:sz w:val="28"/>
          <w:szCs w:val="28"/>
          <w:highlight w:val="none"/>
        </w:rPr>
        <w:t>日</w:t>
      </w:r>
    </w:p>
    <w:p w14:paraId="0C7EA053">
      <w:pPr>
        <w:keepNext w:val="0"/>
        <w:keepLines w:val="0"/>
        <w:pageBreakBefore w:val="0"/>
        <w:widowControl w:val="0"/>
        <w:kinsoku/>
        <w:wordWrap/>
        <w:overflowPunct/>
        <w:topLinePunct w:val="0"/>
        <w:autoSpaceDE/>
        <w:autoSpaceDN/>
        <w:bidi w:val="0"/>
        <w:adjustRightInd/>
        <w:snapToGrid/>
        <w:spacing w:line="520" w:lineRule="exact"/>
        <w:ind w:firstLine="544" w:firstLineChars="200"/>
        <w:textAlignment w:val="auto"/>
        <w:rPr>
          <w:rFonts w:hint="eastAsia" w:ascii="华文仿宋" w:hAnsi="华文仿宋" w:eastAsia="华文仿宋" w:cs="华文仿宋"/>
          <w:color w:val="auto"/>
          <w:sz w:val="28"/>
          <w:szCs w:val="28"/>
          <w:highlight w:val="none"/>
        </w:rPr>
      </w:pPr>
    </w:p>
    <w:p w14:paraId="78730340">
      <w:pPr>
        <w:keepNext w:val="0"/>
        <w:keepLines w:val="0"/>
        <w:pageBreakBefore w:val="0"/>
        <w:widowControl w:val="0"/>
        <w:kinsoku/>
        <w:wordWrap/>
        <w:overflowPunct/>
        <w:topLinePunct w:val="0"/>
        <w:autoSpaceDE/>
        <w:autoSpaceDN/>
        <w:bidi w:val="0"/>
        <w:adjustRightInd/>
        <w:snapToGrid/>
        <w:spacing w:line="520" w:lineRule="exact"/>
        <w:ind w:firstLine="464"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说明：</w:t>
      </w:r>
    </w:p>
    <w:p w14:paraId="64E4BC66">
      <w:pPr>
        <w:keepNext w:val="0"/>
        <w:keepLines w:val="0"/>
        <w:pageBreakBefore w:val="0"/>
        <w:widowControl w:val="0"/>
        <w:kinsoku/>
        <w:wordWrap/>
        <w:overflowPunct/>
        <w:topLinePunct w:val="0"/>
        <w:autoSpaceDE/>
        <w:autoSpaceDN/>
        <w:bidi w:val="0"/>
        <w:adjustRightInd/>
        <w:snapToGrid/>
        <w:spacing w:line="520" w:lineRule="exact"/>
        <w:ind w:firstLine="464"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1、本项目仅接受一个价格，不得填报有选择性报价方案。若有优惠条款须注明，但不得影响报价，影响产品整体功能。</w:t>
      </w:r>
    </w:p>
    <w:p w14:paraId="4AD0FAC8">
      <w:pPr>
        <w:keepNext w:val="0"/>
        <w:keepLines w:val="0"/>
        <w:pageBreakBefore w:val="0"/>
        <w:widowControl w:val="0"/>
        <w:kinsoku/>
        <w:wordWrap/>
        <w:overflowPunct/>
        <w:topLinePunct w:val="0"/>
        <w:autoSpaceDE/>
        <w:autoSpaceDN/>
        <w:bidi w:val="0"/>
        <w:adjustRightInd/>
        <w:snapToGrid/>
        <w:spacing w:line="520" w:lineRule="exact"/>
        <w:ind w:firstLine="464"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标的是否全部由小微企业提供”栏内填写“是”或“否”。如填写“是”，供应商应按采购文件要求提供《中小企业声明函》《残疾人福利性单位声明函》《属于监狱企业的证明文件》。如未按要求提供、填写，视为未提供。</w:t>
      </w:r>
    </w:p>
    <w:p w14:paraId="7EE08F78">
      <w:pPr>
        <w:keepNext w:val="0"/>
        <w:keepLines w:val="0"/>
        <w:pageBreakBefore w:val="0"/>
        <w:widowControl w:val="0"/>
        <w:kinsoku/>
        <w:wordWrap/>
        <w:overflowPunct/>
        <w:topLinePunct w:val="0"/>
        <w:autoSpaceDE/>
        <w:autoSpaceDN/>
        <w:bidi w:val="0"/>
        <w:adjustRightInd/>
        <w:snapToGrid/>
        <w:spacing w:line="520" w:lineRule="exact"/>
        <w:ind w:firstLine="464"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4"/>
          <w:szCs w:val="24"/>
          <w:highlight w:val="none"/>
        </w:rPr>
        <w:t>3、磋商结束后，磋商小组将要求所有实质性响应的供应商在规定时间内提交最后报价。</w:t>
      </w:r>
    </w:p>
    <w:p w14:paraId="634DC6B3">
      <w:pPr>
        <w:spacing w:line="360" w:lineRule="auto"/>
        <w:ind w:firstLine="544" w:firstLineChars="200"/>
        <w:rPr>
          <w:rFonts w:hint="eastAsia" w:ascii="华文仿宋" w:hAnsi="华文仿宋" w:eastAsia="华文仿宋" w:cs="华文仿宋"/>
          <w:color w:val="auto"/>
          <w:sz w:val="28"/>
          <w:szCs w:val="28"/>
          <w:highlight w:val="none"/>
        </w:rPr>
        <w:sectPr>
          <w:footerReference r:id="rId7" w:type="default"/>
          <w:pgSz w:w="11910" w:h="16840"/>
          <w:pgMar w:top="2098" w:right="1531" w:bottom="1701" w:left="1531" w:header="0" w:footer="992" w:gutter="0"/>
          <w:pgNumType w:fmt="decimal"/>
          <w:cols w:space="720" w:num="1"/>
          <w:rtlGutter w:val="0"/>
          <w:docGrid w:type="linesAndChars" w:linePitch="296" w:charSpace="-1825"/>
        </w:sectPr>
      </w:pPr>
    </w:p>
    <w:p w14:paraId="7D6362B6">
      <w:pPr>
        <w:widowControl/>
        <w:snapToGrid/>
        <w:spacing w:line="240" w:lineRule="auto"/>
        <w:jc w:val="center"/>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分项报价表</w:t>
      </w:r>
    </w:p>
    <w:p w14:paraId="50841073">
      <w:pPr>
        <w:widowControl w:val="0"/>
        <w:snapToGrid/>
        <w:spacing w:line="520" w:lineRule="exact"/>
        <w:ind w:firstLine="600" w:firstLineChars="200"/>
        <w:jc w:val="left"/>
        <w:rPr>
          <w:rFonts w:hint="eastAsia" w:ascii="华文仿宋" w:hAnsi="华文仿宋" w:eastAsia="华文仿宋" w:cs="华文仿宋"/>
          <w:color w:val="auto"/>
          <w:sz w:val="30"/>
          <w:szCs w:val="30"/>
          <w:highlight w:val="none"/>
        </w:rPr>
      </w:pPr>
    </w:p>
    <w:p w14:paraId="553436D9">
      <w:pPr>
        <w:widowControl w:val="0"/>
        <w:snapToGrid/>
        <w:spacing w:line="520" w:lineRule="exact"/>
        <w:ind w:firstLine="600" w:firstLineChars="200"/>
        <w:jc w:val="left"/>
        <w:rPr>
          <w:rFonts w:hint="eastAsia" w:ascii="华文仿宋" w:hAnsi="华文仿宋" w:eastAsia="华文仿宋" w:cs="华文仿宋"/>
          <w:color w:val="auto"/>
          <w:sz w:val="30"/>
          <w:szCs w:val="30"/>
          <w:highlight w:val="none"/>
          <w:u w:val="none"/>
        </w:rPr>
      </w:pPr>
      <w:r>
        <w:rPr>
          <w:rFonts w:hint="eastAsia" w:ascii="华文仿宋" w:hAnsi="华文仿宋" w:eastAsia="华文仿宋" w:cs="华文仿宋"/>
          <w:color w:val="auto"/>
          <w:sz w:val="30"/>
          <w:szCs w:val="30"/>
          <w:highlight w:val="none"/>
        </w:rPr>
        <w:t>项目名称：</w:t>
      </w:r>
      <w:r>
        <w:rPr>
          <w:rFonts w:hint="eastAsia" w:ascii="华文仿宋" w:hAnsi="华文仿宋" w:eastAsia="华文仿宋" w:cs="华文仿宋"/>
          <w:color w:val="auto"/>
          <w:sz w:val="30"/>
          <w:szCs w:val="30"/>
          <w:highlight w:val="none"/>
          <w:u w:val="none"/>
        </w:rPr>
        <w:t xml:space="preserve">                           </w:t>
      </w:r>
    </w:p>
    <w:tbl>
      <w:tblPr>
        <w:tblStyle w:val="67"/>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025"/>
        <w:gridCol w:w="2029"/>
        <w:gridCol w:w="1214"/>
        <w:gridCol w:w="1832"/>
        <w:gridCol w:w="990"/>
      </w:tblGrid>
      <w:tr w14:paraId="0EE20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jc w:val="center"/>
        </w:trPr>
        <w:tc>
          <w:tcPr>
            <w:tcW w:w="778" w:type="dxa"/>
            <w:vAlign w:val="center"/>
          </w:tcPr>
          <w:p w14:paraId="29B9B083">
            <w:pPr>
              <w:widowControl w:val="0"/>
              <w:snapToGrid/>
              <w:spacing w:line="240" w:lineRule="auto"/>
              <w:ind w:firstLine="0" w:firstLineChars="0"/>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序号</w:t>
            </w:r>
          </w:p>
        </w:tc>
        <w:tc>
          <w:tcPr>
            <w:tcW w:w="2025" w:type="dxa"/>
            <w:vAlign w:val="center"/>
          </w:tcPr>
          <w:p w14:paraId="69607A4E">
            <w:pPr>
              <w:widowControl w:val="0"/>
              <w:snapToGrid/>
              <w:spacing w:line="240" w:lineRule="auto"/>
              <w:ind w:firstLine="0" w:firstLineChars="0"/>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分项内容</w:t>
            </w:r>
          </w:p>
        </w:tc>
        <w:tc>
          <w:tcPr>
            <w:tcW w:w="2029" w:type="dxa"/>
            <w:vAlign w:val="center"/>
          </w:tcPr>
          <w:p w14:paraId="3921C48C">
            <w:pPr>
              <w:widowControl w:val="0"/>
              <w:snapToGrid/>
              <w:spacing w:line="240" w:lineRule="auto"/>
              <w:ind w:firstLine="0" w:firstLineChars="0"/>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服务分项</w:t>
            </w:r>
          </w:p>
        </w:tc>
        <w:tc>
          <w:tcPr>
            <w:tcW w:w="1214" w:type="dxa"/>
            <w:vAlign w:val="center"/>
          </w:tcPr>
          <w:p w14:paraId="4AFDE23C">
            <w:pPr>
              <w:widowControl w:val="0"/>
              <w:snapToGrid/>
              <w:spacing w:line="240" w:lineRule="auto"/>
              <w:ind w:firstLine="0" w:firstLineChars="0"/>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报价</w:t>
            </w:r>
          </w:p>
        </w:tc>
        <w:tc>
          <w:tcPr>
            <w:tcW w:w="1832" w:type="dxa"/>
            <w:vAlign w:val="center"/>
          </w:tcPr>
          <w:p w14:paraId="3BD95741">
            <w:pPr>
              <w:widowControl w:val="0"/>
              <w:snapToGrid/>
              <w:spacing w:line="240" w:lineRule="auto"/>
              <w:ind w:firstLine="0" w:firstLineChars="0"/>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是否属于小、微型企业的服务项目</w:t>
            </w:r>
          </w:p>
        </w:tc>
        <w:tc>
          <w:tcPr>
            <w:tcW w:w="990" w:type="dxa"/>
            <w:vAlign w:val="center"/>
          </w:tcPr>
          <w:p w14:paraId="128271B4">
            <w:pPr>
              <w:widowControl w:val="0"/>
              <w:snapToGrid/>
              <w:spacing w:line="240" w:lineRule="auto"/>
              <w:ind w:firstLine="0" w:firstLineChars="0"/>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备注</w:t>
            </w:r>
          </w:p>
        </w:tc>
      </w:tr>
      <w:tr w14:paraId="76A2C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78" w:type="dxa"/>
            <w:vAlign w:val="top"/>
          </w:tcPr>
          <w:p w14:paraId="47FE6E00">
            <w:pPr>
              <w:widowControl w:val="0"/>
              <w:snapToGrid/>
              <w:spacing w:line="240" w:lineRule="auto"/>
              <w:ind w:firstLine="0" w:firstLineChars="0"/>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w:t>
            </w:r>
          </w:p>
        </w:tc>
        <w:tc>
          <w:tcPr>
            <w:tcW w:w="2025" w:type="dxa"/>
            <w:vAlign w:val="top"/>
          </w:tcPr>
          <w:p w14:paraId="4097CEDC">
            <w:pPr>
              <w:snapToGrid/>
              <w:spacing w:line="240" w:lineRule="auto"/>
              <w:ind w:firstLine="560" w:firstLineChars="200"/>
              <w:rPr>
                <w:rFonts w:hint="eastAsia" w:ascii="华文仿宋" w:hAnsi="华文仿宋" w:eastAsia="华文仿宋" w:cs="华文仿宋"/>
                <w:color w:val="auto"/>
                <w:spacing w:val="0"/>
                <w:sz w:val="28"/>
                <w:szCs w:val="28"/>
                <w:highlight w:val="none"/>
              </w:rPr>
            </w:pPr>
          </w:p>
        </w:tc>
        <w:tc>
          <w:tcPr>
            <w:tcW w:w="2029" w:type="dxa"/>
            <w:vAlign w:val="top"/>
          </w:tcPr>
          <w:p w14:paraId="3C0D963B">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c>
          <w:tcPr>
            <w:tcW w:w="1214" w:type="dxa"/>
            <w:vAlign w:val="top"/>
          </w:tcPr>
          <w:p w14:paraId="2C559010">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c>
          <w:tcPr>
            <w:tcW w:w="1832" w:type="dxa"/>
            <w:vAlign w:val="top"/>
          </w:tcPr>
          <w:p w14:paraId="4E27A78F">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c>
          <w:tcPr>
            <w:tcW w:w="990" w:type="dxa"/>
            <w:vAlign w:val="top"/>
          </w:tcPr>
          <w:p w14:paraId="075F481E">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r>
      <w:tr w14:paraId="73BA0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78" w:type="dxa"/>
            <w:vAlign w:val="top"/>
          </w:tcPr>
          <w:p w14:paraId="2934B0AB">
            <w:pPr>
              <w:widowControl w:val="0"/>
              <w:snapToGrid/>
              <w:spacing w:line="240" w:lineRule="auto"/>
              <w:ind w:firstLine="0" w:firstLineChars="0"/>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w:t>
            </w:r>
          </w:p>
        </w:tc>
        <w:tc>
          <w:tcPr>
            <w:tcW w:w="2025" w:type="dxa"/>
            <w:vAlign w:val="top"/>
          </w:tcPr>
          <w:p w14:paraId="0053330B">
            <w:pPr>
              <w:snapToGrid/>
              <w:spacing w:line="240" w:lineRule="auto"/>
              <w:ind w:firstLine="560" w:firstLineChars="200"/>
              <w:rPr>
                <w:rFonts w:hint="eastAsia" w:ascii="华文仿宋" w:hAnsi="华文仿宋" w:eastAsia="华文仿宋" w:cs="华文仿宋"/>
                <w:color w:val="auto"/>
                <w:sz w:val="28"/>
                <w:szCs w:val="28"/>
                <w:highlight w:val="none"/>
                <w:lang w:val="zh-CN"/>
              </w:rPr>
            </w:pPr>
          </w:p>
        </w:tc>
        <w:tc>
          <w:tcPr>
            <w:tcW w:w="2029" w:type="dxa"/>
            <w:vAlign w:val="top"/>
          </w:tcPr>
          <w:p w14:paraId="4832D045">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c>
          <w:tcPr>
            <w:tcW w:w="1214" w:type="dxa"/>
            <w:vAlign w:val="top"/>
          </w:tcPr>
          <w:p w14:paraId="29C6241B">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c>
          <w:tcPr>
            <w:tcW w:w="1832" w:type="dxa"/>
            <w:vAlign w:val="top"/>
          </w:tcPr>
          <w:p w14:paraId="307C9E0B">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c>
          <w:tcPr>
            <w:tcW w:w="990" w:type="dxa"/>
            <w:vAlign w:val="top"/>
          </w:tcPr>
          <w:p w14:paraId="7A4B5487">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r>
      <w:tr w14:paraId="248C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778" w:type="dxa"/>
            <w:vAlign w:val="top"/>
          </w:tcPr>
          <w:p w14:paraId="34AE9BB2">
            <w:pPr>
              <w:widowControl w:val="0"/>
              <w:snapToGrid/>
              <w:spacing w:line="240" w:lineRule="auto"/>
              <w:ind w:firstLine="0" w:firstLineChars="0"/>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w:t>
            </w:r>
          </w:p>
        </w:tc>
        <w:tc>
          <w:tcPr>
            <w:tcW w:w="2025" w:type="dxa"/>
            <w:vAlign w:val="top"/>
          </w:tcPr>
          <w:p w14:paraId="2633DE47">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c>
          <w:tcPr>
            <w:tcW w:w="2029" w:type="dxa"/>
            <w:vAlign w:val="top"/>
          </w:tcPr>
          <w:p w14:paraId="56B61379">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c>
          <w:tcPr>
            <w:tcW w:w="1214" w:type="dxa"/>
            <w:vAlign w:val="top"/>
          </w:tcPr>
          <w:p w14:paraId="0B0E2F17">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c>
          <w:tcPr>
            <w:tcW w:w="1832" w:type="dxa"/>
            <w:vAlign w:val="top"/>
          </w:tcPr>
          <w:p w14:paraId="356B1636">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c>
          <w:tcPr>
            <w:tcW w:w="990" w:type="dxa"/>
            <w:vAlign w:val="top"/>
          </w:tcPr>
          <w:p w14:paraId="56FEDA35">
            <w:pPr>
              <w:widowControl w:val="0"/>
              <w:snapToGrid/>
              <w:spacing w:line="240" w:lineRule="auto"/>
              <w:ind w:firstLine="560" w:firstLineChars="200"/>
              <w:jc w:val="both"/>
              <w:rPr>
                <w:rFonts w:hint="eastAsia" w:ascii="华文仿宋" w:hAnsi="华文仿宋" w:eastAsia="华文仿宋" w:cs="华文仿宋"/>
                <w:color w:val="auto"/>
                <w:sz w:val="28"/>
                <w:szCs w:val="28"/>
                <w:highlight w:val="none"/>
              </w:rPr>
            </w:pPr>
          </w:p>
        </w:tc>
      </w:tr>
    </w:tbl>
    <w:p w14:paraId="15F140CC">
      <w:pPr>
        <w:widowControl w:val="0"/>
        <w:snapToGrid/>
        <w:spacing w:line="520" w:lineRule="exact"/>
        <w:ind w:firstLine="600" w:firstLineChars="200"/>
        <w:jc w:val="left"/>
        <w:rPr>
          <w:rFonts w:hint="eastAsia" w:ascii="华文仿宋" w:hAnsi="华文仿宋" w:eastAsia="华文仿宋" w:cs="华文仿宋"/>
          <w:color w:val="auto"/>
          <w:sz w:val="30"/>
          <w:szCs w:val="30"/>
          <w:highlight w:val="none"/>
        </w:rPr>
      </w:pPr>
    </w:p>
    <w:p w14:paraId="2F8A0AE0">
      <w:pPr>
        <w:widowControl w:val="0"/>
        <w:snapToGrid/>
        <w:spacing w:line="520" w:lineRule="exact"/>
        <w:ind w:firstLine="480" w:firstLineChars="200"/>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24"/>
          <w:szCs w:val="24"/>
          <w:highlight w:val="none"/>
        </w:rPr>
        <w:t>说明：</w:t>
      </w:r>
    </w:p>
    <w:p w14:paraId="47FB53CF">
      <w:pPr>
        <w:widowControl w:val="0"/>
        <w:snapToGrid/>
        <w:spacing w:line="520" w:lineRule="exact"/>
        <w:ind w:firstLine="480" w:firstLineChars="200"/>
        <w:jc w:val="left"/>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1</w:t>
      </w:r>
      <w:r>
        <w:rPr>
          <w:rFonts w:hint="eastAsia" w:ascii="华文仿宋" w:hAnsi="华文仿宋" w:eastAsia="华文仿宋" w:cs="华文仿宋"/>
          <w:color w:val="auto"/>
          <w:sz w:val="24"/>
          <w:szCs w:val="24"/>
          <w:highlight w:val="none"/>
        </w:rPr>
        <w:t>、如果行数不够，请自行增加。</w:t>
      </w:r>
    </w:p>
    <w:p w14:paraId="4DD173D1">
      <w:pPr>
        <w:widowControl w:val="0"/>
        <w:snapToGrid/>
        <w:spacing w:line="520" w:lineRule="exact"/>
        <w:ind w:firstLine="480" w:firstLineChars="200"/>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24"/>
          <w:szCs w:val="24"/>
          <w:highlight w:val="none"/>
          <w:lang w:val="en-US" w:eastAsia="zh-CN"/>
        </w:rPr>
        <w:t>2</w:t>
      </w:r>
      <w:r>
        <w:rPr>
          <w:rFonts w:hint="eastAsia" w:ascii="华文仿宋" w:hAnsi="华文仿宋" w:eastAsia="华文仿宋" w:cs="华文仿宋"/>
          <w:color w:val="auto"/>
          <w:sz w:val="24"/>
          <w:szCs w:val="24"/>
          <w:highlight w:val="none"/>
        </w:rPr>
        <w:t>、未注明小微企业的，不享受价格扣除。</w:t>
      </w:r>
    </w:p>
    <w:p w14:paraId="40CF9FB3">
      <w:pPr>
        <w:widowControl w:val="0"/>
        <w:snapToGrid/>
        <w:spacing w:line="520" w:lineRule="exact"/>
        <w:ind w:firstLine="600" w:firstLineChars="200"/>
        <w:jc w:val="left"/>
        <w:rPr>
          <w:rFonts w:hint="eastAsia" w:ascii="华文仿宋" w:hAnsi="华文仿宋" w:eastAsia="华文仿宋" w:cs="华文仿宋"/>
          <w:color w:val="auto"/>
          <w:sz w:val="30"/>
          <w:szCs w:val="30"/>
          <w:highlight w:val="none"/>
        </w:rPr>
      </w:pPr>
    </w:p>
    <w:p w14:paraId="1FCBB6C0">
      <w:pPr>
        <w:widowControl w:val="0"/>
        <w:snapToGrid/>
        <w:spacing w:line="520" w:lineRule="exact"/>
        <w:ind w:firstLine="600" w:firstLineChars="200"/>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供应商（盖章）: </w:t>
      </w:r>
      <w:r>
        <w:rPr>
          <w:rFonts w:hint="eastAsia" w:ascii="华文仿宋" w:hAnsi="华文仿宋" w:eastAsia="华文仿宋" w:cs="华文仿宋"/>
          <w:color w:val="auto"/>
          <w:sz w:val="30"/>
          <w:szCs w:val="30"/>
          <w:highlight w:val="none"/>
          <w:u w:val="none"/>
        </w:rPr>
        <w:t xml:space="preserve">                        </w:t>
      </w:r>
      <w:r>
        <w:rPr>
          <w:rFonts w:hint="eastAsia" w:ascii="华文仿宋" w:hAnsi="华文仿宋" w:eastAsia="华文仿宋" w:cs="华文仿宋"/>
          <w:color w:val="auto"/>
          <w:sz w:val="30"/>
          <w:szCs w:val="30"/>
          <w:highlight w:val="none"/>
        </w:rPr>
        <w:t xml:space="preserve">     </w:t>
      </w:r>
    </w:p>
    <w:p w14:paraId="62E8C17E">
      <w:pPr>
        <w:widowControl w:val="0"/>
        <w:snapToGrid/>
        <w:spacing w:line="520" w:lineRule="exact"/>
        <w:ind w:firstLine="600" w:firstLineChars="200"/>
        <w:jc w:val="left"/>
        <w:rPr>
          <w:rFonts w:hint="eastAsia" w:ascii="华文仿宋" w:hAnsi="华文仿宋" w:eastAsia="华文仿宋" w:cs="华文仿宋"/>
          <w:color w:val="auto"/>
          <w:sz w:val="30"/>
          <w:szCs w:val="30"/>
          <w:highlight w:val="none"/>
          <w:u w:val="none"/>
        </w:rPr>
      </w:pPr>
      <w:r>
        <w:rPr>
          <w:rFonts w:hint="eastAsia" w:ascii="华文仿宋" w:hAnsi="华文仿宋" w:eastAsia="华文仿宋" w:cs="华文仿宋"/>
          <w:color w:val="auto"/>
          <w:sz w:val="30"/>
          <w:szCs w:val="30"/>
          <w:highlight w:val="none"/>
        </w:rPr>
        <w:t>授权代表（签字）：</w:t>
      </w:r>
      <w:r>
        <w:rPr>
          <w:rFonts w:hint="eastAsia" w:ascii="华文仿宋" w:hAnsi="华文仿宋" w:eastAsia="华文仿宋" w:cs="华文仿宋"/>
          <w:color w:val="auto"/>
          <w:sz w:val="30"/>
          <w:szCs w:val="30"/>
          <w:highlight w:val="none"/>
          <w:u w:val="none"/>
        </w:rPr>
        <w:t xml:space="preserve">                      </w:t>
      </w:r>
    </w:p>
    <w:p w14:paraId="5E2AA0EA">
      <w:pPr>
        <w:widowControl w:val="0"/>
        <w:adjustRightInd/>
        <w:spacing w:line="520" w:lineRule="exact"/>
        <w:ind w:firstLine="600" w:firstLineChars="200"/>
        <w:jc w:val="left"/>
        <w:rPr>
          <w:rFonts w:hint="eastAsia" w:ascii="华文仿宋" w:hAnsi="华文仿宋" w:eastAsia="华文仿宋" w:cs="华文仿宋"/>
          <w:b w:val="0"/>
          <w:bCs w:val="0"/>
          <w:color w:val="auto"/>
          <w:kern w:val="2"/>
          <w:sz w:val="30"/>
          <w:szCs w:val="30"/>
          <w:highlight w:val="none"/>
          <w:lang w:val="zh-CN"/>
        </w:rPr>
      </w:pPr>
      <w:r>
        <w:rPr>
          <w:rFonts w:hint="eastAsia" w:ascii="华文仿宋" w:hAnsi="华文仿宋" w:eastAsia="华文仿宋" w:cs="华文仿宋"/>
          <w:color w:val="auto"/>
          <w:sz w:val="30"/>
          <w:szCs w:val="30"/>
          <w:highlight w:val="none"/>
        </w:rPr>
        <w:t>日 期：     年     月     日</w:t>
      </w:r>
    </w:p>
    <w:p w14:paraId="53D3E598">
      <w:pPr>
        <w:pageBreakBefore/>
        <w:widowControl/>
        <w:adjustRightInd w:val="0"/>
        <w:spacing w:line="360" w:lineRule="auto"/>
        <w:jc w:val="left"/>
        <w:rPr>
          <w:rFonts w:hint="eastAsia" w:ascii="方正黑体_GBK" w:hAnsi="方正黑体_GBK" w:eastAsia="方正黑体_GBK" w:cs="方正黑体_GBK"/>
          <w:b w:val="0"/>
          <w:bCs/>
          <w:color w:val="auto"/>
          <w:kern w:val="0"/>
          <w:sz w:val="30"/>
          <w:szCs w:val="30"/>
          <w:highlight w:val="none"/>
          <w:lang w:val="zh-CN"/>
        </w:rPr>
      </w:pPr>
      <w:r>
        <w:rPr>
          <w:rFonts w:hint="eastAsia" w:ascii="方正黑体_GBK" w:hAnsi="方正黑体_GBK" w:eastAsia="方正黑体_GBK" w:cs="方正黑体_GBK"/>
          <w:b w:val="0"/>
          <w:bCs/>
          <w:color w:val="auto"/>
          <w:kern w:val="0"/>
          <w:sz w:val="30"/>
          <w:szCs w:val="30"/>
          <w:highlight w:val="none"/>
          <w:lang w:val="zh-CN"/>
        </w:rPr>
        <w:t>目录四：资格证明文件</w:t>
      </w:r>
    </w:p>
    <w:p w14:paraId="2EC9ED4D">
      <w:pPr>
        <w:spacing w:line="360" w:lineRule="auto"/>
        <w:jc w:val="center"/>
        <w:rPr>
          <w:rFonts w:hint="eastAsia" w:ascii="方正小标宋_GBK" w:hAnsi="方正小标宋_GBK" w:eastAsia="方正小标宋_GBK" w:cs="方正小标宋_GBK"/>
          <w:b w:val="0"/>
          <w:bCs w:val="0"/>
          <w:color w:val="auto"/>
          <w:sz w:val="36"/>
          <w:szCs w:val="36"/>
          <w:highlight w:val="none"/>
        </w:rPr>
      </w:pPr>
      <w:bookmarkStart w:id="65" w:name="_Toc489655335"/>
      <w:bookmarkStart w:id="66" w:name="_Toc508699425"/>
      <w:r>
        <w:rPr>
          <w:rFonts w:hint="eastAsia" w:ascii="方正小标宋_GBK" w:hAnsi="方正小标宋_GBK" w:eastAsia="方正小标宋_GBK" w:cs="方正小标宋_GBK"/>
          <w:b w:val="0"/>
          <w:bCs w:val="0"/>
          <w:color w:val="auto"/>
          <w:sz w:val="36"/>
          <w:szCs w:val="36"/>
          <w:highlight w:val="none"/>
        </w:rPr>
        <w:t>资格证明文件</w:t>
      </w:r>
      <w:bookmarkEnd w:id="65"/>
      <w:bookmarkEnd w:id="66"/>
    </w:p>
    <w:p w14:paraId="04FBED96">
      <w:pPr>
        <w:spacing w:line="360" w:lineRule="auto"/>
        <w:ind w:firstLine="588" w:firstLineChars="196"/>
        <w:rPr>
          <w:rFonts w:hint="eastAsia" w:ascii="宋体" w:hAnsi="宋体" w:cs="宋体"/>
          <w:b w:val="0"/>
          <w:bCs/>
          <w:color w:val="auto"/>
          <w:sz w:val="30"/>
          <w:szCs w:val="30"/>
          <w:highlight w:val="none"/>
        </w:rPr>
      </w:pPr>
    </w:p>
    <w:p w14:paraId="121B9952">
      <w:pPr>
        <w:snapToGrid w:val="0"/>
        <w:spacing w:before="50" w:after="50"/>
        <w:ind w:firstLine="594" w:firstLineChars="198"/>
        <w:rPr>
          <w:rFonts w:hint="eastAsia" w:ascii="华文仿宋" w:hAnsi="华文仿宋" w:eastAsia="华文仿宋" w:cs="华文仿宋"/>
          <w:b w:val="0"/>
          <w:bCs/>
          <w:color w:val="auto"/>
          <w:sz w:val="30"/>
          <w:szCs w:val="30"/>
          <w:highlight w:val="none"/>
        </w:rPr>
      </w:pPr>
      <w:r>
        <w:rPr>
          <w:rFonts w:hint="eastAsia" w:ascii="华文仿宋" w:hAnsi="华文仿宋" w:eastAsia="华文仿宋" w:cs="华文仿宋"/>
          <w:b w:val="0"/>
          <w:bCs/>
          <w:color w:val="auto"/>
          <w:sz w:val="30"/>
          <w:szCs w:val="30"/>
          <w:highlight w:val="none"/>
        </w:rPr>
        <w:t>请按照磋商文件第一章竞争性磋商采购公告二、申请人的资格要求提供相关资料，不提供视为无，作资格审查不通过处理。</w:t>
      </w:r>
    </w:p>
    <w:p w14:paraId="5A08E4D6">
      <w:pPr>
        <w:widowControl/>
        <w:adjustRightInd w:val="0"/>
        <w:snapToGrid/>
        <w:spacing w:line="360" w:lineRule="auto"/>
        <w:ind w:firstLine="600" w:firstLineChars="200"/>
        <w:jc w:val="left"/>
        <w:rPr>
          <w:rFonts w:hint="eastAsia" w:ascii="方正仿宋_GBK" w:hAnsi="方正仿宋_GBK" w:eastAsia="方正仿宋_GBK" w:cs="方正仿宋_GBK"/>
          <w:b w:val="0"/>
          <w:bCs/>
          <w:color w:val="auto"/>
          <w:kern w:val="0"/>
          <w:sz w:val="30"/>
          <w:szCs w:val="30"/>
          <w:highlight w:val="none"/>
          <w:lang w:val="zh-CN"/>
        </w:rPr>
      </w:pPr>
    </w:p>
    <w:p w14:paraId="0D6E83E3">
      <w:pPr>
        <w:widowControl/>
        <w:adjustRightInd w:val="0"/>
        <w:spacing w:line="240" w:lineRule="atLeast"/>
        <w:jc w:val="left"/>
        <w:rPr>
          <w:rFonts w:hint="eastAsia" w:ascii="方正仿宋_GBK" w:hAnsi="方正仿宋_GBK" w:eastAsia="方正仿宋_GBK" w:cs="方正仿宋_GBK"/>
          <w:b w:val="0"/>
          <w:bCs/>
          <w:color w:val="auto"/>
          <w:kern w:val="0"/>
          <w:sz w:val="30"/>
          <w:szCs w:val="30"/>
          <w:highlight w:val="none"/>
          <w:lang w:val="zh-CN"/>
        </w:rPr>
        <w:sectPr>
          <w:pgSz w:w="11910" w:h="16840"/>
          <w:pgMar w:top="2098" w:right="1531" w:bottom="1701" w:left="1531" w:header="0" w:footer="990" w:gutter="0"/>
          <w:pgNumType w:fmt="decimal"/>
          <w:cols w:space="720" w:num="1"/>
        </w:sectPr>
      </w:pPr>
    </w:p>
    <w:p w14:paraId="135678B4">
      <w:pPr>
        <w:widowControl/>
        <w:adjustRightInd w:val="0"/>
        <w:spacing w:line="240" w:lineRule="atLeast"/>
        <w:jc w:val="left"/>
        <w:rPr>
          <w:rFonts w:hint="eastAsia" w:ascii="方正黑体_GBK" w:hAnsi="方正黑体_GBK" w:eastAsia="方正黑体_GBK" w:cs="方正黑体_GBK"/>
          <w:b w:val="0"/>
          <w:bCs/>
          <w:color w:val="auto"/>
          <w:kern w:val="0"/>
          <w:sz w:val="30"/>
          <w:szCs w:val="30"/>
          <w:highlight w:val="none"/>
          <w:lang w:val="zh-CN" w:bidi="zh-CN"/>
        </w:rPr>
      </w:pPr>
      <w:r>
        <w:rPr>
          <w:rFonts w:hint="eastAsia" w:ascii="方正黑体_GBK" w:hAnsi="方正黑体_GBK" w:eastAsia="方正黑体_GBK" w:cs="方正黑体_GBK"/>
          <w:b w:val="0"/>
          <w:bCs/>
          <w:color w:val="auto"/>
          <w:kern w:val="0"/>
          <w:sz w:val="30"/>
          <w:szCs w:val="30"/>
          <w:highlight w:val="none"/>
          <w:lang w:val="zh-CN"/>
        </w:rPr>
        <w:t>目录</w:t>
      </w:r>
      <w:r>
        <w:rPr>
          <w:rFonts w:hint="eastAsia" w:ascii="方正黑体_GBK" w:hAnsi="方正黑体_GBK" w:eastAsia="方正黑体_GBK" w:cs="方正黑体_GBK"/>
          <w:b w:val="0"/>
          <w:bCs/>
          <w:color w:val="auto"/>
          <w:kern w:val="0"/>
          <w:sz w:val="30"/>
          <w:szCs w:val="30"/>
          <w:highlight w:val="none"/>
          <w:lang w:val="en-US" w:eastAsia="zh-CN"/>
        </w:rPr>
        <w:t>五</w:t>
      </w:r>
      <w:r>
        <w:rPr>
          <w:rFonts w:hint="eastAsia" w:ascii="方正黑体_GBK" w:hAnsi="方正黑体_GBK" w:eastAsia="方正黑体_GBK" w:cs="方正黑体_GBK"/>
          <w:b w:val="0"/>
          <w:bCs/>
          <w:color w:val="auto"/>
          <w:kern w:val="0"/>
          <w:sz w:val="30"/>
          <w:szCs w:val="30"/>
          <w:highlight w:val="none"/>
          <w:lang w:val="zh-CN"/>
        </w:rPr>
        <w:t>：供应商类似业绩情况表</w:t>
      </w:r>
    </w:p>
    <w:p w14:paraId="4111D7C1">
      <w:pPr>
        <w:spacing w:line="360" w:lineRule="auto"/>
        <w:jc w:val="center"/>
        <w:rPr>
          <w:rFonts w:hint="eastAsia" w:ascii="方正小标宋_GBK" w:hAnsi="方正小标宋_GBK" w:eastAsia="方正小标宋_GBK" w:cs="方正小标宋_GBK"/>
          <w:b w:val="0"/>
          <w:bCs w:val="0"/>
          <w:color w:val="auto"/>
          <w:sz w:val="36"/>
          <w:szCs w:val="36"/>
          <w:highlight w:val="none"/>
          <w:lang w:val="zh-CN"/>
        </w:rPr>
      </w:pPr>
    </w:p>
    <w:p w14:paraId="160E9389">
      <w:pPr>
        <w:spacing w:line="360" w:lineRule="auto"/>
        <w:jc w:val="center"/>
        <w:rPr>
          <w:rFonts w:hint="eastAsia" w:ascii="方正小标宋_GBK" w:hAnsi="方正小标宋_GBK" w:eastAsia="方正小标宋_GBK" w:cs="方正小标宋_GBK"/>
          <w:b w:val="0"/>
          <w:bCs w:val="0"/>
          <w:color w:val="auto"/>
          <w:kern w:val="0"/>
          <w:sz w:val="36"/>
          <w:szCs w:val="36"/>
          <w:highlight w:val="none"/>
          <w:lang w:val="zh-CN"/>
        </w:rPr>
      </w:pPr>
      <w:r>
        <w:rPr>
          <w:rFonts w:hint="eastAsia" w:ascii="方正小标宋_GBK" w:hAnsi="方正小标宋_GBK" w:eastAsia="方正小标宋_GBK" w:cs="方正小标宋_GBK"/>
          <w:b w:val="0"/>
          <w:bCs w:val="0"/>
          <w:color w:val="auto"/>
          <w:sz w:val="36"/>
          <w:szCs w:val="36"/>
          <w:highlight w:val="none"/>
          <w:lang w:val="zh-CN"/>
        </w:rPr>
        <w:t>供应商类似业绩情况表</w:t>
      </w:r>
    </w:p>
    <w:tbl>
      <w:tblPr>
        <w:tblStyle w:val="67"/>
        <w:tblW w:w="9163" w:type="dxa"/>
        <w:jc w:val="center"/>
        <w:tblLayout w:type="fixed"/>
        <w:tblCellMar>
          <w:top w:w="0" w:type="dxa"/>
          <w:left w:w="0" w:type="dxa"/>
          <w:bottom w:w="0" w:type="dxa"/>
          <w:right w:w="0" w:type="dxa"/>
        </w:tblCellMar>
      </w:tblPr>
      <w:tblGrid>
        <w:gridCol w:w="1061"/>
        <w:gridCol w:w="1467"/>
        <w:gridCol w:w="1350"/>
        <w:gridCol w:w="1700"/>
        <w:gridCol w:w="497"/>
        <w:gridCol w:w="1037"/>
        <w:gridCol w:w="1027"/>
        <w:gridCol w:w="1024"/>
      </w:tblGrid>
      <w:tr w14:paraId="6833F408">
        <w:tblPrEx>
          <w:tblCellMar>
            <w:top w:w="0" w:type="dxa"/>
            <w:left w:w="0" w:type="dxa"/>
            <w:bottom w:w="0" w:type="dxa"/>
            <w:right w:w="0" w:type="dxa"/>
          </w:tblCellMar>
        </w:tblPrEx>
        <w:trPr>
          <w:trHeight w:val="284" w:hRule="atLeast"/>
          <w:jc w:val="center"/>
        </w:trPr>
        <w:tc>
          <w:tcPr>
            <w:tcW w:w="6075" w:type="dxa"/>
            <w:gridSpan w:val="5"/>
            <w:tcBorders>
              <w:top w:val="nil"/>
              <w:left w:val="nil"/>
              <w:bottom w:val="single" w:color="auto" w:sz="6" w:space="0"/>
              <w:right w:val="nil"/>
            </w:tcBorders>
            <w:vAlign w:val="center"/>
          </w:tcPr>
          <w:p w14:paraId="44221D1F">
            <w:pPr>
              <w:widowControl/>
              <w:adjustRightInd w:val="0"/>
              <w:spacing w:line="360" w:lineRule="auto"/>
              <w:jc w:val="left"/>
              <w:rPr>
                <w:rFonts w:hint="eastAsia" w:ascii="华文仿宋" w:hAnsi="华文仿宋" w:eastAsia="华文仿宋" w:cs="华文仿宋"/>
                <w:color w:val="auto"/>
                <w:kern w:val="0"/>
                <w:sz w:val="24"/>
                <w:szCs w:val="24"/>
                <w:highlight w:val="none"/>
                <w:lang w:val="zh-CN"/>
              </w:rPr>
            </w:pPr>
            <w:r>
              <w:rPr>
                <w:rFonts w:hint="eastAsia" w:ascii="华文仿宋" w:hAnsi="华文仿宋" w:eastAsia="华文仿宋" w:cs="华文仿宋"/>
                <w:color w:val="auto"/>
                <w:kern w:val="0"/>
                <w:sz w:val="24"/>
                <w:szCs w:val="24"/>
                <w:highlight w:val="none"/>
                <w:lang w:val="zh-CN"/>
              </w:rPr>
              <w:t>项目名称：</w:t>
            </w:r>
          </w:p>
        </w:tc>
        <w:tc>
          <w:tcPr>
            <w:tcW w:w="3088" w:type="dxa"/>
            <w:gridSpan w:val="3"/>
            <w:tcBorders>
              <w:top w:val="nil"/>
              <w:left w:val="nil"/>
              <w:bottom w:val="single" w:color="auto" w:sz="6" w:space="0"/>
              <w:right w:val="nil"/>
            </w:tcBorders>
            <w:vAlign w:val="center"/>
          </w:tcPr>
          <w:p w14:paraId="55150EAF">
            <w:pPr>
              <w:widowControl/>
              <w:adjustRightInd w:val="0"/>
              <w:spacing w:line="360" w:lineRule="auto"/>
              <w:jc w:val="left"/>
              <w:rPr>
                <w:rFonts w:hint="eastAsia" w:ascii="华文仿宋" w:hAnsi="华文仿宋" w:eastAsia="华文仿宋" w:cs="华文仿宋"/>
                <w:color w:val="auto"/>
                <w:kern w:val="0"/>
                <w:sz w:val="24"/>
                <w:szCs w:val="24"/>
                <w:highlight w:val="none"/>
                <w:lang w:val="zh-CN"/>
              </w:rPr>
            </w:pPr>
            <w:r>
              <w:rPr>
                <w:rFonts w:hint="eastAsia" w:ascii="华文仿宋" w:hAnsi="华文仿宋" w:eastAsia="华文仿宋" w:cs="华文仿宋"/>
                <w:color w:val="auto"/>
                <w:kern w:val="0"/>
                <w:sz w:val="24"/>
                <w:szCs w:val="24"/>
                <w:highlight w:val="none"/>
                <w:lang w:val="zh-CN"/>
              </w:rPr>
              <w:t>项目编号：</w:t>
            </w:r>
          </w:p>
        </w:tc>
      </w:tr>
      <w:tr w14:paraId="06C8E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jc w:val="center"/>
        </w:trPr>
        <w:tc>
          <w:tcPr>
            <w:tcW w:w="1061" w:type="dxa"/>
            <w:vAlign w:val="center"/>
          </w:tcPr>
          <w:p w14:paraId="63C221F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r>
              <w:rPr>
                <w:rFonts w:hint="eastAsia" w:ascii="华文仿宋" w:hAnsi="华文仿宋" w:eastAsia="华文仿宋" w:cs="华文仿宋"/>
                <w:b/>
                <w:color w:val="auto"/>
                <w:kern w:val="0"/>
                <w:sz w:val="24"/>
                <w:szCs w:val="24"/>
                <w:highlight w:val="none"/>
                <w:lang w:val="zh-CN"/>
              </w:rPr>
              <w:t>序号</w:t>
            </w:r>
          </w:p>
        </w:tc>
        <w:tc>
          <w:tcPr>
            <w:tcW w:w="1467" w:type="dxa"/>
            <w:vAlign w:val="center"/>
          </w:tcPr>
          <w:p w14:paraId="2A9F741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r>
              <w:rPr>
                <w:rFonts w:hint="eastAsia" w:ascii="华文仿宋" w:hAnsi="华文仿宋" w:eastAsia="华文仿宋" w:cs="华文仿宋"/>
                <w:b/>
                <w:color w:val="auto"/>
                <w:kern w:val="0"/>
                <w:sz w:val="24"/>
                <w:szCs w:val="24"/>
                <w:highlight w:val="none"/>
                <w:lang w:val="zh-CN"/>
              </w:rPr>
              <w:t>项目名称</w:t>
            </w:r>
          </w:p>
        </w:tc>
        <w:tc>
          <w:tcPr>
            <w:tcW w:w="1350" w:type="dxa"/>
            <w:vAlign w:val="center"/>
          </w:tcPr>
          <w:p w14:paraId="4BA9FC2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r>
              <w:rPr>
                <w:rFonts w:hint="eastAsia" w:ascii="华文仿宋" w:hAnsi="华文仿宋" w:eastAsia="华文仿宋" w:cs="华文仿宋"/>
                <w:b/>
                <w:color w:val="auto"/>
                <w:kern w:val="0"/>
                <w:sz w:val="24"/>
                <w:szCs w:val="24"/>
                <w:highlight w:val="none"/>
                <w:lang w:val="zh-CN"/>
              </w:rPr>
              <w:t>业主单位</w:t>
            </w:r>
          </w:p>
        </w:tc>
        <w:tc>
          <w:tcPr>
            <w:tcW w:w="1700" w:type="dxa"/>
            <w:vAlign w:val="center"/>
          </w:tcPr>
          <w:p w14:paraId="4B4F019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r>
              <w:rPr>
                <w:rFonts w:hint="eastAsia" w:ascii="华文仿宋" w:hAnsi="华文仿宋" w:eastAsia="华文仿宋" w:cs="华文仿宋"/>
                <w:b/>
                <w:color w:val="auto"/>
                <w:kern w:val="0"/>
                <w:sz w:val="24"/>
                <w:szCs w:val="24"/>
                <w:highlight w:val="none"/>
                <w:lang w:val="zh-CN"/>
              </w:rPr>
              <w:t>业主联系方式</w:t>
            </w:r>
          </w:p>
        </w:tc>
        <w:tc>
          <w:tcPr>
            <w:tcW w:w="1534" w:type="dxa"/>
            <w:gridSpan w:val="2"/>
            <w:vAlign w:val="center"/>
          </w:tcPr>
          <w:p w14:paraId="02E2A85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r>
              <w:rPr>
                <w:rFonts w:hint="eastAsia" w:ascii="华文仿宋" w:hAnsi="华文仿宋" w:eastAsia="华文仿宋" w:cs="华文仿宋"/>
                <w:b/>
                <w:color w:val="auto"/>
                <w:kern w:val="0"/>
                <w:sz w:val="24"/>
                <w:szCs w:val="24"/>
                <w:highlight w:val="none"/>
                <w:lang w:val="zh-CN"/>
              </w:rPr>
              <w:t>工作主要内容</w:t>
            </w:r>
          </w:p>
        </w:tc>
        <w:tc>
          <w:tcPr>
            <w:tcW w:w="1027" w:type="dxa"/>
            <w:vAlign w:val="center"/>
          </w:tcPr>
          <w:p w14:paraId="57FA7E39">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r>
              <w:rPr>
                <w:rFonts w:hint="eastAsia" w:ascii="华文仿宋" w:hAnsi="华文仿宋" w:eastAsia="华文仿宋" w:cs="华文仿宋"/>
                <w:b/>
                <w:color w:val="auto"/>
                <w:kern w:val="0"/>
                <w:sz w:val="24"/>
                <w:szCs w:val="24"/>
                <w:highlight w:val="none"/>
                <w:lang w:val="zh-CN"/>
              </w:rPr>
              <w:t>合同金额</w:t>
            </w:r>
          </w:p>
        </w:tc>
        <w:tc>
          <w:tcPr>
            <w:tcW w:w="1024" w:type="dxa"/>
            <w:vAlign w:val="center"/>
          </w:tcPr>
          <w:p w14:paraId="6B9F7DC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r>
              <w:rPr>
                <w:rFonts w:hint="eastAsia" w:ascii="华文仿宋" w:hAnsi="华文仿宋" w:eastAsia="华文仿宋" w:cs="华文仿宋"/>
                <w:b/>
                <w:color w:val="auto"/>
                <w:kern w:val="0"/>
                <w:sz w:val="24"/>
                <w:szCs w:val="24"/>
                <w:highlight w:val="none"/>
                <w:lang w:val="zh-CN"/>
              </w:rPr>
              <w:t>备注</w:t>
            </w:r>
          </w:p>
        </w:tc>
      </w:tr>
      <w:tr w14:paraId="15480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196326A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0C36A26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7FD2239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1099711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540BA1A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168B357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210F4C8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1E4AA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2F127F0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492C4A2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51D8BFE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10E423C9">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06DCFBC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500C82C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0EE9BFC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0D3DB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2168E84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1D8A1A1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34A372F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478ABA5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5FF8962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79C10FB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21C76A3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1F727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726B242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72A5F9D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440A152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7DF7597C">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437DEB1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53EE8A11">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705BDA0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43ABD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1F922CF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4B43942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490893B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02E3FAD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3D36B72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6F4067E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15458BC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bl>
    <w:p w14:paraId="6EB50FE4">
      <w:pPr>
        <w:widowControl/>
        <w:snapToGrid w:val="0"/>
        <w:spacing w:line="360" w:lineRule="auto"/>
        <w:jc w:val="left"/>
        <w:rPr>
          <w:rFonts w:hint="eastAsia" w:ascii="宋体" w:hAnsi="宋体" w:cs="宋体"/>
          <w:bCs/>
          <w:color w:val="auto"/>
          <w:kern w:val="0"/>
          <w:sz w:val="24"/>
          <w:szCs w:val="24"/>
          <w:highlight w:val="none"/>
          <w:lang w:val="zh-CN"/>
        </w:rPr>
      </w:pPr>
    </w:p>
    <w:p w14:paraId="0C134916">
      <w:pPr>
        <w:widowControl/>
        <w:snapToGrid w:val="0"/>
        <w:spacing w:line="360" w:lineRule="auto"/>
        <w:ind w:firstLine="1200" w:firstLineChars="400"/>
        <w:jc w:val="left"/>
        <w:rPr>
          <w:rFonts w:hint="eastAsia" w:ascii="方正仿宋_GBK" w:hAnsi="方正仿宋_GBK" w:eastAsia="方正仿宋_GBK" w:cs="方正仿宋_GBK"/>
          <w:bCs/>
          <w:color w:val="auto"/>
          <w:kern w:val="0"/>
          <w:sz w:val="30"/>
          <w:szCs w:val="30"/>
          <w:highlight w:val="none"/>
          <w:u w:val="single"/>
          <w:lang w:val="zh-CN"/>
        </w:rPr>
      </w:pPr>
      <w:r>
        <w:rPr>
          <w:rFonts w:hint="eastAsia" w:ascii="方正仿宋_GBK" w:hAnsi="方正仿宋_GBK" w:eastAsia="方正仿宋_GBK" w:cs="方正仿宋_GBK"/>
          <w:bCs/>
          <w:color w:val="auto"/>
          <w:kern w:val="0"/>
          <w:sz w:val="30"/>
          <w:szCs w:val="30"/>
          <w:highlight w:val="none"/>
          <w:lang w:val="zh-CN"/>
        </w:rPr>
        <w:t xml:space="preserve">供应商（盖章）: </w:t>
      </w:r>
      <w:r>
        <w:rPr>
          <w:rFonts w:hint="eastAsia" w:ascii="方正仿宋_GBK" w:hAnsi="方正仿宋_GBK" w:eastAsia="方正仿宋_GBK" w:cs="方正仿宋_GBK"/>
          <w:bCs/>
          <w:color w:val="auto"/>
          <w:kern w:val="0"/>
          <w:sz w:val="30"/>
          <w:szCs w:val="30"/>
          <w:highlight w:val="none"/>
          <w:u w:val="single"/>
        </w:rPr>
        <w:t xml:space="preserve">       </w:t>
      </w:r>
      <w:r>
        <w:rPr>
          <w:rFonts w:hint="eastAsia" w:ascii="方正仿宋_GBK" w:hAnsi="方正仿宋_GBK" w:eastAsia="方正仿宋_GBK" w:cs="方正仿宋_GBK"/>
          <w:bCs/>
          <w:color w:val="auto"/>
          <w:kern w:val="0"/>
          <w:sz w:val="30"/>
          <w:szCs w:val="30"/>
          <w:highlight w:val="none"/>
          <w:u w:val="single"/>
          <w:lang w:val="zh-CN"/>
        </w:rPr>
        <w:tab/>
      </w:r>
    </w:p>
    <w:p w14:paraId="72CB73D6">
      <w:pPr>
        <w:widowControl/>
        <w:snapToGrid w:val="0"/>
        <w:spacing w:line="360" w:lineRule="auto"/>
        <w:ind w:firstLine="1200" w:firstLineChars="400"/>
        <w:jc w:val="left"/>
        <w:rPr>
          <w:rFonts w:hint="eastAsia" w:ascii="方正仿宋_GBK" w:hAnsi="方正仿宋_GBK" w:eastAsia="方正仿宋_GBK" w:cs="方正仿宋_GBK"/>
          <w:bCs/>
          <w:color w:val="auto"/>
          <w:kern w:val="0"/>
          <w:sz w:val="30"/>
          <w:szCs w:val="30"/>
          <w:highlight w:val="none"/>
          <w:u w:val="single"/>
          <w:lang w:val="zh-CN"/>
        </w:rPr>
      </w:pPr>
      <w:r>
        <w:rPr>
          <w:rFonts w:hint="eastAsia" w:ascii="方正仿宋_GBK" w:hAnsi="方正仿宋_GBK" w:eastAsia="方正仿宋_GBK" w:cs="方正仿宋_GBK"/>
          <w:bCs/>
          <w:color w:val="auto"/>
          <w:kern w:val="0"/>
          <w:sz w:val="30"/>
          <w:szCs w:val="30"/>
          <w:highlight w:val="none"/>
          <w:lang w:val="zh-CN"/>
        </w:rPr>
        <w:t>法定代表人或其授权代表（签字）：</w:t>
      </w:r>
      <w:r>
        <w:rPr>
          <w:rFonts w:hint="eastAsia" w:ascii="方正仿宋_GBK" w:hAnsi="方正仿宋_GBK" w:eastAsia="方正仿宋_GBK" w:cs="方正仿宋_GBK"/>
          <w:bCs/>
          <w:color w:val="auto"/>
          <w:kern w:val="0"/>
          <w:sz w:val="30"/>
          <w:szCs w:val="30"/>
          <w:highlight w:val="none"/>
          <w:u w:val="single"/>
        </w:rPr>
        <w:t xml:space="preserve">       </w:t>
      </w:r>
      <w:r>
        <w:rPr>
          <w:rFonts w:hint="eastAsia" w:ascii="方正仿宋_GBK" w:hAnsi="方正仿宋_GBK" w:eastAsia="方正仿宋_GBK" w:cs="方正仿宋_GBK"/>
          <w:bCs/>
          <w:color w:val="auto"/>
          <w:kern w:val="0"/>
          <w:sz w:val="30"/>
          <w:szCs w:val="30"/>
          <w:highlight w:val="none"/>
          <w:u w:val="single"/>
          <w:lang w:val="zh-CN"/>
        </w:rPr>
        <w:tab/>
      </w:r>
      <w:r>
        <w:rPr>
          <w:rFonts w:hint="eastAsia" w:ascii="方正仿宋_GBK" w:hAnsi="方正仿宋_GBK" w:eastAsia="方正仿宋_GBK" w:cs="方正仿宋_GBK"/>
          <w:bCs/>
          <w:color w:val="auto"/>
          <w:kern w:val="0"/>
          <w:sz w:val="30"/>
          <w:szCs w:val="30"/>
          <w:highlight w:val="none"/>
          <w:u w:val="single"/>
          <w:lang w:val="zh-CN"/>
        </w:rPr>
        <w:t xml:space="preserve">    </w:t>
      </w:r>
    </w:p>
    <w:p w14:paraId="4F5DF56F">
      <w:pPr>
        <w:widowControl/>
        <w:snapToGrid w:val="0"/>
        <w:spacing w:line="360" w:lineRule="auto"/>
        <w:ind w:firstLine="600" w:firstLineChars="200"/>
        <w:jc w:val="left"/>
        <w:rPr>
          <w:rFonts w:hint="eastAsia" w:ascii="方正仿宋_GBK" w:hAnsi="方正仿宋_GBK" w:eastAsia="方正仿宋_GBK" w:cs="方正仿宋_GBK"/>
          <w:bCs/>
          <w:color w:val="auto"/>
          <w:kern w:val="0"/>
          <w:sz w:val="30"/>
          <w:szCs w:val="30"/>
          <w:highlight w:val="none"/>
          <w:lang w:val="zh-CN"/>
        </w:rPr>
        <w:sectPr>
          <w:pgSz w:w="11910" w:h="16840"/>
          <w:pgMar w:top="2098" w:right="1531" w:bottom="1701" w:left="1531" w:header="0" w:footer="990" w:gutter="0"/>
          <w:pgNumType w:fmt="decimal"/>
          <w:cols w:space="720" w:num="1"/>
        </w:sectPr>
      </w:pPr>
      <w:r>
        <w:rPr>
          <w:rFonts w:hint="eastAsia" w:ascii="方正仿宋_GBK" w:hAnsi="方正仿宋_GBK" w:eastAsia="方正仿宋_GBK" w:cs="方正仿宋_GBK"/>
          <w:bCs/>
          <w:color w:val="auto"/>
          <w:kern w:val="0"/>
          <w:sz w:val="30"/>
          <w:szCs w:val="30"/>
          <w:highlight w:val="none"/>
          <w:lang w:val="zh-CN"/>
        </w:rPr>
        <w:t xml:space="preserve"> </w:t>
      </w:r>
      <w:r>
        <w:rPr>
          <w:rFonts w:hint="eastAsia" w:ascii="方正仿宋_GBK" w:hAnsi="方正仿宋_GBK" w:eastAsia="方正仿宋_GBK" w:cs="方正仿宋_GBK"/>
          <w:bCs/>
          <w:color w:val="auto"/>
          <w:kern w:val="0"/>
          <w:sz w:val="30"/>
          <w:szCs w:val="30"/>
          <w:highlight w:val="none"/>
        </w:rPr>
        <w:t xml:space="preserve">    </w:t>
      </w:r>
      <w:r>
        <w:rPr>
          <w:rFonts w:hint="eastAsia" w:ascii="方正仿宋_GBK" w:hAnsi="方正仿宋_GBK" w:eastAsia="方正仿宋_GBK" w:cs="方正仿宋_GBK"/>
          <w:bCs/>
          <w:color w:val="auto"/>
          <w:kern w:val="0"/>
          <w:sz w:val="30"/>
          <w:szCs w:val="30"/>
          <w:highlight w:val="none"/>
          <w:lang w:val="zh-CN"/>
        </w:rPr>
        <w:t>日</w:t>
      </w:r>
      <w:r>
        <w:rPr>
          <w:rFonts w:hint="eastAsia" w:ascii="方正仿宋_GBK" w:hAnsi="方正仿宋_GBK" w:eastAsia="方正仿宋_GBK" w:cs="方正仿宋_GBK"/>
          <w:bCs/>
          <w:color w:val="auto"/>
          <w:kern w:val="0"/>
          <w:sz w:val="30"/>
          <w:szCs w:val="30"/>
          <w:highlight w:val="none"/>
          <w:lang w:val="zh-CN"/>
        </w:rPr>
        <w:tab/>
      </w:r>
      <w:r>
        <w:rPr>
          <w:rFonts w:hint="eastAsia" w:ascii="方正仿宋_GBK" w:hAnsi="方正仿宋_GBK" w:eastAsia="方正仿宋_GBK" w:cs="方正仿宋_GBK"/>
          <w:bCs/>
          <w:color w:val="auto"/>
          <w:kern w:val="0"/>
          <w:sz w:val="30"/>
          <w:szCs w:val="30"/>
          <w:highlight w:val="none"/>
        </w:rPr>
        <w:t xml:space="preserve"> </w:t>
      </w:r>
      <w:r>
        <w:rPr>
          <w:rFonts w:hint="eastAsia" w:ascii="方正仿宋_GBK" w:hAnsi="方正仿宋_GBK" w:eastAsia="方正仿宋_GBK" w:cs="方正仿宋_GBK"/>
          <w:bCs/>
          <w:color w:val="auto"/>
          <w:kern w:val="0"/>
          <w:sz w:val="30"/>
          <w:szCs w:val="30"/>
          <w:highlight w:val="none"/>
          <w:lang w:val="zh-CN"/>
        </w:rPr>
        <w:t>期：</w:t>
      </w:r>
      <w:r>
        <w:rPr>
          <w:rFonts w:hint="eastAsia" w:ascii="方正仿宋_GBK" w:hAnsi="方正仿宋_GBK" w:eastAsia="方正仿宋_GBK" w:cs="方正仿宋_GBK"/>
          <w:bCs/>
          <w:color w:val="auto"/>
          <w:kern w:val="0"/>
          <w:sz w:val="30"/>
          <w:szCs w:val="30"/>
          <w:highlight w:val="none"/>
          <w:lang w:val="zh-CN"/>
        </w:rPr>
        <w:tab/>
      </w:r>
      <w:r>
        <w:rPr>
          <w:rFonts w:hint="eastAsia" w:ascii="方正仿宋_GBK" w:hAnsi="方正仿宋_GBK" w:eastAsia="方正仿宋_GBK" w:cs="方正仿宋_GBK"/>
          <w:bCs/>
          <w:color w:val="auto"/>
          <w:kern w:val="0"/>
          <w:sz w:val="30"/>
          <w:szCs w:val="30"/>
          <w:highlight w:val="none"/>
          <w:lang w:val="en-US" w:eastAsia="zh-CN"/>
        </w:rPr>
        <w:t xml:space="preserve">     </w:t>
      </w:r>
      <w:r>
        <w:rPr>
          <w:rFonts w:hint="eastAsia" w:ascii="方正仿宋_GBK" w:hAnsi="方正仿宋_GBK" w:eastAsia="方正仿宋_GBK" w:cs="方正仿宋_GBK"/>
          <w:bCs/>
          <w:color w:val="auto"/>
          <w:kern w:val="0"/>
          <w:sz w:val="30"/>
          <w:szCs w:val="30"/>
          <w:highlight w:val="none"/>
          <w:lang w:val="zh-CN"/>
        </w:rPr>
        <w:t>年</w:t>
      </w:r>
      <w:r>
        <w:rPr>
          <w:rFonts w:hint="eastAsia" w:ascii="方正仿宋_GBK" w:hAnsi="方正仿宋_GBK" w:eastAsia="方正仿宋_GBK" w:cs="方正仿宋_GBK"/>
          <w:bCs/>
          <w:color w:val="auto"/>
          <w:kern w:val="0"/>
          <w:sz w:val="30"/>
          <w:szCs w:val="30"/>
          <w:highlight w:val="none"/>
          <w:lang w:val="zh-CN"/>
        </w:rPr>
        <w:tab/>
      </w:r>
      <w:r>
        <w:rPr>
          <w:rFonts w:hint="eastAsia" w:ascii="方正仿宋_GBK" w:hAnsi="方正仿宋_GBK" w:eastAsia="方正仿宋_GBK" w:cs="方正仿宋_GBK"/>
          <w:bCs/>
          <w:color w:val="auto"/>
          <w:kern w:val="0"/>
          <w:sz w:val="30"/>
          <w:szCs w:val="30"/>
          <w:highlight w:val="none"/>
          <w:lang w:val="en-US" w:eastAsia="zh-CN"/>
        </w:rPr>
        <w:t xml:space="preserve">  </w:t>
      </w:r>
      <w:r>
        <w:rPr>
          <w:rFonts w:hint="eastAsia" w:ascii="方正仿宋_GBK" w:hAnsi="方正仿宋_GBK" w:eastAsia="方正仿宋_GBK" w:cs="方正仿宋_GBK"/>
          <w:bCs/>
          <w:color w:val="auto"/>
          <w:kern w:val="0"/>
          <w:sz w:val="30"/>
          <w:szCs w:val="30"/>
          <w:highlight w:val="none"/>
          <w:lang w:val="zh-CN"/>
        </w:rPr>
        <w:t>月</w:t>
      </w:r>
      <w:r>
        <w:rPr>
          <w:rFonts w:hint="eastAsia" w:ascii="方正仿宋_GBK" w:hAnsi="方正仿宋_GBK" w:eastAsia="方正仿宋_GBK" w:cs="方正仿宋_GBK"/>
          <w:bCs/>
          <w:color w:val="auto"/>
          <w:kern w:val="0"/>
          <w:sz w:val="30"/>
          <w:szCs w:val="30"/>
          <w:highlight w:val="none"/>
          <w:lang w:val="zh-CN"/>
        </w:rPr>
        <w:tab/>
      </w:r>
      <w:r>
        <w:rPr>
          <w:rFonts w:hint="eastAsia" w:ascii="方正仿宋_GBK" w:hAnsi="方正仿宋_GBK" w:eastAsia="方正仿宋_GBK" w:cs="方正仿宋_GBK"/>
          <w:bCs/>
          <w:color w:val="auto"/>
          <w:kern w:val="0"/>
          <w:sz w:val="30"/>
          <w:szCs w:val="30"/>
          <w:highlight w:val="none"/>
          <w:lang w:val="en-US" w:eastAsia="zh-CN"/>
        </w:rPr>
        <w:t xml:space="preserve">  </w:t>
      </w:r>
      <w:r>
        <w:rPr>
          <w:rFonts w:hint="eastAsia" w:ascii="方正仿宋_GBK" w:hAnsi="方正仿宋_GBK" w:eastAsia="方正仿宋_GBK" w:cs="方正仿宋_GBK"/>
          <w:bCs/>
          <w:color w:val="auto"/>
          <w:kern w:val="0"/>
          <w:sz w:val="30"/>
          <w:szCs w:val="30"/>
          <w:highlight w:val="none"/>
          <w:lang w:val="zh-CN"/>
        </w:rPr>
        <w:t>日</w:t>
      </w:r>
    </w:p>
    <w:p w14:paraId="3362553F">
      <w:pPr>
        <w:widowControl/>
        <w:adjustRightInd w:val="0"/>
        <w:snapToGrid/>
        <w:spacing w:line="240" w:lineRule="atLeast"/>
        <w:jc w:val="left"/>
        <w:rPr>
          <w:rFonts w:hint="eastAsia" w:ascii="方正黑体_GBK" w:hAnsi="方正黑体_GBK" w:eastAsia="方正黑体_GBK" w:cs="方正黑体_GBK"/>
          <w:b w:val="0"/>
          <w:bCs/>
          <w:color w:val="auto"/>
          <w:kern w:val="0"/>
          <w:sz w:val="30"/>
          <w:szCs w:val="30"/>
          <w:highlight w:val="none"/>
          <w:lang w:val="zh-CN"/>
        </w:rPr>
      </w:pPr>
      <w:r>
        <w:rPr>
          <w:rFonts w:hint="eastAsia" w:ascii="方正黑体_GBK" w:hAnsi="方正黑体_GBK" w:eastAsia="方正黑体_GBK" w:cs="方正黑体_GBK"/>
          <w:b w:val="0"/>
          <w:bCs/>
          <w:color w:val="auto"/>
          <w:kern w:val="0"/>
          <w:sz w:val="30"/>
          <w:szCs w:val="30"/>
          <w:highlight w:val="none"/>
          <w:lang w:val="zh-CN" w:eastAsia="zh-CN"/>
        </w:rPr>
        <w:t>目录六：</w:t>
      </w:r>
      <w:r>
        <w:rPr>
          <w:rFonts w:hint="eastAsia" w:ascii="方正黑体_GBK" w:hAnsi="方正黑体_GBK" w:eastAsia="方正黑体_GBK" w:cs="方正黑体_GBK"/>
          <w:b w:val="0"/>
          <w:bCs/>
          <w:color w:val="auto"/>
          <w:kern w:val="0"/>
          <w:sz w:val="30"/>
          <w:szCs w:val="30"/>
          <w:highlight w:val="none"/>
          <w:lang w:val="zh-CN"/>
        </w:rPr>
        <w:t>项目组</w:t>
      </w:r>
      <w:r>
        <w:rPr>
          <w:rFonts w:hint="eastAsia" w:ascii="方正黑体_GBK" w:hAnsi="方正黑体_GBK" w:eastAsia="方正黑体_GBK" w:cs="方正黑体_GBK"/>
          <w:b w:val="0"/>
          <w:bCs/>
          <w:color w:val="auto"/>
          <w:kern w:val="0"/>
          <w:sz w:val="30"/>
          <w:szCs w:val="30"/>
          <w:highlight w:val="none"/>
          <w:lang w:val="zh-CN" w:eastAsia="zh-CN"/>
        </w:rPr>
        <w:t>成</w:t>
      </w:r>
      <w:r>
        <w:rPr>
          <w:rFonts w:hint="eastAsia" w:ascii="方正黑体_GBK" w:hAnsi="方正黑体_GBK" w:eastAsia="方正黑体_GBK" w:cs="方正黑体_GBK"/>
          <w:b w:val="0"/>
          <w:bCs/>
          <w:color w:val="auto"/>
          <w:kern w:val="0"/>
          <w:sz w:val="30"/>
          <w:szCs w:val="30"/>
          <w:highlight w:val="none"/>
          <w:lang w:val="zh-CN"/>
        </w:rPr>
        <w:t>人员一览表</w:t>
      </w:r>
    </w:p>
    <w:p w14:paraId="2EB25ED0">
      <w:pPr>
        <w:widowControl/>
        <w:shd w:val="clear" w:color="auto" w:fill="FFFFFF"/>
        <w:spacing w:line="360" w:lineRule="auto"/>
        <w:ind w:left="420"/>
        <w:jc w:val="center"/>
        <w:rPr>
          <w:rFonts w:hint="eastAsia" w:ascii="宋体" w:hAnsi="宋体"/>
          <w:b/>
          <w:color w:val="auto"/>
          <w:kern w:val="0"/>
          <w:sz w:val="36"/>
          <w:szCs w:val="36"/>
          <w:highlight w:val="none"/>
        </w:rPr>
      </w:pPr>
    </w:p>
    <w:p w14:paraId="732215E9">
      <w:pPr>
        <w:widowControl/>
        <w:shd w:val="clear" w:color="auto" w:fill="FFFFFF"/>
        <w:spacing w:line="360" w:lineRule="auto"/>
        <w:ind w:left="420"/>
        <w:jc w:val="center"/>
        <w:rPr>
          <w:rFonts w:ascii="宋体" w:hAnsi="宋体"/>
          <w:b/>
          <w:color w:val="auto"/>
          <w:kern w:val="0"/>
          <w:sz w:val="36"/>
          <w:szCs w:val="36"/>
          <w:highlight w:val="none"/>
        </w:rPr>
      </w:pPr>
      <w:r>
        <w:rPr>
          <w:rFonts w:hint="eastAsia" w:ascii="宋体" w:hAnsi="宋体"/>
          <w:b/>
          <w:color w:val="auto"/>
          <w:kern w:val="0"/>
          <w:sz w:val="36"/>
          <w:szCs w:val="36"/>
          <w:highlight w:val="none"/>
        </w:rPr>
        <w:t>项目组人员一览表</w:t>
      </w:r>
    </w:p>
    <w:p w14:paraId="257FB606">
      <w:pPr>
        <w:widowControl/>
        <w:adjustRightInd w:val="0"/>
        <w:jc w:val="center"/>
        <w:rPr>
          <w:rFonts w:ascii="宋体" w:hAnsi="宋体"/>
          <w:b/>
          <w:bCs/>
          <w:color w:val="auto"/>
          <w:kern w:val="0"/>
          <w:sz w:val="24"/>
          <w:highlight w:val="none"/>
        </w:rPr>
      </w:pPr>
    </w:p>
    <w:p w14:paraId="24FCE951">
      <w:pPr>
        <w:widowControl/>
        <w:adjustRightInd w:val="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项目名称：                                              项目编号：</w:t>
      </w:r>
    </w:p>
    <w:tbl>
      <w:tblPr>
        <w:tblStyle w:val="67"/>
        <w:tblW w:w="9336" w:type="dxa"/>
        <w:jc w:val="center"/>
        <w:tblLayout w:type="fixed"/>
        <w:tblCellMar>
          <w:top w:w="0" w:type="dxa"/>
          <w:left w:w="108" w:type="dxa"/>
          <w:bottom w:w="0" w:type="dxa"/>
          <w:right w:w="108" w:type="dxa"/>
        </w:tblCellMar>
      </w:tblPr>
      <w:tblGrid>
        <w:gridCol w:w="765"/>
        <w:gridCol w:w="871"/>
        <w:gridCol w:w="1454"/>
        <w:gridCol w:w="1308"/>
        <w:gridCol w:w="1598"/>
        <w:gridCol w:w="1341"/>
        <w:gridCol w:w="1401"/>
        <w:gridCol w:w="598"/>
      </w:tblGrid>
      <w:tr w14:paraId="09651A43">
        <w:tblPrEx>
          <w:tblCellMar>
            <w:top w:w="0" w:type="dxa"/>
            <w:left w:w="108" w:type="dxa"/>
            <w:bottom w:w="0" w:type="dxa"/>
            <w:right w:w="108" w:type="dxa"/>
          </w:tblCellMar>
        </w:tblPrEx>
        <w:trPr>
          <w:trHeight w:val="1235" w:hRule="atLeast"/>
          <w:jc w:val="center"/>
        </w:trPr>
        <w:tc>
          <w:tcPr>
            <w:tcW w:w="765" w:type="dxa"/>
            <w:tcBorders>
              <w:top w:val="single" w:color="000000" w:sz="4" w:space="0"/>
              <w:left w:val="single" w:color="000000" w:sz="4" w:space="0"/>
              <w:bottom w:val="single" w:color="000000" w:sz="4" w:space="0"/>
              <w:right w:val="single" w:color="000000" w:sz="4" w:space="0"/>
            </w:tcBorders>
            <w:vAlign w:val="center"/>
          </w:tcPr>
          <w:p w14:paraId="5C7AA0EC">
            <w:pPr>
              <w:widowControl/>
              <w:adjustRightInd w:val="0"/>
              <w:jc w:val="center"/>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序号</w:t>
            </w:r>
          </w:p>
        </w:tc>
        <w:tc>
          <w:tcPr>
            <w:tcW w:w="871" w:type="dxa"/>
            <w:tcBorders>
              <w:top w:val="single" w:color="000000" w:sz="4" w:space="0"/>
              <w:left w:val="nil"/>
              <w:bottom w:val="single" w:color="000000" w:sz="4" w:space="0"/>
              <w:right w:val="single" w:color="000000" w:sz="4" w:space="0"/>
            </w:tcBorders>
            <w:vAlign w:val="center"/>
          </w:tcPr>
          <w:p w14:paraId="5EF0E16E">
            <w:pPr>
              <w:widowControl/>
              <w:adjustRightInd w:val="0"/>
              <w:jc w:val="center"/>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姓名</w:t>
            </w:r>
          </w:p>
        </w:tc>
        <w:tc>
          <w:tcPr>
            <w:tcW w:w="1454" w:type="dxa"/>
            <w:tcBorders>
              <w:top w:val="single" w:color="000000" w:sz="4" w:space="0"/>
              <w:left w:val="nil"/>
              <w:bottom w:val="single" w:color="000000" w:sz="4" w:space="0"/>
              <w:right w:val="single" w:color="000000" w:sz="4" w:space="0"/>
            </w:tcBorders>
            <w:vAlign w:val="center"/>
          </w:tcPr>
          <w:p w14:paraId="1A7FD84F">
            <w:pPr>
              <w:widowControl/>
              <w:adjustRightInd w:val="0"/>
              <w:jc w:val="center"/>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在本项目中担任的职务</w:t>
            </w:r>
          </w:p>
        </w:tc>
        <w:tc>
          <w:tcPr>
            <w:tcW w:w="1308" w:type="dxa"/>
            <w:tcBorders>
              <w:top w:val="single" w:color="000000" w:sz="4" w:space="0"/>
              <w:left w:val="nil"/>
              <w:bottom w:val="single" w:color="000000" w:sz="4" w:space="0"/>
              <w:right w:val="single" w:color="000000" w:sz="4" w:space="0"/>
            </w:tcBorders>
            <w:vAlign w:val="center"/>
          </w:tcPr>
          <w:p w14:paraId="257696F8">
            <w:pPr>
              <w:widowControl/>
              <w:adjustRightInd w:val="0"/>
              <w:jc w:val="center"/>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资格证书</w:t>
            </w:r>
          </w:p>
          <w:p w14:paraId="0E30E076">
            <w:pPr>
              <w:widowControl/>
              <w:adjustRightInd w:val="0"/>
              <w:jc w:val="center"/>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 职称</w:t>
            </w:r>
          </w:p>
        </w:tc>
        <w:tc>
          <w:tcPr>
            <w:tcW w:w="1598" w:type="dxa"/>
            <w:tcBorders>
              <w:top w:val="single" w:color="000000" w:sz="4" w:space="0"/>
              <w:left w:val="nil"/>
              <w:bottom w:val="single" w:color="000000" w:sz="4" w:space="0"/>
              <w:right w:val="single" w:color="000000" w:sz="4" w:space="0"/>
            </w:tcBorders>
            <w:vAlign w:val="center"/>
          </w:tcPr>
          <w:p w14:paraId="5D52C4BE">
            <w:pPr>
              <w:widowControl/>
              <w:adjustRightInd w:val="0"/>
              <w:jc w:val="center"/>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证书号</w:t>
            </w:r>
          </w:p>
        </w:tc>
        <w:tc>
          <w:tcPr>
            <w:tcW w:w="1341" w:type="dxa"/>
            <w:tcBorders>
              <w:top w:val="single" w:color="000000" w:sz="4" w:space="0"/>
              <w:left w:val="nil"/>
              <w:bottom w:val="single" w:color="000000" w:sz="4" w:space="0"/>
              <w:right w:val="single" w:color="000000" w:sz="4" w:space="0"/>
            </w:tcBorders>
            <w:vAlign w:val="center"/>
          </w:tcPr>
          <w:p w14:paraId="4CE81A06">
            <w:pPr>
              <w:widowControl/>
              <w:adjustRightInd w:val="0"/>
              <w:jc w:val="center"/>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身份证号码</w:t>
            </w:r>
          </w:p>
        </w:tc>
        <w:tc>
          <w:tcPr>
            <w:tcW w:w="1401" w:type="dxa"/>
            <w:tcBorders>
              <w:top w:val="single" w:color="000000" w:sz="4" w:space="0"/>
              <w:left w:val="nil"/>
              <w:bottom w:val="single" w:color="000000" w:sz="4" w:space="0"/>
              <w:right w:val="single" w:color="000000" w:sz="4" w:space="0"/>
            </w:tcBorders>
            <w:vAlign w:val="center"/>
          </w:tcPr>
          <w:p w14:paraId="740304FF">
            <w:pPr>
              <w:widowControl/>
              <w:adjustRightInd w:val="0"/>
              <w:jc w:val="center"/>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主要资历、经验及承担过的项目</w:t>
            </w:r>
          </w:p>
        </w:tc>
        <w:tc>
          <w:tcPr>
            <w:tcW w:w="598" w:type="dxa"/>
            <w:tcBorders>
              <w:top w:val="single" w:color="000000" w:sz="4" w:space="0"/>
              <w:left w:val="nil"/>
              <w:bottom w:val="single" w:color="000000" w:sz="4" w:space="0"/>
              <w:right w:val="single" w:color="000000" w:sz="4" w:space="0"/>
            </w:tcBorders>
            <w:vAlign w:val="center"/>
          </w:tcPr>
          <w:p w14:paraId="16A2ED69">
            <w:pPr>
              <w:widowControl/>
              <w:adjustRightInd w:val="0"/>
              <w:jc w:val="center"/>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备注</w:t>
            </w:r>
          </w:p>
        </w:tc>
      </w:tr>
      <w:tr w14:paraId="040E6804">
        <w:tblPrEx>
          <w:tblCellMar>
            <w:top w:w="0" w:type="dxa"/>
            <w:left w:w="108" w:type="dxa"/>
            <w:bottom w:w="0" w:type="dxa"/>
            <w:right w:w="108" w:type="dxa"/>
          </w:tblCellMar>
        </w:tblPrEx>
        <w:trPr>
          <w:trHeight w:val="419" w:hRule="atLeast"/>
          <w:jc w:val="center"/>
        </w:trPr>
        <w:tc>
          <w:tcPr>
            <w:tcW w:w="765" w:type="dxa"/>
            <w:tcBorders>
              <w:top w:val="single" w:color="000000" w:sz="4" w:space="0"/>
              <w:left w:val="single" w:color="000000" w:sz="4" w:space="0"/>
              <w:bottom w:val="single" w:color="000000" w:sz="4" w:space="0"/>
              <w:right w:val="single" w:color="000000" w:sz="4" w:space="0"/>
            </w:tcBorders>
            <w:vAlign w:val="top"/>
          </w:tcPr>
          <w:p w14:paraId="2E721D49">
            <w:pPr>
              <w:widowControl/>
              <w:adjustRightInd w:val="0"/>
              <w:jc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1</w:t>
            </w:r>
          </w:p>
        </w:tc>
        <w:tc>
          <w:tcPr>
            <w:tcW w:w="871" w:type="dxa"/>
            <w:tcBorders>
              <w:top w:val="single" w:color="000000" w:sz="4" w:space="0"/>
              <w:left w:val="nil"/>
              <w:bottom w:val="single" w:color="000000" w:sz="4" w:space="0"/>
              <w:right w:val="single" w:color="000000" w:sz="4" w:space="0"/>
            </w:tcBorders>
            <w:vAlign w:val="top"/>
          </w:tcPr>
          <w:p w14:paraId="7F1CB2E0">
            <w:pPr>
              <w:widowControl/>
              <w:adjustRightInd w:val="0"/>
              <w:rPr>
                <w:rFonts w:hint="eastAsia" w:ascii="华文仿宋" w:hAnsi="华文仿宋" w:eastAsia="华文仿宋" w:cs="华文仿宋"/>
                <w:color w:val="auto"/>
                <w:kern w:val="0"/>
                <w:sz w:val="24"/>
                <w:szCs w:val="24"/>
                <w:highlight w:val="none"/>
              </w:rPr>
            </w:pPr>
          </w:p>
        </w:tc>
        <w:tc>
          <w:tcPr>
            <w:tcW w:w="1454" w:type="dxa"/>
            <w:tcBorders>
              <w:top w:val="single" w:color="000000" w:sz="4" w:space="0"/>
              <w:left w:val="nil"/>
              <w:bottom w:val="single" w:color="000000" w:sz="4" w:space="0"/>
              <w:right w:val="single" w:color="000000" w:sz="4" w:space="0"/>
            </w:tcBorders>
            <w:vAlign w:val="top"/>
          </w:tcPr>
          <w:p w14:paraId="5160EDBA">
            <w:pPr>
              <w:widowControl/>
              <w:adjustRightInd w:val="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项目负责人</w:t>
            </w:r>
          </w:p>
        </w:tc>
        <w:tc>
          <w:tcPr>
            <w:tcW w:w="1308" w:type="dxa"/>
            <w:tcBorders>
              <w:top w:val="single" w:color="000000" w:sz="4" w:space="0"/>
              <w:left w:val="nil"/>
              <w:bottom w:val="single" w:color="000000" w:sz="4" w:space="0"/>
              <w:right w:val="single" w:color="000000" w:sz="4" w:space="0"/>
            </w:tcBorders>
            <w:vAlign w:val="top"/>
          </w:tcPr>
          <w:p w14:paraId="17CC6284">
            <w:pPr>
              <w:widowControl/>
              <w:adjustRightInd w:val="0"/>
              <w:rPr>
                <w:rFonts w:hint="eastAsia" w:ascii="华文仿宋" w:hAnsi="华文仿宋" w:eastAsia="华文仿宋" w:cs="华文仿宋"/>
                <w:color w:val="auto"/>
                <w:kern w:val="0"/>
                <w:sz w:val="24"/>
                <w:szCs w:val="24"/>
                <w:highlight w:val="none"/>
              </w:rPr>
            </w:pPr>
          </w:p>
        </w:tc>
        <w:tc>
          <w:tcPr>
            <w:tcW w:w="1598" w:type="dxa"/>
            <w:tcBorders>
              <w:top w:val="single" w:color="000000" w:sz="4" w:space="0"/>
              <w:left w:val="nil"/>
              <w:bottom w:val="single" w:color="000000" w:sz="4" w:space="0"/>
              <w:right w:val="single" w:color="000000" w:sz="4" w:space="0"/>
            </w:tcBorders>
            <w:vAlign w:val="top"/>
          </w:tcPr>
          <w:p w14:paraId="0E0FCDEF">
            <w:pPr>
              <w:widowControl/>
              <w:adjustRightInd w:val="0"/>
              <w:rPr>
                <w:rFonts w:hint="eastAsia" w:ascii="华文仿宋" w:hAnsi="华文仿宋" w:eastAsia="华文仿宋" w:cs="华文仿宋"/>
                <w:color w:val="auto"/>
                <w:kern w:val="0"/>
                <w:sz w:val="24"/>
                <w:szCs w:val="24"/>
                <w:highlight w:val="none"/>
              </w:rPr>
            </w:pPr>
          </w:p>
        </w:tc>
        <w:tc>
          <w:tcPr>
            <w:tcW w:w="1341" w:type="dxa"/>
            <w:tcBorders>
              <w:top w:val="single" w:color="000000" w:sz="4" w:space="0"/>
              <w:left w:val="nil"/>
              <w:bottom w:val="single" w:color="000000" w:sz="4" w:space="0"/>
              <w:right w:val="single" w:color="000000" w:sz="4" w:space="0"/>
            </w:tcBorders>
            <w:vAlign w:val="top"/>
          </w:tcPr>
          <w:p w14:paraId="5F68E43E">
            <w:pPr>
              <w:widowControl/>
              <w:adjustRightInd w:val="0"/>
              <w:rPr>
                <w:rFonts w:hint="eastAsia" w:ascii="华文仿宋" w:hAnsi="华文仿宋" w:eastAsia="华文仿宋" w:cs="华文仿宋"/>
                <w:color w:val="auto"/>
                <w:kern w:val="0"/>
                <w:sz w:val="24"/>
                <w:szCs w:val="24"/>
                <w:highlight w:val="none"/>
              </w:rPr>
            </w:pPr>
          </w:p>
        </w:tc>
        <w:tc>
          <w:tcPr>
            <w:tcW w:w="1401" w:type="dxa"/>
            <w:tcBorders>
              <w:top w:val="single" w:color="000000" w:sz="4" w:space="0"/>
              <w:left w:val="nil"/>
              <w:bottom w:val="single" w:color="000000" w:sz="4" w:space="0"/>
              <w:right w:val="single" w:color="000000" w:sz="4" w:space="0"/>
            </w:tcBorders>
            <w:vAlign w:val="top"/>
          </w:tcPr>
          <w:p w14:paraId="2DEB9895">
            <w:pPr>
              <w:widowControl/>
              <w:adjustRightInd w:val="0"/>
              <w:rPr>
                <w:rFonts w:hint="eastAsia" w:ascii="华文仿宋" w:hAnsi="华文仿宋" w:eastAsia="华文仿宋" w:cs="华文仿宋"/>
                <w:color w:val="auto"/>
                <w:kern w:val="0"/>
                <w:sz w:val="24"/>
                <w:szCs w:val="24"/>
                <w:highlight w:val="none"/>
              </w:rPr>
            </w:pPr>
          </w:p>
        </w:tc>
        <w:tc>
          <w:tcPr>
            <w:tcW w:w="598" w:type="dxa"/>
            <w:tcBorders>
              <w:top w:val="single" w:color="000000" w:sz="4" w:space="0"/>
              <w:left w:val="nil"/>
              <w:bottom w:val="single" w:color="000000" w:sz="4" w:space="0"/>
              <w:right w:val="single" w:color="000000" w:sz="4" w:space="0"/>
            </w:tcBorders>
            <w:vAlign w:val="top"/>
          </w:tcPr>
          <w:p w14:paraId="1AC1C04B">
            <w:pPr>
              <w:widowControl/>
              <w:adjustRightInd w:val="0"/>
              <w:rPr>
                <w:rFonts w:hint="eastAsia" w:ascii="华文仿宋" w:hAnsi="华文仿宋" w:eastAsia="华文仿宋" w:cs="华文仿宋"/>
                <w:color w:val="auto"/>
                <w:kern w:val="0"/>
                <w:sz w:val="24"/>
                <w:szCs w:val="24"/>
                <w:highlight w:val="none"/>
              </w:rPr>
            </w:pPr>
          </w:p>
        </w:tc>
      </w:tr>
      <w:tr w14:paraId="6F2D4DCA">
        <w:tblPrEx>
          <w:tblCellMar>
            <w:top w:w="0" w:type="dxa"/>
            <w:left w:w="108" w:type="dxa"/>
            <w:bottom w:w="0" w:type="dxa"/>
            <w:right w:w="108" w:type="dxa"/>
          </w:tblCellMar>
        </w:tblPrEx>
        <w:trPr>
          <w:trHeight w:val="419" w:hRule="atLeast"/>
          <w:jc w:val="center"/>
        </w:trPr>
        <w:tc>
          <w:tcPr>
            <w:tcW w:w="765" w:type="dxa"/>
            <w:tcBorders>
              <w:top w:val="single" w:color="000000" w:sz="4" w:space="0"/>
              <w:left w:val="single" w:color="000000" w:sz="4" w:space="0"/>
              <w:bottom w:val="single" w:color="000000" w:sz="4" w:space="0"/>
              <w:right w:val="single" w:color="000000" w:sz="4" w:space="0"/>
            </w:tcBorders>
            <w:vAlign w:val="top"/>
          </w:tcPr>
          <w:p w14:paraId="1CE5DBED">
            <w:pPr>
              <w:widowControl/>
              <w:adjustRightInd w:val="0"/>
              <w:jc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2</w:t>
            </w:r>
          </w:p>
        </w:tc>
        <w:tc>
          <w:tcPr>
            <w:tcW w:w="871" w:type="dxa"/>
            <w:tcBorders>
              <w:top w:val="single" w:color="000000" w:sz="4" w:space="0"/>
              <w:left w:val="nil"/>
              <w:bottom w:val="single" w:color="000000" w:sz="4" w:space="0"/>
              <w:right w:val="single" w:color="000000" w:sz="4" w:space="0"/>
            </w:tcBorders>
            <w:vAlign w:val="top"/>
          </w:tcPr>
          <w:p w14:paraId="671DC5A1">
            <w:pPr>
              <w:widowControl/>
              <w:adjustRightInd w:val="0"/>
              <w:rPr>
                <w:rFonts w:hint="eastAsia" w:ascii="华文仿宋" w:hAnsi="华文仿宋" w:eastAsia="华文仿宋" w:cs="华文仿宋"/>
                <w:color w:val="auto"/>
                <w:kern w:val="0"/>
                <w:sz w:val="24"/>
                <w:szCs w:val="24"/>
                <w:highlight w:val="none"/>
              </w:rPr>
            </w:pPr>
          </w:p>
        </w:tc>
        <w:tc>
          <w:tcPr>
            <w:tcW w:w="1454" w:type="dxa"/>
            <w:tcBorders>
              <w:top w:val="single" w:color="000000" w:sz="4" w:space="0"/>
              <w:left w:val="nil"/>
              <w:bottom w:val="single" w:color="000000" w:sz="4" w:space="0"/>
              <w:right w:val="single" w:color="000000" w:sz="4" w:space="0"/>
            </w:tcBorders>
            <w:vAlign w:val="top"/>
          </w:tcPr>
          <w:p w14:paraId="21DB2778">
            <w:pPr>
              <w:widowControl/>
              <w:adjustRightInd w:val="0"/>
              <w:rPr>
                <w:rFonts w:hint="eastAsia" w:ascii="华文仿宋" w:hAnsi="华文仿宋" w:eastAsia="华文仿宋" w:cs="华文仿宋"/>
                <w:color w:val="auto"/>
                <w:kern w:val="0"/>
                <w:sz w:val="24"/>
                <w:szCs w:val="24"/>
                <w:highlight w:val="none"/>
              </w:rPr>
            </w:pPr>
          </w:p>
        </w:tc>
        <w:tc>
          <w:tcPr>
            <w:tcW w:w="1308" w:type="dxa"/>
            <w:tcBorders>
              <w:top w:val="single" w:color="000000" w:sz="4" w:space="0"/>
              <w:left w:val="nil"/>
              <w:bottom w:val="single" w:color="000000" w:sz="4" w:space="0"/>
              <w:right w:val="single" w:color="000000" w:sz="4" w:space="0"/>
            </w:tcBorders>
            <w:vAlign w:val="top"/>
          </w:tcPr>
          <w:p w14:paraId="47122C14">
            <w:pPr>
              <w:widowControl/>
              <w:adjustRightInd w:val="0"/>
              <w:rPr>
                <w:rFonts w:hint="eastAsia" w:ascii="华文仿宋" w:hAnsi="华文仿宋" w:eastAsia="华文仿宋" w:cs="华文仿宋"/>
                <w:color w:val="auto"/>
                <w:kern w:val="0"/>
                <w:sz w:val="24"/>
                <w:szCs w:val="24"/>
                <w:highlight w:val="none"/>
              </w:rPr>
            </w:pPr>
          </w:p>
        </w:tc>
        <w:tc>
          <w:tcPr>
            <w:tcW w:w="1598" w:type="dxa"/>
            <w:tcBorders>
              <w:top w:val="single" w:color="000000" w:sz="4" w:space="0"/>
              <w:left w:val="nil"/>
              <w:bottom w:val="single" w:color="000000" w:sz="4" w:space="0"/>
              <w:right w:val="single" w:color="000000" w:sz="4" w:space="0"/>
            </w:tcBorders>
            <w:vAlign w:val="top"/>
          </w:tcPr>
          <w:p w14:paraId="2D52B89D">
            <w:pPr>
              <w:widowControl/>
              <w:adjustRightInd w:val="0"/>
              <w:rPr>
                <w:rFonts w:hint="eastAsia" w:ascii="华文仿宋" w:hAnsi="华文仿宋" w:eastAsia="华文仿宋" w:cs="华文仿宋"/>
                <w:color w:val="auto"/>
                <w:kern w:val="0"/>
                <w:sz w:val="24"/>
                <w:szCs w:val="24"/>
                <w:highlight w:val="none"/>
              </w:rPr>
            </w:pPr>
          </w:p>
        </w:tc>
        <w:tc>
          <w:tcPr>
            <w:tcW w:w="1341" w:type="dxa"/>
            <w:tcBorders>
              <w:top w:val="single" w:color="000000" w:sz="4" w:space="0"/>
              <w:left w:val="nil"/>
              <w:bottom w:val="single" w:color="000000" w:sz="4" w:space="0"/>
              <w:right w:val="single" w:color="000000" w:sz="4" w:space="0"/>
            </w:tcBorders>
            <w:vAlign w:val="top"/>
          </w:tcPr>
          <w:p w14:paraId="5121D667">
            <w:pPr>
              <w:widowControl/>
              <w:adjustRightInd w:val="0"/>
              <w:rPr>
                <w:rFonts w:hint="eastAsia" w:ascii="华文仿宋" w:hAnsi="华文仿宋" w:eastAsia="华文仿宋" w:cs="华文仿宋"/>
                <w:color w:val="auto"/>
                <w:kern w:val="0"/>
                <w:sz w:val="24"/>
                <w:szCs w:val="24"/>
                <w:highlight w:val="none"/>
              </w:rPr>
            </w:pPr>
          </w:p>
        </w:tc>
        <w:tc>
          <w:tcPr>
            <w:tcW w:w="1401" w:type="dxa"/>
            <w:tcBorders>
              <w:top w:val="single" w:color="000000" w:sz="4" w:space="0"/>
              <w:left w:val="nil"/>
              <w:bottom w:val="single" w:color="000000" w:sz="4" w:space="0"/>
              <w:right w:val="single" w:color="000000" w:sz="4" w:space="0"/>
            </w:tcBorders>
            <w:vAlign w:val="top"/>
          </w:tcPr>
          <w:p w14:paraId="65D5C364">
            <w:pPr>
              <w:widowControl/>
              <w:adjustRightInd w:val="0"/>
              <w:rPr>
                <w:rFonts w:hint="eastAsia" w:ascii="华文仿宋" w:hAnsi="华文仿宋" w:eastAsia="华文仿宋" w:cs="华文仿宋"/>
                <w:color w:val="auto"/>
                <w:kern w:val="0"/>
                <w:sz w:val="24"/>
                <w:szCs w:val="24"/>
                <w:highlight w:val="none"/>
              </w:rPr>
            </w:pPr>
          </w:p>
        </w:tc>
        <w:tc>
          <w:tcPr>
            <w:tcW w:w="598" w:type="dxa"/>
            <w:tcBorders>
              <w:top w:val="single" w:color="000000" w:sz="4" w:space="0"/>
              <w:left w:val="nil"/>
              <w:bottom w:val="single" w:color="000000" w:sz="4" w:space="0"/>
              <w:right w:val="single" w:color="000000" w:sz="4" w:space="0"/>
            </w:tcBorders>
            <w:vAlign w:val="top"/>
          </w:tcPr>
          <w:p w14:paraId="6C9934EC">
            <w:pPr>
              <w:widowControl/>
              <w:adjustRightInd w:val="0"/>
              <w:rPr>
                <w:rFonts w:hint="eastAsia" w:ascii="华文仿宋" w:hAnsi="华文仿宋" w:eastAsia="华文仿宋" w:cs="华文仿宋"/>
                <w:color w:val="auto"/>
                <w:kern w:val="0"/>
                <w:sz w:val="24"/>
                <w:szCs w:val="24"/>
                <w:highlight w:val="none"/>
              </w:rPr>
            </w:pPr>
          </w:p>
        </w:tc>
      </w:tr>
      <w:tr w14:paraId="40604F8A">
        <w:tblPrEx>
          <w:tblCellMar>
            <w:top w:w="0" w:type="dxa"/>
            <w:left w:w="108" w:type="dxa"/>
            <w:bottom w:w="0" w:type="dxa"/>
            <w:right w:w="108" w:type="dxa"/>
          </w:tblCellMar>
        </w:tblPrEx>
        <w:trPr>
          <w:trHeight w:val="419" w:hRule="atLeast"/>
          <w:jc w:val="center"/>
        </w:trPr>
        <w:tc>
          <w:tcPr>
            <w:tcW w:w="765" w:type="dxa"/>
            <w:tcBorders>
              <w:top w:val="single" w:color="000000" w:sz="4" w:space="0"/>
              <w:left w:val="single" w:color="000000" w:sz="4" w:space="0"/>
              <w:bottom w:val="single" w:color="000000" w:sz="4" w:space="0"/>
              <w:right w:val="single" w:color="000000" w:sz="4" w:space="0"/>
            </w:tcBorders>
            <w:vAlign w:val="top"/>
          </w:tcPr>
          <w:p w14:paraId="760C2847">
            <w:pPr>
              <w:widowControl/>
              <w:adjustRightInd w:val="0"/>
              <w:jc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3</w:t>
            </w:r>
          </w:p>
        </w:tc>
        <w:tc>
          <w:tcPr>
            <w:tcW w:w="871" w:type="dxa"/>
            <w:tcBorders>
              <w:top w:val="single" w:color="000000" w:sz="4" w:space="0"/>
              <w:left w:val="nil"/>
              <w:bottom w:val="single" w:color="000000" w:sz="4" w:space="0"/>
              <w:right w:val="single" w:color="000000" w:sz="4" w:space="0"/>
            </w:tcBorders>
            <w:vAlign w:val="top"/>
          </w:tcPr>
          <w:p w14:paraId="05648378">
            <w:pPr>
              <w:widowControl/>
              <w:adjustRightInd w:val="0"/>
              <w:rPr>
                <w:rFonts w:hint="eastAsia" w:ascii="华文仿宋" w:hAnsi="华文仿宋" w:eastAsia="华文仿宋" w:cs="华文仿宋"/>
                <w:color w:val="auto"/>
                <w:kern w:val="0"/>
                <w:sz w:val="24"/>
                <w:szCs w:val="24"/>
                <w:highlight w:val="none"/>
              </w:rPr>
            </w:pPr>
          </w:p>
        </w:tc>
        <w:tc>
          <w:tcPr>
            <w:tcW w:w="1454" w:type="dxa"/>
            <w:tcBorders>
              <w:top w:val="single" w:color="000000" w:sz="4" w:space="0"/>
              <w:left w:val="nil"/>
              <w:bottom w:val="single" w:color="000000" w:sz="4" w:space="0"/>
              <w:right w:val="single" w:color="000000" w:sz="4" w:space="0"/>
            </w:tcBorders>
            <w:vAlign w:val="top"/>
          </w:tcPr>
          <w:p w14:paraId="20DEFD04">
            <w:pPr>
              <w:widowControl/>
              <w:adjustRightInd w:val="0"/>
              <w:rPr>
                <w:rFonts w:hint="eastAsia" w:ascii="华文仿宋" w:hAnsi="华文仿宋" w:eastAsia="华文仿宋" w:cs="华文仿宋"/>
                <w:color w:val="auto"/>
                <w:kern w:val="0"/>
                <w:sz w:val="24"/>
                <w:szCs w:val="24"/>
                <w:highlight w:val="none"/>
              </w:rPr>
            </w:pPr>
          </w:p>
        </w:tc>
        <w:tc>
          <w:tcPr>
            <w:tcW w:w="1308" w:type="dxa"/>
            <w:tcBorders>
              <w:top w:val="single" w:color="000000" w:sz="4" w:space="0"/>
              <w:left w:val="nil"/>
              <w:bottom w:val="single" w:color="000000" w:sz="4" w:space="0"/>
              <w:right w:val="single" w:color="000000" w:sz="4" w:space="0"/>
            </w:tcBorders>
            <w:vAlign w:val="top"/>
          </w:tcPr>
          <w:p w14:paraId="554D1723">
            <w:pPr>
              <w:widowControl/>
              <w:adjustRightInd w:val="0"/>
              <w:rPr>
                <w:rFonts w:hint="eastAsia" w:ascii="华文仿宋" w:hAnsi="华文仿宋" w:eastAsia="华文仿宋" w:cs="华文仿宋"/>
                <w:color w:val="auto"/>
                <w:kern w:val="0"/>
                <w:sz w:val="24"/>
                <w:szCs w:val="24"/>
                <w:highlight w:val="none"/>
              </w:rPr>
            </w:pPr>
          </w:p>
        </w:tc>
        <w:tc>
          <w:tcPr>
            <w:tcW w:w="1598" w:type="dxa"/>
            <w:tcBorders>
              <w:top w:val="single" w:color="000000" w:sz="4" w:space="0"/>
              <w:left w:val="nil"/>
              <w:bottom w:val="single" w:color="000000" w:sz="4" w:space="0"/>
              <w:right w:val="single" w:color="000000" w:sz="4" w:space="0"/>
            </w:tcBorders>
            <w:vAlign w:val="top"/>
          </w:tcPr>
          <w:p w14:paraId="5FFBFE56">
            <w:pPr>
              <w:widowControl/>
              <w:adjustRightInd w:val="0"/>
              <w:rPr>
                <w:rFonts w:hint="eastAsia" w:ascii="华文仿宋" w:hAnsi="华文仿宋" w:eastAsia="华文仿宋" w:cs="华文仿宋"/>
                <w:color w:val="auto"/>
                <w:kern w:val="0"/>
                <w:sz w:val="24"/>
                <w:szCs w:val="24"/>
                <w:highlight w:val="none"/>
              </w:rPr>
            </w:pPr>
          </w:p>
        </w:tc>
        <w:tc>
          <w:tcPr>
            <w:tcW w:w="1341" w:type="dxa"/>
            <w:tcBorders>
              <w:top w:val="single" w:color="000000" w:sz="4" w:space="0"/>
              <w:left w:val="nil"/>
              <w:bottom w:val="single" w:color="000000" w:sz="4" w:space="0"/>
              <w:right w:val="single" w:color="000000" w:sz="4" w:space="0"/>
            </w:tcBorders>
            <w:vAlign w:val="top"/>
          </w:tcPr>
          <w:p w14:paraId="569A9399">
            <w:pPr>
              <w:widowControl/>
              <w:adjustRightInd w:val="0"/>
              <w:rPr>
                <w:rFonts w:hint="eastAsia" w:ascii="华文仿宋" w:hAnsi="华文仿宋" w:eastAsia="华文仿宋" w:cs="华文仿宋"/>
                <w:color w:val="auto"/>
                <w:kern w:val="0"/>
                <w:sz w:val="24"/>
                <w:szCs w:val="24"/>
                <w:highlight w:val="none"/>
              </w:rPr>
            </w:pPr>
          </w:p>
        </w:tc>
        <w:tc>
          <w:tcPr>
            <w:tcW w:w="1401" w:type="dxa"/>
            <w:tcBorders>
              <w:top w:val="single" w:color="000000" w:sz="4" w:space="0"/>
              <w:left w:val="nil"/>
              <w:bottom w:val="single" w:color="000000" w:sz="4" w:space="0"/>
              <w:right w:val="single" w:color="000000" w:sz="4" w:space="0"/>
            </w:tcBorders>
            <w:vAlign w:val="top"/>
          </w:tcPr>
          <w:p w14:paraId="6424DB55">
            <w:pPr>
              <w:widowControl/>
              <w:adjustRightInd w:val="0"/>
              <w:rPr>
                <w:rFonts w:hint="eastAsia" w:ascii="华文仿宋" w:hAnsi="华文仿宋" w:eastAsia="华文仿宋" w:cs="华文仿宋"/>
                <w:color w:val="auto"/>
                <w:kern w:val="0"/>
                <w:sz w:val="24"/>
                <w:szCs w:val="24"/>
                <w:highlight w:val="none"/>
              </w:rPr>
            </w:pPr>
          </w:p>
        </w:tc>
        <w:tc>
          <w:tcPr>
            <w:tcW w:w="598" w:type="dxa"/>
            <w:tcBorders>
              <w:top w:val="single" w:color="000000" w:sz="4" w:space="0"/>
              <w:left w:val="nil"/>
              <w:bottom w:val="single" w:color="000000" w:sz="4" w:space="0"/>
              <w:right w:val="single" w:color="000000" w:sz="4" w:space="0"/>
            </w:tcBorders>
            <w:vAlign w:val="top"/>
          </w:tcPr>
          <w:p w14:paraId="44CFD30F">
            <w:pPr>
              <w:widowControl/>
              <w:adjustRightInd w:val="0"/>
              <w:rPr>
                <w:rFonts w:hint="eastAsia" w:ascii="华文仿宋" w:hAnsi="华文仿宋" w:eastAsia="华文仿宋" w:cs="华文仿宋"/>
                <w:color w:val="auto"/>
                <w:kern w:val="0"/>
                <w:sz w:val="24"/>
                <w:szCs w:val="24"/>
                <w:highlight w:val="none"/>
              </w:rPr>
            </w:pPr>
          </w:p>
        </w:tc>
      </w:tr>
      <w:tr w14:paraId="4BB054A3">
        <w:tblPrEx>
          <w:tblCellMar>
            <w:top w:w="0" w:type="dxa"/>
            <w:left w:w="108" w:type="dxa"/>
            <w:bottom w:w="0" w:type="dxa"/>
            <w:right w:w="108" w:type="dxa"/>
          </w:tblCellMar>
        </w:tblPrEx>
        <w:trPr>
          <w:trHeight w:val="419" w:hRule="atLeast"/>
          <w:jc w:val="center"/>
        </w:trPr>
        <w:tc>
          <w:tcPr>
            <w:tcW w:w="765" w:type="dxa"/>
            <w:tcBorders>
              <w:top w:val="single" w:color="000000" w:sz="4" w:space="0"/>
              <w:left w:val="single" w:color="000000" w:sz="4" w:space="0"/>
              <w:bottom w:val="single" w:color="000000" w:sz="4" w:space="0"/>
              <w:right w:val="single" w:color="000000" w:sz="4" w:space="0"/>
            </w:tcBorders>
            <w:vAlign w:val="top"/>
          </w:tcPr>
          <w:p w14:paraId="5C87CA62">
            <w:pPr>
              <w:widowControl/>
              <w:adjustRightInd w:val="0"/>
              <w:jc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4</w:t>
            </w:r>
          </w:p>
        </w:tc>
        <w:tc>
          <w:tcPr>
            <w:tcW w:w="871" w:type="dxa"/>
            <w:tcBorders>
              <w:top w:val="single" w:color="000000" w:sz="4" w:space="0"/>
              <w:left w:val="nil"/>
              <w:bottom w:val="single" w:color="000000" w:sz="4" w:space="0"/>
              <w:right w:val="single" w:color="000000" w:sz="4" w:space="0"/>
            </w:tcBorders>
            <w:vAlign w:val="top"/>
          </w:tcPr>
          <w:p w14:paraId="1E47838E">
            <w:pPr>
              <w:widowControl/>
              <w:adjustRightInd w:val="0"/>
              <w:rPr>
                <w:rFonts w:hint="eastAsia" w:ascii="华文仿宋" w:hAnsi="华文仿宋" w:eastAsia="华文仿宋" w:cs="华文仿宋"/>
                <w:color w:val="auto"/>
                <w:kern w:val="0"/>
                <w:sz w:val="24"/>
                <w:szCs w:val="24"/>
                <w:highlight w:val="none"/>
              </w:rPr>
            </w:pPr>
          </w:p>
        </w:tc>
        <w:tc>
          <w:tcPr>
            <w:tcW w:w="1454" w:type="dxa"/>
            <w:tcBorders>
              <w:top w:val="single" w:color="000000" w:sz="4" w:space="0"/>
              <w:left w:val="nil"/>
              <w:bottom w:val="single" w:color="000000" w:sz="4" w:space="0"/>
              <w:right w:val="single" w:color="000000" w:sz="4" w:space="0"/>
            </w:tcBorders>
            <w:vAlign w:val="top"/>
          </w:tcPr>
          <w:p w14:paraId="0EF587EF">
            <w:pPr>
              <w:widowControl/>
              <w:adjustRightInd w:val="0"/>
              <w:rPr>
                <w:rFonts w:hint="eastAsia" w:ascii="华文仿宋" w:hAnsi="华文仿宋" w:eastAsia="华文仿宋" w:cs="华文仿宋"/>
                <w:color w:val="auto"/>
                <w:kern w:val="0"/>
                <w:sz w:val="24"/>
                <w:szCs w:val="24"/>
                <w:highlight w:val="none"/>
              </w:rPr>
            </w:pPr>
          </w:p>
        </w:tc>
        <w:tc>
          <w:tcPr>
            <w:tcW w:w="1308" w:type="dxa"/>
            <w:tcBorders>
              <w:top w:val="single" w:color="000000" w:sz="4" w:space="0"/>
              <w:left w:val="nil"/>
              <w:bottom w:val="single" w:color="000000" w:sz="4" w:space="0"/>
              <w:right w:val="single" w:color="000000" w:sz="4" w:space="0"/>
            </w:tcBorders>
            <w:vAlign w:val="top"/>
          </w:tcPr>
          <w:p w14:paraId="0EBF8191">
            <w:pPr>
              <w:widowControl/>
              <w:adjustRightInd w:val="0"/>
              <w:rPr>
                <w:rFonts w:hint="eastAsia" w:ascii="华文仿宋" w:hAnsi="华文仿宋" w:eastAsia="华文仿宋" w:cs="华文仿宋"/>
                <w:color w:val="auto"/>
                <w:kern w:val="0"/>
                <w:sz w:val="24"/>
                <w:szCs w:val="24"/>
                <w:highlight w:val="none"/>
              </w:rPr>
            </w:pPr>
          </w:p>
        </w:tc>
        <w:tc>
          <w:tcPr>
            <w:tcW w:w="1598" w:type="dxa"/>
            <w:tcBorders>
              <w:top w:val="single" w:color="000000" w:sz="4" w:space="0"/>
              <w:left w:val="nil"/>
              <w:bottom w:val="single" w:color="000000" w:sz="4" w:space="0"/>
              <w:right w:val="single" w:color="000000" w:sz="4" w:space="0"/>
            </w:tcBorders>
            <w:vAlign w:val="top"/>
          </w:tcPr>
          <w:p w14:paraId="15DDA43E">
            <w:pPr>
              <w:widowControl/>
              <w:adjustRightInd w:val="0"/>
              <w:rPr>
                <w:rFonts w:hint="eastAsia" w:ascii="华文仿宋" w:hAnsi="华文仿宋" w:eastAsia="华文仿宋" w:cs="华文仿宋"/>
                <w:color w:val="auto"/>
                <w:kern w:val="0"/>
                <w:sz w:val="24"/>
                <w:szCs w:val="24"/>
                <w:highlight w:val="none"/>
              </w:rPr>
            </w:pPr>
          </w:p>
        </w:tc>
        <w:tc>
          <w:tcPr>
            <w:tcW w:w="1341" w:type="dxa"/>
            <w:tcBorders>
              <w:top w:val="single" w:color="000000" w:sz="4" w:space="0"/>
              <w:left w:val="nil"/>
              <w:bottom w:val="single" w:color="000000" w:sz="4" w:space="0"/>
              <w:right w:val="single" w:color="000000" w:sz="4" w:space="0"/>
            </w:tcBorders>
            <w:vAlign w:val="top"/>
          </w:tcPr>
          <w:p w14:paraId="5B7DFA4F">
            <w:pPr>
              <w:widowControl/>
              <w:adjustRightInd w:val="0"/>
              <w:rPr>
                <w:rFonts w:hint="eastAsia" w:ascii="华文仿宋" w:hAnsi="华文仿宋" w:eastAsia="华文仿宋" w:cs="华文仿宋"/>
                <w:color w:val="auto"/>
                <w:kern w:val="0"/>
                <w:sz w:val="24"/>
                <w:szCs w:val="24"/>
                <w:highlight w:val="none"/>
              </w:rPr>
            </w:pPr>
          </w:p>
        </w:tc>
        <w:tc>
          <w:tcPr>
            <w:tcW w:w="1401" w:type="dxa"/>
            <w:tcBorders>
              <w:top w:val="single" w:color="000000" w:sz="4" w:space="0"/>
              <w:left w:val="nil"/>
              <w:bottom w:val="single" w:color="000000" w:sz="4" w:space="0"/>
              <w:right w:val="single" w:color="000000" w:sz="4" w:space="0"/>
            </w:tcBorders>
            <w:vAlign w:val="top"/>
          </w:tcPr>
          <w:p w14:paraId="78338AC5">
            <w:pPr>
              <w:widowControl/>
              <w:adjustRightInd w:val="0"/>
              <w:rPr>
                <w:rFonts w:hint="eastAsia" w:ascii="华文仿宋" w:hAnsi="华文仿宋" w:eastAsia="华文仿宋" w:cs="华文仿宋"/>
                <w:color w:val="auto"/>
                <w:kern w:val="0"/>
                <w:sz w:val="24"/>
                <w:szCs w:val="24"/>
                <w:highlight w:val="none"/>
              </w:rPr>
            </w:pPr>
          </w:p>
        </w:tc>
        <w:tc>
          <w:tcPr>
            <w:tcW w:w="598" w:type="dxa"/>
            <w:tcBorders>
              <w:top w:val="single" w:color="000000" w:sz="4" w:space="0"/>
              <w:left w:val="nil"/>
              <w:bottom w:val="single" w:color="000000" w:sz="4" w:space="0"/>
              <w:right w:val="single" w:color="000000" w:sz="4" w:space="0"/>
            </w:tcBorders>
            <w:vAlign w:val="top"/>
          </w:tcPr>
          <w:p w14:paraId="09F6A959">
            <w:pPr>
              <w:widowControl/>
              <w:adjustRightInd w:val="0"/>
              <w:rPr>
                <w:rFonts w:hint="eastAsia" w:ascii="华文仿宋" w:hAnsi="华文仿宋" w:eastAsia="华文仿宋" w:cs="华文仿宋"/>
                <w:color w:val="auto"/>
                <w:kern w:val="0"/>
                <w:sz w:val="24"/>
                <w:szCs w:val="24"/>
                <w:highlight w:val="none"/>
              </w:rPr>
            </w:pPr>
          </w:p>
        </w:tc>
      </w:tr>
      <w:tr w14:paraId="27C29194">
        <w:tblPrEx>
          <w:tblCellMar>
            <w:top w:w="0" w:type="dxa"/>
            <w:left w:w="108" w:type="dxa"/>
            <w:bottom w:w="0" w:type="dxa"/>
            <w:right w:w="108" w:type="dxa"/>
          </w:tblCellMar>
        </w:tblPrEx>
        <w:trPr>
          <w:trHeight w:val="419" w:hRule="atLeast"/>
          <w:jc w:val="center"/>
        </w:trPr>
        <w:tc>
          <w:tcPr>
            <w:tcW w:w="765" w:type="dxa"/>
            <w:tcBorders>
              <w:top w:val="single" w:color="000000" w:sz="4" w:space="0"/>
              <w:left w:val="single" w:color="000000" w:sz="4" w:space="0"/>
              <w:bottom w:val="single" w:color="000000" w:sz="4" w:space="0"/>
              <w:right w:val="single" w:color="000000" w:sz="4" w:space="0"/>
            </w:tcBorders>
            <w:vAlign w:val="top"/>
          </w:tcPr>
          <w:p w14:paraId="5BC8E3EB">
            <w:pPr>
              <w:widowControl/>
              <w:adjustRightInd w:val="0"/>
              <w:jc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5</w:t>
            </w:r>
          </w:p>
        </w:tc>
        <w:tc>
          <w:tcPr>
            <w:tcW w:w="871" w:type="dxa"/>
            <w:tcBorders>
              <w:top w:val="single" w:color="000000" w:sz="4" w:space="0"/>
              <w:left w:val="nil"/>
              <w:bottom w:val="single" w:color="000000" w:sz="4" w:space="0"/>
              <w:right w:val="single" w:color="000000" w:sz="4" w:space="0"/>
            </w:tcBorders>
            <w:vAlign w:val="top"/>
          </w:tcPr>
          <w:p w14:paraId="6E2035BF">
            <w:pPr>
              <w:widowControl/>
              <w:adjustRightInd w:val="0"/>
              <w:rPr>
                <w:rFonts w:hint="eastAsia" w:ascii="华文仿宋" w:hAnsi="华文仿宋" w:eastAsia="华文仿宋" w:cs="华文仿宋"/>
                <w:color w:val="auto"/>
                <w:kern w:val="0"/>
                <w:sz w:val="24"/>
                <w:szCs w:val="24"/>
                <w:highlight w:val="none"/>
              </w:rPr>
            </w:pPr>
          </w:p>
        </w:tc>
        <w:tc>
          <w:tcPr>
            <w:tcW w:w="1454" w:type="dxa"/>
            <w:tcBorders>
              <w:top w:val="single" w:color="000000" w:sz="4" w:space="0"/>
              <w:left w:val="nil"/>
              <w:bottom w:val="single" w:color="000000" w:sz="4" w:space="0"/>
              <w:right w:val="single" w:color="000000" w:sz="4" w:space="0"/>
            </w:tcBorders>
            <w:vAlign w:val="top"/>
          </w:tcPr>
          <w:p w14:paraId="41CE934F">
            <w:pPr>
              <w:widowControl/>
              <w:adjustRightInd w:val="0"/>
              <w:rPr>
                <w:rFonts w:hint="eastAsia" w:ascii="华文仿宋" w:hAnsi="华文仿宋" w:eastAsia="华文仿宋" w:cs="华文仿宋"/>
                <w:color w:val="auto"/>
                <w:kern w:val="0"/>
                <w:sz w:val="24"/>
                <w:szCs w:val="24"/>
                <w:highlight w:val="none"/>
              </w:rPr>
            </w:pPr>
          </w:p>
        </w:tc>
        <w:tc>
          <w:tcPr>
            <w:tcW w:w="1308" w:type="dxa"/>
            <w:tcBorders>
              <w:top w:val="single" w:color="000000" w:sz="4" w:space="0"/>
              <w:left w:val="nil"/>
              <w:bottom w:val="single" w:color="000000" w:sz="4" w:space="0"/>
              <w:right w:val="single" w:color="000000" w:sz="4" w:space="0"/>
            </w:tcBorders>
            <w:vAlign w:val="top"/>
          </w:tcPr>
          <w:p w14:paraId="5D9D7EC3">
            <w:pPr>
              <w:widowControl/>
              <w:adjustRightInd w:val="0"/>
              <w:rPr>
                <w:rFonts w:hint="eastAsia" w:ascii="华文仿宋" w:hAnsi="华文仿宋" w:eastAsia="华文仿宋" w:cs="华文仿宋"/>
                <w:color w:val="auto"/>
                <w:kern w:val="0"/>
                <w:sz w:val="24"/>
                <w:szCs w:val="24"/>
                <w:highlight w:val="none"/>
              </w:rPr>
            </w:pPr>
          </w:p>
        </w:tc>
        <w:tc>
          <w:tcPr>
            <w:tcW w:w="1598" w:type="dxa"/>
            <w:tcBorders>
              <w:top w:val="single" w:color="000000" w:sz="4" w:space="0"/>
              <w:left w:val="nil"/>
              <w:bottom w:val="single" w:color="000000" w:sz="4" w:space="0"/>
              <w:right w:val="single" w:color="000000" w:sz="4" w:space="0"/>
            </w:tcBorders>
            <w:vAlign w:val="top"/>
          </w:tcPr>
          <w:p w14:paraId="61AA05DA">
            <w:pPr>
              <w:widowControl/>
              <w:adjustRightInd w:val="0"/>
              <w:rPr>
                <w:rFonts w:hint="eastAsia" w:ascii="华文仿宋" w:hAnsi="华文仿宋" w:eastAsia="华文仿宋" w:cs="华文仿宋"/>
                <w:color w:val="auto"/>
                <w:kern w:val="0"/>
                <w:sz w:val="24"/>
                <w:szCs w:val="24"/>
                <w:highlight w:val="none"/>
              </w:rPr>
            </w:pPr>
          </w:p>
        </w:tc>
        <w:tc>
          <w:tcPr>
            <w:tcW w:w="1341" w:type="dxa"/>
            <w:tcBorders>
              <w:top w:val="single" w:color="000000" w:sz="4" w:space="0"/>
              <w:left w:val="nil"/>
              <w:bottom w:val="single" w:color="000000" w:sz="4" w:space="0"/>
              <w:right w:val="single" w:color="000000" w:sz="4" w:space="0"/>
            </w:tcBorders>
            <w:vAlign w:val="top"/>
          </w:tcPr>
          <w:p w14:paraId="456C968F">
            <w:pPr>
              <w:widowControl/>
              <w:adjustRightInd w:val="0"/>
              <w:rPr>
                <w:rFonts w:hint="eastAsia" w:ascii="华文仿宋" w:hAnsi="华文仿宋" w:eastAsia="华文仿宋" w:cs="华文仿宋"/>
                <w:color w:val="auto"/>
                <w:kern w:val="0"/>
                <w:sz w:val="24"/>
                <w:szCs w:val="24"/>
                <w:highlight w:val="none"/>
              </w:rPr>
            </w:pPr>
          </w:p>
        </w:tc>
        <w:tc>
          <w:tcPr>
            <w:tcW w:w="1401" w:type="dxa"/>
            <w:tcBorders>
              <w:top w:val="single" w:color="000000" w:sz="4" w:space="0"/>
              <w:left w:val="nil"/>
              <w:bottom w:val="single" w:color="000000" w:sz="4" w:space="0"/>
              <w:right w:val="single" w:color="000000" w:sz="4" w:space="0"/>
            </w:tcBorders>
            <w:vAlign w:val="top"/>
          </w:tcPr>
          <w:p w14:paraId="753F5C1F">
            <w:pPr>
              <w:widowControl/>
              <w:adjustRightInd w:val="0"/>
              <w:rPr>
                <w:rFonts w:hint="eastAsia" w:ascii="华文仿宋" w:hAnsi="华文仿宋" w:eastAsia="华文仿宋" w:cs="华文仿宋"/>
                <w:color w:val="auto"/>
                <w:kern w:val="0"/>
                <w:sz w:val="24"/>
                <w:szCs w:val="24"/>
                <w:highlight w:val="none"/>
              </w:rPr>
            </w:pPr>
          </w:p>
        </w:tc>
        <w:tc>
          <w:tcPr>
            <w:tcW w:w="598" w:type="dxa"/>
            <w:tcBorders>
              <w:top w:val="single" w:color="000000" w:sz="4" w:space="0"/>
              <w:left w:val="nil"/>
              <w:bottom w:val="single" w:color="000000" w:sz="4" w:space="0"/>
              <w:right w:val="single" w:color="000000" w:sz="4" w:space="0"/>
            </w:tcBorders>
            <w:vAlign w:val="top"/>
          </w:tcPr>
          <w:p w14:paraId="12D28BB1">
            <w:pPr>
              <w:widowControl/>
              <w:adjustRightInd w:val="0"/>
              <w:rPr>
                <w:rFonts w:hint="eastAsia" w:ascii="华文仿宋" w:hAnsi="华文仿宋" w:eastAsia="华文仿宋" w:cs="华文仿宋"/>
                <w:color w:val="auto"/>
                <w:kern w:val="0"/>
                <w:sz w:val="24"/>
                <w:szCs w:val="24"/>
                <w:highlight w:val="none"/>
              </w:rPr>
            </w:pPr>
          </w:p>
        </w:tc>
      </w:tr>
      <w:tr w14:paraId="66F9E6DD">
        <w:tblPrEx>
          <w:tblCellMar>
            <w:top w:w="0" w:type="dxa"/>
            <w:left w:w="108" w:type="dxa"/>
            <w:bottom w:w="0" w:type="dxa"/>
            <w:right w:w="108" w:type="dxa"/>
          </w:tblCellMar>
        </w:tblPrEx>
        <w:trPr>
          <w:trHeight w:val="419" w:hRule="atLeast"/>
          <w:jc w:val="center"/>
        </w:trPr>
        <w:tc>
          <w:tcPr>
            <w:tcW w:w="765" w:type="dxa"/>
            <w:tcBorders>
              <w:top w:val="single" w:color="000000" w:sz="4" w:space="0"/>
              <w:left w:val="single" w:color="000000" w:sz="4" w:space="0"/>
              <w:bottom w:val="single" w:color="000000" w:sz="4" w:space="0"/>
              <w:right w:val="single" w:color="000000" w:sz="4" w:space="0"/>
            </w:tcBorders>
            <w:vAlign w:val="top"/>
          </w:tcPr>
          <w:p w14:paraId="78043CE0">
            <w:pPr>
              <w:widowControl/>
              <w:adjustRightInd w:val="0"/>
              <w:jc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6</w:t>
            </w:r>
          </w:p>
        </w:tc>
        <w:tc>
          <w:tcPr>
            <w:tcW w:w="871" w:type="dxa"/>
            <w:tcBorders>
              <w:top w:val="single" w:color="000000" w:sz="4" w:space="0"/>
              <w:left w:val="nil"/>
              <w:bottom w:val="single" w:color="000000" w:sz="4" w:space="0"/>
              <w:right w:val="single" w:color="000000" w:sz="4" w:space="0"/>
            </w:tcBorders>
            <w:vAlign w:val="top"/>
          </w:tcPr>
          <w:p w14:paraId="57B6B2D1">
            <w:pPr>
              <w:widowControl/>
              <w:adjustRightInd w:val="0"/>
              <w:rPr>
                <w:rFonts w:hint="eastAsia" w:ascii="华文仿宋" w:hAnsi="华文仿宋" w:eastAsia="华文仿宋" w:cs="华文仿宋"/>
                <w:color w:val="auto"/>
                <w:kern w:val="0"/>
                <w:sz w:val="24"/>
                <w:szCs w:val="24"/>
                <w:highlight w:val="none"/>
              </w:rPr>
            </w:pPr>
          </w:p>
        </w:tc>
        <w:tc>
          <w:tcPr>
            <w:tcW w:w="1454" w:type="dxa"/>
            <w:tcBorders>
              <w:top w:val="single" w:color="000000" w:sz="4" w:space="0"/>
              <w:left w:val="nil"/>
              <w:bottom w:val="single" w:color="000000" w:sz="4" w:space="0"/>
              <w:right w:val="single" w:color="000000" w:sz="4" w:space="0"/>
            </w:tcBorders>
            <w:vAlign w:val="top"/>
          </w:tcPr>
          <w:p w14:paraId="38594B06">
            <w:pPr>
              <w:widowControl/>
              <w:adjustRightInd w:val="0"/>
              <w:rPr>
                <w:rFonts w:hint="eastAsia" w:ascii="华文仿宋" w:hAnsi="华文仿宋" w:eastAsia="华文仿宋" w:cs="华文仿宋"/>
                <w:color w:val="auto"/>
                <w:kern w:val="0"/>
                <w:sz w:val="24"/>
                <w:szCs w:val="24"/>
                <w:highlight w:val="none"/>
              </w:rPr>
            </w:pPr>
          </w:p>
        </w:tc>
        <w:tc>
          <w:tcPr>
            <w:tcW w:w="1308" w:type="dxa"/>
            <w:tcBorders>
              <w:top w:val="single" w:color="000000" w:sz="4" w:space="0"/>
              <w:left w:val="nil"/>
              <w:bottom w:val="single" w:color="000000" w:sz="4" w:space="0"/>
              <w:right w:val="single" w:color="000000" w:sz="4" w:space="0"/>
            </w:tcBorders>
            <w:vAlign w:val="top"/>
          </w:tcPr>
          <w:p w14:paraId="435448F3">
            <w:pPr>
              <w:widowControl/>
              <w:adjustRightInd w:val="0"/>
              <w:rPr>
                <w:rFonts w:hint="eastAsia" w:ascii="华文仿宋" w:hAnsi="华文仿宋" w:eastAsia="华文仿宋" w:cs="华文仿宋"/>
                <w:color w:val="auto"/>
                <w:kern w:val="0"/>
                <w:sz w:val="24"/>
                <w:szCs w:val="24"/>
                <w:highlight w:val="none"/>
              </w:rPr>
            </w:pPr>
          </w:p>
        </w:tc>
        <w:tc>
          <w:tcPr>
            <w:tcW w:w="1598" w:type="dxa"/>
            <w:tcBorders>
              <w:top w:val="single" w:color="000000" w:sz="4" w:space="0"/>
              <w:left w:val="nil"/>
              <w:bottom w:val="single" w:color="000000" w:sz="4" w:space="0"/>
              <w:right w:val="single" w:color="000000" w:sz="4" w:space="0"/>
            </w:tcBorders>
            <w:vAlign w:val="top"/>
          </w:tcPr>
          <w:p w14:paraId="2BA44394">
            <w:pPr>
              <w:widowControl/>
              <w:adjustRightInd w:val="0"/>
              <w:rPr>
                <w:rFonts w:hint="eastAsia" w:ascii="华文仿宋" w:hAnsi="华文仿宋" w:eastAsia="华文仿宋" w:cs="华文仿宋"/>
                <w:color w:val="auto"/>
                <w:kern w:val="0"/>
                <w:sz w:val="24"/>
                <w:szCs w:val="24"/>
                <w:highlight w:val="none"/>
              </w:rPr>
            </w:pPr>
          </w:p>
        </w:tc>
        <w:tc>
          <w:tcPr>
            <w:tcW w:w="1341" w:type="dxa"/>
            <w:tcBorders>
              <w:top w:val="single" w:color="000000" w:sz="4" w:space="0"/>
              <w:left w:val="nil"/>
              <w:bottom w:val="single" w:color="000000" w:sz="4" w:space="0"/>
              <w:right w:val="single" w:color="000000" w:sz="4" w:space="0"/>
            </w:tcBorders>
            <w:vAlign w:val="top"/>
          </w:tcPr>
          <w:p w14:paraId="7EDD7617">
            <w:pPr>
              <w:widowControl/>
              <w:adjustRightInd w:val="0"/>
              <w:rPr>
                <w:rFonts w:hint="eastAsia" w:ascii="华文仿宋" w:hAnsi="华文仿宋" w:eastAsia="华文仿宋" w:cs="华文仿宋"/>
                <w:color w:val="auto"/>
                <w:kern w:val="0"/>
                <w:sz w:val="24"/>
                <w:szCs w:val="24"/>
                <w:highlight w:val="none"/>
              </w:rPr>
            </w:pPr>
          </w:p>
        </w:tc>
        <w:tc>
          <w:tcPr>
            <w:tcW w:w="1401" w:type="dxa"/>
            <w:tcBorders>
              <w:top w:val="single" w:color="000000" w:sz="4" w:space="0"/>
              <w:left w:val="nil"/>
              <w:bottom w:val="single" w:color="000000" w:sz="4" w:space="0"/>
              <w:right w:val="single" w:color="000000" w:sz="4" w:space="0"/>
            </w:tcBorders>
            <w:vAlign w:val="top"/>
          </w:tcPr>
          <w:p w14:paraId="7C5FF324">
            <w:pPr>
              <w:widowControl/>
              <w:adjustRightInd w:val="0"/>
              <w:rPr>
                <w:rFonts w:hint="eastAsia" w:ascii="华文仿宋" w:hAnsi="华文仿宋" w:eastAsia="华文仿宋" w:cs="华文仿宋"/>
                <w:color w:val="auto"/>
                <w:kern w:val="0"/>
                <w:sz w:val="24"/>
                <w:szCs w:val="24"/>
                <w:highlight w:val="none"/>
              </w:rPr>
            </w:pPr>
          </w:p>
        </w:tc>
        <w:tc>
          <w:tcPr>
            <w:tcW w:w="598" w:type="dxa"/>
            <w:tcBorders>
              <w:top w:val="single" w:color="000000" w:sz="4" w:space="0"/>
              <w:left w:val="nil"/>
              <w:bottom w:val="single" w:color="000000" w:sz="4" w:space="0"/>
              <w:right w:val="single" w:color="000000" w:sz="4" w:space="0"/>
            </w:tcBorders>
            <w:vAlign w:val="top"/>
          </w:tcPr>
          <w:p w14:paraId="1118CCD6">
            <w:pPr>
              <w:widowControl/>
              <w:adjustRightInd w:val="0"/>
              <w:rPr>
                <w:rFonts w:hint="eastAsia" w:ascii="华文仿宋" w:hAnsi="华文仿宋" w:eastAsia="华文仿宋" w:cs="华文仿宋"/>
                <w:color w:val="auto"/>
                <w:kern w:val="0"/>
                <w:sz w:val="24"/>
                <w:szCs w:val="24"/>
                <w:highlight w:val="none"/>
              </w:rPr>
            </w:pPr>
          </w:p>
        </w:tc>
      </w:tr>
      <w:tr w14:paraId="7A56E69E">
        <w:tblPrEx>
          <w:tblCellMar>
            <w:top w:w="0" w:type="dxa"/>
            <w:left w:w="108" w:type="dxa"/>
            <w:bottom w:w="0" w:type="dxa"/>
            <w:right w:w="108" w:type="dxa"/>
          </w:tblCellMar>
        </w:tblPrEx>
        <w:trPr>
          <w:trHeight w:val="419" w:hRule="atLeast"/>
          <w:jc w:val="center"/>
        </w:trPr>
        <w:tc>
          <w:tcPr>
            <w:tcW w:w="765" w:type="dxa"/>
            <w:tcBorders>
              <w:top w:val="single" w:color="000000" w:sz="4" w:space="0"/>
              <w:left w:val="single" w:color="000000" w:sz="4" w:space="0"/>
              <w:bottom w:val="single" w:color="000000" w:sz="4" w:space="0"/>
              <w:right w:val="single" w:color="000000" w:sz="4" w:space="0"/>
            </w:tcBorders>
            <w:vAlign w:val="top"/>
          </w:tcPr>
          <w:p w14:paraId="71EECC5F">
            <w:pPr>
              <w:widowControl/>
              <w:adjustRightInd w:val="0"/>
              <w:jc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7</w:t>
            </w:r>
          </w:p>
        </w:tc>
        <w:tc>
          <w:tcPr>
            <w:tcW w:w="871" w:type="dxa"/>
            <w:tcBorders>
              <w:top w:val="single" w:color="000000" w:sz="4" w:space="0"/>
              <w:left w:val="nil"/>
              <w:bottom w:val="single" w:color="000000" w:sz="4" w:space="0"/>
              <w:right w:val="single" w:color="000000" w:sz="4" w:space="0"/>
            </w:tcBorders>
            <w:vAlign w:val="top"/>
          </w:tcPr>
          <w:p w14:paraId="4FFAD5E2">
            <w:pPr>
              <w:widowControl/>
              <w:adjustRightInd w:val="0"/>
              <w:rPr>
                <w:rFonts w:hint="eastAsia" w:ascii="华文仿宋" w:hAnsi="华文仿宋" w:eastAsia="华文仿宋" w:cs="华文仿宋"/>
                <w:color w:val="auto"/>
                <w:kern w:val="0"/>
                <w:sz w:val="24"/>
                <w:szCs w:val="24"/>
                <w:highlight w:val="none"/>
              </w:rPr>
            </w:pPr>
          </w:p>
        </w:tc>
        <w:tc>
          <w:tcPr>
            <w:tcW w:w="1454" w:type="dxa"/>
            <w:tcBorders>
              <w:top w:val="single" w:color="000000" w:sz="4" w:space="0"/>
              <w:left w:val="nil"/>
              <w:bottom w:val="single" w:color="000000" w:sz="4" w:space="0"/>
              <w:right w:val="single" w:color="000000" w:sz="4" w:space="0"/>
            </w:tcBorders>
            <w:vAlign w:val="top"/>
          </w:tcPr>
          <w:p w14:paraId="02F80920">
            <w:pPr>
              <w:widowControl/>
              <w:adjustRightInd w:val="0"/>
              <w:rPr>
                <w:rFonts w:hint="eastAsia" w:ascii="华文仿宋" w:hAnsi="华文仿宋" w:eastAsia="华文仿宋" w:cs="华文仿宋"/>
                <w:color w:val="auto"/>
                <w:kern w:val="0"/>
                <w:sz w:val="24"/>
                <w:szCs w:val="24"/>
                <w:highlight w:val="none"/>
              </w:rPr>
            </w:pPr>
          </w:p>
        </w:tc>
        <w:tc>
          <w:tcPr>
            <w:tcW w:w="1308" w:type="dxa"/>
            <w:tcBorders>
              <w:top w:val="single" w:color="000000" w:sz="4" w:space="0"/>
              <w:left w:val="nil"/>
              <w:bottom w:val="single" w:color="000000" w:sz="4" w:space="0"/>
              <w:right w:val="single" w:color="000000" w:sz="4" w:space="0"/>
            </w:tcBorders>
            <w:vAlign w:val="top"/>
          </w:tcPr>
          <w:p w14:paraId="1FE38986">
            <w:pPr>
              <w:widowControl/>
              <w:adjustRightInd w:val="0"/>
              <w:rPr>
                <w:rFonts w:hint="eastAsia" w:ascii="华文仿宋" w:hAnsi="华文仿宋" w:eastAsia="华文仿宋" w:cs="华文仿宋"/>
                <w:color w:val="auto"/>
                <w:kern w:val="0"/>
                <w:sz w:val="24"/>
                <w:szCs w:val="24"/>
                <w:highlight w:val="none"/>
              </w:rPr>
            </w:pPr>
          </w:p>
        </w:tc>
        <w:tc>
          <w:tcPr>
            <w:tcW w:w="1598" w:type="dxa"/>
            <w:tcBorders>
              <w:top w:val="single" w:color="000000" w:sz="4" w:space="0"/>
              <w:left w:val="nil"/>
              <w:bottom w:val="single" w:color="000000" w:sz="4" w:space="0"/>
              <w:right w:val="single" w:color="000000" w:sz="4" w:space="0"/>
            </w:tcBorders>
            <w:vAlign w:val="top"/>
          </w:tcPr>
          <w:p w14:paraId="08B89C4D">
            <w:pPr>
              <w:widowControl/>
              <w:adjustRightInd w:val="0"/>
              <w:rPr>
                <w:rFonts w:hint="eastAsia" w:ascii="华文仿宋" w:hAnsi="华文仿宋" w:eastAsia="华文仿宋" w:cs="华文仿宋"/>
                <w:color w:val="auto"/>
                <w:kern w:val="0"/>
                <w:sz w:val="24"/>
                <w:szCs w:val="24"/>
                <w:highlight w:val="none"/>
              </w:rPr>
            </w:pPr>
          </w:p>
        </w:tc>
        <w:tc>
          <w:tcPr>
            <w:tcW w:w="1341" w:type="dxa"/>
            <w:tcBorders>
              <w:top w:val="single" w:color="000000" w:sz="4" w:space="0"/>
              <w:left w:val="nil"/>
              <w:bottom w:val="single" w:color="000000" w:sz="4" w:space="0"/>
              <w:right w:val="single" w:color="000000" w:sz="4" w:space="0"/>
            </w:tcBorders>
            <w:vAlign w:val="top"/>
          </w:tcPr>
          <w:p w14:paraId="59D6E577">
            <w:pPr>
              <w:widowControl/>
              <w:adjustRightInd w:val="0"/>
              <w:rPr>
                <w:rFonts w:hint="eastAsia" w:ascii="华文仿宋" w:hAnsi="华文仿宋" w:eastAsia="华文仿宋" w:cs="华文仿宋"/>
                <w:color w:val="auto"/>
                <w:kern w:val="0"/>
                <w:sz w:val="24"/>
                <w:szCs w:val="24"/>
                <w:highlight w:val="none"/>
              </w:rPr>
            </w:pPr>
          </w:p>
        </w:tc>
        <w:tc>
          <w:tcPr>
            <w:tcW w:w="1401" w:type="dxa"/>
            <w:tcBorders>
              <w:top w:val="single" w:color="000000" w:sz="4" w:space="0"/>
              <w:left w:val="nil"/>
              <w:bottom w:val="single" w:color="000000" w:sz="4" w:space="0"/>
              <w:right w:val="single" w:color="000000" w:sz="4" w:space="0"/>
            </w:tcBorders>
            <w:vAlign w:val="top"/>
          </w:tcPr>
          <w:p w14:paraId="10E0D954">
            <w:pPr>
              <w:widowControl/>
              <w:adjustRightInd w:val="0"/>
              <w:rPr>
                <w:rFonts w:hint="eastAsia" w:ascii="华文仿宋" w:hAnsi="华文仿宋" w:eastAsia="华文仿宋" w:cs="华文仿宋"/>
                <w:color w:val="auto"/>
                <w:kern w:val="0"/>
                <w:sz w:val="24"/>
                <w:szCs w:val="24"/>
                <w:highlight w:val="none"/>
              </w:rPr>
            </w:pPr>
          </w:p>
        </w:tc>
        <w:tc>
          <w:tcPr>
            <w:tcW w:w="598" w:type="dxa"/>
            <w:tcBorders>
              <w:top w:val="single" w:color="000000" w:sz="4" w:space="0"/>
              <w:left w:val="nil"/>
              <w:bottom w:val="single" w:color="000000" w:sz="4" w:space="0"/>
              <w:right w:val="single" w:color="000000" w:sz="4" w:space="0"/>
            </w:tcBorders>
            <w:vAlign w:val="top"/>
          </w:tcPr>
          <w:p w14:paraId="4AB05C04">
            <w:pPr>
              <w:widowControl/>
              <w:adjustRightInd w:val="0"/>
              <w:rPr>
                <w:rFonts w:hint="eastAsia" w:ascii="华文仿宋" w:hAnsi="华文仿宋" w:eastAsia="华文仿宋" w:cs="华文仿宋"/>
                <w:color w:val="auto"/>
                <w:kern w:val="0"/>
                <w:sz w:val="24"/>
                <w:szCs w:val="24"/>
                <w:highlight w:val="none"/>
              </w:rPr>
            </w:pPr>
          </w:p>
        </w:tc>
      </w:tr>
      <w:tr w14:paraId="7FF5388F">
        <w:tblPrEx>
          <w:tblCellMar>
            <w:top w:w="0" w:type="dxa"/>
            <w:left w:w="108" w:type="dxa"/>
            <w:bottom w:w="0" w:type="dxa"/>
            <w:right w:w="108" w:type="dxa"/>
          </w:tblCellMar>
        </w:tblPrEx>
        <w:trPr>
          <w:trHeight w:val="430" w:hRule="atLeast"/>
          <w:jc w:val="center"/>
        </w:trPr>
        <w:tc>
          <w:tcPr>
            <w:tcW w:w="765" w:type="dxa"/>
            <w:tcBorders>
              <w:top w:val="single" w:color="000000" w:sz="4" w:space="0"/>
              <w:left w:val="single" w:color="000000" w:sz="4" w:space="0"/>
              <w:bottom w:val="single" w:color="000000" w:sz="4" w:space="0"/>
              <w:right w:val="single" w:color="000000" w:sz="4" w:space="0"/>
            </w:tcBorders>
            <w:vAlign w:val="top"/>
          </w:tcPr>
          <w:p w14:paraId="1B6E93D5">
            <w:pPr>
              <w:widowControl/>
              <w:adjustRightInd w:val="0"/>
              <w:jc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8</w:t>
            </w:r>
          </w:p>
        </w:tc>
        <w:tc>
          <w:tcPr>
            <w:tcW w:w="871" w:type="dxa"/>
            <w:tcBorders>
              <w:top w:val="single" w:color="000000" w:sz="4" w:space="0"/>
              <w:left w:val="nil"/>
              <w:bottom w:val="single" w:color="000000" w:sz="4" w:space="0"/>
              <w:right w:val="single" w:color="000000" w:sz="4" w:space="0"/>
            </w:tcBorders>
            <w:vAlign w:val="top"/>
          </w:tcPr>
          <w:p w14:paraId="258015D0">
            <w:pPr>
              <w:widowControl/>
              <w:adjustRightInd w:val="0"/>
              <w:rPr>
                <w:rFonts w:hint="eastAsia" w:ascii="华文仿宋" w:hAnsi="华文仿宋" w:eastAsia="华文仿宋" w:cs="华文仿宋"/>
                <w:color w:val="auto"/>
                <w:kern w:val="0"/>
                <w:sz w:val="24"/>
                <w:szCs w:val="24"/>
                <w:highlight w:val="none"/>
              </w:rPr>
            </w:pPr>
          </w:p>
        </w:tc>
        <w:tc>
          <w:tcPr>
            <w:tcW w:w="1454" w:type="dxa"/>
            <w:tcBorders>
              <w:top w:val="single" w:color="000000" w:sz="4" w:space="0"/>
              <w:left w:val="nil"/>
              <w:bottom w:val="single" w:color="000000" w:sz="4" w:space="0"/>
              <w:right w:val="single" w:color="000000" w:sz="4" w:space="0"/>
            </w:tcBorders>
            <w:vAlign w:val="top"/>
          </w:tcPr>
          <w:p w14:paraId="1964BA9B">
            <w:pPr>
              <w:widowControl/>
              <w:adjustRightInd w:val="0"/>
              <w:rPr>
                <w:rFonts w:hint="eastAsia" w:ascii="华文仿宋" w:hAnsi="华文仿宋" w:eastAsia="华文仿宋" w:cs="华文仿宋"/>
                <w:color w:val="auto"/>
                <w:kern w:val="0"/>
                <w:sz w:val="24"/>
                <w:szCs w:val="24"/>
                <w:highlight w:val="none"/>
              </w:rPr>
            </w:pPr>
          </w:p>
        </w:tc>
        <w:tc>
          <w:tcPr>
            <w:tcW w:w="1308" w:type="dxa"/>
            <w:tcBorders>
              <w:top w:val="single" w:color="000000" w:sz="4" w:space="0"/>
              <w:left w:val="nil"/>
              <w:bottom w:val="single" w:color="000000" w:sz="4" w:space="0"/>
              <w:right w:val="single" w:color="000000" w:sz="4" w:space="0"/>
            </w:tcBorders>
            <w:vAlign w:val="top"/>
          </w:tcPr>
          <w:p w14:paraId="77427D5E">
            <w:pPr>
              <w:widowControl/>
              <w:adjustRightInd w:val="0"/>
              <w:rPr>
                <w:rFonts w:hint="eastAsia" w:ascii="华文仿宋" w:hAnsi="华文仿宋" w:eastAsia="华文仿宋" w:cs="华文仿宋"/>
                <w:color w:val="auto"/>
                <w:kern w:val="0"/>
                <w:sz w:val="24"/>
                <w:szCs w:val="24"/>
                <w:highlight w:val="none"/>
              </w:rPr>
            </w:pPr>
          </w:p>
        </w:tc>
        <w:tc>
          <w:tcPr>
            <w:tcW w:w="1598" w:type="dxa"/>
            <w:tcBorders>
              <w:top w:val="single" w:color="000000" w:sz="4" w:space="0"/>
              <w:left w:val="nil"/>
              <w:bottom w:val="single" w:color="000000" w:sz="4" w:space="0"/>
              <w:right w:val="single" w:color="000000" w:sz="4" w:space="0"/>
            </w:tcBorders>
            <w:vAlign w:val="top"/>
          </w:tcPr>
          <w:p w14:paraId="7E27205C">
            <w:pPr>
              <w:widowControl/>
              <w:adjustRightInd w:val="0"/>
              <w:rPr>
                <w:rFonts w:hint="eastAsia" w:ascii="华文仿宋" w:hAnsi="华文仿宋" w:eastAsia="华文仿宋" w:cs="华文仿宋"/>
                <w:color w:val="auto"/>
                <w:kern w:val="0"/>
                <w:sz w:val="24"/>
                <w:szCs w:val="24"/>
                <w:highlight w:val="none"/>
              </w:rPr>
            </w:pPr>
          </w:p>
        </w:tc>
        <w:tc>
          <w:tcPr>
            <w:tcW w:w="1341" w:type="dxa"/>
            <w:tcBorders>
              <w:top w:val="single" w:color="000000" w:sz="4" w:space="0"/>
              <w:left w:val="nil"/>
              <w:bottom w:val="single" w:color="000000" w:sz="4" w:space="0"/>
              <w:right w:val="single" w:color="000000" w:sz="4" w:space="0"/>
            </w:tcBorders>
            <w:vAlign w:val="top"/>
          </w:tcPr>
          <w:p w14:paraId="53793F6C">
            <w:pPr>
              <w:widowControl/>
              <w:adjustRightInd w:val="0"/>
              <w:rPr>
                <w:rFonts w:hint="eastAsia" w:ascii="华文仿宋" w:hAnsi="华文仿宋" w:eastAsia="华文仿宋" w:cs="华文仿宋"/>
                <w:color w:val="auto"/>
                <w:kern w:val="0"/>
                <w:sz w:val="24"/>
                <w:szCs w:val="24"/>
                <w:highlight w:val="none"/>
              </w:rPr>
            </w:pPr>
          </w:p>
        </w:tc>
        <w:tc>
          <w:tcPr>
            <w:tcW w:w="1401" w:type="dxa"/>
            <w:tcBorders>
              <w:top w:val="single" w:color="000000" w:sz="4" w:space="0"/>
              <w:left w:val="nil"/>
              <w:bottom w:val="single" w:color="000000" w:sz="4" w:space="0"/>
              <w:right w:val="single" w:color="000000" w:sz="4" w:space="0"/>
            </w:tcBorders>
            <w:vAlign w:val="top"/>
          </w:tcPr>
          <w:p w14:paraId="032D92BA">
            <w:pPr>
              <w:widowControl/>
              <w:adjustRightInd w:val="0"/>
              <w:rPr>
                <w:rFonts w:hint="eastAsia" w:ascii="华文仿宋" w:hAnsi="华文仿宋" w:eastAsia="华文仿宋" w:cs="华文仿宋"/>
                <w:color w:val="auto"/>
                <w:kern w:val="0"/>
                <w:sz w:val="24"/>
                <w:szCs w:val="24"/>
                <w:highlight w:val="none"/>
              </w:rPr>
            </w:pPr>
          </w:p>
        </w:tc>
        <w:tc>
          <w:tcPr>
            <w:tcW w:w="598" w:type="dxa"/>
            <w:tcBorders>
              <w:top w:val="single" w:color="000000" w:sz="4" w:space="0"/>
              <w:left w:val="nil"/>
              <w:bottom w:val="single" w:color="000000" w:sz="4" w:space="0"/>
              <w:right w:val="single" w:color="000000" w:sz="4" w:space="0"/>
            </w:tcBorders>
            <w:vAlign w:val="top"/>
          </w:tcPr>
          <w:p w14:paraId="5FF7B520">
            <w:pPr>
              <w:widowControl/>
              <w:adjustRightInd w:val="0"/>
              <w:rPr>
                <w:rFonts w:hint="eastAsia" w:ascii="华文仿宋" w:hAnsi="华文仿宋" w:eastAsia="华文仿宋" w:cs="华文仿宋"/>
                <w:color w:val="auto"/>
                <w:kern w:val="0"/>
                <w:sz w:val="24"/>
                <w:szCs w:val="24"/>
                <w:highlight w:val="none"/>
              </w:rPr>
            </w:pPr>
          </w:p>
        </w:tc>
      </w:tr>
    </w:tbl>
    <w:p w14:paraId="3D2DEE05">
      <w:pPr>
        <w:widowControl/>
        <w:shd w:val="clear" w:color="auto" w:fill="FFFFFF"/>
        <w:spacing w:line="360" w:lineRule="auto"/>
        <w:jc w:val="left"/>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说明：如果行数不够，请自行增加。</w:t>
      </w:r>
    </w:p>
    <w:p w14:paraId="645D8B3B">
      <w:pPr>
        <w:widowControl/>
        <w:shd w:val="clear" w:color="auto" w:fill="FFFFFF"/>
        <w:spacing w:line="360" w:lineRule="auto"/>
        <w:jc w:val="left"/>
        <w:rPr>
          <w:rFonts w:hint="eastAsia" w:ascii="华文仿宋" w:hAnsi="华文仿宋" w:eastAsia="华文仿宋" w:cs="华文仿宋"/>
          <w:color w:val="auto"/>
          <w:kern w:val="0"/>
          <w:sz w:val="24"/>
          <w:szCs w:val="24"/>
          <w:highlight w:val="none"/>
        </w:rPr>
      </w:pPr>
    </w:p>
    <w:p w14:paraId="12BCAFCC">
      <w:pPr>
        <w:widowControl/>
        <w:snapToGrid w:val="0"/>
        <w:spacing w:line="360" w:lineRule="auto"/>
        <w:ind w:firstLine="399" w:firstLineChars="137"/>
        <w:jc w:val="left"/>
        <w:rPr>
          <w:rFonts w:hint="eastAsia" w:ascii="方正仿宋_GBK" w:hAnsi="方正仿宋_GBK" w:eastAsia="方正仿宋_GBK" w:cs="方正仿宋_GBK"/>
          <w:bCs/>
          <w:color w:val="auto"/>
          <w:kern w:val="0"/>
          <w:sz w:val="30"/>
          <w:szCs w:val="30"/>
          <w:highlight w:val="none"/>
          <w:u w:val="single"/>
          <w:lang w:val="zh-CN"/>
        </w:rPr>
      </w:pPr>
      <w:r>
        <w:rPr>
          <w:rFonts w:hint="eastAsia" w:ascii="方正仿宋_GBK" w:hAnsi="方正仿宋_GBK" w:eastAsia="方正仿宋_GBK" w:cs="方正仿宋_GBK"/>
          <w:bCs/>
          <w:color w:val="auto"/>
          <w:kern w:val="0"/>
          <w:sz w:val="30"/>
          <w:szCs w:val="30"/>
          <w:highlight w:val="none"/>
          <w:lang w:val="zh-CN"/>
        </w:rPr>
        <w:t>供应商（盖章）:</w:t>
      </w:r>
    </w:p>
    <w:p w14:paraId="52EBA01A">
      <w:pPr>
        <w:widowControl/>
        <w:shd w:val="clear"/>
        <w:snapToGrid w:val="0"/>
        <w:spacing w:line="360" w:lineRule="auto"/>
        <w:ind w:firstLine="399" w:firstLineChars="137"/>
        <w:jc w:val="left"/>
        <w:rPr>
          <w:rFonts w:hint="eastAsia" w:ascii="方正仿宋_GBK" w:hAnsi="方正仿宋_GBK" w:eastAsia="方正仿宋_GBK" w:cs="方正仿宋_GBK"/>
          <w:bCs/>
          <w:color w:val="auto"/>
          <w:kern w:val="0"/>
          <w:sz w:val="30"/>
          <w:szCs w:val="30"/>
          <w:highlight w:val="none"/>
          <w:u w:val="none"/>
          <w:lang w:val="zh-CN"/>
        </w:rPr>
      </w:pPr>
      <w:r>
        <w:rPr>
          <w:rFonts w:hint="eastAsia" w:ascii="方正仿宋_GBK" w:hAnsi="方正仿宋_GBK" w:eastAsia="方正仿宋_GBK" w:cs="方正仿宋_GBK"/>
          <w:bCs/>
          <w:color w:val="auto"/>
          <w:kern w:val="0"/>
          <w:sz w:val="30"/>
          <w:szCs w:val="30"/>
          <w:highlight w:val="none"/>
          <w:lang w:val="zh-CN"/>
        </w:rPr>
        <w:t>法定代表人或其授权代表（签字）：</w:t>
      </w:r>
      <w:r>
        <w:rPr>
          <w:rFonts w:hint="eastAsia" w:ascii="方正仿宋_GBK" w:hAnsi="方正仿宋_GBK" w:eastAsia="方正仿宋_GBK" w:cs="方正仿宋_GBK"/>
          <w:bCs/>
          <w:color w:val="auto"/>
          <w:kern w:val="0"/>
          <w:sz w:val="30"/>
          <w:szCs w:val="30"/>
          <w:highlight w:val="none"/>
          <w:u w:val="single"/>
        </w:rPr>
        <w:t xml:space="preserve">       </w:t>
      </w:r>
      <w:r>
        <w:rPr>
          <w:rFonts w:hint="eastAsia" w:ascii="方正仿宋_GBK" w:hAnsi="方正仿宋_GBK" w:eastAsia="方正仿宋_GBK" w:cs="方正仿宋_GBK"/>
          <w:bCs/>
          <w:color w:val="auto"/>
          <w:kern w:val="0"/>
          <w:sz w:val="30"/>
          <w:szCs w:val="30"/>
          <w:highlight w:val="none"/>
          <w:u w:val="single"/>
          <w:lang w:val="zh-CN"/>
        </w:rPr>
        <w:tab/>
      </w:r>
      <w:r>
        <w:rPr>
          <w:rFonts w:hint="eastAsia" w:ascii="方正仿宋_GBK" w:hAnsi="方正仿宋_GBK" w:eastAsia="方正仿宋_GBK" w:cs="方正仿宋_GBK"/>
          <w:bCs/>
          <w:color w:val="auto"/>
          <w:kern w:val="0"/>
          <w:sz w:val="30"/>
          <w:szCs w:val="30"/>
          <w:highlight w:val="none"/>
          <w:u w:val="single"/>
          <w:lang w:val="zh-CN"/>
        </w:rPr>
        <w:t xml:space="preserve">    </w:t>
      </w:r>
      <w:r>
        <w:rPr>
          <w:rFonts w:hint="eastAsia" w:ascii="方正仿宋_GBK" w:hAnsi="方正仿宋_GBK" w:eastAsia="方正仿宋_GBK" w:cs="方正仿宋_GBK"/>
          <w:bCs/>
          <w:color w:val="auto"/>
          <w:kern w:val="0"/>
          <w:sz w:val="30"/>
          <w:szCs w:val="30"/>
          <w:highlight w:val="none"/>
          <w:u w:val="none"/>
          <w:lang w:val="zh-CN"/>
        </w:rPr>
        <w:t>                     </w:t>
      </w:r>
    </w:p>
    <w:p w14:paraId="1B12E666">
      <w:pPr>
        <w:widowControl/>
        <w:shd w:val="clear"/>
        <w:snapToGrid w:val="0"/>
        <w:spacing w:line="360" w:lineRule="auto"/>
        <w:ind w:firstLine="399" w:firstLineChars="137"/>
        <w:jc w:val="left"/>
        <w:rPr>
          <w:rFonts w:ascii="宋体"/>
          <w:color w:val="auto"/>
          <w:kern w:val="0"/>
          <w:szCs w:val="21"/>
          <w:highlight w:val="none"/>
          <w:u w:val="single"/>
        </w:rPr>
      </w:pPr>
      <w:r>
        <w:rPr>
          <w:rFonts w:hint="eastAsia" w:ascii="方正仿宋_GBK" w:hAnsi="方正仿宋_GBK" w:eastAsia="方正仿宋_GBK" w:cs="方正仿宋_GBK"/>
          <w:bCs/>
          <w:color w:val="auto"/>
          <w:kern w:val="0"/>
          <w:sz w:val="30"/>
          <w:szCs w:val="30"/>
          <w:highlight w:val="none"/>
          <w:lang w:val="zh-CN"/>
        </w:rPr>
        <w:t>日期：      年     月    日</w:t>
      </w:r>
    </w:p>
    <w:p w14:paraId="058A8AF2">
      <w:pPr>
        <w:widowControl/>
        <w:adjustRightInd w:val="0"/>
        <w:snapToGrid/>
        <w:spacing w:line="240" w:lineRule="atLeast"/>
        <w:jc w:val="left"/>
        <w:rPr>
          <w:rFonts w:hint="eastAsia" w:ascii="方正黑体_GBK" w:hAnsi="方正黑体_GBK" w:eastAsia="方正黑体_GBK" w:cs="方正黑体_GBK"/>
          <w:b w:val="0"/>
          <w:bCs/>
          <w:color w:val="auto"/>
          <w:kern w:val="0"/>
          <w:sz w:val="30"/>
          <w:szCs w:val="30"/>
          <w:highlight w:val="none"/>
          <w:lang w:val="zh-CN"/>
        </w:rPr>
      </w:pPr>
    </w:p>
    <w:p w14:paraId="52D417E8">
      <w:pPr>
        <w:pageBreakBefore/>
        <w:widowControl/>
        <w:snapToGrid w:val="0"/>
        <w:spacing w:line="360" w:lineRule="auto"/>
        <w:jc w:val="left"/>
        <w:rPr>
          <w:rFonts w:hint="eastAsia" w:ascii="方正黑体_GBK" w:hAnsi="方正黑体_GBK" w:eastAsia="方正黑体_GBK" w:cs="方正黑体_GBK"/>
          <w:b w:val="0"/>
          <w:bCs/>
          <w:color w:val="auto"/>
          <w:kern w:val="0"/>
          <w:sz w:val="30"/>
          <w:szCs w:val="30"/>
          <w:highlight w:val="none"/>
          <w:lang w:val="zh-CN"/>
        </w:rPr>
      </w:pPr>
      <w:r>
        <w:rPr>
          <w:rFonts w:hint="eastAsia" w:ascii="方正黑体_GBK" w:hAnsi="方正黑体_GBK" w:eastAsia="方正黑体_GBK" w:cs="方正黑体_GBK"/>
          <w:b w:val="0"/>
          <w:bCs/>
          <w:color w:val="auto"/>
          <w:kern w:val="0"/>
          <w:sz w:val="30"/>
          <w:szCs w:val="30"/>
          <w:highlight w:val="none"/>
          <w:lang w:val="zh-CN"/>
        </w:rPr>
        <w:t>目录</w:t>
      </w:r>
      <w:r>
        <w:rPr>
          <w:rFonts w:hint="eastAsia" w:ascii="方正黑体_GBK" w:hAnsi="方正黑体_GBK" w:eastAsia="方正黑体_GBK" w:cs="方正黑体_GBK"/>
          <w:b w:val="0"/>
          <w:bCs/>
          <w:color w:val="auto"/>
          <w:kern w:val="0"/>
          <w:sz w:val="30"/>
          <w:szCs w:val="30"/>
          <w:highlight w:val="none"/>
          <w:lang w:val="en-US" w:eastAsia="zh-CN"/>
        </w:rPr>
        <w:t>七</w:t>
      </w:r>
      <w:r>
        <w:rPr>
          <w:rFonts w:hint="eastAsia" w:ascii="方正黑体_GBK" w:hAnsi="方正黑体_GBK" w:eastAsia="方正黑体_GBK" w:cs="方正黑体_GBK"/>
          <w:b w:val="0"/>
          <w:bCs/>
          <w:color w:val="auto"/>
          <w:kern w:val="0"/>
          <w:sz w:val="30"/>
          <w:szCs w:val="30"/>
          <w:highlight w:val="none"/>
          <w:lang w:val="zh-CN"/>
        </w:rPr>
        <w:t>：采购需求条款偏离表</w:t>
      </w:r>
    </w:p>
    <w:p w14:paraId="7B0C3FAE">
      <w:pPr>
        <w:spacing w:line="360" w:lineRule="auto"/>
        <w:jc w:val="center"/>
        <w:rPr>
          <w:rFonts w:hint="eastAsia" w:ascii="方正小标宋_GBK" w:hAnsi="方正小标宋_GBK" w:eastAsia="方正小标宋_GBK" w:cs="方正小标宋_GBK"/>
          <w:b w:val="0"/>
          <w:bCs w:val="0"/>
          <w:color w:val="auto"/>
          <w:sz w:val="36"/>
          <w:szCs w:val="36"/>
          <w:highlight w:val="none"/>
          <w:lang w:val="zh-CN"/>
        </w:rPr>
      </w:pPr>
      <w:bookmarkStart w:id="67" w:name="_Toc508699426"/>
    </w:p>
    <w:p w14:paraId="5B51AB23">
      <w:pPr>
        <w:spacing w:line="360" w:lineRule="auto"/>
        <w:jc w:val="center"/>
        <w:rPr>
          <w:rFonts w:hint="eastAsia" w:ascii="宋体" w:hAnsi="宋体" w:cs="宋体"/>
          <w:b/>
          <w:bCs/>
          <w:color w:val="auto"/>
          <w:sz w:val="28"/>
          <w:szCs w:val="28"/>
          <w:highlight w:val="none"/>
          <w:lang w:val="zh-CN"/>
        </w:rPr>
      </w:pPr>
      <w:r>
        <w:rPr>
          <w:rFonts w:hint="eastAsia" w:ascii="方正小标宋_GBK" w:hAnsi="方正小标宋_GBK" w:eastAsia="方正小标宋_GBK" w:cs="方正小标宋_GBK"/>
          <w:b w:val="0"/>
          <w:bCs w:val="0"/>
          <w:color w:val="auto"/>
          <w:sz w:val="36"/>
          <w:szCs w:val="36"/>
          <w:highlight w:val="none"/>
          <w:lang w:val="zh-CN"/>
        </w:rPr>
        <w:t>采购需求条款偏离表</w:t>
      </w:r>
    </w:p>
    <w:bookmarkEnd w:id="67"/>
    <w:tbl>
      <w:tblPr>
        <w:tblStyle w:val="67"/>
        <w:tblW w:w="8900" w:type="dxa"/>
        <w:jc w:val="center"/>
        <w:tblLayout w:type="fixed"/>
        <w:tblCellMar>
          <w:top w:w="0" w:type="dxa"/>
          <w:left w:w="0" w:type="dxa"/>
          <w:bottom w:w="0" w:type="dxa"/>
          <w:right w:w="0" w:type="dxa"/>
        </w:tblCellMar>
      </w:tblPr>
      <w:tblGrid>
        <w:gridCol w:w="765"/>
        <w:gridCol w:w="1874"/>
        <w:gridCol w:w="2199"/>
        <w:gridCol w:w="1658"/>
        <w:gridCol w:w="964"/>
        <w:gridCol w:w="1440"/>
      </w:tblGrid>
      <w:tr w14:paraId="5B04D6F7">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2E91458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r>
              <w:rPr>
                <w:rFonts w:hint="eastAsia" w:ascii="方正仿宋_GBK" w:hAnsi="方正仿宋_GBK" w:eastAsia="方正仿宋_GBK" w:cs="方正仿宋_GBK"/>
                <w:color w:val="auto"/>
                <w:kern w:val="0"/>
                <w:sz w:val="24"/>
                <w:szCs w:val="24"/>
                <w:highlight w:val="none"/>
                <w:lang w:val="zh-CN"/>
              </w:rPr>
              <w:t>项目名称：</w:t>
            </w:r>
          </w:p>
        </w:tc>
        <w:tc>
          <w:tcPr>
            <w:tcW w:w="2404" w:type="dxa"/>
            <w:gridSpan w:val="2"/>
            <w:tcBorders>
              <w:top w:val="nil"/>
              <w:left w:val="nil"/>
              <w:bottom w:val="single" w:color="auto" w:sz="6" w:space="0"/>
              <w:right w:val="nil"/>
            </w:tcBorders>
            <w:vAlign w:val="center"/>
          </w:tcPr>
          <w:p w14:paraId="3C8729A8">
            <w:pPr>
              <w:widowControl/>
              <w:adjustRightInd w:val="0"/>
              <w:spacing w:line="360" w:lineRule="auto"/>
              <w:jc w:val="left"/>
              <w:rPr>
                <w:rFonts w:hint="eastAsia" w:ascii="方正仿宋_GBK" w:hAnsi="方正仿宋_GBK" w:eastAsia="方正仿宋_GBK" w:cs="方正仿宋_GBK"/>
                <w:color w:val="auto"/>
                <w:kern w:val="0"/>
                <w:sz w:val="24"/>
                <w:szCs w:val="24"/>
                <w:highlight w:val="none"/>
                <w:lang w:val="zh-CN"/>
              </w:rPr>
            </w:pPr>
            <w:r>
              <w:rPr>
                <w:rFonts w:hint="eastAsia" w:ascii="方正仿宋_GBK" w:hAnsi="方正仿宋_GBK" w:eastAsia="方正仿宋_GBK" w:cs="方正仿宋_GBK"/>
                <w:color w:val="auto"/>
                <w:kern w:val="0"/>
                <w:sz w:val="24"/>
                <w:szCs w:val="24"/>
                <w:highlight w:val="none"/>
                <w:lang w:val="zh-CN"/>
              </w:rPr>
              <w:t>项目编号：</w:t>
            </w:r>
          </w:p>
        </w:tc>
      </w:tr>
      <w:tr w14:paraId="46FE5AD5">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bottom"/>
          </w:tcPr>
          <w:p w14:paraId="235AA88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r>
              <w:rPr>
                <w:rFonts w:hint="eastAsia" w:ascii="方正仿宋_GBK" w:hAnsi="方正仿宋_GBK" w:eastAsia="方正仿宋_GBK" w:cs="方正仿宋_GBK"/>
                <w:color w:val="auto"/>
                <w:kern w:val="0"/>
                <w:sz w:val="24"/>
                <w:szCs w:val="24"/>
                <w:highlight w:val="none"/>
                <w:lang w:val="zh-CN"/>
              </w:rPr>
              <w:t>序号</w:t>
            </w:r>
          </w:p>
        </w:tc>
        <w:tc>
          <w:tcPr>
            <w:tcW w:w="1874" w:type="dxa"/>
            <w:tcBorders>
              <w:top w:val="single" w:color="auto" w:sz="6" w:space="0"/>
              <w:left w:val="single" w:color="auto" w:sz="6" w:space="0"/>
              <w:bottom w:val="single" w:color="auto" w:sz="6" w:space="0"/>
              <w:right w:val="single" w:color="auto" w:sz="6" w:space="0"/>
            </w:tcBorders>
            <w:vAlign w:val="bottom"/>
          </w:tcPr>
          <w:p w14:paraId="55B7C7ED">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r>
              <w:rPr>
                <w:rFonts w:hint="eastAsia" w:ascii="方正仿宋_GBK" w:hAnsi="方正仿宋_GBK" w:eastAsia="方正仿宋_GBK" w:cs="方正仿宋_GBK"/>
                <w:color w:val="auto"/>
                <w:kern w:val="0"/>
                <w:sz w:val="24"/>
                <w:szCs w:val="24"/>
                <w:highlight w:val="none"/>
                <w:lang w:val="zh-CN"/>
              </w:rPr>
              <w:t>磋商文件条目号</w:t>
            </w:r>
          </w:p>
        </w:tc>
        <w:tc>
          <w:tcPr>
            <w:tcW w:w="2199" w:type="dxa"/>
            <w:tcBorders>
              <w:top w:val="single" w:color="auto" w:sz="6" w:space="0"/>
              <w:left w:val="single" w:color="auto" w:sz="6" w:space="0"/>
              <w:bottom w:val="single" w:color="auto" w:sz="6" w:space="0"/>
              <w:right w:val="single" w:color="auto" w:sz="6" w:space="0"/>
            </w:tcBorders>
            <w:vAlign w:val="bottom"/>
          </w:tcPr>
          <w:p w14:paraId="6E2297F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eastAsia="zh-CN"/>
              </w:rPr>
            </w:pPr>
            <w:r>
              <w:rPr>
                <w:rFonts w:hint="eastAsia" w:ascii="方正仿宋_GBK" w:hAnsi="方正仿宋_GBK" w:eastAsia="方正仿宋_GBK" w:cs="方正仿宋_GBK"/>
                <w:color w:val="auto"/>
                <w:kern w:val="0"/>
                <w:sz w:val="24"/>
                <w:szCs w:val="24"/>
                <w:highlight w:val="none"/>
                <w:lang w:val="zh-CN"/>
              </w:rPr>
              <w:t>磋商要求</w:t>
            </w:r>
            <w:r>
              <w:rPr>
                <w:rFonts w:hint="eastAsia" w:ascii="方正仿宋_GBK" w:hAnsi="方正仿宋_GBK" w:eastAsia="方正仿宋_GBK" w:cs="方正仿宋_GBK"/>
                <w:color w:val="auto"/>
                <w:kern w:val="0"/>
                <w:sz w:val="24"/>
                <w:szCs w:val="24"/>
                <w:highlight w:val="none"/>
                <w:lang w:val="en-US" w:eastAsia="zh-CN"/>
              </w:rPr>
              <w:t>条款</w:t>
            </w:r>
          </w:p>
        </w:tc>
        <w:tc>
          <w:tcPr>
            <w:tcW w:w="2622" w:type="dxa"/>
            <w:gridSpan w:val="2"/>
            <w:tcBorders>
              <w:top w:val="single" w:color="auto" w:sz="6" w:space="0"/>
              <w:left w:val="single" w:color="auto" w:sz="6" w:space="0"/>
              <w:bottom w:val="single" w:color="auto" w:sz="6" w:space="0"/>
              <w:right w:val="single" w:color="auto" w:sz="6" w:space="0"/>
            </w:tcBorders>
            <w:vAlign w:val="bottom"/>
          </w:tcPr>
          <w:p w14:paraId="284E1320">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r>
              <w:rPr>
                <w:rFonts w:hint="eastAsia" w:ascii="方正仿宋_GBK" w:hAnsi="方正仿宋_GBK" w:eastAsia="方正仿宋_GBK" w:cs="方正仿宋_GBK"/>
                <w:color w:val="auto"/>
                <w:kern w:val="0"/>
                <w:sz w:val="24"/>
                <w:szCs w:val="24"/>
                <w:highlight w:val="none"/>
                <w:lang w:val="zh-CN"/>
              </w:rPr>
              <w:t>供应商响应</w:t>
            </w:r>
          </w:p>
        </w:tc>
        <w:tc>
          <w:tcPr>
            <w:tcW w:w="1440" w:type="dxa"/>
            <w:tcBorders>
              <w:top w:val="single" w:color="auto" w:sz="6" w:space="0"/>
              <w:left w:val="single" w:color="auto" w:sz="6" w:space="0"/>
              <w:bottom w:val="single" w:color="auto" w:sz="6" w:space="0"/>
              <w:right w:val="single" w:color="auto" w:sz="6" w:space="0"/>
            </w:tcBorders>
            <w:vAlign w:val="bottom"/>
          </w:tcPr>
          <w:p w14:paraId="749CF915">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r>
              <w:rPr>
                <w:rFonts w:hint="eastAsia" w:ascii="方正仿宋_GBK" w:hAnsi="方正仿宋_GBK" w:eastAsia="方正仿宋_GBK" w:cs="方正仿宋_GBK"/>
                <w:color w:val="auto"/>
                <w:kern w:val="0"/>
                <w:sz w:val="24"/>
                <w:szCs w:val="24"/>
                <w:highlight w:val="none"/>
                <w:lang w:val="zh-CN"/>
              </w:rPr>
              <w:t>偏离</w:t>
            </w:r>
          </w:p>
        </w:tc>
      </w:tr>
      <w:tr w14:paraId="42E30F7D">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BBFD67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1BC5685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37F23F35">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622" w:type="dxa"/>
            <w:gridSpan w:val="2"/>
            <w:tcBorders>
              <w:top w:val="single" w:color="auto" w:sz="6" w:space="0"/>
              <w:left w:val="single" w:color="auto" w:sz="6" w:space="0"/>
              <w:bottom w:val="single" w:color="auto" w:sz="6" w:space="0"/>
              <w:right w:val="single" w:color="auto" w:sz="6" w:space="0"/>
            </w:tcBorders>
            <w:vAlign w:val="center"/>
          </w:tcPr>
          <w:p w14:paraId="4FD925D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440" w:type="dxa"/>
            <w:tcBorders>
              <w:top w:val="single" w:color="auto" w:sz="6" w:space="0"/>
              <w:left w:val="single" w:color="auto" w:sz="6" w:space="0"/>
              <w:bottom w:val="single" w:color="auto" w:sz="6" w:space="0"/>
              <w:right w:val="single" w:color="auto" w:sz="6" w:space="0"/>
            </w:tcBorders>
            <w:vAlign w:val="center"/>
          </w:tcPr>
          <w:p w14:paraId="7CF7C9F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3C95DEFE">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393E57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47F0A77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2E53902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622" w:type="dxa"/>
            <w:gridSpan w:val="2"/>
            <w:tcBorders>
              <w:top w:val="single" w:color="auto" w:sz="6" w:space="0"/>
              <w:left w:val="single" w:color="auto" w:sz="6" w:space="0"/>
              <w:bottom w:val="single" w:color="auto" w:sz="6" w:space="0"/>
              <w:right w:val="single" w:color="auto" w:sz="6" w:space="0"/>
            </w:tcBorders>
            <w:vAlign w:val="center"/>
          </w:tcPr>
          <w:p w14:paraId="58FC80C0">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440" w:type="dxa"/>
            <w:tcBorders>
              <w:top w:val="single" w:color="auto" w:sz="6" w:space="0"/>
              <w:left w:val="single" w:color="auto" w:sz="6" w:space="0"/>
              <w:bottom w:val="single" w:color="auto" w:sz="6" w:space="0"/>
              <w:right w:val="single" w:color="auto" w:sz="6" w:space="0"/>
            </w:tcBorders>
            <w:vAlign w:val="center"/>
          </w:tcPr>
          <w:p w14:paraId="0193B42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614B67B1">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13929C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589FD2C">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3CB08901">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622" w:type="dxa"/>
            <w:gridSpan w:val="2"/>
            <w:tcBorders>
              <w:top w:val="single" w:color="auto" w:sz="6" w:space="0"/>
              <w:left w:val="single" w:color="auto" w:sz="6" w:space="0"/>
              <w:bottom w:val="single" w:color="auto" w:sz="6" w:space="0"/>
              <w:right w:val="single" w:color="auto" w:sz="6" w:space="0"/>
            </w:tcBorders>
            <w:vAlign w:val="center"/>
          </w:tcPr>
          <w:p w14:paraId="06369B5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440" w:type="dxa"/>
            <w:tcBorders>
              <w:top w:val="single" w:color="auto" w:sz="6" w:space="0"/>
              <w:left w:val="single" w:color="auto" w:sz="6" w:space="0"/>
              <w:bottom w:val="single" w:color="auto" w:sz="6" w:space="0"/>
              <w:right w:val="single" w:color="auto" w:sz="6" w:space="0"/>
            </w:tcBorders>
            <w:vAlign w:val="center"/>
          </w:tcPr>
          <w:p w14:paraId="5943F2A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53952067">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14E5F8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E4050C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7D59BC3C">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622" w:type="dxa"/>
            <w:gridSpan w:val="2"/>
            <w:tcBorders>
              <w:top w:val="single" w:color="auto" w:sz="6" w:space="0"/>
              <w:left w:val="single" w:color="auto" w:sz="6" w:space="0"/>
              <w:bottom w:val="single" w:color="auto" w:sz="6" w:space="0"/>
              <w:right w:val="single" w:color="auto" w:sz="6" w:space="0"/>
            </w:tcBorders>
            <w:vAlign w:val="center"/>
          </w:tcPr>
          <w:p w14:paraId="7292E4F1">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440" w:type="dxa"/>
            <w:tcBorders>
              <w:top w:val="single" w:color="auto" w:sz="6" w:space="0"/>
              <w:left w:val="single" w:color="auto" w:sz="6" w:space="0"/>
              <w:bottom w:val="single" w:color="auto" w:sz="6" w:space="0"/>
              <w:right w:val="single" w:color="auto" w:sz="6" w:space="0"/>
            </w:tcBorders>
            <w:vAlign w:val="center"/>
          </w:tcPr>
          <w:p w14:paraId="35B60B1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7CBBBD1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F420B8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0A0597E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896416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622" w:type="dxa"/>
            <w:gridSpan w:val="2"/>
            <w:tcBorders>
              <w:top w:val="single" w:color="auto" w:sz="6" w:space="0"/>
              <w:left w:val="single" w:color="auto" w:sz="6" w:space="0"/>
              <w:bottom w:val="single" w:color="auto" w:sz="6" w:space="0"/>
              <w:right w:val="single" w:color="auto" w:sz="6" w:space="0"/>
            </w:tcBorders>
            <w:vAlign w:val="center"/>
          </w:tcPr>
          <w:p w14:paraId="34BEA37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440" w:type="dxa"/>
            <w:tcBorders>
              <w:top w:val="single" w:color="auto" w:sz="6" w:space="0"/>
              <w:left w:val="single" w:color="auto" w:sz="6" w:space="0"/>
              <w:bottom w:val="single" w:color="auto" w:sz="6" w:space="0"/>
              <w:right w:val="single" w:color="auto" w:sz="6" w:space="0"/>
            </w:tcBorders>
            <w:vAlign w:val="center"/>
          </w:tcPr>
          <w:p w14:paraId="7EA229C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5DD941F9">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E5D797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65249B1E">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0950828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622" w:type="dxa"/>
            <w:gridSpan w:val="2"/>
            <w:tcBorders>
              <w:top w:val="single" w:color="auto" w:sz="6" w:space="0"/>
              <w:left w:val="single" w:color="auto" w:sz="6" w:space="0"/>
              <w:bottom w:val="single" w:color="auto" w:sz="6" w:space="0"/>
              <w:right w:val="single" w:color="auto" w:sz="6" w:space="0"/>
            </w:tcBorders>
            <w:vAlign w:val="center"/>
          </w:tcPr>
          <w:p w14:paraId="7FED65A5">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440" w:type="dxa"/>
            <w:tcBorders>
              <w:top w:val="single" w:color="auto" w:sz="6" w:space="0"/>
              <w:left w:val="single" w:color="auto" w:sz="6" w:space="0"/>
              <w:bottom w:val="single" w:color="auto" w:sz="6" w:space="0"/>
              <w:right w:val="single" w:color="auto" w:sz="6" w:space="0"/>
            </w:tcBorders>
            <w:vAlign w:val="center"/>
          </w:tcPr>
          <w:p w14:paraId="20EF34BD">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bl>
    <w:p w14:paraId="5FBB1F97">
      <w:pPr>
        <w:widowControl/>
        <w:adjustRightInd w:val="0"/>
        <w:spacing w:line="360" w:lineRule="auto"/>
        <w:jc w:val="left"/>
        <w:rPr>
          <w:rFonts w:hint="eastAsia" w:ascii="方正仿宋_GBK" w:hAnsi="方正仿宋_GBK" w:eastAsia="方正仿宋_GBK" w:cs="方正仿宋_GBK"/>
          <w:color w:val="auto"/>
          <w:kern w:val="0"/>
          <w:sz w:val="30"/>
          <w:szCs w:val="30"/>
          <w:highlight w:val="none"/>
          <w:lang w:val="zh-CN"/>
        </w:rPr>
      </w:pPr>
    </w:p>
    <w:p w14:paraId="3D739DBD">
      <w:pPr>
        <w:widowControl/>
        <w:adjustRightInd w:val="0"/>
        <w:spacing w:line="360" w:lineRule="auto"/>
        <w:ind w:firstLine="582" w:firstLineChars="200"/>
        <w:jc w:val="left"/>
        <w:rPr>
          <w:rFonts w:hint="eastAsia" w:ascii="方正仿宋_GBK" w:hAnsi="方正仿宋_GBK" w:eastAsia="方正仿宋_GBK" w:cs="方正仿宋_GBK"/>
          <w:color w:val="auto"/>
          <w:kern w:val="0"/>
          <w:sz w:val="30"/>
          <w:szCs w:val="30"/>
          <w:highlight w:val="none"/>
          <w:lang w:val="zh-CN"/>
        </w:rPr>
      </w:pPr>
      <w:r>
        <w:rPr>
          <w:rFonts w:hint="eastAsia" w:ascii="方正仿宋_GBK" w:hAnsi="方正仿宋_GBK" w:eastAsia="方正仿宋_GBK" w:cs="方正仿宋_GBK"/>
          <w:color w:val="auto"/>
          <w:kern w:val="0"/>
          <w:sz w:val="30"/>
          <w:szCs w:val="30"/>
          <w:highlight w:val="none"/>
          <w:lang w:val="zh-CN"/>
        </w:rPr>
        <w:t>供应商名称：</w:t>
      </w:r>
      <w:r>
        <w:rPr>
          <w:rFonts w:hint="eastAsia" w:ascii="方正仿宋_GBK" w:hAnsi="方正仿宋_GBK" w:eastAsia="方正仿宋_GBK" w:cs="方正仿宋_GBK"/>
          <w:color w:val="auto"/>
          <w:kern w:val="0"/>
          <w:sz w:val="30"/>
          <w:szCs w:val="30"/>
          <w:highlight w:val="none"/>
          <w:u w:val="single"/>
          <w:lang w:val="zh-CN"/>
        </w:rPr>
        <w:t xml:space="preserve">                                     </w:t>
      </w:r>
      <w:r>
        <w:rPr>
          <w:rFonts w:hint="eastAsia" w:ascii="方正仿宋_GBK" w:hAnsi="方正仿宋_GBK" w:eastAsia="方正仿宋_GBK" w:cs="方正仿宋_GBK"/>
          <w:color w:val="auto"/>
          <w:kern w:val="0"/>
          <w:sz w:val="30"/>
          <w:szCs w:val="30"/>
          <w:highlight w:val="none"/>
          <w:lang w:val="zh-CN"/>
        </w:rPr>
        <w:t>（盖章）</w:t>
      </w:r>
    </w:p>
    <w:p w14:paraId="7CA6FD4F">
      <w:pPr>
        <w:widowControl/>
        <w:adjustRightInd w:val="0"/>
        <w:spacing w:line="360" w:lineRule="auto"/>
        <w:ind w:firstLine="582" w:firstLineChars="200"/>
        <w:jc w:val="left"/>
        <w:rPr>
          <w:rFonts w:hint="eastAsia" w:ascii="方正仿宋_GBK" w:hAnsi="方正仿宋_GBK" w:eastAsia="方正仿宋_GBK" w:cs="方正仿宋_GBK"/>
          <w:color w:val="auto"/>
          <w:kern w:val="0"/>
          <w:sz w:val="30"/>
          <w:szCs w:val="30"/>
          <w:highlight w:val="none"/>
          <w:lang w:val="zh-CN"/>
        </w:rPr>
      </w:pPr>
      <w:r>
        <w:rPr>
          <w:rFonts w:hint="eastAsia" w:ascii="方正仿宋_GBK" w:hAnsi="方正仿宋_GBK" w:eastAsia="方正仿宋_GBK" w:cs="方正仿宋_GBK"/>
          <w:color w:val="auto"/>
          <w:kern w:val="0"/>
          <w:sz w:val="30"/>
          <w:szCs w:val="30"/>
          <w:highlight w:val="none"/>
          <w:lang w:val="zh-CN"/>
        </w:rPr>
        <w:t>说明：如果行数不够，请自行增加。</w:t>
      </w:r>
    </w:p>
    <w:p w14:paraId="66677FED">
      <w:pPr>
        <w:pStyle w:val="33"/>
        <w:ind w:left="0" w:leftChars="0" w:firstLine="0" w:firstLineChars="0"/>
        <w:rPr>
          <w:rFonts w:hint="eastAsia" w:ascii="方正黑体_GBK" w:hAnsi="方正黑体_GBK" w:eastAsia="方正黑体_GBK" w:cs="方正黑体_GBK"/>
          <w:b w:val="0"/>
          <w:bCs/>
          <w:color w:val="auto"/>
          <w:kern w:val="0"/>
          <w:sz w:val="30"/>
          <w:szCs w:val="30"/>
          <w:highlight w:val="none"/>
          <w:lang w:val="zh-CN"/>
        </w:rPr>
      </w:pPr>
      <w:r>
        <w:rPr>
          <w:rFonts w:hint="eastAsia"/>
          <w:color w:val="auto"/>
          <w:highlight w:val="none"/>
          <w:lang w:val="zh-CN"/>
        </w:rPr>
        <w:br w:type="page"/>
      </w:r>
      <w:r>
        <w:rPr>
          <w:rFonts w:hint="eastAsia" w:ascii="方正黑体_GBK" w:hAnsi="方正黑体_GBK" w:eastAsia="方正黑体_GBK" w:cs="方正黑体_GBK"/>
          <w:b w:val="0"/>
          <w:bCs/>
          <w:color w:val="auto"/>
          <w:kern w:val="0"/>
          <w:sz w:val="30"/>
          <w:szCs w:val="30"/>
          <w:highlight w:val="none"/>
          <w:lang w:val="zh-CN"/>
        </w:rPr>
        <w:t>目录</w:t>
      </w:r>
      <w:r>
        <w:rPr>
          <w:rFonts w:hint="eastAsia" w:ascii="方正黑体_GBK" w:hAnsi="方正黑体_GBK" w:eastAsia="方正黑体_GBK" w:cs="方正黑体_GBK"/>
          <w:b w:val="0"/>
          <w:bCs/>
          <w:color w:val="auto"/>
          <w:kern w:val="0"/>
          <w:sz w:val="30"/>
          <w:szCs w:val="30"/>
          <w:highlight w:val="none"/>
          <w:lang w:val="en-US" w:eastAsia="zh-CN"/>
        </w:rPr>
        <w:t>八</w:t>
      </w:r>
      <w:r>
        <w:rPr>
          <w:rFonts w:hint="eastAsia" w:ascii="方正黑体_GBK" w:hAnsi="方正黑体_GBK" w:eastAsia="方正黑体_GBK" w:cs="方正黑体_GBK"/>
          <w:b w:val="0"/>
          <w:bCs/>
          <w:color w:val="auto"/>
          <w:kern w:val="0"/>
          <w:sz w:val="30"/>
          <w:szCs w:val="30"/>
          <w:highlight w:val="none"/>
          <w:lang w:val="zh-CN"/>
        </w:rPr>
        <w:t>：商务条款偏离表格式</w:t>
      </w:r>
    </w:p>
    <w:p w14:paraId="694FAE5A">
      <w:pPr>
        <w:spacing w:line="360" w:lineRule="auto"/>
        <w:jc w:val="center"/>
        <w:rPr>
          <w:rFonts w:hint="eastAsia" w:ascii="方正小标宋_GBK" w:hAnsi="方正小标宋_GBK" w:eastAsia="方正小标宋_GBK" w:cs="方正小标宋_GBK"/>
          <w:b/>
          <w:bCs/>
          <w:color w:val="auto"/>
          <w:sz w:val="36"/>
          <w:szCs w:val="36"/>
          <w:highlight w:val="none"/>
          <w:lang w:val="zh-CN"/>
        </w:rPr>
      </w:pPr>
      <w:bookmarkStart w:id="68" w:name="_Toc508699427"/>
    </w:p>
    <w:p w14:paraId="246142A5">
      <w:pPr>
        <w:spacing w:line="360" w:lineRule="auto"/>
        <w:jc w:val="center"/>
        <w:rPr>
          <w:rFonts w:hint="eastAsia" w:ascii="方正小标宋_GBK" w:hAnsi="方正小标宋_GBK" w:eastAsia="方正小标宋_GBK" w:cs="方正小标宋_GBK"/>
          <w:b w:val="0"/>
          <w:bCs w:val="0"/>
          <w:color w:val="auto"/>
          <w:sz w:val="36"/>
          <w:szCs w:val="36"/>
          <w:highlight w:val="none"/>
          <w:lang w:val="zh-CN"/>
        </w:rPr>
      </w:pPr>
      <w:r>
        <w:rPr>
          <w:rFonts w:hint="eastAsia" w:ascii="方正小标宋_GBK" w:hAnsi="方正小标宋_GBK" w:eastAsia="方正小标宋_GBK" w:cs="方正小标宋_GBK"/>
          <w:b w:val="0"/>
          <w:bCs w:val="0"/>
          <w:color w:val="auto"/>
          <w:sz w:val="36"/>
          <w:szCs w:val="36"/>
          <w:highlight w:val="none"/>
          <w:lang w:val="zh-CN"/>
        </w:rPr>
        <w:t>商务条款偏离表</w:t>
      </w:r>
      <w:bookmarkEnd w:id="68"/>
    </w:p>
    <w:p w14:paraId="6EEC61C3">
      <w:pPr>
        <w:pStyle w:val="33"/>
        <w:rPr>
          <w:rFonts w:hint="eastAsia"/>
          <w:color w:val="auto"/>
          <w:highlight w:val="none"/>
          <w:lang w:val="zh-CN"/>
        </w:rPr>
      </w:pPr>
    </w:p>
    <w:tbl>
      <w:tblPr>
        <w:tblStyle w:val="67"/>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2138"/>
        <w:gridCol w:w="2182"/>
        <w:gridCol w:w="1415"/>
        <w:gridCol w:w="955"/>
        <w:gridCol w:w="1245"/>
      </w:tblGrid>
      <w:tr w14:paraId="47730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74382E40">
            <w:pPr>
              <w:widowControl/>
              <w:adjustRightInd w:val="0"/>
              <w:spacing w:line="360" w:lineRule="auto"/>
              <w:jc w:val="left"/>
              <w:rPr>
                <w:rFonts w:hint="eastAsia" w:ascii="华文仿宋" w:hAnsi="华文仿宋" w:eastAsia="华文仿宋" w:cs="华文仿宋"/>
                <w:color w:val="auto"/>
                <w:kern w:val="0"/>
                <w:sz w:val="24"/>
                <w:szCs w:val="24"/>
                <w:highlight w:val="none"/>
                <w:lang w:val="zh-CN"/>
              </w:rPr>
            </w:pPr>
            <w:r>
              <w:rPr>
                <w:rFonts w:hint="eastAsia" w:ascii="华文仿宋" w:hAnsi="华文仿宋" w:eastAsia="华文仿宋" w:cs="华文仿宋"/>
                <w:color w:val="auto"/>
                <w:kern w:val="0"/>
                <w:sz w:val="24"/>
                <w:szCs w:val="24"/>
                <w:highlight w:val="none"/>
                <w:lang w:val="zh-CN"/>
              </w:rPr>
              <w:t>项目名称：</w:t>
            </w:r>
          </w:p>
        </w:tc>
        <w:tc>
          <w:tcPr>
            <w:tcW w:w="2200" w:type="dxa"/>
            <w:gridSpan w:val="2"/>
            <w:tcBorders>
              <w:top w:val="nil"/>
              <w:left w:val="nil"/>
              <w:right w:val="nil"/>
            </w:tcBorders>
            <w:vAlign w:val="center"/>
          </w:tcPr>
          <w:p w14:paraId="0207BE20">
            <w:pPr>
              <w:widowControl/>
              <w:adjustRightInd w:val="0"/>
              <w:spacing w:line="360" w:lineRule="auto"/>
              <w:jc w:val="left"/>
              <w:rPr>
                <w:rFonts w:hint="eastAsia" w:ascii="华文仿宋" w:hAnsi="华文仿宋" w:eastAsia="华文仿宋" w:cs="华文仿宋"/>
                <w:color w:val="auto"/>
                <w:kern w:val="0"/>
                <w:sz w:val="24"/>
                <w:szCs w:val="24"/>
                <w:highlight w:val="none"/>
                <w:lang w:val="zh-CN"/>
              </w:rPr>
            </w:pPr>
            <w:r>
              <w:rPr>
                <w:rFonts w:hint="eastAsia" w:ascii="华文仿宋" w:hAnsi="华文仿宋" w:eastAsia="华文仿宋" w:cs="华文仿宋"/>
                <w:color w:val="auto"/>
                <w:kern w:val="0"/>
                <w:sz w:val="24"/>
                <w:szCs w:val="24"/>
                <w:highlight w:val="none"/>
                <w:lang w:val="zh-CN"/>
              </w:rPr>
              <w:t>项目编号：</w:t>
            </w:r>
          </w:p>
        </w:tc>
      </w:tr>
      <w:tr w14:paraId="62108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953E85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r>
              <w:rPr>
                <w:rFonts w:hint="eastAsia" w:ascii="华文仿宋" w:hAnsi="华文仿宋" w:eastAsia="华文仿宋" w:cs="华文仿宋"/>
                <w:color w:val="auto"/>
                <w:kern w:val="0"/>
                <w:sz w:val="24"/>
                <w:szCs w:val="24"/>
                <w:highlight w:val="none"/>
                <w:lang w:val="zh-CN"/>
              </w:rPr>
              <w:t>序号</w:t>
            </w:r>
          </w:p>
        </w:tc>
        <w:tc>
          <w:tcPr>
            <w:tcW w:w="2138" w:type="dxa"/>
            <w:vAlign w:val="center"/>
          </w:tcPr>
          <w:p w14:paraId="44EA15F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r>
              <w:rPr>
                <w:rFonts w:hint="eastAsia" w:ascii="华文仿宋" w:hAnsi="华文仿宋" w:eastAsia="华文仿宋" w:cs="华文仿宋"/>
                <w:color w:val="auto"/>
                <w:kern w:val="0"/>
                <w:sz w:val="24"/>
                <w:szCs w:val="24"/>
                <w:highlight w:val="none"/>
                <w:lang w:val="zh-CN"/>
              </w:rPr>
              <w:t>磋商文件条目号</w:t>
            </w:r>
          </w:p>
        </w:tc>
        <w:tc>
          <w:tcPr>
            <w:tcW w:w="2182" w:type="dxa"/>
            <w:vAlign w:val="center"/>
          </w:tcPr>
          <w:p w14:paraId="0102DFC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eastAsia="zh-CN"/>
              </w:rPr>
            </w:pPr>
            <w:r>
              <w:rPr>
                <w:rFonts w:hint="eastAsia" w:ascii="华文仿宋" w:hAnsi="华文仿宋" w:eastAsia="华文仿宋" w:cs="华文仿宋"/>
                <w:color w:val="auto"/>
                <w:kern w:val="0"/>
                <w:sz w:val="24"/>
                <w:szCs w:val="24"/>
                <w:highlight w:val="none"/>
                <w:lang w:val="zh-CN"/>
              </w:rPr>
              <w:t>磋商要求</w:t>
            </w:r>
            <w:r>
              <w:rPr>
                <w:rFonts w:hint="eastAsia" w:ascii="华文仿宋" w:hAnsi="华文仿宋" w:eastAsia="华文仿宋" w:cs="华文仿宋"/>
                <w:color w:val="auto"/>
                <w:kern w:val="0"/>
                <w:sz w:val="24"/>
                <w:szCs w:val="24"/>
                <w:highlight w:val="none"/>
                <w:lang w:val="en-US" w:eastAsia="zh-CN"/>
              </w:rPr>
              <w:t>条件</w:t>
            </w:r>
          </w:p>
        </w:tc>
        <w:tc>
          <w:tcPr>
            <w:tcW w:w="2370" w:type="dxa"/>
            <w:gridSpan w:val="2"/>
            <w:vAlign w:val="center"/>
          </w:tcPr>
          <w:p w14:paraId="32358BE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r>
              <w:rPr>
                <w:rFonts w:hint="eastAsia" w:ascii="华文仿宋" w:hAnsi="华文仿宋" w:eastAsia="华文仿宋" w:cs="华文仿宋"/>
                <w:color w:val="auto"/>
                <w:kern w:val="0"/>
                <w:sz w:val="24"/>
                <w:szCs w:val="24"/>
                <w:highlight w:val="none"/>
                <w:lang w:val="zh-CN"/>
              </w:rPr>
              <w:t>供应商响应</w:t>
            </w:r>
          </w:p>
        </w:tc>
        <w:tc>
          <w:tcPr>
            <w:tcW w:w="1245" w:type="dxa"/>
            <w:vAlign w:val="center"/>
          </w:tcPr>
          <w:p w14:paraId="294DA3F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r>
              <w:rPr>
                <w:rFonts w:hint="eastAsia" w:ascii="华文仿宋" w:hAnsi="华文仿宋" w:eastAsia="华文仿宋" w:cs="华文仿宋"/>
                <w:color w:val="auto"/>
                <w:kern w:val="0"/>
                <w:sz w:val="24"/>
                <w:szCs w:val="24"/>
                <w:highlight w:val="none"/>
                <w:lang w:val="zh-CN"/>
              </w:rPr>
              <w:t>偏离</w:t>
            </w:r>
          </w:p>
        </w:tc>
      </w:tr>
      <w:tr w14:paraId="07E19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D8EF40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3DBF8A6F">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1996E15A">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370" w:type="dxa"/>
            <w:gridSpan w:val="2"/>
            <w:vAlign w:val="center"/>
          </w:tcPr>
          <w:p w14:paraId="5C0E8ABA">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245" w:type="dxa"/>
            <w:vAlign w:val="center"/>
          </w:tcPr>
          <w:p w14:paraId="686F609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04C66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DCA70E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5902C8A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5CE75ED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370" w:type="dxa"/>
            <w:gridSpan w:val="2"/>
            <w:vAlign w:val="center"/>
          </w:tcPr>
          <w:p w14:paraId="4B05595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245" w:type="dxa"/>
            <w:vAlign w:val="center"/>
          </w:tcPr>
          <w:p w14:paraId="7D136C7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DF50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EC452F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4E4DE9F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5E1E5A8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370" w:type="dxa"/>
            <w:gridSpan w:val="2"/>
            <w:vAlign w:val="center"/>
          </w:tcPr>
          <w:p w14:paraId="7145F99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245" w:type="dxa"/>
            <w:vAlign w:val="center"/>
          </w:tcPr>
          <w:p w14:paraId="486153A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69E03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F1E611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18052A9E">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7BEE9F9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370" w:type="dxa"/>
            <w:gridSpan w:val="2"/>
            <w:vAlign w:val="center"/>
          </w:tcPr>
          <w:p w14:paraId="7C0AB15E">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245" w:type="dxa"/>
            <w:vAlign w:val="center"/>
          </w:tcPr>
          <w:p w14:paraId="3101CC5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51BE2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32E454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1D849FC3">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72AAE30E">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370" w:type="dxa"/>
            <w:gridSpan w:val="2"/>
            <w:vAlign w:val="center"/>
          </w:tcPr>
          <w:p w14:paraId="4C55C3F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245" w:type="dxa"/>
            <w:vAlign w:val="center"/>
          </w:tcPr>
          <w:p w14:paraId="6BBF7E6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31E7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334AF1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0819DA93">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01A018A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370" w:type="dxa"/>
            <w:gridSpan w:val="2"/>
            <w:vAlign w:val="center"/>
          </w:tcPr>
          <w:p w14:paraId="15BDDD7A">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245" w:type="dxa"/>
            <w:vAlign w:val="center"/>
          </w:tcPr>
          <w:p w14:paraId="3833B1E3">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40741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583B8AD9">
            <w:pPr>
              <w:widowControl/>
              <w:spacing w:line="360" w:lineRule="auto"/>
              <w:jc w:val="left"/>
              <w:rPr>
                <w:rFonts w:hint="eastAsia" w:ascii="华文仿宋" w:hAnsi="华文仿宋" w:eastAsia="华文仿宋" w:cs="华文仿宋"/>
                <w:color w:val="auto"/>
                <w:kern w:val="0"/>
                <w:sz w:val="24"/>
                <w:szCs w:val="24"/>
                <w:highlight w:val="none"/>
              </w:rPr>
            </w:pPr>
          </w:p>
        </w:tc>
        <w:tc>
          <w:tcPr>
            <w:tcW w:w="2138" w:type="dxa"/>
            <w:vAlign w:val="center"/>
          </w:tcPr>
          <w:p w14:paraId="1299544B">
            <w:pPr>
              <w:widowControl/>
              <w:spacing w:line="360" w:lineRule="auto"/>
              <w:jc w:val="left"/>
              <w:rPr>
                <w:rFonts w:hint="eastAsia" w:ascii="华文仿宋" w:hAnsi="华文仿宋" w:eastAsia="华文仿宋" w:cs="华文仿宋"/>
                <w:color w:val="auto"/>
                <w:kern w:val="0"/>
                <w:sz w:val="24"/>
                <w:szCs w:val="24"/>
                <w:highlight w:val="none"/>
              </w:rPr>
            </w:pPr>
          </w:p>
        </w:tc>
        <w:tc>
          <w:tcPr>
            <w:tcW w:w="2182" w:type="dxa"/>
            <w:vAlign w:val="center"/>
          </w:tcPr>
          <w:p w14:paraId="7E56AA9E">
            <w:pPr>
              <w:widowControl/>
              <w:spacing w:line="360" w:lineRule="auto"/>
              <w:jc w:val="left"/>
              <w:rPr>
                <w:rFonts w:hint="eastAsia" w:ascii="华文仿宋" w:hAnsi="华文仿宋" w:eastAsia="华文仿宋" w:cs="华文仿宋"/>
                <w:color w:val="auto"/>
                <w:kern w:val="0"/>
                <w:sz w:val="24"/>
                <w:szCs w:val="24"/>
                <w:highlight w:val="none"/>
              </w:rPr>
            </w:pPr>
          </w:p>
        </w:tc>
        <w:tc>
          <w:tcPr>
            <w:tcW w:w="2370" w:type="dxa"/>
            <w:gridSpan w:val="2"/>
            <w:vAlign w:val="center"/>
          </w:tcPr>
          <w:p w14:paraId="3DFBA3AC">
            <w:pPr>
              <w:widowControl/>
              <w:spacing w:line="360" w:lineRule="auto"/>
              <w:jc w:val="left"/>
              <w:rPr>
                <w:rFonts w:hint="eastAsia" w:ascii="华文仿宋" w:hAnsi="华文仿宋" w:eastAsia="华文仿宋" w:cs="华文仿宋"/>
                <w:color w:val="auto"/>
                <w:kern w:val="0"/>
                <w:sz w:val="24"/>
                <w:szCs w:val="24"/>
                <w:highlight w:val="none"/>
              </w:rPr>
            </w:pPr>
          </w:p>
        </w:tc>
        <w:tc>
          <w:tcPr>
            <w:tcW w:w="1245" w:type="dxa"/>
            <w:vAlign w:val="center"/>
          </w:tcPr>
          <w:p w14:paraId="56C27A79">
            <w:pPr>
              <w:widowControl/>
              <w:spacing w:line="360" w:lineRule="auto"/>
              <w:jc w:val="left"/>
              <w:rPr>
                <w:rFonts w:hint="eastAsia" w:ascii="华文仿宋" w:hAnsi="华文仿宋" w:eastAsia="华文仿宋" w:cs="华文仿宋"/>
                <w:color w:val="auto"/>
                <w:kern w:val="0"/>
                <w:sz w:val="24"/>
                <w:szCs w:val="24"/>
                <w:highlight w:val="none"/>
              </w:rPr>
            </w:pPr>
          </w:p>
        </w:tc>
      </w:tr>
    </w:tbl>
    <w:p w14:paraId="430C8AD6">
      <w:pPr>
        <w:widowControl/>
        <w:adjustRightInd w:val="0"/>
        <w:spacing w:line="360" w:lineRule="auto"/>
        <w:jc w:val="left"/>
        <w:rPr>
          <w:rFonts w:hint="eastAsia" w:ascii="方正仿宋_GBK" w:hAnsi="方正仿宋_GBK" w:eastAsia="方正仿宋_GBK" w:cs="方正仿宋_GBK"/>
          <w:color w:val="auto"/>
          <w:kern w:val="0"/>
          <w:sz w:val="30"/>
          <w:szCs w:val="30"/>
          <w:highlight w:val="none"/>
          <w:lang w:val="zh-CN"/>
        </w:rPr>
      </w:pPr>
    </w:p>
    <w:p w14:paraId="511AA544">
      <w:pPr>
        <w:widowControl/>
        <w:adjustRightInd w:val="0"/>
        <w:spacing w:line="360" w:lineRule="auto"/>
        <w:jc w:val="left"/>
        <w:rPr>
          <w:rFonts w:hint="eastAsia" w:ascii="方正仿宋_GBK" w:hAnsi="方正仿宋_GBK" w:eastAsia="方正仿宋_GBK" w:cs="方正仿宋_GBK"/>
          <w:color w:val="auto"/>
          <w:kern w:val="0"/>
          <w:sz w:val="30"/>
          <w:szCs w:val="30"/>
          <w:highlight w:val="none"/>
          <w:lang w:val="zh-CN"/>
        </w:rPr>
      </w:pPr>
      <w:r>
        <w:rPr>
          <w:rFonts w:hint="eastAsia" w:ascii="方正仿宋_GBK" w:hAnsi="方正仿宋_GBK" w:eastAsia="方正仿宋_GBK" w:cs="方正仿宋_GBK"/>
          <w:color w:val="auto"/>
          <w:kern w:val="0"/>
          <w:sz w:val="30"/>
          <w:szCs w:val="30"/>
          <w:highlight w:val="none"/>
          <w:lang w:val="zh-CN"/>
        </w:rPr>
        <w:t>供应商名称：</w:t>
      </w:r>
      <w:r>
        <w:rPr>
          <w:rFonts w:hint="eastAsia" w:ascii="方正仿宋_GBK" w:hAnsi="方正仿宋_GBK" w:eastAsia="方正仿宋_GBK" w:cs="方正仿宋_GBK"/>
          <w:color w:val="auto"/>
          <w:kern w:val="0"/>
          <w:sz w:val="30"/>
          <w:szCs w:val="30"/>
          <w:highlight w:val="none"/>
          <w:u w:val="single"/>
          <w:lang w:val="zh-CN"/>
        </w:rPr>
        <w:t xml:space="preserve">                                        </w:t>
      </w:r>
      <w:r>
        <w:rPr>
          <w:rFonts w:hint="eastAsia" w:ascii="方正仿宋_GBK" w:hAnsi="方正仿宋_GBK" w:eastAsia="方正仿宋_GBK" w:cs="方正仿宋_GBK"/>
          <w:color w:val="auto"/>
          <w:kern w:val="0"/>
          <w:sz w:val="30"/>
          <w:szCs w:val="30"/>
          <w:highlight w:val="none"/>
          <w:lang w:val="zh-CN"/>
        </w:rPr>
        <w:t>（盖章）</w:t>
      </w:r>
    </w:p>
    <w:p w14:paraId="00ABD1D1">
      <w:pPr>
        <w:widowControl/>
        <w:adjustRightInd w:val="0"/>
        <w:spacing w:line="360" w:lineRule="auto"/>
        <w:jc w:val="left"/>
        <w:rPr>
          <w:rFonts w:hint="eastAsia" w:ascii="方正仿宋_GBK" w:hAnsi="方正仿宋_GBK" w:eastAsia="方正仿宋_GBK" w:cs="方正仿宋_GBK"/>
          <w:color w:val="auto"/>
          <w:kern w:val="0"/>
          <w:sz w:val="30"/>
          <w:szCs w:val="30"/>
          <w:highlight w:val="none"/>
          <w:lang w:val="zh-CN"/>
        </w:rPr>
      </w:pPr>
      <w:r>
        <w:rPr>
          <w:rFonts w:hint="eastAsia" w:ascii="方正仿宋_GBK" w:hAnsi="方正仿宋_GBK" w:eastAsia="方正仿宋_GBK" w:cs="方正仿宋_GBK"/>
          <w:color w:val="auto"/>
          <w:kern w:val="0"/>
          <w:sz w:val="30"/>
          <w:szCs w:val="30"/>
          <w:highlight w:val="none"/>
          <w:lang w:val="zh-CN"/>
        </w:rPr>
        <w:t>说明：如果行数不够，请自行增加。</w:t>
      </w:r>
    </w:p>
    <w:p w14:paraId="28754463">
      <w:pPr>
        <w:widowControl/>
        <w:adjustRightInd w:val="0"/>
        <w:spacing w:line="360" w:lineRule="auto"/>
        <w:jc w:val="left"/>
        <w:rPr>
          <w:rFonts w:hint="eastAsia" w:ascii="宋体" w:hAnsi="宋体" w:cs="宋体"/>
          <w:b/>
          <w:color w:val="auto"/>
          <w:sz w:val="24"/>
          <w:szCs w:val="24"/>
          <w:highlight w:val="none"/>
        </w:rPr>
      </w:pPr>
      <w:r>
        <w:rPr>
          <w:rFonts w:hint="eastAsia" w:ascii="宋体" w:hAnsi="宋体" w:cs="宋体"/>
          <w:color w:val="auto"/>
          <w:kern w:val="0"/>
          <w:sz w:val="24"/>
          <w:szCs w:val="24"/>
          <w:highlight w:val="none"/>
          <w:lang w:val="zh-CN"/>
        </w:rPr>
        <w:br w:type="page"/>
      </w:r>
    </w:p>
    <w:p w14:paraId="5F70E651">
      <w:pPr>
        <w:spacing w:line="240" w:lineRule="atLeast"/>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kern w:val="0"/>
          <w:sz w:val="30"/>
          <w:szCs w:val="30"/>
          <w:highlight w:val="none"/>
          <w:lang w:val="zh-CN"/>
        </w:rPr>
        <w:t>目录</w:t>
      </w:r>
      <w:r>
        <w:rPr>
          <w:rFonts w:hint="eastAsia" w:ascii="方正黑体_GBK" w:hAnsi="方正黑体_GBK" w:eastAsia="方正黑体_GBK" w:cs="方正黑体_GBK"/>
          <w:b w:val="0"/>
          <w:bCs/>
          <w:color w:val="auto"/>
          <w:kern w:val="0"/>
          <w:sz w:val="30"/>
          <w:szCs w:val="30"/>
          <w:highlight w:val="none"/>
          <w:lang w:val="en-US" w:eastAsia="zh-CN"/>
        </w:rPr>
        <w:t>九</w:t>
      </w:r>
      <w:r>
        <w:rPr>
          <w:rFonts w:hint="eastAsia" w:ascii="方正黑体_GBK" w:hAnsi="方正黑体_GBK" w:eastAsia="方正黑体_GBK" w:cs="方正黑体_GBK"/>
          <w:b w:val="0"/>
          <w:bCs/>
          <w:color w:val="auto"/>
          <w:kern w:val="0"/>
          <w:sz w:val="30"/>
          <w:szCs w:val="30"/>
          <w:highlight w:val="none"/>
          <w:lang w:val="zh-CN" w:eastAsia="zh-CN"/>
        </w:rPr>
        <w:t>：</w:t>
      </w:r>
      <w:r>
        <w:rPr>
          <w:rFonts w:hint="eastAsia" w:ascii="方正黑体_GBK" w:hAnsi="方正黑体_GBK" w:eastAsia="方正黑体_GBK" w:cs="方正黑体_GBK"/>
          <w:b w:val="0"/>
          <w:bCs/>
          <w:color w:val="auto"/>
          <w:kern w:val="0"/>
          <w:sz w:val="30"/>
          <w:szCs w:val="30"/>
          <w:highlight w:val="none"/>
          <w:lang w:val="zh-CN"/>
        </w:rPr>
        <w:t>项目服务方案或服务说明</w:t>
      </w:r>
    </w:p>
    <w:p w14:paraId="0C654BC3">
      <w:pPr>
        <w:spacing w:line="240" w:lineRule="atLeast"/>
        <w:rPr>
          <w:rFonts w:hint="eastAsia" w:ascii="方正小标宋_GBK" w:hAnsi="方正小标宋_GBK" w:eastAsia="方正小标宋_GBK" w:cs="方正小标宋_GBK"/>
          <w:b w:val="0"/>
          <w:bCs/>
          <w:color w:val="auto"/>
          <w:sz w:val="36"/>
          <w:szCs w:val="36"/>
          <w:highlight w:val="none"/>
        </w:rPr>
      </w:pPr>
    </w:p>
    <w:p w14:paraId="2F5BF306">
      <w:pPr>
        <w:spacing w:line="360" w:lineRule="auto"/>
        <w:jc w:val="center"/>
        <w:rPr>
          <w:rFonts w:hint="eastAsia" w:ascii="宋体" w:hAnsi="宋体" w:cs="宋体"/>
          <w:b/>
          <w:color w:val="auto"/>
          <w:sz w:val="24"/>
          <w:szCs w:val="24"/>
          <w:highlight w:val="none"/>
        </w:rPr>
      </w:pPr>
      <w:r>
        <w:rPr>
          <w:rFonts w:hint="eastAsia" w:ascii="方正小标宋_GBK" w:hAnsi="方正小标宋_GBK" w:eastAsia="方正小标宋_GBK" w:cs="方正小标宋_GBK"/>
          <w:b w:val="0"/>
          <w:bCs/>
          <w:color w:val="auto"/>
          <w:sz w:val="36"/>
          <w:szCs w:val="36"/>
          <w:highlight w:val="none"/>
          <w:lang w:val="en-US" w:eastAsia="zh-CN"/>
        </w:rPr>
        <w:t>服务</w:t>
      </w:r>
      <w:r>
        <w:rPr>
          <w:rFonts w:hint="eastAsia" w:ascii="方正小标宋_GBK" w:hAnsi="方正小标宋_GBK" w:eastAsia="方正小标宋_GBK" w:cs="方正小标宋_GBK"/>
          <w:b w:val="0"/>
          <w:bCs/>
          <w:color w:val="auto"/>
          <w:sz w:val="36"/>
          <w:szCs w:val="36"/>
          <w:highlight w:val="none"/>
          <w:lang w:val="zh-CN"/>
        </w:rPr>
        <w:t>方案</w:t>
      </w:r>
    </w:p>
    <w:p w14:paraId="6DF81AD4">
      <w:pPr>
        <w:spacing w:line="240" w:lineRule="atLeast"/>
        <w:rPr>
          <w:rFonts w:hint="eastAsia" w:ascii="宋体" w:hAnsi="宋体" w:cs="宋体"/>
          <w:b/>
          <w:color w:val="auto"/>
          <w:sz w:val="24"/>
          <w:szCs w:val="24"/>
          <w:highlight w:val="none"/>
        </w:rPr>
      </w:pPr>
    </w:p>
    <w:p w14:paraId="1151B823">
      <w:pPr>
        <w:spacing w:line="240" w:lineRule="atLeast"/>
        <w:rPr>
          <w:rFonts w:hint="eastAsia" w:ascii="宋体" w:hAnsi="宋体" w:cs="宋体"/>
          <w:b/>
          <w:color w:val="auto"/>
          <w:sz w:val="24"/>
          <w:szCs w:val="24"/>
          <w:highlight w:val="none"/>
        </w:rPr>
      </w:pPr>
    </w:p>
    <w:p w14:paraId="168DF330">
      <w:pPr>
        <w:spacing w:line="360" w:lineRule="auto"/>
        <w:jc w:val="center"/>
        <w:rPr>
          <w:rFonts w:hint="eastAsia" w:ascii="方正小标宋_GBK" w:hAnsi="方正小标宋_GBK" w:eastAsia="方正小标宋_GBK" w:cs="方正小标宋_GBK"/>
          <w:b w:val="0"/>
          <w:bCs/>
          <w:color w:val="auto"/>
          <w:sz w:val="36"/>
          <w:szCs w:val="36"/>
          <w:highlight w:val="none"/>
          <w:lang w:val="zh-CN"/>
        </w:rPr>
      </w:pPr>
    </w:p>
    <w:p w14:paraId="17EAD69B">
      <w:pPr>
        <w:spacing w:line="240" w:lineRule="atLeast"/>
        <w:rPr>
          <w:rFonts w:hint="eastAsia" w:ascii="宋体" w:hAnsi="宋体" w:cs="宋体"/>
          <w:b/>
          <w:color w:val="auto"/>
          <w:sz w:val="24"/>
          <w:szCs w:val="24"/>
          <w:highlight w:val="none"/>
        </w:rPr>
      </w:pPr>
    </w:p>
    <w:p w14:paraId="1282C2AF">
      <w:pPr>
        <w:spacing w:line="240" w:lineRule="atLeast"/>
        <w:rPr>
          <w:rFonts w:hint="eastAsia" w:ascii="宋体" w:hAnsi="宋体" w:cs="宋体"/>
          <w:b/>
          <w:color w:val="auto"/>
          <w:sz w:val="24"/>
          <w:szCs w:val="24"/>
          <w:highlight w:val="none"/>
        </w:rPr>
      </w:pPr>
    </w:p>
    <w:p w14:paraId="6208D12E">
      <w:pPr>
        <w:spacing w:line="240" w:lineRule="atLeast"/>
        <w:rPr>
          <w:rFonts w:hint="eastAsia" w:ascii="宋体" w:hAnsi="宋体" w:cs="宋体"/>
          <w:b/>
          <w:color w:val="auto"/>
          <w:sz w:val="24"/>
          <w:szCs w:val="24"/>
          <w:highlight w:val="none"/>
        </w:rPr>
      </w:pPr>
    </w:p>
    <w:p w14:paraId="77D9156F">
      <w:pPr>
        <w:spacing w:line="240" w:lineRule="atLeast"/>
        <w:rPr>
          <w:rFonts w:hint="eastAsia" w:ascii="宋体" w:hAnsi="宋体" w:cs="宋体"/>
          <w:b/>
          <w:color w:val="auto"/>
          <w:sz w:val="24"/>
          <w:szCs w:val="24"/>
          <w:highlight w:val="none"/>
        </w:rPr>
      </w:pPr>
    </w:p>
    <w:p w14:paraId="57EFDEBE">
      <w:pPr>
        <w:spacing w:line="240" w:lineRule="atLeast"/>
        <w:rPr>
          <w:rFonts w:hint="eastAsia" w:ascii="宋体" w:hAnsi="宋体" w:cs="宋体"/>
          <w:b/>
          <w:color w:val="auto"/>
          <w:sz w:val="24"/>
          <w:szCs w:val="24"/>
          <w:highlight w:val="none"/>
        </w:rPr>
      </w:pPr>
    </w:p>
    <w:p w14:paraId="4DD449A9">
      <w:pPr>
        <w:spacing w:line="240" w:lineRule="atLeast"/>
        <w:rPr>
          <w:rFonts w:hint="eastAsia" w:ascii="方正黑体_GBK" w:hAnsi="方正黑体_GBK" w:eastAsia="方正黑体_GBK" w:cs="方正黑体_GBK"/>
          <w:b w:val="0"/>
          <w:bCs/>
          <w:color w:val="auto"/>
          <w:kern w:val="0"/>
          <w:sz w:val="30"/>
          <w:szCs w:val="30"/>
          <w:highlight w:val="none"/>
          <w:lang w:val="zh-CN"/>
        </w:rPr>
      </w:pPr>
      <w:r>
        <w:rPr>
          <w:rFonts w:hint="eastAsia" w:ascii="方正黑体_GBK" w:hAnsi="方正黑体_GBK" w:eastAsia="方正黑体_GBK" w:cs="方正黑体_GBK"/>
          <w:b w:val="0"/>
          <w:bCs/>
          <w:color w:val="auto"/>
          <w:kern w:val="0"/>
          <w:sz w:val="30"/>
          <w:szCs w:val="30"/>
          <w:highlight w:val="none"/>
          <w:lang w:val="zh-CN"/>
        </w:rPr>
        <w:t>目录十</w:t>
      </w:r>
      <w:r>
        <w:rPr>
          <w:rFonts w:hint="eastAsia" w:ascii="方正黑体_GBK" w:hAnsi="方正黑体_GBK" w:eastAsia="方正黑体_GBK" w:cs="方正黑体_GBK"/>
          <w:b w:val="0"/>
          <w:bCs/>
          <w:color w:val="auto"/>
          <w:kern w:val="0"/>
          <w:sz w:val="30"/>
          <w:szCs w:val="30"/>
          <w:highlight w:val="none"/>
          <w:lang w:val="zh-CN" w:eastAsia="zh-CN"/>
        </w:rPr>
        <w:t>：</w:t>
      </w:r>
      <w:r>
        <w:rPr>
          <w:rFonts w:hint="eastAsia" w:ascii="方正黑体_GBK" w:hAnsi="方正黑体_GBK" w:eastAsia="方正黑体_GBK" w:cs="方正黑体_GBK"/>
          <w:b w:val="0"/>
          <w:bCs/>
          <w:color w:val="auto"/>
          <w:kern w:val="0"/>
          <w:sz w:val="30"/>
          <w:szCs w:val="30"/>
          <w:highlight w:val="none"/>
          <w:lang w:val="zh-CN"/>
        </w:rPr>
        <w:t>磋商需要的其他证明文件及材料</w:t>
      </w:r>
    </w:p>
    <w:p w14:paraId="05997453">
      <w:pPr>
        <w:spacing w:line="240" w:lineRule="atLeast"/>
        <w:rPr>
          <w:rFonts w:hint="eastAsia" w:ascii="宋体" w:hAnsi="宋体" w:cs="宋体"/>
          <w:b/>
          <w:color w:val="auto"/>
          <w:highlight w:val="none"/>
        </w:rPr>
      </w:pPr>
    </w:p>
    <w:p w14:paraId="49C4C7BD">
      <w:pPr>
        <w:spacing w:line="240" w:lineRule="atLeast"/>
        <w:rPr>
          <w:rFonts w:hint="eastAsia" w:ascii="宋体" w:hAnsi="宋体" w:cs="宋体"/>
          <w:b/>
          <w:color w:val="auto"/>
          <w:highlight w:val="none"/>
        </w:rPr>
      </w:pPr>
    </w:p>
    <w:p w14:paraId="2489053A">
      <w:pPr>
        <w:spacing w:line="360" w:lineRule="auto"/>
        <w:jc w:val="center"/>
        <w:rPr>
          <w:rFonts w:hint="eastAsia" w:ascii="方正小标宋_GBK" w:hAnsi="方正小标宋_GBK" w:eastAsia="方正小标宋_GBK" w:cs="方正小标宋_GBK"/>
          <w:b w:val="0"/>
          <w:bCs/>
          <w:color w:val="auto"/>
          <w:sz w:val="36"/>
          <w:szCs w:val="36"/>
          <w:highlight w:val="none"/>
          <w:lang w:val="zh-CN"/>
        </w:rPr>
      </w:pPr>
      <w:r>
        <w:rPr>
          <w:rFonts w:hint="eastAsia" w:ascii="方正小标宋_GBK" w:hAnsi="方正小标宋_GBK" w:eastAsia="方正小标宋_GBK" w:cs="方正小标宋_GBK"/>
          <w:b w:val="0"/>
          <w:bCs/>
          <w:color w:val="auto"/>
          <w:sz w:val="36"/>
          <w:szCs w:val="36"/>
          <w:highlight w:val="none"/>
          <w:lang w:val="zh-CN"/>
        </w:rPr>
        <w:t>磋商需要的其他证明文件及材料（若有）</w:t>
      </w:r>
    </w:p>
    <w:p w14:paraId="1D68DBE7">
      <w:pPr>
        <w:spacing w:line="360" w:lineRule="auto"/>
        <w:jc w:val="center"/>
        <w:rPr>
          <w:rFonts w:hint="eastAsia" w:ascii="方正小标宋_GBK" w:hAnsi="方正小标宋_GBK" w:eastAsia="方正小标宋_GBK" w:cs="方正小标宋_GBK"/>
          <w:b w:val="0"/>
          <w:bCs/>
          <w:color w:val="auto"/>
          <w:sz w:val="36"/>
          <w:szCs w:val="36"/>
          <w:highlight w:val="none"/>
          <w:lang w:val="zh-CN"/>
        </w:rPr>
      </w:pPr>
    </w:p>
    <w:p w14:paraId="35C88FDD">
      <w:pPr>
        <w:spacing w:line="240" w:lineRule="atLeast"/>
        <w:rPr>
          <w:rFonts w:hint="eastAsia" w:ascii="宋体" w:hAnsi="宋体" w:cs="宋体"/>
          <w:b/>
          <w:color w:val="auto"/>
          <w:sz w:val="24"/>
          <w:szCs w:val="24"/>
          <w:highlight w:val="none"/>
        </w:rPr>
      </w:pPr>
    </w:p>
    <w:p w14:paraId="751C444A">
      <w:pPr>
        <w:spacing w:line="240" w:lineRule="atLeast"/>
        <w:rPr>
          <w:rFonts w:hint="eastAsia" w:ascii="宋体" w:hAnsi="宋体" w:cs="宋体"/>
          <w:b/>
          <w:color w:val="auto"/>
          <w:sz w:val="24"/>
          <w:szCs w:val="24"/>
          <w:highlight w:val="none"/>
        </w:rPr>
      </w:pPr>
    </w:p>
    <w:p w14:paraId="688D1F13">
      <w:pPr>
        <w:keepNext w:val="0"/>
        <w:keepLines w:val="0"/>
        <w:pageBreakBefore w:val="0"/>
        <w:kinsoku/>
        <w:wordWrap/>
        <w:overflowPunct/>
        <w:topLinePunct w:val="0"/>
        <w:autoSpaceDE/>
        <w:autoSpaceDN/>
        <w:bidi w:val="0"/>
        <w:adjustRightInd/>
        <w:spacing w:line="560" w:lineRule="exact"/>
        <w:textAlignment w:val="auto"/>
        <w:rPr>
          <w:rFonts w:hint="eastAsia" w:ascii="方正黑体_GBK" w:hAnsi="方正黑体_GBK" w:eastAsia="方正黑体_GBK" w:cs="方正黑体_GBK"/>
          <w:b w:val="0"/>
          <w:bCs w:val="0"/>
          <w:color w:val="auto"/>
          <w:sz w:val="30"/>
          <w:szCs w:val="30"/>
          <w:highlight w:val="none"/>
        </w:rPr>
      </w:pPr>
    </w:p>
    <w:p w14:paraId="3E4D340F">
      <w:pPr>
        <w:keepNext w:val="0"/>
        <w:keepLines w:val="0"/>
        <w:pageBreakBefore w:val="0"/>
        <w:kinsoku/>
        <w:wordWrap/>
        <w:overflowPunct/>
        <w:topLinePunct w:val="0"/>
        <w:autoSpaceDE/>
        <w:autoSpaceDN/>
        <w:bidi w:val="0"/>
        <w:adjustRightInd/>
        <w:spacing w:line="560" w:lineRule="exact"/>
        <w:textAlignment w:val="auto"/>
        <w:rPr>
          <w:rFonts w:hint="eastAsia" w:ascii="方正黑体_GBK" w:hAnsi="方正黑体_GBK" w:eastAsia="方正黑体_GBK" w:cs="方正黑体_GBK"/>
          <w:b w:val="0"/>
          <w:bCs w:val="0"/>
          <w:color w:val="auto"/>
          <w:sz w:val="30"/>
          <w:szCs w:val="30"/>
          <w:highlight w:val="none"/>
        </w:rPr>
      </w:pPr>
    </w:p>
    <w:p w14:paraId="2D176443">
      <w:pPr>
        <w:keepNext w:val="0"/>
        <w:keepLines w:val="0"/>
        <w:pageBreakBefore w:val="0"/>
        <w:kinsoku/>
        <w:wordWrap/>
        <w:overflowPunct/>
        <w:topLinePunct w:val="0"/>
        <w:autoSpaceDE/>
        <w:autoSpaceDN/>
        <w:bidi w:val="0"/>
        <w:adjustRightInd/>
        <w:spacing w:line="560" w:lineRule="exact"/>
        <w:textAlignment w:val="auto"/>
        <w:rPr>
          <w:rFonts w:hint="eastAsia" w:ascii="方正黑体_GBK" w:hAnsi="方正黑体_GBK" w:eastAsia="方正黑体_GBK" w:cs="方正黑体_GBK"/>
          <w:b w:val="0"/>
          <w:bCs w:val="0"/>
          <w:color w:val="auto"/>
          <w:sz w:val="30"/>
          <w:szCs w:val="30"/>
          <w:highlight w:val="none"/>
        </w:rPr>
      </w:pPr>
    </w:p>
    <w:p w14:paraId="2626092C">
      <w:pPr>
        <w:keepNext w:val="0"/>
        <w:keepLines w:val="0"/>
        <w:pageBreakBefore/>
        <w:kinsoku/>
        <w:wordWrap/>
        <w:overflowPunct/>
        <w:topLinePunct w:val="0"/>
        <w:autoSpaceDE/>
        <w:autoSpaceDN/>
        <w:bidi w:val="0"/>
        <w:adjustRightInd/>
        <w:spacing w:line="560" w:lineRule="exact"/>
        <w:textAlignment w:val="auto"/>
        <w:rPr>
          <w:rFonts w:hint="eastAsia" w:ascii="宋体" w:hAnsi="宋体" w:cs="宋体"/>
          <w:color w:val="auto"/>
          <w:sz w:val="24"/>
          <w:szCs w:val="24"/>
          <w:highlight w:val="none"/>
        </w:rPr>
      </w:pPr>
      <w:r>
        <w:rPr>
          <w:rFonts w:hint="eastAsia" w:ascii="方正黑体_GBK" w:hAnsi="方正黑体_GBK" w:eastAsia="方正黑体_GBK" w:cs="方正黑体_GBK"/>
          <w:b w:val="0"/>
          <w:bCs w:val="0"/>
          <w:color w:val="auto"/>
          <w:sz w:val="30"/>
          <w:szCs w:val="30"/>
          <w:highlight w:val="none"/>
        </w:rPr>
        <w:t>附件1</w:t>
      </w:r>
    </w:p>
    <w:p w14:paraId="027B76C8">
      <w:pPr>
        <w:keepNext w:val="0"/>
        <w:keepLines w:val="0"/>
        <w:pageBreakBefore w:val="0"/>
        <w:kinsoku/>
        <w:wordWrap/>
        <w:overflowPunct/>
        <w:topLinePunct w:val="0"/>
        <w:autoSpaceDE/>
        <w:autoSpaceDN/>
        <w:bidi w:val="0"/>
        <w:adjustRightInd/>
        <w:snapToGrid w:val="0"/>
        <w:spacing w:line="560" w:lineRule="exact"/>
        <w:ind w:firstLine="344" w:firstLineChars="98"/>
        <w:jc w:val="center"/>
        <w:textAlignment w:val="auto"/>
        <w:rPr>
          <w:rFonts w:hint="eastAsia" w:ascii="方正小标宋_GBK" w:hAnsi="方正小标宋_GBK" w:eastAsia="方正小标宋_GBK" w:cs="方正小标宋_GBK"/>
          <w:b w:val="0"/>
          <w:bCs w:val="0"/>
          <w:color w:val="auto"/>
          <w:sz w:val="36"/>
          <w:szCs w:val="36"/>
          <w:highlight w:val="none"/>
          <w:lang w:val="zh-CN"/>
        </w:rPr>
      </w:pPr>
      <w:bookmarkStart w:id="69" w:name="bookmark33"/>
      <w:bookmarkStart w:id="70" w:name="bookmark34"/>
      <w:bookmarkStart w:id="71" w:name="bookmark32"/>
    </w:p>
    <w:p w14:paraId="4516CEB5">
      <w:pPr>
        <w:keepNext w:val="0"/>
        <w:keepLines w:val="0"/>
        <w:pageBreakBefore w:val="0"/>
        <w:kinsoku/>
        <w:wordWrap/>
        <w:overflowPunct/>
        <w:topLinePunct w:val="0"/>
        <w:autoSpaceDE/>
        <w:autoSpaceDN/>
        <w:bidi w:val="0"/>
        <w:adjustRightInd/>
        <w:snapToGrid w:val="0"/>
        <w:spacing w:line="560" w:lineRule="exact"/>
        <w:ind w:firstLine="344" w:firstLineChars="98"/>
        <w:jc w:val="center"/>
        <w:textAlignment w:val="auto"/>
        <w:rPr>
          <w:rFonts w:hint="eastAsia" w:ascii="方正小标宋_GBK" w:hAnsi="方正小标宋_GBK" w:eastAsia="方正小标宋_GBK" w:cs="方正小标宋_GBK"/>
          <w:b w:val="0"/>
          <w:bCs w:val="0"/>
          <w:color w:val="auto"/>
          <w:sz w:val="36"/>
          <w:szCs w:val="36"/>
          <w:highlight w:val="none"/>
          <w:lang w:val="zh-CN"/>
        </w:rPr>
      </w:pPr>
      <w:r>
        <w:rPr>
          <w:rFonts w:hint="eastAsia" w:ascii="方正小标宋_GBK" w:hAnsi="方正小标宋_GBK" w:eastAsia="方正小标宋_GBK" w:cs="方正小标宋_GBK"/>
          <w:b w:val="0"/>
          <w:bCs w:val="0"/>
          <w:color w:val="auto"/>
          <w:sz w:val="36"/>
          <w:szCs w:val="36"/>
          <w:highlight w:val="none"/>
          <w:lang w:val="zh-CN"/>
        </w:rPr>
        <w:t>中小企业声明函（服务）</w:t>
      </w:r>
      <w:bookmarkEnd w:id="69"/>
      <w:bookmarkEnd w:id="70"/>
      <w:bookmarkEnd w:id="71"/>
    </w:p>
    <w:p w14:paraId="1777D357">
      <w:pPr>
        <w:keepNext w:val="0"/>
        <w:keepLines w:val="0"/>
        <w:pageBreakBefore w:val="0"/>
        <w:widowControl/>
        <w:kinsoku/>
        <w:wordWrap/>
        <w:overflowPunct/>
        <w:topLinePunct w:val="0"/>
        <w:autoSpaceDE/>
        <w:autoSpaceDN/>
        <w:bidi w:val="0"/>
        <w:adjustRightInd/>
        <w:spacing w:line="560" w:lineRule="exact"/>
        <w:ind w:firstLine="582" w:firstLineChars="200"/>
        <w:jc w:val="left"/>
        <w:textAlignment w:val="auto"/>
        <w:rPr>
          <w:rFonts w:hint="eastAsia" w:ascii="方正仿宋_GBK" w:hAnsi="方正仿宋_GBK" w:eastAsia="方正仿宋_GBK" w:cs="方正仿宋_GBK"/>
          <w:snapToGrid w:val="0"/>
          <w:color w:val="auto"/>
          <w:kern w:val="0"/>
          <w:sz w:val="30"/>
          <w:szCs w:val="30"/>
          <w:highlight w:val="none"/>
        </w:rPr>
      </w:pPr>
      <w:r>
        <w:rPr>
          <w:rFonts w:hint="eastAsia" w:ascii="方正仿宋_GBK" w:hAnsi="方正仿宋_GBK" w:eastAsia="方正仿宋_GBK" w:cs="方正仿宋_GBK"/>
          <w:snapToGrid w:val="0"/>
          <w:color w:val="auto"/>
          <w:kern w:val="0"/>
          <w:sz w:val="30"/>
          <w:szCs w:val="30"/>
          <w:highlight w:val="none"/>
        </w:rPr>
        <w:t>本公司（联合体）郑重声明，根据《政府采购促进中小企业发展管理办法》（财库〔2020）46号）的规定，本公司（联合体）参加</w:t>
      </w:r>
      <w:r>
        <w:rPr>
          <w:rFonts w:hint="eastAsia" w:ascii="方正仿宋_GBK" w:hAnsi="方正仿宋_GBK" w:eastAsia="方正仿宋_GBK" w:cs="方正仿宋_GBK"/>
          <w:snapToGrid w:val="0"/>
          <w:color w:val="auto"/>
          <w:kern w:val="0"/>
          <w:sz w:val="30"/>
          <w:szCs w:val="30"/>
          <w:highlight w:val="none"/>
          <w:u w:val="single"/>
        </w:rPr>
        <w:t>（单位名称）</w:t>
      </w:r>
      <w:r>
        <w:rPr>
          <w:rFonts w:hint="eastAsia" w:ascii="方正仿宋_GBK" w:hAnsi="方正仿宋_GBK" w:eastAsia="方正仿宋_GBK" w:cs="方正仿宋_GBK"/>
          <w:snapToGrid w:val="0"/>
          <w:color w:val="auto"/>
          <w:kern w:val="0"/>
          <w:sz w:val="30"/>
          <w:szCs w:val="30"/>
          <w:highlight w:val="none"/>
        </w:rPr>
        <w:t>的</w:t>
      </w:r>
      <w:r>
        <w:rPr>
          <w:rFonts w:hint="eastAsia" w:ascii="方正仿宋_GBK" w:hAnsi="方正仿宋_GBK" w:eastAsia="方正仿宋_GBK" w:cs="方正仿宋_GBK"/>
          <w:snapToGrid w:val="0"/>
          <w:color w:val="auto"/>
          <w:kern w:val="0"/>
          <w:sz w:val="30"/>
          <w:szCs w:val="30"/>
          <w:highlight w:val="none"/>
          <w:u w:val="single"/>
        </w:rPr>
        <w:t>（项目名称）</w:t>
      </w:r>
      <w:r>
        <w:rPr>
          <w:rFonts w:hint="eastAsia" w:ascii="方正仿宋_GBK" w:hAnsi="方正仿宋_GBK" w:eastAsia="方正仿宋_GBK" w:cs="方正仿宋_GBK"/>
          <w:snapToGrid w:val="0"/>
          <w:color w:val="auto"/>
          <w:kern w:val="0"/>
          <w:sz w:val="30"/>
          <w:szCs w:val="30"/>
          <w:highlight w:val="none"/>
        </w:rPr>
        <w:t>采购活动，服务全部由符合政策要求的中小企业承接。相关企业（含联合体中的中小企业、签订分包意向协议的中小企业）的具体情况如下：</w:t>
      </w:r>
    </w:p>
    <w:p w14:paraId="3F6251D4">
      <w:pPr>
        <w:keepNext w:val="0"/>
        <w:keepLines w:val="0"/>
        <w:pageBreakBefore w:val="0"/>
        <w:widowControl/>
        <w:kinsoku/>
        <w:wordWrap/>
        <w:overflowPunct/>
        <w:topLinePunct w:val="0"/>
        <w:autoSpaceDE/>
        <w:autoSpaceDN/>
        <w:bidi w:val="0"/>
        <w:adjustRightInd/>
        <w:spacing w:line="560" w:lineRule="exact"/>
        <w:ind w:firstLine="582" w:firstLineChars="200"/>
        <w:jc w:val="left"/>
        <w:textAlignment w:val="auto"/>
        <w:rPr>
          <w:rFonts w:hint="eastAsia" w:ascii="方正仿宋_GBK" w:hAnsi="方正仿宋_GBK" w:eastAsia="方正仿宋_GBK" w:cs="方正仿宋_GBK"/>
          <w:snapToGrid w:val="0"/>
          <w:color w:val="auto"/>
          <w:kern w:val="0"/>
          <w:sz w:val="30"/>
          <w:szCs w:val="30"/>
          <w:highlight w:val="none"/>
        </w:rPr>
      </w:pPr>
      <w:bookmarkStart w:id="72" w:name="bookmark35"/>
      <w:bookmarkEnd w:id="72"/>
      <w:r>
        <w:rPr>
          <w:rFonts w:hint="eastAsia" w:ascii="方正仿宋_GBK" w:hAnsi="方正仿宋_GBK" w:eastAsia="方正仿宋_GBK" w:cs="方正仿宋_GBK"/>
          <w:snapToGrid w:val="0"/>
          <w:color w:val="auto"/>
          <w:kern w:val="0"/>
          <w:sz w:val="30"/>
          <w:szCs w:val="30"/>
          <w:highlight w:val="none"/>
        </w:rPr>
        <w:t>1、</w:t>
      </w:r>
      <w:r>
        <w:rPr>
          <w:rFonts w:hint="eastAsia" w:ascii="方正仿宋_GBK" w:hAnsi="方正仿宋_GBK" w:eastAsia="方正仿宋_GBK" w:cs="方正仿宋_GBK"/>
          <w:snapToGrid w:val="0"/>
          <w:color w:val="auto"/>
          <w:kern w:val="0"/>
          <w:sz w:val="30"/>
          <w:szCs w:val="30"/>
          <w:highlight w:val="none"/>
          <w:u w:val="single"/>
        </w:rPr>
        <w:t>（标的名称）</w:t>
      </w:r>
      <w:r>
        <w:rPr>
          <w:rFonts w:hint="eastAsia" w:ascii="方正仿宋_GBK" w:hAnsi="方正仿宋_GBK" w:eastAsia="方正仿宋_GBK" w:cs="方正仿宋_GBK"/>
          <w:snapToGrid w:val="0"/>
          <w:color w:val="auto"/>
          <w:kern w:val="0"/>
          <w:sz w:val="30"/>
          <w:szCs w:val="30"/>
          <w:highlight w:val="none"/>
        </w:rPr>
        <w:t>，属于</w:t>
      </w:r>
      <w:r>
        <w:rPr>
          <w:rFonts w:hint="eastAsia" w:ascii="方正仿宋_GBK" w:hAnsi="方正仿宋_GBK" w:eastAsia="方正仿宋_GBK" w:cs="方正仿宋_GBK"/>
          <w:snapToGrid w:val="0"/>
          <w:color w:val="auto"/>
          <w:kern w:val="0"/>
          <w:sz w:val="30"/>
          <w:szCs w:val="30"/>
          <w:highlight w:val="none"/>
          <w:u w:val="single"/>
        </w:rPr>
        <w:t>（采购文件中明确的所属行业）</w:t>
      </w:r>
      <w:r>
        <w:rPr>
          <w:rFonts w:hint="eastAsia" w:ascii="方正仿宋_GBK" w:hAnsi="方正仿宋_GBK" w:eastAsia="方正仿宋_GBK" w:cs="方正仿宋_GBK"/>
          <w:snapToGrid w:val="0"/>
          <w:color w:val="auto"/>
          <w:kern w:val="0"/>
          <w:sz w:val="30"/>
          <w:szCs w:val="30"/>
          <w:highlight w:val="none"/>
        </w:rPr>
        <w:t>，承建（承接）企业为</w:t>
      </w:r>
      <w:r>
        <w:rPr>
          <w:rFonts w:hint="eastAsia" w:ascii="方正仿宋_GBK" w:hAnsi="方正仿宋_GBK" w:eastAsia="方正仿宋_GBK" w:cs="方正仿宋_GBK"/>
          <w:snapToGrid w:val="0"/>
          <w:color w:val="auto"/>
          <w:kern w:val="0"/>
          <w:sz w:val="30"/>
          <w:szCs w:val="30"/>
          <w:highlight w:val="none"/>
          <w:u w:val="single"/>
        </w:rPr>
        <w:t>（企业名称）</w:t>
      </w:r>
      <w:r>
        <w:rPr>
          <w:rFonts w:hint="eastAsia" w:ascii="方正仿宋_GBK" w:hAnsi="方正仿宋_GBK" w:eastAsia="方正仿宋_GBK" w:cs="方正仿宋_GBK"/>
          <w:snapToGrid w:val="0"/>
          <w:color w:val="auto"/>
          <w:kern w:val="0"/>
          <w:sz w:val="30"/>
          <w:szCs w:val="30"/>
          <w:highlight w:val="none"/>
        </w:rPr>
        <w:t>，从业人员</w:t>
      </w:r>
      <w:r>
        <w:rPr>
          <w:rFonts w:hint="eastAsia" w:ascii="方正仿宋_GBK" w:hAnsi="方正仿宋_GBK" w:eastAsia="方正仿宋_GBK" w:cs="方正仿宋_GBK"/>
          <w:snapToGrid w:val="0"/>
          <w:color w:val="auto"/>
          <w:kern w:val="0"/>
          <w:sz w:val="30"/>
          <w:szCs w:val="30"/>
          <w:highlight w:val="none"/>
          <w:u w:val="single"/>
        </w:rPr>
        <w:tab/>
      </w:r>
      <w:r>
        <w:rPr>
          <w:rFonts w:hint="eastAsia" w:ascii="方正仿宋_GBK" w:hAnsi="方正仿宋_GBK" w:eastAsia="方正仿宋_GBK" w:cs="方正仿宋_GBK"/>
          <w:snapToGrid w:val="0"/>
          <w:color w:val="auto"/>
          <w:kern w:val="0"/>
          <w:sz w:val="30"/>
          <w:szCs w:val="30"/>
          <w:highlight w:val="none"/>
        </w:rPr>
        <w:t>人，营业收入为</w:t>
      </w:r>
      <w:r>
        <w:rPr>
          <w:rFonts w:hint="eastAsia" w:ascii="方正仿宋_GBK" w:hAnsi="方正仿宋_GBK" w:eastAsia="方正仿宋_GBK" w:cs="方正仿宋_GBK"/>
          <w:snapToGrid w:val="0"/>
          <w:color w:val="auto"/>
          <w:kern w:val="0"/>
          <w:sz w:val="30"/>
          <w:szCs w:val="30"/>
          <w:highlight w:val="none"/>
          <w:u w:val="single"/>
        </w:rPr>
        <w:t xml:space="preserve">    </w:t>
      </w:r>
      <w:r>
        <w:rPr>
          <w:rFonts w:hint="eastAsia" w:ascii="方正仿宋_GBK" w:hAnsi="方正仿宋_GBK" w:eastAsia="方正仿宋_GBK" w:cs="方正仿宋_GBK"/>
          <w:snapToGrid w:val="0"/>
          <w:color w:val="auto"/>
          <w:kern w:val="0"/>
          <w:sz w:val="30"/>
          <w:szCs w:val="30"/>
          <w:highlight w:val="none"/>
        </w:rPr>
        <w:t>万元，资产总额为</w:t>
      </w:r>
      <w:r>
        <w:rPr>
          <w:rFonts w:hint="eastAsia" w:ascii="方正仿宋_GBK" w:hAnsi="方正仿宋_GBK" w:eastAsia="方正仿宋_GBK" w:cs="方正仿宋_GBK"/>
          <w:snapToGrid w:val="0"/>
          <w:color w:val="auto"/>
          <w:kern w:val="0"/>
          <w:sz w:val="30"/>
          <w:szCs w:val="30"/>
          <w:highlight w:val="none"/>
          <w:u w:val="single"/>
        </w:rPr>
        <w:t xml:space="preserve">    </w:t>
      </w:r>
      <w:r>
        <w:rPr>
          <w:rFonts w:hint="eastAsia" w:ascii="方正仿宋_GBK" w:hAnsi="方正仿宋_GBK" w:eastAsia="方正仿宋_GBK" w:cs="方正仿宋_GBK"/>
          <w:snapToGrid w:val="0"/>
          <w:color w:val="auto"/>
          <w:kern w:val="0"/>
          <w:sz w:val="30"/>
          <w:szCs w:val="30"/>
          <w:highlight w:val="none"/>
        </w:rPr>
        <w:t>万元，属于</w:t>
      </w:r>
      <w:r>
        <w:rPr>
          <w:rFonts w:hint="eastAsia" w:ascii="方正仿宋_GBK" w:hAnsi="方正仿宋_GBK" w:eastAsia="方正仿宋_GBK" w:cs="方正仿宋_GBK"/>
          <w:snapToGrid w:val="0"/>
          <w:color w:val="auto"/>
          <w:kern w:val="0"/>
          <w:sz w:val="30"/>
          <w:szCs w:val="30"/>
          <w:highlight w:val="none"/>
          <w:u w:val="single"/>
        </w:rPr>
        <w:t>（中型企业、小型企业、微型企业）</w:t>
      </w:r>
      <w:r>
        <w:rPr>
          <w:rFonts w:hint="eastAsia" w:ascii="方正仿宋_GBK" w:hAnsi="方正仿宋_GBK" w:eastAsia="方正仿宋_GBK" w:cs="方正仿宋_GBK"/>
          <w:snapToGrid w:val="0"/>
          <w:color w:val="auto"/>
          <w:kern w:val="0"/>
          <w:sz w:val="30"/>
          <w:szCs w:val="30"/>
          <w:highlight w:val="none"/>
        </w:rPr>
        <w:t>；</w:t>
      </w:r>
    </w:p>
    <w:p w14:paraId="7FB368CD">
      <w:pPr>
        <w:keepNext w:val="0"/>
        <w:keepLines w:val="0"/>
        <w:pageBreakBefore w:val="0"/>
        <w:widowControl/>
        <w:kinsoku/>
        <w:wordWrap/>
        <w:overflowPunct/>
        <w:topLinePunct w:val="0"/>
        <w:autoSpaceDE/>
        <w:autoSpaceDN/>
        <w:bidi w:val="0"/>
        <w:adjustRightInd/>
        <w:spacing w:line="560" w:lineRule="exact"/>
        <w:ind w:firstLine="582" w:firstLineChars="200"/>
        <w:jc w:val="left"/>
        <w:textAlignment w:val="auto"/>
        <w:rPr>
          <w:rFonts w:hint="eastAsia" w:ascii="方正仿宋_GBK" w:hAnsi="方正仿宋_GBK" w:eastAsia="方正仿宋_GBK" w:cs="方正仿宋_GBK"/>
          <w:snapToGrid w:val="0"/>
          <w:color w:val="auto"/>
          <w:kern w:val="0"/>
          <w:sz w:val="30"/>
          <w:szCs w:val="30"/>
          <w:highlight w:val="none"/>
        </w:rPr>
      </w:pPr>
      <w:bookmarkStart w:id="73" w:name="bookmark36"/>
      <w:bookmarkEnd w:id="73"/>
      <w:r>
        <w:rPr>
          <w:rFonts w:hint="eastAsia" w:ascii="方正仿宋_GBK" w:hAnsi="方正仿宋_GBK" w:eastAsia="方正仿宋_GBK" w:cs="方正仿宋_GBK"/>
          <w:snapToGrid w:val="0"/>
          <w:color w:val="auto"/>
          <w:kern w:val="0"/>
          <w:sz w:val="30"/>
          <w:szCs w:val="30"/>
          <w:highlight w:val="none"/>
        </w:rPr>
        <w:t>2、</w:t>
      </w:r>
      <w:r>
        <w:rPr>
          <w:rFonts w:hint="eastAsia" w:ascii="方正仿宋_GBK" w:hAnsi="方正仿宋_GBK" w:eastAsia="方正仿宋_GBK" w:cs="方正仿宋_GBK"/>
          <w:snapToGrid w:val="0"/>
          <w:color w:val="auto"/>
          <w:kern w:val="0"/>
          <w:sz w:val="30"/>
          <w:szCs w:val="30"/>
          <w:highlight w:val="none"/>
          <w:u w:val="single"/>
        </w:rPr>
        <w:t>（标的名称）</w:t>
      </w:r>
      <w:r>
        <w:rPr>
          <w:rFonts w:hint="eastAsia" w:ascii="方正仿宋_GBK" w:hAnsi="方正仿宋_GBK" w:eastAsia="方正仿宋_GBK" w:cs="方正仿宋_GBK"/>
          <w:snapToGrid w:val="0"/>
          <w:color w:val="auto"/>
          <w:kern w:val="0"/>
          <w:sz w:val="30"/>
          <w:szCs w:val="30"/>
          <w:highlight w:val="none"/>
        </w:rPr>
        <w:t>，属于</w:t>
      </w:r>
      <w:r>
        <w:rPr>
          <w:rFonts w:hint="eastAsia" w:ascii="方正仿宋_GBK" w:hAnsi="方正仿宋_GBK" w:eastAsia="方正仿宋_GBK" w:cs="方正仿宋_GBK"/>
          <w:snapToGrid w:val="0"/>
          <w:color w:val="auto"/>
          <w:kern w:val="0"/>
          <w:sz w:val="30"/>
          <w:szCs w:val="30"/>
          <w:highlight w:val="none"/>
          <w:u w:val="single"/>
        </w:rPr>
        <w:t>（采购文件中明确的所属行业）</w:t>
      </w:r>
      <w:r>
        <w:rPr>
          <w:rFonts w:hint="eastAsia" w:ascii="方正仿宋_GBK" w:hAnsi="方正仿宋_GBK" w:eastAsia="方正仿宋_GBK" w:cs="方正仿宋_GBK"/>
          <w:snapToGrid w:val="0"/>
          <w:color w:val="auto"/>
          <w:kern w:val="0"/>
          <w:sz w:val="30"/>
          <w:szCs w:val="30"/>
          <w:highlight w:val="none"/>
        </w:rPr>
        <w:t>，承建（承接）企业为</w:t>
      </w:r>
      <w:r>
        <w:rPr>
          <w:rFonts w:hint="eastAsia" w:ascii="方正仿宋_GBK" w:hAnsi="方正仿宋_GBK" w:eastAsia="方正仿宋_GBK" w:cs="方正仿宋_GBK"/>
          <w:snapToGrid w:val="0"/>
          <w:color w:val="auto"/>
          <w:kern w:val="0"/>
          <w:sz w:val="30"/>
          <w:szCs w:val="30"/>
          <w:highlight w:val="none"/>
          <w:u w:val="single"/>
        </w:rPr>
        <w:t>（企业名称）</w:t>
      </w:r>
      <w:r>
        <w:rPr>
          <w:rFonts w:hint="eastAsia" w:ascii="方正仿宋_GBK" w:hAnsi="方正仿宋_GBK" w:eastAsia="方正仿宋_GBK" w:cs="方正仿宋_GBK"/>
          <w:snapToGrid w:val="0"/>
          <w:color w:val="auto"/>
          <w:kern w:val="0"/>
          <w:sz w:val="30"/>
          <w:szCs w:val="30"/>
          <w:highlight w:val="none"/>
        </w:rPr>
        <w:t>，从业人员</w:t>
      </w:r>
      <w:r>
        <w:rPr>
          <w:rFonts w:hint="eastAsia" w:ascii="方正仿宋_GBK" w:hAnsi="方正仿宋_GBK" w:eastAsia="方正仿宋_GBK" w:cs="方正仿宋_GBK"/>
          <w:snapToGrid w:val="0"/>
          <w:color w:val="auto"/>
          <w:kern w:val="0"/>
          <w:sz w:val="30"/>
          <w:szCs w:val="30"/>
          <w:highlight w:val="none"/>
          <w:u w:val="single"/>
        </w:rPr>
        <w:tab/>
      </w:r>
      <w:r>
        <w:rPr>
          <w:rFonts w:hint="eastAsia" w:ascii="方正仿宋_GBK" w:hAnsi="方正仿宋_GBK" w:eastAsia="方正仿宋_GBK" w:cs="方正仿宋_GBK"/>
          <w:snapToGrid w:val="0"/>
          <w:color w:val="auto"/>
          <w:kern w:val="0"/>
          <w:sz w:val="30"/>
          <w:szCs w:val="30"/>
          <w:highlight w:val="none"/>
          <w:u w:val="single"/>
        </w:rPr>
        <w:t xml:space="preserve">  </w:t>
      </w:r>
      <w:r>
        <w:rPr>
          <w:rFonts w:hint="eastAsia" w:ascii="方正仿宋_GBK" w:hAnsi="方正仿宋_GBK" w:eastAsia="方正仿宋_GBK" w:cs="方正仿宋_GBK"/>
          <w:snapToGrid w:val="0"/>
          <w:color w:val="auto"/>
          <w:kern w:val="0"/>
          <w:sz w:val="30"/>
          <w:szCs w:val="30"/>
          <w:highlight w:val="none"/>
        </w:rPr>
        <w:t>人，营业收入为</w:t>
      </w:r>
      <w:r>
        <w:rPr>
          <w:rFonts w:hint="eastAsia" w:ascii="方正仿宋_GBK" w:hAnsi="方正仿宋_GBK" w:eastAsia="方正仿宋_GBK" w:cs="方正仿宋_GBK"/>
          <w:snapToGrid w:val="0"/>
          <w:color w:val="auto"/>
          <w:kern w:val="0"/>
          <w:sz w:val="30"/>
          <w:szCs w:val="30"/>
          <w:highlight w:val="none"/>
          <w:u w:val="single"/>
        </w:rPr>
        <w:t xml:space="preserve">    </w:t>
      </w:r>
      <w:r>
        <w:rPr>
          <w:rFonts w:hint="eastAsia" w:ascii="方正仿宋_GBK" w:hAnsi="方正仿宋_GBK" w:eastAsia="方正仿宋_GBK" w:cs="方正仿宋_GBK"/>
          <w:snapToGrid w:val="0"/>
          <w:color w:val="auto"/>
          <w:kern w:val="0"/>
          <w:sz w:val="30"/>
          <w:szCs w:val="30"/>
          <w:highlight w:val="none"/>
        </w:rPr>
        <w:t>万元，资产总额为</w:t>
      </w:r>
      <w:r>
        <w:rPr>
          <w:rFonts w:hint="eastAsia" w:ascii="方正仿宋_GBK" w:hAnsi="方正仿宋_GBK" w:eastAsia="方正仿宋_GBK" w:cs="方正仿宋_GBK"/>
          <w:snapToGrid w:val="0"/>
          <w:color w:val="auto"/>
          <w:kern w:val="0"/>
          <w:sz w:val="30"/>
          <w:szCs w:val="30"/>
          <w:highlight w:val="none"/>
          <w:u w:val="single"/>
        </w:rPr>
        <w:t xml:space="preserve">    </w:t>
      </w:r>
      <w:r>
        <w:rPr>
          <w:rFonts w:hint="eastAsia" w:ascii="方正仿宋_GBK" w:hAnsi="方正仿宋_GBK" w:eastAsia="方正仿宋_GBK" w:cs="方正仿宋_GBK"/>
          <w:snapToGrid w:val="0"/>
          <w:color w:val="auto"/>
          <w:kern w:val="0"/>
          <w:sz w:val="30"/>
          <w:szCs w:val="30"/>
          <w:highlight w:val="none"/>
        </w:rPr>
        <w:t>万元，属于</w:t>
      </w:r>
      <w:r>
        <w:rPr>
          <w:rFonts w:hint="eastAsia" w:ascii="方正仿宋_GBK" w:hAnsi="方正仿宋_GBK" w:eastAsia="方正仿宋_GBK" w:cs="方正仿宋_GBK"/>
          <w:snapToGrid w:val="0"/>
          <w:color w:val="auto"/>
          <w:kern w:val="0"/>
          <w:sz w:val="30"/>
          <w:szCs w:val="30"/>
          <w:highlight w:val="none"/>
          <w:u w:val="single"/>
        </w:rPr>
        <w:t>（中型企业、小型企业、微型企</w:t>
      </w:r>
      <w:r>
        <w:rPr>
          <w:rFonts w:hint="eastAsia" w:ascii="方正仿宋_GBK" w:hAnsi="方正仿宋_GBK" w:eastAsia="方正仿宋_GBK" w:cs="方正仿宋_GBK"/>
          <w:snapToGrid w:val="0"/>
          <w:color w:val="auto"/>
          <w:kern w:val="0"/>
          <w:sz w:val="30"/>
          <w:szCs w:val="30"/>
          <w:highlight w:val="none"/>
          <w:u w:val="single"/>
          <w:lang w:val="zh-CN"/>
        </w:rPr>
        <w:t>业）</w:t>
      </w:r>
      <w:r>
        <w:rPr>
          <w:rFonts w:hint="eastAsia" w:ascii="方正仿宋_GBK" w:hAnsi="方正仿宋_GBK" w:eastAsia="方正仿宋_GBK" w:cs="方正仿宋_GBK"/>
          <w:snapToGrid w:val="0"/>
          <w:color w:val="auto"/>
          <w:kern w:val="0"/>
          <w:sz w:val="30"/>
          <w:szCs w:val="30"/>
          <w:highlight w:val="none"/>
          <w:lang w:val="zh-CN"/>
        </w:rPr>
        <w:t>；</w:t>
      </w:r>
      <w:r>
        <w:rPr>
          <w:rFonts w:hint="eastAsia" w:ascii="方正仿宋_GBK" w:hAnsi="方正仿宋_GBK" w:eastAsia="方正仿宋_GBK" w:cs="方正仿宋_GBK"/>
          <w:snapToGrid w:val="0"/>
          <w:color w:val="auto"/>
          <w:kern w:val="0"/>
          <w:sz w:val="30"/>
          <w:szCs w:val="30"/>
          <w:highlight w:val="none"/>
        </w:rPr>
        <w:t>以上企业，不属于大企业的分支机构，不存在控股股东为大企业的情形，也不存在与大企业的负责人为同一人的情形。</w:t>
      </w:r>
    </w:p>
    <w:p w14:paraId="7D1651ED">
      <w:pPr>
        <w:keepNext w:val="0"/>
        <w:keepLines w:val="0"/>
        <w:pageBreakBefore w:val="0"/>
        <w:widowControl/>
        <w:kinsoku/>
        <w:wordWrap/>
        <w:overflowPunct/>
        <w:topLinePunct w:val="0"/>
        <w:autoSpaceDE/>
        <w:autoSpaceDN/>
        <w:bidi w:val="0"/>
        <w:adjustRightInd/>
        <w:spacing w:line="560" w:lineRule="exact"/>
        <w:ind w:firstLine="582" w:firstLineChars="200"/>
        <w:jc w:val="left"/>
        <w:textAlignment w:val="auto"/>
        <w:rPr>
          <w:rFonts w:hint="eastAsia" w:ascii="方正仿宋_GBK" w:hAnsi="方正仿宋_GBK" w:eastAsia="方正仿宋_GBK" w:cs="方正仿宋_GBK"/>
          <w:snapToGrid w:val="0"/>
          <w:color w:val="auto"/>
          <w:kern w:val="0"/>
          <w:sz w:val="30"/>
          <w:szCs w:val="30"/>
          <w:highlight w:val="none"/>
        </w:rPr>
      </w:pPr>
      <w:r>
        <w:rPr>
          <w:rFonts w:hint="eastAsia" w:ascii="方正仿宋_GBK" w:hAnsi="方正仿宋_GBK" w:eastAsia="方正仿宋_GBK" w:cs="方正仿宋_GBK"/>
          <w:snapToGrid w:val="0"/>
          <w:color w:val="auto"/>
          <w:kern w:val="0"/>
          <w:sz w:val="30"/>
          <w:szCs w:val="30"/>
          <w:highlight w:val="none"/>
        </w:rPr>
        <w:t>本企业对上述声明内容的真实性负责。如有虚假，将依法承担相应责任。</w:t>
      </w:r>
    </w:p>
    <w:p w14:paraId="0482EB95">
      <w:pPr>
        <w:keepNext w:val="0"/>
        <w:keepLines w:val="0"/>
        <w:pageBreakBefore w:val="0"/>
        <w:widowControl/>
        <w:kinsoku/>
        <w:wordWrap/>
        <w:overflowPunct/>
        <w:topLinePunct w:val="0"/>
        <w:autoSpaceDE/>
        <w:autoSpaceDN/>
        <w:bidi w:val="0"/>
        <w:adjustRightInd/>
        <w:spacing w:line="560" w:lineRule="exact"/>
        <w:ind w:firstLine="5820" w:firstLineChars="2000"/>
        <w:textAlignment w:val="auto"/>
        <w:rPr>
          <w:rFonts w:hint="eastAsia" w:ascii="方正仿宋_GBK" w:hAnsi="方正仿宋_GBK" w:eastAsia="方正仿宋_GBK" w:cs="方正仿宋_GBK"/>
          <w:snapToGrid w:val="0"/>
          <w:color w:val="auto"/>
          <w:kern w:val="0"/>
          <w:sz w:val="30"/>
          <w:szCs w:val="30"/>
          <w:highlight w:val="none"/>
        </w:rPr>
      </w:pPr>
      <w:r>
        <w:rPr>
          <w:rFonts w:hint="eastAsia" w:ascii="方正仿宋_GBK" w:hAnsi="方正仿宋_GBK" w:eastAsia="方正仿宋_GBK" w:cs="方正仿宋_GBK"/>
          <w:snapToGrid w:val="0"/>
          <w:color w:val="auto"/>
          <w:kern w:val="0"/>
          <w:sz w:val="30"/>
          <w:szCs w:val="30"/>
          <w:highlight w:val="none"/>
        </w:rPr>
        <w:t xml:space="preserve">企业名称（盖章）：           </w:t>
      </w:r>
    </w:p>
    <w:p w14:paraId="4867DCD6">
      <w:pPr>
        <w:keepNext w:val="0"/>
        <w:keepLines w:val="0"/>
        <w:pageBreakBefore w:val="0"/>
        <w:widowControl/>
        <w:kinsoku/>
        <w:wordWrap/>
        <w:overflowPunct/>
        <w:topLinePunct w:val="0"/>
        <w:autoSpaceDE/>
        <w:autoSpaceDN/>
        <w:bidi w:val="0"/>
        <w:adjustRightInd/>
        <w:spacing w:line="560" w:lineRule="exact"/>
        <w:ind w:firstLine="5820" w:firstLineChars="2000"/>
        <w:textAlignment w:val="auto"/>
        <w:rPr>
          <w:rFonts w:hint="eastAsia" w:ascii="方正仿宋_GBK" w:hAnsi="方正仿宋_GBK" w:eastAsia="方正仿宋_GBK" w:cs="方正仿宋_GBK"/>
          <w:snapToGrid w:val="0"/>
          <w:color w:val="auto"/>
          <w:kern w:val="0"/>
          <w:sz w:val="30"/>
          <w:szCs w:val="30"/>
          <w:highlight w:val="none"/>
        </w:rPr>
      </w:pPr>
      <w:r>
        <w:rPr>
          <w:rFonts w:hint="eastAsia" w:ascii="方正仿宋_GBK" w:hAnsi="方正仿宋_GBK" w:eastAsia="方正仿宋_GBK" w:cs="方正仿宋_GBK"/>
          <w:snapToGrid w:val="0"/>
          <w:color w:val="auto"/>
          <w:kern w:val="0"/>
          <w:sz w:val="30"/>
          <w:szCs w:val="30"/>
          <w:highlight w:val="none"/>
        </w:rPr>
        <w:t>日期：</w:t>
      </w:r>
      <w:r>
        <w:rPr>
          <w:rFonts w:hint="eastAsia" w:ascii="方正仿宋_GBK" w:hAnsi="方正仿宋_GBK" w:eastAsia="方正仿宋_GBK" w:cs="方正仿宋_GBK"/>
          <w:bCs/>
          <w:color w:val="auto"/>
          <w:kern w:val="0"/>
          <w:sz w:val="30"/>
          <w:szCs w:val="30"/>
          <w:highlight w:val="none"/>
          <w:lang w:val="zh-CN"/>
        </w:rPr>
        <w:t>年</w:t>
      </w:r>
      <w:r>
        <w:rPr>
          <w:rFonts w:hint="eastAsia" w:ascii="方正仿宋_GBK" w:hAnsi="方正仿宋_GBK" w:eastAsia="方正仿宋_GBK" w:cs="方正仿宋_GBK"/>
          <w:bCs/>
          <w:color w:val="auto"/>
          <w:kern w:val="0"/>
          <w:sz w:val="30"/>
          <w:szCs w:val="30"/>
          <w:highlight w:val="none"/>
          <w:lang w:val="zh-CN"/>
        </w:rPr>
        <w:tab/>
      </w:r>
      <w:r>
        <w:rPr>
          <w:rFonts w:hint="eastAsia" w:ascii="方正仿宋_GBK" w:hAnsi="方正仿宋_GBK" w:eastAsia="方正仿宋_GBK" w:cs="方正仿宋_GBK"/>
          <w:bCs/>
          <w:color w:val="auto"/>
          <w:kern w:val="0"/>
          <w:sz w:val="30"/>
          <w:szCs w:val="30"/>
          <w:highlight w:val="none"/>
          <w:lang w:val="zh-CN"/>
        </w:rPr>
        <w:t>月</w:t>
      </w:r>
      <w:r>
        <w:rPr>
          <w:rFonts w:hint="eastAsia" w:ascii="方正仿宋_GBK" w:hAnsi="方正仿宋_GBK" w:eastAsia="方正仿宋_GBK" w:cs="方正仿宋_GBK"/>
          <w:bCs/>
          <w:color w:val="auto"/>
          <w:kern w:val="0"/>
          <w:sz w:val="30"/>
          <w:szCs w:val="30"/>
          <w:highlight w:val="none"/>
          <w:lang w:val="zh-CN"/>
        </w:rPr>
        <w:tab/>
      </w:r>
      <w:r>
        <w:rPr>
          <w:rFonts w:hint="eastAsia" w:ascii="方正仿宋_GBK" w:hAnsi="方正仿宋_GBK" w:eastAsia="方正仿宋_GBK" w:cs="方正仿宋_GBK"/>
          <w:bCs/>
          <w:color w:val="auto"/>
          <w:kern w:val="0"/>
          <w:sz w:val="30"/>
          <w:szCs w:val="30"/>
          <w:highlight w:val="none"/>
          <w:lang w:val="zh-CN"/>
        </w:rPr>
        <w:t>日</w:t>
      </w:r>
    </w:p>
    <w:p w14:paraId="096AD92F">
      <w:pPr>
        <w:keepNext w:val="0"/>
        <w:keepLines w:val="0"/>
        <w:pageBreakBefore w:val="0"/>
        <w:widowControl/>
        <w:kinsoku/>
        <w:wordWrap/>
        <w:overflowPunct/>
        <w:topLinePunct w:val="0"/>
        <w:autoSpaceDE/>
        <w:autoSpaceDN/>
        <w:bidi w:val="0"/>
        <w:adjustRightInd/>
        <w:spacing w:line="560" w:lineRule="exact"/>
        <w:ind w:firstLine="582" w:firstLineChars="200"/>
        <w:jc w:val="left"/>
        <w:textAlignment w:val="auto"/>
        <w:rPr>
          <w:rFonts w:hint="eastAsia" w:ascii="方正仿宋_GBK" w:hAnsi="方正仿宋_GBK" w:eastAsia="方正仿宋_GBK" w:cs="方正仿宋_GBK"/>
          <w:b/>
          <w:snapToGrid w:val="0"/>
          <w:color w:val="auto"/>
          <w:kern w:val="0"/>
          <w:sz w:val="30"/>
          <w:szCs w:val="30"/>
          <w:highlight w:val="none"/>
        </w:rPr>
      </w:pPr>
      <w:r>
        <w:rPr>
          <w:rFonts w:hint="eastAsia" w:ascii="方正仿宋_GBK" w:hAnsi="方正仿宋_GBK" w:eastAsia="方正仿宋_GBK" w:cs="方正仿宋_GBK"/>
          <w:b/>
          <w:snapToGrid w:val="0"/>
          <w:color w:val="auto"/>
          <w:kern w:val="0"/>
          <w:sz w:val="30"/>
          <w:szCs w:val="30"/>
          <w:highlight w:val="none"/>
        </w:rPr>
        <w:t>注：从业人员、营业收入、资产总额填报上一年度数据，无上一年度数据的新成立企业可不填报。</w:t>
      </w:r>
    </w:p>
    <w:p w14:paraId="3E4A91A1">
      <w:pPr>
        <w:keepNext w:val="0"/>
        <w:keepLines w:val="0"/>
        <w:pageBreakBefore w:val="0"/>
        <w:kinsoku/>
        <w:wordWrap/>
        <w:overflowPunct/>
        <w:topLinePunct w:val="0"/>
        <w:autoSpaceDE/>
        <w:autoSpaceDN/>
        <w:bidi w:val="0"/>
        <w:adjustRightInd/>
        <w:spacing w:line="560" w:lineRule="exact"/>
        <w:jc w:val="both"/>
        <w:textAlignment w:val="auto"/>
        <w:rPr>
          <w:rFonts w:hint="eastAsia" w:ascii="宋体" w:hAnsi="宋体" w:cs="宋体"/>
          <w:color w:val="auto"/>
          <w:sz w:val="24"/>
          <w:szCs w:val="24"/>
          <w:highlight w:val="none"/>
        </w:rPr>
        <w:sectPr>
          <w:headerReference r:id="rId8" w:type="default"/>
          <w:footerReference r:id="rId9" w:type="default"/>
          <w:footerReference r:id="rId10" w:type="even"/>
          <w:pgSz w:w="11906" w:h="16838"/>
          <w:pgMar w:top="2098" w:right="1531" w:bottom="1701" w:left="1531" w:header="851" w:footer="680" w:gutter="0"/>
          <w:pgNumType w:fmt="decimal"/>
          <w:cols w:space="720" w:num="1"/>
          <w:rtlGutter w:val="0"/>
          <w:docGrid w:type="linesAndChars" w:linePitch="290" w:charSpace="-1844"/>
        </w:sectPr>
      </w:pPr>
    </w:p>
    <w:p w14:paraId="3EE70946">
      <w:pPr>
        <w:spacing w:line="240" w:lineRule="atLeast"/>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附件2</w:t>
      </w:r>
    </w:p>
    <w:p w14:paraId="6D82451A">
      <w:pPr>
        <w:snapToGrid w:val="0"/>
        <w:spacing w:before="50" w:after="50" w:line="360" w:lineRule="auto"/>
        <w:ind w:firstLine="352" w:firstLineChars="98"/>
        <w:jc w:val="center"/>
        <w:rPr>
          <w:rFonts w:hint="eastAsia" w:ascii="方正小标宋_GBK" w:hAnsi="方正小标宋_GBK" w:eastAsia="方正小标宋_GBK" w:cs="方正小标宋_GBK"/>
          <w:b w:val="0"/>
          <w:bCs w:val="0"/>
          <w:color w:val="auto"/>
          <w:sz w:val="36"/>
          <w:szCs w:val="36"/>
          <w:highlight w:val="none"/>
          <w:lang w:val="zh-CN"/>
        </w:rPr>
      </w:pPr>
      <w:bookmarkStart w:id="74" w:name="OLE_LINK14"/>
      <w:bookmarkStart w:id="75" w:name="OLE_LINK13"/>
    </w:p>
    <w:p w14:paraId="4845C051">
      <w:pPr>
        <w:snapToGrid w:val="0"/>
        <w:spacing w:before="50" w:after="50" w:line="360" w:lineRule="auto"/>
        <w:ind w:firstLine="352" w:firstLineChars="98"/>
        <w:jc w:val="center"/>
        <w:rPr>
          <w:rFonts w:hint="eastAsia" w:ascii="方正小标宋_GBK" w:hAnsi="方正小标宋_GBK" w:eastAsia="方正小标宋_GBK" w:cs="方正小标宋_GBK"/>
          <w:b w:val="0"/>
          <w:bCs w:val="0"/>
          <w:color w:val="auto"/>
          <w:sz w:val="36"/>
          <w:szCs w:val="36"/>
          <w:highlight w:val="none"/>
          <w:lang w:val="zh-CN"/>
        </w:rPr>
      </w:pPr>
      <w:r>
        <w:rPr>
          <w:rFonts w:hint="eastAsia" w:ascii="方正小标宋_GBK" w:hAnsi="方正小标宋_GBK" w:eastAsia="方正小标宋_GBK" w:cs="方正小标宋_GBK"/>
          <w:b w:val="0"/>
          <w:bCs w:val="0"/>
          <w:color w:val="auto"/>
          <w:sz w:val="36"/>
          <w:szCs w:val="36"/>
          <w:highlight w:val="none"/>
          <w:lang w:val="zh-CN"/>
        </w:rPr>
        <w:t>残疾人福利性单位声明函</w:t>
      </w:r>
    </w:p>
    <w:bookmarkEnd w:id="74"/>
    <w:bookmarkEnd w:id="75"/>
    <w:p w14:paraId="31FEFEC0">
      <w:pPr>
        <w:widowControl/>
        <w:spacing w:line="360" w:lineRule="auto"/>
        <w:ind w:firstLine="600" w:firstLineChars="200"/>
        <w:jc w:val="left"/>
        <w:rPr>
          <w:rFonts w:hint="eastAsia" w:ascii="方正仿宋_GBK" w:hAnsi="方正仿宋_GBK" w:eastAsia="方正仿宋_GBK" w:cs="方正仿宋_GBK"/>
          <w:snapToGrid w:val="0"/>
          <w:color w:val="auto"/>
          <w:kern w:val="0"/>
          <w:sz w:val="30"/>
          <w:szCs w:val="30"/>
          <w:highlight w:val="none"/>
        </w:rPr>
      </w:pPr>
      <w:r>
        <w:rPr>
          <w:rFonts w:hint="eastAsia" w:ascii="方正仿宋_GBK" w:hAnsi="方正仿宋_GBK" w:eastAsia="方正仿宋_GBK" w:cs="方正仿宋_GBK"/>
          <w:snapToGrid w:val="0"/>
          <w:color w:val="auto"/>
          <w:kern w:val="0"/>
          <w:sz w:val="30"/>
          <w:szCs w:val="3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9BEFB8B">
      <w:pPr>
        <w:widowControl/>
        <w:spacing w:line="360" w:lineRule="auto"/>
        <w:ind w:firstLine="600" w:firstLineChars="200"/>
        <w:jc w:val="left"/>
        <w:rPr>
          <w:rFonts w:hint="eastAsia" w:ascii="方正仿宋_GBK" w:hAnsi="方正仿宋_GBK" w:eastAsia="方正仿宋_GBK" w:cs="方正仿宋_GBK"/>
          <w:snapToGrid w:val="0"/>
          <w:color w:val="auto"/>
          <w:kern w:val="0"/>
          <w:sz w:val="30"/>
          <w:szCs w:val="30"/>
          <w:highlight w:val="none"/>
        </w:rPr>
      </w:pPr>
      <w:r>
        <w:rPr>
          <w:rFonts w:hint="eastAsia" w:ascii="方正仿宋_GBK" w:hAnsi="方正仿宋_GBK" w:eastAsia="方正仿宋_GBK" w:cs="方正仿宋_GBK"/>
          <w:snapToGrid w:val="0"/>
          <w:color w:val="auto"/>
          <w:kern w:val="0"/>
          <w:sz w:val="30"/>
          <w:szCs w:val="30"/>
          <w:highlight w:val="none"/>
        </w:rPr>
        <w:t>本单位对上述声明的真实性负责。如有虚假，将依法承担相应责任。</w:t>
      </w:r>
    </w:p>
    <w:p w14:paraId="4A1DE4B4">
      <w:pPr>
        <w:widowControl/>
        <w:spacing w:line="440" w:lineRule="exact"/>
        <w:ind w:firstLine="7200" w:firstLineChars="2400"/>
        <w:jc w:val="left"/>
        <w:rPr>
          <w:rFonts w:hint="eastAsia" w:ascii="方正仿宋_GBK" w:hAnsi="方正仿宋_GBK" w:eastAsia="方正仿宋_GBK" w:cs="方正仿宋_GBK"/>
          <w:snapToGrid w:val="0"/>
          <w:color w:val="auto"/>
          <w:kern w:val="0"/>
          <w:sz w:val="30"/>
          <w:szCs w:val="30"/>
          <w:highlight w:val="none"/>
        </w:rPr>
      </w:pPr>
    </w:p>
    <w:p w14:paraId="56819461">
      <w:pPr>
        <w:widowControl/>
        <w:spacing w:line="440" w:lineRule="exact"/>
        <w:ind w:firstLine="7200" w:firstLineChars="2400"/>
        <w:jc w:val="left"/>
        <w:rPr>
          <w:rFonts w:hint="eastAsia" w:ascii="方正仿宋_GBK" w:hAnsi="方正仿宋_GBK" w:eastAsia="方正仿宋_GBK" w:cs="方正仿宋_GBK"/>
          <w:snapToGrid w:val="0"/>
          <w:color w:val="auto"/>
          <w:kern w:val="0"/>
          <w:sz w:val="30"/>
          <w:szCs w:val="30"/>
          <w:highlight w:val="none"/>
        </w:rPr>
      </w:pPr>
    </w:p>
    <w:p w14:paraId="63489B7F">
      <w:pPr>
        <w:widowControl/>
        <w:spacing w:line="440" w:lineRule="exact"/>
        <w:ind w:firstLine="7200" w:firstLineChars="2400"/>
        <w:jc w:val="left"/>
        <w:rPr>
          <w:rFonts w:hint="eastAsia" w:ascii="方正仿宋_GBK" w:hAnsi="方正仿宋_GBK" w:eastAsia="方正仿宋_GBK" w:cs="方正仿宋_GBK"/>
          <w:snapToGrid w:val="0"/>
          <w:color w:val="auto"/>
          <w:kern w:val="0"/>
          <w:sz w:val="30"/>
          <w:szCs w:val="30"/>
          <w:highlight w:val="none"/>
        </w:rPr>
      </w:pPr>
    </w:p>
    <w:p w14:paraId="549F2CDB">
      <w:pPr>
        <w:widowControl/>
        <w:spacing w:line="360" w:lineRule="auto"/>
        <w:ind w:firstLine="600" w:firstLineChars="200"/>
        <w:jc w:val="right"/>
        <w:rPr>
          <w:rFonts w:hint="eastAsia" w:ascii="方正仿宋_GBK" w:hAnsi="方正仿宋_GBK" w:eastAsia="方正仿宋_GBK" w:cs="方正仿宋_GBK"/>
          <w:snapToGrid w:val="0"/>
          <w:color w:val="auto"/>
          <w:kern w:val="0"/>
          <w:sz w:val="30"/>
          <w:szCs w:val="30"/>
          <w:highlight w:val="none"/>
        </w:rPr>
      </w:pPr>
      <w:r>
        <w:rPr>
          <w:rFonts w:hint="eastAsia" w:ascii="方正仿宋_GBK" w:hAnsi="方正仿宋_GBK" w:eastAsia="方正仿宋_GBK" w:cs="方正仿宋_GBK"/>
          <w:snapToGrid w:val="0"/>
          <w:color w:val="auto"/>
          <w:kern w:val="0"/>
          <w:sz w:val="30"/>
          <w:szCs w:val="30"/>
          <w:highlight w:val="none"/>
        </w:rPr>
        <w:t>供应商（盖章）:</w:t>
      </w:r>
    </w:p>
    <w:p w14:paraId="10D63AC4">
      <w:pPr>
        <w:widowControl/>
        <w:spacing w:line="360" w:lineRule="auto"/>
        <w:ind w:firstLine="600" w:firstLineChars="200"/>
        <w:jc w:val="right"/>
        <w:rPr>
          <w:rFonts w:hint="eastAsia" w:ascii="方正仿宋_GBK" w:hAnsi="方正仿宋_GBK" w:eastAsia="方正仿宋_GBK" w:cs="方正仿宋_GBK"/>
          <w:snapToGrid w:val="0"/>
          <w:color w:val="auto"/>
          <w:kern w:val="0"/>
          <w:sz w:val="30"/>
          <w:szCs w:val="30"/>
          <w:highlight w:val="none"/>
        </w:rPr>
      </w:pPr>
      <w:r>
        <w:rPr>
          <w:rFonts w:hint="eastAsia" w:ascii="方正仿宋_GBK" w:hAnsi="方正仿宋_GBK" w:eastAsia="方正仿宋_GBK" w:cs="方正仿宋_GBK"/>
          <w:snapToGrid w:val="0"/>
          <w:color w:val="auto"/>
          <w:kern w:val="0"/>
          <w:sz w:val="30"/>
          <w:szCs w:val="30"/>
          <w:highlight w:val="none"/>
        </w:rPr>
        <w:t>日    期：   年    月    日</w:t>
      </w:r>
    </w:p>
    <w:p w14:paraId="3E9570D3">
      <w:pPr>
        <w:widowControl/>
        <w:spacing w:line="360" w:lineRule="auto"/>
        <w:ind w:firstLine="480" w:firstLineChars="200"/>
        <w:jc w:val="right"/>
        <w:rPr>
          <w:rFonts w:hint="eastAsia" w:ascii="方正黑体_GBK" w:hAnsi="方正黑体_GBK" w:eastAsia="方正黑体_GBK" w:cs="方正黑体_GBK"/>
          <w:b w:val="0"/>
          <w:bCs w:val="0"/>
          <w:snapToGrid w:val="0"/>
          <w:color w:val="auto"/>
          <w:kern w:val="0"/>
          <w:sz w:val="30"/>
          <w:szCs w:val="30"/>
          <w:highlight w:val="none"/>
        </w:rPr>
      </w:pPr>
      <w:r>
        <w:rPr>
          <w:rFonts w:hint="eastAsia" w:ascii="宋体" w:hAnsi="宋体" w:cs="宋体"/>
          <w:snapToGrid w:val="0"/>
          <w:color w:val="auto"/>
          <w:kern w:val="0"/>
          <w:sz w:val="24"/>
          <w:szCs w:val="24"/>
          <w:highlight w:val="none"/>
        </w:rPr>
        <w:br w:type="page"/>
      </w:r>
    </w:p>
    <w:p w14:paraId="3A4EAA22">
      <w:pPr>
        <w:spacing w:line="240" w:lineRule="atLeast"/>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附件3</w:t>
      </w:r>
    </w:p>
    <w:p w14:paraId="5BB0AD84">
      <w:pPr>
        <w:snapToGrid w:val="0"/>
        <w:spacing w:before="50" w:after="50" w:line="360" w:lineRule="auto"/>
        <w:ind w:firstLine="352" w:firstLineChars="98"/>
        <w:jc w:val="center"/>
        <w:rPr>
          <w:rFonts w:hint="eastAsia" w:ascii="宋体" w:hAnsi="宋体" w:cs="宋体"/>
          <w:b w:val="0"/>
          <w:bCs w:val="0"/>
          <w:color w:val="auto"/>
          <w:sz w:val="28"/>
          <w:szCs w:val="28"/>
          <w:highlight w:val="none"/>
          <w:lang w:val="zh-CN"/>
        </w:rPr>
      </w:pPr>
      <w:r>
        <w:rPr>
          <w:rFonts w:hint="eastAsia" w:ascii="方正小标宋_GBK" w:hAnsi="方正小标宋_GBK" w:eastAsia="方正小标宋_GBK" w:cs="方正小标宋_GBK"/>
          <w:b w:val="0"/>
          <w:bCs w:val="0"/>
          <w:color w:val="auto"/>
          <w:sz w:val="36"/>
          <w:szCs w:val="36"/>
          <w:highlight w:val="none"/>
          <w:lang w:val="zh-CN"/>
        </w:rPr>
        <w:t>属于监狱企业的证明文件格式</w:t>
      </w:r>
    </w:p>
    <w:p w14:paraId="56AB3386">
      <w:pPr>
        <w:widowControl/>
        <w:spacing w:line="360" w:lineRule="auto"/>
        <w:ind w:firstLine="600" w:firstLineChars="200"/>
        <w:jc w:val="left"/>
        <w:rPr>
          <w:rFonts w:hint="eastAsia" w:ascii="华文仿宋" w:hAnsi="华文仿宋" w:eastAsia="华文仿宋" w:cs="华文仿宋"/>
          <w:snapToGrid w:val="0"/>
          <w:color w:val="auto"/>
          <w:kern w:val="0"/>
          <w:sz w:val="30"/>
          <w:szCs w:val="30"/>
          <w:highlight w:val="none"/>
        </w:rPr>
      </w:pPr>
      <w:r>
        <w:rPr>
          <w:rFonts w:hint="eastAsia" w:ascii="华文仿宋" w:hAnsi="华文仿宋" w:eastAsia="华文仿宋" w:cs="华文仿宋"/>
          <w:snapToGrid w:val="0"/>
          <w:color w:val="auto"/>
          <w:kern w:val="0"/>
          <w:sz w:val="30"/>
          <w:szCs w:val="30"/>
          <w:highlight w:val="none"/>
        </w:rPr>
        <w:t>（提供由省级以上监狱管理局、戒毒管理局(含新疆生产建设兵团)出具的属于监狱企业的证明文件）</w:t>
      </w:r>
    </w:p>
    <w:p w14:paraId="27A42BE2">
      <w:pPr>
        <w:spacing w:line="240" w:lineRule="atLeast"/>
        <w:rPr>
          <w:rFonts w:hint="eastAsia" w:ascii="华文仿宋" w:hAnsi="华文仿宋" w:eastAsia="华文仿宋" w:cs="华文仿宋"/>
          <w:b/>
          <w:bCs/>
          <w:color w:val="auto"/>
          <w:sz w:val="30"/>
          <w:szCs w:val="30"/>
          <w:highlight w:val="none"/>
        </w:rPr>
      </w:pPr>
    </w:p>
    <w:p w14:paraId="13BA6302">
      <w:pPr>
        <w:pStyle w:val="23"/>
        <w:rPr>
          <w:rFonts w:hint="eastAsia"/>
          <w:color w:val="auto"/>
          <w:highlight w:val="none"/>
        </w:rPr>
      </w:pPr>
    </w:p>
    <w:p w14:paraId="054B8E02">
      <w:pPr>
        <w:spacing w:line="240" w:lineRule="atLeast"/>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r>
        <w:rPr>
          <w:rFonts w:hint="eastAsia" w:ascii="方正黑体_GBK" w:hAnsi="方正黑体_GBK" w:eastAsia="方正黑体_GBK" w:cs="方正黑体_GBK"/>
          <w:b w:val="0"/>
          <w:bCs w:val="0"/>
          <w:color w:val="auto"/>
          <w:sz w:val="30"/>
          <w:szCs w:val="30"/>
          <w:highlight w:val="none"/>
        </w:rPr>
        <w:t>附件4</w:t>
      </w:r>
    </w:p>
    <w:p w14:paraId="6AAB4DA9">
      <w:pPr>
        <w:snapToGrid w:val="0"/>
        <w:spacing w:before="50" w:after="50" w:line="360" w:lineRule="auto"/>
        <w:ind w:firstLine="352" w:firstLineChars="98"/>
        <w:jc w:val="center"/>
        <w:rPr>
          <w:rFonts w:hint="eastAsia" w:ascii="方正仿宋_GBK" w:hAnsi="方正仿宋_GBK" w:eastAsia="方正仿宋_GBK" w:cs="方正仿宋_GBK"/>
          <w:b w:val="0"/>
          <w:bCs w:val="0"/>
          <w:color w:val="auto"/>
          <w:sz w:val="36"/>
          <w:szCs w:val="36"/>
          <w:highlight w:val="none"/>
          <w:lang w:val="zh-CN"/>
        </w:rPr>
      </w:pPr>
      <w:r>
        <w:rPr>
          <w:rFonts w:hint="eastAsia" w:ascii="方正小标宋_GBK" w:hAnsi="方正小标宋_GBK" w:eastAsia="方正小标宋_GBK" w:cs="方正小标宋_GBK"/>
          <w:b w:val="0"/>
          <w:bCs w:val="0"/>
          <w:color w:val="auto"/>
          <w:sz w:val="36"/>
          <w:szCs w:val="36"/>
          <w:highlight w:val="none"/>
          <w:lang w:val="zh-CN"/>
        </w:rPr>
        <w:t>无重大违法记录声明</w:t>
      </w:r>
    </w:p>
    <w:p w14:paraId="6662BBAE">
      <w:pPr>
        <w:spacing w:line="360" w:lineRule="auto"/>
        <w:rPr>
          <w:rFonts w:hint="eastAsia" w:ascii="方正仿宋_GBK" w:hAnsi="方正仿宋_GBK" w:eastAsia="方正仿宋_GBK" w:cs="方正仿宋_GBK"/>
          <w:color w:val="auto"/>
          <w:highlight w:val="none"/>
        </w:rPr>
      </w:pPr>
    </w:p>
    <w:p w14:paraId="47E32BF6">
      <w:pPr>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u w:val="single"/>
        </w:rPr>
        <w:t xml:space="preserve">                 </w:t>
      </w:r>
      <w:r>
        <w:rPr>
          <w:rFonts w:hint="eastAsia" w:ascii="华文仿宋" w:hAnsi="华文仿宋" w:eastAsia="华文仿宋" w:cs="华文仿宋"/>
          <w:color w:val="auto"/>
          <w:sz w:val="30"/>
          <w:szCs w:val="30"/>
          <w:highlight w:val="none"/>
        </w:rPr>
        <w:t xml:space="preserve"> ：</w:t>
      </w:r>
    </w:p>
    <w:p w14:paraId="503D31A7">
      <w:pPr>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    我单位</w:t>
      </w:r>
      <w:r>
        <w:rPr>
          <w:rFonts w:hint="eastAsia" w:ascii="华文仿宋" w:hAnsi="华文仿宋" w:eastAsia="华文仿宋" w:cs="华文仿宋"/>
          <w:color w:val="auto"/>
          <w:sz w:val="30"/>
          <w:szCs w:val="30"/>
          <w:highlight w:val="none"/>
          <w:u w:val="single"/>
        </w:rPr>
        <w:t xml:space="preserve">                    （</w:t>
      </w:r>
      <w:r>
        <w:rPr>
          <w:rFonts w:hint="eastAsia" w:ascii="华文仿宋" w:hAnsi="华文仿宋" w:eastAsia="华文仿宋" w:cs="华文仿宋"/>
          <w:color w:val="auto"/>
          <w:sz w:val="30"/>
          <w:szCs w:val="30"/>
          <w:highlight w:val="none"/>
          <w:u w:val="none"/>
        </w:rPr>
        <w:t>供应商名称）</w:t>
      </w:r>
      <w:r>
        <w:rPr>
          <w:rFonts w:hint="eastAsia" w:ascii="华文仿宋" w:hAnsi="华文仿宋" w:eastAsia="华文仿宋" w:cs="华文仿宋"/>
          <w:color w:val="auto"/>
          <w:sz w:val="30"/>
          <w:szCs w:val="30"/>
          <w:highlight w:val="none"/>
        </w:rPr>
        <w:t>郑重声明：</w:t>
      </w:r>
    </w:p>
    <w:p w14:paraId="738E7BD0">
      <w:pPr>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    参加政府采购活动前3年内在经营活动中</w:t>
      </w:r>
      <w:r>
        <w:rPr>
          <w:rFonts w:hint="eastAsia" w:ascii="华文仿宋" w:hAnsi="华文仿宋" w:eastAsia="华文仿宋" w:cs="华文仿宋"/>
          <w:color w:val="auto"/>
          <w:sz w:val="30"/>
          <w:szCs w:val="30"/>
          <w:highlight w:val="none"/>
          <w:u w:val="single"/>
        </w:rPr>
        <w:t xml:space="preserve">        </w:t>
      </w:r>
      <w:r>
        <w:rPr>
          <w:rFonts w:hint="eastAsia" w:ascii="华文仿宋" w:hAnsi="华文仿宋" w:eastAsia="华文仿宋" w:cs="华文仿宋"/>
          <w:color w:val="auto"/>
          <w:sz w:val="30"/>
          <w:szCs w:val="30"/>
          <w:highlight w:val="none"/>
          <w:u w:val="none"/>
        </w:rPr>
        <w:t>（在下划线上如实填写：有或没有）</w:t>
      </w:r>
      <w:r>
        <w:rPr>
          <w:rFonts w:hint="eastAsia" w:ascii="华文仿宋" w:hAnsi="华文仿宋" w:eastAsia="华文仿宋" w:cs="华文仿宋"/>
          <w:color w:val="auto"/>
          <w:sz w:val="30"/>
          <w:szCs w:val="30"/>
          <w:highlight w:val="none"/>
        </w:rPr>
        <w:t>重大违法记录。</w:t>
      </w:r>
    </w:p>
    <w:p w14:paraId="3538C8D7">
      <w:pPr>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p>
    <w:p w14:paraId="1703DB14">
      <w:pPr>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                                    </w:t>
      </w:r>
    </w:p>
    <w:p w14:paraId="2F7F0191">
      <w:pPr>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                                            声明人：（公章）</w:t>
      </w:r>
    </w:p>
    <w:p w14:paraId="48AC46EF">
      <w:pPr>
        <w:spacing w:line="360" w:lineRule="auto"/>
        <w:rPr>
          <w:rFonts w:hint="eastAsia" w:ascii="华文仿宋" w:hAnsi="华文仿宋" w:eastAsia="华文仿宋" w:cs="华文仿宋"/>
          <w:bCs/>
          <w:color w:val="auto"/>
          <w:kern w:val="0"/>
          <w:sz w:val="30"/>
          <w:szCs w:val="30"/>
          <w:highlight w:val="none"/>
          <w:lang w:val="zh-CN"/>
        </w:rPr>
      </w:pPr>
      <w:r>
        <w:rPr>
          <w:rFonts w:hint="eastAsia" w:ascii="华文仿宋" w:hAnsi="华文仿宋" w:eastAsia="华文仿宋" w:cs="华文仿宋"/>
          <w:color w:val="auto"/>
          <w:sz w:val="30"/>
          <w:szCs w:val="30"/>
          <w:highlight w:val="none"/>
        </w:rPr>
        <w:t xml:space="preserve">                                       </w:t>
      </w:r>
      <w:r>
        <w:rPr>
          <w:rFonts w:hint="eastAsia" w:ascii="华文仿宋" w:hAnsi="华文仿宋" w:eastAsia="华文仿宋" w:cs="华文仿宋"/>
          <w:color w:val="auto"/>
          <w:sz w:val="30"/>
          <w:szCs w:val="30"/>
          <w:highlight w:val="none"/>
          <w:lang w:val="en-US" w:eastAsia="zh-CN"/>
        </w:rPr>
        <w:t xml:space="preserve">  </w:t>
      </w:r>
      <w:r>
        <w:rPr>
          <w:rFonts w:hint="eastAsia" w:ascii="华文仿宋" w:hAnsi="华文仿宋" w:eastAsia="华文仿宋" w:cs="华文仿宋"/>
          <w:color w:val="auto"/>
          <w:sz w:val="30"/>
          <w:szCs w:val="30"/>
          <w:highlight w:val="none"/>
        </w:rPr>
        <w:t xml:space="preserve">   </w:t>
      </w:r>
      <w:r>
        <w:rPr>
          <w:rFonts w:hint="eastAsia" w:ascii="华文仿宋" w:hAnsi="华文仿宋" w:eastAsia="华文仿宋" w:cs="华文仿宋"/>
          <w:snapToGrid w:val="0"/>
          <w:color w:val="auto"/>
          <w:kern w:val="0"/>
          <w:sz w:val="30"/>
          <w:szCs w:val="30"/>
          <w:highlight w:val="none"/>
        </w:rPr>
        <w:t>日期：</w:t>
      </w:r>
      <w:r>
        <w:rPr>
          <w:rFonts w:hint="eastAsia" w:ascii="华文仿宋" w:hAnsi="华文仿宋" w:eastAsia="华文仿宋" w:cs="华文仿宋"/>
          <w:bCs/>
          <w:color w:val="auto"/>
          <w:kern w:val="0"/>
          <w:sz w:val="30"/>
          <w:szCs w:val="30"/>
          <w:highlight w:val="none"/>
          <w:lang w:val="zh-CN"/>
        </w:rPr>
        <w:t>年</w:t>
      </w:r>
      <w:r>
        <w:rPr>
          <w:rFonts w:hint="eastAsia" w:ascii="华文仿宋" w:hAnsi="华文仿宋" w:eastAsia="华文仿宋" w:cs="华文仿宋"/>
          <w:bCs/>
          <w:color w:val="auto"/>
          <w:kern w:val="0"/>
          <w:sz w:val="30"/>
          <w:szCs w:val="30"/>
          <w:highlight w:val="none"/>
          <w:lang w:val="zh-CN"/>
        </w:rPr>
        <w:tab/>
      </w:r>
      <w:r>
        <w:rPr>
          <w:rFonts w:hint="eastAsia" w:ascii="华文仿宋" w:hAnsi="华文仿宋" w:eastAsia="华文仿宋" w:cs="华文仿宋"/>
          <w:bCs/>
          <w:color w:val="auto"/>
          <w:kern w:val="0"/>
          <w:sz w:val="30"/>
          <w:szCs w:val="30"/>
          <w:highlight w:val="none"/>
          <w:lang w:val="zh-CN"/>
        </w:rPr>
        <w:t>月</w:t>
      </w:r>
      <w:r>
        <w:rPr>
          <w:rFonts w:hint="eastAsia" w:ascii="华文仿宋" w:hAnsi="华文仿宋" w:eastAsia="华文仿宋" w:cs="华文仿宋"/>
          <w:bCs/>
          <w:color w:val="auto"/>
          <w:kern w:val="0"/>
          <w:sz w:val="30"/>
          <w:szCs w:val="30"/>
          <w:highlight w:val="none"/>
          <w:lang w:val="zh-CN"/>
        </w:rPr>
        <w:tab/>
      </w:r>
      <w:r>
        <w:rPr>
          <w:rFonts w:hint="eastAsia" w:ascii="华文仿宋" w:hAnsi="华文仿宋" w:eastAsia="华文仿宋" w:cs="华文仿宋"/>
          <w:bCs/>
          <w:color w:val="auto"/>
          <w:kern w:val="0"/>
          <w:sz w:val="30"/>
          <w:szCs w:val="30"/>
          <w:highlight w:val="none"/>
          <w:lang w:val="zh-CN"/>
        </w:rPr>
        <w:t>日</w:t>
      </w:r>
    </w:p>
    <w:p w14:paraId="26F60BA0">
      <w:pPr>
        <w:spacing w:line="240" w:lineRule="atLeast"/>
        <w:rPr>
          <w:rFonts w:hint="eastAsia" w:ascii="方正黑体_GBK" w:hAnsi="方正黑体_GBK" w:eastAsia="方正黑体_GBK" w:cs="方正黑体_GBK"/>
          <w:b w:val="0"/>
          <w:bCs w:val="0"/>
          <w:color w:val="auto"/>
          <w:sz w:val="30"/>
          <w:szCs w:val="30"/>
          <w:highlight w:val="none"/>
        </w:rPr>
      </w:pPr>
      <w:r>
        <w:rPr>
          <w:rFonts w:hint="eastAsia" w:ascii="华文仿宋" w:hAnsi="华文仿宋" w:eastAsia="华文仿宋" w:cs="华文仿宋"/>
          <w:bCs/>
          <w:color w:val="auto"/>
          <w:kern w:val="0"/>
          <w:sz w:val="30"/>
          <w:szCs w:val="30"/>
          <w:highlight w:val="none"/>
          <w:lang w:val="zh-CN"/>
        </w:rPr>
        <w:br w:type="page"/>
      </w:r>
    </w:p>
    <w:p w14:paraId="48E9910B">
      <w:pPr>
        <w:spacing w:line="240" w:lineRule="atLeast"/>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附件5</w:t>
      </w:r>
    </w:p>
    <w:p w14:paraId="67031BC8">
      <w:pPr>
        <w:pStyle w:val="33"/>
        <w:rPr>
          <w:rFonts w:hint="eastAsia"/>
          <w:color w:val="auto"/>
          <w:sz w:val="36"/>
          <w:szCs w:val="36"/>
          <w:highlight w:val="none"/>
        </w:rPr>
      </w:pPr>
    </w:p>
    <w:p w14:paraId="19277E8A">
      <w:pPr>
        <w:snapToGrid w:val="0"/>
        <w:spacing w:before="50" w:after="50" w:line="360" w:lineRule="auto"/>
        <w:ind w:firstLine="352" w:firstLineChars="98"/>
        <w:jc w:val="center"/>
        <w:rPr>
          <w:rFonts w:hint="eastAsia" w:ascii="方正小标宋_GBK" w:hAnsi="方正小标宋_GBK" w:eastAsia="方正小标宋_GBK" w:cs="方正小标宋_GBK"/>
          <w:b w:val="0"/>
          <w:bCs w:val="0"/>
          <w:color w:val="auto"/>
          <w:sz w:val="36"/>
          <w:szCs w:val="36"/>
          <w:highlight w:val="none"/>
          <w:lang w:val="zh-CN"/>
        </w:rPr>
      </w:pPr>
      <w:r>
        <w:rPr>
          <w:rFonts w:hint="eastAsia" w:ascii="方正小标宋_GBK" w:hAnsi="方正小标宋_GBK" w:eastAsia="方正小标宋_GBK" w:cs="方正小标宋_GBK"/>
          <w:b w:val="0"/>
          <w:bCs w:val="0"/>
          <w:color w:val="auto"/>
          <w:sz w:val="36"/>
          <w:szCs w:val="36"/>
          <w:highlight w:val="none"/>
          <w:lang w:val="zh-CN"/>
        </w:rPr>
        <w:t>具备履行合同所必需的设备和专业技术能力的声明</w:t>
      </w:r>
    </w:p>
    <w:p w14:paraId="488EF518">
      <w:pPr>
        <w:widowControl/>
        <w:kinsoku w:val="0"/>
        <w:autoSpaceDE w:val="0"/>
        <w:autoSpaceDN w:val="0"/>
        <w:adjustRightInd w:val="0"/>
        <w:snapToGrid w:val="0"/>
        <w:spacing w:line="360" w:lineRule="auto"/>
        <w:textAlignment w:val="baseline"/>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u w:val="single"/>
          <w:lang w:val="en-US" w:eastAsia="zh-CN"/>
        </w:rPr>
        <w:t xml:space="preserve">               </w:t>
      </w:r>
      <w:r>
        <w:rPr>
          <w:rFonts w:hint="eastAsia" w:ascii="方正仿宋_GBK" w:hAnsi="方正仿宋_GBK" w:eastAsia="方正仿宋_GBK" w:cs="方正仿宋_GBK"/>
          <w:color w:val="auto"/>
          <w:sz w:val="30"/>
          <w:szCs w:val="30"/>
          <w:highlight w:val="none"/>
        </w:rPr>
        <w:t xml:space="preserve"> </w:t>
      </w:r>
      <w:r>
        <w:rPr>
          <w:rFonts w:hint="eastAsia" w:ascii="方正仿宋_GBK" w:hAnsi="方正仿宋_GBK" w:eastAsia="方正仿宋_GBK" w:cs="方正仿宋_GBK"/>
          <w:color w:val="auto"/>
          <w:sz w:val="30"/>
          <w:szCs w:val="30"/>
          <w:highlight w:val="none"/>
        </w:rPr>
        <w:t>：</w:t>
      </w:r>
    </w:p>
    <w:p w14:paraId="21A19F27">
      <w:pPr>
        <w:widowControl/>
        <w:kinsoku w:val="0"/>
        <w:autoSpaceDE w:val="0"/>
        <w:autoSpaceDN w:val="0"/>
        <w:adjustRightInd w:val="0"/>
        <w:snapToGrid w:val="0"/>
        <w:spacing w:line="360" w:lineRule="auto"/>
        <w:ind w:firstLine="600" w:firstLineChars="200"/>
        <w:textAlignment w:val="baseline"/>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t xml:space="preserve">我单位 </w:t>
      </w:r>
      <w:r>
        <w:rPr>
          <w:rFonts w:hint="eastAsia" w:ascii="方正仿宋_GBK" w:hAnsi="方正仿宋_GBK" w:eastAsia="方正仿宋_GBK" w:cs="方正仿宋_GBK"/>
          <w:color w:val="auto"/>
          <w:position w:val="18"/>
          <w:sz w:val="30"/>
          <w:szCs w:val="30"/>
          <w:highlight w:val="none"/>
          <w:u w:val="single"/>
        </w:rPr>
        <w:t xml:space="preserve">      </w:t>
      </w:r>
      <w:r>
        <w:rPr>
          <w:rFonts w:hint="eastAsia" w:ascii="方正仿宋_GBK" w:hAnsi="方正仿宋_GBK" w:eastAsia="方正仿宋_GBK" w:cs="方正仿宋_GBK"/>
          <w:color w:val="auto"/>
          <w:position w:val="18"/>
          <w:sz w:val="30"/>
          <w:szCs w:val="30"/>
          <w:highlight w:val="none"/>
        </w:rPr>
        <w:t>（供应商名称）郑重声明：我公司具备履行本项采购合同所必需的设备和专业技术能力，为履行本项采购合同我单位具备如下主要设备和主要专业技术能力：</w:t>
      </w:r>
    </w:p>
    <w:p w14:paraId="757E982F">
      <w:pPr>
        <w:widowControl/>
        <w:kinsoku w:val="0"/>
        <w:autoSpaceDE w:val="0"/>
        <w:autoSpaceDN w:val="0"/>
        <w:adjustRightInd w:val="0"/>
        <w:snapToGrid w:val="0"/>
        <w:spacing w:line="360" w:lineRule="auto"/>
        <w:textAlignment w:val="baseline"/>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主要设备有：</w:t>
      </w:r>
    </w:p>
    <w:p w14:paraId="0812F64F">
      <w:pPr>
        <w:widowControl/>
        <w:kinsoku w:val="0"/>
        <w:autoSpaceDE w:val="0"/>
        <w:autoSpaceDN w:val="0"/>
        <w:adjustRightInd w:val="0"/>
        <w:snapToGrid w:val="0"/>
        <w:spacing w:line="360" w:lineRule="auto"/>
        <w:jc w:val="left"/>
        <w:textAlignment w:val="baseline"/>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主要专业技术能力有：</w:t>
      </w:r>
    </w:p>
    <w:p w14:paraId="0C53C47F">
      <w:pPr>
        <w:widowControl/>
        <w:kinsoku w:val="0"/>
        <w:autoSpaceDE w:val="0"/>
        <w:autoSpaceDN w:val="0"/>
        <w:adjustRightInd w:val="0"/>
        <w:snapToGrid w:val="0"/>
        <w:spacing w:line="360" w:lineRule="auto"/>
        <w:ind w:firstLine="6000" w:firstLineChars="2000"/>
        <w:textAlignment w:val="baseline"/>
        <w:rPr>
          <w:rFonts w:hint="eastAsia" w:ascii="方正仿宋_GBK" w:hAnsi="方正仿宋_GBK" w:eastAsia="方正仿宋_GBK" w:cs="方正仿宋_GBK"/>
          <w:color w:val="auto"/>
          <w:sz w:val="30"/>
          <w:szCs w:val="30"/>
          <w:highlight w:val="none"/>
        </w:rPr>
      </w:pPr>
    </w:p>
    <w:p w14:paraId="5BDAAF47">
      <w:pPr>
        <w:widowControl/>
        <w:kinsoku w:val="0"/>
        <w:autoSpaceDE w:val="0"/>
        <w:autoSpaceDN w:val="0"/>
        <w:adjustRightInd w:val="0"/>
        <w:snapToGrid w:val="0"/>
        <w:spacing w:line="360" w:lineRule="auto"/>
        <w:ind w:firstLine="6000" w:firstLineChars="2000"/>
        <w:textAlignment w:val="baseline"/>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声明人：（公章）</w:t>
      </w:r>
    </w:p>
    <w:p w14:paraId="1B21A5C5">
      <w:pPr>
        <w:pStyle w:val="33"/>
        <w:spacing w:line="360" w:lineRule="auto"/>
        <w:ind w:firstLine="5421" w:firstLineChars="1807"/>
        <w:rPr>
          <w:rFonts w:hint="eastAsia" w:ascii="方正仿宋_GBK" w:hAnsi="方正仿宋_GBK" w:eastAsia="方正仿宋_GBK" w:cs="方正仿宋_GBK"/>
          <w:bCs w:val="0"/>
          <w:color w:val="auto"/>
          <w:kern w:val="2"/>
          <w:position w:val="18"/>
          <w:sz w:val="30"/>
          <w:szCs w:val="30"/>
          <w:highlight w:val="none"/>
          <w:lang w:val="en-US"/>
        </w:rPr>
      </w:pPr>
      <w:r>
        <w:rPr>
          <w:rFonts w:hint="eastAsia" w:ascii="方正仿宋_GBK" w:hAnsi="方正仿宋_GBK" w:eastAsia="方正仿宋_GBK" w:cs="方正仿宋_GBK"/>
          <w:color w:val="auto"/>
          <w:position w:val="18"/>
          <w:sz w:val="30"/>
          <w:szCs w:val="30"/>
          <w:highlight w:val="none"/>
        </w:rPr>
        <w:t>日期：</w:t>
      </w:r>
      <w:r>
        <w:rPr>
          <w:rFonts w:hint="eastAsia" w:ascii="方正仿宋_GBK" w:hAnsi="方正仿宋_GBK" w:eastAsia="方正仿宋_GBK" w:cs="方正仿宋_GBK"/>
          <w:bCs w:val="0"/>
          <w:color w:val="auto"/>
          <w:kern w:val="2"/>
          <w:position w:val="18"/>
          <w:sz w:val="30"/>
          <w:szCs w:val="30"/>
          <w:highlight w:val="none"/>
          <w:lang w:val="en-US"/>
        </w:rPr>
        <w:t>年</w:t>
      </w:r>
      <w:r>
        <w:rPr>
          <w:rFonts w:hint="eastAsia" w:ascii="方正仿宋_GBK" w:hAnsi="方正仿宋_GBK" w:eastAsia="方正仿宋_GBK" w:cs="方正仿宋_GBK"/>
          <w:bCs w:val="0"/>
          <w:color w:val="auto"/>
          <w:kern w:val="2"/>
          <w:position w:val="18"/>
          <w:sz w:val="30"/>
          <w:szCs w:val="30"/>
          <w:highlight w:val="none"/>
          <w:lang w:val="en-US"/>
        </w:rPr>
        <w:tab/>
      </w:r>
      <w:r>
        <w:rPr>
          <w:rFonts w:hint="eastAsia" w:ascii="方正仿宋_GBK" w:hAnsi="方正仿宋_GBK" w:eastAsia="方正仿宋_GBK" w:cs="方正仿宋_GBK"/>
          <w:bCs w:val="0"/>
          <w:color w:val="auto"/>
          <w:kern w:val="2"/>
          <w:position w:val="18"/>
          <w:sz w:val="30"/>
          <w:szCs w:val="30"/>
          <w:highlight w:val="none"/>
          <w:lang w:val="en-US"/>
        </w:rPr>
        <w:t>月</w:t>
      </w:r>
      <w:r>
        <w:rPr>
          <w:rFonts w:hint="eastAsia" w:ascii="方正仿宋_GBK" w:hAnsi="方正仿宋_GBK" w:eastAsia="方正仿宋_GBK" w:cs="方正仿宋_GBK"/>
          <w:bCs w:val="0"/>
          <w:color w:val="auto"/>
          <w:kern w:val="2"/>
          <w:position w:val="18"/>
          <w:sz w:val="30"/>
          <w:szCs w:val="30"/>
          <w:highlight w:val="none"/>
          <w:lang w:val="en-US"/>
        </w:rPr>
        <w:tab/>
      </w:r>
      <w:r>
        <w:rPr>
          <w:rFonts w:hint="eastAsia" w:ascii="方正仿宋_GBK" w:hAnsi="方正仿宋_GBK" w:eastAsia="方正仿宋_GBK" w:cs="方正仿宋_GBK"/>
          <w:bCs w:val="0"/>
          <w:color w:val="auto"/>
          <w:kern w:val="2"/>
          <w:position w:val="18"/>
          <w:sz w:val="30"/>
          <w:szCs w:val="30"/>
          <w:highlight w:val="none"/>
          <w:lang w:val="en-US" w:eastAsia="zh-CN"/>
        </w:rPr>
        <w:t xml:space="preserve">  </w:t>
      </w:r>
      <w:r>
        <w:rPr>
          <w:rFonts w:hint="eastAsia" w:ascii="方正仿宋_GBK" w:hAnsi="方正仿宋_GBK" w:eastAsia="方正仿宋_GBK" w:cs="方正仿宋_GBK"/>
          <w:bCs w:val="0"/>
          <w:color w:val="auto"/>
          <w:kern w:val="2"/>
          <w:position w:val="18"/>
          <w:sz w:val="30"/>
          <w:szCs w:val="30"/>
          <w:highlight w:val="none"/>
          <w:lang w:val="en-US"/>
        </w:rPr>
        <w:t>日</w:t>
      </w:r>
    </w:p>
    <w:p w14:paraId="228316E5">
      <w:pPr>
        <w:spacing w:line="240" w:lineRule="atLeast"/>
        <w:rPr>
          <w:rFonts w:hint="eastAsia" w:ascii="方正黑体_GBK" w:hAnsi="方正黑体_GBK" w:eastAsia="方正黑体_GBK" w:cs="方正黑体_GBK"/>
          <w:b w:val="0"/>
          <w:bCs w:val="0"/>
          <w:color w:val="auto"/>
          <w:sz w:val="30"/>
          <w:szCs w:val="30"/>
          <w:highlight w:val="none"/>
        </w:rPr>
      </w:pPr>
    </w:p>
    <w:p w14:paraId="1ED75F3C">
      <w:pPr>
        <w:spacing w:line="240" w:lineRule="atLeast"/>
        <w:rPr>
          <w:rFonts w:hint="eastAsia" w:ascii="方正黑体_GBK" w:hAnsi="方正黑体_GBK" w:eastAsia="方正黑体_GBK" w:cs="方正黑体_GBK"/>
          <w:b w:val="0"/>
          <w:bCs w:val="0"/>
          <w:color w:val="auto"/>
          <w:sz w:val="30"/>
          <w:szCs w:val="30"/>
          <w:highlight w:val="none"/>
        </w:rPr>
      </w:pPr>
    </w:p>
    <w:p w14:paraId="3D00403E">
      <w:pPr>
        <w:spacing w:line="240" w:lineRule="atLeast"/>
        <w:rPr>
          <w:rFonts w:hint="eastAsia" w:ascii="方正黑体_GBK" w:hAnsi="方正黑体_GBK" w:eastAsia="方正黑体_GBK" w:cs="方正黑体_GBK"/>
          <w:b w:val="0"/>
          <w:bCs w:val="0"/>
          <w:color w:val="auto"/>
          <w:sz w:val="30"/>
          <w:szCs w:val="30"/>
          <w:highlight w:val="none"/>
        </w:rPr>
      </w:pPr>
    </w:p>
    <w:p w14:paraId="2AEF87DA">
      <w:pPr>
        <w:spacing w:line="240" w:lineRule="atLeast"/>
        <w:rPr>
          <w:rFonts w:hint="eastAsia" w:ascii="方正黑体_GBK" w:hAnsi="方正黑体_GBK" w:eastAsia="方正黑体_GBK" w:cs="方正黑体_GBK"/>
          <w:b w:val="0"/>
          <w:bCs w:val="0"/>
          <w:color w:val="auto"/>
          <w:sz w:val="30"/>
          <w:szCs w:val="30"/>
          <w:highlight w:val="none"/>
        </w:rPr>
      </w:pPr>
    </w:p>
    <w:p w14:paraId="45F35378">
      <w:pPr>
        <w:spacing w:line="240" w:lineRule="atLeast"/>
        <w:rPr>
          <w:rFonts w:hint="eastAsia" w:ascii="方正黑体_GBK" w:hAnsi="方正黑体_GBK" w:eastAsia="方正黑体_GBK" w:cs="方正黑体_GBK"/>
          <w:b w:val="0"/>
          <w:bCs w:val="0"/>
          <w:color w:val="auto"/>
          <w:sz w:val="30"/>
          <w:szCs w:val="30"/>
          <w:highlight w:val="none"/>
        </w:rPr>
      </w:pPr>
    </w:p>
    <w:p w14:paraId="362ED0A2">
      <w:pPr>
        <w:spacing w:line="240" w:lineRule="atLeast"/>
        <w:rPr>
          <w:rFonts w:hint="eastAsia" w:ascii="方正黑体_GBK" w:hAnsi="方正黑体_GBK" w:eastAsia="方正黑体_GBK" w:cs="方正黑体_GBK"/>
          <w:b w:val="0"/>
          <w:bCs w:val="0"/>
          <w:color w:val="auto"/>
          <w:sz w:val="30"/>
          <w:szCs w:val="30"/>
          <w:highlight w:val="none"/>
        </w:rPr>
      </w:pPr>
    </w:p>
    <w:p w14:paraId="078BAE20">
      <w:pPr>
        <w:spacing w:line="240" w:lineRule="atLeast"/>
        <w:rPr>
          <w:rFonts w:hint="eastAsia" w:ascii="方正黑体_GBK" w:hAnsi="方正黑体_GBK" w:eastAsia="方正黑体_GBK" w:cs="方正黑体_GBK"/>
          <w:b w:val="0"/>
          <w:bCs w:val="0"/>
          <w:color w:val="auto"/>
          <w:sz w:val="30"/>
          <w:szCs w:val="30"/>
          <w:highlight w:val="none"/>
        </w:rPr>
      </w:pPr>
    </w:p>
    <w:p w14:paraId="2CD81CE3">
      <w:pPr>
        <w:spacing w:line="240" w:lineRule="atLeast"/>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br w:type="page"/>
      </w:r>
    </w:p>
    <w:p w14:paraId="55095288">
      <w:pPr>
        <w:spacing w:line="240" w:lineRule="atLeast"/>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附件</w:t>
      </w:r>
      <w:r>
        <w:rPr>
          <w:rFonts w:hint="eastAsia" w:ascii="方正黑体_GBK" w:hAnsi="方正黑体_GBK" w:eastAsia="方正黑体_GBK" w:cs="方正黑体_GBK"/>
          <w:b w:val="0"/>
          <w:bCs w:val="0"/>
          <w:color w:val="auto"/>
          <w:sz w:val="30"/>
          <w:szCs w:val="30"/>
          <w:highlight w:val="none"/>
          <w:lang w:val="en-US" w:eastAsia="zh-CN"/>
        </w:rPr>
        <w:t>6</w:t>
      </w:r>
    </w:p>
    <w:p w14:paraId="55BF32EE">
      <w:pPr>
        <w:pStyle w:val="33"/>
        <w:ind w:left="0" w:leftChars="0" w:firstLine="0" w:firstLineChars="0"/>
        <w:jc w:val="center"/>
        <w:rPr>
          <w:rFonts w:hint="eastAsia" w:ascii="方正小标宋_GBK" w:hAnsi="方正小标宋_GBK" w:eastAsia="方正小标宋_GBK" w:cs="方正小标宋_GBK"/>
          <w:b w:val="0"/>
          <w:bCs w:val="0"/>
          <w:color w:val="auto"/>
          <w:sz w:val="36"/>
          <w:szCs w:val="36"/>
          <w:highlight w:val="none"/>
          <w:lang w:val="zh-CN" w:eastAsia="zh-CN"/>
        </w:rPr>
      </w:pPr>
      <w:r>
        <w:rPr>
          <w:rFonts w:hint="eastAsia" w:ascii="方正小标宋_GBK" w:hAnsi="方正小标宋_GBK" w:eastAsia="方正小标宋_GBK" w:cs="方正小标宋_GBK"/>
          <w:b w:val="0"/>
          <w:bCs w:val="0"/>
          <w:color w:val="auto"/>
          <w:sz w:val="36"/>
          <w:szCs w:val="36"/>
          <w:highlight w:val="none"/>
          <w:lang w:val="zh-CN" w:eastAsia="zh-CN"/>
        </w:rPr>
        <w:t>承诺书</w:t>
      </w:r>
    </w:p>
    <w:p w14:paraId="12AB6EF6">
      <w:pPr>
        <w:widowControl/>
        <w:kinsoku w:val="0"/>
        <w:autoSpaceDE w:val="0"/>
        <w:autoSpaceDN w:val="0"/>
        <w:adjustRightInd w:val="0"/>
        <w:snapToGrid w:val="0"/>
        <w:spacing w:line="560" w:lineRule="exact"/>
        <w:ind w:firstLine="600" w:firstLineChars="200"/>
        <w:textAlignment w:val="baseline"/>
        <w:rPr>
          <w:rFonts w:hint="eastAsia" w:ascii="方正仿宋_GBK" w:hAnsi="方正仿宋_GBK" w:eastAsia="方正仿宋_GBK" w:cs="方正仿宋_GBK"/>
          <w:bCs w:val="0"/>
          <w:color w:val="auto"/>
          <w:kern w:val="2"/>
          <w:position w:val="18"/>
          <w:sz w:val="30"/>
          <w:szCs w:val="30"/>
          <w:highlight w:val="none"/>
          <w:u w:val="single"/>
          <w:lang w:val="en-US"/>
        </w:rPr>
      </w:pPr>
    </w:p>
    <w:p w14:paraId="616B6872">
      <w:pPr>
        <w:spacing w:line="560" w:lineRule="exact"/>
        <w:ind w:firstLine="600" w:firstLineChars="200"/>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u w:val="single"/>
        </w:rPr>
        <w:t xml:space="preserve"> </w:t>
      </w:r>
      <w:r>
        <w:rPr>
          <w:rFonts w:hint="eastAsia" w:ascii="方正仿宋_GBK" w:hAnsi="方正仿宋_GBK" w:eastAsia="方正仿宋_GBK" w:cs="方正仿宋_GBK"/>
          <w:color w:val="auto"/>
          <w:position w:val="18"/>
          <w:sz w:val="30"/>
          <w:szCs w:val="30"/>
          <w:highlight w:val="none"/>
          <w:u w:val="single"/>
          <w:lang w:val="en-US" w:eastAsia="zh-CN"/>
        </w:rPr>
        <w:t xml:space="preserve">               </w:t>
      </w:r>
      <w:r>
        <w:rPr>
          <w:rFonts w:hint="eastAsia" w:ascii="方正仿宋_GBK" w:hAnsi="方正仿宋_GBK" w:eastAsia="方正仿宋_GBK" w:cs="方正仿宋_GBK"/>
          <w:i w:val="0"/>
          <w:iCs w:val="0"/>
          <w:color w:val="auto"/>
          <w:position w:val="18"/>
          <w:sz w:val="30"/>
          <w:szCs w:val="30"/>
          <w:highlight w:val="none"/>
          <w:lang w:val="en-US" w:eastAsia="zh-CN"/>
        </w:rPr>
        <w:t>（采购人）</w:t>
      </w:r>
      <w:r>
        <w:rPr>
          <w:rFonts w:hint="eastAsia" w:ascii="方正仿宋_GBK" w:hAnsi="方正仿宋_GBK" w:eastAsia="方正仿宋_GBK" w:cs="方正仿宋_GBK"/>
          <w:i w:val="0"/>
          <w:iCs w:val="0"/>
          <w:color w:val="auto"/>
          <w:position w:val="18"/>
          <w:sz w:val="30"/>
          <w:szCs w:val="30"/>
          <w:highlight w:val="none"/>
          <w:u w:val="single"/>
        </w:rPr>
        <w:t xml:space="preserve"> </w:t>
      </w:r>
      <w:r>
        <w:rPr>
          <w:rFonts w:hint="eastAsia" w:ascii="方正仿宋_GBK" w:hAnsi="方正仿宋_GBK" w:eastAsia="方正仿宋_GBK" w:cs="方正仿宋_GBK"/>
          <w:color w:val="auto"/>
          <w:position w:val="18"/>
          <w:sz w:val="30"/>
          <w:szCs w:val="30"/>
          <w:highlight w:val="none"/>
          <w:u w:val="single"/>
          <w:lang w:val="en-US" w:eastAsia="zh-CN"/>
        </w:rPr>
        <w:t xml:space="preserve">            </w:t>
      </w:r>
      <w:r>
        <w:rPr>
          <w:rFonts w:hint="eastAsia" w:ascii="方正仿宋_GBK" w:hAnsi="方正仿宋_GBK" w:eastAsia="方正仿宋_GBK" w:cs="方正仿宋_GBK"/>
          <w:color w:val="auto"/>
          <w:position w:val="18"/>
          <w:sz w:val="30"/>
          <w:szCs w:val="30"/>
          <w:highlight w:val="none"/>
          <w:u w:val="single"/>
          <w:lang w:val="en-US" w:eastAsia="zh-CN"/>
        </w:rPr>
        <w:t xml:space="preserve"> </w:t>
      </w:r>
      <w:r>
        <w:rPr>
          <w:rFonts w:hint="eastAsia" w:ascii="方正仿宋_GBK" w:hAnsi="方正仿宋_GBK" w:eastAsia="方正仿宋_GBK" w:cs="方正仿宋_GBK"/>
          <w:color w:val="auto"/>
          <w:position w:val="18"/>
          <w:sz w:val="30"/>
          <w:szCs w:val="30"/>
          <w:highlight w:val="none"/>
          <w:u w:val="none"/>
          <w:lang w:val="en-US" w:eastAsia="zh-CN"/>
        </w:rPr>
        <w:t xml:space="preserve"> （</w:t>
      </w:r>
      <w:r>
        <w:rPr>
          <w:rFonts w:hint="eastAsia" w:ascii="方正仿宋_GBK" w:hAnsi="方正仿宋_GBK" w:eastAsia="方正仿宋_GBK" w:cs="方正仿宋_GBK"/>
          <w:color w:val="auto"/>
          <w:position w:val="18"/>
          <w:sz w:val="30"/>
          <w:szCs w:val="30"/>
          <w:highlight w:val="none"/>
          <w:lang w:val="en-US" w:eastAsia="zh-CN"/>
        </w:rPr>
        <w:t>代理人）</w:t>
      </w:r>
      <w:r>
        <w:rPr>
          <w:rFonts w:hint="eastAsia" w:ascii="方正仿宋_GBK" w:hAnsi="方正仿宋_GBK" w:eastAsia="方正仿宋_GBK" w:cs="方正仿宋_GBK"/>
          <w:color w:val="auto"/>
          <w:position w:val="18"/>
          <w:sz w:val="30"/>
          <w:szCs w:val="30"/>
          <w:highlight w:val="none"/>
        </w:rPr>
        <w:t>：</w:t>
      </w:r>
    </w:p>
    <w:p w14:paraId="1E863B11">
      <w:pPr>
        <w:keepNext w:val="0"/>
        <w:keepLines w:val="0"/>
        <w:pageBreakBefore w:val="0"/>
        <w:wordWrap/>
        <w:overflowPunct/>
        <w:topLinePunct w:val="0"/>
        <w:bidi w:val="0"/>
        <w:spacing w:line="560" w:lineRule="exact"/>
        <w:ind w:firstLine="600" w:firstLineChars="200"/>
        <w:rPr>
          <w:rFonts w:hint="eastAsia" w:ascii="方正仿宋_GBK" w:hAnsi="方正仿宋_GBK" w:eastAsia="方正仿宋_GBK" w:cs="方正仿宋_GBK"/>
          <w:bCs w:val="0"/>
          <w:color w:val="auto"/>
          <w:kern w:val="2"/>
          <w:position w:val="18"/>
          <w:sz w:val="30"/>
          <w:szCs w:val="30"/>
          <w:highlight w:val="none"/>
          <w:lang w:val="en-US"/>
        </w:rPr>
      </w:pPr>
      <w:r>
        <w:rPr>
          <w:rFonts w:hint="eastAsia" w:ascii="方正仿宋_GBK" w:hAnsi="方正仿宋_GBK" w:eastAsia="方正仿宋_GBK" w:cs="方正仿宋_GBK"/>
          <w:color w:val="auto"/>
          <w:position w:val="18"/>
          <w:sz w:val="30"/>
          <w:szCs w:val="30"/>
          <w:highlight w:val="none"/>
        </w:rPr>
        <w:t>我单位</w:t>
      </w:r>
      <w:r>
        <w:rPr>
          <w:rFonts w:hint="eastAsia" w:ascii="方正仿宋_GBK" w:hAnsi="方正仿宋_GBK" w:eastAsia="方正仿宋_GBK" w:cs="方正仿宋_GBK"/>
          <w:color w:val="auto"/>
          <w:position w:val="18"/>
          <w:sz w:val="30"/>
          <w:szCs w:val="30"/>
          <w:highlight w:val="none"/>
          <w:u w:val="none"/>
        </w:rPr>
        <w:t xml:space="preserve"> </w:t>
      </w:r>
      <w:r>
        <w:rPr>
          <w:rFonts w:hint="eastAsia" w:ascii="方正仿宋_GBK" w:hAnsi="方正仿宋_GBK" w:eastAsia="方正仿宋_GBK" w:cs="方正仿宋_GBK"/>
          <w:color w:val="auto"/>
          <w:position w:val="18"/>
          <w:sz w:val="30"/>
          <w:szCs w:val="30"/>
          <w:highlight w:val="none"/>
          <w:u w:val="single"/>
        </w:rPr>
        <w:t xml:space="preserve">                       </w:t>
      </w:r>
      <w:r>
        <w:rPr>
          <w:rFonts w:hint="eastAsia" w:ascii="方正仿宋_GBK" w:hAnsi="方正仿宋_GBK" w:eastAsia="方正仿宋_GBK" w:cs="方正仿宋_GBK"/>
          <w:color w:val="auto"/>
          <w:position w:val="18"/>
          <w:sz w:val="30"/>
          <w:szCs w:val="30"/>
          <w:highlight w:val="none"/>
          <w:u w:val="none"/>
        </w:rPr>
        <w:t xml:space="preserve"> （供应商名称）</w:t>
      </w:r>
      <w:r>
        <w:rPr>
          <w:rFonts w:hint="eastAsia" w:ascii="方正仿宋_GBK" w:hAnsi="方正仿宋_GBK" w:eastAsia="方正仿宋_GBK" w:cs="方正仿宋_GBK"/>
          <w:color w:val="auto"/>
          <w:position w:val="18"/>
          <w:sz w:val="30"/>
          <w:szCs w:val="30"/>
          <w:highlight w:val="none"/>
          <w:lang w:eastAsia="zh-CN"/>
        </w:rPr>
        <w:t>承诺，不存在以下情况</w:t>
      </w:r>
      <w:r>
        <w:rPr>
          <w:rFonts w:hint="eastAsia" w:ascii="方正仿宋_GBK" w:hAnsi="方正仿宋_GBK" w:eastAsia="方正仿宋_GBK" w:cs="方正仿宋_GBK"/>
          <w:color w:val="auto"/>
          <w:position w:val="18"/>
          <w:sz w:val="30"/>
          <w:szCs w:val="30"/>
          <w:highlight w:val="none"/>
        </w:rPr>
        <w:t>：</w:t>
      </w:r>
    </w:p>
    <w:p w14:paraId="4A9951C3">
      <w:pPr>
        <w:keepNext w:val="0"/>
        <w:keepLines w:val="0"/>
        <w:pageBreakBefore w:val="0"/>
        <w:widowControl/>
        <w:kinsoku w:val="0"/>
        <w:wordWrap/>
        <w:overflowPunct/>
        <w:topLinePunct w:val="0"/>
        <w:autoSpaceDE w:val="0"/>
        <w:autoSpaceDN w:val="0"/>
        <w:bidi w:val="0"/>
        <w:adjustRightInd w:val="0"/>
        <w:snapToGrid w:val="0"/>
        <w:spacing w:line="560" w:lineRule="exact"/>
        <w:ind w:firstLine="600" w:firstLineChars="200"/>
        <w:textAlignment w:val="baseline"/>
        <w:rPr>
          <w:rFonts w:hint="eastAsia" w:ascii="方正仿宋_GBK" w:hAnsi="方正仿宋_GBK" w:eastAsia="方正仿宋_GBK" w:cs="方正仿宋_GBK"/>
          <w:color w:val="auto"/>
          <w:position w:val="18"/>
          <w:sz w:val="30"/>
          <w:szCs w:val="30"/>
          <w:highlight w:val="none"/>
          <w:lang w:val="en-US"/>
        </w:rPr>
      </w:pPr>
      <w:r>
        <w:rPr>
          <w:rFonts w:hint="eastAsia" w:ascii="方正仿宋_GBK" w:hAnsi="方正仿宋_GBK" w:eastAsia="方正仿宋_GBK" w:cs="方正仿宋_GBK"/>
          <w:color w:val="auto"/>
          <w:position w:val="18"/>
          <w:sz w:val="30"/>
          <w:szCs w:val="30"/>
          <w:highlight w:val="none"/>
          <w:lang w:val="en-US" w:eastAsia="zh-CN"/>
        </w:rPr>
        <w:t>1、</w:t>
      </w:r>
      <w:r>
        <w:rPr>
          <w:rFonts w:hint="eastAsia" w:ascii="方正仿宋_GBK" w:hAnsi="方正仿宋_GBK" w:eastAsia="方正仿宋_GBK" w:cs="方正仿宋_GBK"/>
          <w:color w:val="auto"/>
          <w:position w:val="18"/>
          <w:sz w:val="30"/>
          <w:szCs w:val="30"/>
          <w:highlight w:val="none"/>
          <w:lang w:val="en-US"/>
        </w:rPr>
        <w:t>供应商单位负责人为同一人或者存在直接控股、管理关系的不同供应商，不得参加同一合同项下的政府采购活动。</w:t>
      </w:r>
    </w:p>
    <w:p w14:paraId="2F1D58BA">
      <w:pPr>
        <w:keepNext w:val="0"/>
        <w:keepLines w:val="0"/>
        <w:pageBreakBefore w:val="0"/>
        <w:widowControl/>
        <w:kinsoku w:val="0"/>
        <w:wordWrap/>
        <w:overflowPunct/>
        <w:topLinePunct w:val="0"/>
        <w:autoSpaceDE w:val="0"/>
        <w:autoSpaceDN w:val="0"/>
        <w:bidi w:val="0"/>
        <w:adjustRightInd w:val="0"/>
        <w:snapToGrid w:val="0"/>
        <w:spacing w:line="560" w:lineRule="exact"/>
        <w:ind w:firstLine="600" w:firstLineChars="200"/>
        <w:textAlignment w:val="baseline"/>
        <w:rPr>
          <w:rFonts w:hint="eastAsia" w:ascii="方正仿宋_GBK" w:hAnsi="方正仿宋_GBK" w:eastAsia="方正仿宋_GBK" w:cs="方正仿宋_GBK"/>
          <w:color w:val="auto"/>
          <w:position w:val="18"/>
          <w:sz w:val="30"/>
          <w:szCs w:val="30"/>
          <w:highlight w:val="none"/>
          <w:lang w:val="en-US"/>
        </w:rPr>
      </w:pPr>
      <w:r>
        <w:rPr>
          <w:rFonts w:hint="eastAsia" w:ascii="方正仿宋_GBK" w:hAnsi="方正仿宋_GBK" w:eastAsia="方正仿宋_GBK" w:cs="方正仿宋_GBK"/>
          <w:color w:val="auto"/>
          <w:position w:val="18"/>
          <w:sz w:val="30"/>
          <w:szCs w:val="30"/>
          <w:highlight w:val="none"/>
          <w:lang w:val="en-US" w:eastAsia="zh-CN"/>
        </w:rPr>
        <w:t>2、</w:t>
      </w:r>
      <w:r>
        <w:rPr>
          <w:rFonts w:hint="eastAsia" w:ascii="方正仿宋_GBK" w:hAnsi="方正仿宋_GBK" w:eastAsia="方正仿宋_GBK" w:cs="方正仿宋_GBK"/>
          <w:color w:val="auto"/>
          <w:position w:val="18"/>
          <w:sz w:val="30"/>
          <w:szCs w:val="30"/>
          <w:highlight w:val="none"/>
          <w:lang w:val="en-US"/>
        </w:rPr>
        <w:t>凡为采购项目提供整体设计、规范编制或者项目管理、监理、检测等服务的供应商，不得再参加本项目的采购活动。</w:t>
      </w:r>
    </w:p>
    <w:p w14:paraId="5F4ACCB3">
      <w:pPr>
        <w:keepNext w:val="0"/>
        <w:keepLines w:val="0"/>
        <w:pageBreakBefore w:val="0"/>
        <w:widowControl/>
        <w:kinsoku w:val="0"/>
        <w:wordWrap/>
        <w:overflowPunct/>
        <w:topLinePunct w:val="0"/>
        <w:autoSpaceDE w:val="0"/>
        <w:autoSpaceDN w:val="0"/>
        <w:bidi w:val="0"/>
        <w:adjustRightInd w:val="0"/>
        <w:snapToGrid w:val="0"/>
        <w:spacing w:line="560" w:lineRule="exact"/>
        <w:ind w:firstLine="600" w:firstLineChars="200"/>
        <w:textAlignment w:val="baseline"/>
        <w:rPr>
          <w:rFonts w:hint="eastAsia" w:ascii="方正仿宋_GBK" w:hAnsi="方正仿宋_GBK" w:eastAsia="方正仿宋_GBK" w:cs="方正仿宋_GBK"/>
          <w:color w:val="auto"/>
          <w:position w:val="18"/>
          <w:sz w:val="30"/>
          <w:szCs w:val="30"/>
          <w:highlight w:val="none"/>
          <w:lang w:val="en-US"/>
        </w:rPr>
      </w:pPr>
      <w:r>
        <w:rPr>
          <w:rFonts w:hint="eastAsia" w:ascii="方正仿宋_GBK" w:hAnsi="方正仿宋_GBK" w:eastAsia="方正仿宋_GBK" w:cs="方正仿宋_GBK"/>
          <w:color w:val="auto"/>
          <w:position w:val="18"/>
          <w:sz w:val="30"/>
          <w:szCs w:val="30"/>
          <w:highlight w:val="none"/>
          <w:lang w:val="en-US" w:eastAsia="zh-CN"/>
        </w:rPr>
        <w:t>3、</w:t>
      </w:r>
      <w:r>
        <w:rPr>
          <w:rFonts w:hint="eastAsia" w:ascii="方正仿宋_GBK" w:hAnsi="方正仿宋_GBK" w:eastAsia="方正仿宋_GBK" w:cs="方正仿宋_GBK"/>
          <w:color w:val="auto"/>
          <w:position w:val="18"/>
          <w:sz w:val="30"/>
          <w:szCs w:val="30"/>
          <w:highlight w:val="none"/>
          <w:lang w:val="en-US"/>
        </w:rPr>
        <w:t>被“信用中国”网站（www.creditchina.gov.cn）、“中国政府采购网"(www.ccgp.gov.cn)列入失信被执行人、重大税收违法案件当事人名单、政府采购严重违法失信行为记录名单。</w:t>
      </w:r>
    </w:p>
    <w:p w14:paraId="26D9BF6D">
      <w:pPr>
        <w:spacing w:line="360" w:lineRule="auto"/>
        <w:jc w:val="right"/>
        <w:rPr>
          <w:rFonts w:hint="eastAsia" w:ascii="方正仿宋_GBK" w:hAnsi="方正仿宋_GBK" w:eastAsia="方正仿宋_GBK" w:cs="方正仿宋_GBK"/>
          <w:color w:val="auto"/>
          <w:position w:val="18"/>
          <w:sz w:val="30"/>
          <w:szCs w:val="30"/>
          <w:highlight w:val="none"/>
          <w:lang w:eastAsia="zh-CN"/>
        </w:rPr>
      </w:pPr>
    </w:p>
    <w:p w14:paraId="77683310">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olor w:val="auto"/>
          <w:position w:val="18"/>
          <w:sz w:val="30"/>
          <w:szCs w:val="30"/>
          <w:highlight w:val="none"/>
          <w:lang w:eastAsia="zh-CN"/>
        </w:rPr>
      </w:pPr>
    </w:p>
    <w:p w14:paraId="3D68E306">
      <w:pPr>
        <w:widowControl/>
        <w:kinsoku w:val="0"/>
        <w:autoSpaceDE w:val="0"/>
        <w:autoSpaceDN w:val="0"/>
        <w:adjustRightInd w:val="0"/>
        <w:snapToGrid w:val="0"/>
        <w:spacing w:line="560" w:lineRule="exact"/>
        <w:ind w:firstLine="5700" w:firstLineChars="1900"/>
        <w:jc w:val="left"/>
        <w:textAlignment w:val="baseline"/>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lang w:eastAsia="zh-CN"/>
        </w:rPr>
        <w:t>承诺</w:t>
      </w:r>
      <w:r>
        <w:rPr>
          <w:rFonts w:hint="eastAsia" w:ascii="方正仿宋_GBK" w:hAnsi="方正仿宋_GBK" w:eastAsia="方正仿宋_GBK" w:cs="方正仿宋_GBK"/>
          <w:color w:val="auto"/>
          <w:position w:val="18"/>
          <w:sz w:val="30"/>
          <w:szCs w:val="30"/>
          <w:highlight w:val="none"/>
        </w:rPr>
        <w:t>人：（公章）</w:t>
      </w:r>
    </w:p>
    <w:p w14:paraId="0ACEA73B">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t xml:space="preserve">                             </w:t>
      </w:r>
      <w:r>
        <w:rPr>
          <w:rFonts w:hint="eastAsia" w:ascii="方正仿宋_GBK" w:hAnsi="方正仿宋_GBK" w:eastAsia="方正仿宋_GBK" w:cs="方正仿宋_GBK"/>
          <w:color w:val="auto"/>
          <w:position w:val="18"/>
          <w:sz w:val="30"/>
          <w:szCs w:val="30"/>
          <w:highlight w:val="none"/>
          <w:lang w:val="en-US" w:eastAsia="zh-CN"/>
        </w:rPr>
        <w:t xml:space="preserve"> </w:t>
      </w:r>
      <w:r>
        <w:rPr>
          <w:rFonts w:hint="eastAsia" w:ascii="方正仿宋_GBK" w:hAnsi="方正仿宋_GBK" w:eastAsia="方正仿宋_GBK" w:cs="方正仿宋_GBK"/>
          <w:color w:val="auto"/>
          <w:position w:val="18"/>
          <w:sz w:val="30"/>
          <w:szCs w:val="30"/>
          <w:highlight w:val="none"/>
        </w:rPr>
        <w:t xml:space="preserve">  </w:t>
      </w:r>
      <w:r>
        <w:rPr>
          <w:rFonts w:hint="eastAsia" w:ascii="方正仿宋_GBK" w:hAnsi="方正仿宋_GBK" w:eastAsia="方正仿宋_GBK" w:cs="方正仿宋_GBK"/>
          <w:snapToGrid/>
          <w:color w:val="auto"/>
          <w:kern w:val="2"/>
          <w:position w:val="18"/>
          <w:sz w:val="30"/>
          <w:szCs w:val="30"/>
          <w:highlight w:val="none"/>
        </w:rPr>
        <w:t>日期：</w:t>
      </w:r>
      <w:r>
        <w:rPr>
          <w:rFonts w:hint="eastAsia" w:ascii="方正仿宋_GBK" w:hAnsi="方正仿宋_GBK" w:eastAsia="方正仿宋_GBK" w:cs="方正仿宋_GBK"/>
          <w:snapToGrid/>
          <w:color w:val="auto"/>
          <w:kern w:val="2"/>
          <w:position w:val="18"/>
          <w:sz w:val="30"/>
          <w:szCs w:val="30"/>
          <w:highlight w:val="none"/>
          <w:lang w:val="en-US" w:eastAsia="zh-CN"/>
        </w:rPr>
        <w:t xml:space="preserve">  </w:t>
      </w:r>
      <w:r>
        <w:rPr>
          <w:rFonts w:hint="eastAsia" w:ascii="方正仿宋_GBK" w:hAnsi="方正仿宋_GBK" w:eastAsia="方正仿宋_GBK" w:cs="方正仿宋_GBK"/>
          <w:bCs w:val="0"/>
          <w:color w:val="auto"/>
          <w:kern w:val="2"/>
          <w:position w:val="18"/>
          <w:sz w:val="30"/>
          <w:szCs w:val="30"/>
          <w:highlight w:val="none"/>
          <w:lang w:val="en-US"/>
        </w:rPr>
        <w:t>年</w:t>
      </w:r>
      <w:r>
        <w:rPr>
          <w:rFonts w:hint="eastAsia" w:ascii="方正仿宋_GBK" w:hAnsi="方正仿宋_GBK" w:eastAsia="方正仿宋_GBK" w:cs="方正仿宋_GBK"/>
          <w:bCs w:val="0"/>
          <w:color w:val="auto"/>
          <w:kern w:val="2"/>
          <w:position w:val="18"/>
          <w:sz w:val="30"/>
          <w:szCs w:val="30"/>
          <w:highlight w:val="none"/>
          <w:lang w:val="en-US"/>
        </w:rPr>
        <w:tab/>
      </w:r>
      <w:r>
        <w:rPr>
          <w:rFonts w:hint="eastAsia" w:ascii="方正仿宋_GBK" w:hAnsi="方正仿宋_GBK" w:eastAsia="方正仿宋_GBK" w:cs="方正仿宋_GBK"/>
          <w:bCs w:val="0"/>
          <w:color w:val="auto"/>
          <w:kern w:val="2"/>
          <w:position w:val="18"/>
          <w:sz w:val="30"/>
          <w:szCs w:val="30"/>
          <w:highlight w:val="none"/>
          <w:lang w:val="en-US" w:eastAsia="zh-CN"/>
        </w:rPr>
        <w:t xml:space="preserve"> </w:t>
      </w:r>
      <w:r>
        <w:rPr>
          <w:rFonts w:hint="eastAsia" w:ascii="方正仿宋_GBK" w:hAnsi="方正仿宋_GBK" w:eastAsia="方正仿宋_GBK" w:cs="方正仿宋_GBK"/>
          <w:bCs w:val="0"/>
          <w:color w:val="auto"/>
          <w:kern w:val="2"/>
          <w:position w:val="18"/>
          <w:sz w:val="30"/>
          <w:szCs w:val="30"/>
          <w:highlight w:val="none"/>
          <w:lang w:val="en-US"/>
        </w:rPr>
        <w:t>月</w:t>
      </w:r>
      <w:r>
        <w:rPr>
          <w:rFonts w:hint="eastAsia" w:ascii="方正仿宋_GBK" w:hAnsi="方正仿宋_GBK" w:eastAsia="方正仿宋_GBK" w:cs="方正仿宋_GBK"/>
          <w:bCs w:val="0"/>
          <w:color w:val="auto"/>
          <w:kern w:val="2"/>
          <w:position w:val="18"/>
          <w:sz w:val="30"/>
          <w:szCs w:val="30"/>
          <w:highlight w:val="none"/>
          <w:lang w:val="en-US"/>
        </w:rPr>
        <w:tab/>
      </w:r>
      <w:r>
        <w:rPr>
          <w:rFonts w:hint="eastAsia" w:ascii="方正仿宋_GBK" w:hAnsi="方正仿宋_GBK" w:eastAsia="方正仿宋_GBK" w:cs="方正仿宋_GBK"/>
          <w:bCs w:val="0"/>
          <w:color w:val="auto"/>
          <w:kern w:val="2"/>
          <w:position w:val="18"/>
          <w:sz w:val="30"/>
          <w:szCs w:val="30"/>
          <w:highlight w:val="none"/>
          <w:lang w:val="en-US" w:eastAsia="zh-CN"/>
        </w:rPr>
        <w:t xml:space="preserve"> </w:t>
      </w:r>
      <w:r>
        <w:rPr>
          <w:rFonts w:hint="eastAsia" w:ascii="方正仿宋_GBK" w:hAnsi="方正仿宋_GBK" w:eastAsia="方正仿宋_GBK" w:cs="方正仿宋_GBK"/>
          <w:bCs w:val="0"/>
          <w:color w:val="auto"/>
          <w:kern w:val="2"/>
          <w:position w:val="18"/>
          <w:sz w:val="30"/>
          <w:szCs w:val="30"/>
          <w:highlight w:val="none"/>
          <w:lang w:val="en-US"/>
        </w:rPr>
        <w:t>日</w:t>
      </w:r>
    </w:p>
    <w:p w14:paraId="2FFD665F">
      <w:pPr>
        <w:pStyle w:val="33"/>
        <w:pageBreakBefore/>
        <w:ind w:left="629" w:firstLine="2883" w:firstLineChars="801"/>
        <w:rPr>
          <w:rFonts w:hint="eastAsia" w:ascii="方正小标宋_GBK" w:hAnsi="方正小标宋_GBK" w:eastAsia="方正小标宋_GBK" w:cs="方正小标宋_GBK"/>
          <w:b w:val="0"/>
          <w:bCs w:val="0"/>
          <w:caps w:val="0"/>
          <w:color w:val="auto"/>
          <w:sz w:val="36"/>
          <w:szCs w:val="36"/>
          <w:highlight w:val="none"/>
          <w:lang w:val="zh-CN"/>
        </w:rPr>
        <w:sectPr>
          <w:footerReference r:id="rId11" w:type="default"/>
          <w:pgSz w:w="11906" w:h="16838"/>
          <w:pgMar w:top="2098" w:right="1531" w:bottom="1500" w:left="1531" w:header="851" w:footer="680" w:gutter="0"/>
          <w:pgNumType w:fmt="decimal"/>
          <w:cols w:space="720" w:num="1"/>
          <w:docGrid w:linePitch="290" w:charSpace="0"/>
        </w:sectPr>
      </w:pPr>
    </w:p>
    <w:p w14:paraId="3A1DD0F6">
      <w:pPr>
        <w:pStyle w:val="33"/>
        <w:pageBreakBefore/>
        <w:ind w:left="629" w:firstLine="2883" w:firstLineChars="801"/>
        <w:rPr>
          <w:rFonts w:hint="eastAsia" w:ascii="Times New Roman" w:hAnsi="Times New Roman" w:cs="宋体"/>
          <w:b/>
          <w:bCs/>
          <w:caps w:val="0"/>
          <w:color w:val="auto"/>
          <w:sz w:val="24"/>
          <w:szCs w:val="36"/>
          <w:highlight w:val="none"/>
        </w:rPr>
      </w:pPr>
      <w:r>
        <w:rPr>
          <w:rFonts w:hint="eastAsia" w:ascii="方正小标宋_GBK" w:hAnsi="方正小标宋_GBK" w:eastAsia="方正小标宋_GBK" w:cs="方正小标宋_GBK"/>
          <w:b w:val="0"/>
          <w:bCs w:val="0"/>
          <w:caps w:val="0"/>
          <w:color w:val="auto"/>
          <w:sz w:val="36"/>
          <w:szCs w:val="36"/>
          <w:highlight w:val="none"/>
          <w:lang w:val="zh-CN"/>
        </w:rPr>
        <w:t>最</w:t>
      </w:r>
      <w:r>
        <w:rPr>
          <w:rFonts w:hint="eastAsia" w:ascii="方正小标宋_GBK" w:hAnsi="方正小标宋_GBK" w:eastAsia="方正小标宋_GBK" w:cs="方正小标宋_GBK"/>
          <w:b w:val="0"/>
          <w:bCs w:val="0"/>
          <w:caps w:val="0"/>
          <w:color w:val="auto"/>
          <w:sz w:val="36"/>
          <w:szCs w:val="36"/>
          <w:highlight w:val="none"/>
          <w:lang w:val="zh-CN" w:eastAsia="zh-CN"/>
        </w:rPr>
        <w:t>终</w:t>
      </w:r>
      <w:r>
        <w:rPr>
          <w:rFonts w:hint="eastAsia" w:ascii="方正小标宋_GBK" w:hAnsi="方正小标宋_GBK" w:eastAsia="方正小标宋_GBK" w:cs="方正小标宋_GBK"/>
          <w:b w:val="0"/>
          <w:bCs w:val="0"/>
          <w:caps w:val="0"/>
          <w:color w:val="auto"/>
          <w:sz w:val="36"/>
          <w:szCs w:val="36"/>
          <w:highlight w:val="none"/>
          <w:lang w:val="zh-CN"/>
        </w:rPr>
        <w:t>报价函</w:t>
      </w:r>
    </w:p>
    <w:p w14:paraId="02FBC46A">
      <w:pPr>
        <w:widowControl/>
        <w:kinsoku w:val="0"/>
        <w:autoSpaceDE w:val="0"/>
        <w:autoSpaceDN w:val="0"/>
        <w:adjustRightInd w:val="0"/>
        <w:snapToGrid w:val="0"/>
        <w:spacing w:line="560" w:lineRule="exact"/>
        <w:ind w:firstLine="600"/>
        <w:textAlignment w:val="baseline"/>
        <w:rPr>
          <w:rFonts w:hint="eastAsia" w:ascii="方正仿宋_GBK" w:hAnsi="方正仿宋_GBK" w:eastAsia="方正仿宋_GBK" w:cs="方正仿宋_GBK"/>
          <w:caps w:val="0"/>
          <w:color w:val="auto"/>
          <w:position w:val="18"/>
          <w:sz w:val="30"/>
          <w:szCs w:val="30"/>
          <w:highlight w:val="none"/>
        </w:rPr>
      </w:pPr>
    </w:p>
    <w:p w14:paraId="2EA4A535">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u w:val="single"/>
          <w:lang w:eastAsia="zh-CN"/>
        </w:rPr>
        <w:t>江苏省机关事务管理局</w:t>
      </w:r>
      <w:r>
        <w:rPr>
          <w:rFonts w:hint="eastAsia" w:ascii="方正仿宋_GBK" w:hAnsi="方正仿宋_GBK" w:eastAsia="方正仿宋_GBK" w:cs="方正仿宋_GBK"/>
          <w:caps w:val="0"/>
          <w:color w:val="auto"/>
          <w:position w:val="18"/>
          <w:sz w:val="30"/>
          <w:szCs w:val="30"/>
          <w:highlight w:val="none"/>
        </w:rPr>
        <w:t>（采购人全称）：</w:t>
      </w:r>
    </w:p>
    <w:p w14:paraId="7EC3244E">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1.经磋商小组与我方根据</w:t>
      </w:r>
      <w:r>
        <w:rPr>
          <w:rFonts w:hint="eastAsia" w:ascii="方正仿宋_GBK" w:hAnsi="方正仿宋_GBK" w:eastAsia="方正仿宋_GBK" w:cs="方正仿宋_GBK"/>
          <w:caps w:val="0"/>
          <w:color w:val="auto"/>
          <w:position w:val="18"/>
          <w:sz w:val="30"/>
          <w:szCs w:val="30"/>
          <w:highlight w:val="none"/>
          <w:u w:val="single"/>
          <w:lang w:eastAsia="zh-CN"/>
        </w:rPr>
        <w:t>江苏省老年医院改造工程造价咨询服务（跟踪审计、决算审计）</w:t>
      </w:r>
      <w:r>
        <w:rPr>
          <w:rFonts w:hint="eastAsia" w:ascii="方正仿宋_GBK" w:hAnsi="方正仿宋_GBK" w:eastAsia="方正仿宋_GBK" w:cs="方正仿宋_GBK"/>
          <w:caps w:val="0"/>
          <w:color w:val="auto"/>
          <w:position w:val="18"/>
          <w:sz w:val="30"/>
          <w:szCs w:val="30"/>
          <w:highlight w:val="none"/>
        </w:rPr>
        <w:t>（项目名称）</w:t>
      </w:r>
      <w:r>
        <w:rPr>
          <w:rFonts w:hint="eastAsia" w:ascii="方正仿宋_GBK" w:hAnsi="方正仿宋_GBK" w:eastAsia="方正仿宋_GBK" w:cs="方正仿宋_GBK"/>
          <w:caps w:val="0"/>
          <w:color w:val="auto"/>
          <w:position w:val="18"/>
          <w:sz w:val="30"/>
          <w:szCs w:val="30"/>
          <w:highlight w:val="none"/>
          <w:lang w:eastAsia="zh-CN"/>
        </w:rPr>
        <w:t>采购文件</w:t>
      </w:r>
      <w:r>
        <w:rPr>
          <w:rFonts w:hint="eastAsia" w:ascii="方正仿宋_GBK" w:hAnsi="方正仿宋_GBK" w:eastAsia="方正仿宋_GBK" w:cs="方正仿宋_GBK"/>
          <w:caps w:val="0"/>
          <w:color w:val="auto"/>
          <w:position w:val="18"/>
          <w:sz w:val="30"/>
          <w:szCs w:val="30"/>
          <w:highlight w:val="none"/>
        </w:rPr>
        <w:t>（含澄清、修改文件）及我方提交的首次响应文件进行磋商后，现我方提交最后报价函。我方愿以</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 按苏价服【2014】383号文收费标准的     % </w:t>
      </w:r>
      <w:r>
        <w:rPr>
          <w:rFonts w:hint="eastAsia" w:ascii="方正仿宋_GBK" w:hAnsi="方正仿宋_GBK" w:eastAsia="方正仿宋_GBK" w:cs="方正仿宋_GBK"/>
          <w:caps w:val="0"/>
          <w:color w:val="auto"/>
          <w:position w:val="18"/>
          <w:sz w:val="30"/>
          <w:szCs w:val="30"/>
          <w:highlight w:val="none"/>
        </w:rPr>
        <w:t>的最</w:t>
      </w:r>
      <w:r>
        <w:rPr>
          <w:rFonts w:hint="eastAsia" w:ascii="方正仿宋_GBK" w:hAnsi="方正仿宋_GBK" w:eastAsia="方正仿宋_GBK" w:cs="方正仿宋_GBK"/>
          <w:caps w:val="0"/>
          <w:color w:val="auto"/>
          <w:position w:val="18"/>
          <w:sz w:val="30"/>
          <w:szCs w:val="30"/>
          <w:highlight w:val="none"/>
          <w:lang w:val="en-US" w:eastAsia="zh-CN"/>
        </w:rPr>
        <w:t>终</w:t>
      </w:r>
      <w:r>
        <w:rPr>
          <w:rFonts w:hint="eastAsia" w:ascii="方正仿宋_GBK" w:hAnsi="方正仿宋_GBK" w:eastAsia="方正仿宋_GBK" w:cs="方正仿宋_GBK"/>
          <w:caps w:val="0"/>
          <w:color w:val="auto"/>
          <w:position w:val="18"/>
          <w:sz w:val="30"/>
          <w:szCs w:val="30"/>
          <w:highlight w:val="none"/>
        </w:rPr>
        <w:t>报价，优质承担并完成上述合同全</w:t>
      </w:r>
      <w:r>
        <w:rPr>
          <w:rFonts w:hint="eastAsia" w:ascii="方正仿宋_GBK" w:hAnsi="方正仿宋_GBK" w:eastAsia="方正仿宋_GBK" w:cs="方正仿宋_GBK"/>
          <w:caps w:val="0"/>
          <w:color w:val="auto"/>
          <w:spacing w:val="0"/>
          <w:position w:val="18"/>
          <w:sz w:val="30"/>
          <w:szCs w:val="30"/>
          <w:highlight w:val="none"/>
        </w:rPr>
        <w:t>部</w:t>
      </w:r>
      <w:r>
        <w:rPr>
          <w:rFonts w:hint="eastAsia" w:ascii="方正仿宋_GBK" w:hAnsi="方正仿宋_GBK" w:eastAsia="方正仿宋_GBK" w:cs="方正仿宋_GBK"/>
          <w:caps w:val="0"/>
          <w:color w:val="auto"/>
          <w:position w:val="18"/>
          <w:sz w:val="30"/>
          <w:szCs w:val="30"/>
          <w:highlight w:val="none"/>
        </w:rPr>
        <w:t>内容。</w:t>
      </w:r>
    </w:p>
    <w:p w14:paraId="44DBE58E">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u w:val="none"/>
        </w:rPr>
      </w:pPr>
      <w:r>
        <w:rPr>
          <w:rFonts w:hint="eastAsia" w:ascii="方正仿宋_GBK" w:hAnsi="方正仿宋_GBK" w:eastAsia="方正仿宋_GBK" w:cs="方正仿宋_GBK"/>
          <w:caps w:val="0"/>
          <w:color w:val="auto"/>
          <w:position w:val="18"/>
          <w:sz w:val="30"/>
          <w:szCs w:val="30"/>
          <w:highlight w:val="none"/>
        </w:rPr>
        <w:t>对我方首次提交的响应文件予以修正的内容还有</w:t>
      </w:r>
      <w:r>
        <w:rPr>
          <w:rFonts w:hint="eastAsia" w:ascii="方正仿宋_GBK" w:hAnsi="方正仿宋_GBK" w:eastAsia="方正仿宋_GBK" w:cs="方正仿宋_GBK"/>
          <w:caps w:val="0"/>
          <w:color w:val="auto"/>
          <w:position w:val="18"/>
          <w:sz w:val="30"/>
          <w:szCs w:val="30"/>
          <w:highlight w:val="none"/>
          <w:u w:val="single"/>
        </w:rPr>
        <w:t xml:space="preserve">          </w:t>
      </w:r>
      <w:r>
        <w:rPr>
          <w:rFonts w:hint="eastAsia" w:ascii="方正仿宋_GBK" w:hAnsi="方正仿宋_GBK" w:eastAsia="方正仿宋_GBK" w:cs="方正仿宋_GBK"/>
          <w:caps w:val="0"/>
          <w:color w:val="auto"/>
          <w:position w:val="18"/>
          <w:sz w:val="30"/>
          <w:szCs w:val="30"/>
          <w:highlight w:val="none"/>
          <w:u w:val="none"/>
        </w:rPr>
        <w:t xml:space="preserve"> 。</w:t>
      </w:r>
    </w:p>
    <w:p w14:paraId="7438BB2E">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2.本最后报价函是我方响应文件的组成部分。若最后报价函与我方首次递交的响应文件的内容有差异，以最后的报价函内容为准。</w:t>
      </w:r>
    </w:p>
    <w:p w14:paraId="1E4B10FB">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u w:val="single"/>
        </w:rPr>
      </w:pPr>
      <w:r>
        <w:rPr>
          <w:rFonts w:hint="eastAsia" w:ascii="方正仿宋_GBK" w:hAnsi="方正仿宋_GBK" w:eastAsia="方正仿宋_GBK" w:cs="方正仿宋_GBK"/>
          <w:caps w:val="0"/>
          <w:color w:val="auto"/>
          <w:position w:val="18"/>
          <w:sz w:val="30"/>
          <w:szCs w:val="30"/>
          <w:highlight w:val="none"/>
        </w:rPr>
        <w:t>3．</w:t>
      </w:r>
      <w:r>
        <w:rPr>
          <w:rFonts w:hint="eastAsia" w:ascii="方正仿宋_GBK" w:hAnsi="方正仿宋_GBK" w:eastAsia="方正仿宋_GBK" w:cs="方正仿宋_GBK"/>
          <w:caps w:val="0"/>
          <w:color w:val="auto"/>
          <w:position w:val="18"/>
          <w:sz w:val="30"/>
          <w:szCs w:val="30"/>
          <w:highlight w:val="none"/>
          <w:u w:val="single"/>
          <w:lang w:val="en-US" w:eastAsia="zh-CN"/>
        </w:rPr>
        <w:t>如我方为成交候选人，承诺在成交通知书发放前，根据采购人需要，提交与</w:t>
      </w:r>
      <w:r>
        <w:rPr>
          <w:rFonts w:hint="eastAsia" w:ascii="方正仿宋_GBK" w:hAnsi="方正仿宋_GBK" w:eastAsia="方正仿宋_GBK" w:cs="方正仿宋_GBK"/>
          <w:caps w:val="0"/>
          <w:color w:val="auto"/>
          <w:position w:val="18"/>
          <w:sz w:val="30"/>
          <w:szCs w:val="30"/>
          <w:highlight w:val="none"/>
          <w:u w:val="single"/>
        </w:rPr>
        <w:t>最后报价函</w:t>
      </w:r>
      <w:r>
        <w:rPr>
          <w:rFonts w:hint="eastAsia" w:ascii="方正仿宋_GBK" w:hAnsi="方正仿宋_GBK" w:eastAsia="方正仿宋_GBK" w:cs="方正仿宋_GBK"/>
          <w:caps w:val="0"/>
          <w:color w:val="auto"/>
          <w:position w:val="18"/>
          <w:sz w:val="30"/>
          <w:szCs w:val="30"/>
          <w:highlight w:val="none"/>
          <w:u w:val="single"/>
          <w:lang w:val="en-US" w:eastAsia="zh-CN"/>
        </w:rPr>
        <w:t>总额一致并按规定要求修正的清单报价组成，作为</w:t>
      </w:r>
      <w:r>
        <w:rPr>
          <w:rFonts w:hint="eastAsia" w:ascii="方正仿宋_GBK" w:hAnsi="方正仿宋_GBK" w:eastAsia="方正仿宋_GBK" w:cs="方正仿宋_GBK"/>
          <w:caps w:val="0"/>
          <w:color w:val="auto"/>
          <w:position w:val="18"/>
          <w:sz w:val="30"/>
          <w:szCs w:val="30"/>
          <w:highlight w:val="none"/>
          <w:u w:val="single"/>
        </w:rPr>
        <w:t>响应文件的</w:t>
      </w:r>
      <w:r>
        <w:rPr>
          <w:rFonts w:hint="eastAsia" w:ascii="方正仿宋_GBK" w:hAnsi="方正仿宋_GBK" w:eastAsia="方正仿宋_GBK" w:cs="方正仿宋_GBK"/>
          <w:caps w:val="0"/>
          <w:color w:val="auto"/>
          <w:position w:val="18"/>
          <w:sz w:val="30"/>
          <w:szCs w:val="30"/>
          <w:highlight w:val="none"/>
          <w:u w:val="single"/>
          <w:lang w:val="en-US" w:eastAsia="zh-CN"/>
        </w:rPr>
        <w:t>补充文件</w:t>
      </w:r>
      <w:r>
        <w:rPr>
          <w:rFonts w:hint="eastAsia" w:ascii="方正仿宋_GBK" w:hAnsi="方正仿宋_GBK" w:eastAsia="方正仿宋_GBK" w:cs="方正仿宋_GBK"/>
          <w:caps w:val="0"/>
          <w:color w:val="auto"/>
          <w:position w:val="18"/>
          <w:sz w:val="30"/>
          <w:szCs w:val="30"/>
          <w:highlight w:val="none"/>
          <w:u w:val="single"/>
          <w:lang w:eastAsia="zh-CN"/>
        </w:rPr>
        <w:t>。</w:t>
      </w:r>
    </w:p>
    <w:p w14:paraId="63F7B3D4">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p>
    <w:p w14:paraId="44869E47">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供应商：（盖单位章）</w:t>
      </w:r>
    </w:p>
    <w:p w14:paraId="2A47F1E3">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法定代表人或其委托代理人：（签字或签章）</w:t>
      </w:r>
    </w:p>
    <w:p w14:paraId="36DBCE69">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地址：</w:t>
      </w:r>
    </w:p>
    <w:p w14:paraId="7ED41768">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电话：</w:t>
      </w:r>
    </w:p>
    <w:p w14:paraId="76B8AF8F">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传真：</w:t>
      </w:r>
    </w:p>
    <w:p w14:paraId="1DDE75E0">
      <w:pPr>
        <w:widowControl/>
        <w:kinsoku w:val="0"/>
        <w:autoSpaceDE w:val="0"/>
        <w:autoSpaceDN w:val="0"/>
        <w:adjustRightInd w:val="0"/>
        <w:snapToGrid w:val="0"/>
        <w:spacing w:line="560" w:lineRule="exact"/>
        <w:ind w:left="0" w:firstLine="3000" w:firstLineChars="10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年   月   日</w:t>
      </w:r>
    </w:p>
    <w:p w14:paraId="5D6CC880">
      <w:pPr>
        <w:spacing w:line="240" w:lineRule="auto"/>
        <w:jc w:val="left"/>
        <w:rPr>
          <w:rFonts w:hint="eastAsia"/>
          <w:color w:val="auto"/>
          <w:highlight w:val="none"/>
          <w:lang w:val="zh-CN"/>
        </w:rPr>
      </w:pPr>
      <w:r>
        <w:rPr>
          <w:rFonts w:hint="eastAsia" w:ascii="华文仿宋" w:hAnsi="华文仿宋" w:eastAsia="华文仿宋" w:cs="华文仿宋"/>
          <w:b/>
          <w:bCs/>
          <w:caps w:val="0"/>
          <w:color w:val="auto"/>
          <w:sz w:val="24"/>
          <w:highlight w:val="none"/>
        </w:rPr>
        <w:t>注：本最后报价函必须加盖供应商公章或由法定代表人（或其委托代理人）签字或签章，若未盖单位章也无法定代表人（或其委托代理人）签字或签章，则为无效报价函。</w:t>
      </w:r>
      <w:r>
        <w:rPr>
          <w:rFonts w:hint="eastAsia" w:ascii="华文仿宋" w:hAnsi="华文仿宋" w:eastAsia="华文仿宋" w:cs="华文仿宋"/>
          <w:b/>
          <w:bCs/>
          <w:caps w:val="0"/>
          <w:color w:val="auto"/>
          <w:sz w:val="24"/>
          <w:highlight w:val="none"/>
          <w:lang w:val="en-US" w:eastAsia="zh-CN"/>
        </w:rPr>
        <w:t xml:space="preserve">    </w:t>
      </w:r>
      <w:r>
        <w:rPr>
          <w:rFonts w:hint="eastAsia" w:ascii="华文仿宋" w:hAnsi="华文仿宋" w:eastAsia="华文仿宋" w:cs="华文仿宋"/>
          <w:b/>
          <w:caps w:val="0"/>
          <w:color w:val="auto"/>
          <w:sz w:val="24"/>
          <w:szCs w:val="24"/>
          <w:highlight w:val="none"/>
        </w:rPr>
        <w:t>本报价函无需装订在响应文件中，请在参与本项目磋商会议前提前准备好已盖章或已签字的最后报价函（无需载明最后报价，由供应商在磋商现场进行最后报价）。</w:t>
      </w:r>
    </w:p>
    <w:bookmarkEnd w:id="76"/>
    <w:sectPr>
      <w:footerReference r:id="rId12" w:type="default"/>
      <w:pgSz w:w="11906" w:h="16838"/>
      <w:pgMar w:top="2098" w:right="1531" w:bottom="1500" w:left="1531" w:header="851" w:footer="680"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D6718F1-4433-4176-B6EF-49B0AF0012B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AB2E1B3-3870-4E85-87E2-5556E611B91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swiss"/>
    <w:pitch w:val="default"/>
    <w:sig w:usb0="00000001" w:usb1="080E0000" w:usb2="00000000" w:usb3="00000000" w:csb0="00040000" w:csb1="00000000"/>
  </w:font>
  <w:font w:name="楷体_GB2312">
    <w:altName w:val="楷体"/>
    <w:panose1 w:val="02010609030101010101"/>
    <w:charset w:val="86"/>
    <w:family w:val="swiss"/>
    <w:pitch w:val="default"/>
    <w:sig w:usb0="00000000" w:usb1="00000000" w:usb2="00000000" w:usb3="00000000" w:csb0="00040000" w:csb1="00000000"/>
    <w:embedRegular r:id="rId3" w:fontKey="{E9D07B67-7FAB-40EB-9DB8-4AF2B3106C38}"/>
  </w:font>
  <w:font w:name="Cambria">
    <w:panose1 w:val="02040503050406030204"/>
    <w:charset w:val="00"/>
    <w:family w:val="modern"/>
    <w:pitch w:val="default"/>
    <w:sig w:usb0="E00006FF" w:usb1="420024FF" w:usb2="02000000" w:usb3="00000000" w:csb0="2000019F" w:csb1="00000000"/>
  </w:font>
  <w:font w:name="Arial Unicode MS">
    <w:altName w:val="宋体"/>
    <w:panose1 w:val="020B0604020202020204"/>
    <w:charset w:val="86"/>
    <w:family w:val="modern"/>
    <w:pitch w:val="default"/>
    <w:sig w:usb0="00000000" w:usb1="00000000" w:usb2="0000003F" w:usb3="00000000" w:csb0="603F01FF" w:csb1="FFFF0000"/>
  </w:font>
  <w:font w:name="MingLiU">
    <w:altName w:val="PMingLiU-ExtB"/>
    <w:panose1 w:val="02020509000000000000"/>
    <w:charset w:val="00"/>
    <w:family w:val="swiss"/>
    <w:pitch w:val="default"/>
    <w:sig w:usb0="00000000" w:usb1="00000000" w:usb2="00000016" w:usb3="00000000" w:csb0="00100001" w:csb1="00000000"/>
  </w:font>
  <w:font w:name="微软雅黑">
    <w:panose1 w:val="020B0503020204020204"/>
    <w:charset w:val="86"/>
    <w:family w:val="decorative"/>
    <w:pitch w:val="default"/>
    <w:sig w:usb0="80000287" w:usb1="2ACF3C50" w:usb2="00000016" w:usb3="00000000" w:csb0="0004001F" w:csb1="00000000"/>
    <w:embedRegular r:id="rId4" w:fontKey="{98375F62-CF2A-4C41-B623-AD2D54AC16BF}"/>
  </w:font>
  <w:font w:name="Helvetica">
    <w:altName w:val="Arial"/>
    <w:panose1 w:val="020B0504020202030204"/>
    <w:charset w:val="00"/>
    <w:family w:val="decorative"/>
    <w:pitch w:val="default"/>
    <w:sig w:usb0="00000000" w:usb1="00000000" w:usb2="00000000" w:usb3="00000000" w:csb0="00000093" w:csb1="00000000"/>
  </w:font>
  <w:font w:name="Georgia">
    <w:panose1 w:val="02040502050405020303"/>
    <w:charset w:val="00"/>
    <w:family w:val="modern"/>
    <w:pitch w:val="default"/>
    <w:sig w:usb0="00000287" w:usb1="00000000" w:usb2="00000000" w:usb3="00000000" w:csb0="2000009F" w:csb1="00000000"/>
  </w:font>
  <w:font w:name="ˎ̥">
    <w:altName w:val="华文仿宋"/>
    <w:panose1 w:val="00000000000000000000"/>
    <w:charset w:val="00"/>
    <w:family w:val="auto"/>
    <w:pitch w:val="default"/>
    <w:sig w:usb0="00000000" w:usb1="00000000" w:usb2="00000000" w:usb3="00000000" w:csb0="00040001" w:csb1="00000000"/>
  </w:font>
  <w:font w:name="Tahoma">
    <w:panose1 w:val="020B0604030504040204"/>
    <w:charset w:val="00"/>
    <w:family w:val="decorative"/>
    <w:pitch w:val="default"/>
    <w:sig w:usb0="E1002EFF" w:usb1="C000605B" w:usb2="00000029" w:usb3="00000000" w:csb0="200101FF" w:csb1="20280000"/>
  </w:font>
  <w:font w:name="Verdana">
    <w:panose1 w:val="020B0604030504040204"/>
    <w:charset w:val="00"/>
    <w:family w:val="decorative"/>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HYDaHeiJ">
    <w:altName w:val="宋体"/>
    <w:panose1 w:val="02010600000101010101"/>
    <w:charset w:val="86"/>
    <w:family w:val="auto"/>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embedRegular r:id="rId5" w:fontKey="{2FEBCF19-4C11-4BA3-B270-B34D67F67D6E}"/>
  </w:font>
  <w:font w:name="华文仿宋">
    <w:panose1 w:val="02010600040101010101"/>
    <w:charset w:val="86"/>
    <w:family w:val="auto"/>
    <w:pitch w:val="default"/>
    <w:sig w:usb0="00000287" w:usb1="080F0000" w:usb2="00000000" w:usb3="00000000" w:csb0="0004009F" w:csb1="DFD70000"/>
    <w:embedRegular r:id="rId6" w:fontKey="{1E8CEF4B-6960-4DD7-A6A6-8F67B720DD08}"/>
  </w:font>
  <w:font w:name="方正楷体_GBK">
    <w:panose1 w:val="03000509000000000000"/>
    <w:charset w:val="86"/>
    <w:family w:val="auto"/>
    <w:pitch w:val="default"/>
    <w:sig w:usb0="00000001" w:usb1="080E0000" w:usb2="00000000" w:usb3="00000000" w:csb0="00040000" w:csb1="00000000"/>
    <w:embedRegular r:id="rId7" w:fontKey="{3383934E-26BA-42C3-A94B-489B2B86C459}"/>
  </w:font>
  <w:font w:name="方正小标宋_GBK">
    <w:panose1 w:val="03000509000000000000"/>
    <w:charset w:val="86"/>
    <w:family w:val="auto"/>
    <w:pitch w:val="default"/>
    <w:sig w:usb0="00000001" w:usb1="080E0000" w:usb2="00000000" w:usb3="00000000" w:csb0="00040000" w:csb1="00000000"/>
    <w:embedRegular r:id="rId8" w:fontKey="{4F746204-D3FE-4247-8602-3D0036C4BB3A}"/>
  </w:font>
  <w:font w:name="方正仿宋_GBK">
    <w:panose1 w:val="03000509000000000000"/>
    <w:charset w:val="86"/>
    <w:family w:val="auto"/>
    <w:pitch w:val="default"/>
    <w:sig w:usb0="00000001" w:usb1="080E0000" w:usb2="00000000" w:usb3="00000000" w:csb0="00040000" w:csb1="00000000"/>
    <w:embedRegular r:id="rId9" w:fontKey="{500CA268-2E41-4044-B4BD-AD324A03FF0B}"/>
  </w:font>
  <w:font w:name="方正黑体_GBK">
    <w:panose1 w:val="03000509000000000000"/>
    <w:charset w:val="86"/>
    <w:family w:val="auto"/>
    <w:pitch w:val="default"/>
    <w:sig w:usb0="00000001" w:usb1="080E0000" w:usb2="00000000" w:usb3="00000000" w:csb0="00040000" w:csb1="00000000"/>
    <w:embedRegular r:id="rId10" w:fontKey="{8A75B74F-FE3F-44CA-A929-E6424FF6CE69}"/>
  </w:font>
  <w:font w:name="仿宋">
    <w:panose1 w:val="02010609060101010101"/>
    <w:charset w:val="86"/>
    <w:family w:val="auto"/>
    <w:pitch w:val="default"/>
    <w:sig w:usb0="800002BF" w:usb1="38CF7CFA" w:usb2="00000016" w:usb3="00000000" w:csb0="00040001" w:csb1="00000000"/>
    <w:embedRegular r:id="rId11" w:fontKey="{D0D66B6D-0982-4884-BE74-0B68C31C1B67}"/>
  </w:font>
  <w:font w:name="华文宋体">
    <w:panose1 w:val="02010600040101010101"/>
    <w:charset w:val="86"/>
    <w:family w:val="auto"/>
    <w:pitch w:val="default"/>
    <w:sig w:usb0="00000287" w:usb1="080F0000" w:usb2="00000000" w:usb3="00000000" w:csb0="0004009F" w:csb1="DFD70000"/>
    <w:embedRegular r:id="rId12" w:fontKey="{F2BC3819-51A4-4216-BA0F-AEB39AC7D9BE}"/>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71067">
    <w:pPr>
      <w:pStyle w:val="44"/>
      <w:jc w:val="right"/>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4B67C">
                          <w:pPr>
                            <w:pStyle w:val="4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BE4B67C">
                    <w:pPr>
                      <w:pStyle w:val="4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p w14:paraId="30D89DB7">
    <w:pPr>
      <w:pStyle w:val="4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90C10">
    <w:pPr>
      <w:pStyle w:val="44"/>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4FA081">
                          <w:pPr>
                            <w:pStyle w:val="4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14FA081">
                    <w:pPr>
                      <w:pStyle w:val="4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p w14:paraId="100F52AB">
    <w:pPr>
      <w:pStyle w:val="4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3E9CB">
    <w:pPr>
      <w:pStyle w:val="44"/>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B6663A">
                          <w:pPr>
                            <w:pStyle w:val="44"/>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8B6663A">
                    <w:pPr>
                      <w:pStyle w:val="44"/>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EEA71">
    <w:pPr>
      <w:pStyle w:val="23"/>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B7044">
                          <w:pPr>
                            <w:pStyle w:val="44"/>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D8B7044">
                    <w:pPr>
                      <w:pStyle w:val="44"/>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B8EC3">
    <w:pPr>
      <w:pStyle w:val="4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263CAF">
                          <w:pPr>
                            <w:pStyle w:val="44"/>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B263CAF">
                    <w:pPr>
                      <w:pStyle w:val="44"/>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99381">
    <w:pPr>
      <w:pStyle w:val="44"/>
      <w:framePr w:wrap="around" w:vAnchor="text" w:hAnchor="margin" w:xAlign="center" w:y="1"/>
      <w:rPr>
        <w:rStyle w:val="72"/>
      </w:rPr>
    </w:pPr>
    <w:r>
      <w:fldChar w:fldCharType="begin"/>
    </w:r>
    <w:r>
      <w:rPr>
        <w:rStyle w:val="72"/>
      </w:rPr>
      <w:instrText xml:space="preserve">PAGE  </w:instrText>
    </w:r>
    <w:r>
      <w:fldChar w:fldCharType="separate"/>
    </w:r>
    <w:r>
      <w:rPr>
        <w:rStyle w:val="72"/>
      </w:rPr>
      <w:t>1</w:t>
    </w:r>
    <w:r>
      <w:fldChar w:fldCharType="end"/>
    </w:r>
  </w:p>
  <w:p w14:paraId="74B08D22">
    <w:pPr>
      <w:pStyle w:val="4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B939A">
    <w:pPr>
      <w:pStyle w:val="4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8A044D">
                          <w:pPr>
                            <w:pStyle w:val="44"/>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28A044D">
                    <w:pPr>
                      <w:pStyle w:val="44"/>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71094">
    <w:pPr>
      <w:pStyle w:val="4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D50CB2">
                          <w:pPr>
                            <w:pStyle w:val="4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1D50CB2">
                    <w:pPr>
                      <w:pStyle w:val="4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E2DB5">
    <w:pPr>
      <w:pStyle w:val="45"/>
      <w:pBdr>
        <w:bottom w:val="none" w:color="auto" w:sz="0" w:space="1"/>
      </w:pBdr>
      <w:tabs>
        <w:tab w:val="left" w:pos="3594"/>
        <w:tab w:val="clear" w:pos="4153"/>
      </w:tabs>
      <w:jc w:val="left"/>
      <w:rPr>
        <w:rFonts w:hint="eastAsia" w:eastAsia="宋体"/>
        <w:lang w:eastAsia="zh-CN"/>
      </w:rPr>
    </w:pPr>
    <w:r>
      <w:rPr>
        <w:rFonts w:hint="eastAsia"/>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97516">
    <w:pPr>
      <w:pStyle w:val="45"/>
      <w:pBdr>
        <w:bottom w:val="none" w:color="auto" w:sz="0" w:space="1"/>
      </w:pBdr>
      <w:jc w:val="left"/>
    </w:pPr>
    <w:r>
      <w:rPr>
        <w:rFonts w:hint="eastAsia"/>
      </w:rPr>
      <w:t xml:space="preserve">                                                                                 </w:t>
    </w:r>
  </w:p>
  <w:p w14:paraId="410C3D48">
    <w:pPr>
      <w:pBdr>
        <w:bottom w:val="none" w:color="auto" w:sz="0" w:space="0"/>
      </w:pBd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620658"/>
    <w:multiLevelType w:val="multilevel"/>
    <w:tmpl w:val="20620658"/>
    <w:lvl w:ilvl="0" w:tentative="0">
      <w:start w:val="1"/>
      <w:numFmt w:val="bullet"/>
      <w:pStyle w:val="271"/>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44121AA6"/>
    <w:multiLevelType w:val="multilevel"/>
    <w:tmpl w:val="44121AA6"/>
    <w:lvl w:ilvl="0" w:tentative="0">
      <w:start w:val="1"/>
      <w:numFmt w:val="decimal"/>
      <w:pStyle w:val="352"/>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29"/>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1002338"/>
    <w:multiLevelType w:val="singleLevel"/>
    <w:tmpl w:val="51002338"/>
    <w:lvl w:ilvl="0" w:tentative="0">
      <w:start w:val="1"/>
      <w:numFmt w:val="bullet"/>
      <w:pStyle w:val="394"/>
      <w:lvlText w:val=""/>
      <w:lvlJc w:val="left"/>
      <w:pPr>
        <w:tabs>
          <w:tab w:val="left" w:pos="360"/>
        </w:tabs>
        <w:ind w:left="360" w:hanging="360"/>
      </w:pPr>
      <w:rPr>
        <w:rFonts w:hint="default" w:ascii="Symbol" w:hAnsi="Symbol"/>
      </w:rPr>
    </w:lvl>
  </w:abstractNum>
  <w:abstractNum w:abstractNumId="3">
    <w:nsid w:val="581D2BC5"/>
    <w:multiLevelType w:val="multilevel"/>
    <w:tmpl w:val="581D2BC5"/>
    <w:lvl w:ilvl="0" w:tentative="0">
      <w:start w:val="1"/>
      <w:numFmt w:val="decimal"/>
      <w:pStyle w:val="230"/>
      <w:lvlText w:val="%1"/>
      <w:lvlJc w:val="left"/>
      <w:pPr>
        <w:tabs>
          <w:tab w:val="left" w:pos="567"/>
        </w:tabs>
        <w:ind w:left="567" w:hanging="567"/>
      </w:pPr>
      <w:rPr>
        <w:rFonts w:hint="eastAsia"/>
      </w:rPr>
    </w:lvl>
    <w:lvl w:ilvl="1" w:tentative="0">
      <w:start w:val="1"/>
      <w:numFmt w:val="decimal"/>
      <w:pStyle w:val="239"/>
      <w:lvlText w:val="%1.%2"/>
      <w:lvlJc w:val="left"/>
      <w:pPr>
        <w:tabs>
          <w:tab w:val="left" w:pos="1004"/>
        </w:tabs>
        <w:ind w:left="567" w:hanging="283"/>
      </w:pPr>
      <w:rPr>
        <w:rFonts w:hint="eastAsia"/>
      </w:rPr>
    </w:lvl>
    <w:lvl w:ilvl="2" w:tentative="0">
      <w:start w:val="1"/>
      <w:numFmt w:val="decimal"/>
      <w:pStyle w:val="238"/>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4">
    <w:nsid w:val="684B91D7"/>
    <w:multiLevelType w:val="singleLevel"/>
    <w:tmpl w:val="684B91D7"/>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5"/>
  <w:hyphenationZone w:val="360"/>
  <w:drawingGridHorizontalSpacing w:val="-16498"/>
  <w:drawingGridVerticalSpacing w:val="14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1MGNhMTIyZGQ1OWY2OTUzNzNiYmU1ZTVmODExYzEifQ=="/>
  </w:docVars>
  <w:rsids>
    <w:rsidRoot w:val="000550A8"/>
    <w:rsid w:val="00000137"/>
    <w:rsid w:val="00001C3B"/>
    <w:rsid w:val="00001E8F"/>
    <w:rsid w:val="00002496"/>
    <w:rsid w:val="00002D6C"/>
    <w:rsid w:val="000032FA"/>
    <w:rsid w:val="000053B2"/>
    <w:rsid w:val="00005EC1"/>
    <w:rsid w:val="0000618A"/>
    <w:rsid w:val="0000760F"/>
    <w:rsid w:val="00007BC8"/>
    <w:rsid w:val="00007C6F"/>
    <w:rsid w:val="000101E3"/>
    <w:rsid w:val="00010617"/>
    <w:rsid w:val="00012008"/>
    <w:rsid w:val="00013037"/>
    <w:rsid w:val="00013F70"/>
    <w:rsid w:val="00014EE9"/>
    <w:rsid w:val="0001636D"/>
    <w:rsid w:val="0001667A"/>
    <w:rsid w:val="000170D0"/>
    <w:rsid w:val="00017F34"/>
    <w:rsid w:val="0002240F"/>
    <w:rsid w:val="000225D8"/>
    <w:rsid w:val="00024DB4"/>
    <w:rsid w:val="00026C58"/>
    <w:rsid w:val="000303F8"/>
    <w:rsid w:val="00031704"/>
    <w:rsid w:val="00031F32"/>
    <w:rsid w:val="00032346"/>
    <w:rsid w:val="000328A9"/>
    <w:rsid w:val="00034E79"/>
    <w:rsid w:val="000350B2"/>
    <w:rsid w:val="000416EA"/>
    <w:rsid w:val="00041943"/>
    <w:rsid w:val="00041E4F"/>
    <w:rsid w:val="00042D7B"/>
    <w:rsid w:val="000437D2"/>
    <w:rsid w:val="00044D33"/>
    <w:rsid w:val="00045907"/>
    <w:rsid w:val="00050D80"/>
    <w:rsid w:val="00051064"/>
    <w:rsid w:val="0005241B"/>
    <w:rsid w:val="000550A8"/>
    <w:rsid w:val="0005568D"/>
    <w:rsid w:val="00057BC3"/>
    <w:rsid w:val="00060B8C"/>
    <w:rsid w:val="000620F5"/>
    <w:rsid w:val="000626BB"/>
    <w:rsid w:val="00065820"/>
    <w:rsid w:val="000677CC"/>
    <w:rsid w:val="00071F24"/>
    <w:rsid w:val="000752A0"/>
    <w:rsid w:val="00075BD0"/>
    <w:rsid w:val="00076094"/>
    <w:rsid w:val="00076267"/>
    <w:rsid w:val="000763CA"/>
    <w:rsid w:val="00077124"/>
    <w:rsid w:val="00077999"/>
    <w:rsid w:val="00077C58"/>
    <w:rsid w:val="000839F5"/>
    <w:rsid w:val="000853E6"/>
    <w:rsid w:val="00085760"/>
    <w:rsid w:val="00087755"/>
    <w:rsid w:val="00087C4E"/>
    <w:rsid w:val="00087C52"/>
    <w:rsid w:val="00090162"/>
    <w:rsid w:val="00090BED"/>
    <w:rsid w:val="000919E4"/>
    <w:rsid w:val="000929C3"/>
    <w:rsid w:val="0009352D"/>
    <w:rsid w:val="000939D3"/>
    <w:rsid w:val="00097290"/>
    <w:rsid w:val="000977C0"/>
    <w:rsid w:val="000A0F26"/>
    <w:rsid w:val="000A103B"/>
    <w:rsid w:val="000A1612"/>
    <w:rsid w:val="000A2235"/>
    <w:rsid w:val="000A37BD"/>
    <w:rsid w:val="000A3DB8"/>
    <w:rsid w:val="000A4222"/>
    <w:rsid w:val="000A4826"/>
    <w:rsid w:val="000A52DF"/>
    <w:rsid w:val="000A590A"/>
    <w:rsid w:val="000A5EF3"/>
    <w:rsid w:val="000A73B5"/>
    <w:rsid w:val="000B0474"/>
    <w:rsid w:val="000B1AD5"/>
    <w:rsid w:val="000B3040"/>
    <w:rsid w:val="000B3934"/>
    <w:rsid w:val="000B3D99"/>
    <w:rsid w:val="000B7FB3"/>
    <w:rsid w:val="000C1D10"/>
    <w:rsid w:val="000C6094"/>
    <w:rsid w:val="000C71C3"/>
    <w:rsid w:val="000D1D7D"/>
    <w:rsid w:val="000D20CE"/>
    <w:rsid w:val="000D30B9"/>
    <w:rsid w:val="000D3670"/>
    <w:rsid w:val="000D4F27"/>
    <w:rsid w:val="000D524E"/>
    <w:rsid w:val="000D6AAB"/>
    <w:rsid w:val="000D6B8D"/>
    <w:rsid w:val="000E0185"/>
    <w:rsid w:val="000E1449"/>
    <w:rsid w:val="000E1B71"/>
    <w:rsid w:val="000E1F44"/>
    <w:rsid w:val="000E453A"/>
    <w:rsid w:val="000E4B3A"/>
    <w:rsid w:val="000E5EEB"/>
    <w:rsid w:val="000E616C"/>
    <w:rsid w:val="000E65E4"/>
    <w:rsid w:val="000E6A38"/>
    <w:rsid w:val="000E725A"/>
    <w:rsid w:val="000F0630"/>
    <w:rsid w:val="000F0CD9"/>
    <w:rsid w:val="000F1F27"/>
    <w:rsid w:val="000F28BB"/>
    <w:rsid w:val="000F32A9"/>
    <w:rsid w:val="000F4486"/>
    <w:rsid w:val="000F7858"/>
    <w:rsid w:val="00100901"/>
    <w:rsid w:val="00100B0B"/>
    <w:rsid w:val="00104D7C"/>
    <w:rsid w:val="00104F09"/>
    <w:rsid w:val="001078CF"/>
    <w:rsid w:val="00110961"/>
    <w:rsid w:val="001114A5"/>
    <w:rsid w:val="00111F1B"/>
    <w:rsid w:val="00112179"/>
    <w:rsid w:val="00113071"/>
    <w:rsid w:val="0011597E"/>
    <w:rsid w:val="00115DEA"/>
    <w:rsid w:val="001167BE"/>
    <w:rsid w:val="00116CFE"/>
    <w:rsid w:val="00120D36"/>
    <w:rsid w:val="00123664"/>
    <w:rsid w:val="00123EFA"/>
    <w:rsid w:val="001246EF"/>
    <w:rsid w:val="00124767"/>
    <w:rsid w:val="00124C70"/>
    <w:rsid w:val="00125D85"/>
    <w:rsid w:val="0013208D"/>
    <w:rsid w:val="00132651"/>
    <w:rsid w:val="00132BC1"/>
    <w:rsid w:val="00147A4D"/>
    <w:rsid w:val="00150695"/>
    <w:rsid w:val="00152808"/>
    <w:rsid w:val="001534CE"/>
    <w:rsid w:val="00153E4F"/>
    <w:rsid w:val="00154618"/>
    <w:rsid w:val="0015670E"/>
    <w:rsid w:val="00156BAD"/>
    <w:rsid w:val="00160597"/>
    <w:rsid w:val="001613D3"/>
    <w:rsid w:val="001661E9"/>
    <w:rsid w:val="001661EB"/>
    <w:rsid w:val="001669D8"/>
    <w:rsid w:val="001705FD"/>
    <w:rsid w:val="00170A6B"/>
    <w:rsid w:val="00172DE7"/>
    <w:rsid w:val="00172E6E"/>
    <w:rsid w:val="0017543B"/>
    <w:rsid w:val="0017564A"/>
    <w:rsid w:val="00175831"/>
    <w:rsid w:val="001758FA"/>
    <w:rsid w:val="001764AC"/>
    <w:rsid w:val="00176BA5"/>
    <w:rsid w:val="00176D5A"/>
    <w:rsid w:val="00180F3C"/>
    <w:rsid w:val="00181DE6"/>
    <w:rsid w:val="00183729"/>
    <w:rsid w:val="001857C0"/>
    <w:rsid w:val="00185A01"/>
    <w:rsid w:val="00186B4F"/>
    <w:rsid w:val="00186F02"/>
    <w:rsid w:val="00187487"/>
    <w:rsid w:val="001919D2"/>
    <w:rsid w:val="00196CFB"/>
    <w:rsid w:val="00196F54"/>
    <w:rsid w:val="001A0807"/>
    <w:rsid w:val="001A1119"/>
    <w:rsid w:val="001A1489"/>
    <w:rsid w:val="001A14B7"/>
    <w:rsid w:val="001A1DC9"/>
    <w:rsid w:val="001A6462"/>
    <w:rsid w:val="001A652E"/>
    <w:rsid w:val="001A6D29"/>
    <w:rsid w:val="001A76AD"/>
    <w:rsid w:val="001A7CCC"/>
    <w:rsid w:val="001B0DBA"/>
    <w:rsid w:val="001B13B1"/>
    <w:rsid w:val="001B20FF"/>
    <w:rsid w:val="001B2A66"/>
    <w:rsid w:val="001B2FBF"/>
    <w:rsid w:val="001B316E"/>
    <w:rsid w:val="001B3A84"/>
    <w:rsid w:val="001B4F37"/>
    <w:rsid w:val="001B4F53"/>
    <w:rsid w:val="001B54BF"/>
    <w:rsid w:val="001C2FD2"/>
    <w:rsid w:val="001C3021"/>
    <w:rsid w:val="001C4529"/>
    <w:rsid w:val="001C5189"/>
    <w:rsid w:val="001C6221"/>
    <w:rsid w:val="001C6DEC"/>
    <w:rsid w:val="001C7359"/>
    <w:rsid w:val="001C74D3"/>
    <w:rsid w:val="001D027C"/>
    <w:rsid w:val="001D0C04"/>
    <w:rsid w:val="001D17B0"/>
    <w:rsid w:val="001D1CC6"/>
    <w:rsid w:val="001D28DF"/>
    <w:rsid w:val="001D3743"/>
    <w:rsid w:val="001D3C33"/>
    <w:rsid w:val="001D404F"/>
    <w:rsid w:val="001D471E"/>
    <w:rsid w:val="001D4927"/>
    <w:rsid w:val="001D5DE3"/>
    <w:rsid w:val="001D618C"/>
    <w:rsid w:val="001D7A04"/>
    <w:rsid w:val="001D7A85"/>
    <w:rsid w:val="001D7E0E"/>
    <w:rsid w:val="001E15AD"/>
    <w:rsid w:val="001E172D"/>
    <w:rsid w:val="001E2EE5"/>
    <w:rsid w:val="001E3CD5"/>
    <w:rsid w:val="001E5756"/>
    <w:rsid w:val="001E5938"/>
    <w:rsid w:val="001E62E6"/>
    <w:rsid w:val="001E6ADF"/>
    <w:rsid w:val="001F1E9A"/>
    <w:rsid w:val="001F2277"/>
    <w:rsid w:val="001F2DB6"/>
    <w:rsid w:val="001F3BD3"/>
    <w:rsid w:val="001F4570"/>
    <w:rsid w:val="001F4CA8"/>
    <w:rsid w:val="001F6669"/>
    <w:rsid w:val="00201576"/>
    <w:rsid w:val="00202780"/>
    <w:rsid w:val="00206ADF"/>
    <w:rsid w:val="00210194"/>
    <w:rsid w:val="002101E7"/>
    <w:rsid w:val="002102AB"/>
    <w:rsid w:val="00213C39"/>
    <w:rsid w:val="002143C6"/>
    <w:rsid w:val="00215245"/>
    <w:rsid w:val="00216F1B"/>
    <w:rsid w:val="002171A9"/>
    <w:rsid w:val="0022004C"/>
    <w:rsid w:val="002202ED"/>
    <w:rsid w:val="00220783"/>
    <w:rsid w:val="002221E3"/>
    <w:rsid w:val="00224B79"/>
    <w:rsid w:val="00226897"/>
    <w:rsid w:val="00227CE9"/>
    <w:rsid w:val="00230F3B"/>
    <w:rsid w:val="00235766"/>
    <w:rsid w:val="002369E2"/>
    <w:rsid w:val="00242701"/>
    <w:rsid w:val="00242C02"/>
    <w:rsid w:val="0024466C"/>
    <w:rsid w:val="002453E8"/>
    <w:rsid w:val="0024566D"/>
    <w:rsid w:val="00246CCF"/>
    <w:rsid w:val="002475EB"/>
    <w:rsid w:val="00247645"/>
    <w:rsid w:val="0025006C"/>
    <w:rsid w:val="00251445"/>
    <w:rsid w:val="002516D5"/>
    <w:rsid w:val="002523F2"/>
    <w:rsid w:val="00253240"/>
    <w:rsid w:val="00253A84"/>
    <w:rsid w:val="00253F08"/>
    <w:rsid w:val="00254B7B"/>
    <w:rsid w:val="002562B2"/>
    <w:rsid w:val="00256487"/>
    <w:rsid w:val="0025692B"/>
    <w:rsid w:val="00256EF8"/>
    <w:rsid w:val="002602A5"/>
    <w:rsid w:val="0026058B"/>
    <w:rsid w:val="00260D41"/>
    <w:rsid w:val="00260EFE"/>
    <w:rsid w:val="00261F66"/>
    <w:rsid w:val="002625A5"/>
    <w:rsid w:val="002630A8"/>
    <w:rsid w:val="002632A9"/>
    <w:rsid w:val="002659D6"/>
    <w:rsid w:val="00267ADE"/>
    <w:rsid w:val="002743C6"/>
    <w:rsid w:val="0027499D"/>
    <w:rsid w:val="00275C53"/>
    <w:rsid w:val="002764DB"/>
    <w:rsid w:val="00280843"/>
    <w:rsid w:val="00281EDF"/>
    <w:rsid w:val="002824FC"/>
    <w:rsid w:val="00283245"/>
    <w:rsid w:val="002832BB"/>
    <w:rsid w:val="0028568E"/>
    <w:rsid w:val="00286872"/>
    <w:rsid w:val="00293DF4"/>
    <w:rsid w:val="00296634"/>
    <w:rsid w:val="00296C23"/>
    <w:rsid w:val="002974A3"/>
    <w:rsid w:val="00297A69"/>
    <w:rsid w:val="00297FFD"/>
    <w:rsid w:val="002A0613"/>
    <w:rsid w:val="002A1936"/>
    <w:rsid w:val="002A5BCC"/>
    <w:rsid w:val="002A696B"/>
    <w:rsid w:val="002A6B10"/>
    <w:rsid w:val="002A7D76"/>
    <w:rsid w:val="002B5FCD"/>
    <w:rsid w:val="002B6114"/>
    <w:rsid w:val="002B6696"/>
    <w:rsid w:val="002B750D"/>
    <w:rsid w:val="002B7F49"/>
    <w:rsid w:val="002C1110"/>
    <w:rsid w:val="002C29CA"/>
    <w:rsid w:val="002C2AFA"/>
    <w:rsid w:val="002C2DDD"/>
    <w:rsid w:val="002C39A2"/>
    <w:rsid w:val="002C3FB5"/>
    <w:rsid w:val="002C404C"/>
    <w:rsid w:val="002C418F"/>
    <w:rsid w:val="002C4A3A"/>
    <w:rsid w:val="002C5518"/>
    <w:rsid w:val="002C778E"/>
    <w:rsid w:val="002C7C45"/>
    <w:rsid w:val="002D03EA"/>
    <w:rsid w:val="002D051D"/>
    <w:rsid w:val="002D0ED9"/>
    <w:rsid w:val="002D0FCB"/>
    <w:rsid w:val="002D174E"/>
    <w:rsid w:val="002D57F7"/>
    <w:rsid w:val="002D718B"/>
    <w:rsid w:val="002E2712"/>
    <w:rsid w:val="002E6283"/>
    <w:rsid w:val="002E7177"/>
    <w:rsid w:val="002F02CB"/>
    <w:rsid w:val="002F06DC"/>
    <w:rsid w:val="002F0CDD"/>
    <w:rsid w:val="002F117A"/>
    <w:rsid w:val="002F15F0"/>
    <w:rsid w:val="002F222F"/>
    <w:rsid w:val="002F27B1"/>
    <w:rsid w:val="002F3BE0"/>
    <w:rsid w:val="002F4336"/>
    <w:rsid w:val="002F4F0C"/>
    <w:rsid w:val="002F6321"/>
    <w:rsid w:val="002F63C6"/>
    <w:rsid w:val="002F7E3C"/>
    <w:rsid w:val="00300BFB"/>
    <w:rsid w:val="00300E6F"/>
    <w:rsid w:val="00301380"/>
    <w:rsid w:val="00302084"/>
    <w:rsid w:val="00302733"/>
    <w:rsid w:val="0030358E"/>
    <w:rsid w:val="00303879"/>
    <w:rsid w:val="00306C2C"/>
    <w:rsid w:val="00306CD2"/>
    <w:rsid w:val="003078D9"/>
    <w:rsid w:val="00307D16"/>
    <w:rsid w:val="00310DB9"/>
    <w:rsid w:val="00311C3B"/>
    <w:rsid w:val="003121D0"/>
    <w:rsid w:val="00313B91"/>
    <w:rsid w:val="00316FA1"/>
    <w:rsid w:val="003202FF"/>
    <w:rsid w:val="00321114"/>
    <w:rsid w:val="00321728"/>
    <w:rsid w:val="003240A8"/>
    <w:rsid w:val="00325833"/>
    <w:rsid w:val="003258E6"/>
    <w:rsid w:val="00326302"/>
    <w:rsid w:val="003308B9"/>
    <w:rsid w:val="003329E7"/>
    <w:rsid w:val="00333870"/>
    <w:rsid w:val="00333BBB"/>
    <w:rsid w:val="003345F3"/>
    <w:rsid w:val="00335690"/>
    <w:rsid w:val="003356E6"/>
    <w:rsid w:val="00336537"/>
    <w:rsid w:val="00341344"/>
    <w:rsid w:val="003415B1"/>
    <w:rsid w:val="003424F9"/>
    <w:rsid w:val="00343C0A"/>
    <w:rsid w:val="00344938"/>
    <w:rsid w:val="003468D4"/>
    <w:rsid w:val="003468E4"/>
    <w:rsid w:val="00346931"/>
    <w:rsid w:val="00347F07"/>
    <w:rsid w:val="00350A2C"/>
    <w:rsid w:val="00350CB5"/>
    <w:rsid w:val="003523F9"/>
    <w:rsid w:val="003557D6"/>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423B"/>
    <w:rsid w:val="00375B2F"/>
    <w:rsid w:val="00376337"/>
    <w:rsid w:val="00380C25"/>
    <w:rsid w:val="00380C59"/>
    <w:rsid w:val="00381466"/>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30"/>
    <w:rsid w:val="003A4164"/>
    <w:rsid w:val="003A47D0"/>
    <w:rsid w:val="003A4AD6"/>
    <w:rsid w:val="003A5CDC"/>
    <w:rsid w:val="003A735B"/>
    <w:rsid w:val="003B18CB"/>
    <w:rsid w:val="003B1F4C"/>
    <w:rsid w:val="003B289C"/>
    <w:rsid w:val="003B2D74"/>
    <w:rsid w:val="003B2E57"/>
    <w:rsid w:val="003B3ACB"/>
    <w:rsid w:val="003B52FC"/>
    <w:rsid w:val="003B549A"/>
    <w:rsid w:val="003B54CB"/>
    <w:rsid w:val="003B708F"/>
    <w:rsid w:val="003C10A4"/>
    <w:rsid w:val="003C132B"/>
    <w:rsid w:val="003C1440"/>
    <w:rsid w:val="003C178E"/>
    <w:rsid w:val="003C280D"/>
    <w:rsid w:val="003C2D80"/>
    <w:rsid w:val="003C2FEA"/>
    <w:rsid w:val="003C4034"/>
    <w:rsid w:val="003C4516"/>
    <w:rsid w:val="003C4C3B"/>
    <w:rsid w:val="003C71A1"/>
    <w:rsid w:val="003C76A5"/>
    <w:rsid w:val="003D2159"/>
    <w:rsid w:val="003D2B1C"/>
    <w:rsid w:val="003D460A"/>
    <w:rsid w:val="003D5540"/>
    <w:rsid w:val="003D6C47"/>
    <w:rsid w:val="003D7EBF"/>
    <w:rsid w:val="003D7F6F"/>
    <w:rsid w:val="003E2065"/>
    <w:rsid w:val="003E20CB"/>
    <w:rsid w:val="003E26E2"/>
    <w:rsid w:val="003E36FA"/>
    <w:rsid w:val="003E49FF"/>
    <w:rsid w:val="003F10F4"/>
    <w:rsid w:val="003F18EA"/>
    <w:rsid w:val="003F201C"/>
    <w:rsid w:val="003F22E0"/>
    <w:rsid w:val="003F2401"/>
    <w:rsid w:val="003F334C"/>
    <w:rsid w:val="003F3F0A"/>
    <w:rsid w:val="003F45F4"/>
    <w:rsid w:val="003F5534"/>
    <w:rsid w:val="003F59AB"/>
    <w:rsid w:val="003F5CAC"/>
    <w:rsid w:val="003F67BA"/>
    <w:rsid w:val="004003B4"/>
    <w:rsid w:val="004010C3"/>
    <w:rsid w:val="00401653"/>
    <w:rsid w:val="004023F0"/>
    <w:rsid w:val="00402FC1"/>
    <w:rsid w:val="00403A18"/>
    <w:rsid w:val="004051A4"/>
    <w:rsid w:val="00407335"/>
    <w:rsid w:val="00407A5D"/>
    <w:rsid w:val="004103D4"/>
    <w:rsid w:val="004110E9"/>
    <w:rsid w:val="004138CC"/>
    <w:rsid w:val="00413FBA"/>
    <w:rsid w:val="004144FD"/>
    <w:rsid w:val="00414DED"/>
    <w:rsid w:val="00415991"/>
    <w:rsid w:val="00417429"/>
    <w:rsid w:val="00417A8A"/>
    <w:rsid w:val="004200BC"/>
    <w:rsid w:val="00420E21"/>
    <w:rsid w:val="00423351"/>
    <w:rsid w:val="00423BAA"/>
    <w:rsid w:val="00423C94"/>
    <w:rsid w:val="00425F2A"/>
    <w:rsid w:val="00427C31"/>
    <w:rsid w:val="004304A6"/>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2553"/>
    <w:rsid w:val="004740ED"/>
    <w:rsid w:val="00474D25"/>
    <w:rsid w:val="00475059"/>
    <w:rsid w:val="004753FA"/>
    <w:rsid w:val="004757F4"/>
    <w:rsid w:val="00475887"/>
    <w:rsid w:val="00476B26"/>
    <w:rsid w:val="004771A6"/>
    <w:rsid w:val="00480421"/>
    <w:rsid w:val="00480D2A"/>
    <w:rsid w:val="00481971"/>
    <w:rsid w:val="00482044"/>
    <w:rsid w:val="00485B7B"/>
    <w:rsid w:val="00485D71"/>
    <w:rsid w:val="004867C1"/>
    <w:rsid w:val="0049161E"/>
    <w:rsid w:val="00491C71"/>
    <w:rsid w:val="00493A78"/>
    <w:rsid w:val="00493D3E"/>
    <w:rsid w:val="00496885"/>
    <w:rsid w:val="00496BC9"/>
    <w:rsid w:val="004A081C"/>
    <w:rsid w:val="004A10CF"/>
    <w:rsid w:val="004A2C7E"/>
    <w:rsid w:val="004A2CD0"/>
    <w:rsid w:val="004A2D11"/>
    <w:rsid w:val="004A372B"/>
    <w:rsid w:val="004A409D"/>
    <w:rsid w:val="004A5D56"/>
    <w:rsid w:val="004A6B37"/>
    <w:rsid w:val="004A72F3"/>
    <w:rsid w:val="004B0111"/>
    <w:rsid w:val="004B17AE"/>
    <w:rsid w:val="004B2236"/>
    <w:rsid w:val="004B269B"/>
    <w:rsid w:val="004B2B17"/>
    <w:rsid w:val="004B2B21"/>
    <w:rsid w:val="004B358E"/>
    <w:rsid w:val="004B6FC9"/>
    <w:rsid w:val="004B6FDC"/>
    <w:rsid w:val="004C0A85"/>
    <w:rsid w:val="004C3922"/>
    <w:rsid w:val="004C4CF2"/>
    <w:rsid w:val="004C6960"/>
    <w:rsid w:val="004C6F12"/>
    <w:rsid w:val="004D092A"/>
    <w:rsid w:val="004D0CD2"/>
    <w:rsid w:val="004D3320"/>
    <w:rsid w:val="004D359A"/>
    <w:rsid w:val="004D5A0C"/>
    <w:rsid w:val="004D6DD7"/>
    <w:rsid w:val="004D7124"/>
    <w:rsid w:val="004D76CC"/>
    <w:rsid w:val="004E09C1"/>
    <w:rsid w:val="004E1F76"/>
    <w:rsid w:val="004E2870"/>
    <w:rsid w:val="004E60E6"/>
    <w:rsid w:val="004E6DA7"/>
    <w:rsid w:val="004E789E"/>
    <w:rsid w:val="004F0097"/>
    <w:rsid w:val="004F0F2A"/>
    <w:rsid w:val="004F3087"/>
    <w:rsid w:val="004F32FC"/>
    <w:rsid w:val="004F3607"/>
    <w:rsid w:val="004F3CBC"/>
    <w:rsid w:val="004F3D5F"/>
    <w:rsid w:val="004F463F"/>
    <w:rsid w:val="004F5C81"/>
    <w:rsid w:val="004F6823"/>
    <w:rsid w:val="004F6906"/>
    <w:rsid w:val="004F71FD"/>
    <w:rsid w:val="00500391"/>
    <w:rsid w:val="00502064"/>
    <w:rsid w:val="00502AA6"/>
    <w:rsid w:val="00502B04"/>
    <w:rsid w:val="00503B50"/>
    <w:rsid w:val="005049E4"/>
    <w:rsid w:val="00505D49"/>
    <w:rsid w:val="005074C8"/>
    <w:rsid w:val="00510700"/>
    <w:rsid w:val="00510AD8"/>
    <w:rsid w:val="00511088"/>
    <w:rsid w:val="0051129D"/>
    <w:rsid w:val="00512189"/>
    <w:rsid w:val="00512CD7"/>
    <w:rsid w:val="00513D67"/>
    <w:rsid w:val="005170B6"/>
    <w:rsid w:val="0051774A"/>
    <w:rsid w:val="00517BD7"/>
    <w:rsid w:val="00517C1F"/>
    <w:rsid w:val="00517E25"/>
    <w:rsid w:val="0052016C"/>
    <w:rsid w:val="005205E9"/>
    <w:rsid w:val="00520B78"/>
    <w:rsid w:val="00520FD0"/>
    <w:rsid w:val="0052297F"/>
    <w:rsid w:val="0052746F"/>
    <w:rsid w:val="00527CBF"/>
    <w:rsid w:val="00530C72"/>
    <w:rsid w:val="00531B7B"/>
    <w:rsid w:val="00531C93"/>
    <w:rsid w:val="0053572D"/>
    <w:rsid w:val="0053698B"/>
    <w:rsid w:val="00537638"/>
    <w:rsid w:val="00540650"/>
    <w:rsid w:val="005411E0"/>
    <w:rsid w:val="00541FBE"/>
    <w:rsid w:val="00543C9F"/>
    <w:rsid w:val="00544446"/>
    <w:rsid w:val="005445E2"/>
    <w:rsid w:val="00544F92"/>
    <w:rsid w:val="005455F4"/>
    <w:rsid w:val="00546C0A"/>
    <w:rsid w:val="005479A5"/>
    <w:rsid w:val="00551522"/>
    <w:rsid w:val="00551C41"/>
    <w:rsid w:val="005522C4"/>
    <w:rsid w:val="00552557"/>
    <w:rsid w:val="0055442E"/>
    <w:rsid w:val="00556B95"/>
    <w:rsid w:val="00560C25"/>
    <w:rsid w:val="00561E7B"/>
    <w:rsid w:val="00562CE7"/>
    <w:rsid w:val="0056301F"/>
    <w:rsid w:val="00564082"/>
    <w:rsid w:val="00567152"/>
    <w:rsid w:val="00570891"/>
    <w:rsid w:val="00570AB4"/>
    <w:rsid w:val="005727D9"/>
    <w:rsid w:val="00572EE6"/>
    <w:rsid w:val="00573CFC"/>
    <w:rsid w:val="005740C8"/>
    <w:rsid w:val="00574419"/>
    <w:rsid w:val="0057447A"/>
    <w:rsid w:val="00574864"/>
    <w:rsid w:val="005751C3"/>
    <w:rsid w:val="0057549B"/>
    <w:rsid w:val="00576907"/>
    <w:rsid w:val="00576E0E"/>
    <w:rsid w:val="00581A62"/>
    <w:rsid w:val="00583088"/>
    <w:rsid w:val="0058365E"/>
    <w:rsid w:val="00583754"/>
    <w:rsid w:val="0058482C"/>
    <w:rsid w:val="00584939"/>
    <w:rsid w:val="0058608E"/>
    <w:rsid w:val="005862E2"/>
    <w:rsid w:val="005877CD"/>
    <w:rsid w:val="005926A2"/>
    <w:rsid w:val="00593A46"/>
    <w:rsid w:val="00593DFB"/>
    <w:rsid w:val="0059523A"/>
    <w:rsid w:val="0059598A"/>
    <w:rsid w:val="00595DCF"/>
    <w:rsid w:val="00596300"/>
    <w:rsid w:val="005A144D"/>
    <w:rsid w:val="005A3AAA"/>
    <w:rsid w:val="005A3ED8"/>
    <w:rsid w:val="005A4C79"/>
    <w:rsid w:val="005A4F13"/>
    <w:rsid w:val="005A5816"/>
    <w:rsid w:val="005A5FB2"/>
    <w:rsid w:val="005A6392"/>
    <w:rsid w:val="005A708F"/>
    <w:rsid w:val="005A75D3"/>
    <w:rsid w:val="005A7E79"/>
    <w:rsid w:val="005B0DE8"/>
    <w:rsid w:val="005B1F67"/>
    <w:rsid w:val="005B6457"/>
    <w:rsid w:val="005B6D36"/>
    <w:rsid w:val="005B7F17"/>
    <w:rsid w:val="005C3253"/>
    <w:rsid w:val="005C3CD1"/>
    <w:rsid w:val="005C3E08"/>
    <w:rsid w:val="005C48E0"/>
    <w:rsid w:val="005C4D9B"/>
    <w:rsid w:val="005C55C5"/>
    <w:rsid w:val="005C65ED"/>
    <w:rsid w:val="005C66F8"/>
    <w:rsid w:val="005C7B39"/>
    <w:rsid w:val="005D04BB"/>
    <w:rsid w:val="005D2B61"/>
    <w:rsid w:val="005D4FED"/>
    <w:rsid w:val="005D521C"/>
    <w:rsid w:val="005D586A"/>
    <w:rsid w:val="005D6982"/>
    <w:rsid w:val="005E0535"/>
    <w:rsid w:val="005E0546"/>
    <w:rsid w:val="005E303F"/>
    <w:rsid w:val="005E435B"/>
    <w:rsid w:val="005E4697"/>
    <w:rsid w:val="005E47CC"/>
    <w:rsid w:val="005E50F2"/>
    <w:rsid w:val="005E5108"/>
    <w:rsid w:val="005E57B2"/>
    <w:rsid w:val="005E7004"/>
    <w:rsid w:val="005F02F8"/>
    <w:rsid w:val="005F11ED"/>
    <w:rsid w:val="005F20CB"/>
    <w:rsid w:val="005F34F4"/>
    <w:rsid w:val="005F4239"/>
    <w:rsid w:val="005F620C"/>
    <w:rsid w:val="00600272"/>
    <w:rsid w:val="006025DC"/>
    <w:rsid w:val="006032D1"/>
    <w:rsid w:val="00605776"/>
    <w:rsid w:val="00605C05"/>
    <w:rsid w:val="0060613D"/>
    <w:rsid w:val="00607D39"/>
    <w:rsid w:val="00610161"/>
    <w:rsid w:val="006103CB"/>
    <w:rsid w:val="006105E2"/>
    <w:rsid w:val="00612A1F"/>
    <w:rsid w:val="00613A57"/>
    <w:rsid w:val="00613DF9"/>
    <w:rsid w:val="00614876"/>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279C2"/>
    <w:rsid w:val="00630142"/>
    <w:rsid w:val="00631880"/>
    <w:rsid w:val="00632490"/>
    <w:rsid w:val="0063613A"/>
    <w:rsid w:val="006373B9"/>
    <w:rsid w:val="0064055C"/>
    <w:rsid w:val="006433F5"/>
    <w:rsid w:val="00643A60"/>
    <w:rsid w:val="0065064B"/>
    <w:rsid w:val="006516DB"/>
    <w:rsid w:val="00652A50"/>
    <w:rsid w:val="00652C4E"/>
    <w:rsid w:val="00653F87"/>
    <w:rsid w:val="006549AA"/>
    <w:rsid w:val="00655C17"/>
    <w:rsid w:val="0066149E"/>
    <w:rsid w:val="00661B5F"/>
    <w:rsid w:val="00661C71"/>
    <w:rsid w:val="00661C84"/>
    <w:rsid w:val="00662D45"/>
    <w:rsid w:val="00662F00"/>
    <w:rsid w:val="00664B47"/>
    <w:rsid w:val="0066663E"/>
    <w:rsid w:val="006668BB"/>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40AC"/>
    <w:rsid w:val="00686CBF"/>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4C"/>
    <w:rsid w:val="006B56CF"/>
    <w:rsid w:val="006B649C"/>
    <w:rsid w:val="006C017E"/>
    <w:rsid w:val="006C1B0B"/>
    <w:rsid w:val="006C24EE"/>
    <w:rsid w:val="006C459A"/>
    <w:rsid w:val="006C735E"/>
    <w:rsid w:val="006C771A"/>
    <w:rsid w:val="006C7CED"/>
    <w:rsid w:val="006D125F"/>
    <w:rsid w:val="006D184B"/>
    <w:rsid w:val="006D1C02"/>
    <w:rsid w:val="006D2575"/>
    <w:rsid w:val="006D3ABE"/>
    <w:rsid w:val="006D4C72"/>
    <w:rsid w:val="006D5ACB"/>
    <w:rsid w:val="006D6E14"/>
    <w:rsid w:val="006D77B1"/>
    <w:rsid w:val="006D7F08"/>
    <w:rsid w:val="006E0BEA"/>
    <w:rsid w:val="006E18E6"/>
    <w:rsid w:val="006E1C60"/>
    <w:rsid w:val="006E1C6D"/>
    <w:rsid w:val="006E2CDA"/>
    <w:rsid w:val="006E329F"/>
    <w:rsid w:val="006E331E"/>
    <w:rsid w:val="006E3850"/>
    <w:rsid w:val="006E5248"/>
    <w:rsid w:val="006E54D1"/>
    <w:rsid w:val="006E6564"/>
    <w:rsid w:val="006E71F3"/>
    <w:rsid w:val="006E798D"/>
    <w:rsid w:val="006F0121"/>
    <w:rsid w:val="006F0BEB"/>
    <w:rsid w:val="006F1A56"/>
    <w:rsid w:val="006F34C5"/>
    <w:rsid w:val="006F515A"/>
    <w:rsid w:val="006F5240"/>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57C1"/>
    <w:rsid w:val="007160D5"/>
    <w:rsid w:val="00717209"/>
    <w:rsid w:val="007172A9"/>
    <w:rsid w:val="007228A8"/>
    <w:rsid w:val="0072550E"/>
    <w:rsid w:val="00725B8E"/>
    <w:rsid w:val="00726DDE"/>
    <w:rsid w:val="0072734D"/>
    <w:rsid w:val="00727A5C"/>
    <w:rsid w:val="00730675"/>
    <w:rsid w:val="00731C74"/>
    <w:rsid w:val="00732C7C"/>
    <w:rsid w:val="00732D4B"/>
    <w:rsid w:val="0073478C"/>
    <w:rsid w:val="00735DE1"/>
    <w:rsid w:val="00736825"/>
    <w:rsid w:val="00736C2C"/>
    <w:rsid w:val="00740036"/>
    <w:rsid w:val="00741A36"/>
    <w:rsid w:val="00741A7E"/>
    <w:rsid w:val="007459BA"/>
    <w:rsid w:val="00746102"/>
    <w:rsid w:val="007467D6"/>
    <w:rsid w:val="00752ED5"/>
    <w:rsid w:val="00753231"/>
    <w:rsid w:val="0075356C"/>
    <w:rsid w:val="00755926"/>
    <w:rsid w:val="00756BD8"/>
    <w:rsid w:val="00756C82"/>
    <w:rsid w:val="0075785D"/>
    <w:rsid w:val="00760A7F"/>
    <w:rsid w:val="00760F80"/>
    <w:rsid w:val="007619C5"/>
    <w:rsid w:val="00762D3D"/>
    <w:rsid w:val="00764724"/>
    <w:rsid w:val="00764DB1"/>
    <w:rsid w:val="00767002"/>
    <w:rsid w:val="00770E5E"/>
    <w:rsid w:val="007717CC"/>
    <w:rsid w:val="00771CB5"/>
    <w:rsid w:val="007720E0"/>
    <w:rsid w:val="00772561"/>
    <w:rsid w:val="0077395B"/>
    <w:rsid w:val="00774A52"/>
    <w:rsid w:val="0077534B"/>
    <w:rsid w:val="0077589D"/>
    <w:rsid w:val="00775B16"/>
    <w:rsid w:val="0077691B"/>
    <w:rsid w:val="007831E4"/>
    <w:rsid w:val="007832E9"/>
    <w:rsid w:val="007841CB"/>
    <w:rsid w:val="007844CB"/>
    <w:rsid w:val="00785AFD"/>
    <w:rsid w:val="00785C76"/>
    <w:rsid w:val="00786365"/>
    <w:rsid w:val="0078749A"/>
    <w:rsid w:val="00787E0C"/>
    <w:rsid w:val="00790393"/>
    <w:rsid w:val="00790E75"/>
    <w:rsid w:val="00791923"/>
    <w:rsid w:val="00794F6C"/>
    <w:rsid w:val="00795215"/>
    <w:rsid w:val="00795509"/>
    <w:rsid w:val="0079693B"/>
    <w:rsid w:val="00796F8A"/>
    <w:rsid w:val="007A00F8"/>
    <w:rsid w:val="007A079D"/>
    <w:rsid w:val="007A0AC2"/>
    <w:rsid w:val="007A1FA8"/>
    <w:rsid w:val="007A2E2E"/>
    <w:rsid w:val="007A2F6C"/>
    <w:rsid w:val="007A3E69"/>
    <w:rsid w:val="007A4CFE"/>
    <w:rsid w:val="007A5493"/>
    <w:rsid w:val="007A693D"/>
    <w:rsid w:val="007B2320"/>
    <w:rsid w:val="007B431A"/>
    <w:rsid w:val="007B4A0C"/>
    <w:rsid w:val="007B69E2"/>
    <w:rsid w:val="007B707D"/>
    <w:rsid w:val="007B78F7"/>
    <w:rsid w:val="007C00A6"/>
    <w:rsid w:val="007C165E"/>
    <w:rsid w:val="007C1804"/>
    <w:rsid w:val="007C2E05"/>
    <w:rsid w:val="007C306E"/>
    <w:rsid w:val="007C48CB"/>
    <w:rsid w:val="007C6696"/>
    <w:rsid w:val="007C6B1A"/>
    <w:rsid w:val="007D0A8C"/>
    <w:rsid w:val="007D1685"/>
    <w:rsid w:val="007D3301"/>
    <w:rsid w:val="007D35E2"/>
    <w:rsid w:val="007D3A03"/>
    <w:rsid w:val="007D3EE4"/>
    <w:rsid w:val="007D5257"/>
    <w:rsid w:val="007D5871"/>
    <w:rsid w:val="007D5E55"/>
    <w:rsid w:val="007D617C"/>
    <w:rsid w:val="007E0318"/>
    <w:rsid w:val="007E03D3"/>
    <w:rsid w:val="007E06AA"/>
    <w:rsid w:val="007E0D31"/>
    <w:rsid w:val="007E144D"/>
    <w:rsid w:val="007E248A"/>
    <w:rsid w:val="007E6641"/>
    <w:rsid w:val="007F2020"/>
    <w:rsid w:val="007F521C"/>
    <w:rsid w:val="007F5AB0"/>
    <w:rsid w:val="007F63D1"/>
    <w:rsid w:val="007F7D97"/>
    <w:rsid w:val="008004B0"/>
    <w:rsid w:val="00801CC1"/>
    <w:rsid w:val="0080208D"/>
    <w:rsid w:val="00803391"/>
    <w:rsid w:val="00804F56"/>
    <w:rsid w:val="0080589A"/>
    <w:rsid w:val="00805BC3"/>
    <w:rsid w:val="00806085"/>
    <w:rsid w:val="00806BA0"/>
    <w:rsid w:val="00810302"/>
    <w:rsid w:val="0081173E"/>
    <w:rsid w:val="00811BE0"/>
    <w:rsid w:val="00812D46"/>
    <w:rsid w:val="008136D1"/>
    <w:rsid w:val="00813E5B"/>
    <w:rsid w:val="008144E2"/>
    <w:rsid w:val="00814ABB"/>
    <w:rsid w:val="00814DCB"/>
    <w:rsid w:val="0081674D"/>
    <w:rsid w:val="00816B72"/>
    <w:rsid w:val="008173E0"/>
    <w:rsid w:val="00817B1B"/>
    <w:rsid w:val="00820B9E"/>
    <w:rsid w:val="00820F09"/>
    <w:rsid w:val="008220D3"/>
    <w:rsid w:val="008249E9"/>
    <w:rsid w:val="008252B1"/>
    <w:rsid w:val="0082553A"/>
    <w:rsid w:val="0082598C"/>
    <w:rsid w:val="00825EAE"/>
    <w:rsid w:val="0082673F"/>
    <w:rsid w:val="00830181"/>
    <w:rsid w:val="008310AD"/>
    <w:rsid w:val="00831729"/>
    <w:rsid w:val="00831E08"/>
    <w:rsid w:val="00834EDB"/>
    <w:rsid w:val="0083645E"/>
    <w:rsid w:val="00836DB2"/>
    <w:rsid w:val="00841A70"/>
    <w:rsid w:val="00842117"/>
    <w:rsid w:val="008422C0"/>
    <w:rsid w:val="008423C8"/>
    <w:rsid w:val="00845BD6"/>
    <w:rsid w:val="0084645A"/>
    <w:rsid w:val="00846AFC"/>
    <w:rsid w:val="00846DA3"/>
    <w:rsid w:val="00847440"/>
    <w:rsid w:val="00852821"/>
    <w:rsid w:val="00860948"/>
    <w:rsid w:val="00863655"/>
    <w:rsid w:val="008636CE"/>
    <w:rsid w:val="00865B67"/>
    <w:rsid w:val="0086603B"/>
    <w:rsid w:val="0087118F"/>
    <w:rsid w:val="0087141A"/>
    <w:rsid w:val="00871536"/>
    <w:rsid w:val="00871AC7"/>
    <w:rsid w:val="008722A1"/>
    <w:rsid w:val="00873A80"/>
    <w:rsid w:val="00875318"/>
    <w:rsid w:val="00876DE7"/>
    <w:rsid w:val="008803A2"/>
    <w:rsid w:val="0088165A"/>
    <w:rsid w:val="0088217C"/>
    <w:rsid w:val="00882DDF"/>
    <w:rsid w:val="00884C3C"/>
    <w:rsid w:val="0088509E"/>
    <w:rsid w:val="00885736"/>
    <w:rsid w:val="00885AAC"/>
    <w:rsid w:val="008865E9"/>
    <w:rsid w:val="0088777F"/>
    <w:rsid w:val="0088797E"/>
    <w:rsid w:val="00887B7E"/>
    <w:rsid w:val="00890ACA"/>
    <w:rsid w:val="00890E94"/>
    <w:rsid w:val="00891297"/>
    <w:rsid w:val="0089298E"/>
    <w:rsid w:val="00893128"/>
    <w:rsid w:val="008932ED"/>
    <w:rsid w:val="008946B4"/>
    <w:rsid w:val="00894738"/>
    <w:rsid w:val="00894853"/>
    <w:rsid w:val="00894959"/>
    <w:rsid w:val="00895DE0"/>
    <w:rsid w:val="00895F32"/>
    <w:rsid w:val="008966C4"/>
    <w:rsid w:val="008A01C2"/>
    <w:rsid w:val="008A0CE0"/>
    <w:rsid w:val="008A0E38"/>
    <w:rsid w:val="008A1638"/>
    <w:rsid w:val="008A507A"/>
    <w:rsid w:val="008A5455"/>
    <w:rsid w:val="008A6614"/>
    <w:rsid w:val="008A68D3"/>
    <w:rsid w:val="008A7581"/>
    <w:rsid w:val="008A7880"/>
    <w:rsid w:val="008B006C"/>
    <w:rsid w:val="008B26C2"/>
    <w:rsid w:val="008B4113"/>
    <w:rsid w:val="008B531B"/>
    <w:rsid w:val="008B6512"/>
    <w:rsid w:val="008B6721"/>
    <w:rsid w:val="008C0D47"/>
    <w:rsid w:val="008C126A"/>
    <w:rsid w:val="008C2611"/>
    <w:rsid w:val="008C277F"/>
    <w:rsid w:val="008C28D3"/>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4949"/>
    <w:rsid w:val="008E55BD"/>
    <w:rsid w:val="008E5993"/>
    <w:rsid w:val="008E5FEA"/>
    <w:rsid w:val="008F035C"/>
    <w:rsid w:val="008F143B"/>
    <w:rsid w:val="008F4AF1"/>
    <w:rsid w:val="008F6D27"/>
    <w:rsid w:val="0090041D"/>
    <w:rsid w:val="0090302C"/>
    <w:rsid w:val="00903C04"/>
    <w:rsid w:val="00906776"/>
    <w:rsid w:val="009072BC"/>
    <w:rsid w:val="00907433"/>
    <w:rsid w:val="00910782"/>
    <w:rsid w:val="00911F77"/>
    <w:rsid w:val="00911FB9"/>
    <w:rsid w:val="009138B4"/>
    <w:rsid w:val="00913DFF"/>
    <w:rsid w:val="00913E1D"/>
    <w:rsid w:val="009153EE"/>
    <w:rsid w:val="009157B8"/>
    <w:rsid w:val="00916000"/>
    <w:rsid w:val="00916162"/>
    <w:rsid w:val="00917409"/>
    <w:rsid w:val="00920363"/>
    <w:rsid w:val="00922FE1"/>
    <w:rsid w:val="00923A8A"/>
    <w:rsid w:val="0093339F"/>
    <w:rsid w:val="0093635C"/>
    <w:rsid w:val="00937A0F"/>
    <w:rsid w:val="00937B25"/>
    <w:rsid w:val="00940E33"/>
    <w:rsid w:val="00942118"/>
    <w:rsid w:val="009439E2"/>
    <w:rsid w:val="00943DF5"/>
    <w:rsid w:val="00945393"/>
    <w:rsid w:val="009465E4"/>
    <w:rsid w:val="0095080F"/>
    <w:rsid w:val="009516F5"/>
    <w:rsid w:val="00952041"/>
    <w:rsid w:val="0095405E"/>
    <w:rsid w:val="00957A9F"/>
    <w:rsid w:val="009617BC"/>
    <w:rsid w:val="00961D8B"/>
    <w:rsid w:val="00963753"/>
    <w:rsid w:val="009660C4"/>
    <w:rsid w:val="0096649E"/>
    <w:rsid w:val="00966DF0"/>
    <w:rsid w:val="00967153"/>
    <w:rsid w:val="00970827"/>
    <w:rsid w:val="00970D31"/>
    <w:rsid w:val="00973D50"/>
    <w:rsid w:val="009756C1"/>
    <w:rsid w:val="00975804"/>
    <w:rsid w:val="009758BC"/>
    <w:rsid w:val="0097601C"/>
    <w:rsid w:val="00980490"/>
    <w:rsid w:val="009808C9"/>
    <w:rsid w:val="00980D48"/>
    <w:rsid w:val="00981FC7"/>
    <w:rsid w:val="00982B06"/>
    <w:rsid w:val="0098630A"/>
    <w:rsid w:val="00987921"/>
    <w:rsid w:val="00987A6A"/>
    <w:rsid w:val="009947FA"/>
    <w:rsid w:val="009952A3"/>
    <w:rsid w:val="00996267"/>
    <w:rsid w:val="00996485"/>
    <w:rsid w:val="009A022F"/>
    <w:rsid w:val="009A0F21"/>
    <w:rsid w:val="009A2110"/>
    <w:rsid w:val="009A270A"/>
    <w:rsid w:val="009A2C76"/>
    <w:rsid w:val="009A3AB9"/>
    <w:rsid w:val="009A3ACD"/>
    <w:rsid w:val="009A4317"/>
    <w:rsid w:val="009A530F"/>
    <w:rsid w:val="009A6104"/>
    <w:rsid w:val="009A7FE4"/>
    <w:rsid w:val="009B0174"/>
    <w:rsid w:val="009B0372"/>
    <w:rsid w:val="009B162D"/>
    <w:rsid w:val="009B1F90"/>
    <w:rsid w:val="009B2BC6"/>
    <w:rsid w:val="009B36E4"/>
    <w:rsid w:val="009B5150"/>
    <w:rsid w:val="009B5441"/>
    <w:rsid w:val="009B7375"/>
    <w:rsid w:val="009B7F31"/>
    <w:rsid w:val="009C0390"/>
    <w:rsid w:val="009C17B2"/>
    <w:rsid w:val="009C1A52"/>
    <w:rsid w:val="009C234E"/>
    <w:rsid w:val="009C33A0"/>
    <w:rsid w:val="009C3E73"/>
    <w:rsid w:val="009C6741"/>
    <w:rsid w:val="009C69EE"/>
    <w:rsid w:val="009C70F8"/>
    <w:rsid w:val="009C7C04"/>
    <w:rsid w:val="009D001B"/>
    <w:rsid w:val="009D0FB8"/>
    <w:rsid w:val="009D2025"/>
    <w:rsid w:val="009D22F8"/>
    <w:rsid w:val="009D2990"/>
    <w:rsid w:val="009D3D6A"/>
    <w:rsid w:val="009D62E8"/>
    <w:rsid w:val="009D74A8"/>
    <w:rsid w:val="009D7A20"/>
    <w:rsid w:val="009D7AFA"/>
    <w:rsid w:val="009E02A8"/>
    <w:rsid w:val="009E2284"/>
    <w:rsid w:val="009E28A2"/>
    <w:rsid w:val="009E3459"/>
    <w:rsid w:val="009E4819"/>
    <w:rsid w:val="009E4FDA"/>
    <w:rsid w:val="009E657D"/>
    <w:rsid w:val="009E6B3F"/>
    <w:rsid w:val="009E6BF2"/>
    <w:rsid w:val="009E749F"/>
    <w:rsid w:val="009F1626"/>
    <w:rsid w:val="009F1811"/>
    <w:rsid w:val="009F3046"/>
    <w:rsid w:val="009F374F"/>
    <w:rsid w:val="009F3E5D"/>
    <w:rsid w:val="009F3E99"/>
    <w:rsid w:val="009F4026"/>
    <w:rsid w:val="009F6B30"/>
    <w:rsid w:val="009F6CEF"/>
    <w:rsid w:val="009F750A"/>
    <w:rsid w:val="00A00804"/>
    <w:rsid w:val="00A01427"/>
    <w:rsid w:val="00A01C15"/>
    <w:rsid w:val="00A02A88"/>
    <w:rsid w:val="00A03075"/>
    <w:rsid w:val="00A0318C"/>
    <w:rsid w:val="00A04207"/>
    <w:rsid w:val="00A05A88"/>
    <w:rsid w:val="00A062AB"/>
    <w:rsid w:val="00A06EB8"/>
    <w:rsid w:val="00A07C4A"/>
    <w:rsid w:val="00A1347A"/>
    <w:rsid w:val="00A141D1"/>
    <w:rsid w:val="00A174E5"/>
    <w:rsid w:val="00A17797"/>
    <w:rsid w:val="00A204EA"/>
    <w:rsid w:val="00A213C3"/>
    <w:rsid w:val="00A26D16"/>
    <w:rsid w:val="00A26DE2"/>
    <w:rsid w:val="00A27D10"/>
    <w:rsid w:val="00A31148"/>
    <w:rsid w:val="00A311FC"/>
    <w:rsid w:val="00A31AD4"/>
    <w:rsid w:val="00A32DC9"/>
    <w:rsid w:val="00A337ED"/>
    <w:rsid w:val="00A33CA4"/>
    <w:rsid w:val="00A3441A"/>
    <w:rsid w:val="00A357D7"/>
    <w:rsid w:val="00A36A62"/>
    <w:rsid w:val="00A36C41"/>
    <w:rsid w:val="00A36D80"/>
    <w:rsid w:val="00A36EA8"/>
    <w:rsid w:val="00A379AC"/>
    <w:rsid w:val="00A400C5"/>
    <w:rsid w:val="00A405F6"/>
    <w:rsid w:val="00A4284D"/>
    <w:rsid w:val="00A44FAD"/>
    <w:rsid w:val="00A45187"/>
    <w:rsid w:val="00A45437"/>
    <w:rsid w:val="00A4556E"/>
    <w:rsid w:val="00A457D7"/>
    <w:rsid w:val="00A4618A"/>
    <w:rsid w:val="00A46CDB"/>
    <w:rsid w:val="00A470B9"/>
    <w:rsid w:val="00A503B7"/>
    <w:rsid w:val="00A51989"/>
    <w:rsid w:val="00A541AF"/>
    <w:rsid w:val="00A54B41"/>
    <w:rsid w:val="00A55500"/>
    <w:rsid w:val="00A55691"/>
    <w:rsid w:val="00A55E3E"/>
    <w:rsid w:val="00A57CA6"/>
    <w:rsid w:val="00A61336"/>
    <w:rsid w:val="00A61451"/>
    <w:rsid w:val="00A62CE0"/>
    <w:rsid w:val="00A634B9"/>
    <w:rsid w:val="00A645E5"/>
    <w:rsid w:val="00A6641D"/>
    <w:rsid w:val="00A66AC5"/>
    <w:rsid w:val="00A6799B"/>
    <w:rsid w:val="00A71AA3"/>
    <w:rsid w:val="00A72938"/>
    <w:rsid w:val="00A72AAC"/>
    <w:rsid w:val="00A732B0"/>
    <w:rsid w:val="00A7439D"/>
    <w:rsid w:val="00A80259"/>
    <w:rsid w:val="00A80304"/>
    <w:rsid w:val="00A8060E"/>
    <w:rsid w:val="00A80D28"/>
    <w:rsid w:val="00A8235B"/>
    <w:rsid w:val="00A82D9E"/>
    <w:rsid w:val="00A83E0A"/>
    <w:rsid w:val="00A8443A"/>
    <w:rsid w:val="00A8760C"/>
    <w:rsid w:val="00A92772"/>
    <w:rsid w:val="00A935AB"/>
    <w:rsid w:val="00A93C24"/>
    <w:rsid w:val="00A94110"/>
    <w:rsid w:val="00A944C3"/>
    <w:rsid w:val="00A94EE9"/>
    <w:rsid w:val="00A95CD8"/>
    <w:rsid w:val="00A95D26"/>
    <w:rsid w:val="00A9797C"/>
    <w:rsid w:val="00AA0808"/>
    <w:rsid w:val="00AA0C1A"/>
    <w:rsid w:val="00AA10F8"/>
    <w:rsid w:val="00AA18A1"/>
    <w:rsid w:val="00AA526B"/>
    <w:rsid w:val="00AA5333"/>
    <w:rsid w:val="00AA60AB"/>
    <w:rsid w:val="00AA6621"/>
    <w:rsid w:val="00AA6754"/>
    <w:rsid w:val="00AA7F00"/>
    <w:rsid w:val="00AB0DBC"/>
    <w:rsid w:val="00AB359E"/>
    <w:rsid w:val="00AB374E"/>
    <w:rsid w:val="00AB415F"/>
    <w:rsid w:val="00AB550E"/>
    <w:rsid w:val="00AB56B1"/>
    <w:rsid w:val="00AB6BBC"/>
    <w:rsid w:val="00AB717E"/>
    <w:rsid w:val="00AB7B3C"/>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07E4"/>
    <w:rsid w:val="00AE09BF"/>
    <w:rsid w:val="00AE2E75"/>
    <w:rsid w:val="00AE4E00"/>
    <w:rsid w:val="00AE5EBC"/>
    <w:rsid w:val="00AE7728"/>
    <w:rsid w:val="00AE793D"/>
    <w:rsid w:val="00AF2C53"/>
    <w:rsid w:val="00AF362E"/>
    <w:rsid w:val="00AF39A9"/>
    <w:rsid w:val="00AF4B7F"/>
    <w:rsid w:val="00AF4EB1"/>
    <w:rsid w:val="00AF5A34"/>
    <w:rsid w:val="00AF61BB"/>
    <w:rsid w:val="00AF6E84"/>
    <w:rsid w:val="00AF79FA"/>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FE1"/>
    <w:rsid w:val="00B23914"/>
    <w:rsid w:val="00B2422A"/>
    <w:rsid w:val="00B24663"/>
    <w:rsid w:val="00B25879"/>
    <w:rsid w:val="00B26143"/>
    <w:rsid w:val="00B26491"/>
    <w:rsid w:val="00B279E3"/>
    <w:rsid w:val="00B27D49"/>
    <w:rsid w:val="00B303CF"/>
    <w:rsid w:val="00B3350F"/>
    <w:rsid w:val="00B33999"/>
    <w:rsid w:val="00B35E11"/>
    <w:rsid w:val="00B36AB1"/>
    <w:rsid w:val="00B37ADA"/>
    <w:rsid w:val="00B37DEE"/>
    <w:rsid w:val="00B40ED3"/>
    <w:rsid w:val="00B43537"/>
    <w:rsid w:val="00B44F70"/>
    <w:rsid w:val="00B4546F"/>
    <w:rsid w:val="00B454A4"/>
    <w:rsid w:val="00B456EA"/>
    <w:rsid w:val="00B47178"/>
    <w:rsid w:val="00B47474"/>
    <w:rsid w:val="00B478B3"/>
    <w:rsid w:val="00B50BF6"/>
    <w:rsid w:val="00B532ED"/>
    <w:rsid w:val="00B54726"/>
    <w:rsid w:val="00B552CE"/>
    <w:rsid w:val="00B57A52"/>
    <w:rsid w:val="00B601B8"/>
    <w:rsid w:val="00B6498E"/>
    <w:rsid w:val="00B64A6C"/>
    <w:rsid w:val="00B6551D"/>
    <w:rsid w:val="00B66560"/>
    <w:rsid w:val="00B70124"/>
    <w:rsid w:val="00B7318C"/>
    <w:rsid w:val="00B735F6"/>
    <w:rsid w:val="00B74E06"/>
    <w:rsid w:val="00B756BF"/>
    <w:rsid w:val="00B7781F"/>
    <w:rsid w:val="00B77B93"/>
    <w:rsid w:val="00B821BB"/>
    <w:rsid w:val="00B8304C"/>
    <w:rsid w:val="00B83E54"/>
    <w:rsid w:val="00B8440B"/>
    <w:rsid w:val="00B84A52"/>
    <w:rsid w:val="00B87C8E"/>
    <w:rsid w:val="00B91290"/>
    <w:rsid w:val="00B91FF8"/>
    <w:rsid w:val="00B9265D"/>
    <w:rsid w:val="00B944A3"/>
    <w:rsid w:val="00B94AF9"/>
    <w:rsid w:val="00B94FB7"/>
    <w:rsid w:val="00B95604"/>
    <w:rsid w:val="00B96504"/>
    <w:rsid w:val="00B975FB"/>
    <w:rsid w:val="00B978F7"/>
    <w:rsid w:val="00BA0039"/>
    <w:rsid w:val="00BA03D9"/>
    <w:rsid w:val="00BA20F1"/>
    <w:rsid w:val="00BA53F2"/>
    <w:rsid w:val="00BA579B"/>
    <w:rsid w:val="00BA5C60"/>
    <w:rsid w:val="00BA7014"/>
    <w:rsid w:val="00BA77EF"/>
    <w:rsid w:val="00BB2964"/>
    <w:rsid w:val="00BB3247"/>
    <w:rsid w:val="00BB4163"/>
    <w:rsid w:val="00BB4636"/>
    <w:rsid w:val="00BB5D87"/>
    <w:rsid w:val="00BB673A"/>
    <w:rsid w:val="00BB71B8"/>
    <w:rsid w:val="00BB7561"/>
    <w:rsid w:val="00BC010F"/>
    <w:rsid w:val="00BC24BD"/>
    <w:rsid w:val="00BC2522"/>
    <w:rsid w:val="00BC2B52"/>
    <w:rsid w:val="00BC378D"/>
    <w:rsid w:val="00BC4B1A"/>
    <w:rsid w:val="00BC5A5C"/>
    <w:rsid w:val="00BC623E"/>
    <w:rsid w:val="00BC6AAA"/>
    <w:rsid w:val="00BC6EAB"/>
    <w:rsid w:val="00BD11A8"/>
    <w:rsid w:val="00BD1BE4"/>
    <w:rsid w:val="00BD3187"/>
    <w:rsid w:val="00BD3C16"/>
    <w:rsid w:val="00BD3CC9"/>
    <w:rsid w:val="00BD400E"/>
    <w:rsid w:val="00BD405A"/>
    <w:rsid w:val="00BD4AD9"/>
    <w:rsid w:val="00BD60F7"/>
    <w:rsid w:val="00BD640A"/>
    <w:rsid w:val="00BD67E1"/>
    <w:rsid w:val="00BD6BC1"/>
    <w:rsid w:val="00BE0654"/>
    <w:rsid w:val="00BE0F1C"/>
    <w:rsid w:val="00BE1F87"/>
    <w:rsid w:val="00BE7DBB"/>
    <w:rsid w:val="00BE7F80"/>
    <w:rsid w:val="00BF010B"/>
    <w:rsid w:val="00BF0700"/>
    <w:rsid w:val="00BF2DE4"/>
    <w:rsid w:val="00BF35D9"/>
    <w:rsid w:val="00BF3CEF"/>
    <w:rsid w:val="00BF4CFE"/>
    <w:rsid w:val="00BF4EB0"/>
    <w:rsid w:val="00BF4F0B"/>
    <w:rsid w:val="00BF5601"/>
    <w:rsid w:val="00C002B4"/>
    <w:rsid w:val="00C02075"/>
    <w:rsid w:val="00C028E4"/>
    <w:rsid w:val="00C02C94"/>
    <w:rsid w:val="00C06D3F"/>
    <w:rsid w:val="00C10598"/>
    <w:rsid w:val="00C126F6"/>
    <w:rsid w:val="00C1343E"/>
    <w:rsid w:val="00C13AC4"/>
    <w:rsid w:val="00C14F53"/>
    <w:rsid w:val="00C16360"/>
    <w:rsid w:val="00C16659"/>
    <w:rsid w:val="00C233F2"/>
    <w:rsid w:val="00C23687"/>
    <w:rsid w:val="00C24942"/>
    <w:rsid w:val="00C262E5"/>
    <w:rsid w:val="00C26E60"/>
    <w:rsid w:val="00C341CF"/>
    <w:rsid w:val="00C3694A"/>
    <w:rsid w:val="00C40139"/>
    <w:rsid w:val="00C402E7"/>
    <w:rsid w:val="00C403D8"/>
    <w:rsid w:val="00C40D1D"/>
    <w:rsid w:val="00C41BDE"/>
    <w:rsid w:val="00C43219"/>
    <w:rsid w:val="00C43A40"/>
    <w:rsid w:val="00C43FF4"/>
    <w:rsid w:val="00C447BD"/>
    <w:rsid w:val="00C44998"/>
    <w:rsid w:val="00C45011"/>
    <w:rsid w:val="00C45BF3"/>
    <w:rsid w:val="00C47F3E"/>
    <w:rsid w:val="00C50324"/>
    <w:rsid w:val="00C503C2"/>
    <w:rsid w:val="00C50979"/>
    <w:rsid w:val="00C50AFC"/>
    <w:rsid w:val="00C51DCB"/>
    <w:rsid w:val="00C52086"/>
    <w:rsid w:val="00C53944"/>
    <w:rsid w:val="00C53F17"/>
    <w:rsid w:val="00C546A1"/>
    <w:rsid w:val="00C550B4"/>
    <w:rsid w:val="00C5527C"/>
    <w:rsid w:val="00C5541F"/>
    <w:rsid w:val="00C56D3E"/>
    <w:rsid w:val="00C575A2"/>
    <w:rsid w:val="00C60068"/>
    <w:rsid w:val="00C60617"/>
    <w:rsid w:val="00C60C55"/>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6611"/>
    <w:rsid w:val="00C90790"/>
    <w:rsid w:val="00C9118A"/>
    <w:rsid w:val="00C93331"/>
    <w:rsid w:val="00C944D5"/>
    <w:rsid w:val="00C96F89"/>
    <w:rsid w:val="00CA0DE8"/>
    <w:rsid w:val="00CA4385"/>
    <w:rsid w:val="00CA4776"/>
    <w:rsid w:val="00CA778F"/>
    <w:rsid w:val="00CB0811"/>
    <w:rsid w:val="00CB0FAF"/>
    <w:rsid w:val="00CB143C"/>
    <w:rsid w:val="00CB21D0"/>
    <w:rsid w:val="00CB2751"/>
    <w:rsid w:val="00CB3061"/>
    <w:rsid w:val="00CB492E"/>
    <w:rsid w:val="00CB6E7A"/>
    <w:rsid w:val="00CC00FE"/>
    <w:rsid w:val="00CC1789"/>
    <w:rsid w:val="00CC361B"/>
    <w:rsid w:val="00CC479C"/>
    <w:rsid w:val="00CC5563"/>
    <w:rsid w:val="00CC55BA"/>
    <w:rsid w:val="00CC57CC"/>
    <w:rsid w:val="00CC6633"/>
    <w:rsid w:val="00CC6B58"/>
    <w:rsid w:val="00CC7A09"/>
    <w:rsid w:val="00CD017B"/>
    <w:rsid w:val="00CD0544"/>
    <w:rsid w:val="00CD283B"/>
    <w:rsid w:val="00CD587D"/>
    <w:rsid w:val="00CD5DC6"/>
    <w:rsid w:val="00CD6465"/>
    <w:rsid w:val="00CD66C9"/>
    <w:rsid w:val="00CD79BD"/>
    <w:rsid w:val="00CE20DC"/>
    <w:rsid w:val="00CE5AF2"/>
    <w:rsid w:val="00CE6871"/>
    <w:rsid w:val="00CE6BA3"/>
    <w:rsid w:val="00CE7DFC"/>
    <w:rsid w:val="00CF044F"/>
    <w:rsid w:val="00CF1156"/>
    <w:rsid w:val="00CF3AE5"/>
    <w:rsid w:val="00CF4535"/>
    <w:rsid w:val="00CF6D8B"/>
    <w:rsid w:val="00CF6E03"/>
    <w:rsid w:val="00CF7400"/>
    <w:rsid w:val="00D0012B"/>
    <w:rsid w:val="00D006FE"/>
    <w:rsid w:val="00D015F6"/>
    <w:rsid w:val="00D02211"/>
    <w:rsid w:val="00D0458D"/>
    <w:rsid w:val="00D061D8"/>
    <w:rsid w:val="00D06B9E"/>
    <w:rsid w:val="00D12B12"/>
    <w:rsid w:val="00D12C12"/>
    <w:rsid w:val="00D139B7"/>
    <w:rsid w:val="00D14C0C"/>
    <w:rsid w:val="00D164EA"/>
    <w:rsid w:val="00D17339"/>
    <w:rsid w:val="00D1741E"/>
    <w:rsid w:val="00D2011F"/>
    <w:rsid w:val="00D208DE"/>
    <w:rsid w:val="00D22321"/>
    <w:rsid w:val="00D22DB5"/>
    <w:rsid w:val="00D2382D"/>
    <w:rsid w:val="00D24042"/>
    <w:rsid w:val="00D248E0"/>
    <w:rsid w:val="00D2608A"/>
    <w:rsid w:val="00D267C9"/>
    <w:rsid w:val="00D27BD8"/>
    <w:rsid w:val="00D3036E"/>
    <w:rsid w:val="00D31610"/>
    <w:rsid w:val="00D31846"/>
    <w:rsid w:val="00D326EE"/>
    <w:rsid w:val="00D32DA2"/>
    <w:rsid w:val="00D332C1"/>
    <w:rsid w:val="00D33922"/>
    <w:rsid w:val="00D3570D"/>
    <w:rsid w:val="00D35F3E"/>
    <w:rsid w:val="00D3650A"/>
    <w:rsid w:val="00D37291"/>
    <w:rsid w:val="00D42F71"/>
    <w:rsid w:val="00D43549"/>
    <w:rsid w:val="00D436AC"/>
    <w:rsid w:val="00D46AD0"/>
    <w:rsid w:val="00D46B40"/>
    <w:rsid w:val="00D47A6A"/>
    <w:rsid w:val="00D50991"/>
    <w:rsid w:val="00D52188"/>
    <w:rsid w:val="00D524A9"/>
    <w:rsid w:val="00D530C9"/>
    <w:rsid w:val="00D545D1"/>
    <w:rsid w:val="00D5635A"/>
    <w:rsid w:val="00D566D4"/>
    <w:rsid w:val="00D567D6"/>
    <w:rsid w:val="00D57060"/>
    <w:rsid w:val="00D602CD"/>
    <w:rsid w:val="00D616B2"/>
    <w:rsid w:val="00D64102"/>
    <w:rsid w:val="00D6411C"/>
    <w:rsid w:val="00D67988"/>
    <w:rsid w:val="00D70319"/>
    <w:rsid w:val="00D709BB"/>
    <w:rsid w:val="00D70D5C"/>
    <w:rsid w:val="00D7101E"/>
    <w:rsid w:val="00D71171"/>
    <w:rsid w:val="00D71D8B"/>
    <w:rsid w:val="00D72068"/>
    <w:rsid w:val="00D721D5"/>
    <w:rsid w:val="00D75173"/>
    <w:rsid w:val="00D77106"/>
    <w:rsid w:val="00D813EB"/>
    <w:rsid w:val="00D82EFD"/>
    <w:rsid w:val="00D8339A"/>
    <w:rsid w:val="00D83DF9"/>
    <w:rsid w:val="00D868DC"/>
    <w:rsid w:val="00D90636"/>
    <w:rsid w:val="00D929AE"/>
    <w:rsid w:val="00D92AF3"/>
    <w:rsid w:val="00D93564"/>
    <w:rsid w:val="00D94DF1"/>
    <w:rsid w:val="00D95A45"/>
    <w:rsid w:val="00D95CEB"/>
    <w:rsid w:val="00D97B86"/>
    <w:rsid w:val="00DA0637"/>
    <w:rsid w:val="00DA264E"/>
    <w:rsid w:val="00DA2B6A"/>
    <w:rsid w:val="00DA556B"/>
    <w:rsid w:val="00DA5DF0"/>
    <w:rsid w:val="00DA727B"/>
    <w:rsid w:val="00DB1C50"/>
    <w:rsid w:val="00DB24E8"/>
    <w:rsid w:val="00DB2F5C"/>
    <w:rsid w:val="00DB33D6"/>
    <w:rsid w:val="00DB3CDB"/>
    <w:rsid w:val="00DB3E0A"/>
    <w:rsid w:val="00DB57FB"/>
    <w:rsid w:val="00DB6162"/>
    <w:rsid w:val="00DB6794"/>
    <w:rsid w:val="00DB69EA"/>
    <w:rsid w:val="00DC0A01"/>
    <w:rsid w:val="00DC0DA4"/>
    <w:rsid w:val="00DC1AC9"/>
    <w:rsid w:val="00DC1FA9"/>
    <w:rsid w:val="00DC245E"/>
    <w:rsid w:val="00DC2EB2"/>
    <w:rsid w:val="00DC33B2"/>
    <w:rsid w:val="00DD1B6F"/>
    <w:rsid w:val="00DD5029"/>
    <w:rsid w:val="00DD567A"/>
    <w:rsid w:val="00DD70AE"/>
    <w:rsid w:val="00DD7FE7"/>
    <w:rsid w:val="00DE2971"/>
    <w:rsid w:val="00DE3D50"/>
    <w:rsid w:val="00DE6CC4"/>
    <w:rsid w:val="00DF1944"/>
    <w:rsid w:val="00DF1B7F"/>
    <w:rsid w:val="00DF2474"/>
    <w:rsid w:val="00DF2620"/>
    <w:rsid w:val="00DF2ECE"/>
    <w:rsid w:val="00DF49EE"/>
    <w:rsid w:val="00DF6931"/>
    <w:rsid w:val="00DF74A8"/>
    <w:rsid w:val="00E00476"/>
    <w:rsid w:val="00E00CBA"/>
    <w:rsid w:val="00E00CD7"/>
    <w:rsid w:val="00E03F57"/>
    <w:rsid w:val="00E04F2C"/>
    <w:rsid w:val="00E05E35"/>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619"/>
    <w:rsid w:val="00E20709"/>
    <w:rsid w:val="00E21993"/>
    <w:rsid w:val="00E24B31"/>
    <w:rsid w:val="00E25826"/>
    <w:rsid w:val="00E27B39"/>
    <w:rsid w:val="00E31571"/>
    <w:rsid w:val="00E322F4"/>
    <w:rsid w:val="00E33291"/>
    <w:rsid w:val="00E3388F"/>
    <w:rsid w:val="00E34329"/>
    <w:rsid w:val="00E34E9C"/>
    <w:rsid w:val="00E352F8"/>
    <w:rsid w:val="00E35648"/>
    <w:rsid w:val="00E36577"/>
    <w:rsid w:val="00E366F8"/>
    <w:rsid w:val="00E3696A"/>
    <w:rsid w:val="00E377FD"/>
    <w:rsid w:val="00E446AF"/>
    <w:rsid w:val="00E47A72"/>
    <w:rsid w:val="00E47B6F"/>
    <w:rsid w:val="00E50226"/>
    <w:rsid w:val="00E51A7A"/>
    <w:rsid w:val="00E53363"/>
    <w:rsid w:val="00E57500"/>
    <w:rsid w:val="00E57C59"/>
    <w:rsid w:val="00E602C1"/>
    <w:rsid w:val="00E64C69"/>
    <w:rsid w:val="00E67408"/>
    <w:rsid w:val="00E70C87"/>
    <w:rsid w:val="00E71507"/>
    <w:rsid w:val="00E72121"/>
    <w:rsid w:val="00E7272F"/>
    <w:rsid w:val="00E73942"/>
    <w:rsid w:val="00E741BE"/>
    <w:rsid w:val="00E743FE"/>
    <w:rsid w:val="00E74A31"/>
    <w:rsid w:val="00E75439"/>
    <w:rsid w:val="00E76422"/>
    <w:rsid w:val="00E76A74"/>
    <w:rsid w:val="00E76AF6"/>
    <w:rsid w:val="00E809BE"/>
    <w:rsid w:val="00E80F5C"/>
    <w:rsid w:val="00E81D82"/>
    <w:rsid w:val="00E859AE"/>
    <w:rsid w:val="00E90A88"/>
    <w:rsid w:val="00E9141E"/>
    <w:rsid w:val="00E921F2"/>
    <w:rsid w:val="00E924DD"/>
    <w:rsid w:val="00E92C6E"/>
    <w:rsid w:val="00E93AB7"/>
    <w:rsid w:val="00E93D74"/>
    <w:rsid w:val="00E9561F"/>
    <w:rsid w:val="00E95CCC"/>
    <w:rsid w:val="00E96A45"/>
    <w:rsid w:val="00E97580"/>
    <w:rsid w:val="00E978CF"/>
    <w:rsid w:val="00E97B6A"/>
    <w:rsid w:val="00EA0FBA"/>
    <w:rsid w:val="00EA1067"/>
    <w:rsid w:val="00EA1FB4"/>
    <w:rsid w:val="00EA2FAD"/>
    <w:rsid w:val="00EA3FF7"/>
    <w:rsid w:val="00EA5727"/>
    <w:rsid w:val="00EA6177"/>
    <w:rsid w:val="00EA7BAC"/>
    <w:rsid w:val="00EB0E88"/>
    <w:rsid w:val="00EB1114"/>
    <w:rsid w:val="00EB2056"/>
    <w:rsid w:val="00EB3C5D"/>
    <w:rsid w:val="00EB401F"/>
    <w:rsid w:val="00EB560E"/>
    <w:rsid w:val="00EB6016"/>
    <w:rsid w:val="00EB6AD9"/>
    <w:rsid w:val="00EB7E71"/>
    <w:rsid w:val="00EB7FAF"/>
    <w:rsid w:val="00EC0465"/>
    <w:rsid w:val="00EC179E"/>
    <w:rsid w:val="00EC199E"/>
    <w:rsid w:val="00EC228D"/>
    <w:rsid w:val="00EC3A29"/>
    <w:rsid w:val="00EC50F3"/>
    <w:rsid w:val="00EC6A4C"/>
    <w:rsid w:val="00EC6B3F"/>
    <w:rsid w:val="00EC711A"/>
    <w:rsid w:val="00EC7A42"/>
    <w:rsid w:val="00ED0D73"/>
    <w:rsid w:val="00ED20A3"/>
    <w:rsid w:val="00ED4DE7"/>
    <w:rsid w:val="00ED542F"/>
    <w:rsid w:val="00ED596E"/>
    <w:rsid w:val="00ED7B3E"/>
    <w:rsid w:val="00EE1A69"/>
    <w:rsid w:val="00EE2591"/>
    <w:rsid w:val="00EE4FB2"/>
    <w:rsid w:val="00EE515C"/>
    <w:rsid w:val="00EE682E"/>
    <w:rsid w:val="00EE68A5"/>
    <w:rsid w:val="00EE77D2"/>
    <w:rsid w:val="00EF041B"/>
    <w:rsid w:val="00EF06AE"/>
    <w:rsid w:val="00EF15FE"/>
    <w:rsid w:val="00EF177D"/>
    <w:rsid w:val="00EF30C3"/>
    <w:rsid w:val="00EF40FE"/>
    <w:rsid w:val="00EF42CF"/>
    <w:rsid w:val="00EF4BC1"/>
    <w:rsid w:val="00EF50F5"/>
    <w:rsid w:val="00EF610C"/>
    <w:rsid w:val="00EF6872"/>
    <w:rsid w:val="00EF7293"/>
    <w:rsid w:val="00EF7345"/>
    <w:rsid w:val="00F009E6"/>
    <w:rsid w:val="00F00FA3"/>
    <w:rsid w:val="00F019FF"/>
    <w:rsid w:val="00F022A1"/>
    <w:rsid w:val="00F0257F"/>
    <w:rsid w:val="00F02D34"/>
    <w:rsid w:val="00F02E33"/>
    <w:rsid w:val="00F031CE"/>
    <w:rsid w:val="00F05B1C"/>
    <w:rsid w:val="00F05BF4"/>
    <w:rsid w:val="00F073FD"/>
    <w:rsid w:val="00F107DF"/>
    <w:rsid w:val="00F10850"/>
    <w:rsid w:val="00F10E40"/>
    <w:rsid w:val="00F1110D"/>
    <w:rsid w:val="00F11921"/>
    <w:rsid w:val="00F13499"/>
    <w:rsid w:val="00F15EFF"/>
    <w:rsid w:val="00F163D1"/>
    <w:rsid w:val="00F16980"/>
    <w:rsid w:val="00F16B13"/>
    <w:rsid w:val="00F22A13"/>
    <w:rsid w:val="00F2374E"/>
    <w:rsid w:val="00F24098"/>
    <w:rsid w:val="00F248D4"/>
    <w:rsid w:val="00F2538C"/>
    <w:rsid w:val="00F25A18"/>
    <w:rsid w:val="00F268A2"/>
    <w:rsid w:val="00F31B21"/>
    <w:rsid w:val="00F31C72"/>
    <w:rsid w:val="00F31F62"/>
    <w:rsid w:val="00F320AA"/>
    <w:rsid w:val="00F32CB7"/>
    <w:rsid w:val="00F32E9E"/>
    <w:rsid w:val="00F3390F"/>
    <w:rsid w:val="00F36A7E"/>
    <w:rsid w:val="00F36CD6"/>
    <w:rsid w:val="00F41F04"/>
    <w:rsid w:val="00F42F89"/>
    <w:rsid w:val="00F446CF"/>
    <w:rsid w:val="00F470AC"/>
    <w:rsid w:val="00F47782"/>
    <w:rsid w:val="00F478E8"/>
    <w:rsid w:val="00F47E5C"/>
    <w:rsid w:val="00F5071B"/>
    <w:rsid w:val="00F51A90"/>
    <w:rsid w:val="00F532E1"/>
    <w:rsid w:val="00F53953"/>
    <w:rsid w:val="00F543A6"/>
    <w:rsid w:val="00F60133"/>
    <w:rsid w:val="00F603A5"/>
    <w:rsid w:val="00F60E33"/>
    <w:rsid w:val="00F617C7"/>
    <w:rsid w:val="00F6351B"/>
    <w:rsid w:val="00F638CB"/>
    <w:rsid w:val="00F65C4E"/>
    <w:rsid w:val="00F676EC"/>
    <w:rsid w:val="00F6792A"/>
    <w:rsid w:val="00F7208C"/>
    <w:rsid w:val="00F7277B"/>
    <w:rsid w:val="00F73AF5"/>
    <w:rsid w:val="00F764BC"/>
    <w:rsid w:val="00F7651D"/>
    <w:rsid w:val="00F76740"/>
    <w:rsid w:val="00F77AC3"/>
    <w:rsid w:val="00F8352D"/>
    <w:rsid w:val="00F84DE6"/>
    <w:rsid w:val="00F872B8"/>
    <w:rsid w:val="00F87514"/>
    <w:rsid w:val="00F93E4B"/>
    <w:rsid w:val="00F974B3"/>
    <w:rsid w:val="00F979B6"/>
    <w:rsid w:val="00FA128B"/>
    <w:rsid w:val="00FA6756"/>
    <w:rsid w:val="00FA766E"/>
    <w:rsid w:val="00FB0585"/>
    <w:rsid w:val="00FB1AA0"/>
    <w:rsid w:val="00FB1F43"/>
    <w:rsid w:val="00FB239E"/>
    <w:rsid w:val="00FB564E"/>
    <w:rsid w:val="00FB56E4"/>
    <w:rsid w:val="00FB5CB2"/>
    <w:rsid w:val="00FB5D0D"/>
    <w:rsid w:val="00FC0F68"/>
    <w:rsid w:val="00FC2EA1"/>
    <w:rsid w:val="00FC30B8"/>
    <w:rsid w:val="00FC3B06"/>
    <w:rsid w:val="00FC3F9D"/>
    <w:rsid w:val="00FC5BB6"/>
    <w:rsid w:val="00FC5C5F"/>
    <w:rsid w:val="00FC6C8B"/>
    <w:rsid w:val="00FD0BBF"/>
    <w:rsid w:val="00FD1064"/>
    <w:rsid w:val="00FD351E"/>
    <w:rsid w:val="00FD4E4A"/>
    <w:rsid w:val="00FD71ED"/>
    <w:rsid w:val="00FD74B0"/>
    <w:rsid w:val="00FD78BD"/>
    <w:rsid w:val="00FD7973"/>
    <w:rsid w:val="00FE0A4A"/>
    <w:rsid w:val="00FE1460"/>
    <w:rsid w:val="00FE2163"/>
    <w:rsid w:val="00FE3844"/>
    <w:rsid w:val="00FE3EC8"/>
    <w:rsid w:val="00FE59A5"/>
    <w:rsid w:val="00FE692E"/>
    <w:rsid w:val="00FE73C8"/>
    <w:rsid w:val="00FF0289"/>
    <w:rsid w:val="00FF0629"/>
    <w:rsid w:val="00FF0F81"/>
    <w:rsid w:val="00FF2A00"/>
    <w:rsid w:val="00FF3A77"/>
    <w:rsid w:val="00FF5202"/>
    <w:rsid w:val="00FF5843"/>
    <w:rsid w:val="00FF5ACC"/>
    <w:rsid w:val="00FF662E"/>
    <w:rsid w:val="00FF6688"/>
    <w:rsid w:val="00FF68C0"/>
    <w:rsid w:val="00FF7C08"/>
    <w:rsid w:val="00FF7D5D"/>
    <w:rsid w:val="01120E39"/>
    <w:rsid w:val="01321145"/>
    <w:rsid w:val="01397734"/>
    <w:rsid w:val="01405887"/>
    <w:rsid w:val="01430A99"/>
    <w:rsid w:val="014632E9"/>
    <w:rsid w:val="017304C1"/>
    <w:rsid w:val="017A599A"/>
    <w:rsid w:val="01A73D87"/>
    <w:rsid w:val="01D0581A"/>
    <w:rsid w:val="01D45DBD"/>
    <w:rsid w:val="01EA5B5D"/>
    <w:rsid w:val="01FD379F"/>
    <w:rsid w:val="02092C94"/>
    <w:rsid w:val="02182ED7"/>
    <w:rsid w:val="021B45CA"/>
    <w:rsid w:val="021D6BA4"/>
    <w:rsid w:val="02685011"/>
    <w:rsid w:val="026A7EBB"/>
    <w:rsid w:val="02702D13"/>
    <w:rsid w:val="02952499"/>
    <w:rsid w:val="029D459D"/>
    <w:rsid w:val="02BD6408"/>
    <w:rsid w:val="02C3058F"/>
    <w:rsid w:val="0318678D"/>
    <w:rsid w:val="0319427F"/>
    <w:rsid w:val="032446A5"/>
    <w:rsid w:val="03284EF4"/>
    <w:rsid w:val="03AD739F"/>
    <w:rsid w:val="03CC330E"/>
    <w:rsid w:val="03DD6440"/>
    <w:rsid w:val="03E53491"/>
    <w:rsid w:val="03EC0177"/>
    <w:rsid w:val="03F930E0"/>
    <w:rsid w:val="03FB2D2A"/>
    <w:rsid w:val="04166CBB"/>
    <w:rsid w:val="042E0790"/>
    <w:rsid w:val="045B30F0"/>
    <w:rsid w:val="045E5DB1"/>
    <w:rsid w:val="04781A0B"/>
    <w:rsid w:val="048D158B"/>
    <w:rsid w:val="04B07552"/>
    <w:rsid w:val="04D75029"/>
    <w:rsid w:val="04E82E87"/>
    <w:rsid w:val="04F76DD4"/>
    <w:rsid w:val="05183577"/>
    <w:rsid w:val="05447825"/>
    <w:rsid w:val="054624C0"/>
    <w:rsid w:val="055A7479"/>
    <w:rsid w:val="05A82467"/>
    <w:rsid w:val="06154BF6"/>
    <w:rsid w:val="06527077"/>
    <w:rsid w:val="065D0D6C"/>
    <w:rsid w:val="06D14EBD"/>
    <w:rsid w:val="06FD0CB9"/>
    <w:rsid w:val="070174DD"/>
    <w:rsid w:val="07230354"/>
    <w:rsid w:val="07347817"/>
    <w:rsid w:val="074E58B6"/>
    <w:rsid w:val="0754386A"/>
    <w:rsid w:val="07824AE6"/>
    <w:rsid w:val="078B2285"/>
    <w:rsid w:val="07E85C76"/>
    <w:rsid w:val="084856D9"/>
    <w:rsid w:val="08762705"/>
    <w:rsid w:val="087B7D1C"/>
    <w:rsid w:val="087F053F"/>
    <w:rsid w:val="08B4685D"/>
    <w:rsid w:val="08DF22B7"/>
    <w:rsid w:val="08DFC2C2"/>
    <w:rsid w:val="091525A6"/>
    <w:rsid w:val="09270AC2"/>
    <w:rsid w:val="095F7EF2"/>
    <w:rsid w:val="097370B2"/>
    <w:rsid w:val="09834B89"/>
    <w:rsid w:val="0A0A186B"/>
    <w:rsid w:val="0A0C3321"/>
    <w:rsid w:val="0A29291A"/>
    <w:rsid w:val="0A4E2DAB"/>
    <w:rsid w:val="0A614FB4"/>
    <w:rsid w:val="0A8B2A9B"/>
    <w:rsid w:val="0A9B46A5"/>
    <w:rsid w:val="0A9C51C6"/>
    <w:rsid w:val="0AAE262A"/>
    <w:rsid w:val="0AB301DC"/>
    <w:rsid w:val="0AB40A04"/>
    <w:rsid w:val="0ACD2B45"/>
    <w:rsid w:val="0AD5650C"/>
    <w:rsid w:val="0ADE33D0"/>
    <w:rsid w:val="0AF321B5"/>
    <w:rsid w:val="0AF34208"/>
    <w:rsid w:val="0AF77F1D"/>
    <w:rsid w:val="0B0A4050"/>
    <w:rsid w:val="0B100BEF"/>
    <w:rsid w:val="0B145B1D"/>
    <w:rsid w:val="0B867103"/>
    <w:rsid w:val="0B8E33DE"/>
    <w:rsid w:val="0B9478FA"/>
    <w:rsid w:val="0B9F52E7"/>
    <w:rsid w:val="0BB5306C"/>
    <w:rsid w:val="0BC064EB"/>
    <w:rsid w:val="0C336F3C"/>
    <w:rsid w:val="0C3721AC"/>
    <w:rsid w:val="0C591EDF"/>
    <w:rsid w:val="0C9E6B7A"/>
    <w:rsid w:val="0CAA2B93"/>
    <w:rsid w:val="0CBA71CC"/>
    <w:rsid w:val="0CC0233A"/>
    <w:rsid w:val="0D0A1382"/>
    <w:rsid w:val="0D336E17"/>
    <w:rsid w:val="0D486ADA"/>
    <w:rsid w:val="0D4A750E"/>
    <w:rsid w:val="0D626C3B"/>
    <w:rsid w:val="0D64792D"/>
    <w:rsid w:val="0D876767"/>
    <w:rsid w:val="0D876A13"/>
    <w:rsid w:val="0D896A37"/>
    <w:rsid w:val="0DA26453"/>
    <w:rsid w:val="0DA770AD"/>
    <w:rsid w:val="0DD27C3B"/>
    <w:rsid w:val="0DD31A16"/>
    <w:rsid w:val="0DFC28F6"/>
    <w:rsid w:val="0E0A4689"/>
    <w:rsid w:val="0E2B7D93"/>
    <w:rsid w:val="0E373118"/>
    <w:rsid w:val="0E496643"/>
    <w:rsid w:val="0E4F68B5"/>
    <w:rsid w:val="0E533B1E"/>
    <w:rsid w:val="0E5D545D"/>
    <w:rsid w:val="0E8B67DF"/>
    <w:rsid w:val="0E924011"/>
    <w:rsid w:val="0EC607C4"/>
    <w:rsid w:val="0EE95F3F"/>
    <w:rsid w:val="0F0B2F60"/>
    <w:rsid w:val="0F130CAE"/>
    <w:rsid w:val="0F431140"/>
    <w:rsid w:val="0F462779"/>
    <w:rsid w:val="0F9D4547"/>
    <w:rsid w:val="0FB44A91"/>
    <w:rsid w:val="0FD13002"/>
    <w:rsid w:val="100A0195"/>
    <w:rsid w:val="10521D41"/>
    <w:rsid w:val="108A229B"/>
    <w:rsid w:val="109702D9"/>
    <w:rsid w:val="10A818CA"/>
    <w:rsid w:val="10AD1A09"/>
    <w:rsid w:val="10B27529"/>
    <w:rsid w:val="10F36003"/>
    <w:rsid w:val="11325C37"/>
    <w:rsid w:val="114F333B"/>
    <w:rsid w:val="116027BD"/>
    <w:rsid w:val="11CE35B2"/>
    <w:rsid w:val="11D67174"/>
    <w:rsid w:val="11E93F22"/>
    <w:rsid w:val="11FA7E8B"/>
    <w:rsid w:val="12016BBD"/>
    <w:rsid w:val="122A16E9"/>
    <w:rsid w:val="12425D0A"/>
    <w:rsid w:val="126E269F"/>
    <w:rsid w:val="12902616"/>
    <w:rsid w:val="129804E4"/>
    <w:rsid w:val="12981456"/>
    <w:rsid w:val="12EB7432"/>
    <w:rsid w:val="12F516DE"/>
    <w:rsid w:val="12F70CD7"/>
    <w:rsid w:val="131644B4"/>
    <w:rsid w:val="13166FBF"/>
    <w:rsid w:val="134F32C5"/>
    <w:rsid w:val="1360511F"/>
    <w:rsid w:val="139D148E"/>
    <w:rsid w:val="13BE4CD5"/>
    <w:rsid w:val="13E72029"/>
    <w:rsid w:val="140733BE"/>
    <w:rsid w:val="14096037"/>
    <w:rsid w:val="140B095A"/>
    <w:rsid w:val="14186D67"/>
    <w:rsid w:val="14322372"/>
    <w:rsid w:val="14796060"/>
    <w:rsid w:val="14904005"/>
    <w:rsid w:val="14AD4E8A"/>
    <w:rsid w:val="14B24AC5"/>
    <w:rsid w:val="14CE55A9"/>
    <w:rsid w:val="14ED722D"/>
    <w:rsid w:val="15084E4C"/>
    <w:rsid w:val="150E77AB"/>
    <w:rsid w:val="152D1372"/>
    <w:rsid w:val="153202CF"/>
    <w:rsid w:val="15680719"/>
    <w:rsid w:val="158516F5"/>
    <w:rsid w:val="15891CCA"/>
    <w:rsid w:val="158E028D"/>
    <w:rsid w:val="158E3FCE"/>
    <w:rsid w:val="15FB5EE3"/>
    <w:rsid w:val="15FD7AAD"/>
    <w:rsid w:val="160C4328"/>
    <w:rsid w:val="16221904"/>
    <w:rsid w:val="16225C7A"/>
    <w:rsid w:val="165B1147"/>
    <w:rsid w:val="16783AEC"/>
    <w:rsid w:val="167C64AD"/>
    <w:rsid w:val="168F21A6"/>
    <w:rsid w:val="16A62408"/>
    <w:rsid w:val="16B965DF"/>
    <w:rsid w:val="16D84731"/>
    <w:rsid w:val="1705358F"/>
    <w:rsid w:val="17240B63"/>
    <w:rsid w:val="17263548"/>
    <w:rsid w:val="176D312F"/>
    <w:rsid w:val="178002DC"/>
    <w:rsid w:val="181D611D"/>
    <w:rsid w:val="184369CD"/>
    <w:rsid w:val="184D133F"/>
    <w:rsid w:val="18502F73"/>
    <w:rsid w:val="1853036D"/>
    <w:rsid w:val="188176F5"/>
    <w:rsid w:val="18A30BC8"/>
    <w:rsid w:val="18D554F0"/>
    <w:rsid w:val="190008B1"/>
    <w:rsid w:val="19155F8E"/>
    <w:rsid w:val="192B02E8"/>
    <w:rsid w:val="1938117D"/>
    <w:rsid w:val="198D4F73"/>
    <w:rsid w:val="1996749E"/>
    <w:rsid w:val="19B26FA6"/>
    <w:rsid w:val="19B35DAB"/>
    <w:rsid w:val="19C23E4D"/>
    <w:rsid w:val="19F56D83"/>
    <w:rsid w:val="1A2F0501"/>
    <w:rsid w:val="1A4A1406"/>
    <w:rsid w:val="1A613215"/>
    <w:rsid w:val="1A637BE6"/>
    <w:rsid w:val="1A710E2A"/>
    <w:rsid w:val="1A845F8B"/>
    <w:rsid w:val="1A892F12"/>
    <w:rsid w:val="1A967D99"/>
    <w:rsid w:val="1AD43C93"/>
    <w:rsid w:val="1AF10F27"/>
    <w:rsid w:val="1B097C98"/>
    <w:rsid w:val="1B132036"/>
    <w:rsid w:val="1B281F85"/>
    <w:rsid w:val="1B283D33"/>
    <w:rsid w:val="1B9370A5"/>
    <w:rsid w:val="1BD7350D"/>
    <w:rsid w:val="1BE22134"/>
    <w:rsid w:val="1BE77381"/>
    <w:rsid w:val="1C1C7107"/>
    <w:rsid w:val="1C393D1E"/>
    <w:rsid w:val="1C7E0151"/>
    <w:rsid w:val="1CA14029"/>
    <w:rsid w:val="1CC14E15"/>
    <w:rsid w:val="1D157DE5"/>
    <w:rsid w:val="1D3C75D4"/>
    <w:rsid w:val="1D4120E0"/>
    <w:rsid w:val="1D60323D"/>
    <w:rsid w:val="1D7E7344"/>
    <w:rsid w:val="1D8611E5"/>
    <w:rsid w:val="1D963E4D"/>
    <w:rsid w:val="1DAF3C4F"/>
    <w:rsid w:val="1DC31AF1"/>
    <w:rsid w:val="1DDC1820"/>
    <w:rsid w:val="1DE80AEF"/>
    <w:rsid w:val="1DF024E6"/>
    <w:rsid w:val="1E160548"/>
    <w:rsid w:val="1E2C7696"/>
    <w:rsid w:val="1E31405F"/>
    <w:rsid w:val="1E4145C6"/>
    <w:rsid w:val="1E462178"/>
    <w:rsid w:val="1E6F5A76"/>
    <w:rsid w:val="1E980A20"/>
    <w:rsid w:val="1EFA4E3B"/>
    <w:rsid w:val="1F1A2C61"/>
    <w:rsid w:val="1F230100"/>
    <w:rsid w:val="1F7F413E"/>
    <w:rsid w:val="1F8C2708"/>
    <w:rsid w:val="1FAB0423"/>
    <w:rsid w:val="1FBA6F24"/>
    <w:rsid w:val="1FD95AFA"/>
    <w:rsid w:val="1FDF698A"/>
    <w:rsid w:val="1FEF0C67"/>
    <w:rsid w:val="1FFB0D8B"/>
    <w:rsid w:val="1FFF72A8"/>
    <w:rsid w:val="202304E1"/>
    <w:rsid w:val="20364B19"/>
    <w:rsid w:val="206E1527"/>
    <w:rsid w:val="207614C7"/>
    <w:rsid w:val="208A2F0D"/>
    <w:rsid w:val="20AB1BCE"/>
    <w:rsid w:val="20C470C3"/>
    <w:rsid w:val="21604F15"/>
    <w:rsid w:val="216D6C6A"/>
    <w:rsid w:val="218C65A0"/>
    <w:rsid w:val="21921F06"/>
    <w:rsid w:val="21AD4F92"/>
    <w:rsid w:val="21C31D33"/>
    <w:rsid w:val="21CB14C3"/>
    <w:rsid w:val="21DF2C72"/>
    <w:rsid w:val="21F11323"/>
    <w:rsid w:val="21F52495"/>
    <w:rsid w:val="21F77036"/>
    <w:rsid w:val="22444FFC"/>
    <w:rsid w:val="226713AA"/>
    <w:rsid w:val="22B96EF2"/>
    <w:rsid w:val="22D273CC"/>
    <w:rsid w:val="22E01F27"/>
    <w:rsid w:val="22E5409C"/>
    <w:rsid w:val="22F823B7"/>
    <w:rsid w:val="230B29E8"/>
    <w:rsid w:val="232474D6"/>
    <w:rsid w:val="23403BE4"/>
    <w:rsid w:val="235713DB"/>
    <w:rsid w:val="2361167A"/>
    <w:rsid w:val="2376513E"/>
    <w:rsid w:val="237B79FC"/>
    <w:rsid w:val="238E494F"/>
    <w:rsid w:val="239B5827"/>
    <w:rsid w:val="23AA37BE"/>
    <w:rsid w:val="23D52360"/>
    <w:rsid w:val="23E700DB"/>
    <w:rsid w:val="23F70746"/>
    <w:rsid w:val="247D4E2F"/>
    <w:rsid w:val="248526B0"/>
    <w:rsid w:val="24976FE2"/>
    <w:rsid w:val="24AE6BED"/>
    <w:rsid w:val="24CD1C7C"/>
    <w:rsid w:val="24EC5DD1"/>
    <w:rsid w:val="24F627AC"/>
    <w:rsid w:val="250B627F"/>
    <w:rsid w:val="252A35C3"/>
    <w:rsid w:val="252A5014"/>
    <w:rsid w:val="252E08C8"/>
    <w:rsid w:val="253D688E"/>
    <w:rsid w:val="25811F84"/>
    <w:rsid w:val="25897300"/>
    <w:rsid w:val="25955E6B"/>
    <w:rsid w:val="25995BE0"/>
    <w:rsid w:val="25B47E8B"/>
    <w:rsid w:val="25C0410A"/>
    <w:rsid w:val="25C73EF5"/>
    <w:rsid w:val="25CD3A33"/>
    <w:rsid w:val="25CD4B48"/>
    <w:rsid w:val="25DE2ED3"/>
    <w:rsid w:val="26127ABA"/>
    <w:rsid w:val="26350C30"/>
    <w:rsid w:val="26391AD4"/>
    <w:rsid w:val="26441401"/>
    <w:rsid w:val="26520CF1"/>
    <w:rsid w:val="267A11BB"/>
    <w:rsid w:val="26864C79"/>
    <w:rsid w:val="269D2300"/>
    <w:rsid w:val="26B02E2F"/>
    <w:rsid w:val="26D21343"/>
    <w:rsid w:val="272E5AF9"/>
    <w:rsid w:val="274709D3"/>
    <w:rsid w:val="274922A9"/>
    <w:rsid w:val="27982240"/>
    <w:rsid w:val="27B760C2"/>
    <w:rsid w:val="27C67DC2"/>
    <w:rsid w:val="27D2695F"/>
    <w:rsid w:val="27E352F1"/>
    <w:rsid w:val="28194A8D"/>
    <w:rsid w:val="281B2CF8"/>
    <w:rsid w:val="281C78A0"/>
    <w:rsid w:val="28256E79"/>
    <w:rsid w:val="2829733C"/>
    <w:rsid w:val="28315B0F"/>
    <w:rsid w:val="284E0D7C"/>
    <w:rsid w:val="28615FED"/>
    <w:rsid w:val="28994AED"/>
    <w:rsid w:val="28AA60BD"/>
    <w:rsid w:val="28BD5A64"/>
    <w:rsid w:val="28C1595C"/>
    <w:rsid w:val="28CB3F50"/>
    <w:rsid w:val="29157F47"/>
    <w:rsid w:val="291C47AB"/>
    <w:rsid w:val="29465FC4"/>
    <w:rsid w:val="2964062C"/>
    <w:rsid w:val="296C128F"/>
    <w:rsid w:val="29787C34"/>
    <w:rsid w:val="29803BC9"/>
    <w:rsid w:val="29AF5B24"/>
    <w:rsid w:val="29B82726"/>
    <w:rsid w:val="29FC6AB7"/>
    <w:rsid w:val="2A543C16"/>
    <w:rsid w:val="2A5769AF"/>
    <w:rsid w:val="2A670A20"/>
    <w:rsid w:val="2A7E62D2"/>
    <w:rsid w:val="2A8608CF"/>
    <w:rsid w:val="2A867B08"/>
    <w:rsid w:val="2A954815"/>
    <w:rsid w:val="2AA505CA"/>
    <w:rsid w:val="2AC03D5B"/>
    <w:rsid w:val="2AC74862"/>
    <w:rsid w:val="2AFC049A"/>
    <w:rsid w:val="2B1174CF"/>
    <w:rsid w:val="2B2965E2"/>
    <w:rsid w:val="2B3758CC"/>
    <w:rsid w:val="2B4C3FEE"/>
    <w:rsid w:val="2B5968F3"/>
    <w:rsid w:val="2B5E3ACF"/>
    <w:rsid w:val="2B5E4D3A"/>
    <w:rsid w:val="2B6366C1"/>
    <w:rsid w:val="2B72321A"/>
    <w:rsid w:val="2B93389E"/>
    <w:rsid w:val="2BBE0EFB"/>
    <w:rsid w:val="2BEE0681"/>
    <w:rsid w:val="2BF437BD"/>
    <w:rsid w:val="2C1339D0"/>
    <w:rsid w:val="2C3149ED"/>
    <w:rsid w:val="2C3B13EC"/>
    <w:rsid w:val="2C5A6561"/>
    <w:rsid w:val="2C7A63D0"/>
    <w:rsid w:val="2CC11358"/>
    <w:rsid w:val="2CC643CB"/>
    <w:rsid w:val="2CF45755"/>
    <w:rsid w:val="2D12214D"/>
    <w:rsid w:val="2D28344E"/>
    <w:rsid w:val="2D367684"/>
    <w:rsid w:val="2D39083C"/>
    <w:rsid w:val="2D4665AA"/>
    <w:rsid w:val="2D507710"/>
    <w:rsid w:val="2D68223B"/>
    <w:rsid w:val="2D803FCC"/>
    <w:rsid w:val="2D853CE9"/>
    <w:rsid w:val="2D8E7E8C"/>
    <w:rsid w:val="2DB07390"/>
    <w:rsid w:val="2DC46A3D"/>
    <w:rsid w:val="2DD37B2E"/>
    <w:rsid w:val="2E044CA6"/>
    <w:rsid w:val="2E1A0836"/>
    <w:rsid w:val="2E567479"/>
    <w:rsid w:val="2E58409F"/>
    <w:rsid w:val="2E686AE3"/>
    <w:rsid w:val="2EDD678B"/>
    <w:rsid w:val="2EEF45A5"/>
    <w:rsid w:val="2F1617F9"/>
    <w:rsid w:val="2F192FE1"/>
    <w:rsid w:val="2F1B482E"/>
    <w:rsid w:val="2F33497E"/>
    <w:rsid w:val="2F76375E"/>
    <w:rsid w:val="2FDB716E"/>
    <w:rsid w:val="2FF14917"/>
    <w:rsid w:val="30690462"/>
    <w:rsid w:val="30717F78"/>
    <w:rsid w:val="308D2162"/>
    <w:rsid w:val="30915A7F"/>
    <w:rsid w:val="30E3251D"/>
    <w:rsid w:val="30E52DF7"/>
    <w:rsid w:val="30F05D12"/>
    <w:rsid w:val="31325550"/>
    <w:rsid w:val="313C778B"/>
    <w:rsid w:val="31865A2C"/>
    <w:rsid w:val="31A220C9"/>
    <w:rsid w:val="31AD276B"/>
    <w:rsid w:val="31BF642A"/>
    <w:rsid w:val="31D21631"/>
    <w:rsid w:val="31FC7C6F"/>
    <w:rsid w:val="31FD5CD3"/>
    <w:rsid w:val="31FE56AB"/>
    <w:rsid w:val="321C534C"/>
    <w:rsid w:val="32A6041D"/>
    <w:rsid w:val="32B77C20"/>
    <w:rsid w:val="32D33B48"/>
    <w:rsid w:val="330A6136"/>
    <w:rsid w:val="33136C1F"/>
    <w:rsid w:val="332C1A1E"/>
    <w:rsid w:val="333A0650"/>
    <w:rsid w:val="335E186A"/>
    <w:rsid w:val="33904450"/>
    <w:rsid w:val="33A14827"/>
    <w:rsid w:val="33B55AB8"/>
    <w:rsid w:val="33BA369E"/>
    <w:rsid w:val="33CC62BF"/>
    <w:rsid w:val="33CC71B6"/>
    <w:rsid w:val="33F407FF"/>
    <w:rsid w:val="33F97BC3"/>
    <w:rsid w:val="341543C7"/>
    <w:rsid w:val="3433743D"/>
    <w:rsid w:val="345C0A09"/>
    <w:rsid w:val="348E0C53"/>
    <w:rsid w:val="348E492F"/>
    <w:rsid w:val="34A871B4"/>
    <w:rsid w:val="34C96FC9"/>
    <w:rsid w:val="34EC73A7"/>
    <w:rsid w:val="350B4EB3"/>
    <w:rsid w:val="351837F2"/>
    <w:rsid w:val="352929B7"/>
    <w:rsid w:val="354B6F43"/>
    <w:rsid w:val="357470FE"/>
    <w:rsid w:val="357C6459"/>
    <w:rsid w:val="358F6D1F"/>
    <w:rsid w:val="35A34598"/>
    <w:rsid w:val="35B90109"/>
    <w:rsid w:val="35BC0855"/>
    <w:rsid w:val="35EE1A07"/>
    <w:rsid w:val="35FA5E74"/>
    <w:rsid w:val="3627057D"/>
    <w:rsid w:val="362979CB"/>
    <w:rsid w:val="36321504"/>
    <w:rsid w:val="366E0FE7"/>
    <w:rsid w:val="3676647F"/>
    <w:rsid w:val="36926714"/>
    <w:rsid w:val="36DA1F2E"/>
    <w:rsid w:val="36E5185A"/>
    <w:rsid w:val="36F8579B"/>
    <w:rsid w:val="371D62BE"/>
    <w:rsid w:val="37503970"/>
    <w:rsid w:val="375D4E55"/>
    <w:rsid w:val="37742091"/>
    <w:rsid w:val="37A54C75"/>
    <w:rsid w:val="37CE2C4D"/>
    <w:rsid w:val="37D92A77"/>
    <w:rsid w:val="37E1297B"/>
    <w:rsid w:val="37E46D74"/>
    <w:rsid w:val="380F6BF8"/>
    <w:rsid w:val="381118FE"/>
    <w:rsid w:val="381A5944"/>
    <w:rsid w:val="383E64EC"/>
    <w:rsid w:val="385734B4"/>
    <w:rsid w:val="38706F66"/>
    <w:rsid w:val="3878571C"/>
    <w:rsid w:val="387F09BD"/>
    <w:rsid w:val="38A27244"/>
    <w:rsid w:val="38A325C8"/>
    <w:rsid w:val="38F90353"/>
    <w:rsid w:val="38F9260D"/>
    <w:rsid w:val="39161493"/>
    <w:rsid w:val="395123E3"/>
    <w:rsid w:val="39B9265E"/>
    <w:rsid w:val="39BA7A46"/>
    <w:rsid w:val="39C245DE"/>
    <w:rsid w:val="39E676B1"/>
    <w:rsid w:val="3A2636DC"/>
    <w:rsid w:val="3A3C0AFE"/>
    <w:rsid w:val="3A64005A"/>
    <w:rsid w:val="3A6F433E"/>
    <w:rsid w:val="3A7323FE"/>
    <w:rsid w:val="3ACE47E2"/>
    <w:rsid w:val="3ADE3F64"/>
    <w:rsid w:val="3AE50EB8"/>
    <w:rsid w:val="3AEF0793"/>
    <w:rsid w:val="3AFF4718"/>
    <w:rsid w:val="3B194E47"/>
    <w:rsid w:val="3B57501A"/>
    <w:rsid w:val="3B6A55BB"/>
    <w:rsid w:val="3B736C74"/>
    <w:rsid w:val="3B845B58"/>
    <w:rsid w:val="3BA8593A"/>
    <w:rsid w:val="3BB00436"/>
    <w:rsid w:val="3BC33FF6"/>
    <w:rsid w:val="3BD73299"/>
    <w:rsid w:val="3BDA4592"/>
    <w:rsid w:val="3BE9442B"/>
    <w:rsid w:val="3C055024"/>
    <w:rsid w:val="3C2614D6"/>
    <w:rsid w:val="3C471A00"/>
    <w:rsid w:val="3C481A37"/>
    <w:rsid w:val="3CB34F6A"/>
    <w:rsid w:val="3CCD54F2"/>
    <w:rsid w:val="3CE31410"/>
    <w:rsid w:val="3D0A1093"/>
    <w:rsid w:val="3D1A3101"/>
    <w:rsid w:val="3D3F3FF7"/>
    <w:rsid w:val="3D7B3D3F"/>
    <w:rsid w:val="3DA44C66"/>
    <w:rsid w:val="3DADE6C7"/>
    <w:rsid w:val="3DB615EA"/>
    <w:rsid w:val="3DFD238E"/>
    <w:rsid w:val="3DFF1244"/>
    <w:rsid w:val="3E072EB3"/>
    <w:rsid w:val="3E104EE8"/>
    <w:rsid w:val="3E20466E"/>
    <w:rsid w:val="3E2B7A52"/>
    <w:rsid w:val="3E4F1453"/>
    <w:rsid w:val="3E721CCA"/>
    <w:rsid w:val="3E7A6819"/>
    <w:rsid w:val="3E8C0F2F"/>
    <w:rsid w:val="3EA846BF"/>
    <w:rsid w:val="3ED90BC5"/>
    <w:rsid w:val="3EE71D6D"/>
    <w:rsid w:val="3EE94778"/>
    <w:rsid w:val="3F11495A"/>
    <w:rsid w:val="3F23133A"/>
    <w:rsid w:val="3F6D04DE"/>
    <w:rsid w:val="3F8F3AD1"/>
    <w:rsid w:val="3FAE5F56"/>
    <w:rsid w:val="3FB039E7"/>
    <w:rsid w:val="3FBB328D"/>
    <w:rsid w:val="40034743"/>
    <w:rsid w:val="4016013A"/>
    <w:rsid w:val="40306756"/>
    <w:rsid w:val="40312A07"/>
    <w:rsid w:val="407414E6"/>
    <w:rsid w:val="407927B7"/>
    <w:rsid w:val="40793D42"/>
    <w:rsid w:val="40A92971"/>
    <w:rsid w:val="40A960BE"/>
    <w:rsid w:val="40AC5617"/>
    <w:rsid w:val="40CF45F9"/>
    <w:rsid w:val="411A3BB4"/>
    <w:rsid w:val="412E275E"/>
    <w:rsid w:val="41384420"/>
    <w:rsid w:val="41446B78"/>
    <w:rsid w:val="41480106"/>
    <w:rsid w:val="415E19AD"/>
    <w:rsid w:val="416330C8"/>
    <w:rsid w:val="41EC447E"/>
    <w:rsid w:val="423D7815"/>
    <w:rsid w:val="425E2DF2"/>
    <w:rsid w:val="429733C9"/>
    <w:rsid w:val="42B31768"/>
    <w:rsid w:val="42BD016D"/>
    <w:rsid w:val="42CB55EF"/>
    <w:rsid w:val="42CD0B98"/>
    <w:rsid w:val="42DC5ACD"/>
    <w:rsid w:val="42EA181A"/>
    <w:rsid w:val="42FC25E4"/>
    <w:rsid w:val="43014084"/>
    <w:rsid w:val="43055CCC"/>
    <w:rsid w:val="43251BEC"/>
    <w:rsid w:val="434D7F2B"/>
    <w:rsid w:val="434F7673"/>
    <w:rsid w:val="435C3C0F"/>
    <w:rsid w:val="437454B8"/>
    <w:rsid w:val="43972F54"/>
    <w:rsid w:val="43AC735A"/>
    <w:rsid w:val="43BC1281"/>
    <w:rsid w:val="43C10D31"/>
    <w:rsid w:val="43DD4359"/>
    <w:rsid w:val="43F809F6"/>
    <w:rsid w:val="440B1B2A"/>
    <w:rsid w:val="444B5F31"/>
    <w:rsid w:val="444D0173"/>
    <w:rsid w:val="44561E60"/>
    <w:rsid w:val="44623562"/>
    <w:rsid w:val="44A938DA"/>
    <w:rsid w:val="44BC2C73"/>
    <w:rsid w:val="44F344A3"/>
    <w:rsid w:val="450A1D60"/>
    <w:rsid w:val="45130A85"/>
    <w:rsid w:val="454E1E40"/>
    <w:rsid w:val="4561381A"/>
    <w:rsid w:val="456A4776"/>
    <w:rsid w:val="456E0A79"/>
    <w:rsid w:val="4588349D"/>
    <w:rsid w:val="45967968"/>
    <w:rsid w:val="45C52EF5"/>
    <w:rsid w:val="45D8270D"/>
    <w:rsid w:val="45E943C4"/>
    <w:rsid w:val="45EF7078"/>
    <w:rsid w:val="45F434AE"/>
    <w:rsid w:val="45F62C64"/>
    <w:rsid w:val="460074D7"/>
    <w:rsid w:val="462C207A"/>
    <w:rsid w:val="464C0026"/>
    <w:rsid w:val="46594D9C"/>
    <w:rsid w:val="46621D98"/>
    <w:rsid w:val="46820B49"/>
    <w:rsid w:val="46A726F4"/>
    <w:rsid w:val="46DC6B6F"/>
    <w:rsid w:val="470C73C0"/>
    <w:rsid w:val="472524AC"/>
    <w:rsid w:val="47306EFC"/>
    <w:rsid w:val="47337969"/>
    <w:rsid w:val="473F7D5F"/>
    <w:rsid w:val="4772770F"/>
    <w:rsid w:val="477711BE"/>
    <w:rsid w:val="478A34FC"/>
    <w:rsid w:val="4795551B"/>
    <w:rsid w:val="479779C7"/>
    <w:rsid w:val="47CC58C3"/>
    <w:rsid w:val="47E56984"/>
    <w:rsid w:val="480908C5"/>
    <w:rsid w:val="4828120E"/>
    <w:rsid w:val="487F6EE2"/>
    <w:rsid w:val="48947E12"/>
    <w:rsid w:val="489F168B"/>
    <w:rsid w:val="48A277C9"/>
    <w:rsid w:val="48B31C22"/>
    <w:rsid w:val="48BA51F2"/>
    <w:rsid w:val="48CA7212"/>
    <w:rsid w:val="48CC40D3"/>
    <w:rsid w:val="49091977"/>
    <w:rsid w:val="499C7E37"/>
    <w:rsid w:val="49EE2FF8"/>
    <w:rsid w:val="49F413CE"/>
    <w:rsid w:val="4A090A16"/>
    <w:rsid w:val="4A11580F"/>
    <w:rsid w:val="4A235542"/>
    <w:rsid w:val="4A3B2AF2"/>
    <w:rsid w:val="4A49730B"/>
    <w:rsid w:val="4A507C23"/>
    <w:rsid w:val="4A73745B"/>
    <w:rsid w:val="4A795651"/>
    <w:rsid w:val="4AA4072B"/>
    <w:rsid w:val="4ABC03C2"/>
    <w:rsid w:val="4AD9C975"/>
    <w:rsid w:val="4AE56E9A"/>
    <w:rsid w:val="4AEF218B"/>
    <w:rsid w:val="4AFB1CF7"/>
    <w:rsid w:val="4BC0740B"/>
    <w:rsid w:val="4C053323"/>
    <w:rsid w:val="4C14293E"/>
    <w:rsid w:val="4C1629DE"/>
    <w:rsid w:val="4C2554A7"/>
    <w:rsid w:val="4C345A71"/>
    <w:rsid w:val="4C432E94"/>
    <w:rsid w:val="4C4756BF"/>
    <w:rsid w:val="4C487C9E"/>
    <w:rsid w:val="4C512CC2"/>
    <w:rsid w:val="4C533E0E"/>
    <w:rsid w:val="4C552648"/>
    <w:rsid w:val="4C65508A"/>
    <w:rsid w:val="4C6B4219"/>
    <w:rsid w:val="4C9C4528"/>
    <w:rsid w:val="4CA85128"/>
    <w:rsid w:val="4CBB7CB4"/>
    <w:rsid w:val="4CBD1C3E"/>
    <w:rsid w:val="4CC572DE"/>
    <w:rsid w:val="4CDA6F16"/>
    <w:rsid w:val="4CE70AA9"/>
    <w:rsid w:val="4CEA67EB"/>
    <w:rsid w:val="4CF11722"/>
    <w:rsid w:val="4CFA3536"/>
    <w:rsid w:val="4D06195D"/>
    <w:rsid w:val="4D5A0DA2"/>
    <w:rsid w:val="4D6054BD"/>
    <w:rsid w:val="4D861EDE"/>
    <w:rsid w:val="4DA7159B"/>
    <w:rsid w:val="4DB30164"/>
    <w:rsid w:val="4DBB1272"/>
    <w:rsid w:val="4DC22B2F"/>
    <w:rsid w:val="4DC61441"/>
    <w:rsid w:val="4DD74FC1"/>
    <w:rsid w:val="4DEB622B"/>
    <w:rsid w:val="4DF0024E"/>
    <w:rsid w:val="4DF246D3"/>
    <w:rsid w:val="4E032E34"/>
    <w:rsid w:val="4E2755BA"/>
    <w:rsid w:val="4E4D345F"/>
    <w:rsid w:val="4E5C7274"/>
    <w:rsid w:val="4E6B18E7"/>
    <w:rsid w:val="4EAD1BCB"/>
    <w:rsid w:val="4EC015B1"/>
    <w:rsid w:val="4EC45F97"/>
    <w:rsid w:val="4EE259CC"/>
    <w:rsid w:val="4F0C1A4B"/>
    <w:rsid w:val="4F12510A"/>
    <w:rsid w:val="4F2077B0"/>
    <w:rsid w:val="4F2A0EC9"/>
    <w:rsid w:val="4F384082"/>
    <w:rsid w:val="4F3A3EFA"/>
    <w:rsid w:val="4F5518C2"/>
    <w:rsid w:val="4F697F56"/>
    <w:rsid w:val="4FA75558"/>
    <w:rsid w:val="4FBC1EAB"/>
    <w:rsid w:val="4FC9071E"/>
    <w:rsid w:val="4FCD55C2"/>
    <w:rsid w:val="4FD641E5"/>
    <w:rsid w:val="4FE02743"/>
    <w:rsid w:val="4FF729A1"/>
    <w:rsid w:val="4FF822F0"/>
    <w:rsid w:val="500E2B54"/>
    <w:rsid w:val="5015592D"/>
    <w:rsid w:val="5026794E"/>
    <w:rsid w:val="50391D4C"/>
    <w:rsid w:val="503C18AB"/>
    <w:rsid w:val="50633F2D"/>
    <w:rsid w:val="506863A4"/>
    <w:rsid w:val="506C31A7"/>
    <w:rsid w:val="50946536"/>
    <w:rsid w:val="50DC39E2"/>
    <w:rsid w:val="50EC0D83"/>
    <w:rsid w:val="50F31D1B"/>
    <w:rsid w:val="50FF0808"/>
    <w:rsid w:val="510252DC"/>
    <w:rsid w:val="510E067C"/>
    <w:rsid w:val="5116476D"/>
    <w:rsid w:val="51624806"/>
    <w:rsid w:val="51655576"/>
    <w:rsid w:val="517F0F2C"/>
    <w:rsid w:val="51823496"/>
    <w:rsid w:val="51BA4C91"/>
    <w:rsid w:val="51D57E3C"/>
    <w:rsid w:val="52007474"/>
    <w:rsid w:val="521F6F37"/>
    <w:rsid w:val="526A713B"/>
    <w:rsid w:val="52775054"/>
    <w:rsid w:val="528D21CD"/>
    <w:rsid w:val="529133F1"/>
    <w:rsid w:val="52A770BC"/>
    <w:rsid w:val="52BD34BD"/>
    <w:rsid w:val="52BF1C0E"/>
    <w:rsid w:val="52D90AA1"/>
    <w:rsid w:val="52E16484"/>
    <w:rsid w:val="52EB5400"/>
    <w:rsid w:val="531F6EC4"/>
    <w:rsid w:val="53532A23"/>
    <w:rsid w:val="53576206"/>
    <w:rsid w:val="535D7CA3"/>
    <w:rsid w:val="53713684"/>
    <w:rsid w:val="537442AC"/>
    <w:rsid w:val="539D565B"/>
    <w:rsid w:val="539E3016"/>
    <w:rsid w:val="53AD2FFA"/>
    <w:rsid w:val="53F87D67"/>
    <w:rsid w:val="541B5F54"/>
    <w:rsid w:val="542005B6"/>
    <w:rsid w:val="54382DBF"/>
    <w:rsid w:val="54555784"/>
    <w:rsid w:val="5463310B"/>
    <w:rsid w:val="54766DC6"/>
    <w:rsid w:val="547A66A6"/>
    <w:rsid w:val="548013AB"/>
    <w:rsid w:val="54A96F00"/>
    <w:rsid w:val="54BA260C"/>
    <w:rsid w:val="54BB39A7"/>
    <w:rsid w:val="54C820C0"/>
    <w:rsid w:val="54E446CA"/>
    <w:rsid w:val="54F30935"/>
    <w:rsid w:val="5516016C"/>
    <w:rsid w:val="552031BC"/>
    <w:rsid w:val="55272BBA"/>
    <w:rsid w:val="55384597"/>
    <w:rsid w:val="554D6909"/>
    <w:rsid w:val="5573277C"/>
    <w:rsid w:val="55997986"/>
    <w:rsid w:val="55B36575"/>
    <w:rsid w:val="55D572F8"/>
    <w:rsid w:val="567350FB"/>
    <w:rsid w:val="56737FBB"/>
    <w:rsid w:val="569878BE"/>
    <w:rsid w:val="56D85BB9"/>
    <w:rsid w:val="56D976B4"/>
    <w:rsid w:val="56E90E96"/>
    <w:rsid w:val="56F151D6"/>
    <w:rsid w:val="571701DC"/>
    <w:rsid w:val="57945CD1"/>
    <w:rsid w:val="579D1A50"/>
    <w:rsid w:val="57AB0124"/>
    <w:rsid w:val="57BB73FE"/>
    <w:rsid w:val="57BD7182"/>
    <w:rsid w:val="57D305A7"/>
    <w:rsid w:val="57D814F7"/>
    <w:rsid w:val="57DE6FA3"/>
    <w:rsid w:val="57E820BF"/>
    <w:rsid w:val="58064DD1"/>
    <w:rsid w:val="580E56F1"/>
    <w:rsid w:val="58271B3B"/>
    <w:rsid w:val="5831356E"/>
    <w:rsid w:val="58535244"/>
    <w:rsid w:val="58592E7C"/>
    <w:rsid w:val="5871173B"/>
    <w:rsid w:val="58720FD6"/>
    <w:rsid w:val="588E7AF6"/>
    <w:rsid w:val="5894202E"/>
    <w:rsid w:val="58B15EE9"/>
    <w:rsid w:val="58B51ABE"/>
    <w:rsid w:val="58C757BE"/>
    <w:rsid w:val="58DA3B58"/>
    <w:rsid w:val="58E519E9"/>
    <w:rsid w:val="58EA03D2"/>
    <w:rsid w:val="58F92290"/>
    <w:rsid w:val="58FE78A6"/>
    <w:rsid w:val="58FF50F0"/>
    <w:rsid w:val="591735C4"/>
    <w:rsid w:val="592E5F20"/>
    <w:rsid w:val="5931396F"/>
    <w:rsid w:val="593F3A1A"/>
    <w:rsid w:val="59590DAA"/>
    <w:rsid w:val="59793D78"/>
    <w:rsid w:val="5A0066D8"/>
    <w:rsid w:val="5A126E7F"/>
    <w:rsid w:val="5A127DB9"/>
    <w:rsid w:val="5A1518F6"/>
    <w:rsid w:val="5A3A5FCF"/>
    <w:rsid w:val="5A542C2B"/>
    <w:rsid w:val="5A865DA5"/>
    <w:rsid w:val="5A911964"/>
    <w:rsid w:val="5AE02CE7"/>
    <w:rsid w:val="5AE1122D"/>
    <w:rsid w:val="5B9E75B4"/>
    <w:rsid w:val="5BB51E9B"/>
    <w:rsid w:val="5BC76675"/>
    <w:rsid w:val="5BF64864"/>
    <w:rsid w:val="5C376D9A"/>
    <w:rsid w:val="5C3E7830"/>
    <w:rsid w:val="5C76397D"/>
    <w:rsid w:val="5C8B32B0"/>
    <w:rsid w:val="5CB25BCE"/>
    <w:rsid w:val="5CB62A10"/>
    <w:rsid w:val="5CD71F76"/>
    <w:rsid w:val="5CD72A16"/>
    <w:rsid w:val="5CE70C71"/>
    <w:rsid w:val="5CF751C9"/>
    <w:rsid w:val="5CFA10A5"/>
    <w:rsid w:val="5CFF210D"/>
    <w:rsid w:val="5D157572"/>
    <w:rsid w:val="5D64375D"/>
    <w:rsid w:val="5DAD3649"/>
    <w:rsid w:val="5DC3406C"/>
    <w:rsid w:val="5DF40BA4"/>
    <w:rsid w:val="5E025A78"/>
    <w:rsid w:val="5E1B2CA8"/>
    <w:rsid w:val="5E314D3D"/>
    <w:rsid w:val="5EB8577B"/>
    <w:rsid w:val="5EBA1D73"/>
    <w:rsid w:val="5EC44B53"/>
    <w:rsid w:val="5ECF7A50"/>
    <w:rsid w:val="5ED77C64"/>
    <w:rsid w:val="5EF019F2"/>
    <w:rsid w:val="5F1D4BFE"/>
    <w:rsid w:val="5F706C86"/>
    <w:rsid w:val="5F927C0F"/>
    <w:rsid w:val="5FA06464"/>
    <w:rsid w:val="5FAD5B82"/>
    <w:rsid w:val="5FBA3DFB"/>
    <w:rsid w:val="5FC16413"/>
    <w:rsid w:val="5FCA669A"/>
    <w:rsid w:val="5FEBF264"/>
    <w:rsid w:val="600F4147"/>
    <w:rsid w:val="605A47FB"/>
    <w:rsid w:val="60642B75"/>
    <w:rsid w:val="606D7BEE"/>
    <w:rsid w:val="607F487B"/>
    <w:rsid w:val="609F63E4"/>
    <w:rsid w:val="60CA4500"/>
    <w:rsid w:val="6129157E"/>
    <w:rsid w:val="615F643A"/>
    <w:rsid w:val="61623835"/>
    <w:rsid w:val="61813498"/>
    <w:rsid w:val="61A537F8"/>
    <w:rsid w:val="61EA67EE"/>
    <w:rsid w:val="62456545"/>
    <w:rsid w:val="62927251"/>
    <w:rsid w:val="629471B9"/>
    <w:rsid w:val="6298727F"/>
    <w:rsid w:val="62A0377C"/>
    <w:rsid w:val="62C92CD3"/>
    <w:rsid w:val="62CF2217"/>
    <w:rsid w:val="62DC4C04"/>
    <w:rsid w:val="62DF1552"/>
    <w:rsid w:val="62ED3A9E"/>
    <w:rsid w:val="631332B8"/>
    <w:rsid w:val="63265A1C"/>
    <w:rsid w:val="633A413F"/>
    <w:rsid w:val="636B5FA3"/>
    <w:rsid w:val="63A31776"/>
    <w:rsid w:val="63A37825"/>
    <w:rsid w:val="63AC7EFE"/>
    <w:rsid w:val="63E75510"/>
    <w:rsid w:val="64175CC0"/>
    <w:rsid w:val="644D1F8D"/>
    <w:rsid w:val="6468250C"/>
    <w:rsid w:val="64800B74"/>
    <w:rsid w:val="648F5112"/>
    <w:rsid w:val="64B11CA9"/>
    <w:rsid w:val="64B82FFF"/>
    <w:rsid w:val="64B97A50"/>
    <w:rsid w:val="64D0054A"/>
    <w:rsid w:val="64D1544A"/>
    <w:rsid w:val="64D43900"/>
    <w:rsid w:val="65174E70"/>
    <w:rsid w:val="651B07A5"/>
    <w:rsid w:val="6558090F"/>
    <w:rsid w:val="659C281B"/>
    <w:rsid w:val="65D26D6E"/>
    <w:rsid w:val="65D87E6D"/>
    <w:rsid w:val="65E32D2F"/>
    <w:rsid w:val="66541F53"/>
    <w:rsid w:val="66691009"/>
    <w:rsid w:val="666B40A1"/>
    <w:rsid w:val="66782898"/>
    <w:rsid w:val="66800AE9"/>
    <w:rsid w:val="669929BC"/>
    <w:rsid w:val="66C06702"/>
    <w:rsid w:val="6707201B"/>
    <w:rsid w:val="6712177E"/>
    <w:rsid w:val="67140294"/>
    <w:rsid w:val="672E04E3"/>
    <w:rsid w:val="674418C2"/>
    <w:rsid w:val="67953F5D"/>
    <w:rsid w:val="67B0620F"/>
    <w:rsid w:val="67BF3E5F"/>
    <w:rsid w:val="67D54611"/>
    <w:rsid w:val="67DB0DB2"/>
    <w:rsid w:val="681E48B6"/>
    <w:rsid w:val="68220A7F"/>
    <w:rsid w:val="682C6AC2"/>
    <w:rsid w:val="68913072"/>
    <w:rsid w:val="68921DB9"/>
    <w:rsid w:val="68B309A1"/>
    <w:rsid w:val="69083B0B"/>
    <w:rsid w:val="69142915"/>
    <w:rsid w:val="691F6780"/>
    <w:rsid w:val="69670318"/>
    <w:rsid w:val="697728BD"/>
    <w:rsid w:val="697E6D9B"/>
    <w:rsid w:val="697F1D61"/>
    <w:rsid w:val="698D45BD"/>
    <w:rsid w:val="69BA3574"/>
    <w:rsid w:val="69FA48F9"/>
    <w:rsid w:val="69FB10EF"/>
    <w:rsid w:val="6A036A19"/>
    <w:rsid w:val="6A2033BE"/>
    <w:rsid w:val="6A352BC6"/>
    <w:rsid w:val="6A3E74DF"/>
    <w:rsid w:val="6A5A6906"/>
    <w:rsid w:val="6A5D008D"/>
    <w:rsid w:val="6A6A1659"/>
    <w:rsid w:val="6AA36F30"/>
    <w:rsid w:val="6AE33815"/>
    <w:rsid w:val="6AE37117"/>
    <w:rsid w:val="6AE97CB6"/>
    <w:rsid w:val="6B0A20DA"/>
    <w:rsid w:val="6B187E17"/>
    <w:rsid w:val="6B62463B"/>
    <w:rsid w:val="6B6D550E"/>
    <w:rsid w:val="6B7D0AFE"/>
    <w:rsid w:val="6B851761"/>
    <w:rsid w:val="6B973174"/>
    <w:rsid w:val="6BAE2C22"/>
    <w:rsid w:val="6BDF3567"/>
    <w:rsid w:val="6C1857FA"/>
    <w:rsid w:val="6C185BD0"/>
    <w:rsid w:val="6C2B1E86"/>
    <w:rsid w:val="6C6400F1"/>
    <w:rsid w:val="6C643494"/>
    <w:rsid w:val="6C6A6DD0"/>
    <w:rsid w:val="6C700183"/>
    <w:rsid w:val="6C794405"/>
    <w:rsid w:val="6CA1418B"/>
    <w:rsid w:val="6CA32CBC"/>
    <w:rsid w:val="6CB3750C"/>
    <w:rsid w:val="6CCB3630"/>
    <w:rsid w:val="6D1654C3"/>
    <w:rsid w:val="6D363E21"/>
    <w:rsid w:val="6D7C36BA"/>
    <w:rsid w:val="6D915A40"/>
    <w:rsid w:val="6D93565A"/>
    <w:rsid w:val="6DB10860"/>
    <w:rsid w:val="6DD84AF0"/>
    <w:rsid w:val="6E445903"/>
    <w:rsid w:val="6E4476B1"/>
    <w:rsid w:val="6E5214F8"/>
    <w:rsid w:val="6E6B1E90"/>
    <w:rsid w:val="6E8A511F"/>
    <w:rsid w:val="6E9F0928"/>
    <w:rsid w:val="6ED7592E"/>
    <w:rsid w:val="6F0851BE"/>
    <w:rsid w:val="6F0A1FE6"/>
    <w:rsid w:val="6F1C2679"/>
    <w:rsid w:val="6F1D0466"/>
    <w:rsid w:val="6F232964"/>
    <w:rsid w:val="6F2B0871"/>
    <w:rsid w:val="6F524050"/>
    <w:rsid w:val="6F827CFD"/>
    <w:rsid w:val="6FAF14A2"/>
    <w:rsid w:val="6FC722F1"/>
    <w:rsid w:val="6FD011BF"/>
    <w:rsid w:val="6FF9096F"/>
    <w:rsid w:val="701B62CB"/>
    <w:rsid w:val="701C4FCF"/>
    <w:rsid w:val="702F334F"/>
    <w:rsid w:val="707F0E75"/>
    <w:rsid w:val="708C3DCD"/>
    <w:rsid w:val="70A95EF1"/>
    <w:rsid w:val="70C801E0"/>
    <w:rsid w:val="70D14491"/>
    <w:rsid w:val="70F933D2"/>
    <w:rsid w:val="71565DE4"/>
    <w:rsid w:val="71757854"/>
    <w:rsid w:val="71C64881"/>
    <w:rsid w:val="71D141F3"/>
    <w:rsid w:val="71EA3EFC"/>
    <w:rsid w:val="71F02E49"/>
    <w:rsid w:val="71F37403"/>
    <w:rsid w:val="71FE343E"/>
    <w:rsid w:val="7220072D"/>
    <w:rsid w:val="72513250"/>
    <w:rsid w:val="728361F1"/>
    <w:rsid w:val="72872785"/>
    <w:rsid w:val="72AE3249"/>
    <w:rsid w:val="72C63249"/>
    <w:rsid w:val="72D354A8"/>
    <w:rsid w:val="72D60AF4"/>
    <w:rsid w:val="731E2BC7"/>
    <w:rsid w:val="73201D05"/>
    <w:rsid w:val="734737A0"/>
    <w:rsid w:val="734E2D80"/>
    <w:rsid w:val="739014EB"/>
    <w:rsid w:val="739E02E1"/>
    <w:rsid w:val="73B55490"/>
    <w:rsid w:val="73DD1542"/>
    <w:rsid w:val="74077C61"/>
    <w:rsid w:val="740E60E4"/>
    <w:rsid w:val="74131046"/>
    <w:rsid w:val="74143FCA"/>
    <w:rsid w:val="74487C30"/>
    <w:rsid w:val="7451456B"/>
    <w:rsid w:val="745C4815"/>
    <w:rsid w:val="74EB56EF"/>
    <w:rsid w:val="752130DB"/>
    <w:rsid w:val="75880DCC"/>
    <w:rsid w:val="75C612F4"/>
    <w:rsid w:val="75E023B5"/>
    <w:rsid w:val="75F069C9"/>
    <w:rsid w:val="75F47C0F"/>
    <w:rsid w:val="760D51C1"/>
    <w:rsid w:val="76203C5A"/>
    <w:rsid w:val="76362B93"/>
    <w:rsid w:val="764838CC"/>
    <w:rsid w:val="764D19B8"/>
    <w:rsid w:val="7657143C"/>
    <w:rsid w:val="765B5641"/>
    <w:rsid w:val="768865A9"/>
    <w:rsid w:val="76937B7C"/>
    <w:rsid w:val="76A66883"/>
    <w:rsid w:val="76A74ECA"/>
    <w:rsid w:val="76B37A8B"/>
    <w:rsid w:val="76C82ED2"/>
    <w:rsid w:val="76D60124"/>
    <w:rsid w:val="771A36A5"/>
    <w:rsid w:val="7735228D"/>
    <w:rsid w:val="7738164C"/>
    <w:rsid w:val="77807D43"/>
    <w:rsid w:val="778925D9"/>
    <w:rsid w:val="77B84C6C"/>
    <w:rsid w:val="77C04DF9"/>
    <w:rsid w:val="77C875A5"/>
    <w:rsid w:val="77CA5D6C"/>
    <w:rsid w:val="77DC4DFE"/>
    <w:rsid w:val="781C51FB"/>
    <w:rsid w:val="7838395E"/>
    <w:rsid w:val="788F00C3"/>
    <w:rsid w:val="789821DF"/>
    <w:rsid w:val="78E80143"/>
    <w:rsid w:val="78EA52F9"/>
    <w:rsid w:val="78FE426C"/>
    <w:rsid w:val="790A5BC0"/>
    <w:rsid w:val="792C76C0"/>
    <w:rsid w:val="794247FC"/>
    <w:rsid w:val="79500CDA"/>
    <w:rsid w:val="79644C4A"/>
    <w:rsid w:val="79667075"/>
    <w:rsid w:val="798049CD"/>
    <w:rsid w:val="799A3A9F"/>
    <w:rsid w:val="799B65F3"/>
    <w:rsid w:val="79B7342D"/>
    <w:rsid w:val="79DE77A8"/>
    <w:rsid w:val="79EC1B78"/>
    <w:rsid w:val="79FD15FF"/>
    <w:rsid w:val="7A0D4354"/>
    <w:rsid w:val="7A1E1D29"/>
    <w:rsid w:val="7A3D3FE3"/>
    <w:rsid w:val="7A3F3915"/>
    <w:rsid w:val="7A582F29"/>
    <w:rsid w:val="7A7B1A42"/>
    <w:rsid w:val="7AC50ED3"/>
    <w:rsid w:val="7B3E234B"/>
    <w:rsid w:val="7BDE73AE"/>
    <w:rsid w:val="7BFFF60E"/>
    <w:rsid w:val="7C4D0079"/>
    <w:rsid w:val="7C552632"/>
    <w:rsid w:val="7D146DE8"/>
    <w:rsid w:val="7D3116DB"/>
    <w:rsid w:val="7D3976B9"/>
    <w:rsid w:val="7D5B58A7"/>
    <w:rsid w:val="7D761851"/>
    <w:rsid w:val="7D821FA4"/>
    <w:rsid w:val="7DA24B10"/>
    <w:rsid w:val="7DB35B49"/>
    <w:rsid w:val="7DC65F9E"/>
    <w:rsid w:val="7DCF7A31"/>
    <w:rsid w:val="7E0E69F7"/>
    <w:rsid w:val="7E112940"/>
    <w:rsid w:val="7E112DD1"/>
    <w:rsid w:val="7E182024"/>
    <w:rsid w:val="7E297DCF"/>
    <w:rsid w:val="7E5623CA"/>
    <w:rsid w:val="7E617E0B"/>
    <w:rsid w:val="7E682C07"/>
    <w:rsid w:val="7E6D0BB5"/>
    <w:rsid w:val="7E8337E7"/>
    <w:rsid w:val="7E8776A9"/>
    <w:rsid w:val="7E9975A5"/>
    <w:rsid w:val="7EAC151F"/>
    <w:rsid w:val="7EDA3AF6"/>
    <w:rsid w:val="7EE2301E"/>
    <w:rsid w:val="7EFA7860"/>
    <w:rsid w:val="7EFF59AD"/>
    <w:rsid w:val="7F1C3C57"/>
    <w:rsid w:val="7F233313"/>
    <w:rsid w:val="7F3545C8"/>
    <w:rsid w:val="7F496BFC"/>
    <w:rsid w:val="7F6D5E20"/>
    <w:rsid w:val="7F815817"/>
    <w:rsid w:val="7F8237A6"/>
    <w:rsid w:val="7F8F0CE0"/>
    <w:rsid w:val="7F9F0F5A"/>
    <w:rsid w:val="7FB1091F"/>
    <w:rsid w:val="BCF722EE"/>
    <w:rsid w:val="BDF6C6F4"/>
    <w:rsid w:val="D3EE7789"/>
    <w:rsid w:val="EBFDDCB5"/>
    <w:rsid w:val="EFEF3FA6"/>
    <w:rsid w:val="F67EE84C"/>
    <w:rsid w:val="F9CDB7C4"/>
    <w:rsid w:val="FAEF9A31"/>
    <w:rsid w:val="FFDF14A4"/>
    <w:rsid w:val="FFFF97B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85"/>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4">
    <w:name w:val="heading 2"/>
    <w:basedOn w:val="1"/>
    <w:next w:val="1"/>
    <w:link w:val="84"/>
    <w:qFormat/>
    <w:uiPriority w:val="0"/>
    <w:pPr>
      <w:keepNext/>
      <w:keepLines/>
      <w:spacing w:before="120" w:after="120"/>
      <w:jc w:val="left"/>
      <w:outlineLvl w:val="1"/>
    </w:pPr>
    <w:rPr>
      <w:rFonts w:ascii="宋体" w:hAnsi="宋体"/>
      <w:b/>
      <w:szCs w:val="24"/>
    </w:rPr>
  </w:style>
  <w:style w:type="paragraph" w:styleId="5">
    <w:name w:val="heading 3"/>
    <w:basedOn w:val="1"/>
    <w:next w:val="1"/>
    <w:link w:val="86"/>
    <w:qFormat/>
    <w:uiPriority w:val="0"/>
    <w:pPr>
      <w:keepNext/>
      <w:keepLines/>
      <w:shd w:val="clear" w:color="auto" w:fill="FFFFFF"/>
      <w:wordWrap w:val="0"/>
      <w:spacing w:line="390" w:lineRule="atLeast"/>
      <w:outlineLvl w:val="2"/>
    </w:pPr>
    <w:rPr>
      <w:rFonts w:ascii="宋体" w:hAnsi="宋体"/>
      <w:b/>
      <w:szCs w:val="21"/>
    </w:rPr>
  </w:style>
  <w:style w:type="paragraph" w:styleId="2">
    <w:name w:val="heading 4"/>
    <w:basedOn w:val="1"/>
    <w:next w:val="1"/>
    <w:link w:val="87"/>
    <w:qFormat/>
    <w:uiPriority w:val="0"/>
    <w:pPr>
      <w:keepNext/>
      <w:keepLines/>
      <w:spacing w:before="120" w:after="120"/>
      <w:outlineLvl w:val="3"/>
    </w:pPr>
    <w:rPr>
      <w:rFonts w:ascii="Arial" w:hAnsi="Arial" w:eastAsia="黑体"/>
      <w:b/>
      <w:sz w:val="28"/>
    </w:rPr>
  </w:style>
  <w:style w:type="paragraph" w:styleId="6">
    <w:name w:val="heading 5"/>
    <w:basedOn w:val="1"/>
    <w:next w:val="7"/>
    <w:link w:val="88"/>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89"/>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90"/>
    <w:qFormat/>
    <w:uiPriority w:val="0"/>
    <w:pPr>
      <w:keepNext/>
      <w:keepLines/>
      <w:spacing w:before="240" w:after="64" w:line="320" w:lineRule="auto"/>
      <w:outlineLvl w:val="6"/>
    </w:pPr>
    <w:rPr>
      <w:b/>
      <w:bCs/>
      <w:sz w:val="24"/>
      <w:szCs w:val="24"/>
    </w:rPr>
  </w:style>
  <w:style w:type="paragraph" w:styleId="10">
    <w:name w:val="heading 8"/>
    <w:basedOn w:val="1"/>
    <w:next w:val="1"/>
    <w:link w:val="91"/>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92"/>
    <w:qFormat/>
    <w:uiPriority w:val="0"/>
    <w:pPr>
      <w:keepNext/>
      <w:keepLines/>
      <w:spacing w:before="240" w:after="64" w:line="320" w:lineRule="auto"/>
      <w:outlineLvl w:val="8"/>
    </w:pPr>
    <w:rPr>
      <w:rFonts w:ascii="Arial" w:hAnsi="Arial" w:eastAsia="黑体"/>
      <w:szCs w:val="21"/>
    </w:rPr>
  </w:style>
  <w:style w:type="character" w:default="1" w:styleId="69">
    <w:name w:val="Default Paragraph Font"/>
    <w:unhideWhenUsed/>
    <w:qFormat/>
    <w:uiPriority w:val="1"/>
  </w:style>
  <w:style w:type="table" w:default="1" w:styleId="67">
    <w:name w:val="Normal Table"/>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93"/>
    <w:semiHidden/>
    <w:qFormat/>
    <w:uiPriority w:val="0"/>
    <w:pPr>
      <w:shd w:val="clear" w:color="auto" w:fill="000080"/>
    </w:pPr>
  </w:style>
  <w:style w:type="paragraph" w:styleId="19">
    <w:name w:val="annotation text"/>
    <w:basedOn w:val="1"/>
    <w:link w:val="94"/>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qFormat/>
    <w:uiPriority w:val="0"/>
    <w:rPr>
      <w:rFonts w:ascii="仿宋_GB2312" w:eastAsia="仿宋_GB2312"/>
      <w:sz w:val="28"/>
    </w:rPr>
  </w:style>
  <w:style w:type="paragraph" w:styleId="22">
    <w:name w:val="Body Text 3"/>
    <w:basedOn w:val="1"/>
    <w:qFormat/>
    <w:uiPriority w:val="0"/>
    <w:rPr>
      <w:rFonts w:ascii="仿宋_GB2312" w:hAnsi="Arial" w:eastAsia="仿宋_GB2312"/>
      <w:sz w:val="32"/>
    </w:rPr>
  </w:style>
  <w:style w:type="paragraph" w:styleId="23">
    <w:name w:val="Body Text"/>
    <w:basedOn w:val="1"/>
    <w:qFormat/>
    <w:uiPriority w:val="0"/>
    <w:rPr>
      <w:rFonts w:ascii="楷体_GB2312" w:hAnsi="Arial" w:eastAsia="楷体_GB2312"/>
      <w:sz w:val="28"/>
    </w:rPr>
  </w:style>
  <w:style w:type="paragraph" w:styleId="24">
    <w:name w:val="Body Text Indent"/>
    <w:basedOn w:val="1"/>
    <w:link w:val="95"/>
    <w:qFormat/>
    <w:uiPriority w:val="0"/>
    <w:pPr>
      <w:ind w:firstLine="645"/>
    </w:pPr>
    <w:rPr>
      <w:rFonts w:ascii="楷体_GB2312" w:eastAsia="楷体_GB2312"/>
      <w:sz w:val="32"/>
    </w:rPr>
  </w:style>
  <w:style w:type="paragraph" w:styleId="25">
    <w:name w:val="Block Text"/>
    <w:basedOn w:val="1"/>
    <w:next w:val="23"/>
    <w:qFormat/>
    <w:uiPriority w:val="0"/>
    <w:pPr>
      <w:spacing w:after="120"/>
      <w:ind w:left="1440" w:leftChars="700" w:right="1440" w:rightChars="700"/>
    </w:pPr>
  </w:style>
  <w:style w:type="paragraph" w:styleId="26">
    <w:name w:val="index 4"/>
    <w:basedOn w:val="1"/>
    <w:next w:val="1"/>
    <w:semiHidden/>
    <w:qFormat/>
    <w:uiPriority w:val="0"/>
    <w:pPr>
      <w:ind w:left="1260"/>
    </w:pPr>
  </w:style>
  <w:style w:type="paragraph" w:styleId="27">
    <w:name w:val="toc 5"/>
    <w:basedOn w:val="1"/>
    <w:next w:val="1"/>
    <w:semiHidden/>
    <w:qFormat/>
    <w:uiPriority w:val="0"/>
    <w:pPr>
      <w:ind w:left="840"/>
      <w:jc w:val="left"/>
    </w:pPr>
    <w:rPr>
      <w:sz w:val="18"/>
    </w:rPr>
  </w:style>
  <w:style w:type="paragraph" w:styleId="28">
    <w:name w:val="toc 3"/>
    <w:basedOn w:val="1"/>
    <w:next w:val="1"/>
    <w:semiHidden/>
    <w:qFormat/>
    <w:uiPriority w:val="0"/>
    <w:pPr>
      <w:ind w:left="420"/>
      <w:jc w:val="left"/>
    </w:pPr>
    <w:rPr>
      <w:i/>
      <w:sz w:val="20"/>
    </w:rPr>
  </w:style>
  <w:style w:type="paragraph" w:styleId="29">
    <w:name w:val="Plain Text"/>
    <w:basedOn w:val="1"/>
    <w:link w:val="96"/>
    <w:qFormat/>
    <w:uiPriority w:val="0"/>
    <w:rPr>
      <w:rFonts w:ascii="宋体" w:hAnsi="Courier New"/>
    </w:rPr>
  </w:style>
  <w:style w:type="paragraph" w:styleId="30">
    <w:name w:val="toc 8"/>
    <w:basedOn w:val="1"/>
    <w:next w:val="1"/>
    <w:semiHidden/>
    <w:qFormat/>
    <w:uiPriority w:val="0"/>
    <w:pPr>
      <w:ind w:left="1470"/>
      <w:jc w:val="left"/>
    </w:pPr>
    <w:rPr>
      <w:sz w:val="18"/>
    </w:rPr>
  </w:style>
  <w:style w:type="paragraph" w:styleId="31">
    <w:name w:val="index 3"/>
    <w:basedOn w:val="1"/>
    <w:next w:val="1"/>
    <w:semiHidden/>
    <w:qFormat/>
    <w:uiPriority w:val="0"/>
    <w:pPr>
      <w:ind w:left="840"/>
    </w:pPr>
  </w:style>
  <w:style w:type="paragraph" w:styleId="32">
    <w:name w:val="Date"/>
    <w:basedOn w:val="1"/>
    <w:next w:val="1"/>
    <w:qFormat/>
    <w:uiPriority w:val="0"/>
    <w:pPr>
      <w:ind w:left="100" w:leftChars="2500"/>
    </w:pPr>
    <w:rPr>
      <w:sz w:val="28"/>
    </w:rPr>
  </w:style>
  <w:style w:type="paragraph" w:styleId="33">
    <w:name w:val="Body Text Indent 2"/>
    <w:basedOn w:val="1"/>
    <w:next w:val="34"/>
    <w:link w:val="83"/>
    <w:qFormat/>
    <w:uiPriority w:val="0"/>
    <w:pPr>
      <w:ind w:left="630" w:firstLine="645"/>
    </w:pPr>
    <w:rPr>
      <w:rFonts w:ascii="Arial" w:hAnsi="Arial" w:eastAsia="仿宋_GB2312"/>
      <w:sz w:val="32"/>
    </w:rPr>
  </w:style>
  <w:style w:type="paragraph" w:customStyle="1" w:styleId="34">
    <w:name w:val="xl75"/>
    <w:basedOn w:val="1"/>
    <w:next w:val="35"/>
    <w:qFormat/>
    <w:uiPriority w:val="0"/>
    <w:pPr>
      <w:widowControl/>
      <w:spacing w:before="280" w:after="280"/>
      <w:ind w:left="200" w:firstLine="5320"/>
      <w:jc w:val="center"/>
    </w:pPr>
    <w:rPr>
      <w:rFonts w:ascii="宋体"/>
    </w:rPr>
  </w:style>
  <w:style w:type="paragraph" w:customStyle="1" w:styleId="35">
    <w:name w:val="Test2"/>
    <w:basedOn w:val="4"/>
    <w:next w:val="36"/>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6">
    <w:name w:val="xl59"/>
    <w:basedOn w:val="1"/>
    <w:next w:val="37"/>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7">
    <w:name w:val="方案正文"/>
    <w:basedOn w:val="1"/>
    <w:next w:val="38"/>
    <w:qFormat/>
    <w:uiPriority w:val="0"/>
    <w:pPr>
      <w:spacing w:before="156" w:line="360" w:lineRule="auto"/>
      <w:ind w:firstLine="359" w:firstLineChars="171"/>
      <w:jc w:val="left"/>
    </w:pPr>
    <w:rPr>
      <w:rFonts w:ascii="Arial" w:hAnsi="Arial" w:cs="宋体"/>
      <w:sz w:val="24"/>
      <w:szCs w:val="21"/>
    </w:rPr>
  </w:style>
  <w:style w:type="paragraph" w:customStyle="1" w:styleId="38">
    <w:name w:val="小四 段落 宋体 Char Char Char Char"/>
    <w:basedOn w:val="1"/>
    <w:next w:val="39"/>
    <w:qFormat/>
    <w:uiPriority w:val="0"/>
    <w:pPr>
      <w:spacing w:line="360" w:lineRule="auto"/>
      <w:ind w:right="-33" w:firstLine="480" w:firstLineChars="200"/>
      <w:jc w:val="left"/>
    </w:pPr>
    <w:rPr>
      <w:sz w:val="24"/>
      <w:szCs w:val="24"/>
    </w:rPr>
  </w:style>
  <w:style w:type="paragraph" w:customStyle="1" w:styleId="39">
    <w:name w:val="flType"/>
    <w:basedOn w:val="40"/>
    <w:next w:val="1"/>
    <w:qFormat/>
    <w:uiPriority w:val="0"/>
    <w:pPr>
      <w:spacing w:after="284"/>
    </w:pPr>
    <w:rPr>
      <w:rFonts w:eastAsia="宋体"/>
      <w:b w:val="0"/>
    </w:rPr>
  </w:style>
  <w:style w:type="paragraph" w:customStyle="1" w:styleId="40">
    <w:name w:val="flName"/>
    <w:basedOn w:val="41"/>
    <w:qFormat/>
    <w:uiPriority w:val="0"/>
    <w:pPr>
      <w:spacing w:before="0" w:line="113" w:lineRule="atLeast"/>
    </w:pPr>
  </w:style>
  <w:style w:type="paragraph" w:customStyle="1" w:styleId="41">
    <w:name w:val="flNote"/>
    <w:basedOn w:val="1"/>
    <w:qFormat/>
    <w:uiPriority w:val="0"/>
    <w:pPr>
      <w:adjustRightInd w:val="0"/>
      <w:spacing w:before="567" w:line="360" w:lineRule="atLeast"/>
      <w:jc w:val="center"/>
      <w:textAlignment w:val="baseline"/>
    </w:pPr>
    <w:rPr>
      <w:rFonts w:eastAsia="黑体"/>
      <w:b/>
      <w:kern w:val="0"/>
      <w:sz w:val="24"/>
    </w:rPr>
  </w:style>
  <w:style w:type="paragraph" w:styleId="42">
    <w:name w:val="endnote text"/>
    <w:basedOn w:val="1"/>
    <w:qFormat/>
    <w:uiPriority w:val="0"/>
    <w:pPr>
      <w:snapToGrid w:val="0"/>
      <w:jc w:val="left"/>
    </w:pPr>
    <w:rPr>
      <w:kern w:val="0"/>
      <w:sz w:val="20"/>
      <w:szCs w:val="24"/>
    </w:rPr>
  </w:style>
  <w:style w:type="paragraph" w:styleId="43">
    <w:name w:val="Balloon Text"/>
    <w:basedOn w:val="1"/>
    <w:semiHidden/>
    <w:qFormat/>
    <w:uiPriority w:val="0"/>
    <w:rPr>
      <w:sz w:val="18"/>
      <w:szCs w:val="18"/>
    </w:rPr>
  </w:style>
  <w:style w:type="paragraph" w:styleId="44">
    <w:name w:val="footer"/>
    <w:basedOn w:val="1"/>
    <w:link w:val="97"/>
    <w:qFormat/>
    <w:uiPriority w:val="0"/>
    <w:pPr>
      <w:tabs>
        <w:tab w:val="center" w:pos="4153"/>
        <w:tab w:val="right" w:pos="8306"/>
      </w:tabs>
      <w:snapToGrid w:val="0"/>
      <w:jc w:val="left"/>
    </w:pPr>
    <w:rPr>
      <w:sz w:val="18"/>
    </w:rPr>
  </w:style>
  <w:style w:type="paragraph" w:styleId="45">
    <w:name w:val="header"/>
    <w:basedOn w:val="1"/>
    <w:qFormat/>
    <w:uiPriority w:val="0"/>
    <w:pPr>
      <w:pBdr>
        <w:bottom w:val="single" w:color="auto" w:sz="6" w:space="1"/>
      </w:pBdr>
      <w:tabs>
        <w:tab w:val="center" w:pos="4153"/>
        <w:tab w:val="right" w:pos="8306"/>
      </w:tabs>
      <w:snapToGrid w:val="0"/>
      <w:jc w:val="center"/>
    </w:pPr>
    <w:rPr>
      <w:sz w:val="18"/>
    </w:rPr>
  </w:style>
  <w:style w:type="paragraph" w:styleId="46">
    <w:name w:val="Signature"/>
    <w:basedOn w:val="1"/>
    <w:qFormat/>
    <w:uiPriority w:val="0"/>
    <w:pPr>
      <w:adjustRightInd w:val="0"/>
      <w:spacing w:after="600" w:line="312" w:lineRule="atLeast"/>
      <w:jc w:val="center"/>
      <w:textAlignment w:val="baseline"/>
    </w:pPr>
    <w:rPr>
      <w:rFonts w:eastAsia="仿宋_GB2312"/>
      <w:kern w:val="0"/>
      <w:sz w:val="24"/>
    </w:rPr>
  </w:style>
  <w:style w:type="paragraph" w:styleId="47">
    <w:name w:val="toc 1"/>
    <w:basedOn w:val="1"/>
    <w:next w:val="1"/>
    <w:qFormat/>
    <w:uiPriority w:val="39"/>
    <w:pPr>
      <w:spacing w:before="120" w:after="120"/>
      <w:jc w:val="left"/>
    </w:pPr>
    <w:rPr>
      <w:b/>
      <w:caps/>
      <w:sz w:val="20"/>
    </w:rPr>
  </w:style>
  <w:style w:type="paragraph" w:styleId="48">
    <w:name w:val="toc 4"/>
    <w:basedOn w:val="1"/>
    <w:next w:val="1"/>
    <w:semiHidden/>
    <w:qFormat/>
    <w:uiPriority w:val="0"/>
    <w:pPr>
      <w:ind w:left="630"/>
      <w:jc w:val="left"/>
    </w:pPr>
    <w:rPr>
      <w:sz w:val="18"/>
    </w:rPr>
  </w:style>
  <w:style w:type="paragraph" w:styleId="49">
    <w:name w:val="index heading"/>
    <w:basedOn w:val="1"/>
    <w:next w:val="50"/>
    <w:semiHidden/>
    <w:qFormat/>
    <w:uiPriority w:val="0"/>
  </w:style>
  <w:style w:type="paragraph" w:styleId="50">
    <w:name w:val="index 1"/>
    <w:basedOn w:val="1"/>
    <w:next w:val="1"/>
    <w:semiHidden/>
    <w:qFormat/>
    <w:uiPriority w:val="0"/>
    <w:rPr>
      <w:rFonts w:ascii="仿宋_GB2312" w:hAnsi="宋体" w:eastAsia="仿宋_GB2312"/>
      <w:sz w:val="30"/>
      <w:szCs w:val="24"/>
    </w:rPr>
  </w:style>
  <w:style w:type="paragraph" w:styleId="51">
    <w:name w:val="Subtitle"/>
    <w:basedOn w:val="1"/>
    <w:next w:val="1"/>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52">
    <w:name w:val="footnote text"/>
    <w:basedOn w:val="1"/>
    <w:qFormat/>
    <w:uiPriority w:val="0"/>
    <w:pPr>
      <w:snapToGrid w:val="0"/>
      <w:jc w:val="left"/>
    </w:pPr>
    <w:rPr>
      <w:sz w:val="18"/>
      <w:szCs w:val="18"/>
    </w:rPr>
  </w:style>
  <w:style w:type="paragraph" w:styleId="53">
    <w:name w:val="toc 6"/>
    <w:basedOn w:val="1"/>
    <w:next w:val="1"/>
    <w:semiHidden/>
    <w:qFormat/>
    <w:uiPriority w:val="0"/>
    <w:pPr>
      <w:ind w:left="1050"/>
      <w:jc w:val="left"/>
    </w:pPr>
    <w:rPr>
      <w:sz w:val="18"/>
    </w:rPr>
  </w:style>
  <w:style w:type="paragraph" w:styleId="54">
    <w:name w:val="Body Text Indent 3"/>
    <w:basedOn w:val="1"/>
    <w:link w:val="98"/>
    <w:qFormat/>
    <w:uiPriority w:val="0"/>
    <w:pPr>
      <w:ind w:left="645" w:firstLine="645"/>
    </w:pPr>
    <w:rPr>
      <w:rFonts w:ascii="Arial" w:hAnsi="Arial" w:eastAsia="仿宋_GB2312"/>
      <w:color w:val="FFFF00"/>
      <w:sz w:val="32"/>
    </w:rPr>
  </w:style>
  <w:style w:type="paragraph" w:styleId="55">
    <w:name w:val="index 7"/>
    <w:basedOn w:val="1"/>
    <w:next w:val="1"/>
    <w:semiHidden/>
    <w:qFormat/>
    <w:uiPriority w:val="0"/>
    <w:pPr>
      <w:ind w:left="2520"/>
    </w:pPr>
  </w:style>
  <w:style w:type="paragraph" w:styleId="56">
    <w:name w:val="index 9"/>
    <w:basedOn w:val="1"/>
    <w:next w:val="1"/>
    <w:semiHidden/>
    <w:qFormat/>
    <w:uiPriority w:val="0"/>
    <w:pPr>
      <w:ind w:left="3360"/>
    </w:pPr>
  </w:style>
  <w:style w:type="paragraph" w:styleId="57">
    <w:name w:val="table of figures"/>
    <w:basedOn w:val="1"/>
    <w:next w:val="1"/>
    <w:semiHidden/>
    <w:qFormat/>
    <w:uiPriority w:val="0"/>
    <w:pPr>
      <w:ind w:left="840" w:hanging="420"/>
    </w:pPr>
  </w:style>
  <w:style w:type="paragraph" w:styleId="58">
    <w:name w:val="toc 2"/>
    <w:basedOn w:val="1"/>
    <w:next w:val="1"/>
    <w:semiHidden/>
    <w:qFormat/>
    <w:uiPriority w:val="0"/>
    <w:pPr>
      <w:ind w:left="210"/>
      <w:jc w:val="left"/>
    </w:pPr>
    <w:rPr>
      <w:smallCaps/>
      <w:sz w:val="20"/>
    </w:rPr>
  </w:style>
  <w:style w:type="paragraph" w:styleId="59">
    <w:name w:val="toc 9"/>
    <w:basedOn w:val="1"/>
    <w:next w:val="1"/>
    <w:semiHidden/>
    <w:qFormat/>
    <w:uiPriority w:val="0"/>
    <w:pPr>
      <w:ind w:left="1680"/>
      <w:jc w:val="left"/>
    </w:pPr>
    <w:rPr>
      <w:sz w:val="18"/>
    </w:rPr>
  </w:style>
  <w:style w:type="paragraph" w:styleId="60">
    <w:name w:val="Body Text 2"/>
    <w:basedOn w:val="1"/>
    <w:qFormat/>
    <w:uiPriority w:val="0"/>
    <w:pPr>
      <w:widowControl/>
      <w:jc w:val="center"/>
    </w:pPr>
    <w:rPr>
      <w:rFonts w:ascii="楷体_GB2312" w:eastAsia="楷体_GB2312"/>
      <w:sz w:val="28"/>
    </w:rPr>
  </w:style>
  <w:style w:type="paragraph" w:styleId="61">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62">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63">
    <w:name w:val="index 2"/>
    <w:basedOn w:val="1"/>
    <w:next w:val="1"/>
    <w:semiHidden/>
    <w:qFormat/>
    <w:uiPriority w:val="0"/>
    <w:pPr>
      <w:ind w:left="420"/>
    </w:pPr>
  </w:style>
  <w:style w:type="paragraph" w:styleId="64">
    <w:name w:val="Title"/>
    <w:basedOn w:val="1"/>
    <w:next w:val="1"/>
    <w:link w:val="100"/>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65">
    <w:name w:val="annotation subject"/>
    <w:basedOn w:val="19"/>
    <w:next w:val="19"/>
    <w:link w:val="101"/>
    <w:semiHidden/>
    <w:qFormat/>
    <w:uiPriority w:val="0"/>
    <w:rPr>
      <w:b/>
      <w:bCs/>
    </w:rPr>
  </w:style>
  <w:style w:type="paragraph" w:styleId="66">
    <w:name w:val="Body Text First Indent"/>
    <w:basedOn w:val="23"/>
    <w:link w:val="102"/>
    <w:qFormat/>
    <w:uiPriority w:val="0"/>
    <w:pPr>
      <w:spacing w:after="120"/>
      <w:ind w:firstLine="420" w:firstLineChars="100"/>
    </w:pPr>
    <w:rPr>
      <w:rFonts w:ascii="Times New Roman" w:hAnsi="Times New Roman" w:eastAsia="宋体"/>
      <w:sz w:val="21"/>
      <w:szCs w:val="24"/>
    </w:rPr>
  </w:style>
  <w:style w:type="table" w:styleId="68">
    <w:name w:val="Table Grid"/>
    <w:basedOn w:val="6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0">
    <w:name w:val="Strong"/>
    <w:qFormat/>
    <w:uiPriority w:val="0"/>
    <w:rPr>
      <w:b/>
      <w:bCs/>
    </w:rPr>
  </w:style>
  <w:style w:type="character" w:styleId="71">
    <w:name w:val="endnote reference"/>
    <w:qFormat/>
    <w:uiPriority w:val="0"/>
    <w:rPr>
      <w:vertAlign w:val="superscript"/>
    </w:rPr>
  </w:style>
  <w:style w:type="character" w:styleId="72">
    <w:name w:val="page number"/>
    <w:qFormat/>
    <w:uiPriority w:val="0"/>
  </w:style>
  <w:style w:type="character" w:styleId="73">
    <w:name w:val="FollowedHyperlink"/>
    <w:qFormat/>
    <w:uiPriority w:val="0"/>
    <w:rPr>
      <w:color w:val="800080"/>
      <w:u w:val="single"/>
    </w:rPr>
  </w:style>
  <w:style w:type="character" w:styleId="74">
    <w:name w:val="Emphasis"/>
    <w:qFormat/>
    <w:uiPriority w:val="0"/>
    <w:rPr>
      <w:b/>
      <w:bCs/>
      <w:i/>
      <w:iCs/>
      <w:spacing w:val="10"/>
      <w:shd w:val="clear" w:color="auto" w:fill="auto"/>
    </w:rPr>
  </w:style>
  <w:style w:type="character" w:styleId="75">
    <w:name w:val="line number"/>
    <w:qFormat/>
    <w:uiPriority w:val="0"/>
  </w:style>
  <w:style w:type="character" w:styleId="76">
    <w:name w:val="HTML Typewriter"/>
    <w:qFormat/>
    <w:uiPriority w:val="0"/>
    <w:rPr>
      <w:rFonts w:ascii="宋体" w:hAnsi="宋体" w:eastAsia="宋体" w:cs="宋体"/>
      <w:sz w:val="24"/>
      <w:szCs w:val="24"/>
    </w:rPr>
  </w:style>
  <w:style w:type="character" w:styleId="77">
    <w:name w:val="Hyperlink"/>
    <w:qFormat/>
    <w:uiPriority w:val="99"/>
    <w:rPr>
      <w:color w:val="0000FF"/>
      <w:u w:val="single"/>
    </w:rPr>
  </w:style>
  <w:style w:type="character" w:styleId="78">
    <w:name w:val="annotation reference"/>
    <w:qFormat/>
    <w:uiPriority w:val="0"/>
    <w:rPr>
      <w:sz w:val="21"/>
    </w:rPr>
  </w:style>
  <w:style w:type="character" w:styleId="79">
    <w:name w:val="footnote reference"/>
    <w:qFormat/>
    <w:uiPriority w:val="0"/>
    <w:rPr>
      <w:vertAlign w:val="superscript"/>
    </w:rPr>
  </w:style>
  <w:style w:type="character" w:styleId="80">
    <w:name w:val="HTML Sample"/>
    <w:qFormat/>
    <w:uiPriority w:val="0"/>
    <w:rPr>
      <w:rFonts w:ascii="Courier New" w:hAnsi="宋体" w:eastAsia="宋体" w:cs="Courier New"/>
    </w:rPr>
  </w:style>
  <w:style w:type="paragraph" w:customStyle="1" w:styleId="81">
    <w:name w:val="样式 正文缩进正文（首行缩进两字） + 宋体 行距: 1.5 倍行距"/>
    <w:basedOn w:val="82"/>
    <w:qFormat/>
    <w:uiPriority w:val="99"/>
    <w:pPr>
      <w:spacing w:line="300" w:lineRule="auto"/>
      <w:ind w:firstLine="482"/>
    </w:pPr>
    <w:rPr>
      <w:rFonts w:ascii="宋体" w:hAnsi="宋体"/>
      <w:sz w:val="24"/>
      <w:szCs w:val="24"/>
    </w:rPr>
  </w:style>
  <w:style w:type="paragraph" w:customStyle="1" w:styleId="82">
    <w:name w:val="正文缩进1"/>
    <w:basedOn w:val="1"/>
    <w:link w:val="188"/>
    <w:qFormat/>
    <w:uiPriority w:val="0"/>
    <w:pPr>
      <w:ind w:firstLine="420"/>
    </w:pPr>
    <w:rPr>
      <w:kern w:val="0"/>
      <w:sz w:val="20"/>
    </w:rPr>
  </w:style>
  <w:style w:type="character" w:customStyle="1" w:styleId="83">
    <w:name w:val="正文文本缩进 2 字符"/>
    <w:link w:val="33"/>
    <w:qFormat/>
    <w:uiPriority w:val="0"/>
    <w:rPr>
      <w:rFonts w:ascii="Arial" w:hAnsi="Arial" w:eastAsia="仿宋_GB2312"/>
      <w:kern w:val="2"/>
      <w:sz w:val="32"/>
      <w:lang w:val="en-US" w:eastAsia="zh-CN" w:bidi="ar-SA"/>
    </w:rPr>
  </w:style>
  <w:style w:type="character" w:customStyle="1" w:styleId="84">
    <w:name w:val="标题 2 字符"/>
    <w:link w:val="4"/>
    <w:qFormat/>
    <w:uiPriority w:val="0"/>
    <w:rPr>
      <w:rFonts w:ascii="宋体" w:hAnsi="宋体" w:eastAsia="宋体"/>
      <w:b/>
      <w:kern w:val="2"/>
      <w:sz w:val="21"/>
      <w:szCs w:val="24"/>
      <w:lang w:val="en-US" w:eastAsia="zh-CN" w:bidi="ar-SA"/>
    </w:rPr>
  </w:style>
  <w:style w:type="character" w:customStyle="1" w:styleId="85">
    <w:name w:val="标题 1 字符"/>
    <w:link w:val="3"/>
    <w:qFormat/>
    <w:uiPriority w:val="0"/>
    <w:rPr>
      <w:rFonts w:ascii="黑体" w:eastAsia="黑体"/>
      <w:b/>
      <w:kern w:val="44"/>
      <w:sz w:val="24"/>
      <w:szCs w:val="28"/>
      <w:lang w:val="en-US" w:eastAsia="zh-CN" w:bidi="ar-SA"/>
    </w:rPr>
  </w:style>
  <w:style w:type="character" w:customStyle="1" w:styleId="86">
    <w:name w:val="标题 3 字符"/>
    <w:link w:val="5"/>
    <w:qFormat/>
    <w:uiPriority w:val="0"/>
    <w:rPr>
      <w:rFonts w:ascii="宋体" w:hAnsi="宋体" w:eastAsia="宋体"/>
      <w:b/>
      <w:kern w:val="2"/>
      <w:sz w:val="21"/>
      <w:szCs w:val="21"/>
      <w:shd w:val="clear" w:color="auto" w:fill="FFFFFF"/>
    </w:rPr>
  </w:style>
  <w:style w:type="character" w:customStyle="1" w:styleId="87">
    <w:name w:val="标题 4 字符"/>
    <w:link w:val="2"/>
    <w:qFormat/>
    <w:uiPriority w:val="0"/>
    <w:rPr>
      <w:rFonts w:ascii="Arial" w:hAnsi="Arial" w:eastAsia="黑体"/>
      <w:b/>
      <w:kern w:val="2"/>
      <w:sz w:val="28"/>
      <w:lang w:val="en-US" w:eastAsia="zh-CN" w:bidi="ar-SA"/>
    </w:rPr>
  </w:style>
  <w:style w:type="character" w:customStyle="1" w:styleId="88">
    <w:name w:val="标题 5 字符"/>
    <w:link w:val="6"/>
    <w:qFormat/>
    <w:uiPriority w:val="0"/>
    <w:rPr>
      <w:rFonts w:ascii="黑体" w:eastAsia="黑体"/>
      <w:b/>
      <w:color w:val="000000"/>
      <w:sz w:val="28"/>
      <w:lang w:val="en-US" w:eastAsia="zh-CN" w:bidi="ar-SA"/>
    </w:rPr>
  </w:style>
  <w:style w:type="character" w:customStyle="1" w:styleId="89">
    <w:name w:val="标题 6 字符"/>
    <w:link w:val="8"/>
    <w:qFormat/>
    <w:uiPriority w:val="0"/>
    <w:rPr>
      <w:rFonts w:ascii="Arial" w:hAnsi="Arial" w:eastAsia="黑体"/>
      <w:b/>
      <w:bCs/>
      <w:kern w:val="2"/>
      <w:sz w:val="24"/>
      <w:szCs w:val="24"/>
      <w:lang w:val="en-US" w:eastAsia="zh-CN" w:bidi="ar-SA"/>
    </w:rPr>
  </w:style>
  <w:style w:type="character" w:customStyle="1" w:styleId="90">
    <w:name w:val="标题 7 字符"/>
    <w:link w:val="9"/>
    <w:qFormat/>
    <w:uiPriority w:val="0"/>
    <w:rPr>
      <w:rFonts w:eastAsia="宋体"/>
      <w:b/>
      <w:bCs/>
      <w:kern w:val="2"/>
      <w:sz w:val="24"/>
      <w:szCs w:val="24"/>
      <w:lang w:val="en-US" w:eastAsia="zh-CN" w:bidi="ar-SA"/>
    </w:rPr>
  </w:style>
  <w:style w:type="character" w:customStyle="1" w:styleId="91">
    <w:name w:val="标题 8 字符"/>
    <w:link w:val="10"/>
    <w:qFormat/>
    <w:uiPriority w:val="0"/>
    <w:rPr>
      <w:rFonts w:ascii="Arial" w:hAnsi="Arial" w:eastAsia="黑体"/>
      <w:kern w:val="2"/>
      <w:sz w:val="24"/>
      <w:szCs w:val="24"/>
      <w:lang w:val="en-US" w:eastAsia="zh-CN" w:bidi="ar-SA"/>
    </w:rPr>
  </w:style>
  <w:style w:type="character" w:customStyle="1" w:styleId="92">
    <w:name w:val="标题 9 字符"/>
    <w:link w:val="11"/>
    <w:qFormat/>
    <w:uiPriority w:val="0"/>
    <w:rPr>
      <w:rFonts w:ascii="Arial" w:hAnsi="Arial" w:eastAsia="黑体"/>
      <w:kern w:val="2"/>
      <w:sz w:val="21"/>
      <w:szCs w:val="21"/>
      <w:lang w:val="en-US" w:eastAsia="zh-CN" w:bidi="ar-SA"/>
    </w:rPr>
  </w:style>
  <w:style w:type="character" w:customStyle="1" w:styleId="93">
    <w:name w:val="文档结构图 字符"/>
    <w:link w:val="18"/>
    <w:qFormat/>
    <w:uiPriority w:val="0"/>
    <w:rPr>
      <w:rFonts w:eastAsia="宋体"/>
      <w:kern w:val="2"/>
      <w:sz w:val="21"/>
      <w:lang w:val="en-US" w:eastAsia="zh-CN" w:bidi="ar-SA"/>
    </w:rPr>
  </w:style>
  <w:style w:type="character" w:customStyle="1" w:styleId="94">
    <w:name w:val="批注文字 字符"/>
    <w:link w:val="19"/>
    <w:qFormat/>
    <w:uiPriority w:val="99"/>
    <w:rPr>
      <w:rFonts w:eastAsia="宋体"/>
      <w:kern w:val="2"/>
      <w:sz w:val="21"/>
      <w:lang w:val="en-US" w:eastAsia="zh-CN" w:bidi="ar-SA"/>
    </w:rPr>
  </w:style>
  <w:style w:type="character" w:customStyle="1" w:styleId="95">
    <w:name w:val="正文文本缩进 字符"/>
    <w:link w:val="24"/>
    <w:qFormat/>
    <w:uiPriority w:val="0"/>
    <w:rPr>
      <w:rFonts w:ascii="楷体_GB2312" w:eastAsia="楷体_GB2312"/>
      <w:kern w:val="2"/>
      <w:sz w:val="32"/>
      <w:lang w:val="en-US" w:eastAsia="zh-CN" w:bidi="ar-SA"/>
    </w:rPr>
  </w:style>
  <w:style w:type="character" w:customStyle="1" w:styleId="96">
    <w:name w:val="纯文本 字符"/>
    <w:link w:val="29"/>
    <w:qFormat/>
    <w:uiPriority w:val="0"/>
    <w:rPr>
      <w:rFonts w:ascii="宋体" w:hAnsi="Courier New" w:eastAsia="宋体"/>
      <w:kern w:val="2"/>
      <w:sz w:val="21"/>
      <w:lang w:val="en-US" w:eastAsia="zh-CN" w:bidi="ar-SA"/>
    </w:rPr>
  </w:style>
  <w:style w:type="character" w:customStyle="1" w:styleId="97">
    <w:name w:val="页脚 字符"/>
    <w:link w:val="44"/>
    <w:qFormat/>
    <w:uiPriority w:val="0"/>
    <w:rPr>
      <w:kern w:val="2"/>
      <w:sz w:val="18"/>
    </w:rPr>
  </w:style>
  <w:style w:type="character" w:customStyle="1" w:styleId="98">
    <w:name w:val="正文文本缩进 3 字符"/>
    <w:link w:val="54"/>
    <w:qFormat/>
    <w:uiPriority w:val="0"/>
    <w:rPr>
      <w:rFonts w:ascii="Arial" w:hAnsi="Arial" w:eastAsia="仿宋_GB2312"/>
      <w:color w:val="FFFF00"/>
      <w:kern w:val="2"/>
      <w:sz w:val="32"/>
      <w:lang w:val="en-US" w:eastAsia="zh-CN" w:bidi="ar-SA"/>
    </w:rPr>
  </w:style>
  <w:style w:type="character" w:customStyle="1" w:styleId="99">
    <w:name w:val="HTML 预设格式 字符"/>
    <w:link w:val="61"/>
    <w:qFormat/>
    <w:uiPriority w:val="0"/>
    <w:rPr>
      <w:rFonts w:ascii="黑体" w:hAnsi="Courier New" w:eastAsia="黑体" w:cs="Courier New"/>
      <w:lang w:val="en-US" w:eastAsia="zh-CN" w:bidi="ar-SA"/>
    </w:rPr>
  </w:style>
  <w:style w:type="character" w:customStyle="1" w:styleId="100">
    <w:name w:val="标题 字符"/>
    <w:link w:val="64"/>
    <w:qFormat/>
    <w:uiPriority w:val="0"/>
    <w:rPr>
      <w:rFonts w:eastAsia="黑体"/>
      <w:b/>
      <w:sz w:val="28"/>
      <w:lang w:val="en-GB" w:eastAsia="zh-CN" w:bidi="ar-SA"/>
    </w:rPr>
  </w:style>
  <w:style w:type="character" w:customStyle="1" w:styleId="101">
    <w:name w:val="批注主题 字符"/>
    <w:link w:val="65"/>
    <w:qFormat/>
    <w:uiPriority w:val="0"/>
    <w:rPr>
      <w:rFonts w:eastAsia="宋体"/>
      <w:b/>
      <w:bCs/>
      <w:kern w:val="2"/>
      <w:sz w:val="21"/>
      <w:lang w:val="en-US" w:eastAsia="zh-CN" w:bidi="ar-SA"/>
    </w:rPr>
  </w:style>
  <w:style w:type="character" w:customStyle="1" w:styleId="102">
    <w:name w:val="正文文本首行缩进 字符"/>
    <w:link w:val="66"/>
    <w:qFormat/>
    <w:uiPriority w:val="0"/>
    <w:rPr>
      <w:kern w:val="2"/>
      <w:sz w:val="21"/>
      <w:szCs w:val="24"/>
    </w:rPr>
  </w:style>
  <w:style w:type="character" w:customStyle="1" w:styleId="103">
    <w:name w:val="title_emph1"/>
    <w:qFormat/>
    <w:uiPriority w:val="0"/>
    <w:rPr>
      <w:rFonts w:ascii="Arial" w:cs="Arial"/>
      <w:b/>
      <w:bCs/>
      <w:sz w:val="18"/>
      <w:szCs w:val="18"/>
    </w:rPr>
  </w:style>
  <w:style w:type="character" w:customStyle="1" w:styleId="104">
    <w:name w:val="font81"/>
    <w:qFormat/>
    <w:uiPriority w:val="0"/>
    <w:rPr>
      <w:rFonts w:hint="eastAsia" w:ascii="宋体" w:hAnsi="宋体" w:eastAsia="宋体" w:cs="宋体"/>
      <w:i/>
      <w:color w:val="000000"/>
      <w:sz w:val="18"/>
      <w:szCs w:val="18"/>
      <w:u w:val="none"/>
    </w:rPr>
  </w:style>
  <w:style w:type="character" w:customStyle="1" w:styleId="105">
    <w:name w:val="华宇段落1 Char Char Char"/>
    <w:qFormat/>
    <w:uiPriority w:val="0"/>
    <w:rPr>
      <w:rFonts w:eastAsia="宋体"/>
      <w:bCs/>
      <w:kern w:val="2"/>
      <w:sz w:val="24"/>
      <w:szCs w:val="24"/>
      <w:lang w:val="en-US" w:eastAsia="zh-CN" w:bidi="ar-SA"/>
    </w:rPr>
  </w:style>
  <w:style w:type="character" w:customStyle="1" w:styleId="106">
    <w:name w:val="小四 段落 宋体 Char Char Char Char Char Char Char Char"/>
    <w:qFormat/>
    <w:uiPriority w:val="0"/>
    <w:rPr>
      <w:rFonts w:eastAsia="宋体"/>
      <w:kern w:val="2"/>
      <w:sz w:val="24"/>
      <w:szCs w:val="24"/>
      <w:lang w:val="en-US" w:eastAsia="zh-CN" w:bidi="ar-SA"/>
    </w:rPr>
  </w:style>
  <w:style w:type="character" w:customStyle="1" w:styleId="107">
    <w:name w:val="Char Char20"/>
    <w:qFormat/>
    <w:uiPriority w:val="0"/>
    <w:rPr>
      <w:rFonts w:ascii="Arial" w:hAnsi="Arial" w:eastAsia="黑体"/>
      <w:kern w:val="2"/>
      <w:sz w:val="21"/>
      <w:szCs w:val="21"/>
    </w:rPr>
  </w:style>
  <w:style w:type="character" w:customStyle="1" w:styleId="108">
    <w:name w:val="样式 首行缩进:  2 字符 Char"/>
    <w:qFormat/>
    <w:uiPriority w:val="0"/>
    <w:rPr>
      <w:rFonts w:eastAsia="宋体" w:cs="宋体"/>
      <w:kern w:val="2"/>
      <w:sz w:val="24"/>
      <w:lang w:val="en-US" w:eastAsia="zh-CN" w:bidi="ar-SA"/>
    </w:rPr>
  </w:style>
  <w:style w:type="character" w:customStyle="1" w:styleId="109">
    <w:name w:val="标题 Char1"/>
    <w:qFormat/>
    <w:uiPriority w:val="0"/>
    <w:rPr>
      <w:rFonts w:ascii="Cambria" w:eastAsia="宋体" w:cs="Times New Roman"/>
      <w:b/>
      <w:bCs/>
      <w:sz w:val="32"/>
      <w:szCs w:val="32"/>
    </w:rPr>
  </w:style>
  <w:style w:type="character" w:customStyle="1" w:styleId="110">
    <w:name w:val="content_lineheight1"/>
    <w:qFormat/>
    <w:uiPriority w:val="0"/>
  </w:style>
  <w:style w:type="character" w:customStyle="1" w:styleId="111">
    <w:name w:val="_Style 108"/>
    <w:qFormat/>
    <w:uiPriority w:val="0"/>
    <w:rPr>
      <w:smallCaps/>
      <w:spacing w:val="5"/>
      <w:u w:val="single"/>
    </w:rPr>
  </w:style>
  <w:style w:type="character" w:customStyle="1" w:styleId="112">
    <w:name w:val="明显引用 字符"/>
    <w:link w:val="113"/>
    <w:qFormat/>
    <w:uiPriority w:val="0"/>
    <w:rPr>
      <w:rFonts w:ascii="Calibri" w:hAnsi="Calibri" w:eastAsia="宋体"/>
      <w:b/>
      <w:bCs/>
      <w:i/>
      <w:iCs/>
      <w:sz w:val="22"/>
      <w:szCs w:val="22"/>
      <w:lang w:val="en-US" w:eastAsia="en-US" w:bidi="en-US"/>
    </w:rPr>
  </w:style>
  <w:style w:type="paragraph" w:customStyle="1" w:styleId="113">
    <w:name w:val="Intense Quote"/>
    <w:basedOn w:val="1"/>
    <w:next w:val="1"/>
    <w:link w:val="112"/>
    <w:qFormat/>
    <w:uiPriority w:val="0"/>
    <w:pPr>
      <w:widowControl/>
      <w:pBdr>
        <w:bottom w:val="single" w:color="auto" w:sz="4" w:space="1"/>
      </w:pBdr>
      <w:spacing w:before="200" w:after="280" w:line="276" w:lineRule="auto"/>
      <w:ind w:left="1008" w:right="1152"/>
    </w:pPr>
    <w:rPr>
      <w:b/>
      <w:bCs/>
      <w:i/>
      <w:iCs/>
      <w:kern w:val="0"/>
      <w:sz w:val="22"/>
      <w:szCs w:val="22"/>
      <w:lang w:eastAsia="en-US" w:bidi="en-US"/>
    </w:rPr>
  </w:style>
  <w:style w:type="character" w:customStyle="1" w:styleId="114">
    <w:name w:val="小四 段落 宋体 Char1"/>
    <w:qFormat/>
    <w:uiPriority w:val="0"/>
    <w:rPr>
      <w:rFonts w:eastAsia="宋体"/>
      <w:kern w:val="2"/>
      <w:sz w:val="24"/>
      <w:szCs w:val="24"/>
      <w:lang w:val="en-US" w:eastAsia="zh-CN" w:bidi="ar-SA"/>
    </w:rPr>
  </w:style>
  <w:style w:type="character" w:customStyle="1" w:styleId="115">
    <w:name w:val="Char Char29"/>
    <w:qFormat/>
    <w:uiPriority w:val="0"/>
    <w:rPr>
      <w:rFonts w:ascii="Times New Roman" w:hAnsi="Times New Roman" w:eastAsia="宋体" w:cs="Times New Roman"/>
      <w:b/>
      <w:bCs/>
      <w:kern w:val="44"/>
      <w:sz w:val="44"/>
      <w:szCs w:val="44"/>
    </w:rPr>
  </w:style>
  <w:style w:type="character" w:customStyle="1" w:styleId="116">
    <w:name w:val="正文 + 宋体 Char"/>
    <w:qFormat/>
    <w:uiPriority w:val="0"/>
    <w:rPr>
      <w:rFonts w:eastAsia="宋体"/>
      <w:kern w:val="2"/>
      <w:sz w:val="21"/>
      <w:szCs w:val="24"/>
      <w:lang w:val="en-US" w:eastAsia="zh-CN" w:bidi="ar-SA"/>
    </w:rPr>
  </w:style>
  <w:style w:type="character" w:customStyle="1" w:styleId="117">
    <w:name w:val="font21"/>
    <w:qFormat/>
    <w:uiPriority w:val="0"/>
    <w:rPr>
      <w:rFonts w:hint="eastAsia" w:ascii="宋体" w:hAnsi="宋体" w:eastAsia="宋体" w:cs="宋体"/>
      <w:color w:val="000000"/>
      <w:sz w:val="18"/>
      <w:szCs w:val="18"/>
      <w:u w:val="none"/>
    </w:rPr>
  </w:style>
  <w:style w:type="character" w:customStyle="1" w:styleId="118">
    <w:name w:val="已访问的超链接1"/>
    <w:qFormat/>
    <w:uiPriority w:val="0"/>
    <w:rPr>
      <w:color w:val="auto"/>
      <w:u w:val="none"/>
    </w:rPr>
  </w:style>
  <w:style w:type="character" w:customStyle="1" w:styleId="119">
    <w:name w:val="3zw"/>
    <w:qFormat/>
    <w:uiPriority w:val="0"/>
  </w:style>
  <w:style w:type="character" w:customStyle="1" w:styleId="120">
    <w:name w:val="Char Char23"/>
    <w:qFormat/>
    <w:uiPriority w:val="0"/>
    <w:rPr>
      <w:rFonts w:ascii="Arial" w:hAnsi="Arial" w:eastAsia="黑体"/>
      <w:b/>
      <w:bCs/>
      <w:kern w:val="2"/>
      <w:sz w:val="24"/>
      <w:szCs w:val="24"/>
    </w:rPr>
  </w:style>
  <w:style w:type="character" w:customStyle="1" w:styleId="121">
    <w:name w:val="标准小四 Char Char"/>
    <w:qFormat/>
    <w:uiPriority w:val="0"/>
    <w:rPr>
      <w:rFonts w:ascii="Arial" w:hAnsi="Arial" w:eastAsia="宋体"/>
      <w:kern w:val="2"/>
      <w:sz w:val="24"/>
      <w:szCs w:val="21"/>
      <w:lang w:val="en-US" w:eastAsia="zh-CN" w:bidi="ar-SA"/>
    </w:rPr>
  </w:style>
  <w:style w:type="character" w:customStyle="1" w:styleId="122">
    <w:name w:val="font61"/>
    <w:qFormat/>
    <w:uiPriority w:val="0"/>
    <w:rPr>
      <w:rFonts w:hint="eastAsia" w:ascii="宋体" w:hAnsi="宋体" w:eastAsia="宋体" w:cs="宋体"/>
      <w:color w:val="000000"/>
      <w:sz w:val="20"/>
      <w:szCs w:val="20"/>
      <w:u w:val="none"/>
    </w:rPr>
  </w:style>
  <w:style w:type="character" w:customStyle="1" w:styleId="123">
    <w:name w:val="font71"/>
    <w:qFormat/>
    <w:uiPriority w:val="0"/>
    <w:rPr>
      <w:rFonts w:ascii="宋体" w:hAnsi="宋体" w:eastAsia="宋体" w:cs="宋体"/>
      <w:color w:val="000000"/>
      <w:sz w:val="18"/>
      <w:szCs w:val="18"/>
      <w:u w:val="none"/>
    </w:rPr>
  </w:style>
  <w:style w:type="character" w:customStyle="1" w:styleId="124">
    <w:name w:val="小四 段落 宋体 Char Char Char Char Char Char"/>
    <w:qFormat/>
    <w:uiPriority w:val="0"/>
    <w:rPr>
      <w:rFonts w:eastAsia="宋体"/>
      <w:kern w:val="2"/>
      <w:sz w:val="24"/>
      <w:szCs w:val="24"/>
      <w:lang w:val="en-US" w:eastAsia="zh-CN" w:bidi="ar-SA"/>
    </w:rPr>
  </w:style>
  <w:style w:type="character" w:customStyle="1" w:styleId="125">
    <w:name w:val="样式 宋体 小四"/>
    <w:qFormat/>
    <w:uiPriority w:val="0"/>
    <w:rPr>
      <w:rFonts w:ascii="宋体" w:hAnsi="宋体"/>
      <w:sz w:val="24"/>
    </w:rPr>
  </w:style>
  <w:style w:type="character" w:customStyle="1" w:styleId="126">
    <w:name w:val="font41"/>
    <w:qFormat/>
    <w:uiPriority w:val="0"/>
    <w:rPr>
      <w:rFonts w:hint="default" w:ascii="MingLiU" w:hAnsi="MingLiU" w:eastAsia="MingLiU" w:cs="MingLiU"/>
      <w:i/>
      <w:color w:val="000000"/>
      <w:sz w:val="18"/>
      <w:szCs w:val="18"/>
      <w:u w:val="none"/>
    </w:rPr>
  </w:style>
  <w:style w:type="character" w:customStyle="1" w:styleId="127">
    <w:name w:val="新图表正文 Char Char"/>
    <w:link w:val="128"/>
    <w:qFormat/>
    <w:locked/>
    <w:uiPriority w:val="0"/>
    <w:rPr>
      <w:rFonts w:ascii="宋体" w:hAnsi="宋体"/>
      <w:kern w:val="2"/>
      <w:sz w:val="18"/>
      <w:szCs w:val="21"/>
      <w:lang w:val="en-US" w:eastAsia="zh-CN" w:bidi="ar-SA"/>
    </w:rPr>
  </w:style>
  <w:style w:type="paragraph" w:customStyle="1" w:styleId="128">
    <w:name w:val="新图表正文"/>
    <w:link w:val="127"/>
    <w:qFormat/>
    <w:uiPriority w:val="0"/>
    <w:pPr>
      <w:jc w:val="both"/>
    </w:pPr>
    <w:rPr>
      <w:rFonts w:ascii="宋体" w:hAnsi="宋体" w:eastAsia="宋体" w:cs="Times New Roman"/>
      <w:kern w:val="2"/>
      <w:sz w:val="18"/>
      <w:szCs w:val="21"/>
      <w:lang w:val="en-US" w:eastAsia="zh-CN" w:bidi="ar-SA"/>
    </w:rPr>
  </w:style>
  <w:style w:type="character" w:customStyle="1" w:styleId="129">
    <w:name w:val="纯文本 Char Char Char1"/>
    <w:qFormat/>
    <w:uiPriority w:val="0"/>
    <w:rPr>
      <w:rFonts w:ascii="宋体" w:hAnsi="Courier New" w:eastAsia="宋体"/>
      <w:kern w:val="2"/>
      <w:sz w:val="21"/>
      <w:szCs w:val="21"/>
      <w:lang w:val="en-US" w:eastAsia="zh-CN" w:bidi="ar-SA"/>
    </w:rPr>
  </w:style>
  <w:style w:type="character" w:customStyle="1" w:styleId="130">
    <w:name w:val="h Char Char"/>
    <w:qFormat/>
    <w:uiPriority w:val="0"/>
    <w:rPr>
      <w:rFonts w:eastAsia="宋体"/>
      <w:kern w:val="2"/>
      <w:sz w:val="18"/>
      <w:szCs w:val="18"/>
      <w:lang w:val="en-US" w:eastAsia="zh-CN" w:bidi="ar-SA"/>
    </w:rPr>
  </w:style>
  <w:style w:type="character" w:customStyle="1" w:styleId="131">
    <w:name w:val="无间隔 字符"/>
    <w:link w:val="132"/>
    <w:qFormat/>
    <w:uiPriority w:val="0"/>
    <w:rPr>
      <w:rFonts w:eastAsia="微软雅黑"/>
      <w:kern w:val="2"/>
      <w:sz w:val="24"/>
      <w:szCs w:val="22"/>
      <w:lang w:val="en-US" w:eastAsia="zh-CN" w:bidi="ar-SA"/>
    </w:rPr>
  </w:style>
  <w:style w:type="paragraph" w:customStyle="1" w:styleId="132">
    <w:name w:val="No Spacing"/>
    <w:link w:val="131"/>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33">
    <w:name w:val="para_small"/>
    <w:qFormat/>
    <w:uiPriority w:val="0"/>
  </w:style>
  <w:style w:type="character" w:customStyle="1" w:styleId="134">
    <w:name w:val="param-value"/>
    <w:qFormat/>
    <w:uiPriority w:val="0"/>
  </w:style>
  <w:style w:type="character" w:customStyle="1" w:styleId="135">
    <w:name w:val="t1"/>
    <w:qFormat/>
    <w:uiPriority w:val="0"/>
  </w:style>
  <w:style w:type="character" w:customStyle="1" w:styleId="136">
    <w:name w:val="2nd level Char"/>
    <w:qFormat/>
    <w:uiPriority w:val="0"/>
    <w:rPr>
      <w:rFonts w:ascii="Arial" w:hAnsi="Arial" w:eastAsia="黑体"/>
      <w:b/>
      <w:bCs/>
      <w:kern w:val="2"/>
      <w:sz w:val="32"/>
      <w:szCs w:val="32"/>
      <w:lang w:val="en-US" w:eastAsia="zh-CN" w:bidi="ar-SA"/>
    </w:rPr>
  </w:style>
  <w:style w:type="character" w:customStyle="1" w:styleId="137">
    <w:name w:val="标准小四 Char"/>
    <w:qFormat/>
    <w:uiPriority w:val="0"/>
    <w:rPr>
      <w:rFonts w:ascii="Arial" w:hAnsi="Arial" w:eastAsia="宋体"/>
      <w:kern w:val="2"/>
      <w:sz w:val="24"/>
      <w:szCs w:val="21"/>
      <w:lang w:val="en-US" w:eastAsia="zh-CN" w:bidi="ar-SA"/>
    </w:rPr>
  </w:style>
  <w:style w:type="character" w:customStyle="1" w:styleId="138">
    <w:name w:val="Char Char27"/>
    <w:qFormat/>
    <w:uiPriority w:val="0"/>
    <w:rPr>
      <w:b/>
      <w:bCs/>
      <w:kern w:val="44"/>
      <w:sz w:val="44"/>
      <w:szCs w:val="44"/>
    </w:rPr>
  </w:style>
  <w:style w:type="character" w:customStyle="1" w:styleId="139">
    <w:name w:val="Char Char28"/>
    <w:qFormat/>
    <w:uiPriority w:val="0"/>
    <w:rPr>
      <w:rFonts w:ascii="Arial" w:hAnsi="Arial" w:eastAsia="黑体" w:cs="Arial"/>
      <w:b/>
      <w:bCs/>
      <w:sz w:val="32"/>
      <w:szCs w:val="32"/>
    </w:rPr>
  </w:style>
  <w:style w:type="character" w:customStyle="1" w:styleId="140">
    <w:name w:val="标题 3 Char"/>
    <w:qFormat/>
    <w:uiPriority w:val="0"/>
    <w:rPr>
      <w:rFonts w:ascii="宋体" w:hAnsi="宋体" w:eastAsia="宋体"/>
      <w:b/>
      <w:bCs/>
      <w:kern w:val="2"/>
      <w:sz w:val="24"/>
      <w:szCs w:val="32"/>
      <w:lang w:val="en-US" w:eastAsia="zh-CN" w:bidi="ar-SA"/>
    </w:rPr>
  </w:style>
  <w:style w:type="character" w:customStyle="1" w:styleId="141">
    <w:name w:val="content"/>
    <w:qFormat/>
    <w:uiPriority w:val="0"/>
  </w:style>
  <w:style w:type="character" w:customStyle="1" w:styleId="142">
    <w:name w:val="小四 段落 宋体 Char Char Char1"/>
    <w:qFormat/>
    <w:uiPriority w:val="0"/>
    <w:rPr>
      <w:rFonts w:ascii="宋体" w:hAnsi="宋体" w:eastAsia="宋体"/>
      <w:kern w:val="2"/>
      <w:sz w:val="24"/>
      <w:szCs w:val="24"/>
      <w:lang w:val="en-US" w:eastAsia="zh-CN" w:bidi="ar-SA"/>
    </w:rPr>
  </w:style>
  <w:style w:type="character" w:customStyle="1" w:styleId="143">
    <w:name w:val="华宇段落1 Char Char"/>
    <w:qFormat/>
    <w:uiPriority w:val="0"/>
    <w:rPr>
      <w:rFonts w:eastAsia="宋体"/>
      <w:bCs/>
      <w:kern w:val="2"/>
      <w:sz w:val="24"/>
      <w:szCs w:val="24"/>
      <w:lang w:val="en-US" w:eastAsia="zh-CN" w:bidi="ar-SA"/>
    </w:rPr>
  </w:style>
  <w:style w:type="character" w:customStyle="1" w:styleId="144">
    <w:name w:val="Char Char24"/>
    <w:qFormat/>
    <w:uiPriority w:val="0"/>
    <w:rPr>
      <w:b/>
      <w:bCs/>
      <w:kern w:val="2"/>
      <w:sz w:val="28"/>
      <w:szCs w:val="28"/>
    </w:rPr>
  </w:style>
  <w:style w:type="character" w:customStyle="1" w:styleId="145">
    <w:name w:val="_Style 142"/>
    <w:qFormat/>
    <w:uiPriority w:val="0"/>
    <w:rPr>
      <w:b/>
      <w:bCs/>
    </w:rPr>
  </w:style>
  <w:style w:type="character" w:customStyle="1" w:styleId="146">
    <w:name w:val="样式 首行缩进:  2 字符 Char Char"/>
    <w:link w:val="147"/>
    <w:qFormat/>
    <w:uiPriority w:val="0"/>
    <w:rPr>
      <w:rFonts w:eastAsia="宋体" w:cs="宋体"/>
      <w:kern w:val="2"/>
      <w:sz w:val="24"/>
      <w:lang w:val="en-US" w:eastAsia="zh-CN" w:bidi="ar-SA"/>
    </w:rPr>
  </w:style>
  <w:style w:type="paragraph" w:customStyle="1" w:styleId="147">
    <w:name w:val="样式 首行缩进:  2 字符"/>
    <w:basedOn w:val="1"/>
    <w:link w:val="146"/>
    <w:qFormat/>
    <w:uiPriority w:val="0"/>
    <w:pPr>
      <w:spacing w:line="360" w:lineRule="auto"/>
      <w:ind w:firstLine="480" w:firstLineChars="200"/>
    </w:pPr>
    <w:rPr>
      <w:rFonts w:cs="宋体"/>
      <w:sz w:val="24"/>
    </w:rPr>
  </w:style>
  <w:style w:type="character" w:customStyle="1" w:styleId="148">
    <w:name w:val="A2"/>
    <w:qFormat/>
    <w:uiPriority w:val="0"/>
    <w:rPr>
      <w:rFonts w:cs="Helvetica"/>
      <w:color w:val="000000"/>
      <w:sz w:val="18"/>
      <w:szCs w:val="18"/>
    </w:rPr>
  </w:style>
  <w:style w:type="character" w:customStyle="1" w:styleId="149">
    <w:name w:val="_Style 146"/>
    <w:qFormat/>
    <w:uiPriority w:val="0"/>
    <w:rPr>
      <w:i/>
      <w:iCs/>
    </w:rPr>
  </w:style>
  <w:style w:type="character" w:customStyle="1" w:styleId="150">
    <w:name w:val="Char Char17"/>
    <w:qFormat/>
    <w:uiPriority w:val="0"/>
    <w:rPr>
      <w:rFonts w:ascii="宋体" w:hAnsi="Courier New"/>
      <w:kern w:val="2"/>
      <w:sz w:val="21"/>
      <w:szCs w:val="21"/>
    </w:rPr>
  </w:style>
  <w:style w:type="character" w:customStyle="1" w:styleId="151">
    <w:name w:val="concon"/>
    <w:qFormat/>
    <w:uiPriority w:val="0"/>
  </w:style>
  <w:style w:type="character" w:customStyle="1" w:styleId="152">
    <w:name w:val="纯文本 Char Char Char"/>
    <w:qFormat/>
    <w:uiPriority w:val="0"/>
    <w:rPr>
      <w:rFonts w:ascii="宋体" w:hAnsi="Courier New" w:eastAsia="宋体"/>
      <w:kern w:val="2"/>
      <w:sz w:val="21"/>
      <w:szCs w:val="21"/>
      <w:lang w:val="en-US" w:eastAsia="zh-CN" w:bidi="ar-SA"/>
    </w:rPr>
  </w:style>
  <w:style w:type="character" w:customStyle="1" w:styleId="153">
    <w:name w:val="纯文本 Char1"/>
    <w:qFormat/>
    <w:uiPriority w:val="0"/>
    <w:rPr>
      <w:rFonts w:ascii="宋体" w:hAnsi="Courier New" w:cs="Courier New"/>
      <w:kern w:val="2"/>
      <w:sz w:val="21"/>
      <w:szCs w:val="21"/>
    </w:rPr>
  </w:style>
  <w:style w:type="character" w:customStyle="1" w:styleId="154">
    <w:name w:val="小四 段落 宋体 Char Char Char Char Char"/>
    <w:qFormat/>
    <w:uiPriority w:val="0"/>
    <w:rPr>
      <w:rFonts w:eastAsia="宋体"/>
      <w:kern w:val="2"/>
      <w:sz w:val="24"/>
      <w:szCs w:val="24"/>
      <w:lang w:val="en-US" w:eastAsia="zh-CN" w:bidi="ar-SA"/>
    </w:rPr>
  </w:style>
  <w:style w:type="character" w:customStyle="1" w:styleId="155">
    <w:name w:val="Char Char22"/>
    <w:qFormat/>
    <w:uiPriority w:val="0"/>
    <w:rPr>
      <w:b/>
      <w:bCs/>
      <w:kern w:val="2"/>
      <w:sz w:val="24"/>
      <w:szCs w:val="24"/>
    </w:rPr>
  </w:style>
  <w:style w:type="character" w:customStyle="1" w:styleId="156">
    <w:name w:val="font01"/>
    <w:qFormat/>
    <w:uiPriority w:val="0"/>
    <w:rPr>
      <w:rFonts w:hint="default" w:ascii="MingLiU" w:hAnsi="MingLiU" w:eastAsia="MingLiU" w:cs="MingLiU"/>
      <w:color w:val="000000"/>
      <w:sz w:val="20"/>
      <w:szCs w:val="20"/>
      <w:u w:val="none"/>
    </w:rPr>
  </w:style>
  <w:style w:type="character" w:customStyle="1" w:styleId="157">
    <w:name w:val="subtitle1"/>
    <w:qFormat/>
    <w:uiPriority w:val="0"/>
    <w:rPr>
      <w:rFonts w:hint="default" w:ascii="Georgia" w:hAnsi="Georgia"/>
      <w:b/>
      <w:bCs/>
      <w:color w:val="666666"/>
      <w:sz w:val="18"/>
      <w:szCs w:val="18"/>
    </w:rPr>
  </w:style>
  <w:style w:type="character" w:customStyle="1" w:styleId="158">
    <w:name w:val="表格抬头 Char"/>
    <w:link w:val="159"/>
    <w:qFormat/>
    <w:locked/>
    <w:uiPriority w:val="0"/>
    <w:rPr>
      <w:rFonts w:ascii="黑体" w:eastAsia="黑体"/>
      <w:b/>
      <w:kern w:val="2"/>
      <w:sz w:val="21"/>
      <w:lang w:bidi="ar-SA"/>
    </w:rPr>
  </w:style>
  <w:style w:type="paragraph" w:customStyle="1" w:styleId="159">
    <w:name w:val="表格抬头"/>
    <w:basedOn w:val="1"/>
    <w:link w:val="158"/>
    <w:qFormat/>
    <w:uiPriority w:val="0"/>
    <w:pPr>
      <w:jc w:val="center"/>
    </w:pPr>
    <w:rPr>
      <w:rFonts w:ascii="黑体" w:eastAsia="黑体"/>
      <w:b/>
    </w:rPr>
  </w:style>
  <w:style w:type="character" w:customStyle="1" w:styleId="160">
    <w:name w:val="normalfont1"/>
    <w:qFormat/>
    <w:uiPriority w:val="0"/>
    <w:rPr>
      <w:rFonts w:hint="default" w:ascii="ˎ̥" w:hAnsi="ˎ̥"/>
      <w:sz w:val="18"/>
      <w:szCs w:val="18"/>
      <w:u w:val="none"/>
    </w:rPr>
  </w:style>
  <w:style w:type="character" w:customStyle="1" w:styleId="161">
    <w:name w:val="样式 非加粗"/>
    <w:qFormat/>
    <w:uiPriority w:val="0"/>
    <w:rPr>
      <w:rFonts w:eastAsia="宋体"/>
      <w:sz w:val="28"/>
    </w:rPr>
  </w:style>
  <w:style w:type="character" w:customStyle="1" w:styleId="162">
    <w:name w:val="case31"/>
    <w:qFormat/>
    <w:uiPriority w:val="0"/>
    <w:rPr>
      <w:sz w:val="21"/>
      <w:szCs w:val="21"/>
    </w:rPr>
  </w:style>
  <w:style w:type="character" w:customStyle="1" w:styleId="163">
    <w:name w:val="ih151"/>
    <w:qFormat/>
    <w:uiPriority w:val="0"/>
    <w:rPr>
      <w:color w:val="666666"/>
      <w:sz w:val="18"/>
      <w:szCs w:val="18"/>
      <w:u w:val="none"/>
    </w:rPr>
  </w:style>
  <w:style w:type="character" w:customStyle="1" w:styleId="164">
    <w:name w:val="标题 3 Char Char"/>
    <w:qFormat/>
    <w:uiPriority w:val="0"/>
    <w:rPr>
      <w:rFonts w:eastAsia="仿宋_GB2312"/>
      <w:b/>
      <w:bCs/>
      <w:kern w:val="2"/>
      <w:sz w:val="28"/>
      <w:szCs w:val="32"/>
      <w:lang w:val="en-US" w:eastAsia="zh-CN" w:bidi="ar-SA"/>
    </w:rPr>
  </w:style>
  <w:style w:type="character" w:customStyle="1" w:styleId="165">
    <w:name w:val="textcontents"/>
    <w:qFormat/>
    <w:uiPriority w:val="0"/>
  </w:style>
  <w:style w:type="character" w:customStyle="1" w:styleId="166">
    <w:name w:val="style131"/>
    <w:qFormat/>
    <w:uiPriority w:val="0"/>
    <w:rPr>
      <w:rFonts w:cs="Times New Roman"/>
      <w:sz w:val="18"/>
      <w:szCs w:val="18"/>
    </w:rPr>
  </w:style>
  <w:style w:type="character" w:customStyle="1" w:styleId="167">
    <w:name w:val="普通文字1 Char"/>
    <w:qFormat/>
    <w:uiPriority w:val="0"/>
    <w:rPr>
      <w:rFonts w:ascii="宋体" w:eastAsia="宋体"/>
      <w:kern w:val="2"/>
      <w:sz w:val="21"/>
      <w:szCs w:val="21"/>
      <w:lang w:val="en-US" w:eastAsia="zh-CN" w:bidi="ar-SA"/>
    </w:rPr>
  </w:style>
  <w:style w:type="character" w:customStyle="1" w:styleId="168">
    <w:name w:val="_Style 165"/>
    <w:qFormat/>
    <w:uiPriority w:val="0"/>
    <w:rPr>
      <w:i/>
      <w:iCs/>
      <w:smallCaps/>
      <w:spacing w:val="5"/>
    </w:rPr>
  </w:style>
  <w:style w:type="character" w:customStyle="1" w:styleId="169">
    <w:name w:val="列出段落 Char"/>
    <w:link w:val="170"/>
    <w:qFormat/>
    <w:locked/>
    <w:uiPriority w:val="0"/>
    <w:rPr>
      <w:rFonts w:ascii="Arial" w:hAnsi="Arial" w:eastAsia="黑体"/>
      <w:sz w:val="24"/>
      <w:szCs w:val="24"/>
      <w:lang w:eastAsia="en-US"/>
    </w:rPr>
  </w:style>
  <w:style w:type="paragraph" w:customStyle="1" w:styleId="170">
    <w:name w:val="列出段落1"/>
    <w:basedOn w:val="1"/>
    <w:link w:val="169"/>
    <w:qFormat/>
    <w:uiPriority w:val="0"/>
    <w:pPr>
      <w:widowControl/>
      <w:ind w:left="720"/>
      <w:contextualSpacing/>
      <w:jc w:val="left"/>
    </w:pPr>
    <w:rPr>
      <w:rFonts w:ascii="Arial" w:hAnsi="Arial" w:eastAsia="黑体"/>
      <w:kern w:val="0"/>
      <w:sz w:val="24"/>
      <w:szCs w:val="24"/>
      <w:lang w:eastAsia="en-US"/>
    </w:rPr>
  </w:style>
  <w:style w:type="character" w:customStyle="1" w:styleId="171">
    <w:name w:val="特点 Char1"/>
    <w:qFormat/>
    <w:uiPriority w:val="0"/>
    <w:rPr>
      <w:rFonts w:eastAsia="宋体"/>
      <w:kern w:val="2"/>
      <w:sz w:val="21"/>
      <w:lang w:val="en-US" w:eastAsia="zh-CN" w:bidi="ar-SA"/>
    </w:rPr>
  </w:style>
  <w:style w:type="character" w:customStyle="1" w:styleId="172">
    <w:name w:val="标准文本 Char"/>
    <w:qFormat/>
    <w:uiPriority w:val="0"/>
    <w:rPr>
      <w:rFonts w:eastAsia="宋体" w:cs="宋体"/>
      <w:kern w:val="2"/>
      <w:sz w:val="24"/>
      <w:szCs w:val="24"/>
      <w:lang w:val="en-US" w:eastAsia="zh-CN" w:bidi="ar-SA"/>
    </w:rPr>
  </w:style>
  <w:style w:type="character" w:customStyle="1" w:styleId="173">
    <w:name w:val="apple-converted-space"/>
    <w:qFormat/>
    <w:uiPriority w:val="0"/>
  </w:style>
  <w:style w:type="character" w:customStyle="1" w:styleId="174">
    <w:name w:val="Char Char21"/>
    <w:qFormat/>
    <w:uiPriority w:val="0"/>
    <w:rPr>
      <w:rFonts w:ascii="Arial" w:hAnsi="Arial" w:eastAsia="黑体"/>
      <w:kern w:val="2"/>
      <w:sz w:val="24"/>
      <w:szCs w:val="24"/>
    </w:rPr>
  </w:style>
  <w:style w:type="character" w:customStyle="1" w:styleId="175">
    <w:name w:val="_Style 172"/>
    <w:qFormat/>
    <w:uiPriority w:val="0"/>
    <w:rPr>
      <w:smallCaps/>
    </w:rPr>
  </w:style>
  <w:style w:type="character" w:customStyle="1" w:styleId="176">
    <w:name w:val="Char Char211"/>
    <w:qFormat/>
    <w:uiPriority w:val="0"/>
    <w:rPr>
      <w:rFonts w:ascii="宋体" w:hAnsi="Courier New" w:eastAsia="宋体"/>
      <w:kern w:val="2"/>
      <w:sz w:val="21"/>
      <w:szCs w:val="21"/>
      <w:lang w:val="en-US" w:eastAsia="zh-CN" w:bidi="ar-SA"/>
    </w:rPr>
  </w:style>
  <w:style w:type="character" w:customStyle="1" w:styleId="177">
    <w:name w:val="标准文本 Char Char"/>
    <w:qFormat/>
    <w:uiPriority w:val="0"/>
    <w:rPr>
      <w:rFonts w:eastAsia="宋体" w:cs="宋体"/>
      <w:kern w:val="2"/>
      <w:sz w:val="24"/>
      <w:szCs w:val="24"/>
      <w:lang w:val="en-US" w:eastAsia="zh-CN" w:bidi="ar-SA"/>
    </w:rPr>
  </w:style>
  <w:style w:type="character" w:customStyle="1" w:styleId="178">
    <w:name w:val="Char Char26"/>
    <w:qFormat/>
    <w:uiPriority w:val="0"/>
    <w:rPr>
      <w:b/>
      <w:bCs/>
      <w:kern w:val="2"/>
      <w:sz w:val="32"/>
      <w:szCs w:val="32"/>
    </w:rPr>
  </w:style>
  <w:style w:type="character" w:customStyle="1" w:styleId="179">
    <w:name w:val="小四 段落 宋体 Char Char Char Char1"/>
    <w:qFormat/>
    <w:uiPriority w:val="0"/>
    <w:rPr>
      <w:rFonts w:eastAsia="宋体"/>
      <w:kern w:val="2"/>
      <w:sz w:val="24"/>
      <w:szCs w:val="24"/>
      <w:lang w:val="en-US" w:eastAsia="zh-CN" w:bidi="ar-SA"/>
    </w:rPr>
  </w:style>
  <w:style w:type="character" w:customStyle="1" w:styleId="180">
    <w:name w:val="Char Char25"/>
    <w:qFormat/>
    <w:uiPriority w:val="0"/>
    <w:rPr>
      <w:rFonts w:ascii="Arial" w:hAnsi="Arial" w:eastAsia="黑体"/>
      <w:b/>
      <w:kern w:val="2"/>
      <w:sz w:val="28"/>
    </w:rPr>
  </w:style>
  <w:style w:type="character" w:customStyle="1" w:styleId="18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2">
    <w:name w:val="listbenefit"/>
    <w:qFormat/>
    <w:uiPriority w:val="0"/>
  </w:style>
  <w:style w:type="character" w:customStyle="1" w:styleId="183">
    <w:name w:val="Title1 Char"/>
    <w:qFormat/>
    <w:uiPriority w:val="0"/>
    <w:rPr>
      <w:rFonts w:eastAsia="宋体"/>
      <w:b/>
      <w:bCs/>
      <w:kern w:val="44"/>
      <w:sz w:val="44"/>
      <w:szCs w:val="44"/>
      <w:lang w:val="en-US" w:eastAsia="zh-CN" w:bidi="ar-SA"/>
    </w:rPr>
  </w:style>
  <w:style w:type="character" w:customStyle="1" w:styleId="184">
    <w:name w:val="point_normal1"/>
    <w:qFormat/>
    <w:uiPriority w:val="0"/>
    <w:rPr>
      <w:rFonts w:hint="default" w:ascii="Arial" w:hAnsi="Arial" w:cs="Arial"/>
      <w:sz w:val="18"/>
      <w:szCs w:val="18"/>
    </w:rPr>
  </w:style>
  <w:style w:type="character" w:customStyle="1" w:styleId="185">
    <w:name w:val="style13"/>
    <w:qFormat/>
    <w:uiPriority w:val="0"/>
    <w:rPr>
      <w:sz w:val="18"/>
      <w:szCs w:val="18"/>
    </w:rPr>
  </w:style>
  <w:style w:type="character" w:customStyle="1" w:styleId="186">
    <w:name w:val="111111 Char"/>
    <w:link w:val="187"/>
    <w:qFormat/>
    <w:uiPriority w:val="0"/>
    <w:rPr>
      <w:rFonts w:ascii="宋体" w:hAnsi="宋体" w:eastAsia="黑体" w:cs="宋体"/>
      <w:b/>
      <w:bCs/>
      <w:kern w:val="2"/>
      <w:sz w:val="21"/>
      <w:szCs w:val="21"/>
      <w:lang w:val="en-US" w:eastAsia="zh-CN" w:bidi="ar-SA"/>
    </w:rPr>
  </w:style>
  <w:style w:type="paragraph" w:customStyle="1" w:styleId="187">
    <w:name w:val="111111"/>
    <w:basedOn w:val="1"/>
    <w:link w:val="186"/>
    <w:qFormat/>
    <w:uiPriority w:val="0"/>
    <w:pPr>
      <w:spacing w:before="120" w:after="120"/>
      <w:jc w:val="center"/>
    </w:pPr>
    <w:rPr>
      <w:rFonts w:ascii="宋体" w:hAnsi="宋体" w:eastAsia="黑体" w:cs="宋体"/>
      <w:b/>
      <w:bCs/>
      <w:szCs w:val="21"/>
    </w:rPr>
  </w:style>
  <w:style w:type="character" w:customStyle="1" w:styleId="188">
    <w:name w:val="正文缩进 Char1"/>
    <w:link w:val="82"/>
    <w:qFormat/>
    <w:uiPriority w:val="0"/>
    <w:rPr>
      <w:rFonts w:eastAsia="宋体"/>
      <w:lang w:bidi="ar-SA"/>
    </w:rPr>
  </w:style>
  <w:style w:type="character" w:customStyle="1" w:styleId="189">
    <w:name w:val="纯文本 Char Char"/>
    <w:qFormat/>
    <w:uiPriority w:val="0"/>
    <w:rPr>
      <w:rFonts w:ascii="宋体" w:hAnsi="Courier New" w:eastAsia="宋体"/>
      <w:kern w:val="2"/>
      <w:sz w:val="21"/>
      <w:szCs w:val="21"/>
      <w:lang w:val="en-US" w:eastAsia="zh-CN" w:bidi="ar-SA"/>
    </w:rPr>
  </w:style>
  <w:style w:type="character" w:customStyle="1" w:styleId="190">
    <w:name w:val="引用 字符"/>
    <w:link w:val="191"/>
    <w:qFormat/>
    <w:uiPriority w:val="0"/>
    <w:rPr>
      <w:rFonts w:ascii="Calibri" w:hAnsi="Calibri" w:eastAsia="宋体"/>
      <w:i/>
      <w:iCs/>
      <w:sz w:val="22"/>
      <w:szCs w:val="22"/>
      <w:lang w:val="en-US" w:eastAsia="en-US" w:bidi="en-US"/>
    </w:rPr>
  </w:style>
  <w:style w:type="paragraph" w:customStyle="1" w:styleId="191">
    <w:name w:val="Quote"/>
    <w:basedOn w:val="1"/>
    <w:next w:val="1"/>
    <w:link w:val="190"/>
    <w:qFormat/>
    <w:uiPriority w:val="0"/>
    <w:pPr>
      <w:widowControl/>
      <w:spacing w:before="200" w:line="276" w:lineRule="auto"/>
      <w:ind w:left="360" w:right="360"/>
      <w:jc w:val="left"/>
    </w:pPr>
    <w:rPr>
      <w:i/>
      <w:iCs/>
      <w:kern w:val="0"/>
      <w:sz w:val="22"/>
      <w:szCs w:val="22"/>
      <w:lang w:eastAsia="en-US" w:bidi="en-US"/>
    </w:rPr>
  </w:style>
  <w:style w:type="character" w:customStyle="1" w:styleId="192">
    <w:name w:val="font31"/>
    <w:qFormat/>
    <w:uiPriority w:val="0"/>
    <w:rPr>
      <w:rFonts w:hint="default" w:ascii="MingLiU" w:hAnsi="MingLiU" w:eastAsia="MingLiU" w:cs="MingLiU"/>
      <w:color w:val="000000"/>
      <w:sz w:val="18"/>
      <w:szCs w:val="18"/>
      <w:u w:val="none"/>
    </w:rPr>
  </w:style>
  <w:style w:type="paragraph" w:customStyle="1" w:styleId="193">
    <w:name w:val="Char Char Char Char Char Char Char Char1"/>
    <w:basedOn w:val="1"/>
    <w:qFormat/>
    <w:uiPriority w:val="0"/>
    <w:rPr>
      <w:rFonts w:ascii="Tahoma" w:hAnsi="Tahoma" w:cs="Tahoma"/>
      <w:sz w:val="24"/>
    </w:rPr>
  </w:style>
  <w:style w:type="paragraph" w:customStyle="1" w:styleId="194">
    <w:name w:val="正文 居中"/>
    <w:basedOn w:val="1"/>
    <w:qFormat/>
    <w:uiPriority w:val="0"/>
    <w:pPr>
      <w:spacing w:line="360" w:lineRule="auto"/>
      <w:jc w:val="center"/>
    </w:pPr>
    <w:rPr>
      <w:sz w:val="24"/>
    </w:rPr>
  </w:style>
  <w:style w:type="paragraph" w:customStyle="1" w:styleId="195">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196">
    <w:name w:val="Char Char Char Char Char Char Char Char Char Char Char Char Char1"/>
    <w:basedOn w:val="1"/>
    <w:qFormat/>
    <w:uiPriority w:val="0"/>
    <w:pPr>
      <w:widowControl/>
      <w:spacing w:after="160" w:line="240" w:lineRule="exact"/>
      <w:jc w:val="left"/>
    </w:pPr>
    <w:rPr>
      <w:szCs w:val="24"/>
    </w:rPr>
  </w:style>
  <w:style w:type="paragraph" w:customStyle="1" w:styleId="197">
    <w:name w:val="正文1"/>
    <w:basedOn w:val="1"/>
    <w:qFormat/>
    <w:uiPriority w:val="0"/>
    <w:rPr>
      <w:rFonts w:ascii="Calibri" w:hAnsi="Calibri" w:eastAsia="Calibri" w:cs="宋体"/>
      <w:kern w:val="0"/>
      <w:lang w:val="zh-CN"/>
    </w:rPr>
  </w:style>
  <w:style w:type="paragraph" w:customStyle="1" w:styleId="198">
    <w:name w:val="标题3，章节第三层"/>
    <w:basedOn w:val="1"/>
    <w:next w:val="199"/>
    <w:qFormat/>
    <w:uiPriority w:val="0"/>
    <w:pPr>
      <w:adjustRightInd w:val="0"/>
      <w:snapToGrid w:val="0"/>
      <w:spacing w:before="78" w:line="300" w:lineRule="auto"/>
      <w:outlineLvl w:val="2"/>
    </w:pPr>
    <w:rPr>
      <w:rFonts w:ascii="Arial" w:hAnsi="Arial" w:eastAsia="华文细黑"/>
      <w:sz w:val="30"/>
      <w:szCs w:val="24"/>
    </w:rPr>
  </w:style>
  <w:style w:type="paragraph" w:customStyle="1" w:styleId="199">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00">
    <w:name w:val="Char11"/>
    <w:basedOn w:val="1"/>
    <w:qFormat/>
    <w:uiPriority w:val="0"/>
    <w:pPr>
      <w:spacing w:afterLines="50" w:line="360" w:lineRule="auto"/>
    </w:pPr>
    <w:rPr>
      <w:rFonts w:ascii="Tahoma" w:hAnsi="Tahoma"/>
      <w:sz w:val="24"/>
    </w:rPr>
  </w:style>
  <w:style w:type="paragraph" w:customStyle="1" w:styleId="201">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202">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03">
    <w:name w:val="Char Char Char Char Char Char Char Char Char Char Char Char Char Char Char Char Char Char Char Char Char"/>
    <w:basedOn w:val="1"/>
    <w:qFormat/>
    <w:uiPriority w:val="0"/>
    <w:rPr>
      <w:rFonts w:ascii="Tahoma" w:hAnsi="Tahoma"/>
      <w:sz w:val="24"/>
    </w:rPr>
  </w:style>
  <w:style w:type="paragraph" w:customStyle="1" w:styleId="204">
    <w:name w:val="样式"/>
    <w:basedOn w:val="1"/>
    <w:qFormat/>
    <w:uiPriority w:val="0"/>
    <w:pPr>
      <w:autoSpaceDE w:val="0"/>
      <w:autoSpaceDN w:val="0"/>
      <w:snapToGrid w:val="0"/>
      <w:spacing w:before="120" w:after="120" w:line="360" w:lineRule="auto"/>
    </w:pPr>
    <w:rPr>
      <w:rFonts w:ascii="宋体"/>
      <w:sz w:val="24"/>
    </w:rPr>
  </w:style>
  <w:style w:type="paragraph" w:customStyle="1" w:styleId="205">
    <w:name w:val="丁华正文"/>
    <w:basedOn w:val="54"/>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06">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07">
    <w:name w:val="_Style 205"/>
    <w:basedOn w:val="3"/>
    <w:next w:val="1"/>
    <w:qFormat/>
    <w:uiPriority w:val="39"/>
    <w:pPr>
      <w:keepLines/>
      <w:widowControl/>
      <w:tabs>
        <w:tab w:val="clear" w:pos="1440"/>
        <w:tab w:val="clear" w:pos="5670"/>
      </w:tabs>
      <w:spacing w:beforeLines="0" w:afterLines="0" w:line="276" w:lineRule="auto"/>
      <w:ind w:firstLine="0" w:firstLineChars="0"/>
      <w:jc w:val="left"/>
      <w:outlineLvl w:val="9"/>
    </w:pPr>
    <w:rPr>
      <w:rFonts w:ascii="Cambria" w:hAnsi="Cambria" w:eastAsia="宋体" w:cs="Times New Roman"/>
      <w:bCs/>
      <w:color w:val="365F91"/>
      <w:kern w:val="0"/>
      <w:sz w:val="28"/>
    </w:rPr>
  </w:style>
  <w:style w:type="paragraph" w:customStyle="1" w:styleId="208">
    <w:name w:val="List Paragraph"/>
    <w:basedOn w:val="1"/>
    <w:qFormat/>
    <w:uiPriority w:val="34"/>
    <w:pPr>
      <w:ind w:firstLine="420" w:firstLineChars="200"/>
    </w:pPr>
    <w:rPr>
      <w:szCs w:val="24"/>
    </w:rPr>
  </w:style>
  <w:style w:type="paragraph" w:customStyle="1" w:styleId="209">
    <w:name w:val="列表内容"/>
    <w:basedOn w:val="1"/>
    <w:next w:val="1"/>
    <w:qFormat/>
    <w:uiPriority w:val="0"/>
    <w:pPr>
      <w:widowControl/>
      <w:tabs>
        <w:tab w:val="left" w:pos="840"/>
      </w:tabs>
      <w:ind w:left="840" w:hanging="420"/>
      <w:jc w:val="left"/>
    </w:pPr>
    <w:rPr>
      <w:kern w:val="0"/>
      <w:sz w:val="18"/>
      <w:szCs w:val="24"/>
    </w:rPr>
  </w:style>
  <w:style w:type="paragraph" w:customStyle="1" w:styleId="210">
    <w:name w:val="_Style 2"/>
    <w:basedOn w:val="1"/>
    <w:qFormat/>
    <w:uiPriority w:val="0"/>
    <w:pPr>
      <w:ind w:firstLine="420" w:firstLineChars="200"/>
    </w:pPr>
    <w:rPr>
      <w:rFonts w:ascii="Calibri" w:hAnsi="Calibri"/>
    </w:rPr>
  </w:style>
  <w:style w:type="paragraph" w:customStyle="1" w:styleId="211">
    <w:name w:val="首行缩进"/>
    <w:basedOn w:val="1"/>
    <w:qFormat/>
    <w:uiPriority w:val="0"/>
    <w:pPr>
      <w:ind w:firstLine="480" w:firstLineChars="200"/>
    </w:pPr>
    <w:rPr>
      <w:szCs w:val="20"/>
      <w:lang w:val="zh-CN"/>
    </w:rPr>
  </w:style>
  <w:style w:type="paragraph" w:customStyle="1" w:styleId="212">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4">
    <w:name w:val="Char Char Char Char Char"/>
    <w:basedOn w:val="1"/>
    <w:qFormat/>
    <w:uiPriority w:val="0"/>
    <w:rPr>
      <w:rFonts w:ascii="Tahoma" w:hAnsi="Tahoma"/>
      <w:sz w:val="24"/>
    </w:rPr>
  </w:style>
  <w:style w:type="paragraph" w:customStyle="1" w:styleId="215">
    <w:name w:val="正文文本 22"/>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16">
    <w:name w:val="Char Char Char Char Char Char Char Char Char Char Char Char Char Char Char Char Char Char Char Char Char Char Char"/>
    <w:basedOn w:val="1"/>
    <w:qFormat/>
    <w:uiPriority w:val="0"/>
    <w:rPr>
      <w:rFonts w:ascii="Tahoma" w:hAnsi="Tahoma"/>
      <w:sz w:val="24"/>
    </w:rPr>
  </w:style>
  <w:style w:type="paragraph" w:customStyle="1" w:styleId="21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19">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220">
    <w:name w:val="greytypebeni"/>
    <w:basedOn w:val="1"/>
    <w:qFormat/>
    <w:uiPriority w:val="0"/>
    <w:pPr>
      <w:widowControl/>
      <w:jc w:val="left"/>
    </w:pPr>
    <w:rPr>
      <w:rFonts w:ascii="宋体" w:hAnsi="宋体" w:cs="宋体"/>
      <w:kern w:val="0"/>
      <w:sz w:val="24"/>
      <w:szCs w:val="24"/>
    </w:rPr>
  </w:style>
  <w:style w:type="paragraph" w:customStyle="1" w:styleId="221">
    <w:name w:val="Char Char Char Char Char Char Char Char Char Char Char Char Char"/>
    <w:basedOn w:val="18"/>
    <w:qFormat/>
    <w:uiPriority w:val="0"/>
    <w:rPr>
      <w:rFonts w:ascii="Tahoma" w:hAnsi="Tahoma"/>
      <w:sz w:val="24"/>
      <w:szCs w:val="24"/>
    </w:rPr>
  </w:style>
  <w:style w:type="paragraph" w:customStyle="1" w:styleId="222">
    <w:name w:val="公文标题 2"/>
    <w:basedOn w:val="1"/>
    <w:next w:val="223"/>
    <w:qFormat/>
    <w:uiPriority w:val="0"/>
    <w:pPr>
      <w:outlineLvl w:val="1"/>
    </w:pPr>
    <w:rPr>
      <w:rFonts w:ascii="仿宋_GB2312" w:hAnsi="宋体" w:eastAsia="仿宋_GB2312"/>
      <w:kern w:val="28"/>
      <w:sz w:val="28"/>
      <w:szCs w:val="24"/>
    </w:rPr>
  </w:style>
  <w:style w:type="paragraph" w:customStyle="1" w:styleId="223">
    <w:name w:val="公文正文"/>
    <w:basedOn w:val="24"/>
    <w:qFormat/>
    <w:uiPriority w:val="0"/>
    <w:pPr>
      <w:ind w:firstLine="200" w:firstLineChars="200"/>
    </w:pPr>
    <w:rPr>
      <w:rFonts w:ascii="仿宋_GB2312" w:hAnsi="宋体" w:eastAsia="仿宋_GB2312"/>
      <w:kern w:val="28"/>
      <w:sz w:val="28"/>
      <w:szCs w:val="24"/>
    </w:rPr>
  </w:style>
  <w:style w:type="paragraph" w:customStyle="1" w:styleId="22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225">
    <w:name w:val="默认段落字体 Para Char"/>
    <w:basedOn w:val="1"/>
    <w:qFormat/>
    <w:uiPriority w:val="0"/>
    <w:rPr>
      <w:sz w:val="24"/>
      <w:szCs w:val="24"/>
    </w:rPr>
  </w:style>
  <w:style w:type="paragraph" w:customStyle="1" w:styleId="226">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27">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228">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29">
    <w:name w:val="标题2，章节第二层"/>
    <w:basedOn w:val="1"/>
    <w:next w:val="199"/>
    <w:qFormat/>
    <w:uiPriority w:val="0"/>
    <w:pPr>
      <w:numPr>
        <w:ilvl w:val="4"/>
        <w:numId w:val="1"/>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30">
    <w:name w:val="丁华标题1"/>
    <w:basedOn w:val="3"/>
    <w:next w:val="205"/>
    <w:qFormat/>
    <w:uiPriority w:val="0"/>
    <w:pPr>
      <w:keepLines/>
      <w:numPr>
        <w:ilvl w:val="0"/>
        <w:numId w:val="2"/>
      </w:numPr>
      <w:tabs>
        <w:tab w:val="clear" w:pos="5670"/>
      </w:tabs>
      <w:spacing w:beforeLines="0" w:afterLines="0" w:line="578" w:lineRule="auto"/>
      <w:ind w:firstLine="0" w:firstLineChars="0"/>
      <w:jc w:val="left"/>
    </w:pPr>
    <w:rPr>
      <w:rFonts w:ascii="Times New Roman"/>
      <w:b w:val="0"/>
      <w:sz w:val="32"/>
      <w:szCs w:val="20"/>
    </w:rPr>
  </w:style>
  <w:style w:type="paragraph" w:customStyle="1" w:styleId="231">
    <w:name w:val="正文2"/>
    <w:basedOn w:val="1"/>
    <w:qFormat/>
    <w:uiPriority w:val="0"/>
    <w:pPr>
      <w:spacing w:before="156" w:line="360" w:lineRule="auto"/>
      <w:ind w:firstLine="510" w:firstLineChars="200"/>
    </w:pPr>
    <w:rPr>
      <w:sz w:val="24"/>
    </w:rPr>
  </w:style>
  <w:style w:type="paragraph" w:customStyle="1" w:styleId="232">
    <w:name w:val="论文正文"/>
    <w:basedOn w:val="33"/>
    <w:qFormat/>
    <w:uiPriority w:val="0"/>
    <w:pPr>
      <w:spacing w:line="360" w:lineRule="auto"/>
      <w:ind w:left="0" w:firstLine="200" w:firstLineChars="200"/>
      <w:jc w:val="left"/>
    </w:pPr>
    <w:rPr>
      <w:rFonts w:ascii="Times New Roman" w:hAnsi="Times New Roman"/>
      <w:sz w:val="28"/>
      <w:szCs w:val="24"/>
    </w:rPr>
  </w:style>
  <w:style w:type="paragraph" w:customStyle="1" w:styleId="233">
    <w:name w:val="Char Char2"/>
    <w:basedOn w:val="1"/>
    <w:qFormat/>
    <w:uiPriority w:val="0"/>
    <w:rPr>
      <w:rFonts w:ascii="Tahoma" w:hAnsi="Tahoma"/>
      <w:sz w:val="24"/>
    </w:rPr>
  </w:style>
  <w:style w:type="paragraph" w:customStyle="1" w:styleId="234">
    <w:name w:val="Char Char Char Char Char Char Char Char Char"/>
    <w:basedOn w:val="1"/>
    <w:qFormat/>
    <w:uiPriority w:val="0"/>
    <w:pPr>
      <w:tabs>
        <w:tab w:val="left" w:pos="360"/>
      </w:tabs>
      <w:ind w:left="360" w:hanging="360" w:hangingChars="200"/>
    </w:pPr>
    <w:rPr>
      <w:sz w:val="24"/>
      <w:szCs w:val="24"/>
    </w:rPr>
  </w:style>
  <w:style w:type="paragraph" w:customStyle="1" w:styleId="235">
    <w:name w:val="符号与编号"/>
    <w:basedOn w:val="1"/>
    <w:qFormat/>
    <w:uiPriority w:val="0"/>
    <w:pPr>
      <w:tabs>
        <w:tab w:val="left" w:pos="900"/>
      </w:tabs>
      <w:spacing w:afterLines="50" w:line="400" w:lineRule="atLeast"/>
      <w:ind w:left="900" w:hanging="420"/>
    </w:pPr>
    <w:rPr>
      <w:sz w:val="24"/>
      <w:szCs w:val="24"/>
    </w:rPr>
  </w:style>
  <w:style w:type="paragraph" w:customStyle="1" w:styleId="23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37">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238">
    <w:name w:val="丁华标题3"/>
    <w:basedOn w:val="239"/>
    <w:next w:val="205"/>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39">
    <w:name w:val="丁华标题2"/>
    <w:basedOn w:val="4"/>
    <w:next w:val="205"/>
    <w:qFormat/>
    <w:uiPriority w:val="0"/>
    <w:pPr>
      <w:numPr>
        <w:ilvl w:val="1"/>
        <w:numId w:val="2"/>
      </w:numPr>
      <w:spacing w:line="415" w:lineRule="auto"/>
    </w:pPr>
    <w:rPr>
      <w:rFonts w:ascii="Arial" w:hAnsi="Arial" w:eastAsia="黑体"/>
      <w:b w:val="0"/>
      <w:sz w:val="28"/>
      <w:szCs w:val="20"/>
    </w:rPr>
  </w:style>
  <w:style w:type="paragraph" w:customStyle="1" w:styleId="240">
    <w:name w:val="Char Char Char Char Char Char Char Char Char Char Char Char Char Char Char Char Char Char Char Char Char1"/>
    <w:basedOn w:val="1"/>
    <w:qFormat/>
    <w:uiPriority w:val="0"/>
    <w:rPr>
      <w:rFonts w:ascii="Tahoma" w:hAnsi="Tahoma" w:cs="Tahoma"/>
      <w:sz w:val="24"/>
    </w:rPr>
  </w:style>
  <w:style w:type="paragraph" w:customStyle="1" w:styleId="241">
    <w:name w:val="Char Char Char"/>
    <w:basedOn w:val="18"/>
    <w:qFormat/>
    <w:uiPriority w:val="0"/>
    <w:pPr>
      <w:spacing w:line="436" w:lineRule="exact"/>
    </w:pPr>
    <w:rPr>
      <w:szCs w:val="24"/>
    </w:rPr>
  </w:style>
  <w:style w:type="paragraph" w:customStyle="1" w:styleId="242">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243">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244">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45">
    <w:name w:val="Char Char1"/>
    <w:basedOn w:val="1"/>
    <w:qFormat/>
    <w:uiPriority w:val="0"/>
    <w:rPr>
      <w:rFonts w:ascii="Tahoma" w:hAnsi="Tahoma" w:cs="Tahoma"/>
      <w:sz w:val="24"/>
    </w:rPr>
  </w:style>
  <w:style w:type="paragraph" w:customStyle="1" w:styleId="24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47">
    <w:name w:val="retrait3"/>
    <w:basedOn w:val="1"/>
    <w:qFormat/>
    <w:uiPriority w:val="0"/>
    <w:pPr>
      <w:widowControl/>
      <w:spacing w:before="20" w:after="20"/>
      <w:ind w:left="851"/>
      <w:jc w:val="left"/>
    </w:pPr>
    <w:rPr>
      <w:rFonts w:ascii="Arial" w:hAnsi="Arial"/>
      <w:kern w:val="0"/>
      <w:sz w:val="24"/>
      <w:lang w:val="en-GB"/>
    </w:rPr>
  </w:style>
  <w:style w:type="paragraph" w:customStyle="1" w:styleId="248">
    <w:name w:val="标准小四"/>
    <w:basedOn w:val="1"/>
    <w:qFormat/>
    <w:uiPriority w:val="0"/>
    <w:pPr>
      <w:spacing w:line="360" w:lineRule="auto"/>
      <w:ind w:firstLine="480" w:firstLineChars="200"/>
    </w:pPr>
    <w:rPr>
      <w:rFonts w:ascii="Arial" w:hAnsi="Arial"/>
      <w:sz w:val="24"/>
      <w:szCs w:val="21"/>
    </w:rPr>
  </w:style>
  <w:style w:type="paragraph" w:customStyle="1" w:styleId="249">
    <w:name w:val="Char Char Char Char Char Char Char Char Char Char Char Char Char Char1"/>
    <w:basedOn w:val="1"/>
    <w:qFormat/>
    <w:uiPriority w:val="0"/>
    <w:rPr>
      <w:rFonts w:ascii="Tahoma" w:hAnsi="Tahoma" w:cs="Tahoma"/>
      <w:sz w:val="24"/>
    </w:rPr>
  </w:style>
  <w:style w:type="paragraph" w:customStyle="1" w:styleId="250">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51">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252">
    <w:name w:val="Char Char Char Char Char Char Char Char Char1"/>
    <w:basedOn w:val="1"/>
    <w:qFormat/>
    <w:uiPriority w:val="0"/>
    <w:pPr>
      <w:tabs>
        <w:tab w:val="left" w:pos="360"/>
      </w:tabs>
      <w:ind w:left="200" w:hanging="200" w:hangingChars="200"/>
    </w:pPr>
    <w:rPr>
      <w:sz w:val="24"/>
      <w:szCs w:val="24"/>
    </w:rPr>
  </w:style>
  <w:style w:type="paragraph" w:customStyle="1" w:styleId="253">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54">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55">
    <w:name w:val="表格1"/>
    <w:basedOn w:val="1"/>
    <w:qFormat/>
    <w:uiPriority w:val="0"/>
    <w:pPr>
      <w:adjustRightInd w:val="0"/>
      <w:textAlignment w:val="baseline"/>
    </w:pPr>
    <w:rPr>
      <w:rFonts w:ascii="宋体"/>
      <w:kern w:val="24"/>
      <w:szCs w:val="21"/>
    </w:rPr>
  </w:style>
  <w:style w:type="paragraph" w:customStyle="1" w:styleId="256">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257">
    <w:name w:val="条1"/>
    <w:basedOn w:val="1"/>
    <w:qFormat/>
    <w:uiPriority w:val="0"/>
    <w:pPr>
      <w:tabs>
        <w:tab w:val="left" w:pos="780"/>
      </w:tabs>
      <w:spacing w:before="156" w:line="360" w:lineRule="auto"/>
      <w:ind w:left="780" w:hanging="360"/>
    </w:pPr>
    <w:rPr>
      <w:rFonts w:eastAsia="黑体"/>
      <w:sz w:val="24"/>
    </w:rPr>
  </w:style>
  <w:style w:type="paragraph" w:customStyle="1" w:styleId="258">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259">
    <w:name w:val="Default Text"/>
    <w:basedOn w:val="1"/>
    <w:qFormat/>
    <w:uiPriority w:val="0"/>
    <w:pPr>
      <w:widowControl/>
      <w:jc w:val="left"/>
    </w:pPr>
    <w:rPr>
      <w:kern w:val="0"/>
      <w:sz w:val="24"/>
      <w:lang w:eastAsia="en-US"/>
    </w:rPr>
  </w:style>
  <w:style w:type="paragraph" w:customStyle="1" w:styleId="260">
    <w:name w:val="Char Char Char Char Char Char Char Char Char Char Char"/>
    <w:basedOn w:val="1"/>
    <w:qFormat/>
    <w:uiPriority w:val="0"/>
    <w:rPr>
      <w:rFonts w:ascii="Tahoma" w:hAnsi="Tahoma" w:cs="Tahoma"/>
      <w:sz w:val="24"/>
    </w:rPr>
  </w:style>
  <w:style w:type="paragraph" w:customStyle="1" w:styleId="261">
    <w:name w:val="Char12"/>
    <w:basedOn w:val="1"/>
    <w:qFormat/>
    <w:uiPriority w:val="0"/>
    <w:rPr>
      <w:rFonts w:ascii="仿宋_GB2312" w:hAnsi="宋体" w:eastAsia="仿宋_GB2312" w:cs="宋体"/>
      <w:b/>
      <w:sz w:val="32"/>
      <w:szCs w:val="32"/>
    </w:rPr>
  </w:style>
  <w:style w:type="paragraph" w:customStyle="1" w:styleId="262">
    <w:name w:val="Char Char Char1"/>
    <w:basedOn w:val="1"/>
    <w:qFormat/>
    <w:uiPriority w:val="0"/>
    <w:rPr>
      <w:rFonts w:ascii="Tahoma" w:hAnsi="Tahoma"/>
      <w:sz w:val="24"/>
    </w:rPr>
  </w:style>
  <w:style w:type="paragraph" w:customStyle="1" w:styleId="263">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26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265">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266">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7">
    <w:name w:val="1"/>
    <w:basedOn w:val="1"/>
    <w:next w:val="60"/>
    <w:qFormat/>
    <w:uiPriority w:val="0"/>
    <w:pPr>
      <w:spacing w:line="360" w:lineRule="auto"/>
    </w:pPr>
    <w:rPr>
      <w:rFonts w:eastAsia="仿宋_GB2312"/>
      <w:sz w:val="24"/>
      <w:szCs w:val="24"/>
    </w:rPr>
  </w:style>
  <w:style w:type="paragraph" w:customStyle="1" w:styleId="268">
    <w:name w:val="_Style 42"/>
    <w:basedOn w:val="1"/>
    <w:next w:val="23"/>
    <w:qFormat/>
    <w:uiPriority w:val="0"/>
    <w:rPr>
      <w:rFonts w:ascii="楷体_GB2312" w:hAnsi="Arial" w:eastAsia="楷体_GB2312"/>
      <w:sz w:val="28"/>
    </w:rPr>
  </w:style>
  <w:style w:type="paragraph" w:customStyle="1" w:styleId="26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270">
    <w:name w:val="font11"/>
    <w:basedOn w:val="1"/>
    <w:qFormat/>
    <w:uiPriority w:val="0"/>
    <w:pPr>
      <w:widowControl/>
      <w:spacing w:before="100" w:beforeAutospacing="1" w:after="100" w:afterAutospacing="1"/>
      <w:jc w:val="left"/>
    </w:pPr>
    <w:rPr>
      <w:b/>
      <w:bCs/>
      <w:kern w:val="0"/>
      <w:sz w:val="18"/>
      <w:szCs w:val="18"/>
    </w:rPr>
  </w:style>
  <w:style w:type="paragraph" w:customStyle="1" w:styleId="271">
    <w:name w:val="样式 加点正文 + 段前: 0.5 行 段后: 0.5 行1"/>
    <w:basedOn w:val="1"/>
    <w:qFormat/>
    <w:uiPriority w:val="0"/>
    <w:pPr>
      <w:numPr>
        <w:ilvl w:val="0"/>
        <w:numId w:val="3"/>
      </w:numPr>
      <w:tabs>
        <w:tab w:val="left" w:pos="1268"/>
      </w:tabs>
      <w:spacing w:beforeLines="50" w:afterLines="50" w:line="300" w:lineRule="auto"/>
      <w:ind w:left="1268"/>
    </w:pPr>
    <w:rPr>
      <w:sz w:val="24"/>
    </w:rPr>
  </w:style>
  <w:style w:type="paragraph" w:customStyle="1" w:styleId="272">
    <w:name w:val="Char Char Char Char Char Char Char Char Char Char Char1"/>
    <w:basedOn w:val="1"/>
    <w:qFormat/>
    <w:uiPriority w:val="0"/>
    <w:rPr>
      <w:rFonts w:ascii="Tahoma" w:hAnsi="Tahoma"/>
      <w:sz w:val="24"/>
    </w:rPr>
  </w:style>
  <w:style w:type="paragraph" w:customStyle="1" w:styleId="273">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74">
    <w:name w:val="马刚标题4"/>
    <w:basedOn w:val="275"/>
    <w:next w:val="1"/>
    <w:qFormat/>
    <w:uiPriority w:val="0"/>
    <w:pPr>
      <w:tabs>
        <w:tab w:val="left" w:pos="567"/>
        <w:tab w:val="left" w:pos="735"/>
        <w:tab w:val="left" w:pos="1050"/>
      </w:tabs>
      <w:spacing w:before="100" w:after="40"/>
      <w:outlineLvl w:val="3"/>
    </w:pPr>
    <w:rPr>
      <w:b w:val="0"/>
    </w:rPr>
  </w:style>
  <w:style w:type="paragraph" w:customStyle="1" w:styleId="27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76">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77">
    <w:name w:val="正文11"/>
    <w:basedOn w:val="1"/>
    <w:next w:val="1"/>
    <w:qFormat/>
    <w:uiPriority w:val="0"/>
    <w:pPr>
      <w:spacing w:before="156" w:line="360" w:lineRule="auto"/>
      <w:ind w:firstLine="510" w:firstLineChars="200"/>
    </w:pPr>
    <w:rPr>
      <w:sz w:val="24"/>
    </w:rPr>
  </w:style>
  <w:style w:type="paragraph" w:customStyle="1" w:styleId="278">
    <w:name w:val="Char Char11"/>
    <w:basedOn w:val="1"/>
    <w:qFormat/>
    <w:uiPriority w:val="0"/>
    <w:rPr>
      <w:rFonts w:ascii="Tahoma" w:hAnsi="Tahoma"/>
      <w:sz w:val="24"/>
    </w:rPr>
  </w:style>
  <w:style w:type="paragraph" w:customStyle="1" w:styleId="279">
    <w:name w:val="Char Char1 Char Char Char Char Char Char Char"/>
    <w:basedOn w:val="1"/>
    <w:qFormat/>
    <w:uiPriority w:val="0"/>
    <w:rPr>
      <w:rFonts w:ascii="Tahoma" w:hAnsi="Tahoma" w:cs="Tahoma"/>
      <w:sz w:val="24"/>
    </w:rPr>
  </w:style>
  <w:style w:type="paragraph" w:customStyle="1" w:styleId="280">
    <w:name w:val="文档正文"/>
    <w:basedOn w:val="1"/>
    <w:qFormat/>
    <w:uiPriority w:val="0"/>
    <w:pPr>
      <w:spacing w:line="360" w:lineRule="auto"/>
    </w:pPr>
    <w:rPr>
      <w:rFonts w:ascii="宋体" w:hAnsi="宋体"/>
      <w:b/>
      <w:bCs/>
      <w:szCs w:val="24"/>
    </w:rPr>
  </w:style>
  <w:style w:type="paragraph" w:customStyle="1" w:styleId="281">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82">
    <w:name w:val="章标题"/>
    <w:next w:val="283"/>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8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28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86">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287">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8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89">
    <w:name w:val="Other|1"/>
    <w:basedOn w:val="1"/>
    <w:qFormat/>
    <w:uiPriority w:val="0"/>
    <w:pPr>
      <w:widowControl w:val="0"/>
    </w:pPr>
    <w:rPr>
      <w:rFonts w:ascii="宋体" w:hAnsi="宋体" w:eastAsia="宋体" w:cs="宋体"/>
      <w:sz w:val="19"/>
      <w:szCs w:val="19"/>
      <w:lang w:val="zh-TW" w:eastAsia="zh-TW" w:bidi="zh-TW"/>
    </w:rPr>
  </w:style>
  <w:style w:type="paragraph" w:customStyle="1" w:styleId="290">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91">
    <w:name w:val="纯文本1"/>
    <w:basedOn w:val="1"/>
    <w:qFormat/>
    <w:uiPriority w:val="0"/>
    <w:pPr>
      <w:adjustRightInd w:val="0"/>
      <w:textAlignment w:val="baseline"/>
    </w:pPr>
    <w:rPr>
      <w:rFonts w:ascii="宋体" w:hAnsi="宋体" w:eastAsia="楷体_GB2312" w:cs="宋体"/>
      <w:sz w:val="28"/>
    </w:rPr>
  </w:style>
  <w:style w:type="paragraph" w:customStyle="1" w:styleId="292">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93">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9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5">
    <w:name w:val="表头_5"/>
    <w:basedOn w:val="1"/>
    <w:qFormat/>
    <w:uiPriority w:val="0"/>
    <w:pPr>
      <w:adjustRightInd w:val="0"/>
      <w:spacing w:line="360" w:lineRule="auto"/>
      <w:textAlignment w:val="baseline"/>
    </w:pPr>
    <w:rPr>
      <w:b/>
      <w:bCs/>
      <w:sz w:val="28"/>
      <w:szCs w:val="21"/>
    </w:rPr>
  </w:style>
  <w:style w:type="paragraph" w:customStyle="1" w:styleId="296">
    <w:name w:val="Char Char"/>
    <w:basedOn w:val="1"/>
    <w:qFormat/>
    <w:uiPriority w:val="0"/>
    <w:rPr>
      <w:rFonts w:ascii="Tahoma" w:hAnsi="Tahoma" w:cs="Tahoma"/>
      <w:sz w:val="24"/>
    </w:rPr>
  </w:style>
  <w:style w:type="paragraph" w:customStyle="1" w:styleId="297">
    <w:name w:val="符号与编号 Char"/>
    <w:basedOn w:val="1"/>
    <w:qFormat/>
    <w:uiPriority w:val="0"/>
    <w:pPr>
      <w:tabs>
        <w:tab w:val="left" w:pos="720"/>
      </w:tabs>
      <w:spacing w:afterLines="50" w:line="400" w:lineRule="atLeast"/>
      <w:ind w:left="720"/>
    </w:pPr>
    <w:rPr>
      <w:sz w:val="24"/>
      <w:szCs w:val="24"/>
    </w:rPr>
  </w:style>
  <w:style w:type="paragraph" w:customStyle="1" w:styleId="2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99">
    <w:name w:val="正文表标题"/>
    <w:next w:val="283"/>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00">
    <w:name w:val="Char Char Char Char Char Char Char Char"/>
    <w:basedOn w:val="1"/>
    <w:qFormat/>
    <w:uiPriority w:val="0"/>
    <w:rPr>
      <w:rFonts w:ascii="Tahoma" w:hAnsi="Tahoma"/>
      <w:sz w:val="24"/>
    </w:rPr>
  </w:style>
  <w:style w:type="paragraph" w:customStyle="1" w:styleId="301">
    <w:name w:val="7"/>
    <w:basedOn w:val="1"/>
    <w:next w:val="62"/>
    <w:qFormat/>
    <w:uiPriority w:val="0"/>
    <w:pPr>
      <w:widowControl/>
      <w:spacing w:before="100" w:beforeAutospacing="1" w:after="100" w:afterAutospacing="1"/>
      <w:jc w:val="left"/>
    </w:pPr>
    <w:rPr>
      <w:rFonts w:ascii="宋体" w:hAnsi="宋体"/>
      <w:kern w:val="0"/>
      <w:sz w:val="24"/>
    </w:rPr>
  </w:style>
  <w:style w:type="paragraph" w:customStyle="1" w:styleId="302">
    <w:name w:val="tableau"/>
    <w:basedOn w:val="1"/>
    <w:qFormat/>
    <w:uiPriority w:val="0"/>
    <w:pPr>
      <w:widowControl/>
      <w:spacing w:before="20" w:after="20"/>
      <w:jc w:val="center"/>
    </w:pPr>
    <w:rPr>
      <w:rFonts w:ascii="Arial" w:hAnsi="Arial"/>
      <w:kern w:val="0"/>
      <w:sz w:val="16"/>
      <w:lang w:val="en-GB" w:eastAsia="en-US"/>
    </w:rPr>
  </w:style>
  <w:style w:type="paragraph" w:customStyle="1" w:styleId="303">
    <w:name w:val="小四 段落 宋体"/>
    <w:basedOn w:val="16"/>
    <w:qFormat/>
    <w:uiPriority w:val="0"/>
    <w:pPr>
      <w:tabs>
        <w:tab w:val="clear" w:pos="2952"/>
      </w:tabs>
      <w:spacing w:line="360" w:lineRule="auto"/>
      <w:ind w:left="113" w:right="113" w:firstLine="425"/>
      <w:jc w:val="left"/>
    </w:pPr>
    <w:rPr>
      <w:sz w:val="24"/>
    </w:rPr>
  </w:style>
  <w:style w:type="paragraph" w:customStyle="1" w:styleId="304">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30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06">
    <w:name w:val="Char Char Char Char Char Char"/>
    <w:basedOn w:val="1"/>
    <w:qFormat/>
    <w:uiPriority w:val="0"/>
    <w:rPr>
      <w:rFonts w:ascii="Tahoma" w:hAnsi="Tahoma" w:cs="Tahoma"/>
      <w:sz w:val="24"/>
    </w:rPr>
  </w:style>
  <w:style w:type="paragraph" w:customStyle="1" w:styleId="307">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308">
    <w:name w:val="Normal1"/>
    <w:basedOn w:val="1"/>
    <w:qFormat/>
    <w:uiPriority w:val="0"/>
    <w:rPr>
      <w:rFonts w:ascii="Calibri" w:hAnsi="Calibri" w:eastAsia="Calibri" w:cs="宋体"/>
      <w:kern w:val="0"/>
      <w:lang w:val="zh-CN"/>
    </w:rPr>
  </w:style>
  <w:style w:type="paragraph" w:customStyle="1" w:styleId="309">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10">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311">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12">
    <w:name w:val="样式 标题 3H3sect1.2.3BOD 0Heading 3 - oldh3l3CTLevel 3 Head..."/>
    <w:basedOn w:val="5"/>
    <w:qFormat/>
    <w:uiPriority w:val="0"/>
    <w:pPr>
      <w:spacing w:beforeLines="50" w:afterLines="50"/>
      <w:jc w:val="left"/>
    </w:pPr>
    <w:rPr>
      <w:rFonts w:cs="宋体"/>
      <w:bCs/>
      <w:sz w:val="30"/>
    </w:rPr>
  </w:style>
  <w:style w:type="paragraph" w:customStyle="1" w:styleId="313">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314">
    <w:name w:val="Normal_0"/>
    <w:qFormat/>
    <w:uiPriority w:val="1"/>
    <w:pPr>
      <w:widowControl w:val="0"/>
    </w:pPr>
    <w:rPr>
      <w:rFonts w:ascii="Calibri" w:hAnsi="Calibri" w:eastAsia="宋体" w:cs="Times New Roman"/>
      <w:sz w:val="22"/>
      <w:szCs w:val="22"/>
      <w:lang w:val="en-US" w:eastAsia="en-US" w:bidi="ar-SA"/>
    </w:rPr>
  </w:style>
  <w:style w:type="paragraph" w:customStyle="1" w:styleId="315">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16">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317">
    <w:name w:val="正文 首行缩进:  2 字符 Char"/>
    <w:basedOn w:val="1"/>
    <w:qFormat/>
    <w:uiPriority w:val="0"/>
    <w:pPr>
      <w:spacing w:line="360" w:lineRule="auto"/>
      <w:ind w:firstLine="480"/>
    </w:pPr>
    <w:rPr>
      <w:rFonts w:cs="宋体"/>
      <w:sz w:val="24"/>
    </w:rPr>
  </w:style>
  <w:style w:type="paragraph" w:customStyle="1" w:styleId="318">
    <w:name w:val="中等深浅网格 1 - 强调文字颜色 21"/>
    <w:basedOn w:val="1"/>
    <w:qFormat/>
    <w:uiPriority w:val="0"/>
    <w:pPr>
      <w:ind w:firstLine="420" w:firstLineChars="200"/>
    </w:pPr>
    <w:rPr>
      <w:rFonts w:ascii="Calibri" w:hAnsi="Calibri"/>
      <w:szCs w:val="22"/>
    </w:rPr>
  </w:style>
  <w:style w:type="paragraph" w:customStyle="1" w:styleId="319">
    <w:name w:val="二级条标题"/>
    <w:basedOn w:val="1"/>
    <w:next w:val="283"/>
    <w:qFormat/>
    <w:uiPriority w:val="0"/>
    <w:pPr>
      <w:widowControl/>
      <w:tabs>
        <w:tab w:val="left" w:pos="2240"/>
      </w:tabs>
      <w:ind w:hanging="420"/>
      <w:outlineLvl w:val="3"/>
    </w:pPr>
    <w:rPr>
      <w:rFonts w:eastAsia="黑体"/>
      <w:kern w:val="0"/>
    </w:rPr>
  </w:style>
  <w:style w:type="paragraph" w:customStyle="1" w:styleId="320">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21">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22">
    <w:name w:val="Char Char Char Char Char Char Char1 Char"/>
    <w:basedOn w:val="1"/>
    <w:qFormat/>
    <w:uiPriority w:val="0"/>
    <w:rPr>
      <w:rFonts w:ascii="Tahoma" w:hAnsi="Tahoma" w:cs="Tahoma"/>
      <w:sz w:val="24"/>
    </w:rPr>
  </w:style>
  <w:style w:type="paragraph" w:customStyle="1" w:styleId="323">
    <w:name w:val="Char"/>
    <w:basedOn w:val="1"/>
    <w:semiHidden/>
    <w:qFormat/>
    <w:uiPriority w:val="0"/>
    <w:rPr>
      <w:rFonts w:ascii="Tahoma" w:hAnsi="Tahoma" w:cs="仿宋_GB2312"/>
      <w:sz w:val="24"/>
      <w:szCs w:val="28"/>
    </w:rPr>
  </w:style>
  <w:style w:type="paragraph" w:customStyle="1" w:styleId="32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25">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26">
    <w:name w:val="列出段落3"/>
    <w:basedOn w:val="1"/>
    <w:qFormat/>
    <w:uiPriority w:val="0"/>
    <w:pPr>
      <w:widowControl/>
      <w:ind w:left="720"/>
      <w:contextualSpacing/>
      <w:jc w:val="left"/>
    </w:pPr>
    <w:rPr>
      <w:rFonts w:ascii="Arial" w:hAnsi="Arial" w:eastAsia="黑体"/>
      <w:kern w:val="0"/>
      <w:sz w:val="24"/>
      <w:szCs w:val="24"/>
      <w:lang w:eastAsia="en-US"/>
    </w:rPr>
  </w:style>
  <w:style w:type="paragraph" w:customStyle="1" w:styleId="327">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328">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29">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30">
    <w:name w:val="标题3"/>
    <w:basedOn w:val="5"/>
    <w:qFormat/>
    <w:uiPriority w:val="0"/>
    <w:pPr>
      <w:keepNext w:val="0"/>
      <w:keepLines w:val="0"/>
      <w:spacing w:line="360" w:lineRule="auto"/>
    </w:pPr>
    <w:rPr>
      <w:rFonts w:eastAsia="仿宋_GB2312"/>
      <w:b w:val="0"/>
      <w:bCs/>
      <w:kern w:val="0"/>
      <w:sz w:val="30"/>
      <w:szCs w:val="32"/>
    </w:rPr>
  </w:style>
  <w:style w:type="paragraph" w:customStyle="1" w:styleId="33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32">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33">
    <w:name w:val="段落"/>
    <w:basedOn w:val="1"/>
    <w:qFormat/>
    <w:uiPriority w:val="0"/>
    <w:pPr>
      <w:spacing w:line="460" w:lineRule="exact"/>
      <w:ind w:firstLine="480"/>
    </w:pPr>
    <w:rPr>
      <w:sz w:val="24"/>
    </w:rPr>
  </w:style>
  <w:style w:type="paragraph" w:customStyle="1" w:styleId="334">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35">
    <w:name w:val="样式 标题 2第一章 标题 2Heading 2 HiddenHeading 2 CCBSheading 2H2h2..."/>
    <w:basedOn w:val="4"/>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336">
    <w:name w:val="样式1"/>
    <w:basedOn w:val="1"/>
    <w:qFormat/>
    <w:uiPriority w:val="0"/>
    <w:pPr>
      <w:spacing w:line="300" w:lineRule="auto"/>
      <w:ind w:firstLine="480" w:firstLineChars="200"/>
    </w:pPr>
    <w:rPr>
      <w:sz w:val="24"/>
      <w:szCs w:val="24"/>
    </w:rPr>
  </w:style>
  <w:style w:type="paragraph" w:customStyle="1" w:styleId="33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38">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39">
    <w:name w:val="Char Char Char Char Char Char Char Char Char Char Char Char Char Char"/>
    <w:basedOn w:val="1"/>
    <w:qFormat/>
    <w:uiPriority w:val="0"/>
    <w:rPr>
      <w:rFonts w:ascii="Tahoma" w:hAnsi="Tahoma"/>
      <w:sz w:val="24"/>
    </w:rPr>
  </w:style>
  <w:style w:type="paragraph" w:customStyle="1" w:styleId="340">
    <w:name w:val="默认段落字体 Para Char Char Char Char Char Char Char Char Char1 Char Char Char Char Char Char Char"/>
    <w:basedOn w:val="18"/>
    <w:qFormat/>
    <w:uiPriority w:val="0"/>
  </w:style>
  <w:style w:type="paragraph" w:customStyle="1" w:styleId="341">
    <w:name w:val="插图"/>
    <w:basedOn w:val="1"/>
    <w:qFormat/>
    <w:uiPriority w:val="0"/>
    <w:pPr>
      <w:tabs>
        <w:tab w:val="left" w:pos="1620"/>
      </w:tabs>
      <w:adjustRightInd w:val="0"/>
      <w:jc w:val="center"/>
    </w:pPr>
    <w:rPr>
      <w:bCs/>
      <w:color w:val="000000"/>
      <w:szCs w:val="22"/>
    </w:rPr>
  </w:style>
  <w:style w:type="paragraph" w:customStyle="1" w:styleId="342">
    <w:name w:val="Char Char Char Char1"/>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43">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4">
    <w:name w:val="马刚标题1"/>
    <w:basedOn w:val="3"/>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45">
    <w:name w:val="华宇段落1 Char"/>
    <w:basedOn w:val="1"/>
    <w:qFormat/>
    <w:uiPriority w:val="0"/>
    <w:pPr>
      <w:spacing w:line="360" w:lineRule="auto"/>
      <w:ind w:firstLine="200" w:firstLineChars="200"/>
    </w:pPr>
    <w:rPr>
      <w:bCs/>
      <w:sz w:val="24"/>
      <w:szCs w:val="24"/>
    </w:rPr>
  </w:style>
  <w:style w:type="paragraph" w:customStyle="1" w:styleId="346">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347">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348">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34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50">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5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52">
    <w:name w:val="Item Step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353">
    <w:name w:val="无间隔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354">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355">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356">
    <w:name w:val="正文文本缩进1"/>
    <w:basedOn w:val="1"/>
    <w:qFormat/>
    <w:uiPriority w:val="0"/>
    <w:pPr>
      <w:spacing w:after="120"/>
      <w:ind w:left="420" w:leftChars="200"/>
    </w:pPr>
    <w:rPr>
      <w:szCs w:val="24"/>
    </w:rPr>
  </w:style>
  <w:style w:type="paragraph" w:customStyle="1" w:styleId="357">
    <w:name w:val="样式3"/>
    <w:basedOn w:val="1"/>
    <w:next w:val="1"/>
    <w:qFormat/>
    <w:uiPriority w:val="0"/>
    <w:pPr>
      <w:spacing w:line="360" w:lineRule="auto"/>
    </w:pPr>
  </w:style>
  <w:style w:type="paragraph" w:customStyle="1" w:styleId="358">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59">
    <w:name w:val="Char Char Char Char Char1"/>
    <w:basedOn w:val="1"/>
    <w:qFormat/>
    <w:uiPriority w:val="0"/>
    <w:rPr>
      <w:rFonts w:ascii="Tahoma" w:hAnsi="Tahoma" w:cs="Tahoma"/>
      <w:sz w:val="24"/>
    </w:rPr>
  </w:style>
  <w:style w:type="paragraph" w:customStyle="1" w:styleId="360">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61">
    <w:name w:val="Char Char Char Char Char Char Char1"/>
    <w:basedOn w:val="1"/>
    <w:qFormat/>
    <w:uiPriority w:val="0"/>
    <w:rPr>
      <w:rFonts w:ascii="Tahoma" w:hAnsi="Tahoma"/>
      <w:sz w:val="24"/>
    </w:rPr>
  </w:style>
  <w:style w:type="paragraph" w:customStyle="1" w:styleId="362">
    <w:name w:val="Char1 Char Char Char1"/>
    <w:basedOn w:val="1"/>
    <w:qFormat/>
    <w:uiPriority w:val="0"/>
    <w:rPr>
      <w:rFonts w:ascii="Tahoma" w:hAnsi="Tahoma" w:cs="Tahoma"/>
      <w:sz w:val="24"/>
    </w:rPr>
  </w:style>
  <w:style w:type="paragraph" w:customStyle="1" w:styleId="36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6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65">
    <w:name w:val="项目符号：一级"/>
    <w:basedOn w:val="199"/>
    <w:next w:val="199"/>
    <w:qFormat/>
    <w:uiPriority w:val="0"/>
    <w:pPr>
      <w:ind w:right="-134" w:rightChars="-64"/>
    </w:pPr>
    <w:rPr>
      <w:bCs w:val="0"/>
    </w:rPr>
  </w:style>
  <w:style w:type="paragraph" w:customStyle="1" w:styleId="366">
    <w:name w:val="标题 411"/>
    <w:basedOn w:val="1"/>
    <w:next w:val="1"/>
    <w:qFormat/>
    <w:uiPriority w:val="0"/>
    <w:pPr>
      <w:keepNext/>
      <w:keepLines/>
      <w:spacing w:before="120" w:after="120"/>
      <w:outlineLvl w:val="3"/>
    </w:pPr>
    <w:rPr>
      <w:rFonts w:ascii="Arial" w:hAnsi="Arial" w:eastAsia="黑体"/>
      <w:b/>
      <w:sz w:val="28"/>
    </w:rPr>
  </w:style>
  <w:style w:type="paragraph" w:customStyle="1" w:styleId="367">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6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69">
    <w:name w:val="表格内文字"/>
    <w:basedOn w:val="1"/>
    <w:qFormat/>
    <w:uiPriority w:val="0"/>
    <w:pPr>
      <w:spacing w:line="300" w:lineRule="atLeast"/>
    </w:pPr>
    <w:rPr>
      <w:sz w:val="18"/>
      <w:szCs w:val="24"/>
    </w:rPr>
  </w:style>
  <w:style w:type="paragraph" w:customStyle="1" w:styleId="370">
    <w:name w:val="项目符号，一级"/>
    <w:basedOn w:val="199"/>
    <w:next w:val="199"/>
    <w:qFormat/>
    <w:uiPriority w:val="0"/>
    <w:pPr>
      <w:tabs>
        <w:tab w:val="left" w:pos="1320"/>
      </w:tabs>
      <w:spacing w:line="240" w:lineRule="atLeast"/>
      <w:ind w:left="376" w:leftChars="179" w:firstLine="0"/>
    </w:pPr>
    <w:rPr>
      <w:bCs w:val="0"/>
      <w:color w:val="000000"/>
      <w:szCs w:val="24"/>
    </w:rPr>
  </w:style>
  <w:style w:type="paragraph" w:customStyle="1" w:styleId="371">
    <w:name w:val="普通文字"/>
    <w:basedOn w:val="1"/>
    <w:next w:val="1"/>
    <w:qFormat/>
    <w:uiPriority w:val="0"/>
    <w:rPr>
      <w:rFonts w:ascii="宋体" w:hAnsi="宋体" w:cs="宋体"/>
      <w:kern w:val="0"/>
      <w:sz w:val="24"/>
      <w:u w:val="none" w:color="000000"/>
    </w:rPr>
  </w:style>
  <w:style w:type="paragraph" w:customStyle="1" w:styleId="372">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73">
    <w:name w:val="Char Char Char Char Char Char Char"/>
    <w:basedOn w:val="1"/>
    <w:qFormat/>
    <w:uiPriority w:val="0"/>
    <w:pPr>
      <w:jc w:val="left"/>
    </w:pPr>
    <w:rPr>
      <w:rFonts w:ascii="Tahoma" w:hAnsi="Tahoma"/>
      <w:sz w:val="24"/>
    </w:rPr>
  </w:style>
  <w:style w:type="paragraph" w:customStyle="1" w:styleId="37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75">
    <w:name w:val="Char Char Char Char"/>
    <w:basedOn w:val="18"/>
    <w:qFormat/>
    <w:uiPriority w:val="0"/>
    <w:pPr>
      <w:adjustRightInd w:val="0"/>
      <w:snapToGrid w:val="0"/>
      <w:spacing w:line="360" w:lineRule="auto"/>
    </w:pPr>
    <w:rPr>
      <w:rFonts w:ascii="Tahoma" w:hAnsi="Tahoma"/>
      <w:sz w:val="24"/>
      <w:szCs w:val="24"/>
    </w:rPr>
  </w:style>
  <w:style w:type="paragraph" w:customStyle="1" w:styleId="37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77">
    <w:name w:val="正文 + 宋体"/>
    <w:basedOn w:val="1"/>
    <w:qFormat/>
    <w:uiPriority w:val="0"/>
    <w:pPr>
      <w:spacing w:line="360" w:lineRule="auto"/>
      <w:ind w:firstLine="420" w:firstLineChars="200"/>
    </w:pPr>
    <w:rPr>
      <w:szCs w:val="24"/>
    </w:rPr>
  </w:style>
  <w:style w:type="paragraph" w:customStyle="1" w:styleId="378">
    <w:name w:val="_Style 376"/>
    <w:semiHidden/>
    <w:qFormat/>
    <w:uiPriority w:val="0"/>
    <w:rPr>
      <w:rFonts w:ascii="Times New Roman" w:hAnsi="Times New Roman" w:eastAsia="宋体" w:cs="Times New Roman"/>
      <w:kern w:val="2"/>
      <w:sz w:val="21"/>
      <w:szCs w:val="24"/>
      <w:lang w:val="en-US" w:eastAsia="zh-CN" w:bidi="ar-SA"/>
    </w:rPr>
  </w:style>
  <w:style w:type="paragraph" w:customStyle="1" w:styleId="37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80">
    <w:name w:val="font14"/>
    <w:basedOn w:val="1"/>
    <w:qFormat/>
    <w:uiPriority w:val="0"/>
    <w:pPr>
      <w:widowControl/>
      <w:spacing w:before="100" w:beforeAutospacing="1" w:after="100" w:afterAutospacing="1"/>
      <w:jc w:val="left"/>
    </w:pPr>
    <w:rPr>
      <w:kern w:val="0"/>
      <w:sz w:val="36"/>
      <w:szCs w:val="36"/>
    </w:rPr>
  </w:style>
  <w:style w:type="paragraph" w:customStyle="1" w:styleId="381">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82">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83">
    <w:name w:val="标题1，章节第一层"/>
    <w:basedOn w:val="199"/>
    <w:next w:val="199"/>
    <w:qFormat/>
    <w:uiPriority w:val="0"/>
    <w:pPr>
      <w:tabs>
        <w:tab w:val="left" w:pos="693"/>
      </w:tabs>
      <w:spacing w:beforeLines="0"/>
      <w:ind w:left="482"/>
      <w:outlineLvl w:val="0"/>
    </w:pPr>
    <w:rPr>
      <w:color w:val="000000"/>
      <w:sz w:val="24"/>
      <w:szCs w:val="24"/>
    </w:rPr>
  </w:style>
  <w:style w:type="paragraph" w:customStyle="1" w:styleId="384">
    <w:name w:val="font13"/>
    <w:basedOn w:val="1"/>
    <w:qFormat/>
    <w:uiPriority w:val="0"/>
    <w:pPr>
      <w:widowControl/>
      <w:spacing w:before="100" w:beforeAutospacing="1" w:after="100" w:afterAutospacing="1"/>
      <w:jc w:val="left"/>
    </w:pPr>
    <w:rPr>
      <w:i/>
      <w:iCs/>
      <w:kern w:val="0"/>
      <w:sz w:val="36"/>
      <w:szCs w:val="36"/>
    </w:rPr>
  </w:style>
  <w:style w:type="paragraph" w:customStyle="1" w:styleId="385">
    <w:name w:val="项目符号，二级"/>
    <w:basedOn w:val="199"/>
    <w:next w:val="199"/>
    <w:qFormat/>
    <w:uiPriority w:val="0"/>
    <w:pPr>
      <w:tabs>
        <w:tab w:val="left" w:pos="567"/>
        <w:tab w:val="left" w:pos="1211"/>
        <w:tab w:val="left" w:pos="1337"/>
      </w:tabs>
      <w:ind w:left="1337" w:right="-27" w:firstLine="480"/>
    </w:pPr>
    <w:rPr>
      <w:bCs w:val="0"/>
      <w:color w:val="000000"/>
      <w:sz w:val="24"/>
      <w:szCs w:val="24"/>
    </w:rPr>
  </w:style>
  <w:style w:type="paragraph" w:customStyle="1" w:styleId="38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87">
    <w:name w:val="表格"/>
    <w:basedOn w:val="1"/>
    <w:qFormat/>
    <w:uiPriority w:val="0"/>
    <w:pPr>
      <w:snapToGrid w:val="0"/>
      <w:ind w:firstLine="21" w:firstLineChars="21"/>
    </w:pPr>
    <w:rPr>
      <w:rFonts w:ascii="宋体" w:hAnsi="宋体" w:cs="宋体"/>
      <w:kern w:val="0"/>
      <w:sz w:val="20"/>
    </w:rPr>
  </w:style>
  <w:style w:type="paragraph" w:customStyle="1" w:styleId="388">
    <w:name w:val="样式 样式 首行缩进:  2 字符 + 行距: 1.5 倍行距"/>
    <w:basedOn w:val="1"/>
    <w:qFormat/>
    <w:uiPriority w:val="0"/>
    <w:pPr>
      <w:spacing w:line="360" w:lineRule="auto"/>
      <w:ind w:firstLine="470" w:firstLineChars="196"/>
    </w:pPr>
    <w:rPr>
      <w:sz w:val="24"/>
    </w:rPr>
  </w:style>
  <w:style w:type="paragraph" w:customStyle="1" w:styleId="389">
    <w:name w:val="font9"/>
    <w:basedOn w:val="1"/>
    <w:qFormat/>
    <w:uiPriority w:val="0"/>
    <w:pPr>
      <w:widowControl/>
      <w:spacing w:before="100" w:beforeAutospacing="1" w:after="100" w:afterAutospacing="1"/>
      <w:jc w:val="left"/>
    </w:pPr>
    <w:rPr>
      <w:b/>
      <w:bCs/>
      <w:kern w:val="0"/>
      <w:sz w:val="20"/>
    </w:rPr>
  </w:style>
  <w:style w:type="paragraph" w:customStyle="1" w:styleId="390">
    <w:name w:val="样式2"/>
    <w:basedOn w:val="1"/>
    <w:qFormat/>
    <w:uiPriority w:val="0"/>
    <w:pPr>
      <w:spacing w:line="360" w:lineRule="auto"/>
      <w:ind w:left="200" w:leftChars="200"/>
    </w:pPr>
    <w:rPr>
      <w:rFonts w:ascii="宋体" w:hAnsi="宋体"/>
      <w:b/>
      <w:sz w:val="24"/>
      <w:szCs w:val="24"/>
    </w:rPr>
  </w:style>
  <w:style w:type="paragraph" w:customStyle="1" w:styleId="391">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92">
    <w:name w:val="Table Paragraph"/>
    <w:basedOn w:val="1"/>
    <w:unhideWhenUsed/>
    <w:qFormat/>
    <w:uiPriority w:val="1"/>
    <w:pPr>
      <w:autoSpaceDE w:val="0"/>
      <w:autoSpaceDN w:val="0"/>
      <w:adjustRightInd w:val="0"/>
      <w:jc w:val="left"/>
    </w:pPr>
    <w:rPr>
      <w:rFonts w:ascii="Calibri" w:hAnsi="Calibri" w:cs="宋体"/>
      <w:sz w:val="24"/>
      <w:szCs w:val="24"/>
    </w:rPr>
  </w:style>
  <w:style w:type="paragraph" w:customStyle="1" w:styleId="393">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94">
    <w:name w:val="Bullets L1"/>
    <w:basedOn w:val="1"/>
    <w:qFormat/>
    <w:uiPriority w:val="0"/>
    <w:pPr>
      <w:widowControl/>
      <w:numPr>
        <w:ilvl w:val="0"/>
        <w:numId w:val="4"/>
      </w:numPr>
      <w:spacing w:before="60" w:after="60"/>
      <w:jc w:val="left"/>
    </w:pPr>
    <w:rPr>
      <w:rFonts w:ascii="Arial" w:hAnsi="Arial"/>
      <w:kern w:val="0"/>
      <w:sz w:val="20"/>
    </w:rPr>
  </w:style>
  <w:style w:type="paragraph" w:customStyle="1" w:styleId="395">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396">
    <w:name w:val="Pa6"/>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97">
    <w:name w:val="正文lzq"/>
    <w:basedOn w:val="1"/>
    <w:qFormat/>
    <w:uiPriority w:val="0"/>
    <w:pPr>
      <w:adjustRightInd w:val="0"/>
      <w:spacing w:line="360" w:lineRule="auto"/>
      <w:ind w:firstLine="480"/>
      <w:textAlignment w:val="baseline"/>
    </w:pPr>
    <w:rPr>
      <w:kern w:val="0"/>
      <w:sz w:val="24"/>
    </w:rPr>
  </w:style>
  <w:style w:type="paragraph" w:customStyle="1" w:styleId="398">
    <w:name w:val="Pa5"/>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99">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400">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401">
    <w:name w:val="默认段落字体 Para Char Char Char Char Char Char Char"/>
    <w:basedOn w:val="1"/>
    <w:qFormat/>
    <w:uiPriority w:val="0"/>
  </w:style>
  <w:style w:type="paragraph" w:customStyle="1" w:styleId="402">
    <w:name w:val="Char Char1 Char Char Char Char1 Char Char Char Char Char Char"/>
    <w:basedOn w:val="1"/>
    <w:qFormat/>
    <w:uiPriority w:val="0"/>
    <w:rPr>
      <w:rFonts w:ascii="Tahoma" w:hAnsi="Tahoma"/>
      <w:sz w:val="24"/>
    </w:rPr>
  </w:style>
  <w:style w:type="paragraph" w:customStyle="1" w:styleId="403">
    <w:name w:val="缺省文本"/>
    <w:basedOn w:val="1"/>
    <w:qFormat/>
    <w:uiPriority w:val="0"/>
    <w:pPr>
      <w:autoSpaceDE w:val="0"/>
      <w:autoSpaceDN w:val="0"/>
      <w:adjustRightInd w:val="0"/>
      <w:spacing w:afterLines="50" w:line="360" w:lineRule="auto"/>
      <w:jc w:val="left"/>
    </w:pPr>
    <w:rPr>
      <w:rFonts w:ascii="Arial" w:hAnsi="Arial"/>
      <w:kern w:val="0"/>
      <w:sz w:val="24"/>
      <w:szCs w:val="21"/>
    </w:rPr>
  </w:style>
  <w:style w:type="paragraph" w:customStyle="1" w:styleId="404">
    <w:name w:val="Char1 Char Char Char"/>
    <w:basedOn w:val="1"/>
    <w:qFormat/>
    <w:uiPriority w:val="0"/>
    <w:rPr>
      <w:rFonts w:ascii="Tahoma" w:hAnsi="Tahoma"/>
      <w:sz w:val="24"/>
    </w:rPr>
  </w:style>
  <w:style w:type="paragraph" w:customStyle="1" w:styleId="405">
    <w:name w:val="标准文本"/>
    <w:basedOn w:val="1"/>
    <w:qFormat/>
    <w:uiPriority w:val="0"/>
    <w:pPr>
      <w:spacing w:line="360" w:lineRule="auto"/>
      <w:ind w:firstLine="480" w:firstLineChars="200"/>
    </w:pPr>
    <w:rPr>
      <w:rFonts w:cs="宋体"/>
      <w:sz w:val="24"/>
      <w:szCs w:val="24"/>
    </w:rPr>
  </w:style>
  <w:style w:type="paragraph" w:customStyle="1" w:styleId="406">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407">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8">
    <w:name w:val="标题 4宋体"/>
    <w:basedOn w:val="2"/>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table" w:customStyle="1" w:styleId="409">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410">
    <w:name w:val="null15"/>
    <w:hidden/>
    <w:qFormat/>
    <w:uiPriority w:val="0"/>
    <w:rPr>
      <w:rFonts w:hint="eastAsia" w:ascii="宋体" w:hAnsi="宋体" w:eastAsia="宋体" w:cs="宋体"/>
      <w:sz w:val="24"/>
      <w:szCs w:val="24"/>
      <w:lang w:eastAsia="zh-Hans"/>
    </w:rPr>
  </w:style>
  <w:style w:type="paragraph" w:customStyle="1" w:styleId="411">
    <w:name w:val="正文首行缩进1"/>
    <w:basedOn w:val="412"/>
    <w:qFormat/>
    <w:uiPriority w:val="0"/>
    <w:pPr>
      <w:tabs>
        <w:tab w:val="left" w:pos="360"/>
      </w:tabs>
      <w:spacing w:line="220" w:lineRule="exact"/>
      <w:ind w:left="360" w:hanging="360"/>
      <w:jc w:val="left"/>
    </w:pPr>
    <w:rPr>
      <w:rFonts w:ascii="Times New Roman" w:hAnsi="Times New Roman"/>
      <w:color w:val="7030A0"/>
      <w:sz w:val="20"/>
      <w:szCs w:val="24"/>
    </w:rPr>
  </w:style>
  <w:style w:type="paragraph" w:customStyle="1" w:styleId="412">
    <w:name w:val="正文文本11"/>
    <w:basedOn w:val="1"/>
    <w:next w:val="1"/>
    <w:qFormat/>
    <w:uiPriority w:val="0"/>
    <w:pPr>
      <w:spacing w:line="360" w:lineRule="auto"/>
    </w:pPr>
    <w:rPr>
      <w:rFonts w:ascii="Calibri" w:hAnsi="Calibri"/>
      <w:sz w:val="24"/>
      <w:szCs w:val="20"/>
    </w:rPr>
  </w:style>
  <w:style w:type="paragraph" w:customStyle="1" w:styleId="413">
    <w:name w:val="页眉1"/>
    <w:basedOn w:val="1"/>
    <w:unhideWhenUsed/>
    <w:qFormat/>
    <w:uiPriority w:val="0"/>
    <w:pPr>
      <w:pBdr>
        <w:bottom w:val="single" w:color="000000" w:sz="6" w:space="1"/>
      </w:pBdr>
      <w:tabs>
        <w:tab w:val="center" w:pos="4153"/>
        <w:tab w:val="right" w:pos="8306"/>
      </w:tabs>
      <w:jc w:val="center"/>
    </w:pPr>
    <w:rPr>
      <w:rFonts w:ascii="Calibri" w:hAnsi="Calibri"/>
      <w:sz w:val="18"/>
      <w:szCs w:val="18"/>
    </w:rPr>
  </w:style>
  <w:style w:type="paragraph" w:customStyle="1" w:styleId="414">
    <w:name w:val="页脚1"/>
    <w:basedOn w:val="1"/>
    <w:unhideWhenUsed/>
    <w:qFormat/>
    <w:uiPriority w:val="99"/>
    <w:pPr>
      <w:tabs>
        <w:tab w:val="center" w:pos="4153"/>
        <w:tab w:val="right" w:pos="8306"/>
      </w:tabs>
      <w:jc w:val="left"/>
    </w:pPr>
    <w:rPr>
      <w:rFonts w:ascii="Calibri" w:hAnsi="Calibri"/>
      <w:sz w:val="18"/>
      <w:szCs w:val="18"/>
    </w:rPr>
  </w:style>
  <w:style w:type="paragraph" w:customStyle="1" w:styleId="415">
    <w:name w:val="Normal"/>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6">
    <w:name w:val="正文 New"/>
    <w:qFormat/>
    <w:uiPriority w:val="0"/>
    <w:pPr>
      <w:widowControl w:val="0"/>
      <w:spacing w:after="200" w:line="276" w:lineRule="auto"/>
      <w:jc w:val="both"/>
    </w:pPr>
    <w:rPr>
      <w:rFonts w:ascii="宋体" w:hAnsi="宋体" w:eastAsia="宋体" w:cs="Times New Roman"/>
      <w:sz w:val="36"/>
      <w:szCs w:val="36"/>
      <w:lang w:val="en-US" w:eastAsia="zh-CN" w:bidi="ar-SA"/>
    </w:rPr>
  </w:style>
  <w:style w:type="paragraph" w:customStyle="1" w:styleId="417">
    <w:name w:val="正文(首行缩进)"/>
    <w:qFormat/>
    <w:uiPriority w:val="0"/>
    <w:pPr>
      <w:spacing w:line="420" w:lineRule="atLeast"/>
      <w:ind w:firstLine="200" w:firstLineChars="200"/>
      <w:jc w:val="both"/>
    </w:pPr>
    <w:rPr>
      <w:rFonts w:ascii="Calibri" w:hAnsi="Calibri" w:eastAsia="仿宋_GB2312" w:cs="Times New Roman"/>
      <w:spacing w:val="2"/>
      <w:kern w:val="24"/>
      <w:sz w:val="24"/>
      <w:szCs w:val="22"/>
      <w:lang w:val="en-US" w:eastAsia="zh-CN" w:bidi="ar-SA"/>
    </w:rPr>
  </w:style>
  <w:style w:type="paragraph" w:customStyle="1" w:styleId="418">
    <w:name w:val="正文文本1"/>
    <w:basedOn w:val="1"/>
    <w:qFormat/>
    <w:uiPriority w:val="0"/>
    <w:pPr>
      <w:spacing w:line="60" w:lineRule="auto"/>
    </w:pPr>
    <w:rPr>
      <w:rFonts w:ascii="仿宋_GB2312" w:hAnsi="Times New Roman" w:eastAsia="仿宋_GB2312" w:cs="Times New Roman"/>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68</Pages>
  <Words>26324</Words>
  <Characters>27333</Characters>
  <Lines>198</Lines>
  <Paragraphs>55</Paragraphs>
  <TotalTime>60</TotalTime>
  <ScaleCrop>false</ScaleCrop>
  <LinksUpToDate>false</LinksUpToDate>
  <CharactersWithSpaces>29852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2025-05-13T18:58:00Z</dcterms:created>
  <dc:creator>Administrator</dc:creator>
  <cp:lastModifiedBy>Lོ</cp:lastModifiedBy>
  <cp:lastPrinted>2026-01-02T14:12:00Z</cp:lastPrinted>
  <dcterms:modified xsi:type="dcterms:W3CDTF">2026-05-12T02:05:22Z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_DocHome">
    <vt:r8>717910467</vt:r8>
  </property>
  <property fmtid="{D5CDD505-2E9C-101B-9397-08002B2CF9AE}" pid="4" name="ICV">
    <vt:lpwstr>67993FD310A34B928360A043E5F9A1BF_13</vt:lpwstr>
  </property>
  <property fmtid="{D5CDD505-2E9C-101B-9397-08002B2CF9AE}" pid="5" name="KSOTemplateDocerSaveRecord">
    <vt:lpwstr>eyJoZGlkIjoiYTg3MmU5ZWJiYzhiNjM3ZTQyMWVmYjFkNTk5NGVmODciLCJ1c2VySWQiOiI0MzI3NTg1MjUifQ==</vt:lpwstr>
  </property>
</Properties>
</file>