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120" w:after="120" w:line="360" w:lineRule="auto"/>
        <w:rPr>
          <w:rFonts w:hint="eastAsia" w:ascii="宋体" w:hAnsi="宋体" w:eastAsia="宋体" w:cs="宋体"/>
          <w:b/>
          <w:color w:val="auto"/>
          <w:sz w:val="72"/>
          <w:szCs w:val="72"/>
          <w:highlight w:val="none"/>
        </w:rPr>
      </w:pPr>
      <w:r>
        <w:rPr>
          <w:rFonts w:hint="eastAsia" w:ascii="宋体" w:hAnsi="宋体" w:eastAsia="宋体" w:cs="宋体"/>
          <w:color w:val="auto"/>
          <w:sz w:val="24"/>
          <w:szCs w:val="24"/>
          <w:highlight w:val="none"/>
        </w:rPr>
        <w:t xml:space="preserve"> </w:t>
      </w:r>
      <w:r/>
    </w:p>
    <w:p>
      <w:pPr>
        <w:jc w:val="center"/>
        <w:spacing w:before="120" w:after="120" w:line="360" w:lineRule="auto"/>
        <w:rPr>
          <w:rFonts w:hint="eastAsia" w:ascii="宋体" w:hAnsi="宋体" w:eastAsia="宋体" w:cs="宋体"/>
          <w:b/>
          <w:bCs/>
          <w:color w:val="auto"/>
          <w:sz w:val="72"/>
          <w:szCs w:val="72"/>
          <w:highlight w:val="none"/>
        </w:rPr>
        <w:outlineLvl w:val="0"/>
      </w:pPr>
      <w:r/>
      <w:bookmarkStart w:id="0" w:name="_Toc1997"/>
      <w:r>
        <w:rPr>
          <w:rFonts w:hint="eastAsia" w:ascii="宋体" w:hAnsi="宋体" w:eastAsia="宋体" w:cs="宋体"/>
          <w:b/>
          <w:bCs/>
          <w:color w:val="auto"/>
          <w:sz w:val="72"/>
          <w:szCs w:val="72"/>
          <w:highlight w:val="none"/>
        </w:rPr>
        <w:t xml:space="preserve">泰州市政府采购</w:t>
      </w:r>
      <w:bookmarkEnd w:id="0"/>
      <w:r>
        <w:rPr>
          <w:rFonts w:hint="eastAsia" w:ascii="宋体" w:hAnsi="宋体" w:eastAsia="宋体" w:cs="宋体"/>
          <w:b/>
          <w:bCs/>
          <w:color w:val="auto"/>
          <w:sz w:val="72"/>
          <w:szCs w:val="72"/>
          <w:highlight w:val="none"/>
        </w:rPr>
        <w:t xml:space="preserve">项目</w:t>
      </w:r>
      <w:r/>
    </w:p>
    <w:p>
      <w:pPr>
        <w:jc w:val="center"/>
        <w:spacing w:before="120"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spacing w:before="120" w:line="360" w:lineRule="auto"/>
        <w:rPr>
          <w:rFonts w:hint="eastAsia" w:ascii="宋体" w:hAnsi="宋体" w:eastAsia="宋体" w:cs="宋体"/>
          <w:b/>
          <w:bCs/>
          <w:color w:val="auto"/>
          <w:sz w:val="52"/>
          <w:szCs w:val="52"/>
          <w:highlight w:val="none"/>
          <w:lang w:eastAsia="zh-CN"/>
        </w:rPr>
        <w:outlineLvl w:val="0"/>
      </w:pPr>
      <w:r/>
      <w:bookmarkStart w:id="1" w:name="_Toc28993"/>
      <w:r>
        <w:rPr>
          <w:rFonts w:hint="eastAsia" w:ascii="宋体" w:hAnsi="宋体" w:eastAsia="宋体" w:cs="宋体"/>
          <w:b/>
          <w:bCs/>
          <w:color w:val="auto"/>
          <w:sz w:val="52"/>
          <w:szCs w:val="52"/>
          <w:highlight w:val="none"/>
        </w:rPr>
        <w:t xml:space="preserve">竞争性磋商文件</w:t>
      </w:r>
      <w:bookmarkEnd w:id="1"/>
      <w:r/>
      <w:r/>
    </w:p>
    <w:p>
      <w:pPr>
        <w:jc w:val="center"/>
        <w:rPr>
          <w:rFonts w:hint="eastAsia" w:ascii="宋体" w:hAnsi="宋体" w:eastAsia="宋体" w:cs="宋体"/>
          <w:bCs/>
          <w:color w:val="auto"/>
          <w:sz w:val="36"/>
          <w:szCs w:val="36"/>
          <w:highlight w:val="none"/>
        </w:rPr>
      </w:pPr>
      <w:r>
        <w:rPr>
          <w:rFonts w:hint="eastAsia" w:ascii="宋体" w:hAnsi="宋体" w:eastAsia="宋体" w:cs="宋体"/>
          <w:color w:val="auto"/>
          <w:sz w:val="36"/>
          <w:szCs w:val="36"/>
          <w:highlight w:val="none"/>
          <w:lang w:eastAsia="zh-CN"/>
        </w:rPr>
        <w:t xml:space="preserve">（</w:t>
      </w:r>
      <w:r>
        <w:rPr>
          <w:rFonts w:hint="eastAsia" w:ascii="宋体" w:hAnsi="宋体" w:eastAsia="宋体" w:cs="宋体"/>
          <w:bCs/>
          <w:color w:val="auto"/>
          <w:sz w:val="36"/>
          <w:szCs w:val="36"/>
          <w:highlight w:val="none"/>
        </w:rPr>
        <w:t xml:space="preserve">全流程电子化不见面开标</w:t>
      </w:r>
      <w:r>
        <w:rPr>
          <w:rFonts w:hint="eastAsia" w:ascii="宋体" w:hAnsi="宋体" w:eastAsia="宋体" w:cs="宋体"/>
          <w:color w:val="auto"/>
          <w:sz w:val="36"/>
          <w:szCs w:val="36"/>
          <w:highlight w:val="none"/>
        </w:rPr>
        <w:t xml:space="preserve">）</w:t>
      </w:r>
      <w:r/>
    </w:p>
    <w:p>
      <w:pPr>
        <w:pStyle w:val="93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0"/>
        <w:ind w:firstLine="40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43"/>
        <w:jc w:val="left"/>
        <w:spacing w:before="120" w:after="12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项目编号：JSZC-321203-JTTZ-C2026-0004</w:t>
      </w:r>
      <w:r/>
    </w:p>
    <w:p>
      <w:pPr>
        <w:ind w:firstLine="643"/>
        <w:jc w:val="center"/>
        <w:spacing w:before="120" w:after="12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项目名称：</w:t>
      </w:r>
      <w:r>
        <w:rPr>
          <w:rFonts w:hint="eastAsia" w:ascii="宋体" w:hAnsi="宋体" w:eastAsia="宋体" w:cs="宋体"/>
          <w:b/>
          <w:bCs/>
          <w:color w:val="auto"/>
          <w:sz w:val="32"/>
          <w:szCs w:val="32"/>
          <w:highlight w:val="none"/>
        </w:rPr>
        <w:t xml:space="preserve">泰州滨江工业园区化工园区复核认定综合服务项目</w:t>
      </w:r>
      <w:r/>
    </w:p>
    <w:p>
      <w:pPr>
        <w:ind w:firstLine="948"/>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30"/>
          <w:szCs w:val="30"/>
          <w:highlight w:val="none"/>
        </w:rPr>
        <w:t xml:space="preserve"> </w:t>
      </w:r>
      <w:r>
        <w:rPr>
          <w:rFonts w:hint="eastAsia" w:ascii="宋体" w:hAnsi="宋体" w:eastAsia="宋体" w:cs="宋体"/>
          <w:color w:val="auto"/>
          <w:sz w:val="24"/>
          <w:szCs w:val="24"/>
          <w:highlight w:val="none"/>
        </w:rPr>
        <w:t xml:space="preserve">  </w:t>
      </w:r>
      <w:r/>
    </w:p>
    <w:p>
      <w:pPr>
        <w:jc w:val="center"/>
        <w:spacing w:before="120" w:after="120" w:line="360" w:lineRule="auto"/>
        <w:rPr>
          <w:rFonts w:hint="eastAsia" w:ascii="宋体" w:hAnsi="宋体" w:eastAsia="宋体" w:cs="宋体"/>
          <w:b/>
          <w:bCs/>
          <w:color w:val="auto"/>
          <w:sz w:val="32"/>
          <w:szCs w:val="32"/>
          <w:highlight w:val="none"/>
        </w:rPr>
        <w:outlineLvl w:val="0"/>
      </w:pPr>
      <w:r/>
      <w:bookmarkStart w:id="2" w:name="_Toc11357"/>
      <w:r>
        <w:rPr>
          <w:rFonts w:hint="eastAsia" w:ascii="宋体" w:hAnsi="宋体" w:eastAsia="宋体" w:cs="宋体"/>
          <w:b/>
          <w:bCs/>
          <w:color w:val="auto"/>
          <w:sz w:val="32"/>
          <w:szCs w:val="32"/>
          <w:highlight w:val="none"/>
        </w:rPr>
        <w:t xml:space="preserve">采购人：</w:t>
      </w:r>
      <w:bookmarkEnd w:id="2"/>
      <w:r>
        <w:rPr>
          <w:rFonts w:hint="eastAsia" w:ascii="宋体" w:hAnsi="宋体" w:eastAsia="宋体" w:cs="宋体"/>
          <w:b/>
          <w:bCs/>
          <w:color w:val="auto"/>
          <w:sz w:val="32"/>
          <w:szCs w:val="32"/>
          <w:highlight w:val="none"/>
        </w:rPr>
        <w:t xml:space="preserve">泰州医药高新区（高港区）滨江工业园管理办公室</w:t>
      </w:r>
      <w:r/>
    </w:p>
    <w:p>
      <w:pPr>
        <w:jc w:val="center"/>
        <w:spacing w:before="120" w:after="120" w:line="360" w:lineRule="auto"/>
        <w:rPr>
          <w:rFonts w:hint="eastAsia" w:ascii="宋体" w:hAnsi="宋体" w:eastAsia="宋体" w:cs="宋体"/>
          <w:color w:val="auto"/>
          <w:sz w:val="32"/>
          <w:szCs w:val="32"/>
          <w:highlight w:val="none"/>
        </w:rPr>
        <w:outlineLvl w:val="0"/>
      </w:pPr>
      <w:r>
        <w:rPr>
          <w:rFonts w:hint="eastAsia" w:ascii="宋体" w:hAnsi="宋体" w:eastAsia="宋体" w:cs="宋体"/>
          <w:b/>
          <w:bCs/>
          <w:color w:val="auto"/>
          <w:sz w:val="32"/>
          <w:szCs w:val="32"/>
          <w:highlight w:val="none"/>
        </w:rPr>
        <w:t xml:space="preserve">采购代理机构：江苏建泰工程项目管理有限公司</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4</w:t>
      </w:r>
      <w:r>
        <w:rPr>
          <w:rFonts w:hint="eastAsia" w:ascii="宋体" w:hAnsi="宋体" w:eastAsia="宋体" w:cs="宋体"/>
          <w:b/>
          <w:bCs/>
          <w:color w:val="auto"/>
          <w:sz w:val="32"/>
          <w:szCs w:val="32"/>
          <w:highlight w:val="none"/>
        </w:rPr>
        <w:t xml:space="preserve">月</w:t>
      </w:r>
      <w:r/>
    </w:p>
    <w:p>
      <w:pPr>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120" w:after="120" w:line="360" w:lineRule="auto"/>
        <w:rPr>
          <w:rFonts w:hint="eastAsia" w:ascii="宋体" w:hAnsi="宋体" w:eastAsia="宋体" w:cs="宋体"/>
          <w:color w:val="auto"/>
          <w:sz w:val="24"/>
          <w:szCs w:val="24"/>
          <w:highlight w:val="none"/>
        </w:rPr>
        <w:sectPr>
          <w:headerReference w:type="default" r:id="rId8"/>
          <w:footerReference w:type="default" r:id="rId9"/>
          <w:footnotePr/>
          <w:endnotePr/>
          <w:type w:val="nextPage"/>
          <w:pgSz w:w="11906" w:h="16839" w:orient="portrait"/>
          <w:pgMar w:top="1429" w:right="1633" w:bottom="1440" w:left="1582" w:header="0" w:footer="0" w:gutter="0"/>
          <w:cols w:num="1" w:sep="0" w:space="720" w:equalWidth="1"/>
          <w:docGrid w:linePitch="360"/>
        </w:sectPr>
      </w:pPr>
      <w:r>
        <w:rPr>
          <w:rFonts w:hint="eastAsia" w:ascii="宋体" w:hAnsi="宋体" w:eastAsia="宋体" w:cs="宋体"/>
          <w:color w:val="auto"/>
          <w:sz w:val="24"/>
          <w:szCs w:val="24"/>
          <w:highlight w:val="none"/>
        </w:rPr>
      </w:r>
      <w:r/>
    </w:p>
    <w:p>
      <w:pPr>
        <w:jc w:val="cente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xml:space="preserve"> </w:t>
      </w:r>
      <w:bookmarkStart w:id="3" w:name="_Toc479757206"/>
      <w:r/>
      <w:bookmarkEnd w:id="3"/>
      <w:r/>
      <w:bookmarkStart w:id="4" w:name="_Toc120614210"/>
      <w:r/>
      <w:bookmarkEnd w:id="4"/>
      <w:r/>
      <w:bookmarkStart w:id="5" w:name="_Toc513029200"/>
      <w:r/>
      <w:bookmarkEnd w:id="5"/>
      <w:r/>
      <w:bookmarkStart w:id="6" w:name="_Toc523127445"/>
      <w:r/>
      <w:bookmarkEnd w:id="6"/>
      <w:r/>
      <w:bookmarkStart w:id="7" w:name="_Toc16938516"/>
      <w:r/>
      <w:bookmarkEnd w:id="7"/>
      <w:r/>
      <w:bookmarkStart w:id="8" w:name="_Toc20823272"/>
      <w:r>
        <w:rPr>
          <w:rFonts w:hint="eastAsia" w:ascii="宋体" w:hAnsi="宋体" w:eastAsia="宋体" w:cs="宋体"/>
          <w:b/>
          <w:bCs/>
          <w:color w:val="auto"/>
          <w:sz w:val="44"/>
          <w:szCs w:val="44"/>
          <w:highlight w:val="none"/>
        </w:rPr>
        <w:t xml:space="preserve">总  目  录</w:t>
      </w:r>
      <w:bookmarkEnd w:id="8"/>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1"/>
        <w:spacing w:line="600" w:lineRule="exact"/>
        <w:tabs>
          <w:tab w:val="right" w:pos="8691"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w:instrText>
      </w:r>
      <w:r>
        <w:rPr>
          <w:rFonts w:hint="eastAsia" w:ascii="宋体" w:hAnsi="宋体" w:eastAsia="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"_Toc21141" </w:instrText>
      </w:r>
      <w:r>
        <w:rPr>
          <w:color w:val="auto"/>
          <w:highlight w:val="none"/>
        </w:rPr>
        <w:fldChar w:fldCharType="separate"/>
      </w:r>
      <w:r>
        <w:rPr>
          <w:rFonts w:hint="eastAsia" w:ascii="宋体" w:hAnsi="宋体" w:eastAsia="宋体" w:cs="宋体"/>
          <w:color w:val="auto"/>
          <w:sz w:val="28"/>
          <w:szCs w:val="28"/>
          <w:highlight w:val="none"/>
        </w:rPr>
        <w:t xml:space="preserve">第一章 竞争性磋商公告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_Toc21141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31"/>
        <w:spacing w:line="600" w:lineRule="exact"/>
        <w:tabs>
          <w:tab w:val="right" w:pos="8691" w:leader="dot"/>
        </w:tabs>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"_Toc24442" </w:instrText>
      </w:r>
      <w:r>
        <w:rPr>
          <w:color w:val="auto"/>
          <w:highlight w:val="none"/>
        </w:rPr>
        <w:fldChar w:fldCharType="separate"/>
      </w:r>
      <w:r>
        <w:rPr>
          <w:rFonts w:hint="eastAsia" w:ascii="宋体" w:hAnsi="宋体" w:eastAsia="宋体" w:cs="宋体"/>
          <w:color w:val="auto"/>
          <w:sz w:val="28"/>
          <w:szCs w:val="28"/>
          <w:highlight w:val="none"/>
        </w:rPr>
        <w:t xml:space="preserve">第二章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 xml:space="preserve">5</w:t>
      </w:r>
      <w:r/>
    </w:p>
    <w:p>
      <w:pPr>
        <w:pStyle w:val="931"/>
        <w:spacing w:line="600" w:lineRule="exact"/>
        <w:tabs>
          <w:tab w:val="right" w:pos="8691"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"_Toc26517" </w:instrText>
      </w:r>
      <w:r>
        <w:rPr>
          <w:color w:val="auto"/>
          <w:highlight w:val="none"/>
        </w:rPr>
        <w:fldChar w:fldCharType="separate"/>
      </w:r>
      <w:r>
        <w:rPr>
          <w:rFonts w:hint="eastAsia" w:ascii="宋体" w:hAnsi="宋体" w:eastAsia="宋体" w:cs="宋体"/>
          <w:color w:val="auto"/>
          <w:sz w:val="28"/>
          <w:szCs w:val="28"/>
          <w:highlight w:val="none"/>
        </w:rPr>
        <w:t xml:space="preserve">第三章 合同文本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fldChar w:fldCharType="end"/>
      </w:r>
      <w:r/>
    </w:p>
    <w:p>
      <w:pPr>
        <w:pStyle w:val="931"/>
        <w:spacing w:line="600" w:lineRule="exact"/>
        <w:tabs>
          <w:tab w:val="right" w:pos="8691"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"_Toc31380" </w:instrText>
      </w:r>
      <w:r>
        <w:rPr>
          <w:color w:val="auto"/>
          <w:highlight w:val="none"/>
        </w:rPr>
        <w:fldChar w:fldCharType="separate"/>
      </w:r>
      <w:r>
        <w:rPr>
          <w:rFonts w:hint="eastAsia" w:ascii="宋体" w:hAnsi="宋体" w:eastAsia="宋体" w:cs="宋体"/>
          <w:color w:val="auto"/>
          <w:sz w:val="28"/>
          <w:szCs w:val="28"/>
          <w:highlight w:val="none"/>
        </w:rPr>
        <w:t xml:space="preserve">第四章  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 xml:space="preserve">2</w:t>
      </w:r>
      <w:r>
        <w:rPr>
          <w:rFonts w:hint="eastAsia" w:ascii="宋体" w:hAnsi="宋体" w:cs="宋体"/>
          <w:color w:val="auto"/>
          <w:sz w:val="28"/>
          <w:szCs w:val="28"/>
          <w:highlight w:val="none"/>
          <w:lang w:val="en-US" w:eastAsia="zh-CN"/>
        </w:rPr>
        <w:t xml:space="preserve">4</w:t>
      </w:r>
      <w:r/>
    </w:p>
    <w:p>
      <w:pPr>
        <w:pStyle w:val="931"/>
        <w:spacing w:line="600" w:lineRule="exact"/>
        <w:tabs>
          <w:tab w:val="right" w:pos="8691" w:leader="dot"/>
        </w:tabs>
        <w:rPr>
          <w:rFonts w:hint="default"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"_Toc22673" </w:instrText>
      </w:r>
      <w:r>
        <w:rPr>
          <w:color w:val="auto"/>
          <w:highlight w:val="none"/>
        </w:rPr>
        <w:fldChar w:fldCharType="separate"/>
      </w:r>
      <w:r>
        <w:rPr>
          <w:rFonts w:hint="eastAsia" w:ascii="宋体" w:hAnsi="宋体" w:eastAsia="宋体" w:cs="宋体"/>
          <w:color w:val="auto"/>
          <w:sz w:val="28"/>
          <w:szCs w:val="28"/>
          <w:highlight w:val="none"/>
        </w:rPr>
        <w:t xml:space="preserve">第五章 </w:t>
      </w:r>
      <w:r>
        <w:rPr>
          <w:rFonts w:hint="eastAsia" w:ascii="宋体" w:hAnsi="宋体" w:eastAsia="宋体" w:cs="宋体"/>
          <w:bCs/>
          <w:color w:val="auto"/>
          <w:sz w:val="28"/>
          <w:szCs w:val="28"/>
          <w:highlight w:val="none"/>
        </w:rPr>
        <w:t xml:space="preserve">评审方法与评审标准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26</w:t>
      </w:r>
      <w:r/>
    </w:p>
    <w:p>
      <w:pPr>
        <w:pStyle w:val="931"/>
        <w:spacing w:line="600" w:lineRule="exact"/>
        <w:tabs>
          <w:tab w:val="right" w:pos="8691" w:leader="dot"/>
        </w:tabs>
        <w:rPr>
          <w:rFonts w:hint="eastAsia" w:ascii="宋体" w:hAnsi="宋体" w:eastAsia="宋体" w:cs="宋体"/>
          <w:color w:val="auto"/>
          <w:sz w:val="28"/>
          <w:szCs w:val="28"/>
          <w:highlight w:val="none"/>
        </w:rPr>
      </w:pPr>
      <w:r>
        <w:rPr>
          <w:color w:val="auto"/>
          <w:highlight w:val="none"/>
        </w:rPr>
        <w:fldChar w:fldCharType="begin"/>
      </w:r>
      <w:r>
        <w:rPr>
          <w:color w:val="auto"/>
          <w:highlight w:val="none"/>
        </w:rPr>
        <w:instrText xml:space="preserve"> HYPERLINK \l "_Toc28376" </w:instrText>
      </w:r>
      <w:r>
        <w:rPr>
          <w:color w:val="auto"/>
          <w:highlight w:val="none"/>
        </w:rPr>
        <w:fldChar w:fldCharType="separate"/>
      </w:r>
      <w:r>
        <w:rPr>
          <w:rFonts w:hint="eastAsia" w:ascii="宋体" w:hAnsi="宋体" w:eastAsia="宋体" w:cs="宋体"/>
          <w:color w:val="auto"/>
          <w:sz w:val="28"/>
          <w:szCs w:val="28"/>
          <w:highlight w:val="none"/>
        </w:rPr>
        <w:t xml:space="preserve">第六章 响应文件格式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3</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lang w:val="en-US" w:eastAsia="zh-CN"/>
        </w:rPr>
        <w:fldChar w:fldCharType="end"/>
      </w:r>
      <w:r/>
    </w:p>
    <w:p>
      <w:pPr>
        <w:spacing w:line="600" w:lineRule="exact"/>
        <w:widowControl/>
        <w:rPr>
          <w:rFonts w:hint="eastAsia" w:ascii="宋体" w:hAnsi="宋体" w:eastAsia="宋体" w:cs="宋体"/>
          <w:color w:val="auto"/>
          <w:highlight w:val="none"/>
        </w:rPr>
      </w:pPr>
      <w:r>
        <w:rPr>
          <w:rFonts w:hint="eastAsia" w:ascii="宋体" w:hAnsi="宋体" w:eastAsia="宋体" w:cs="宋体"/>
          <w:color w:val="auto"/>
          <w:sz w:val="28"/>
          <w:szCs w:val="28"/>
          <w:highlight w:val="none"/>
        </w:rPr>
        <w:fldChar w:fldCharType="end"/>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44"/>
          <w:szCs w:val="44"/>
          <w:highlight w:val="none"/>
        </w:rPr>
        <w:sectPr>
          <w:footerReference w:type="default" r:id="rId10"/>
          <w:footnotePr/>
          <w:endnotePr/>
          <w:type w:val="nextPage"/>
          <w:pgSz w:w="11906" w:h="16839" w:orient="portrait"/>
          <w:pgMar w:top="1429" w:right="1633" w:bottom="1440" w:left="1582" w:header="0" w:footer="0" w:gutter="0"/>
          <w:pgNumType w:start="1"/>
          <w:cols w:num="1" w:sep="0" w:space="720" w:equalWidth="1"/>
          <w:docGrid w:linePitch="360"/>
        </w:sectPr>
      </w:pPr>
      <w:r/>
      <w:bookmarkStart w:id="9" w:name="_Toc21141"/>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44"/>
          <w:szCs w:val="44"/>
          <w:highlight w:val="none"/>
        </w:rPr>
        <w:t xml:space="preserve">第一章 </w:t>
      </w:r>
      <w:bookmarkEnd w:id="9"/>
      <w:r>
        <w:rPr>
          <w:rFonts w:hint="eastAsia" w:ascii="宋体" w:hAnsi="宋体" w:eastAsia="宋体" w:cs="宋体"/>
          <w:color w:val="auto"/>
          <w:sz w:val="44"/>
          <w:szCs w:val="44"/>
          <w:highlight w:val="none"/>
        </w:rPr>
        <w:t xml:space="preserve">竞争性磋商公告</w:t>
      </w:r>
      <w:r/>
    </w:p>
    <w:p>
      <w:pPr>
        <w:ind w:firstLine="480"/>
        <w:jc w:val="both"/>
        <w:pageBreakBefore w:val="0"/>
        <w:spacing w:line="52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ind w:firstLine="480"/>
        <w:jc w:val="both"/>
        <w:pageBreakBefore w:val="0"/>
        <w:spacing w:line="520" w:lineRule="exact"/>
        <w:rPr>
          <w:rFonts w:hint="eastAsia" w:ascii="宋体" w:hAnsi="宋体" w:eastAsia="宋体" w:cs="宋体"/>
          <w:color w:val="auto"/>
          <w:sz w:val="24"/>
          <w:szCs w:val="24"/>
          <w:highlight w:val="none"/>
          <w:u w:val="singl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rPr>
        <w:t xml:space="preserve"> 泰州滨江工业园区化工园区复核认定综合服务项目 的</w:t>
      </w:r>
      <w:r>
        <w:rPr>
          <w:rFonts w:hint="eastAsia" w:ascii="宋体" w:hAnsi="宋体" w:eastAsia="宋体" w:cs="宋体"/>
          <w:color w:val="auto"/>
          <w:sz w:val="24"/>
          <w:szCs w:val="24"/>
          <w:highlight w:val="none"/>
        </w:rPr>
        <w:t xml:space="preserve">潜在供应商可在</w:t>
      </w:r>
      <w:r>
        <w:rPr>
          <w:rFonts w:hint="eastAsia" w:ascii="宋体" w:hAnsi="宋体" w:eastAsia="宋体" w:cs="宋体"/>
          <w:color w:val="auto"/>
          <w:sz w:val="24"/>
          <w:szCs w:val="24"/>
          <w:highlight w:val="none"/>
          <w:u w:val="single"/>
        </w:rPr>
        <w:t xml:space="preserve">“苏采云”政府采购一体化平台自行免费下载</w:t>
      </w:r>
      <w:r>
        <w:rPr>
          <w:rFonts w:hint="eastAsia" w:ascii="宋体" w:hAnsi="宋体" w:eastAsia="宋体" w:cs="宋体"/>
          <w:color w:val="auto"/>
          <w:sz w:val="24"/>
          <w:szCs w:val="24"/>
          <w:highlight w:val="none"/>
        </w:rPr>
        <w:t xml:space="preserve">磋商文件，并于</w:t>
      </w:r>
      <w:r>
        <w:rPr>
          <w:rFonts w:hint="eastAsia" w:ascii="宋体" w:hAnsi="宋体" w:eastAsia="宋体" w:cs="宋体"/>
          <w:color w:val="auto"/>
          <w:sz w:val="24"/>
          <w:szCs w:val="24"/>
          <w:highlight w:val="none"/>
          <w:u w:val="single"/>
        </w:rPr>
        <w:t xml:space="preserve"> 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9日9</w:t>
      </w:r>
      <w:r>
        <w:rPr>
          <w:rFonts w:hint="eastAsia" w:ascii="宋体" w:hAnsi="宋体" w:eastAsia="宋体" w:cs="宋体"/>
          <w:color w:val="auto"/>
          <w:sz w:val="24"/>
          <w:szCs w:val="24"/>
          <w:highlight w:val="none"/>
          <w:u w:val="single"/>
        </w:rPr>
        <w:t xml:space="preserve">点00分（</w:t>
      </w:r>
      <w:r>
        <w:rPr>
          <w:rFonts w:hint="eastAsia" w:ascii="宋体" w:hAnsi="宋体" w:eastAsia="宋体" w:cs="宋体"/>
          <w:color w:val="auto"/>
          <w:sz w:val="24"/>
          <w:szCs w:val="24"/>
          <w:highlight w:val="none"/>
        </w:rPr>
        <w:t xml:space="preserve">北京时间）前递交响应文件。</w:t>
      </w:r>
      <w:r/>
    </w:p>
    <w:p>
      <w:pPr>
        <w:ind w:firstLine="482"/>
        <w:jc w:val="both"/>
        <w:keepLines/>
        <w:keepNext/>
        <w:pageBreakBefore w:val="0"/>
        <w:spacing w:line="520" w:lineRule="exact"/>
        <w:rPr>
          <w:rFonts w:hint="eastAsia" w:ascii="宋体" w:hAnsi="宋体" w:eastAsia="宋体" w:cs="宋体"/>
          <w:color w:val="auto"/>
          <w:sz w:val="24"/>
          <w:szCs w:val="24"/>
          <w:highlight w:val="none"/>
        </w:rPr>
      </w:pPr>
      <w:r/>
      <w:bookmarkStart w:id="10" w:name="_Toc35393621"/>
      <w:r/>
      <w:bookmarkEnd w:id="10"/>
      <w:r/>
      <w:bookmarkStart w:id="11" w:name="_Toc38985263"/>
      <w:r/>
      <w:bookmarkEnd w:id="11"/>
      <w:r/>
      <w:bookmarkStart w:id="12" w:name="_Toc35393790"/>
      <w:r/>
      <w:bookmarkEnd w:id="12"/>
      <w:r/>
      <w:bookmarkStart w:id="13" w:name="_Toc28359079"/>
      <w:r/>
      <w:bookmarkEnd w:id="13"/>
      <w:r/>
      <w:bookmarkStart w:id="14" w:name="_Toc28359002"/>
      <w:r/>
      <w:bookmarkEnd w:id="14"/>
      <w:r/>
      <w:bookmarkStart w:id="15" w:name="_Hlk24379207"/>
      <w:r>
        <w:rPr>
          <w:rFonts w:hint="eastAsia" w:ascii="宋体" w:hAnsi="宋体" w:eastAsia="宋体" w:cs="宋体"/>
          <w:b/>
          <w:bCs/>
          <w:color w:val="auto"/>
          <w:sz w:val="24"/>
          <w:szCs w:val="24"/>
          <w:highlight w:val="none"/>
        </w:rPr>
        <w:t xml:space="preserve">一、项目基本情况</w:t>
      </w:r>
      <w:bookmarkEnd w:id="15"/>
      <w:r/>
      <w:r/>
    </w:p>
    <w:p>
      <w:pPr>
        <w:ind w:firstLine="480"/>
        <w:jc w:val="both"/>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1.项目编号：JSZC-321203-JTTZ-C2026-0004</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2.项目名称：泰州滨江工业园区化工园区复核认定综合服务项目</w:t>
      </w:r>
      <w:r/>
    </w:p>
    <w:p>
      <w:pPr>
        <w:ind w:firstLine="480"/>
        <w:jc w:val="both"/>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269万</w:t>
      </w:r>
      <w:r>
        <w:rPr>
          <w:rFonts w:hint="eastAsia" w:ascii="宋体" w:hAnsi="宋体" w:eastAsia="宋体" w:cs="宋体"/>
          <w:color w:val="auto"/>
          <w:sz w:val="24"/>
          <w:szCs w:val="24"/>
          <w:highlight w:val="none"/>
        </w:rPr>
        <w:t xml:space="preserve">元</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4.最高限价：</w:t>
      </w:r>
      <w:r>
        <w:rPr>
          <w:rFonts w:hint="eastAsia" w:ascii="宋体" w:hAnsi="宋体" w:eastAsia="宋体" w:cs="宋体"/>
          <w:color w:val="auto"/>
          <w:sz w:val="24"/>
          <w:szCs w:val="24"/>
          <w:highlight w:val="none"/>
          <w:lang w:val="en-US" w:eastAsia="zh-CN"/>
        </w:rPr>
        <w:t xml:space="preserve">269万元</w:t>
      </w:r>
      <w:r>
        <w:rPr>
          <w:rFonts w:hint="eastAsia" w:ascii="宋体" w:hAnsi="宋体" w:eastAsia="宋体" w:cs="宋体"/>
          <w:color w:val="auto"/>
          <w:sz w:val="24"/>
          <w:szCs w:val="24"/>
          <w:highlight w:val="none"/>
        </w:rPr>
        <w:t xml:space="preserve">，各供应商</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报价不得高于最高限价，否则作无效响应文件处理。</w:t>
      </w:r>
      <w:r/>
    </w:p>
    <w:p>
      <w:pPr>
        <w:ind w:firstLine="480"/>
        <w:jc w:val="both"/>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5.采购需求：</w:t>
      </w:r>
      <w:r>
        <w:rPr>
          <w:rFonts w:hint="eastAsia" w:ascii="宋体" w:hAnsi="宋体" w:eastAsia="宋体" w:cs="宋体"/>
          <w:color w:val="auto"/>
          <w:sz w:val="24"/>
          <w:szCs w:val="24"/>
          <w:highlight w:val="none"/>
          <w:lang w:val="en-US" w:eastAsia="zh-CN"/>
        </w:rPr>
        <w:t xml:space="preserve">为深入贯彻落实《江苏省化工园区认定工作标准（2025版）》（以下简称《认定标准》）（苏工信规〔2025〕6号）要求，切实做好泰州滨江工业园区化工园区认定工作，拟委托第三方专业机构，通过建立统筹工信、自然资源、生态环境、住房与城乡建设、交通运输、应急管理等多部门、多要素、多领域协同服务机制，夯实工作基础，提升管理水平，保障完成园区认定工作，从而推动化工园区高质量发展。</w:t>
      </w:r>
      <w:r>
        <w:rPr>
          <w:rFonts w:hint="eastAsia" w:ascii="宋体" w:hAnsi="宋体" w:eastAsia="宋体" w:cs="宋体"/>
          <w:color w:val="auto"/>
          <w:sz w:val="24"/>
          <w:szCs w:val="24"/>
          <w:highlight w:val="none"/>
          <w:u w:val="none"/>
          <w:lang w:val="en-US" w:eastAsia="zh-CN"/>
        </w:rPr>
        <w:t xml:space="preserve">具体要求详见磋商文件。</w:t>
      </w:r>
      <w:r/>
    </w:p>
    <w:p>
      <w:pPr>
        <w:ind w:firstLine="480"/>
        <w:jc w:val="both"/>
        <w:pageBreakBefore w:val="0"/>
        <w:spacing w:line="520" w:lineRule="exact"/>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rPr>
        <w:t xml:space="preserve">6.合同履</w:t>
      </w:r>
      <w:r>
        <w:rPr>
          <w:rFonts w:hint="eastAsia" w:ascii="宋体" w:hAnsi="宋体" w:eastAsia="宋体" w:cs="宋体"/>
          <w:color w:val="auto"/>
          <w:sz w:val="24"/>
          <w:szCs w:val="24"/>
          <w:highlight w:val="none"/>
          <w:u w:val="none"/>
          <w:lang w:val="en-US" w:eastAsia="zh-CN"/>
        </w:rPr>
        <w:t xml:space="preserve">行期限：</w:t>
      </w:r>
      <w:r>
        <w:rPr>
          <w:rFonts w:hint="eastAsia" w:ascii="宋体" w:hAnsi="宋体" w:cs="宋体"/>
          <w:color w:val="auto"/>
          <w:sz w:val="24"/>
          <w:szCs w:val="24"/>
          <w:highlight w:val="none"/>
          <w:u w:val="none"/>
          <w:lang w:val="en-US" w:eastAsia="zh-CN"/>
        </w:rPr>
        <w:t xml:space="preserve">自合同签订之日起至完成此次化工园区复核认定全部工作止</w:t>
      </w:r>
      <w:r>
        <w:rPr>
          <w:rFonts w:hint="eastAsia" w:ascii="宋体" w:hAnsi="宋体" w:eastAsia="宋体" w:cs="宋体"/>
          <w:color w:val="auto"/>
          <w:sz w:val="24"/>
          <w:szCs w:val="24"/>
          <w:highlight w:val="none"/>
          <w:lang w:val="en-US" w:eastAsia="zh-CN"/>
        </w:rPr>
        <w:t xml:space="preserve">。</w:t>
      </w:r>
      <w:r/>
    </w:p>
    <w:p>
      <w:pPr>
        <w:ind w:firstLine="480"/>
        <w:jc w:val="both"/>
        <w:pageBreakBefore w:val="0"/>
        <w:spacing w:line="520" w:lineRule="exact"/>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7.本项目不接受联合体。</w:t>
      </w:r>
      <w:bookmarkStart w:id="16" w:name="_Toc28359080"/>
      <w:r/>
      <w:bookmarkEnd w:id="16"/>
      <w:r/>
      <w:bookmarkStart w:id="17" w:name="_Toc35393622"/>
      <w:r/>
      <w:bookmarkEnd w:id="17"/>
      <w:r/>
      <w:bookmarkStart w:id="18" w:name="_Toc28359003"/>
      <w:r/>
      <w:bookmarkEnd w:id="18"/>
      <w:r/>
      <w:bookmarkStart w:id="19" w:name="_Toc35393791"/>
      <w:r/>
      <w:bookmarkEnd w:id="19"/>
      <w:r/>
      <w:bookmarkStart w:id="20" w:name="_Toc38985264"/>
      <w:r/>
      <w:r/>
    </w:p>
    <w:p>
      <w:pPr>
        <w:ind w:firstLine="482"/>
        <w:jc w:val="both"/>
        <w:pageBreakBefore w:val="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bookmarkEnd w:id="20"/>
      <w:r/>
      <w:bookmarkStart w:id="21" w:name="_Toc35393623"/>
      <w:r/>
      <w:bookmarkEnd w:id="21"/>
      <w:r/>
      <w:bookmarkStart w:id="22" w:name="_Toc28359004"/>
      <w:r/>
      <w:bookmarkEnd w:id="22"/>
      <w:r/>
      <w:bookmarkStart w:id="23" w:name="_Toc28359081"/>
      <w:r/>
      <w:bookmarkEnd w:id="23"/>
      <w:r/>
      <w:bookmarkStart w:id="24" w:name="_Toc35393792"/>
      <w:r/>
      <w:bookmarkEnd w:id="24"/>
      <w:r/>
      <w:r/>
    </w:p>
    <w:p>
      <w:pPr>
        <w:ind w:firstLine="480"/>
        <w:jc w:val="both"/>
        <w:pageBreakBefore w:val="0"/>
        <w:spacing w:line="520" w:lineRule="exact"/>
        <w:tabs>
          <w:tab w:val="left" w:pos="4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本项目属于其他未列明行业，不专门面向中小微企业、监狱企业、残疾人福利性单位，对符合条件的小型和微型企业、残疾人福利单位、监狱企业给予10%的扣除价格，用扣除后的价格参与评审。</w:t>
      </w:r>
      <w:r/>
    </w:p>
    <w:p>
      <w:pPr>
        <w:ind w:firstLine="480"/>
        <w:jc w:val="both"/>
        <w:pageBreakBefore w:val="0"/>
        <w:spacing w:line="52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（三）本项目的特定资格要求：</w:t>
      </w:r>
      <w:r>
        <w:rPr>
          <w:rFonts w:hint="eastAsia" w:ascii="宋体" w:hAnsi="宋体" w:eastAsia="宋体" w:cs="宋体"/>
          <w:b w:val="0"/>
          <w:bCs w:val="0"/>
          <w:color w:val="auto"/>
          <w:sz w:val="24"/>
          <w:szCs w:val="24"/>
          <w:highlight w:val="none"/>
          <w:lang w:val="en-US" w:eastAsia="zh-CN"/>
        </w:rPr>
        <w:t xml:space="preserve">无；</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单位负责人为同一人或者存在直接控股、管理关系的不同供应商，不得同时参加本项目的投标活动；为采购项目提供整体设计、规范编制或者项目管理、监理、检测等服务的供应商，不得再参加该项目的其他采购活动；</w:t>
      </w:r>
      <w:r/>
    </w:p>
    <w:p>
      <w:pPr>
        <w:ind w:firstLine="480"/>
        <w:jc w:val="both"/>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未被“信用中国”网站（www.creditchina.gov.cn）列入失信被执行人、重大税收违法失信主体、政府采购严重</w:t>
      </w:r>
      <w:r>
        <w:rPr>
          <w:rFonts w:hint="eastAsia" w:ascii="宋体" w:hAnsi="宋体" w:eastAsia="宋体" w:cs="宋体"/>
          <w:color w:val="auto"/>
          <w:sz w:val="24"/>
          <w:szCs w:val="24"/>
          <w:highlight w:val="none"/>
          <w:lang w:val="en-US" w:eastAsia="zh-CN"/>
        </w:rPr>
        <w:t xml:space="preserve">违法</w:t>
      </w:r>
      <w:r>
        <w:rPr>
          <w:rFonts w:hint="eastAsia" w:ascii="宋体" w:hAnsi="宋体" w:eastAsia="宋体" w:cs="宋体"/>
          <w:color w:val="auto"/>
          <w:sz w:val="24"/>
          <w:szCs w:val="24"/>
          <w:highlight w:val="none"/>
        </w:rPr>
        <w:t xml:space="preserve">失信行为记录名单</w:t>
      </w:r>
      <w:r>
        <w:rPr>
          <w:rFonts w:hint="eastAsia" w:ascii="宋体" w:hAnsi="宋体" w:eastAsia="宋体" w:cs="宋体"/>
          <w:color w:val="auto"/>
          <w:sz w:val="24"/>
          <w:szCs w:val="24"/>
          <w:highlight w:val="none"/>
          <w:lang w:eastAsia="zh-CN"/>
        </w:rPr>
        <w:t xml:space="preserve">。</w:t>
      </w:r>
      <w:r/>
    </w:p>
    <w:p>
      <w:pPr>
        <w:ind w:firstLine="482"/>
        <w:jc w:val="both"/>
        <w:keepLines/>
        <w:keepNext/>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三、获取磋商文件</w:t>
      </w:r>
      <w:r/>
    </w:p>
    <w:p>
      <w:pPr>
        <w:ind w:firstLine="480"/>
        <w:jc w:val="both"/>
        <w:pageBreakBefore w:val="0"/>
        <w:spacing w:line="520" w:lineRule="exact"/>
        <w:rPr>
          <w:rFonts w:hint="eastAsia" w:ascii="宋体" w:hAnsi="宋体" w:eastAsia="宋体" w:cs="宋体"/>
          <w:color w:val="auto"/>
          <w:sz w:val="24"/>
          <w:szCs w:val="24"/>
          <w:highlight w:val="none"/>
        </w:rPr>
      </w:pPr>
      <w:r/>
      <w:bookmarkStart w:id="25" w:name="_Toc35393624"/>
      <w:r/>
      <w:bookmarkEnd w:id="25"/>
      <w:r/>
      <w:bookmarkStart w:id="26" w:name="_Toc35393793"/>
      <w:r/>
      <w:bookmarkEnd w:id="26"/>
      <w:r/>
      <w:bookmarkStart w:id="27" w:name="_Toc28359082"/>
      <w:r/>
      <w:bookmarkEnd w:id="27"/>
      <w:r/>
      <w:bookmarkStart w:id="28" w:name="_Toc28359005"/>
      <w:r/>
      <w:bookmarkEnd w:id="28"/>
      <w:r/>
      <w:bookmarkStart w:id="29" w:name="_Toc38985266"/>
      <w:r>
        <w:rPr>
          <w:rFonts w:hint="eastAsia" w:ascii="宋体" w:hAnsi="宋体" w:eastAsia="宋体" w:cs="宋体"/>
          <w:color w:val="auto"/>
          <w:sz w:val="24"/>
          <w:szCs w:val="24"/>
          <w:highlight w:val="none"/>
        </w:rPr>
        <w:t xml:space="preserve">1.时间：</w:t>
      </w:r>
      <w:bookmarkEnd w:id="29"/>
      <w:r>
        <w:rPr>
          <w:rFonts w:hint="eastAsia" w:ascii="宋体" w:hAnsi="宋体" w:eastAsia="宋体" w:cs="宋体"/>
          <w:color w:val="auto"/>
          <w:sz w:val="24"/>
          <w:szCs w:val="24"/>
          <w:highlight w:val="none"/>
        </w:rPr>
        <w:t xml:space="preserve">自</w:t>
      </w:r>
      <w:r>
        <w:rPr>
          <w:rFonts w:hint="eastAsia" w:ascii="宋体" w:hAnsi="宋体" w:eastAsia="宋体" w:cs="宋体"/>
          <w:color w:val="auto"/>
          <w:sz w:val="24"/>
          <w:szCs w:val="24"/>
          <w:highlight w:val="none"/>
          <w:lang w:val="en-US" w:eastAsia="zh-CN"/>
        </w:rPr>
        <w:t xml:space="preserve">2026年</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月</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lang w:val="en-US" w:eastAsia="zh-CN"/>
        </w:rPr>
        <w:t xml:space="preserve">日0：00-</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月</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日0:00</w:t>
      </w:r>
      <w:r>
        <w:rPr>
          <w:rFonts w:hint="eastAsia" w:ascii="宋体" w:hAnsi="宋体" w:eastAsia="宋体" w:cs="宋体"/>
          <w:color w:val="auto"/>
          <w:sz w:val="24"/>
          <w:szCs w:val="24"/>
          <w:highlight w:val="none"/>
        </w:rPr>
        <w:t xml:space="preserve">。</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2.地点：供应商完成注册并办理CA证书后在“苏采云”系统下载本项目的采购文件</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3.方式：登录“苏采云”系统自行下载</w:t>
      </w:r>
      <w:r/>
    </w:p>
    <w:p>
      <w:pPr>
        <w:ind w:firstLine="480"/>
        <w:jc w:val="both"/>
        <w:keepLines/>
        <w:keepNext/>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4.售价：免费</w:t>
      </w:r>
      <w:r/>
    </w:p>
    <w:p>
      <w:pPr>
        <w:ind w:firstLine="482"/>
        <w:jc w:val="both"/>
        <w:keepLines/>
        <w:keepNext/>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四、提交响应文件截止时间</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1.截止时间：</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点00分</w:t>
      </w:r>
      <w:r>
        <w:rPr>
          <w:rFonts w:hint="eastAsia" w:ascii="宋体" w:hAnsi="宋体" w:eastAsia="宋体" w:cs="宋体"/>
          <w:color w:val="auto"/>
          <w:sz w:val="24"/>
          <w:szCs w:val="24"/>
          <w:highlight w:val="none"/>
        </w:rPr>
        <w:t xml:space="preserve">（北京时间）。</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2.地点：“苏采云”系统“开标大厅”</w:t>
      </w:r>
      <w:r/>
    </w:p>
    <w:p>
      <w:pPr>
        <w:ind w:firstLine="482"/>
        <w:jc w:val="both"/>
        <w:keepLines/>
        <w:keepNext/>
        <w:pageBreakBefore w:val="0"/>
        <w:spacing w:line="520" w:lineRule="exact"/>
        <w:rPr>
          <w:rFonts w:hint="eastAsia" w:ascii="宋体" w:hAnsi="宋体" w:eastAsia="宋体" w:cs="宋体"/>
          <w:color w:val="auto"/>
          <w:sz w:val="24"/>
          <w:szCs w:val="24"/>
          <w:highlight w:val="none"/>
        </w:rPr>
      </w:pPr>
      <w:r/>
      <w:bookmarkStart w:id="30" w:name="_Toc35393794"/>
      <w:r/>
      <w:bookmarkEnd w:id="30"/>
      <w:r/>
      <w:bookmarkStart w:id="31" w:name="_Toc35393625"/>
      <w:r/>
      <w:bookmarkEnd w:id="31"/>
      <w:r/>
      <w:bookmarkStart w:id="32" w:name="_Toc28359084"/>
      <w:r/>
      <w:bookmarkEnd w:id="32"/>
      <w:r/>
      <w:bookmarkStart w:id="33" w:name="_Toc28359007"/>
      <w:r/>
      <w:bookmarkEnd w:id="33"/>
      <w:r/>
      <w:bookmarkStart w:id="34" w:name="_Toc38985267"/>
      <w:r>
        <w:rPr>
          <w:rFonts w:hint="eastAsia" w:ascii="宋体" w:hAnsi="宋体" w:eastAsia="宋体" w:cs="宋体"/>
          <w:b/>
          <w:bCs/>
          <w:color w:val="auto"/>
          <w:sz w:val="24"/>
          <w:szCs w:val="24"/>
          <w:highlight w:val="none"/>
        </w:rPr>
        <w:t xml:space="preserve">五、公告期限</w:t>
      </w:r>
      <w:bookmarkEnd w:id="34"/>
      <w:r/>
      <w:r/>
    </w:p>
    <w:p>
      <w:pPr>
        <w:ind w:firstLine="480"/>
        <w:jc w:val="both"/>
        <w:pageBreakBefore w:val="0"/>
        <w:spacing w:line="520" w:lineRule="exact"/>
        <w:rPr>
          <w:rFonts w:hint="eastAsia" w:ascii="宋体" w:hAnsi="宋体" w:eastAsia="宋体" w:cs="宋体"/>
          <w:color w:val="auto"/>
          <w:sz w:val="24"/>
          <w:szCs w:val="24"/>
          <w:highlight w:val="none"/>
        </w:rPr>
      </w:pPr>
      <w:r/>
      <w:bookmarkStart w:id="35" w:name="_Toc35393795"/>
      <w:r/>
      <w:bookmarkEnd w:id="35"/>
      <w:r/>
      <w:bookmarkStart w:id="36" w:name="_Toc35393626"/>
      <w:r/>
      <w:bookmarkEnd w:id="36"/>
      <w:r/>
      <w:bookmarkStart w:id="37" w:name="_Toc38985268"/>
      <w:r>
        <w:rPr>
          <w:rFonts w:hint="eastAsia" w:ascii="宋体" w:hAnsi="宋体" w:eastAsia="宋体" w:cs="宋体"/>
          <w:color w:val="auto"/>
          <w:sz w:val="24"/>
          <w:szCs w:val="24"/>
          <w:highlight w:val="none"/>
        </w:rPr>
        <w:t xml:space="preserve">自本公告发布之日起3个工作日。</w:t>
      </w:r>
      <w:bookmarkEnd w:id="37"/>
      <w:r/>
      <w:r/>
    </w:p>
    <w:p>
      <w:pPr>
        <w:ind w:firstLine="482"/>
        <w:jc w:val="both"/>
        <w:keepLines/>
        <w:keepNext/>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六、其他补充事宜</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1.根据省财政厅《关于更换全</w:t>
      </w:r>
      <w:r>
        <w:rPr>
          <w:rFonts w:hint="eastAsia" w:ascii="宋体" w:hAnsi="宋体" w:eastAsia="宋体" w:cs="宋体"/>
          <w:color w:val="auto"/>
          <w:sz w:val="24"/>
          <w:szCs w:val="24"/>
          <w:highlight w:val="none"/>
        </w:rPr>
        <w:t xml:space="preserve">省政府采购交易系统CA数字证书和电子签章的通知》（苏财购〔2023〕101号），“苏采云”政府采购交易系统（以下简称苏采云系统）的CA数字证书、电子签章已更换为江苏省电子政务证书认证中心CA数字证书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2.有关本次</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的事项若存在变动或修改，敬请及时关注江苏建泰工程项目管理有限公司在“江苏政府采购网”发布的更正公告。</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3.本次</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不收取</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保证金。 </w:t>
      </w:r>
      <w:r/>
    </w:p>
    <w:p>
      <w:pPr>
        <w:ind w:firstLine="482"/>
        <w:jc w:val="both"/>
        <w:keepLines/>
        <w:keepNext/>
        <w:pageBreakBefore w:val="0"/>
        <w:spacing w:line="520" w:lineRule="exact"/>
        <w:rPr>
          <w:rFonts w:hint="eastAsia" w:ascii="宋体" w:hAnsi="宋体" w:eastAsia="宋体" w:cs="宋体"/>
          <w:color w:val="auto"/>
          <w:sz w:val="24"/>
          <w:szCs w:val="24"/>
          <w:highlight w:val="none"/>
        </w:rPr>
      </w:pPr>
      <w:r/>
      <w:bookmarkStart w:id="38" w:name="_Toc35393627"/>
      <w:r/>
      <w:bookmarkEnd w:id="38"/>
      <w:r/>
      <w:bookmarkStart w:id="39" w:name="_Toc28359085"/>
      <w:r/>
      <w:bookmarkEnd w:id="39"/>
      <w:r/>
      <w:bookmarkStart w:id="40" w:name="_Toc28359008"/>
      <w:r/>
      <w:bookmarkEnd w:id="40"/>
      <w:r/>
      <w:bookmarkStart w:id="41" w:name="_Toc35393796"/>
      <w:r/>
      <w:bookmarkEnd w:id="41"/>
      <w:r/>
      <w:bookmarkStart w:id="42" w:name="_Toc38985269"/>
      <w:r>
        <w:rPr>
          <w:rFonts w:hint="eastAsia" w:ascii="宋体" w:hAnsi="宋体" w:eastAsia="宋体" w:cs="宋体"/>
          <w:b/>
          <w:bCs/>
          <w:color w:val="auto"/>
          <w:sz w:val="24"/>
          <w:szCs w:val="24"/>
          <w:highlight w:val="none"/>
        </w:rPr>
        <w:t xml:space="preserve">七、本次磋商联系方式</w:t>
      </w:r>
      <w:bookmarkEnd w:id="42"/>
      <w:r/>
      <w:r/>
    </w:p>
    <w:p>
      <w:pPr>
        <w:ind w:firstLine="480"/>
        <w:jc w:val="both"/>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both"/>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泰州医药高新区（高港区）滨江工业园管理办公室</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江苏省泰州滨江工业园区疏港路2号‌‌</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陈</w:t>
      </w:r>
      <w:r>
        <w:rPr>
          <w:rFonts w:hint="eastAsia" w:ascii="宋体" w:hAnsi="宋体" w:eastAsia="宋体" w:cs="宋体"/>
          <w:color w:val="auto"/>
          <w:sz w:val="24"/>
          <w:szCs w:val="24"/>
          <w:highlight w:val="none"/>
          <w:u w:val="single"/>
          <w:lang w:val="en-US" w:eastAsia="zh-CN"/>
        </w:rPr>
        <w:t xml:space="preserve">先生</w:t>
      </w:r>
      <w:r>
        <w:rPr>
          <w:rFonts w:hint="eastAsia" w:ascii="宋体" w:hAnsi="宋体" w:eastAsia="宋体" w:cs="宋体"/>
          <w:color w:val="auto"/>
          <w:sz w:val="24"/>
          <w:szCs w:val="24"/>
          <w:highlight w:val="none"/>
          <w:u w:val="single"/>
        </w:rPr>
        <w:t xml:space="preserve"> </w:t>
      </w:r>
      <w:r/>
    </w:p>
    <w:p>
      <w:pPr>
        <w:ind w:firstLine="480"/>
        <w:jc w:val="both"/>
        <w:pageBreakBefore w:val="0"/>
        <w:spacing w:line="52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u w:val="single"/>
          <w:lang w:val="en-US" w:eastAsia="zh-CN"/>
        </w:rPr>
        <w:t xml:space="preserve"> 15850886572 </w:t>
      </w:r>
      <w:r>
        <w:rPr>
          <w:rFonts w:hint="eastAsia" w:ascii="宋体" w:hAnsi="宋体" w:eastAsia="宋体" w:cs="宋体"/>
          <w:color w:val="auto"/>
          <w:sz w:val="24"/>
          <w:szCs w:val="24"/>
          <w:highlight w:val="none"/>
          <w:u w:val="single"/>
          <w:lang w:val="en-US" w:eastAsia="zh-CN"/>
        </w:rPr>
        <w:t xml:space="preserve"> </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u w:val="single"/>
        </w:rPr>
        <w:t xml:space="preserve">江苏建泰工程项目管理有限公司</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泰州市海陵区华润万象城双子塔东塔52楼5203室</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周女士</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bookmarkStart w:id="43" w:name="_Toc28359010"/>
      <w:r/>
      <w:bookmarkEnd w:id="43"/>
      <w:r>
        <w:rPr>
          <w:rFonts w:hint="eastAsia" w:ascii="宋体" w:hAnsi="宋体" w:eastAsia="宋体" w:cs="宋体"/>
          <w:color w:val="auto"/>
          <w:sz w:val="24"/>
          <w:szCs w:val="24"/>
          <w:highlight w:val="none"/>
          <w:u w:val="single"/>
        </w:rPr>
        <w:t xml:space="preserve">0523-81908859</w:t>
      </w:r>
      <w:r/>
    </w:p>
    <w:p>
      <w:pPr>
        <w:ind w:firstLine="480"/>
        <w:jc w:val="both"/>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3.项目联系方式</w:t>
      </w:r>
      <w:r/>
    </w:p>
    <w:p>
      <w:pPr>
        <w:ind w:firstLine="480"/>
        <w:jc w:val="both"/>
        <w:pageBreakBefore w:val="0"/>
        <w:spacing w:line="5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周女士</w:t>
      </w:r>
      <w:r/>
    </w:p>
    <w:p>
      <w:pPr>
        <w:ind w:firstLine="480"/>
        <w:pageBreakBefore w:val="0"/>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u w:val="single"/>
        </w:rPr>
        <w:t xml:space="preserve">0523-81908859</w:t>
      </w:r>
      <w:r/>
    </w:p>
    <w:p>
      <w:pPr>
        <w:ind w:firstLine="480"/>
        <w:pageBreakBefore w:val="0"/>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30"/>
        <w:ind w:firstLine="0"/>
        <w:jc w:val="center"/>
        <w:rPr>
          <w:rFonts w:hint="eastAsia" w:ascii="宋体" w:hAnsi="宋体" w:eastAsia="宋体" w:cs="宋体"/>
          <w:color w:val="auto"/>
          <w:sz w:val="44"/>
          <w:szCs w:val="44"/>
          <w:highlight w:val="none"/>
        </w:rPr>
        <w:outlineLvl w:val="0"/>
      </w:pPr>
      <w:r/>
      <w:bookmarkStart w:id="44" w:name="_Toc120614211"/>
      <w:r/>
      <w:bookmarkStart w:id="45" w:name="_Toc24442"/>
      <w:r>
        <w:rPr>
          <w:rFonts w:hint="eastAsia" w:ascii="宋体" w:hAnsi="宋体" w:eastAsia="宋体" w:cs="宋体"/>
          <w:color w:val="auto"/>
          <w:sz w:val="44"/>
          <w:szCs w:val="44"/>
          <w:highlight w:val="none"/>
        </w:rPr>
        <w:t xml:space="preserve">第二章 </w:t>
      </w:r>
      <w:bookmarkEnd w:id="44"/>
      <w:r>
        <w:rPr>
          <w:rFonts w:hint="eastAsia" w:ascii="宋体" w:hAnsi="宋体" w:eastAsia="宋体" w:cs="宋体"/>
          <w:color w:val="auto"/>
          <w:sz w:val="44"/>
          <w:szCs w:val="44"/>
          <w:highlight w:val="none"/>
        </w:rPr>
        <w:t xml:space="preserve">供应商须知</w:t>
      </w:r>
      <w:bookmarkEnd w:id="45"/>
      <w:r/>
      <w:r/>
    </w:p>
    <w:p>
      <w:pPr>
        <w:ind w:firstLine="482"/>
        <w:keepLines/>
        <w:keepNext/>
        <w:spacing w:line="520" w:lineRule="exact"/>
        <w:rPr>
          <w:rFonts w:hint="eastAsia" w:ascii="宋体" w:hAnsi="宋体" w:eastAsia="宋体" w:cs="宋体"/>
          <w:color w:val="auto"/>
          <w:sz w:val="24"/>
          <w:szCs w:val="24"/>
          <w:highlight w:val="none"/>
        </w:rPr>
      </w:pPr>
      <w:r/>
      <w:bookmarkStart w:id="46" w:name="_Toc16938519"/>
      <w:r/>
      <w:bookmarkEnd w:id="46"/>
      <w:r/>
      <w:bookmarkStart w:id="47" w:name="_Toc513029203"/>
      <w:r/>
      <w:bookmarkEnd w:id="47"/>
      <w:r/>
      <w:bookmarkStart w:id="48" w:name="_Toc20823275"/>
      <w:r/>
      <w:bookmarkEnd w:id="48"/>
      <w:r/>
      <w:bookmarkStart w:id="49" w:name="_Toc120614214"/>
      <w:r>
        <w:rPr>
          <w:rFonts w:hint="eastAsia" w:ascii="宋体" w:hAnsi="宋体" w:eastAsia="宋体" w:cs="宋体"/>
          <w:b/>
          <w:bCs/>
          <w:color w:val="auto"/>
          <w:sz w:val="24"/>
          <w:szCs w:val="24"/>
          <w:highlight w:val="none"/>
        </w:rPr>
        <w:t xml:space="preserve">一、总则</w:t>
      </w:r>
      <w:bookmarkEnd w:id="49"/>
      <w:r/>
      <w:r/>
    </w:p>
    <w:p>
      <w:pPr>
        <w:ind w:firstLine="480"/>
        <w:keepLines/>
        <w:keepNext/>
        <w:spacing w:line="520" w:lineRule="exact"/>
        <w:rPr>
          <w:rFonts w:hint="eastAsia" w:ascii="宋体" w:hAnsi="宋体" w:eastAsia="宋体" w:cs="宋体"/>
          <w:color w:val="auto"/>
          <w:sz w:val="24"/>
          <w:szCs w:val="24"/>
          <w:highlight w:val="none"/>
        </w:rPr>
      </w:pPr>
      <w:r/>
      <w:bookmarkStart w:id="50" w:name="_Toc513029204"/>
      <w:r/>
      <w:bookmarkEnd w:id="50"/>
      <w:r/>
      <w:bookmarkStart w:id="51" w:name="_Hlt16619475"/>
      <w:r/>
      <w:bookmarkEnd w:id="51"/>
      <w:r/>
      <w:bookmarkStart w:id="52" w:name="_Toc16938520"/>
      <w:r/>
      <w:bookmarkEnd w:id="52"/>
      <w:r/>
      <w:bookmarkStart w:id="53" w:name="_Toc458694821"/>
      <w:r/>
      <w:bookmarkEnd w:id="53"/>
      <w:r/>
      <w:bookmarkStart w:id="54" w:name="_Toc20823276"/>
      <w:r>
        <w:rPr>
          <w:rFonts w:hint="eastAsia" w:ascii="宋体" w:hAnsi="宋体" w:eastAsia="宋体" w:cs="宋体"/>
          <w:color w:val="auto"/>
          <w:sz w:val="24"/>
          <w:szCs w:val="24"/>
          <w:highlight w:val="none"/>
        </w:rPr>
        <w:t xml:space="preserve">1</w:t>
      </w:r>
      <w:bookmarkEnd w:id="54"/>
      <w:r>
        <w:rPr>
          <w:rFonts w:hint="eastAsia" w:ascii="宋体" w:hAnsi="宋体" w:eastAsia="宋体" w:cs="宋体"/>
          <w:color w:val="auto"/>
          <w:sz w:val="24"/>
          <w:szCs w:val="24"/>
          <w:highlight w:val="none"/>
        </w:rPr>
        <w:t xml:space="preserve">、采购方式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本次政府采购活动采取竞争性磋商（以下简称磋商）方式，本磋商文件仅适用于磋商公告中所述项目。</w:t>
      </w:r>
      <w:r/>
    </w:p>
    <w:p>
      <w:pPr>
        <w:ind w:firstLine="480"/>
        <w:keepLines/>
        <w:keepNext/>
        <w:spacing w:line="520" w:lineRule="exact"/>
        <w:rPr>
          <w:rFonts w:hint="eastAsia" w:ascii="宋体" w:hAnsi="宋体" w:eastAsia="宋体" w:cs="宋体"/>
          <w:color w:val="auto"/>
          <w:sz w:val="24"/>
          <w:szCs w:val="24"/>
          <w:highlight w:val="none"/>
        </w:rPr>
      </w:pPr>
      <w:r/>
      <w:bookmarkStart w:id="55" w:name="_Toc16938521"/>
      <w:r/>
      <w:bookmarkEnd w:id="55"/>
      <w:r/>
      <w:bookmarkStart w:id="56" w:name="_Toc513029205"/>
      <w:r/>
      <w:bookmarkEnd w:id="56"/>
      <w:r/>
      <w:bookmarkStart w:id="57" w:name="_Toc20823277"/>
      <w:r>
        <w:rPr>
          <w:rFonts w:hint="eastAsia" w:ascii="宋体" w:hAnsi="宋体" w:eastAsia="宋体" w:cs="宋体"/>
          <w:color w:val="auto"/>
          <w:sz w:val="24"/>
          <w:szCs w:val="24"/>
          <w:highlight w:val="none"/>
        </w:rPr>
        <w:t xml:space="preserve">2、合格的</w:t>
      </w:r>
      <w:bookmarkEnd w:id="57"/>
      <w:r>
        <w:rPr>
          <w:rFonts w:hint="eastAsia" w:ascii="宋体" w:hAnsi="宋体" w:eastAsia="宋体" w:cs="宋体"/>
          <w:color w:val="auto"/>
          <w:sz w:val="24"/>
          <w:szCs w:val="24"/>
          <w:highlight w:val="none"/>
        </w:rPr>
        <w:t xml:space="preserve">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实质性要求和条件的规定。</w:t>
      </w:r>
      <w:r/>
    </w:p>
    <w:p>
      <w:pPr>
        <w:ind w:firstLine="480"/>
        <w:keepLines/>
        <w:keepNext/>
        <w:spacing w:line="520" w:lineRule="exact"/>
        <w:rPr>
          <w:rFonts w:hint="eastAsia" w:ascii="宋体" w:hAnsi="宋体" w:eastAsia="宋体" w:cs="宋体"/>
          <w:color w:val="auto"/>
          <w:sz w:val="24"/>
          <w:szCs w:val="24"/>
          <w:highlight w:val="none"/>
        </w:rPr>
      </w:pPr>
      <w:r/>
      <w:bookmarkStart w:id="58" w:name="_Toc513029206"/>
      <w:r/>
      <w:bookmarkEnd w:id="58"/>
      <w:r/>
      <w:bookmarkStart w:id="59" w:name="_Toc16938522"/>
      <w:r/>
      <w:bookmarkEnd w:id="59"/>
      <w:r/>
      <w:bookmarkStart w:id="60" w:name="_Toc20823278"/>
      <w:r>
        <w:rPr>
          <w:rFonts w:hint="eastAsia" w:ascii="宋体" w:hAnsi="宋体" w:eastAsia="宋体" w:cs="宋体"/>
          <w:color w:val="auto"/>
          <w:sz w:val="24"/>
          <w:szCs w:val="24"/>
          <w:highlight w:val="none"/>
        </w:rPr>
        <w:t xml:space="preserve">3、适用法律</w:t>
      </w:r>
      <w:bookmarkEnd w:id="6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本次磋商及由此产生的合同受中华人民共和国有关的法律法规制约和保护。</w:t>
      </w:r>
      <w:r/>
    </w:p>
    <w:p>
      <w:pPr>
        <w:ind w:firstLine="480"/>
        <w:keepLines/>
        <w:keepNext/>
        <w:spacing w:line="520" w:lineRule="exact"/>
        <w:rPr>
          <w:rFonts w:hint="eastAsia" w:ascii="宋体" w:hAnsi="宋体" w:eastAsia="宋体" w:cs="宋体"/>
          <w:color w:val="auto"/>
          <w:sz w:val="24"/>
          <w:szCs w:val="24"/>
          <w:highlight w:val="none"/>
        </w:rPr>
      </w:pPr>
      <w:r/>
      <w:bookmarkStart w:id="61" w:name="_Toc16938523"/>
      <w:r/>
      <w:bookmarkEnd w:id="61"/>
      <w:r/>
      <w:bookmarkStart w:id="62" w:name="_Toc462564067"/>
      <w:r/>
      <w:bookmarkEnd w:id="62"/>
      <w:r/>
      <w:bookmarkStart w:id="63" w:name="_Toc513029207"/>
      <w:r/>
      <w:bookmarkEnd w:id="63"/>
      <w:r/>
      <w:bookmarkStart w:id="64" w:name="_Toc20823279"/>
      <w:r>
        <w:rPr>
          <w:rFonts w:hint="eastAsia" w:ascii="宋体" w:hAnsi="宋体" w:eastAsia="宋体" w:cs="宋体"/>
          <w:color w:val="auto"/>
          <w:sz w:val="24"/>
          <w:szCs w:val="24"/>
          <w:highlight w:val="none"/>
        </w:rPr>
        <w:t xml:space="preserve">4、磋商费用</w:t>
      </w:r>
      <w:bookmarkEnd w:id="6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供应商应自行承担所有与参加本次磋商有关的费用，无论磋商过程中的做法和结果如何，采购人及采购代理机构在任何情况下均无义务和责任承担这些费用。</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w:t>
      </w:r>
      <w:r>
        <w:rPr>
          <w:rFonts w:hint="eastAsia" w:ascii="宋体" w:hAnsi="宋体" w:eastAsia="宋体" w:cs="宋体"/>
          <w:b/>
          <w:bCs/>
          <w:color w:val="auto"/>
          <w:sz w:val="24"/>
          <w:szCs w:val="24"/>
          <w:highlight w:val="none"/>
        </w:rPr>
        <w:t xml:space="preserve">本项目招标代理服务费</w:t>
      </w:r>
      <w:r>
        <w:rPr>
          <w:rFonts w:hint="eastAsia" w:ascii="宋体" w:hAnsi="宋体" w:cs="宋体"/>
          <w:b/>
          <w:bCs/>
          <w:color w:val="auto"/>
          <w:sz w:val="24"/>
          <w:szCs w:val="24"/>
          <w:highlight w:val="none"/>
          <w:lang w:val="en-US" w:eastAsia="zh-CN"/>
        </w:rPr>
        <w:t xml:space="preserve">按照《关于印发〈江苏省政府采购代理常规服务收费指导意见〉的通知》（苏政采协[2024]20号）文件标准的18%计取</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上述费用由成交供应商支付，请各供应商在报价时考虑，确定成交供应商后领取成交通知书前一次性缴纳给招标代理服务机构。</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5、磋商文件的约束力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ind w:firstLine="482"/>
        <w:keepLines/>
        <w:keepNext/>
        <w:spacing w:line="520" w:lineRule="exact"/>
        <w:rPr>
          <w:rFonts w:hint="eastAsia" w:ascii="宋体" w:hAnsi="宋体" w:eastAsia="宋体" w:cs="宋体"/>
          <w:color w:val="auto"/>
          <w:sz w:val="24"/>
          <w:szCs w:val="24"/>
          <w:highlight w:val="none"/>
        </w:rPr>
      </w:pPr>
      <w:r/>
      <w:bookmarkStart w:id="65" w:name="_Toc16938525"/>
      <w:r/>
      <w:bookmarkEnd w:id="65"/>
      <w:r/>
      <w:bookmarkStart w:id="66" w:name="_Toc513029209"/>
      <w:r/>
      <w:bookmarkEnd w:id="66"/>
      <w:r/>
      <w:bookmarkStart w:id="67" w:name="_Toc20823281"/>
      <w:r/>
      <w:bookmarkEnd w:id="67"/>
      <w:r/>
      <w:bookmarkStart w:id="68" w:name="_Toc120614215"/>
      <w:r>
        <w:rPr>
          <w:rFonts w:hint="eastAsia" w:ascii="宋体" w:hAnsi="宋体" w:eastAsia="宋体" w:cs="宋体"/>
          <w:b/>
          <w:bCs/>
          <w:color w:val="auto"/>
          <w:sz w:val="24"/>
          <w:szCs w:val="24"/>
          <w:highlight w:val="none"/>
        </w:rPr>
        <w:t xml:space="preserve">二、</w:t>
      </w:r>
      <w:bookmarkEnd w:id="68"/>
      <w:r>
        <w:rPr>
          <w:rFonts w:hint="eastAsia" w:ascii="宋体" w:hAnsi="宋体" w:eastAsia="宋体" w:cs="宋体"/>
          <w:b/>
          <w:bCs/>
          <w:color w:val="auto"/>
          <w:sz w:val="24"/>
          <w:szCs w:val="24"/>
          <w:highlight w:val="none"/>
        </w:rPr>
        <w:t xml:space="preserve">磋商文件</w:t>
      </w:r>
      <w:r/>
    </w:p>
    <w:p>
      <w:pPr>
        <w:ind w:firstLine="480"/>
        <w:keepLines/>
        <w:keepNext/>
        <w:spacing w:line="520" w:lineRule="exact"/>
        <w:rPr>
          <w:rFonts w:hint="eastAsia" w:ascii="宋体" w:hAnsi="宋体" w:eastAsia="宋体" w:cs="宋体"/>
          <w:color w:val="auto"/>
          <w:sz w:val="24"/>
          <w:szCs w:val="24"/>
          <w:highlight w:val="none"/>
        </w:rPr>
      </w:pPr>
      <w:r/>
      <w:bookmarkStart w:id="69" w:name="_Toc513029210"/>
      <w:r/>
      <w:bookmarkEnd w:id="69"/>
      <w:r/>
      <w:bookmarkStart w:id="70" w:name="_Toc16938526"/>
      <w:r/>
      <w:bookmarkEnd w:id="70"/>
      <w:r/>
      <w:bookmarkStart w:id="71" w:name="_Toc20823282"/>
      <w:r>
        <w:rPr>
          <w:rFonts w:hint="eastAsia" w:ascii="宋体" w:hAnsi="宋体" w:eastAsia="宋体" w:cs="宋体"/>
          <w:color w:val="auto"/>
          <w:sz w:val="24"/>
          <w:szCs w:val="24"/>
          <w:highlight w:val="none"/>
        </w:rPr>
        <w:t xml:space="preserve">6、磋商文件构成</w:t>
      </w:r>
      <w:bookmarkEnd w:id="7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（1）磋商邀请</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请仔细检查磋商文件是否齐全，如有缺漏请立即与采购代理机构联系解决。</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72" w:name="_Toc462564070"/>
      <w:r/>
      <w:bookmarkEnd w:id="72"/>
      <w:r/>
      <w:bookmarkStart w:id="73" w:name="_Toc513029211"/>
      <w:r/>
      <w:bookmarkEnd w:id="73"/>
      <w:r/>
      <w:bookmarkStart w:id="74" w:name="_Toc16938527"/>
      <w:r/>
      <w:bookmarkEnd w:id="74"/>
      <w:r/>
      <w:bookmarkStart w:id="75" w:name="_Toc20823283"/>
      <w:r>
        <w:rPr>
          <w:rFonts w:hint="eastAsia" w:ascii="宋体" w:hAnsi="宋体" w:eastAsia="宋体" w:cs="宋体"/>
          <w:color w:val="auto"/>
          <w:sz w:val="24"/>
          <w:szCs w:val="24"/>
          <w:highlight w:val="none"/>
        </w:rPr>
        <w:t xml:space="preserve">7、磋商文件的澄清</w:t>
      </w:r>
      <w:bookmarkEnd w:id="7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任何要求对磋商文件进行澄清的供应商，应在磋商截止期5日前按磋商公告中的通讯地址，以书面形式通知采购代理机构。</w:t>
      </w:r>
      <w:r/>
    </w:p>
    <w:p>
      <w:pPr>
        <w:ind w:firstLine="480"/>
        <w:keepLines/>
        <w:keepNext/>
        <w:spacing w:line="520" w:lineRule="exact"/>
        <w:rPr>
          <w:rFonts w:hint="eastAsia" w:ascii="宋体" w:hAnsi="宋体" w:eastAsia="宋体" w:cs="宋体"/>
          <w:color w:val="auto"/>
          <w:sz w:val="24"/>
          <w:szCs w:val="24"/>
          <w:highlight w:val="none"/>
        </w:rPr>
      </w:pPr>
      <w:r/>
      <w:bookmarkStart w:id="76" w:name="_Toc16938528"/>
      <w:r/>
      <w:bookmarkEnd w:id="76"/>
      <w:r/>
      <w:bookmarkStart w:id="77" w:name="_Toc513029212"/>
      <w:r/>
      <w:bookmarkEnd w:id="77"/>
      <w:r/>
      <w:bookmarkStart w:id="78" w:name="_Toc462564071"/>
      <w:r/>
      <w:bookmarkEnd w:id="78"/>
      <w:r/>
      <w:bookmarkStart w:id="79" w:name="_Toc20823284"/>
      <w:r>
        <w:rPr>
          <w:rFonts w:hint="eastAsia" w:ascii="宋体" w:hAnsi="宋体" w:eastAsia="宋体" w:cs="宋体"/>
          <w:color w:val="auto"/>
          <w:sz w:val="24"/>
          <w:szCs w:val="24"/>
          <w:highlight w:val="none"/>
        </w:rPr>
        <w:t xml:space="preserve">8、磋商文件的澄清和修改</w:t>
      </w:r>
      <w:bookmarkEnd w:id="79"/>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8.2采购代理机构可以视采购项目的具体情况，组织供应商进行现场考察或召开磋商前答疑会，但不单独或分别组织只有一个供应商参加的现场考察和答疑会。</w:t>
      </w:r>
      <w:r/>
    </w:p>
    <w:p>
      <w:pPr>
        <w:ind w:firstLine="482"/>
        <w:keepLines/>
        <w:keepNext/>
        <w:spacing w:line="520" w:lineRule="exact"/>
        <w:rPr>
          <w:rFonts w:hint="eastAsia" w:ascii="宋体" w:hAnsi="宋体" w:eastAsia="宋体" w:cs="宋体"/>
          <w:color w:val="auto"/>
          <w:sz w:val="24"/>
          <w:szCs w:val="24"/>
          <w:highlight w:val="none"/>
        </w:rPr>
      </w:pPr>
      <w:r/>
      <w:bookmarkStart w:id="80" w:name="_Toc20823285"/>
      <w:r/>
      <w:bookmarkEnd w:id="80"/>
      <w:r/>
      <w:bookmarkStart w:id="81" w:name="_Toc16938529"/>
      <w:r/>
      <w:bookmarkEnd w:id="81"/>
      <w:r/>
      <w:bookmarkStart w:id="82" w:name="_Toc513029213"/>
      <w:r/>
      <w:bookmarkEnd w:id="82"/>
      <w:r/>
      <w:bookmarkStart w:id="83" w:name="_Toc462564072"/>
      <w:r/>
      <w:bookmarkEnd w:id="83"/>
      <w:r/>
      <w:bookmarkStart w:id="84" w:name="_Toc120614216"/>
      <w:r>
        <w:rPr>
          <w:rFonts w:hint="eastAsia" w:ascii="宋体" w:hAnsi="宋体" w:eastAsia="宋体" w:cs="宋体"/>
          <w:b/>
          <w:bCs/>
          <w:color w:val="auto"/>
          <w:sz w:val="24"/>
          <w:szCs w:val="24"/>
          <w:highlight w:val="none"/>
        </w:rPr>
        <w:t xml:space="preserve">三、响应文件的编制</w:t>
      </w:r>
      <w:bookmarkEnd w:id="84"/>
      <w:r/>
      <w:r/>
    </w:p>
    <w:p>
      <w:pPr>
        <w:ind w:firstLine="480"/>
        <w:keepLines/>
        <w:keepNext/>
        <w:spacing w:line="520" w:lineRule="exact"/>
        <w:rPr>
          <w:rFonts w:hint="eastAsia" w:ascii="宋体" w:hAnsi="宋体" w:eastAsia="宋体" w:cs="宋体"/>
          <w:color w:val="auto"/>
          <w:sz w:val="24"/>
          <w:szCs w:val="24"/>
          <w:highlight w:val="none"/>
        </w:rPr>
      </w:pPr>
      <w:r/>
      <w:bookmarkStart w:id="85" w:name="_Toc513029214"/>
      <w:r/>
      <w:bookmarkEnd w:id="85"/>
      <w:r/>
      <w:bookmarkStart w:id="86" w:name="_Toc462564073"/>
      <w:r/>
      <w:bookmarkEnd w:id="86"/>
      <w:r/>
      <w:bookmarkStart w:id="87" w:name="_Toc16938530"/>
      <w:r/>
      <w:bookmarkEnd w:id="87"/>
      <w:r/>
      <w:bookmarkStart w:id="88" w:name="_Toc20823286"/>
      <w:r>
        <w:rPr>
          <w:rFonts w:hint="eastAsia" w:ascii="宋体" w:hAnsi="宋体" w:eastAsia="宋体" w:cs="宋体"/>
          <w:color w:val="auto"/>
          <w:sz w:val="24"/>
          <w:szCs w:val="24"/>
          <w:highlight w:val="none"/>
        </w:rPr>
        <w:t xml:space="preserve">9、响应文件的语言及度量衡单位</w:t>
      </w:r>
      <w:bookmarkEnd w:id="88"/>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9.1供应商提交的响应文件以及供应商与采购代理机构就有关磋商的所有来往通知、函件和文件均应使用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响应文件所使用的度量衡单位，均须采用国家法定计量单位。</w:t>
      </w:r>
      <w:bookmarkStart w:id="89" w:name="_Toc462564074"/>
      <w:r/>
      <w:bookmarkEnd w:id="89"/>
      <w:r/>
      <w:bookmarkStart w:id="90" w:name="_Toc16938531"/>
      <w:r/>
      <w:bookmarkEnd w:id="90"/>
      <w:r/>
      <w:bookmarkStart w:id="91" w:name="_Toc513029215"/>
      <w:r/>
      <w:bookmarkEnd w:id="91"/>
      <w:r/>
      <w:bookmarkStart w:id="92" w:name="_Toc20823287"/>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10、响应文件构成</w:t>
      </w:r>
      <w:bookmarkEnd w:id="9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rPr>
          <w:rFonts w:hint="eastAsia" w:ascii="宋体" w:hAnsi="宋体" w:eastAsia="宋体" w:cs="宋体"/>
          <w:bCs/>
          <w:color w:val="auto"/>
          <w:sz w:val="24"/>
          <w:szCs w:val="24"/>
          <w:highlight w:val="none"/>
        </w:rPr>
        <w:t xml:space="preserve">响应文件的组成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具有独立承担民事责任的能力</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法人或者其他组织的营业执照等证明文件或自然人的身份证明；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
          <w:bCs/>
          <w:color w:val="auto"/>
          <w:sz w:val="24"/>
          <w:szCs w:val="24"/>
          <w:highlight w:val="none"/>
        </w:rPr>
        <w:t xml:space="preserve">具有良好的商业信誉和健全的财务会计制度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提供</w:t>
      </w:r>
      <w:r>
        <w:rPr>
          <w:rFonts w:hint="eastAsia" w:ascii="宋体" w:hAnsi="宋体" w:eastAsia="宋体" w:cs="宋体"/>
          <w:b w:val="0"/>
          <w:bCs w:val="0"/>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近六个月</w:t>
      </w:r>
      <w:r>
        <w:rPr>
          <w:rFonts w:hint="eastAsia" w:ascii="宋体" w:hAnsi="宋体" w:eastAsia="宋体" w:cs="宋体"/>
          <w:color w:val="auto"/>
          <w:sz w:val="24"/>
          <w:szCs w:val="24"/>
          <w:highlight w:val="none"/>
        </w:rPr>
        <w:t xml:space="preserve">中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有依法缴纳税收和社会保障资金的良好记录</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供应商近六个月</w:t>
      </w:r>
      <w:r>
        <w:rPr>
          <w:rFonts w:hint="eastAsia" w:ascii="宋体" w:hAnsi="宋体" w:eastAsia="宋体" w:cs="宋体"/>
          <w:color w:val="auto"/>
          <w:sz w:val="24"/>
          <w:szCs w:val="24"/>
          <w:highlight w:val="none"/>
        </w:rPr>
        <w:t xml:space="preserve">中任意一个月份（不含磋商响应文件递交当月）依法缴纳税收及缴纳社会保障资金的证明材料。磋商供应商依法享受缓缴、免缴税收、社会保障资金的提供证明材料；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（4）具备履行合同所必需的设备和专业技术能力的书面声明（格式自拟）；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（6）特定资格要求的证明文件（如果</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设置特定资格要求，则需要提供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（7）法人授权书；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（8）磋商响应函、磋商报价表；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（9）中小企业声明函</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监狱企业、残疾人福利性单位的证明资料</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商务及</w:t>
      </w:r>
      <w:r>
        <w:rPr>
          <w:rFonts w:hint="eastAsia" w:ascii="宋体" w:hAnsi="宋体" w:eastAsia="宋体" w:cs="宋体"/>
          <w:color w:val="auto"/>
          <w:sz w:val="24"/>
          <w:szCs w:val="24"/>
          <w:highlight w:val="none"/>
        </w:rPr>
        <w:t xml:space="preserve">技术要求响应及偏离表；</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承诺书</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按照评分办法应当递交的其他资料</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格式和内容与“江苏政府采购网”发布的磋商文件不一致，请以“江苏政府采购网”发布的磋商文件为准。</w:t>
      </w:r>
      <w:r/>
    </w:p>
    <w:p>
      <w:pPr>
        <w:ind w:firstLine="480"/>
        <w:keepLines/>
        <w:keepNext/>
        <w:spacing w:line="520" w:lineRule="exact"/>
        <w:rPr>
          <w:rFonts w:hint="eastAsia" w:ascii="宋体" w:hAnsi="宋体" w:eastAsia="宋体" w:cs="宋体"/>
          <w:color w:val="auto"/>
          <w:sz w:val="24"/>
          <w:szCs w:val="24"/>
          <w:highlight w:val="none"/>
        </w:rPr>
      </w:pPr>
      <w:r/>
      <w:bookmarkStart w:id="93" w:name="_Toc49090508"/>
      <w:r/>
      <w:bookmarkEnd w:id="93"/>
      <w:r/>
      <w:bookmarkStart w:id="94" w:name="_Hlt26668975"/>
      <w:r/>
      <w:bookmarkEnd w:id="94"/>
      <w:r/>
      <w:bookmarkStart w:id="95" w:name="_Toc513029219"/>
      <w:r/>
      <w:bookmarkEnd w:id="95"/>
      <w:r/>
      <w:bookmarkStart w:id="96" w:name="_Toc14577354"/>
      <w:r/>
      <w:bookmarkEnd w:id="96"/>
      <w:r/>
      <w:bookmarkStart w:id="97" w:name="_Toc513029216"/>
      <w:r/>
      <w:bookmarkEnd w:id="97"/>
      <w:r/>
      <w:bookmarkStart w:id="98" w:name="_Toc14577357"/>
      <w:r/>
      <w:bookmarkEnd w:id="98"/>
      <w:r/>
      <w:bookmarkStart w:id="99" w:name="_Hlt26670360"/>
      <w:r/>
      <w:bookmarkEnd w:id="99"/>
      <w:r/>
      <w:bookmarkStart w:id="100" w:name="_Toc49090509"/>
      <w:r/>
      <w:bookmarkEnd w:id="100"/>
      <w:r/>
      <w:bookmarkStart w:id="101" w:name="_Toc14577355"/>
      <w:r/>
      <w:bookmarkEnd w:id="101"/>
      <w:r/>
      <w:bookmarkStart w:id="102" w:name="_Hlt26954838"/>
      <w:r/>
      <w:bookmarkEnd w:id="102"/>
      <w:r/>
      <w:bookmarkStart w:id="103" w:name="_Toc49090507"/>
      <w:r>
        <w:rPr>
          <w:rFonts w:hint="eastAsia" w:ascii="宋体" w:hAnsi="宋体" w:eastAsia="宋体" w:cs="宋体"/>
          <w:color w:val="auto"/>
          <w:sz w:val="24"/>
          <w:szCs w:val="24"/>
          <w:highlight w:val="none"/>
        </w:rPr>
        <w:t xml:space="preserve">11、证明磋商响应标的</w:t>
      </w:r>
      <w:r>
        <w:rPr>
          <w:rFonts w:hint="eastAsia" w:ascii="宋体" w:hAnsi="宋体" w:eastAsia="宋体" w:cs="宋体"/>
          <w:color w:val="auto"/>
          <w:sz w:val="24"/>
          <w:szCs w:val="24"/>
          <w:highlight w:val="none"/>
          <w:lang w:val="en-US" w:eastAsia="zh-CN"/>
        </w:rPr>
        <w:t xml:space="preserve">是</w:t>
      </w:r>
      <w:r>
        <w:rPr>
          <w:rFonts w:hint="eastAsia" w:ascii="宋体" w:hAnsi="宋体" w:eastAsia="宋体" w:cs="宋体"/>
          <w:color w:val="auto"/>
          <w:sz w:val="24"/>
          <w:szCs w:val="24"/>
          <w:highlight w:val="none"/>
        </w:rPr>
        <w:t xml:space="preserve">符合磋商文件规定的文件</w:t>
      </w:r>
      <w:bookmarkEnd w:id="10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12、报价明细表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w:t>
      </w:r>
      <w:r>
        <w:rPr>
          <w:rFonts w:hint="eastAsia" w:ascii="宋体" w:hAnsi="宋体" w:eastAsia="宋体" w:cs="宋体"/>
          <w:color w:val="auto"/>
          <w:sz w:val="24"/>
          <w:szCs w:val="24"/>
          <w:highlight w:val="none"/>
          <w:lang w:val="en-US" w:eastAsia="zh-CN"/>
        </w:rPr>
        <w:t xml:space="preserve">写</w:t>
      </w:r>
      <w:r>
        <w:rPr>
          <w:rFonts w:hint="eastAsia" w:ascii="宋体" w:hAnsi="宋体" w:eastAsia="宋体" w:cs="宋体"/>
          <w:color w:val="auto"/>
          <w:sz w:val="24"/>
          <w:szCs w:val="24"/>
          <w:highlight w:val="none"/>
        </w:rPr>
        <w:t xml:space="preserve">报价明细表。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hint="eastAsia" w:ascii="宋体" w:hAnsi="宋体" w:eastAsia="宋体" w:cs="宋体"/>
          <w:color w:val="auto"/>
          <w:sz w:val="24"/>
          <w:szCs w:val="24"/>
          <w:highlight w:val="none"/>
        </w:rPr>
      </w:pPr>
      <w:r/>
      <w:bookmarkStart w:id="104" w:name="_Hlt26954731"/>
      <w:r/>
      <w:bookmarkEnd w:id="104"/>
      <w:r/>
      <w:bookmarkStart w:id="105" w:name="_Hlt26670486"/>
      <w:r/>
      <w:bookmarkEnd w:id="105"/>
      <w:r/>
      <w:bookmarkStart w:id="106" w:name="_Hlt26670482"/>
      <w:r/>
      <w:bookmarkEnd w:id="106"/>
      <w:r/>
      <w:bookmarkStart w:id="107" w:name="_Hlt26954846"/>
      <w:r/>
      <w:bookmarkEnd w:id="107"/>
      <w:r/>
      <w:bookmarkStart w:id="108" w:name="_Hlt26954848"/>
      <w:r>
        <w:rPr>
          <w:rFonts w:hint="eastAsia" w:ascii="宋体" w:hAnsi="宋体" w:eastAsia="宋体" w:cs="宋体"/>
          <w:color w:val="auto"/>
          <w:sz w:val="24"/>
          <w:szCs w:val="24"/>
          <w:highlight w:val="none"/>
        </w:rPr>
        <w:t xml:space="preserve">13、技术要求响应及偏离表、商务要求响应及偏离表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bookmarkEnd w:id="108"/>
      <w:r/>
      <w:r/>
    </w:p>
    <w:p>
      <w:pPr>
        <w:ind w:firstLine="480"/>
        <w:keepLines/>
        <w:keepNext/>
        <w:spacing w:line="520" w:lineRule="exact"/>
        <w:rPr>
          <w:rFonts w:hint="eastAsia" w:ascii="宋体" w:hAnsi="宋体" w:eastAsia="宋体" w:cs="宋体"/>
          <w:color w:val="auto"/>
          <w:sz w:val="24"/>
          <w:szCs w:val="24"/>
          <w:highlight w:val="none"/>
        </w:rPr>
      </w:pPr>
      <w:r/>
      <w:bookmarkStart w:id="109" w:name="_Toc14577359"/>
      <w:r/>
      <w:bookmarkEnd w:id="109"/>
      <w:r/>
      <w:bookmarkStart w:id="110" w:name="_Toc49090510"/>
      <w:r>
        <w:rPr>
          <w:rFonts w:hint="eastAsia" w:ascii="宋体" w:hAnsi="宋体" w:eastAsia="宋体" w:cs="宋体"/>
          <w:color w:val="auto"/>
          <w:sz w:val="24"/>
          <w:szCs w:val="24"/>
          <w:highlight w:val="none"/>
        </w:rPr>
        <w:t xml:space="preserve">14、磋商响应函</w:t>
      </w:r>
      <w:bookmarkEnd w:id="11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14.1供应商应按照磋商文件中提供的格式完整、正确</w:t>
      </w:r>
      <w:r>
        <w:rPr>
          <w:rFonts w:hint="eastAsia" w:ascii="宋体" w:hAnsi="宋体" w:eastAsia="宋体" w:cs="宋体"/>
          <w:color w:val="auto"/>
          <w:sz w:val="24"/>
          <w:szCs w:val="24"/>
          <w:highlight w:val="none"/>
          <w:lang w:val="en-US" w:eastAsia="zh-CN"/>
        </w:rPr>
        <w:t xml:space="preserve">地</w:t>
      </w:r>
      <w:r>
        <w:rPr>
          <w:rFonts w:hint="eastAsia" w:ascii="宋体" w:hAnsi="宋体" w:eastAsia="宋体" w:cs="宋体"/>
          <w:color w:val="auto"/>
          <w:sz w:val="24"/>
          <w:szCs w:val="24"/>
          <w:highlight w:val="none"/>
        </w:rPr>
        <w:t xml:space="preserve">填写磋商响应函。</w:t>
      </w:r>
      <w:r/>
    </w:p>
    <w:p>
      <w:pPr>
        <w:ind w:firstLine="480"/>
        <w:keepLines/>
        <w:keepNext/>
        <w:spacing w:line="520" w:lineRule="exact"/>
        <w:rPr>
          <w:rFonts w:hint="eastAsia" w:ascii="宋体" w:hAnsi="宋体" w:eastAsia="宋体" w:cs="宋体"/>
          <w:color w:val="auto"/>
          <w:sz w:val="24"/>
          <w:szCs w:val="24"/>
          <w:highlight w:val="none"/>
        </w:rPr>
      </w:pPr>
      <w:r/>
      <w:bookmarkStart w:id="111" w:name="_Toc14577360"/>
      <w:r/>
      <w:bookmarkEnd w:id="111"/>
      <w:r/>
      <w:bookmarkStart w:id="112" w:name="_Toc49090511"/>
      <w:r>
        <w:rPr>
          <w:rFonts w:hint="eastAsia" w:ascii="宋体" w:hAnsi="宋体" w:eastAsia="宋体" w:cs="宋体"/>
          <w:color w:val="auto"/>
          <w:sz w:val="24"/>
          <w:szCs w:val="24"/>
          <w:highlight w:val="none"/>
        </w:rPr>
        <w:t xml:space="preserve">15、磋商有效期</w:t>
      </w:r>
      <w:bookmarkEnd w:id="11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15.1磋商有效期为提交响应文件截止之日后</w:t>
      </w:r>
      <w:r>
        <w:rPr>
          <w:rFonts w:hint="eastAsia" w:ascii="宋体" w:hAnsi="宋体" w:eastAsia="宋体"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16、磋商有效期的延长</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13" w:name="_Hlt26954852"/>
      <w:r/>
      <w:bookmarkEnd w:id="113"/>
      <w:r/>
      <w:bookmarkStart w:id="114" w:name="_Hlt26954739"/>
      <w:r/>
      <w:bookmarkEnd w:id="114"/>
      <w:r/>
      <w:bookmarkStart w:id="115" w:name="_Toc20823296"/>
      <w:r/>
      <w:bookmarkEnd w:id="115"/>
      <w:r/>
      <w:bookmarkStart w:id="116" w:name="_Toc513029224"/>
      <w:r/>
      <w:bookmarkEnd w:id="116"/>
      <w:r/>
      <w:bookmarkStart w:id="117" w:name="_Toc16938540"/>
      <w:r/>
      <w:bookmarkEnd w:id="117"/>
      <w:r/>
      <w:bookmarkStart w:id="118" w:name="_Toc120614217"/>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四、响应文件的递交</w:t>
      </w:r>
      <w:bookmarkEnd w:id="118"/>
      <w:r/>
      <w:bookmarkStart w:id="119" w:name="_Toc462564084"/>
      <w:r/>
      <w:bookmarkEnd w:id="119"/>
      <w:r/>
      <w:bookmarkStart w:id="120" w:name="_Toc16938541"/>
      <w:r/>
      <w:bookmarkEnd w:id="120"/>
      <w:r/>
      <w:bookmarkStart w:id="121" w:name="_Toc513029225"/>
      <w:r/>
      <w:bookmarkEnd w:id="121"/>
      <w:r/>
      <w:bookmarkStart w:id="122" w:name="_Toc2082329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、电子磋商</w:t>
      </w:r>
      <w:bookmarkEnd w:id="122"/>
      <w:r>
        <w:rPr>
          <w:rFonts w:hint="eastAsia" w:ascii="宋体" w:hAnsi="宋体" w:eastAsia="宋体" w:cs="宋体"/>
          <w:color w:val="auto"/>
          <w:sz w:val="24"/>
          <w:szCs w:val="24"/>
          <w:highlight w:val="none"/>
        </w:rPr>
        <w:t xml:space="preserve">响应文件的递交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.1供应商应当按照《操作手册》规定，在提交响应文件截止时间前制作并上传电子响应文件。</w:t>
      </w:r>
      <w:bookmarkStart w:id="123" w:name="_Toc513029226"/>
      <w:r/>
      <w:bookmarkEnd w:id="123"/>
      <w:r/>
      <w:bookmarkStart w:id="124" w:name="_Toc16938542"/>
      <w:r/>
      <w:bookmarkEnd w:id="124"/>
      <w:r/>
      <w:bookmarkStart w:id="125" w:name="_Toc20823298"/>
      <w:r/>
      <w:bookmarkEnd w:id="125"/>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供应商应充分考虑网络环境、网络带宽等风险因素，如因供应商自身原因造成的电子响应文件上传不成功的按照本磋商文件第二章第26.3.2条规定做无效响应处理。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 采购代理机构可以按照规定，通过修改磋商文件酌情延长提交响应文件</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截止日期，在此情况下，供应商的所有权利和义务以及供应商受</w:t>
      </w:r>
      <w:r>
        <w:rPr>
          <w:rFonts w:hint="eastAsia" w:ascii="宋体" w:hAnsi="宋体" w:eastAsia="宋体" w:cs="宋体"/>
          <w:color w:val="auto"/>
          <w:sz w:val="24"/>
          <w:szCs w:val="24"/>
          <w:highlight w:val="none"/>
          <w:lang w:val="en-US" w:eastAsia="zh-CN"/>
        </w:rPr>
        <w:t xml:space="preserve">限</w:t>
      </w:r>
      <w:r>
        <w:rPr>
          <w:rFonts w:hint="eastAsia" w:ascii="宋体" w:hAnsi="宋体" w:eastAsia="宋体" w:cs="宋体"/>
          <w:color w:val="auto"/>
          <w:sz w:val="24"/>
          <w:szCs w:val="24"/>
          <w:highlight w:val="none"/>
        </w:rPr>
        <w:t xml:space="preserve">制的截止日期均应以延长后新的截止日期为准。</w:t>
      </w:r>
      <w:r/>
    </w:p>
    <w:p>
      <w:pPr>
        <w:ind w:firstLine="480"/>
        <w:keepLines/>
        <w:keepNext/>
        <w:spacing w:line="520" w:lineRule="exact"/>
        <w:rPr>
          <w:rFonts w:hint="eastAsia" w:ascii="宋体" w:hAnsi="宋体" w:eastAsia="宋体" w:cs="宋体"/>
          <w:color w:val="auto"/>
          <w:sz w:val="24"/>
          <w:szCs w:val="24"/>
          <w:highlight w:val="none"/>
        </w:rPr>
      </w:pPr>
      <w:r/>
      <w:bookmarkStart w:id="126" w:name="_Toc513029227"/>
      <w:r/>
      <w:bookmarkEnd w:id="126"/>
      <w:r/>
      <w:bookmarkStart w:id="127" w:name="_Toc16938543"/>
      <w:r/>
      <w:bookmarkEnd w:id="127"/>
      <w:r/>
      <w:bookmarkStart w:id="128" w:name="_Toc20823299"/>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、响应文件</w:t>
      </w:r>
      <w:bookmarkEnd w:id="128"/>
      <w:r>
        <w:rPr>
          <w:rFonts w:hint="eastAsia" w:ascii="宋体" w:hAnsi="宋体" w:eastAsia="宋体" w:cs="宋体"/>
          <w:color w:val="auto"/>
          <w:sz w:val="24"/>
          <w:szCs w:val="24"/>
          <w:highlight w:val="none"/>
        </w:rPr>
        <w:t xml:space="preserve">的拒收</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 采购代理机构拒绝接收在其规定的提交响应文件截止时间后上传的任何电子响应文件。</w:t>
      </w:r>
      <w:r/>
    </w:p>
    <w:p>
      <w:pPr>
        <w:ind w:firstLine="480"/>
        <w:keepLines/>
        <w:keepNext/>
        <w:spacing w:line="520" w:lineRule="exact"/>
        <w:rPr>
          <w:rFonts w:hint="eastAsia" w:ascii="宋体" w:hAnsi="宋体" w:eastAsia="宋体" w:cs="宋体"/>
          <w:color w:val="auto"/>
          <w:sz w:val="24"/>
          <w:szCs w:val="24"/>
          <w:highlight w:val="none"/>
        </w:rPr>
      </w:pPr>
      <w:r/>
      <w:bookmarkStart w:id="129" w:name="_Toc16938544"/>
      <w:r/>
      <w:bookmarkEnd w:id="129"/>
      <w:r/>
      <w:bookmarkStart w:id="130" w:name="_Toc513029228"/>
      <w:r/>
      <w:bookmarkEnd w:id="130"/>
      <w:r/>
      <w:bookmarkStart w:id="131" w:name="_Toc20823300"/>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、响应文件的撤回和修改</w:t>
      </w:r>
      <w:bookmarkEnd w:id="13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 电子响应文件的撤回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.1.2供应商撤回电子响应文件，则</w:t>
      </w:r>
      <w:r>
        <w:rPr>
          <w:rFonts w:hint="eastAsia" w:ascii="宋体" w:hAnsi="宋体" w:eastAsia="宋体" w:cs="宋体"/>
          <w:color w:val="auto"/>
          <w:sz w:val="24"/>
          <w:szCs w:val="24"/>
          <w:highlight w:val="none"/>
          <w:lang w:val="en-US" w:eastAsia="zh-CN"/>
        </w:rPr>
        <w:t xml:space="preserve">视为</w:t>
      </w:r>
      <w:r>
        <w:rPr>
          <w:rFonts w:hint="eastAsia" w:ascii="宋体" w:hAnsi="宋体" w:eastAsia="宋体" w:cs="宋体"/>
          <w:color w:val="auto"/>
          <w:sz w:val="24"/>
          <w:szCs w:val="24"/>
          <w:highlight w:val="none"/>
        </w:rPr>
        <w:t xml:space="preserve">其不再参与本项目磋商活动。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.2响应文件的修改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 在提交响应文件截止时间之后，供应商不得对其电子响应文件作任何修改。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.4 在提交响应文件截止时间至磋商文件中规定的磋商有效期满之间的这段时间内，供应商不得撤回其响应文件。</w:t>
      </w:r>
      <w:r/>
    </w:p>
    <w:p>
      <w:pPr>
        <w:ind w:firstLine="482"/>
        <w:keepLines/>
        <w:keepNext/>
        <w:spacing w:line="520" w:lineRule="exact"/>
        <w:rPr>
          <w:rFonts w:hint="eastAsia" w:ascii="宋体" w:hAnsi="宋体" w:eastAsia="宋体" w:cs="宋体"/>
          <w:color w:val="auto"/>
          <w:sz w:val="24"/>
          <w:szCs w:val="24"/>
          <w:highlight w:val="none"/>
        </w:rPr>
      </w:pPr>
      <w:r/>
      <w:bookmarkStart w:id="132" w:name="_Toc20823301"/>
      <w:r/>
      <w:bookmarkEnd w:id="132"/>
      <w:r/>
      <w:bookmarkStart w:id="133" w:name="_Toc16938545"/>
      <w:r/>
      <w:bookmarkEnd w:id="133"/>
      <w:r/>
      <w:bookmarkStart w:id="134" w:name="_Toc513029229"/>
      <w:r/>
      <w:bookmarkEnd w:id="134"/>
      <w:r/>
      <w:bookmarkStart w:id="135" w:name="_Toc120614218"/>
      <w:r>
        <w:rPr>
          <w:rFonts w:hint="eastAsia" w:ascii="宋体" w:hAnsi="宋体" w:eastAsia="宋体" w:cs="宋体"/>
          <w:b/>
          <w:bCs/>
          <w:color w:val="auto"/>
          <w:sz w:val="24"/>
          <w:szCs w:val="24"/>
          <w:highlight w:val="none"/>
        </w:rPr>
        <w:t xml:space="preserve">五、响应文件的解密与评审</w:t>
      </w:r>
      <w:bookmarkEnd w:id="135"/>
      <w:r/>
      <w:r/>
    </w:p>
    <w:p>
      <w:pPr>
        <w:ind w:firstLine="480"/>
        <w:keepLines/>
        <w:keepNext/>
        <w:spacing w:line="520" w:lineRule="exact"/>
        <w:rPr>
          <w:rFonts w:hint="eastAsia" w:ascii="宋体" w:hAnsi="宋体" w:eastAsia="宋体" w:cs="宋体"/>
          <w:color w:val="auto"/>
          <w:sz w:val="24"/>
          <w:szCs w:val="24"/>
          <w:highlight w:val="none"/>
        </w:rPr>
      </w:pPr>
      <w:r/>
      <w:bookmarkStart w:id="136" w:name="_Toc16938546"/>
      <w:r/>
      <w:bookmarkEnd w:id="136"/>
      <w:r/>
      <w:bookmarkStart w:id="137" w:name="_Toc513029230"/>
      <w:r/>
      <w:bookmarkEnd w:id="137"/>
      <w:r/>
      <w:bookmarkStart w:id="138" w:name="_Toc20823302"/>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bookmarkEnd w:id="138"/>
      <w:r>
        <w:rPr>
          <w:rFonts w:hint="eastAsia" w:ascii="宋体" w:hAnsi="宋体" w:eastAsia="宋体" w:cs="宋体"/>
          <w:color w:val="auto"/>
          <w:sz w:val="24"/>
          <w:szCs w:val="24"/>
          <w:highlight w:val="none"/>
        </w:rPr>
        <w:t xml:space="preserve">响应文件解密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.1供应商应当按照《操作手册》规定，在苏采云系统规定的时间内对磋商响应文件进行解密。</w:t>
      </w:r>
      <w:r/>
    </w:p>
    <w:p>
      <w:pPr>
        <w:ind w:firstLine="480"/>
        <w:keepLines/>
        <w:keepNext/>
        <w:spacing w:line="520" w:lineRule="exact"/>
        <w:rPr>
          <w:rFonts w:hint="eastAsia" w:ascii="宋体" w:hAnsi="宋体" w:eastAsia="宋体" w:cs="宋体"/>
          <w:color w:val="auto"/>
          <w:sz w:val="24"/>
          <w:szCs w:val="24"/>
          <w:highlight w:val="none"/>
        </w:rPr>
      </w:pPr>
      <w:r/>
      <w:bookmarkStart w:id="139" w:name="_Toc16938547"/>
      <w:r/>
      <w:bookmarkEnd w:id="139"/>
      <w:r/>
      <w:bookmarkStart w:id="140" w:name="_Toc513029231"/>
      <w:r/>
      <w:bookmarkEnd w:id="140"/>
      <w:r/>
      <w:bookmarkStart w:id="141" w:name="_Toc20823303"/>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、磋商小组</w:t>
      </w:r>
      <w:bookmarkEnd w:id="14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.1采购代理机构将组织磋商小组对响应文件进行评审。磋商小组由采购人代表和有关技术、经济等方面的专家组成，且人员构成符合政府采购有关规定。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.2磋商小组独立工作，负责评审所有响应文件并确定成交候选人。</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、评审过程的保密与公正</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.2在评审过程中，供应商不得以任何行为影响磋商评审过程，否则其响应文件将被作为无效响应文件。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.3在项目评审期间，采购代理机构将设专门人员与供应商联系。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.4采购代理机构和磋商小组不向未成交的供应商解释未成交原因，也不公布评审过程中的相关细节。</w:t>
      </w:r>
      <w:r/>
    </w:p>
    <w:p>
      <w:pPr>
        <w:ind w:firstLine="480"/>
        <w:keepLines/>
        <w:keepNext/>
        <w:spacing w:line="520" w:lineRule="exact"/>
        <w:rPr>
          <w:rFonts w:hint="eastAsia" w:ascii="宋体" w:hAnsi="宋体" w:eastAsia="宋体" w:cs="宋体"/>
          <w:color w:val="auto"/>
          <w:sz w:val="24"/>
          <w:szCs w:val="24"/>
          <w:highlight w:val="none"/>
        </w:rPr>
      </w:pPr>
      <w:r/>
      <w:bookmarkStart w:id="142" w:name="_Toc513029232"/>
      <w:r/>
      <w:bookmarkEnd w:id="142"/>
      <w:r/>
      <w:bookmarkStart w:id="143" w:name="_Toc16938548"/>
      <w:r/>
      <w:bookmarkEnd w:id="143"/>
      <w:r/>
      <w:bookmarkStart w:id="144" w:name="_Toc20823304"/>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、评审过程中的澄清</w:t>
      </w:r>
      <w:bookmarkEnd w:id="14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接到磋商小组澄清、说明和更正要求的供应商如未按规定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出澄清、说明和更正，其风险由供应商自行承担。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145" w:name="_Toc513029233"/>
      <w:r/>
      <w:bookmarkEnd w:id="145"/>
      <w:r/>
      <w:bookmarkStart w:id="146" w:name="_Toc16938549"/>
      <w:r/>
      <w:bookmarkEnd w:id="146"/>
      <w:r/>
      <w:bookmarkStart w:id="147" w:name="_Toc20823305"/>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、对响应文件的审</w:t>
      </w:r>
      <w:bookmarkEnd w:id="147"/>
      <w:r>
        <w:rPr>
          <w:rFonts w:hint="eastAsia" w:ascii="宋体" w:hAnsi="宋体" w:eastAsia="宋体" w:cs="宋体"/>
          <w:color w:val="auto"/>
          <w:sz w:val="24"/>
          <w:szCs w:val="24"/>
          <w:highlight w:val="none"/>
        </w:rPr>
        <w:t xml:space="preserve">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.1响应文件审查分为资格审查和符合性审查。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.1.1 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w:t>
      </w:r>
      <w:r>
        <w:rPr>
          <w:rFonts w:hint="eastAsia" w:ascii="宋体" w:hAnsi="宋体" w:eastAsia="宋体" w:cs="宋体"/>
          <w:color w:val="auto"/>
          <w:sz w:val="24"/>
          <w:szCs w:val="24"/>
          <w:highlight w:val="none"/>
          <w:lang w:val="en-US" w:eastAsia="zh-CN"/>
        </w:rPr>
        <w:t xml:space="preserve">并且</w:t>
      </w:r>
      <w:r>
        <w:rPr>
          <w:rFonts w:hint="eastAsia" w:ascii="宋体" w:hAnsi="宋体" w:eastAsia="宋体" w:cs="宋体"/>
          <w:color w:val="auto"/>
          <w:sz w:val="24"/>
          <w:szCs w:val="24"/>
          <w:highlight w:val="none"/>
        </w:rPr>
        <w:t xml:space="preserve">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.3未实质性响应磋商文件的情形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.3.1供应商在苏采云系统规定的时间内未成功解密电子响应文件的。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.3.2供应商未按照磋商文件要求上传电子响应文件的。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.3.3同一供应商提交两个（含两个）以上不同的响应文件或者最后报价的。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.3.4供应商不具备磋商文件中规定资格要求的。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.3.5供应商的最后报价超过了采购预算。</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.3.6不符合磋商文件中规定的实质性要求和条件的。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.3.7供应商被“信用中国”网站（www.creditchina.gov.cn）列入失信被执行人或重大税收违法失信主体或政府采购严重</w:t>
      </w:r>
      <w:r>
        <w:rPr>
          <w:rFonts w:hint="eastAsia" w:ascii="宋体" w:hAnsi="宋体" w:eastAsia="宋体" w:cs="宋体"/>
          <w:color w:val="auto"/>
          <w:sz w:val="24"/>
          <w:szCs w:val="24"/>
          <w:highlight w:val="none"/>
          <w:lang w:val="en-US" w:eastAsia="zh-CN"/>
        </w:rPr>
        <w:t xml:space="preserve">违法</w:t>
      </w:r>
      <w:r>
        <w:rPr>
          <w:rFonts w:hint="eastAsia" w:ascii="宋体" w:hAnsi="宋体" w:eastAsia="宋体" w:cs="宋体"/>
          <w:color w:val="auto"/>
          <w:sz w:val="24"/>
          <w:szCs w:val="24"/>
          <w:highlight w:val="none"/>
        </w:rPr>
        <w:t xml:space="preserve">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.3.8响应文件</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含有采购人不能接受的附加条件的。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.3.9响应文件未按照磋商文件要求加盖CA电子公章的。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.4未实质性响应磋商文件的响应文件按无效响应处理。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.5如果响应文件实质上没有响应磋商文件的要求，磋商小组将予以拒绝，供应商不得通过修改或撤销不</w:t>
      </w:r>
      <w:r>
        <w:rPr>
          <w:rFonts w:hint="eastAsia" w:ascii="宋体" w:hAnsi="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合要求的偏离或保留而使其成为实质性响应的文件。</w:t>
      </w:r>
      <w:r/>
    </w:p>
    <w:p>
      <w:pPr>
        <w:ind w:firstLine="480"/>
        <w:spacing w:line="520" w:lineRule="exact"/>
        <w:rPr>
          <w:rFonts w:hint="eastAsia" w:ascii="宋体" w:hAnsi="宋体" w:eastAsia="宋体" w:cs="宋体"/>
          <w:color w:val="auto"/>
          <w:sz w:val="24"/>
          <w:szCs w:val="24"/>
          <w:highlight w:val="none"/>
        </w:rPr>
      </w:pPr>
      <w:r/>
      <w:bookmarkStart w:id="148" w:name="_Toc16938550"/>
      <w:r/>
      <w:bookmarkEnd w:id="148"/>
      <w:r/>
      <w:bookmarkStart w:id="149" w:name="_Toc513029234"/>
      <w:r/>
      <w:bookmarkEnd w:id="149"/>
      <w:r/>
      <w:bookmarkStart w:id="150" w:name="_Toc20823306"/>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.6供应商在项目评审全过程中应</w:t>
      </w:r>
      <w:r>
        <w:rPr>
          <w:rFonts w:hint="eastAsia" w:ascii="宋体" w:hAnsi="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，并安排专人与采购代理机构及磋商小组联系。</w:t>
      </w:r>
      <w:bookmarkEnd w:id="150"/>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、磋商程序及评审方法和评审标准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.1磋商程序</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.1.1对于通过资格审查和符合性审查的供应商，磋商小组将集中与单一供应商分别进行磋商。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rPr>
          <w:rFonts w:hint="eastAsia" w:ascii="宋体" w:hAnsi="宋体" w:eastAsia="宋体" w:cs="宋体"/>
          <w:b w:val="0"/>
          <w:bCs w:val="0"/>
          <w:color w:val="auto"/>
          <w:sz w:val="24"/>
          <w:szCs w:val="24"/>
          <w:highlight w:val="none"/>
          <w:lang w:val="en-US" w:eastAsia="zh-CN"/>
        </w:rPr>
        <w:t xml:space="preserve">本项目最后报价仅报总价，最后</w:t>
      </w:r>
      <w:r>
        <w:rPr>
          <w:rFonts w:hint="eastAsia" w:ascii="宋体" w:hAnsi="宋体" w:eastAsia="宋体" w:cs="宋体"/>
          <w:b w:val="0"/>
          <w:bCs w:val="0"/>
          <w:color w:val="auto"/>
          <w:sz w:val="24"/>
          <w:szCs w:val="24"/>
          <w:highlight w:val="none"/>
          <w:lang w:eastAsia="zh-CN"/>
        </w:rPr>
        <w:t xml:space="preserve">各项单价计算方法为：（最后报价总价）/（首次报价总价）*首次各项报价的单价。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w:t>
      </w:r>
      <w:r>
        <w:rPr>
          <w:rFonts w:hint="eastAsia" w:ascii="宋体" w:hAnsi="宋体" w:eastAsia="宋体" w:cs="宋体"/>
          <w:color w:val="auto"/>
          <w:sz w:val="24"/>
          <w:szCs w:val="24"/>
          <w:highlight w:val="none"/>
          <w:lang w:val="en-US" w:eastAsia="zh-CN"/>
        </w:rPr>
        <w:t xml:space="preserve">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w:t>
      </w:r>
      <w:r>
        <w:rPr>
          <w:rFonts w:hint="eastAsia" w:ascii="宋体" w:hAnsi="宋体" w:eastAsia="宋体" w:cs="宋体"/>
          <w:color w:val="auto"/>
          <w:sz w:val="24"/>
          <w:szCs w:val="24"/>
          <w:highlight w:val="none"/>
          <w:lang w:val="en-US" w:eastAsia="zh-CN"/>
        </w:rPr>
        <w:t xml:space="preserve">实际</w:t>
      </w:r>
      <w:r>
        <w:rPr>
          <w:rFonts w:hint="eastAsia" w:ascii="宋体" w:hAnsi="宋体" w:eastAsia="宋体" w:cs="宋体"/>
          <w:color w:val="auto"/>
          <w:sz w:val="24"/>
          <w:szCs w:val="24"/>
          <w:highlight w:val="none"/>
        </w:rPr>
        <w:t xml:space="preserve">情况退出磋商。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详</w:t>
      </w:r>
      <w:r>
        <w:rPr>
          <w:rFonts w:hint="eastAsia" w:ascii="宋体" w:hAnsi="宋体" w:eastAsia="宋体" w:cs="宋体"/>
          <w:color w:val="auto"/>
          <w:sz w:val="24"/>
          <w:szCs w:val="24"/>
          <w:highlight w:val="none"/>
        </w:rPr>
        <w:t xml:space="preserve">见本磋商文件第五章规定。</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.3采购活动终止的情况</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.3.1因情况变化，不再符合规定的竞争性磋商采购方式适用情形的。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.3.2出现影响采购公正的违法、违规行为的。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.3.4在苏采云系统规定时间内成功解密电子响应文件的供应商不足3家的。</w:t>
      </w:r>
      <w:r/>
    </w:p>
    <w:p>
      <w:pPr>
        <w:ind w:firstLine="482"/>
        <w:keepLines/>
        <w:keepNext/>
        <w:spacing w:line="520" w:lineRule="exact"/>
        <w:rPr>
          <w:rFonts w:hint="eastAsia" w:ascii="宋体" w:hAnsi="宋体" w:eastAsia="宋体" w:cs="宋体"/>
          <w:color w:val="auto"/>
          <w:sz w:val="24"/>
          <w:szCs w:val="24"/>
          <w:highlight w:val="none"/>
        </w:rPr>
      </w:pPr>
      <w:r/>
      <w:bookmarkStart w:id="151" w:name="_Toc16938551"/>
      <w:r/>
      <w:bookmarkEnd w:id="151"/>
      <w:r/>
      <w:bookmarkStart w:id="152" w:name="_Toc20823307"/>
      <w:r/>
      <w:bookmarkEnd w:id="152"/>
      <w:r/>
      <w:bookmarkStart w:id="153" w:name="_Toc513029235"/>
      <w:r/>
      <w:bookmarkEnd w:id="153"/>
      <w:r/>
      <w:bookmarkStart w:id="154" w:name="_Toc120614219"/>
      <w:r>
        <w:rPr>
          <w:rFonts w:hint="eastAsia" w:ascii="宋体" w:hAnsi="宋体" w:eastAsia="宋体" w:cs="宋体"/>
          <w:b/>
          <w:bCs/>
          <w:color w:val="auto"/>
          <w:sz w:val="24"/>
          <w:szCs w:val="24"/>
          <w:highlight w:val="none"/>
        </w:rPr>
        <w:t xml:space="preserve">六、</w:t>
      </w:r>
      <w:bookmarkEnd w:id="154"/>
      <w:r>
        <w:rPr>
          <w:rFonts w:hint="eastAsia" w:ascii="宋体" w:hAnsi="宋体" w:eastAsia="宋体" w:cs="宋体"/>
          <w:b/>
          <w:bCs/>
          <w:color w:val="auto"/>
          <w:sz w:val="24"/>
          <w:szCs w:val="24"/>
          <w:highlight w:val="none"/>
        </w:rPr>
        <w:t xml:space="preserve">成交</w:t>
      </w:r>
      <w:r/>
    </w:p>
    <w:p>
      <w:pPr>
        <w:ind w:firstLine="480"/>
        <w:keepLines/>
        <w:keepNext/>
        <w:spacing w:line="520" w:lineRule="exact"/>
        <w:rPr>
          <w:rFonts w:hint="eastAsia" w:ascii="宋体" w:hAnsi="宋体" w:eastAsia="宋体" w:cs="宋体"/>
          <w:color w:val="auto"/>
          <w:sz w:val="24"/>
          <w:szCs w:val="24"/>
          <w:highlight w:val="none"/>
        </w:rPr>
      </w:pPr>
      <w:r/>
      <w:bookmarkStart w:id="155" w:name="_Toc513029238"/>
      <w:r/>
      <w:bookmarkEnd w:id="155"/>
      <w:r/>
      <w:bookmarkStart w:id="156" w:name="_Toc16938554"/>
      <w:r/>
      <w:bookmarkEnd w:id="156"/>
      <w:r/>
      <w:bookmarkStart w:id="157" w:name="_Toc20823310"/>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bookmarkEnd w:id="157"/>
      <w:r>
        <w:rPr>
          <w:rFonts w:hint="eastAsia" w:ascii="宋体" w:hAnsi="宋体" w:eastAsia="宋体" w:cs="宋体"/>
          <w:color w:val="auto"/>
          <w:sz w:val="24"/>
          <w:szCs w:val="24"/>
          <w:highlight w:val="none"/>
        </w:rPr>
        <w:t xml:space="preserve">确定成交单位</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.2采购人从评审报告提出的成交候选供应商中，按照排序由高到低的原则确定成交供应商。采购人确定成交供应商后，采购代理机构将在“江苏政府采购网”发布成交结果公告，公告期限为1个工作日。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.3若有充分证据证明，成交供应商出现下列情况之一的，一经查实，将被取消成交资格：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.3.1提供虚假材料牟取成交的。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.3.2与评审专家、采购人、其他供应商或者采购代理机构工作人员恶意串通的。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.3.3向评审专家、采购人或采购代理机构工作人员行贿或者提供其他不正当利益的。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.3.5不满足本磋商文件规定的实质性要求，但在评审过程中又未被磋商小组发现的。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.3.6成交后无正当理由拒不与采购人签订政府采购合同或者未按照磋商文件确定的事项签订政府采购合同的。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.3.7将政府采购合同转包的。</w:t>
      </w:r>
      <w:r/>
    </w:p>
    <w:p>
      <w:pPr>
        <w:ind w:firstLine="480"/>
        <w:keepLines/>
        <w:keepNext/>
        <w:spacing w:line="520" w:lineRule="exact"/>
        <w:rPr>
          <w:rFonts w:hint="eastAsia" w:ascii="宋体" w:hAnsi="宋体" w:eastAsia="宋体" w:cs="宋体"/>
          <w:color w:val="auto"/>
          <w:sz w:val="24"/>
          <w:szCs w:val="24"/>
          <w:highlight w:val="none"/>
        </w:rPr>
      </w:pPr>
      <w:r/>
      <w:bookmarkStart w:id="158" w:name="_Toc200451960"/>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、质疑处理</w:t>
      </w:r>
      <w:bookmarkEnd w:id="158"/>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.4条款的规定向采购代理机构或采购人提出质疑。上述应知其权益受到损害之日，是指：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.2.1对可以质疑的采购文件提出质疑的，为收到采购文件之日或者采购文件公告期限届满之日。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.2.2对采购过程提出质疑的，为各采购程序环节结束之日。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.2.3对成交结果提出质疑的，为成交结果公告期限届满之日。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供应商（含潜在供应商）对与本项目有关的所有询问、质疑均请向采购人提出，由采购人负责答复。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采购人及采购代理机构只</w:t>
      </w:r>
      <w:r>
        <w:rPr>
          <w:rFonts w:hint="eastAsia" w:ascii="宋体" w:hAnsi="宋体" w:eastAsia="宋体" w:cs="宋体"/>
          <w:color w:val="auto"/>
          <w:sz w:val="24"/>
          <w:szCs w:val="24"/>
          <w:highlight w:val="none"/>
          <w:lang w:val="en-US" w:eastAsia="zh-CN"/>
        </w:rPr>
        <w:t xml:space="preserve">接受</w:t>
      </w:r>
      <w:r>
        <w:rPr>
          <w:rFonts w:hint="eastAsia" w:ascii="宋体" w:hAnsi="宋体" w:eastAsia="宋体" w:cs="宋体"/>
          <w:color w:val="auto"/>
          <w:sz w:val="24"/>
          <w:szCs w:val="24"/>
          <w:highlight w:val="none"/>
        </w:rPr>
        <w:t xml:space="preserve">以纸质原件形式送达的质疑。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 以下情形的质疑不予受理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.5.1 内容不符合《政府采购质疑和投诉办法》第十二条规定的质疑。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.5.2 超出政府采购法定期限的质疑。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.5.3 以传真、电子邮件等方式递交的非原件形式的质疑。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.5.4 未参加磋商活动的供应商或在磋商活动中自身权益未受到损害的供应商所提出的质疑。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.5.5供应商组成联合体参加磋商，联合体中任何一方或多方未按要求签字、盖章、加盖公章的质疑。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、成交通知书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keepLines/>
        <w:keepNext/>
        <w:spacing w:line="520" w:lineRule="exact"/>
        <w:rPr>
          <w:rFonts w:hint="eastAsia" w:ascii="宋体" w:hAnsi="宋体" w:eastAsia="宋体" w:cs="宋体"/>
          <w:color w:val="auto"/>
          <w:sz w:val="24"/>
          <w:szCs w:val="24"/>
          <w:highlight w:val="none"/>
        </w:rPr>
      </w:pPr>
      <w:r/>
      <w:bookmarkStart w:id="159" w:name="_Toc16938552"/>
      <w:r/>
      <w:bookmarkEnd w:id="159"/>
      <w:r/>
      <w:bookmarkStart w:id="160" w:name="_Toc513029236"/>
      <w:r/>
      <w:bookmarkEnd w:id="160"/>
      <w:r/>
      <w:bookmarkStart w:id="161" w:name="_Toc120614220"/>
      <w:r/>
      <w:bookmarkEnd w:id="161"/>
      <w:r/>
      <w:bookmarkStart w:id="162" w:name="_Toc20823308"/>
      <w:r>
        <w:rPr>
          <w:rFonts w:hint="eastAsia" w:ascii="宋体" w:hAnsi="宋体" w:eastAsia="宋体" w:cs="宋体"/>
          <w:b/>
          <w:bCs/>
          <w:color w:val="auto"/>
          <w:sz w:val="24"/>
          <w:szCs w:val="24"/>
          <w:highlight w:val="none"/>
        </w:rPr>
        <w:t xml:space="preserve">七、授予合同</w:t>
      </w:r>
      <w:bookmarkEnd w:id="162"/>
      <w:r/>
      <w:r/>
    </w:p>
    <w:p>
      <w:pPr>
        <w:ind w:firstLine="480"/>
        <w:keepLines/>
        <w:keepNext/>
        <w:spacing w:line="520" w:lineRule="exact"/>
        <w:rPr>
          <w:rFonts w:hint="eastAsia" w:ascii="宋体" w:hAnsi="宋体" w:eastAsia="宋体" w:cs="宋体"/>
          <w:color w:val="auto"/>
          <w:sz w:val="24"/>
          <w:szCs w:val="24"/>
          <w:highlight w:val="none"/>
        </w:rPr>
      </w:pPr>
      <w:r/>
      <w:bookmarkStart w:id="163" w:name="_Toc513029237"/>
      <w:r/>
      <w:bookmarkEnd w:id="163"/>
      <w:r/>
      <w:bookmarkStart w:id="164" w:name="_Toc16938553"/>
      <w:r/>
      <w:bookmarkEnd w:id="164"/>
      <w:r/>
      <w:bookmarkStart w:id="165" w:name="_Toc20823309"/>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、签订合同</w:t>
      </w:r>
      <w:bookmarkEnd w:id="16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.l成交供应商应当在成交通知书发出之日起三十日内，按照磋商文件确定的事项与采购人签订政府采购合同。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.2磋商文件、成交供应商的响应文件及磋商过程中有关澄清、承诺文件均应作为合同附件。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 签订合同后，</w:t>
      </w:r>
      <w:r>
        <w:rPr>
          <w:rFonts w:hint="eastAsia" w:ascii="宋体" w:hAnsi="宋体" w:eastAsia="宋体" w:cs="宋体"/>
          <w:iCs/>
          <w:color w:val="auto"/>
          <w:sz w:val="24"/>
          <w:szCs w:val="24"/>
          <w:highlight w:val="non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、标的物的追加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10%。</w:t>
      </w:r>
      <w:r/>
    </w:p>
    <w:p>
      <w:pPr>
        <w:ind w:firstLine="480"/>
        <w:keepLines/>
        <w:keepNext/>
        <w:spacing w:line="520" w:lineRule="exact"/>
        <w:rPr>
          <w:rFonts w:hint="eastAsia" w:ascii="宋体" w:hAnsi="宋体" w:eastAsia="宋体" w:cs="宋体"/>
          <w:color w:val="auto"/>
          <w:sz w:val="24"/>
          <w:szCs w:val="24"/>
          <w:highlight w:val="none"/>
        </w:rPr>
      </w:pPr>
      <w:r/>
      <w:bookmarkStart w:id="166" w:name="_Toc479757207"/>
      <w:r/>
      <w:bookmarkEnd w:id="166"/>
      <w:r/>
      <w:bookmarkStart w:id="167" w:name="_Toc513029242"/>
      <w:r/>
      <w:bookmarkEnd w:id="167"/>
      <w:r/>
      <w:bookmarkStart w:id="168" w:name="_Toc16938558"/>
      <w:r/>
      <w:bookmarkEnd w:id="168"/>
      <w:r/>
      <w:bookmarkStart w:id="169" w:name="_Toc20823314"/>
      <w:r/>
      <w:bookmarkEnd w:id="169"/>
      <w:r/>
      <w:bookmarkStart w:id="170" w:name="_Toc120614221"/>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、政府采购履约资金扶持政策</w:t>
      </w:r>
      <w:bookmarkEnd w:id="17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成交供应商可凭政府采购合同办理融资贷款，详情请见江苏政府采购网“政采贷”专栏。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、落实《商品包装政府采购需求标准（试行）》、《快递包装政府采购需求标准（试行）》的相关政策，商品包装和快递包装应符合文件要求。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、按照《绿色数据中心政府采购需求标准(试行)》（财库[2023]7号）文件要求执行。</w:t>
      </w:r>
      <w:r/>
    </w:p>
    <w:p>
      <w:pPr>
        <w:ind w:left="0" w:firstLine="480"/>
        <w:keepLines/>
        <w:keepNex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、根据《商品包装政府采购需求标准（试行）》、《快递包装政府采购需求标准（试行）》的通知（财办库[2020]123号要求，商品使用的塑料、纸质、木材等包装需达到环保要求。</w:t>
      </w:r>
      <w:r/>
    </w:p>
    <w:p>
      <w:pPr>
        <w:ind w:left="0" w:firstLine="482"/>
        <w:pageBreakBefore w:val="0"/>
        <w:spacing w:line="520" w:lineRule="exact"/>
        <w:widowControl w:val="off"/>
        <w:tabs>
          <w:tab w:val="left" w:pos="90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八、</w:t>
      </w:r>
      <w:r>
        <w:rPr>
          <w:rFonts w:hint="eastAsia" w:ascii="宋体" w:hAnsi="宋体" w:eastAsia="宋体" w:cs="宋体"/>
          <w:b/>
          <w:color w:val="auto"/>
          <w:sz w:val="24"/>
          <w:highlight w:val="none"/>
        </w:rPr>
        <w:t xml:space="preserve">关于异常低价的审查</w:t>
      </w:r>
      <w:r/>
    </w:p>
    <w:p>
      <w:pPr>
        <w:ind w:left="0" w:firstLine="480"/>
        <w:pageBreakBefore w:val="0"/>
        <w:spacing w:line="52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根据财库[2026]2号文《财政部关于推动解决政府采购异常低价问题的通知》：</w:t>
      </w:r>
      <w:r/>
    </w:p>
    <w:p>
      <w:pPr>
        <w:ind w:left="0" w:firstLine="480"/>
        <w:pageBreakBefore w:val="0"/>
        <w:spacing w:line="52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1.政府采购评审中出现下列情形之一的，评审委员会应当启动异常低价投标（响应）审查程序：</w:t>
      </w:r>
      <w:r/>
    </w:p>
    <w:p>
      <w:pPr>
        <w:ind w:left="0" w:firstLine="480"/>
        <w:pageBreakBefore w:val="0"/>
        <w:spacing w:line="52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1.1投标（响应）报价低于全部通过符合性审查供应商投标（响应）报价平均值50%的，即投标（响应）报价&lt;全部通过符合性审查供应商投标（响应）报价平均值</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50%；</w:t>
      </w:r>
      <w:r/>
    </w:p>
    <w:p>
      <w:pPr>
        <w:ind w:left="0" w:firstLine="480"/>
        <w:pageBreakBefore w:val="0"/>
        <w:spacing w:line="52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1.2投标（响应）报价低于通过符合性审查的次低报价供应商投标（响应）报价50%的，即投标（响应）报价&lt;通过符合性审查的次低报价供应商投标（响应）报价</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50%；</w:t>
      </w:r>
      <w:r/>
    </w:p>
    <w:p>
      <w:pPr>
        <w:ind w:left="0" w:firstLine="480"/>
        <w:pageBreakBefore w:val="0"/>
        <w:spacing w:line="52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1.3.投标（响应）报价低于采购项目最高限价45%的，即投标（响应）报价&lt;采购项目最高限价</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45%；</w:t>
      </w:r>
      <w:r/>
    </w:p>
    <w:p>
      <w:pPr>
        <w:ind w:left="0" w:firstLine="480"/>
        <w:pageBreakBefore w:val="0"/>
        <w:spacing w:line="52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1.4评审委员会基于专业判断，认为供应商报价过低，有可能影响产品质量或者不能诚信履约的其他情形。</w:t>
      </w:r>
      <w:r/>
    </w:p>
    <w:p>
      <w:pPr>
        <w:ind w:left="0" w:firstLine="480"/>
        <w:pageBreakBefore w:val="0"/>
        <w:spacing w:line="52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属于第3项情形</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供应商已随投标（响应）文件一并提交相关书面说明及必要的证明材料的，在评审现场可不再重复提交。</w:t>
      </w:r>
      <w:r/>
    </w:p>
    <w:p>
      <w:pPr>
        <w:ind w:left="0" w:firstLine="480"/>
        <w:pageBreakBefore w:val="0"/>
        <w:spacing w:line="52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0"/>
        <w:pageBreakBefore w:val="0"/>
        <w:spacing w:line="52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480"/>
        <w:pageBreakBefore w:val="0"/>
        <w:spacing w:line="52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640"/>
        <w:keepNext/>
        <w:rPr>
          <w:rFonts w:hint="eastAsia" w:ascii="宋体" w:hAnsi="宋体" w:eastAsia="宋体" w:cs="宋体"/>
          <w:color w:val="auto"/>
          <w:sz w:val="24"/>
          <w:szCs w:val="24"/>
          <w:highlight w:val="none"/>
        </w:rPr>
        <w:outlineLvl w:val="0"/>
      </w:pPr>
      <w:r/>
      <w:bookmarkStart w:id="171" w:name="_Toc26517"/>
      <w:r>
        <w:rPr>
          <w:rFonts w:hint="eastAsia" w:ascii="宋体" w:hAnsi="宋体" w:eastAsia="宋体" w:cs="宋体"/>
          <w:color w:val="auto"/>
          <w:sz w:val="44"/>
          <w:szCs w:val="44"/>
          <w:highlight w:val="none"/>
        </w:rPr>
        <w:t xml:space="preserve">第三章 合同文本</w:t>
      </w:r>
      <w:bookmarkEnd w:id="171"/>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bookmarkStart w:id="172" w:name="_Toc16938559"/>
      <w:r/>
      <w:bookmarkEnd w:id="172"/>
      <w:r/>
      <w:bookmarkStart w:id="173" w:name="_Toc120614244"/>
      <w:r/>
      <w:bookmarkEnd w:id="173"/>
      <w:r/>
      <w:bookmarkStart w:id="174" w:name="_Hlt16619350"/>
      <w:r/>
      <w:bookmarkEnd w:id="174"/>
      <w:r/>
      <w:bookmarkStart w:id="175" w:name="_Hlt16619369"/>
      <w:r/>
      <w:bookmarkEnd w:id="175"/>
      <w:r/>
      <w:bookmarkStart w:id="176" w:name="_Toc462564139"/>
      <w:r/>
      <w:bookmarkEnd w:id="176"/>
      <w:r/>
      <w:bookmarkStart w:id="177" w:name="_Toc16938590"/>
      <w:r/>
      <w:bookmarkEnd w:id="177"/>
      <w:r/>
      <w:bookmarkStart w:id="178" w:name="_Toc513029243"/>
      <w:r/>
      <w:bookmarkEnd w:id="178"/>
      <w:r/>
      <w:bookmarkStart w:id="179" w:name="_Toc20823346"/>
      <w:r/>
      <w:bookmarkEnd w:id="179"/>
      <w:r/>
      <w:bookmarkStart w:id="180" w:name="_Toc479757211"/>
      <w:r/>
      <w:bookmarkStart w:id="181" w:name="_Toc31380"/>
      <w:r>
        <w:rPr>
          <w:rFonts w:hint="eastAsia" w:ascii="宋体" w:hAnsi="宋体" w:eastAsia="宋体" w:cs="宋体"/>
          <w:color w:val="auto"/>
          <w:sz w:val="24"/>
          <w:szCs w:val="24"/>
          <w:highlight w:val="none"/>
        </w:rPr>
        <w:t xml:space="preserve">以下为</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与</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签订本项目合同的通用条款，</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不得提出实质性的修改，关于专用条款将由</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人与</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结合本项目具体情况协商后签订。</w:t>
      </w:r>
      <w:r/>
    </w:p>
    <w:p>
      <w:pPr>
        <w:ind w:left="0"/>
        <w:keepLines w:val="0"/>
        <w:keepNext w:val="0"/>
        <w:pageBreakBefore w:val="0"/>
        <w:spacing w:line="520" w:lineRule="exact"/>
        <w:rPr>
          <w:rFonts w:hint="eastAsia" w:ascii="宋体" w:hAnsi="宋体" w:eastAsia="宋体" w:cs="宋体"/>
          <w:b/>
          <w:sz w:val="24"/>
          <w:szCs w:val="24"/>
        </w:rPr>
      </w:pPr>
      <w:r>
        <w:rPr>
          <w:rFonts w:hint="eastAsia" w:ascii="宋体" w:hAnsi="宋体" w:eastAsia="宋体" w:cs="宋体"/>
          <w:b/>
          <w:sz w:val="24"/>
          <w:szCs w:val="24"/>
        </w:rPr>
      </w:r>
      <w:r/>
    </w:p>
    <w:p>
      <w:pPr>
        <w:ind w:left="0"/>
        <w:keepLines w:val="0"/>
        <w:keepNext w:val="0"/>
        <w:pageBreakBefore w:val="0"/>
        <w:spacing w:line="520" w:lineRule="exact"/>
        <w:rPr>
          <w:rFonts w:hint="eastAsia" w:ascii="宋体" w:hAnsi="宋体" w:eastAsia="宋体" w:cs="宋体"/>
          <w:b/>
          <w:sz w:val="24"/>
          <w:szCs w:val="24"/>
        </w:rPr>
      </w:pPr>
      <w:r>
        <w:rPr>
          <w:rFonts w:hint="eastAsia" w:ascii="宋体" w:hAnsi="宋体" w:eastAsia="宋体" w:cs="宋体"/>
          <w:b/>
          <w:sz w:val="24"/>
          <w:szCs w:val="24"/>
        </w:rPr>
        <w:t xml:space="preserve">项目名称： </w:t>
      </w:r>
      <w:r/>
    </w:p>
    <w:p>
      <w:pPr>
        <w:ind w:left="0"/>
        <w:keepLines w:val="0"/>
        <w:keepNext w:val="0"/>
        <w:pageBreakBefore w:val="0"/>
        <w:spacing w:line="520" w:lineRule="exact"/>
        <w:rPr>
          <w:rFonts w:hint="eastAsia" w:ascii="宋体" w:hAnsi="宋体" w:eastAsia="宋体" w:cs="宋体"/>
          <w:b/>
          <w:sz w:val="24"/>
          <w:szCs w:val="24"/>
        </w:rPr>
      </w:pPr>
      <w:r>
        <w:rPr>
          <w:rFonts w:hint="eastAsia" w:ascii="宋体" w:hAnsi="宋体" w:eastAsia="宋体" w:cs="宋体"/>
          <w:b/>
          <w:sz w:val="24"/>
          <w:szCs w:val="24"/>
        </w:rPr>
        <w:t xml:space="preserve">项目编号：</w:t>
      </w:r>
      <w:r/>
    </w:p>
    <w:p>
      <w:pPr>
        <w:ind w:left="0"/>
        <w:keepLines w:val="0"/>
        <w:keepNext w:val="0"/>
        <w:pageBreakBefore w:val="0"/>
        <w:spacing w:line="520" w:lineRule="exact"/>
        <w:rPr>
          <w:rFonts w:hint="eastAsia" w:ascii="宋体" w:hAnsi="宋体" w:eastAsia="宋体" w:cs="宋体"/>
          <w:b/>
          <w:sz w:val="24"/>
          <w:szCs w:val="24"/>
        </w:rPr>
      </w:pPr>
      <w:r>
        <w:rPr>
          <w:rFonts w:hint="eastAsia" w:ascii="宋体" w:hAnsi="宋体" w:eastAsia="宋体" w:cs="宋体"/>
          <w:b/>
          <w:sz w:val="24"/>
          <w:szCs w:val="24"/>
        </w:rPr>
        <w:t xml:space="preserve">采 购 人：</w:t>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rPr>
        <w:t xml:space="preserve">（以下简称甲方）</w:t>
      </w:r>
      <w:r/>
    </w:p>
    <w:p>
      <w:pPr>
        <w:ind w:left="0"/>
        <w:keepLines w:val="0"/>
        <w:keepNext w:val="0"/>
        <w:pageBreakBefore w:val="0"/>
        <w:spacing w:line="52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成交供应商</w:t>
      </w:r>
      <w:r>
        <w:rPr>
          <w:rFonts w:hint="eastAsia" w:ascii="宋体" w:hAnsi="宋体" w:eastAsia="宋体" w:cs="宋体"/>
          <w:b/>
          <w:sz w:val="24"/>
          <w:szCs w:val="24"/>
        </w:rPr>
        <w:t xml:space="preserve">：        （以下简称乙方）</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根据《中华人民共和国政府采购法》、《中华人民共和国民法典》等法律法规的规定，甲乙双方按照采购代理机构的招标结果，经协商一致，签订本合同，以便共同遵守。</w:t>
      </w:r>
      <w:r/>
    </w:p>
    <w:p>
      <w:pPr>
        <w:ind w:left="0" w:firstLine="482"/>
        <w:keepLines w:val="0"/>
        <w:keepNext w:val="0"/>
        <w:pageBreakBefore w:val="0"/>
        <w:spacing w:line="52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第一条 合同标的</w:t>
      </w:r>
      <w:r/>
    </w:p>
    <w:p>
      <w:pPr>
        <w:pStyle w:val="945"/>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乙方根据甲方需求提供下列服务：</w:t>
      </w:r>
      <w:r/>
    </w:p>
    <w:p>
      <w:pPr>
        <w:ind w:left="0" w:firstLine="482"/>
        <w:keepLines w:val="0"/>
        <w:keepNext w:val="0"/>
        <w:pageBreakBefore w:val="0"/>
        <w:spacing w:line="520" w:lineRule="exact"/>
        <w:widowControl/>
        <w:rPr>
          <w:rFonts w:hint="eastAsia" w:ascii="宋体" w:hAnsi="宋体" w:eastAsia="宋体" w:cs="宋体"/>
          <w:b/>
          <w:sz w:val="24"/>
          <w:szCs w:val="24"/>
        </w:rPr>
      </w:pPr>
      <w:r>
        <w:rPr>
          <w:rFonts w:hint="eastAsia" w:ascii="宋体" w:hAnsi="宋体" w:eastAsia="宋体" w:cs="宋体"/>
          <w:b/>
          <w:sz w:val="24"/>
          <w:szCs w:val="24"/>
        </w:rPr>
      </w:r>
      <w:r/>
    </w:p>
    <w:p>
      <w:pPr>
        <w:ind w:left="0" w:firstLine="482"/>
        <w:keepLines w:val="0"/>
        <w:keepNext w:val="0"/>
        <w:pageBreakBefore w:val="0"/>
        <w:spacing w:line="52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第二条 合同总价款</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1.本合同项下总价款为人民币：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.00元（大写：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元整），分项价款在乙方“投标文件价格部分”中有明确规定。</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本合同总价款包括采购文件所确定的采购范围相应服务的提供、人员（包括工资和补助）、办公场所及设施、保险、劳保、管理、各种税费、利润、税金、政策性文件规定及合同包含的所有风险、责任等各项应有费用，以及为完成该服务项目所涉及到的一切相关费用，</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不再支付其他任何费用。</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3.本合同总价款还包含乙方应当提供的伴随服务费用。</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4.本合同执行期间合同总价款不变。</w:t>
      </w:r>
      <w:r/>
    </w:p>
    <w:p>
      <w:pPr>
        <w:ind w:left="0" w:firstLine="482"/>
        <w:keepLines w:val="0"/>
        <w:keepNext w:val="0"/>
        <w:pageBreakBefore w:val="0"/>
        <w:spacing w:line="52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第三条 组成本合同的有关文件</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下列与本次采购活动有关的文件及有关附件是本合同不可分割的组成部分，与本合同具有同等法律效力，这些文件包括但不限于：</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文件（编号：）；</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（2）乙方提供的投标（响应）文件；</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商务及</w:t>
      </w:r>
      <w:r>
        <w:rPr>
          <w:rFonts w:hint="eastAsia" w:ascii="宋体" w:hAnsi="宋体" w:eastAsia="宋体" w:cs="宋体"/>
          <w:sz w:val="24"/>
          <w:szCs w:val="24"/>
        </w:rPr>
        <w:t xml:space="preserve">技术条款偏离表；</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）投标承诺/服务承诺；</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）中标（成交）通知书；</w:t>
      </w:r>
      <w:r/>
    </w:p>
    <w:p>
      <w:pPr>
        <w:ind w:left="0" w:firstLine="480"/>
        <w:keepLines w:val="0"/>
        <w:keepNext w:val="0"/>
        <w:pageBreakBefore w:val="0"/>
        <w:spacing w:line="52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）有关技术文件、图纸；</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）国家法律、行政法规和规章制度规定或合同约定的作为合同组成部分的其他文件；</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）甲乙双方商定的其他文件等。</w:t>
      </w:r>
      <w:r/>
    </w:p>
    <w:p>
      <w:pPr>
        <w:ind w:left="0" w:firstLine="482"/>
        <w:keepLines w:val="0"/>
        <w:keepNext w:val="0"/>
        <w:pageBreakBefore w:val="0"/>
        <w:spacing w:line="52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第四条 权利保证</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乙方应保证本合同在履行过程中不受第三方提出侵犯其专利权、版权、商标权或其他权利的起诉。一旦出现侵权、索赔或诉讼，乙方应承担全部责任，同时甲方有权解除本合同。</w:t>
      </w:r>
      <w:r/>
    </w:p>
    <w:p>
      <w:pPr>
        <w:ind w:left="0" w:firstLine="482"/>
        <w:keepLines w:val="0"/>
        <w:keepNext w:val="0"/>
        <w:pageBreakBefore w:val="0"/>
        <w:spacing w:line="52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第五条 履约保证金</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1.乙方在签订本合同之前，按中标（成交）通知书的要求将履约保证金汇缴至甲方指定的账户。</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2.履约保证金的有效期为该项目验收合格止。</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3.如乙方未能履行合同规定的义务，甲方有权从履约保证金中取得补偿，不足部分，将依法追究其相应的法律责任。</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4.履约保证金扣除甲方应得的补偿后的余额在有效期满后无息退还乙方。</w:t>
      </w:r>
      <w:r/>
    </w:p>
    <w:p>
      <w:pPr>
        <w:ind w:left="0" w:firstLine="482"/>
        <w:keepLines w:val="0"/>
        <w:keepNext w:val="0"/>
        <w:pageBreakBefore w:val="0"/>
        <w:spacing w:line="52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第六条 合同款支付</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1.本合同项下所有款项均以人民币支付。</w:t>
      </w:r>
      <w:r/>
    </w:p>
    <w:p>
      <w:pPr>
        <w:ind w:left="0" w:firstLine="480"/>
        <w:keepLines w:val="0"/>
        <w:keepNext w:val="0"/>
        <w:pageBreakBefore w:val="0"/>
        <w:spacing w:line="520" w:lineRule="exact"/>
        <w:widowControl/>
        <w:rPr>
          <w:rFonts w:hint="eastAsia" w:ascii="宋体" w:hAnsi="宋体" w:eastAsia="宋体" w:cs="宋体"/>
          <w:spacing w:val="-4"/>
          <w:sz w:val="24"/>
          <w:szCs w:val="24"/>
        </w:rPr>
      </w:pPr>
      <w:r>
        <w:rPr>
          <w:rFonts w:hint="eastAsia" w:ascii="宋体" w:hAnsi="宋体" w:eastAsia="宋体" w:cs="宋体"/>
          <w:sz w:val="24"/>
          <w:szCs w:val="24"/>
        </w:rPr>
        <w:t xml:space="preserve">2.</w:t>
      </w:r>
      <w:r>
        <w:rPr>
          <w:rFonts w:hint="eastAsia" w:ascii="宋体" w:hAnsi="宋体" w:eastAsia="宋体" w:cs="宋体"/>
          <w:spacing w:val="-4"/>
          <w:sz w:val="24"/>
          <w:szCs w:val="24"/>
        </w:rPr>
        <w:t xml:space="preserve">本合同项下的采购资金系甲方自行支付，乙方向甲方开具全额发票。</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3.付款方式：</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p>
    <w:p>
      <w:pPr>
        <w:ind w:left="0" w:firstLine="482"/>
        <w:keepLines w:val="0"/>
        <w:keepNext w:val="0"/>
        <w:pageBreakBefore w:val="0"/>
        <w:spacing w:line="52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第七条 违约责任</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1.如乙方不能按约定进行服务的，甲方有权扣留全部履约保证金并解除合同；同时有权要求乙方按照合同总价5%的标准支付违约金，解除合同的通知自发出之日起生效。</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2.乙方未按本合同的规定和“服务承诺”提供伴随服务的，甲方有权提前解除本合同，同时乙方应按合同总价款的5%向甲方承担违约责任，若不足以弥补甲方损失，则乙方还须赔偿甲方因此遭受的所有损失。</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3.乙方在承担上述一项或多项违约责任后，仍应继续履行合同规定的义务（甲方解除合同的除外）。甲方未能及时追究乙方的任何一项违约责任并不表明甲方放弃追究乙方该项或其他违约责任。</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4.乙方投标属虚假承诺，或是由于乙方的过错造成合同无法继续履行的，乙方应向甲方支付不少于合同总价30%的赔偿金，若该违约金不足以弥补甲方损失，则应当赔偿甲方所有损失。</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5.其他未尽事宜，以《中华人民共和国民法典》等有关法律法规规定为准，无相关规定的，双方协商解决。</w:t>
      </w:r>
      <w:r/>
    </w:p>
    <w:p>
      <w:pPr>
        <w:ind w:left="0" w:firstLine="482"/>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b/>
          <w:sz w:val="24"/>
          <w:szCs w:val="24"/>
        </w:rPr>
        <w:t xml:space="preserve">第八条 项目履约验收</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1.甲方有权对乙方项目实施执行过程及完成结果进行履约验收。</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2.甲方可以邀请参加本项目的其他供应商或者第三方机构参与验收，乙方应积极配合并响应。</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3.参与验收的供应商或者第三方机构的意见作为验收书的参考资料一并存档。</w:t>
      </w:r>
      <w:r/>
    </w:p>
    <w:p>
      <w:pPr>
        <w:ind w:left="0" w:firstLine="482"/>
        <w:keepLines w:val="0"/>
        <w:keepNext w:val="0"/>
        <w:pageBreakBefore w:val="0"/>
        <w:spacing w:line="52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第九条 合同的变更和终止</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1.除《中华人民共和国政府采购法》第50条规定的情形外，本合同一经签订，甲乙双方不得擅自变更、中止或终止合同。</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2.除发生法律规定的不能预见、不能避免并不能克服的客观情况外，甲乙双方不得放弃或拒绝履行合同。</w:t>
      </w:r>
      <w:r/>
    </w:p>
    <w:p>
      <w:pPr>
        <w:ind w:left="0" w:firstLine="482"/>
        <w:keepLines w:val="0"/>
        <w:keepNext w:val="0"/>
        <w:pageBreakBefore w:val="0"/>
        <w:spacing w:line="52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第十条 合同的转让</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乙方不得擅自部分或全部转让其应履行的合同义务。</w:t>
      </w:r>
      <w:r/>
    </w:p>
    <w:p>
      <w:pPr>
        <w:ind w:left="0" w:firstLine="482"/>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b/>
          <w:sz w:val="24"/>
          <w:szCs w:val="24"/>
        </w:rPr>
        <w:t xml:space="preserve">第十一条 不可抗力</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p>
    <w:p>
      <w:pPr>
        <w:ind w:left="0" w:firstLine="482"/>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b/>
          <w:sz w:val="24"/>
          <w:szCs w:val="24"/>
        </w:rPr>
        <w:t xml:space="preserve">第十二条 安全责任</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1.在履行本合同过程中的一切安全责任由乙方承担，如发生安全事故或其他侵权行为的，均由乙方负责处理和承担。</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2.如因乙方原因导致在履行本合同的过程中造成的人身、财产损失，由乙方承担法律责任。</w:t>
      </w:r>
      <w:r/>
    </w:p>
    <w:p>
      <w:pPr>
        <w:ind w:left="0" w:firstLine="482"/>
        <w:keepLines w:val="0"/>
        <w:keepNext w:val="0"/>
        <w:pageBreakBefore w:val="0"/>
        <w:spacing w:line="52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第十三条 争议的解决</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1.因履行本合同引起的或与本合同有关的争议，甲、乙双方应首先通过友好协商解决，如果协商不能解决争议，任何一方均可向甲方所在地有管辖权的人民法院提起诉讼。</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2.在法院审理期间，除有争议部分外，本合同其他部分应继续履行。</w:t>
      </w:r>
      <w:r/>
    </w:p>
    <w:p>
      <w:pPr>
        <w:ind w:left="0" w:firstLine="482"/>
        <w:keepLines w:val="0"/>
        <w:keepNext w:val="0"/>
        <w:pageBreakBefore w:val="0"/>
        <w:spacing w:line="52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第十四条 诚实信用</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乙方应诚实信用，严格按照招标文件要求和投标承诺履行合同，不向甲方进行商业贿赂或者提供不正当利益。</w:t>
      </w:r>
      <w:r/>
    </w:p>
    <w:p>
      <w:pPr>
        <w:ind w:left="0" w:firstLine="482"/>
        <w:keepLines w:val="0"/>
        <w:keepNext w:val="0"/>
        <w:pageBreakBefore w:val="0"/>
        <w:spacing w:line="52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第十五条 合同生效及其他</w:t>
      </w:r>
      <w:r/>
    </w:p>
    <w:p>
      <w:pPr>
        <w:ind w:left="0" w:firstLine="480"/>
        <w:keepLines w:val="0"/>
        <w:keepNext w:val="0"/>
        <w:pageBreakBefore w:val="0"/>
        <w:spacing w:line="520" w:lineRule="exact"/>
        <w:widowControl/>
        <w:rPr>
          <w:rFonts w:hint="eastAsia" w:ascii="宋体" w:hAnsi="宋体" w:eastAsia="宋体" w:cs="宋体"/>
          <w:sz w:val="24"/>
          <w:szCs w:val="24"/>
          <w:u w:val="single"/>
        </w:rPr>
      </w:pPr>
      <w:r>
        <w:rPr>
          <w:rFonts w:hint="eastAsia" w:ascii="宋体" w:hAnsi="宋体" w:eastAsia="宋体" w:cs="宋体"/>
          <w:sz w:val="24"/>
          <w:szCs w:val="24"/>
        </w:rPr>
        <w:t xml:space="preserve">1.合同签订时间：</w:t>
      </w:r>
      <w:r>
        <w:rPr>
          <w:rFonts w:hint="eastAsia" w:ascii="宋体" w:hAnsi="宋体" w:eastAsia="宋体" w:cs="宋体"/>
          <w:sz w:val="24"/>
          <w:szCs w:val="24"/>
          <w:u w:val="single"/>
        </w:rPr>
        <w:t xml:space="preserve">                            </w:t>
      </w:r>
      <w:r/>
    </w:p>
    <w:p>
      <w:pPr>
        <w:ind w:left="0" w:firstLine="480"/>
        <w:keepLines w:val="0"/>
        <w:keepNext w:val="0"/>
        <w:pageBreakBefore w:val="0"/>
        <w:spacing w:line="520" w:lineRule="exact"/>
        <w:widowControl/>
        <w:rPr>
          <w:rFonts w:hint="eastAsia" w:ascii="宋体" w:hAnsi="宋体" w:eastAsia="宋体" w:cs="宋体"/>
          <w:sz w:val="24"/>
          <w:szCs w:val="24"/>
          <w:u w:val="single"/>
        </w:rPr>
      </w:pPr>
      <w:r>
        <w:rPr>
          <w:rFonts w:hint="eastAsia" w:ascii="宋体" w:hAnsi="宋体" w:eastAsia="宋体" w:cs="宋体"/>
          <w:sz w:val="24"/>
          <w:szCs w:val="24"/>
        </w:rPr>
        <w:t xml:space="preserve">2.合同签订地点：</w:t>
      </w:r>
      <w:r>
        <w:rPr>
          <w:rFonts w:hint="eastAsia" w:ascii="宋体" w:hAnsi="宋体" w:eastAsia="宋体" w:cs="宋体"/>
          <w:sz w:val="24"/>
          <w:szCs w:val="24"/>
          <w:u w:val="single"/>
        </w:rPr>
        <w:t xml:space="preserve">                            </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3.本合同经甲乙双方加盖公章或合同章后，自签订之日起生效。</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4.本合同一式六份，甲方执五份，乙方执一份。</w:t>
      </w:r>
      <w:r/>
    </w:p>
    <w:p>
      <w:pPr>
        <w:ind w:left="0" w:firstLine="480"/>
        <w:keepLines w:val="0"/>
        <w:keepNext w:val="0"/>
        <w:pageBreakBefore w:val="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5.本合同应按照中华人民共和国的现行法律进行解释。</w:t>
      </w:r>
      <w:r/>
    </w:p>
    <w:p>
      <w:pPr>
        <w:ind w:firstLine="420"/>
        <w:widowControl/>
        <w:rPr>
          <w:rFonts w:ascii="仿宋" w:hAnsi="仿宋" w:eastAsia="仿宋" w:cs="宋体"/>
          <w:szCs w:val="21"/>
        </w:rPr>
      </w:pPr>
      <w:r>
        <w:rPr>
          <w:rFonts w:ascii="仿宋" w:hAnsi="仿宋" w:eastAsia="仿宋" w:cs="宋体"/>
          <w:szCs w:val="21"/>
        </w:rPr>
      </w:r>
      <w:r/>
    </w:p>
    <w:p>
      <w:pPr>
        <w:ind w:firstLine="420"/>
        <w:widowControl/>
        <w:rPr>
          <w:rFonts w:ascii="仿宋" w:hAnsi="仿宋" w:eastAsia="仿宋" w:cs="宋体"/>
          <w:szCs w:val="21"/>
        </w:rPr>
      </w:pPr>
      <w:r>
        <w:rPr>
          <w:rFonts w:ascii="仿宋" w:hAnsi="仿宋" w:eastAsia="仿宋" w:cs="宋体"/>
          <w:szCs w:val="21"/>
        </w:rPr>
      </w:r>
      <w:r/>
    </w:p>
    <w:tbl>
      <w:tblPr>
        <w:tblStyle w:val="918"/>
        <w:tblW w:w="4927" w:type="pct"/>
        <w:tblInd w:w="113"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75"/>
        <w:gridCol w:w="2521"/>
        <w:gridCol w:w="2068"/>
        <w:gridCol w:w="2213"/>
      </w:tblGrid>
      <w:tr>
        <w:trPr>
          <w:trHeight w:val="490"/>
        </w:trPr>
        <w:tc>
          <w:tcPr>
            <w:gridSpan w:val="2"/>
            <w:tcBorders>
              <w:bottom w:val="single" w:color="auto" w:sz="2" w:space="0"/>
              <w:right w:val="single" w:color="auto" w:sz="2" w:space="0"/>
            </w:tcBorders>
            <w:tcW w:w="2561"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甲方（采购方）</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乙方（</w:t>
            </w:r>
            <w:r>
              <w:rPr>
                <w:rFonts w:hint="eastAsia" w:ascii="宋体" w:hAnsi="宋体" w:eastAsia="宋体" w:cs="宋体"/>
                <w:sz w:val="24"/>
                <w:szCs w:val="24"/>
                <w:lang w:val="en-US" w:eastAsia="zh-CN"/>
              </w:rPr>
              <w:t xml:space="preserve">成交供应商</w:t>
            </w:r>
            <w:r>
              <w:rPr>
                <w:rFonts w:hint="eastAsia" w:ascii="宋体" w:hAnsi="宋体" w:eastAsia="宋体" w:cs="宋体"/>
                <w:sz w:val="24"/>
                <w:szCs w:val="24"/>
              </w:rPr>
              <w:t xml:space="preserve">）</w:t>
            </w:r>
            <w:r/>
          </w:p>
        </w:tc>
      </w:tr>
      <w:tr>
        <w:trPr>
          <w:trHeight w:val="917"/>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单位名称（公章或合同章）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1171"/>
        </w:trPr>
        <w:tc>
          <w:tcPr>
            <w:tcBorders>
              <w:top w:val="single" w:color="auto" w:sz="2" w:space="0"/>
              <w:right w:val="single" w:color="auto" w:sz="2" w:space="0"/>
            </w:tcBorders>
            <w:tcW w:w="1125"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ind w:firstLine="115"/>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或其委托代理人（签章）</w:t>
            </w:r>
            <w:r/>
          </w:p>
        </w:tc>
        <w:tc>
          <w:tcPr>
            <w:tcBorders>
              <w:top w:val="single" w:color="auto" w:sz="2" w:space="0"/>
              <w:left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或其委托代理人（签章）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住  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bl>
    <w:p>
      <w:pPr>
        <w:rPr>
          <w:rFonts w:hint="eastAsia"/>
          <w:highlight w:val="none"/>
        </w:rPr>
      </w:pPr>
      <w:r>
        <w:rPr>
          <w:rFonts w:hint="eastAsia"/>
          <w:highlight w:val="none"/>
        </w:rPr>
      </w:r>
      <w:r/>
    </w:p>
    <w:p>
      <w:pPr>
        <w:jc w:val="center"/>
        <w:spacing w:before="120" w:after="120" w:line="0" w:lineRule="atLeas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spacing w:before="120" w:after="120" w:line="0" w:lineRule="atLeas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spacing w:before="120" w:after="120" w:line="0" w:lineRule="atLeas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spacing w:before="120" w:after="120" w:line="0" w:lineRule="atLeas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spacing w:before="120" w:after="120" w:line="0" w:lineRule="atLeas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spacing w:before="120" w:after="120" w:line="0" w:lineRule="atLeas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spacing w:before="120" w:after="120" w:line="0" w:lineRule="atLeas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spacing w:before="120" w:after="120" w:line="0" w:lineRule="atLeas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spacing w:before="120" w:after="120" w:line="0" w:lineRule="atLeas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spacing w:before="120" w:after="120" w:line="0" w:lineRule="atLeas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44"/>
          <w:szCs w:val="44"/>
          <w:highlight w:val="none"/>
        </w:rPr>
        <w:t xml:space="preserve">第</w:t>
      </w:r>
      <w:bookmarkEnd w:id="180"/>
      <w:r>
        <w:rPr>
          <w:rFonts w:hint="eastAsia" w:ascii="宋体" w:hAnsi="宋体" w:eastAsia="宋体" w:cs="宋体"/>
          <w:color w:val="auto"/>
          <w:sz w:val="44"/>
          <w:szCs w:val="44"/>
          <w:highlight w:val="none"/>
        </w:rPr>
        <w:t xml:space="preserve">四章 采购需求</w:t>
      </w:r>
      <w:bookmarkEnd w:id="181"/>
      <w:r/>
      <w:bookmarkStart w:id="182" w:name="_Toc26554093"/>
      <w:r/>
      <w:bookmarkEnd w:id="182"/>
      <w:r/>
      <w:bookmarkStart w:id="183" w:name="_Toc49090575"/>
      <w:r/>
      <w:bookmarkEnd w:id="183"/>
      <w:r/>
      <w:r/>
    </w:p>
    <w:p>
      <w:pPr>
        <w:ind w:firstLine="482"/>
        <w:keepLines w:val="0"/>
        <w:keepNext w:val="0"/>
        <w:pageBreakBefore w:val="0"/>
        <w:spacing w:line="500" w:lineRule="exact"/>
        <w:widowControl/>
        <w:rPr>
          <w:rFonts w:hint="eastAsia" w:ascii="宋体" w:hAnsi="宋体" w:eastAsia="宋体" w:cs="宋体"/>
          <w:b/>
          <w:color w:val="auto"/>
          <w:sz w:val="24"/>
          <w:highlight w:val="none"/>
        </w:rPr>
      </w:pPr>
      <w:r/>
      <w:bookmarkStart w:id="184" w:name="_Toc22673"/>
      <w:r/>
      <w:bookmarkStart w:id="185" w:name="_Toc120614281"/>
      <w:r>
        <w:rPr>
          <w:rFonts w:hint="eastAsia" w:ascii="宋体" w:hAnsi="宋体" w:eastAsia="宋体" w:cs="宋体"/>
          <w:b/>
          <w:color w:val="auto"/>
          <w:sz w:val="24"/>
          <w:highlight w:val="none"/>
        </w:rPr>
        <w:t xml:space="preserve">一、项目概况：</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深入贯彻落实《江苏省化工园区认定工作标准（2025版）》（以下简称《认定标准》）（苏工信规〔2025〕6号）要求，切实做好泰州滨江工业园区化工园区认定工作，拟委托第三方专业机构，通过建立统筹工信、自然资源、生态环境、住房与城乡建设、交通运输、应急管理等多部门、多要素、多领域协同服务机制，夯实工作基础，提升管理水平，保障完成园区认定工作，从而推动化工园区高质量发展。</w:t>
      </w:r>
      <w:r/>
    </w:p>
    <w:p>
      <w:pPr>
        <w:ind w:firstLine="482"/>
        <w:keepLines w:val="0"/>
        <w:keepNext w:val="0"/>
        <w:pageBreakBefore w:val="0"/>
        <w:spacing w:line="50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lang w:bidi="zh-CN"/>
        </w:rPr>
        <w:t xml:space="preserve">二、</w:t>
      </w:r>
      <w:r>
        <w:rPr>
          <w:rFonts w:hint="eastAsia" w:ascii="宋体" w:hAnsi="宋体" w:cs="宋体"/>
          <w:b/>
          <w:color w:val="auto"/>
          <w:sz w:val="24"/>
          <w:highlight w:val="none"/>
          <w:lang w:val="en-US" w:eastAsia="zh-CN"/>
        </w:rPr>
        <w:t xml:space="preserve">具体服务事项</w:t>
      </w:r>
      <w:r>
        <w:rPr>
          <w:rFonts w:hint="eastAsia" w:ascii="宋体" w:hAnsi="宋体" w:eastAsia="宋体" w:cs="宋体"/>
          <w:b/>
          <w:color w:val="auto"/>
          <w:sz w:val="24"/>
          <w:highlight w:val="none"/>
        </w:rPr>
        <w:t xml:space="preserve">：</w:t>
      </w:r>
      <w:r/>
    </w:p>
    <w:p>
      <w:pPr>
        <w:ind w:firstLine="480"/>
        <w:keepLines w:val="0"/>
        <w:keepNext w:val="0"/>
        <w:pageBreakBefore w:val="0"/>
        <w:spacing w:line="500" w:lineRule="exact"/>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（一）对标诊断与差距分析</w:t>
      </w:r>
      <w:r/>
    </w:p>
    <w:p>
      <w:pPr>
        <w:ind w:firstLine="480"/>
        <w:keepLines w:val="0"/>
        <w:keepNext w:val="0"/>
        <w:pageBreakBefore w:val="0"/>
        <w:spacing w:line="500" w:lineRule="exact"/>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1.合规性审查：对照《认定标准》中的各项硬性指标（如四至范围、边界防护距离、安全环保设施、企业等），逐条核查园区现状，识别不达标项。</w:t>
      </w:r>
      <w:r/>
    </w:p>
    <w:p>
      <w:pPr>
        <w:ind w:firstLine="480"/>
        <w:keepLines w:val="0"/>
        <w:keepNext w:val="0"/>
        <w:pageBreakBefore w:val="0"/>
        <w:spacing w:line="500" w:lineRule="exact"/>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2.资料合规性审查：检查园区现有规划、环评、安评、土地等文件是否齐全、有效，是否符合最新法规要求。</w:t>
      </w:r>
      <w:r/>
    </w:p>
    <w:p>
      <w:pPr>
        <w:ind w:firstLine="480"/>
        <w:keepLines w:val="0"/>
        <w:keepNext w:val="0"/>
        <w:pageBreakBefore w:val="0"/>
        <w:spacing w:line="500" w:lineRule="exact"/>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3.现场勘查与评估：组织专家实地考察园区基础设施、企业布局、管理现状，形成详细的差距分析报告。</w:t>
      </w:r>
      <w:r/>
    </w:p>
    <w:p>
      <w:pPr>
        <w:ind w:firstLine="480"/>
        <w:keepLines w:val="0"/>
        <w:keepNext w:val="0"/>
        <w:pageBreakBefore w:val="0"/>
        <w:spacing w:line="500" w:lineRule="exact"/>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（二）整改提升与方案制定</w:t>
      </w:r>
      <w:r/>
    </w:p>
    <w:p>
      <w:pPr>
        <w:ind w:firstLine="480"/>
        <w:keepLines w:val="0"/>
        <w:keepNext w:val="0"/>
        <w:pageBreakBefore w:val="0"/>
        <w:spacing w:line="500" w:lineRule="exact"/>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1.“一园一策”整改方案：针对不达标项，制定具体的整改措施、责任单位、时间节点和资金预算。</w:t>
      </w:r>
      <w:r/>
    </w:p>
    <w:p>
      <w:pPr>
        <w:ind w:firstLine="480"/>
        <w:keepLines w:val="0"/>
        <w:keepNext w:val="0"/>
        <w:pageBreakBefore w:val="0"/>
        <w:spacing w:line="500" w:lineRule="exact"/>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2.基础设施提升指导：协助园区完善封闭化管理、智慧化平台、危化品停车场、公共管廊、污水处理厂等硬件设施的建设与升级。</w:t>
      </w:r>
      <w:r/>
    </w:p>
    <w:p>
      <w:pPr>
        <w:ind w:firstLine="480"/>
        <w:keepLines w:val="0"/>
        <w:keepNext w:val="0"/>
        <w:pageBreakBefore w:val="0"/>
        <w:spacing w:line="500" w:lineRule="exact"/>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3.管理机制优化：协助建立或完善园区的安全、环保、应急一体化管理体系，提升数字化监管水平。</w:t>
      </w:r>
      <w:r/>
    </w:p>
    <w:p>
      <w:pPr>
        <w:ind w:firstLine="480"/>
        <w:keepLines w:val="0"/>
        <w:keepNext w:val="0"/>
        <w:pageBreakBefore w:val="0"/>
        <w:spacing w:line="500" w:lineRule="exact"/>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（三）申报材料编制与辅导 </w:t>
      </w:r>
      <w:r/>
    </w:p>
    <w:p>
      <w:pPr>
        <w:ind w:firstLine="480"/>
        <w:keepLines w:val="0"/>
        <w:keepNext w:val="0"/>
        <w:pageBreakBefore w:val="0"/>
        <w:spacing w:line="500" w:lineRule="exact"/>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1.申报材料汇编：按要求编制化工园区复核认定所需要的各类报告，收集整理规划、安全、环保、应急等系列材料，为报告提供素材支持。</w:t>
      </w:r>
      <w:r/>
    </w:p>
    <w:p>
      <w:pPr>
        <w:ind w:firstLine="480"/>
        <w:keepLines w:val="0"/>
        <w:keepNext w:val="0"/>
        <w:pageBreakBefore w:val="0"/>
        <w:spacing w:line="500" w:lineRule="exact"/>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2.专家预审与模拟答辩：组织专家对申报材料进行预审，模拟认定评审会流程，提前发现并解决潜在问题。</w:t>
      </w:r>
      <w:r/>
    </w:p>
    <w:p>
      <w:pPr>
        <w:ind w:firstLine="480"/>
        <w:keepLines w:val="0"/>
        <w:keepNext w:val="0"/>
        <w:pageBreakBefore w:val="0"/>
        <w:spacing w:line="500" w:lineRule="exact"/>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3.迎检现场准备：指导园区做好现场迎检路线规划、展板布置、汇报材料准备等工作。</w:t>
      </w:r>
      <w:r/>
    </w:p>
    <w:p>
      <w:pPr>
        <w:ind w:firstLine="480"/>
        <w:keepLines w:val="0"/>
        <w:keepNext w:val="0"/>
        <w:pageBreakBefore w:val="0"/>
        <w:spacing w:line="500" w:lineRule="exact"/>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（四）复核认定后期整改指导</w:t>
      </w:r>
      <w:r/>
    </w:p>
    <w:p>
      <w:pPr>
        <w:ind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bidi="zh-CN"/>
        </w:rPr>
        <w:t xml:space="preserve">完成化工园区复核认定后，根据专家复核反馈意见，指导园区进行后续整改。</w:t>
      </w:r>
      <w:r/>
    </w:p>
    <w:p>
      <w:pPr>
        <w:ind w:firstLine="482"/>
        <w:keepLines w:val="0"/>
        <w:keepNext w:val="0"/>
        <w:pageBreakBefore w:val="0"/>
        <w:spacing w:line="500" w:lineRule="exact"/>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三</w:t>
      </w:r>
      <w:r>
        <w:rPr>
          <w:rFonts w:hint="eastAsia" w:ascii="宋体" w:hAnsi="宋体" w:eastAsia="宋体" w:cs="宋体"/>
          <w:b/>
          <w:bCs/>
          <w:color w:val="auto"/>
          <w:sz w:val="24"/>
          <w:highlight w:val="none"/>
        </w:rPr>
        <w:t xml:space="preserve">、商务要求：</w:t>
      </w:r>
      <w:r/>
    </w:p>
    <w:p>
      <w:pPr>
        <w:ind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1.合同履行期限：</w:t>
      </w:r>
      <w:r>
        <w:rPr>
          <w:rFonts w:hint="eastAsia" w:ascii="宋体" w:hAnsi="宋体" w:cs="宋体"/>
          <w:color w:val="auto"/>
          <w:sz w:val="24"/>
          <w:szCs w:val="24"/>
          <w:highlight w:val="none"/>
          <w:lang w:val="en-US" w:eastAsia="zh-CN"/>
        </w:rPr>
        <w:t xml:space="preserve">自合同签订之日起至完成此次化工园区复核认定全部工作止。</w:t>
      </w:r>
      <w:r/>
    </w:p>
    <w:p>
      <w:pPr>
        <w:ind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szCs w:val="24"/>
          <w:highlight w:val="none"/>
        </w:rPr>
        <w:t xml:space="preserve">本次投标所报价格应包括</w:t>
      </w:r>
      <w:r>
        <w:rPr>
          <w:rFonts w:hint="eastAsia" w:ascii="宋体" w:hAnsi="宋体" w:eastAsia="宋体" w:cs="宋体"/>
          <w:sz w:val="24"/>
          <w:szCs w:val="24"/>
        </w:rPr>
        <w:t xml:space="preserve">采购范围相应服务的提供、人员（包括工资和补助）、办公场所及设施、保险、劳保、管理、各种税费、利润、税金、政策性文件规定及合同包含的所有风险、责任等各项应有费用，以及为完成该服务项目所涉及到的一切相关费用，采购人不再支付其他任何费用。</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w:t>
      </w:r>
      <w:r>
        <w:rPr>
          <w:rFonts w:hint="eastAsia" w:ascii="宋体" w:hAnsi="宋体" w:eastAsia="宋体" w:cs="宋体"/>
          <w:b/>
          <w:bCs/>
          <w:color w:val="auto"/>
          <w:sz w:val="24"/>
          <w:szCs w:val="24"/>
          <w:highlight w:val="none"/>
        </w:rPr>
        <w:t xml:space="preserve">最高限价为</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269 </w:t>
      </w:r>
      <w:r>
        <w:rPr>
          <w:rFonts w:hint="eastAsia" w:ascii="宋体" w:hAnsi="宋体" w:eastAsia="宋体" w:cs="宋体"/>
          <w:b/>
          <w:bCs/>
          <w:color w:val="auto"/>
          <w:sz w:val="24"/>
          <w:szCs w:val="24"/>
          <w:highlight w:val="none"/>
          <w:u w:val="none"/>
          <w:lang w:val="en-US" w:eastAsia="zh-CN"/>
        </w:rPr>
        <w:t xml:space="preserve">万</w:t>
      </w:r>
      <w:r>
        <w:rPr>
          <w:rFonts w:hint="eastAsia" w:ascii="宋体" w:hAnsi="宋体" w:eastAsia="宋体" w:cs="宋体"/>
          <w:b/>
          <w:bCs/>
          <w:color w:val="auto"/>
          <w:sz w:val="24"/>
          <w:szCs w:val="24"/>
          <w:highlight w:val="none"/>
        </w:rPr>
        <w:t xml:space="preserve">元。</w:t>
      </w:r>
      <w:r>
        <w:rPr>
          <w:rFonts w:hint="eastAsia" w:ascii="宋体" w:hAnsi="宋体" w:eastAsia="宋体" w:cs="宋体"/>
          <w:color w:val="auto"/>
          <w:sz w:val="24"/>
          <w:szCs w:val="24"/>
          <w:highlight w:val="none"/>
        </w:rPr>
        <w:t xml:space="preserve">各</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报价时不得高于最高限价，否则将视为未满足磋商文件的实质性要求，作无效</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处理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4.合同形式：固定</w:t>
      </w:r>
      <w:r>
        <w:rPr>
          <w:rFonts w:hint="eastAsia" w:ascii="宋体" w:hAnsi="宋体" w:cs="宋体"/>
          <w:color w:val="auto"/>
          <w:sz w:val="24"/>
          <w:highlight w:val="none"/>
          <w:lang w:val="en-US" w:eastAsia="zh-CN"/>
        </w:rPr>
        <w:t xml:space="preserve">总</w:t>
      </w:r>
      <w:r>
        <w:rPr>
          <w:rFonts w:hint="eastAsia" w:ascii="宋体" w:hAnsi="宋体" w:eastAsia="宋体" w:cs="宋体"/>
          <w:color w:val="auto"/>
          <w:sz w:val="24"/>
          <w:highlight w:val="none"/>
        </w:rPr>
        <w:t xml:space="preserve">价合同</w:t>
      </w:r>
      <w:r>
        <w:rPr>
          <w:rFonts w:hint="eastAsia" w:ascii="宋体" w:hAnsi="宋体" w:cs="宋体"/>
          <w:color w:val="auto"/>
          <w:sz w:val="24"/>
          <w:highlight w:val="none"/>
          <w:lang w:eastAsia="zh-CN"/>
        </w:rPr>
        <w:t xml:space="preserve">。</w:t>
      </w:r>
      <w:r/>
    </w:p>
    <w:p>
      <w:pPr>
        <w:numPr>
          <w:ilvl w:val="0"/>
          <w:numId w:val="0"/>
        </w:numPr>
        <w:ind w:firstLine="480"/>
        <w:keepLines w:val="0"/>
        <w:keepNext w:val="0"/>
        <w:pageBreakBefore w:val="0"/>
        <w:spacing w:line="5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highlight w:val="none"/>
        </w:rPr>
        <w:t xml:space="preserve">5.付款方式：</w:t>
      </w:r>
      <w:r>
        <w:rPr>
          <w:rFonts w:hint="eastAsia" w:ascii="宋体" w:hAnsi="宋体" w:cs="宋体"/>
          <w:color w:val="auto"/>
          <w:sz w:val="24"/>
          <w:szCs w:val="24"/>
          <w:highlight w:val="none"/>
          <w:lang w:val="en-US" w:eastAsia="zh-CN"/>
        </w:rPr>
        <w:t xml:space="preserve">（1）签订合同后一个月内，支付合同价的20%作为预付款；（2）成功获批省级化工园区后（以文件批复为准），于2027年一季度支付合同价的70%；（3）协助完成反馈问题整改工作后，支付剩余尾款。</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6.履约保证金：合同总价的</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%，合同签订前以银行转账、支票、汇票、本票或者金融机构、担保机构出具的保函、保险机构出具的保证保险等非现金形式提交甲方指定账户；项目验收合格后不计利息退还。</w:t>
      </w:r>
      <w:r/>
    </w:p>
    <w:p>
      <w:pPr>
        <w:ind w:firstLine="54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 xml:space="preserve">电子履约保函相关要求执行市财政局 国家金融监督管理总局泰州监管分局 市地方金融监督管理局转发《江苏省财政厅 国家金融监督管理总局江苏监管局 江苏省地方金融监督管理局关于在全省政府采购领域推行电子履约保函（保险）的通知》。</w:t>
      </w:r>
      <w:r/>
    </w:p>
    <w:p>
      <w:pPr>
        <w:numPr>
          <w:ilvl w:val="0"/>
          <w:numId w:val="0"/>
        </w:numPr>
        <w:ind w:firstLine="480"/>
        <w:keepLines w:val="0"/>
        <w:keepNext w:val="0"/>
        <w:pageBreakBefore w:val="0"/>
        <w:spacing w:line="500" w:lineRule="exact"/>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7.</w:t>
      </w:r>
      <w:r>
        <w:rPr>
          <w:rFonts w:hint="eastAsia" w:ascii="宋体" w:hAnsi="宋体" w:eastAsia="宋体" w:cs="宋体"/>
          <w:color w:val="auto"/>
          <w:sz w:val="24"/>
          <w:szCs w:val="24"/>
          <w:highlight w:val="none"/>
        </w:rPr>
        <w:t xml:space="preserve">签订合同后，</w:t>
      </w:r>
      <w:r>
        <w:rPr>
          <w:rFonts w:hint="eastAsia" w:ascii="宋体" w:hAnsi="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不得进行转包。未经采购人同意，</w:t>
      </w:r>
      <w:r>
        <w:rPr>
          <w:rFonts w:hint="eastAsia" w:ascii="宋体" w:hAnsi="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不得采用分包的形式履行合同。否则采购人有权终止合同。转包或分包造成采购人损失的，</w:t>
      </w:r>
      <w:r>
        <w:rPr>
          <w:rFonts w:hint="eastAsia" w:ascii="宋体" w:hAnsi="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还应承担相应赔偿责任。</w:t>
      </w:r>
      <w:r/>
    </w:p>
    <w:p>
      <w:pPr>
        <w:jc w:val="center"/>
        <w:keepNext/>
        <w:rPr>
          <w:rFonts w:hint="eastAsia" w:ascii="宋体" w:hAnsi="宋体" w:eastAsia="宋体" w:cs="宋体"/>
          <w:color w:val="auto"/>
          <w:sz w:val="24"/>
          <w:szCs w:val="24"/>
          <w:highlight w:val="none"/>
        </w:rPr>
        <w:outlineLvl w:val="0"/>
      </w:pPr>
      <w:r/>
      <w:bookmarkStart w:id="199" w:name="_GoBack"/>
      <w:r/>
      <w:bookmarkEnd w:id="199"/>
      <w:r>
        <w:rPr>
          <w:rFonts w:hint="eastAsia" w:ascii="宋体" w:hAnsi="宋体" w:eastAsia="宋体" w:cs="宋体"/>
          <w:color w:val="auto"/>
          <w:sz w:val="44"/>
          <w:szCs w:val="44"/>
          <w:highlight w:val="none"/>
        </w:rPr>
        <w:t xml:space="preserve">第五章 评审方法与评审标准</w:t>
      </w:r>
      <w:bookmarkEnd w:id="184"/>
      <w:r/>
      <w:bookmarkEnd w:id="185"/>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2"/>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政府采购政策功能落实</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1.小微型企业价格扣除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（1）本项目对小型企业和微型企业产品给予10%的价格扣除，用扣除后的价格参与评审。</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（2）供应商需按照采购文件的要求提供相应的《中小企业声明函》。</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（3）企业标准请参照《关于印发中小企业划型标准规定的通知》（工信部联企业[2011]300号）文件规定自行填写。</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（4）在货物采购项目中，</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highlight w:val="none"/>
          <w:lang w:bidi="ar"/>
        </w:rPr>
        <w:t xml:space="preserve">提供的货物既有中小企业制造货物，也有大型企业制造货物的，不享受本办法规定的中小企业扶持政策。</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2.残疾人福利单位价格扣除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（1）本项目对残疾人福利性单位视同小型、微型企业，给予10%的价格扣除，用扣除后的价格参与评审。</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（2）残疾人福利单位需按照采购文件的要求提供《残疾人福利性单位声明函》。</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（3）残疾人福利单位标准请参照《关于促进残疾人就业政府采购政策的通知》（财库〔2017〕141号）。</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3.监狱和戒毒企业价格扣除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（1）本项目对监狱和戒毒企业（简称监狱企业）视同小型、微型企业，给予10%的价格扣除，用扣除后的价格参与评审。</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highlight w:val="none"/>
          <w:lang w:bidi="ar"/>
        </w:rPr>
        <w:t xml:space="preserve">如不提供上述证明文件，价格将不做相应扣除。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（3）监狱企业标准请参照《关于政府采购支持监狱企业发展有关问题的通知》（财库[2014]68号）。</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4.残疾人福利单位、监狱企业属于小型、微型企业的，不重复享受政策。</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lang w:bidi="ar"/>
        </w:rPr>
        <w:t xml:space="preserve">5.</w:t>
      </w:r>
      <w:r>
        <w:rPr>
          <w:rFonts w:hint="eastAsia" w:ascii="宋体" w:hAnsi="宋体" w:eastAsia="宋体" w:cs="宋体"/>
          <w:bCs/>
          <w:color w:val="auto"/>
          <w:sz w:val="24"/>
          <w:szCs w:val="24"/>
          <w:highlight w:val="none"/>
        </w:rPr>
        <w:t xml:space="preserve">本项目属于</w:t>
      </w:r>
      <w:r>
        <w:rPr>
          <w:rFonts w:hint="eastAsia" w:ascii="宋体" w:hAnsi="宋体" w:eastAsia="宋体" w:cs="宋体"/>
          <w:bCs/>
          <w:color w:val="auto"/>
          <w:sz w:val="24"/>
          <w:szCs w:val="24"/>
          <w:highlight w:val="none"/>
          <w:u w:val="single"/>
        </w:rPr>
        <w:t xml:space="preserve"> 其他未列明行业 </w:t>
      </w:r>
      <w:r>
        <w:rPr>
          <w:rFonts w:hint="eastAsia" w:ascii="宋体" w:hAnsi="宋体" w:eastAsia="宋体" w:cs="宋体"/>
          <w:bCs/>
          <w:color w:val="auto"/>
          <w:sz w:val="24"/>
          <w:szCs w:val="24"/>
          <w:highlight w:val="none"/>
        </w:rPr>
        <w:t xml:space="preserve">。</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.国务院办公厅关于建立政府强制采购节能产品制度的通知--国办发[2007]51号 </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.节能产品政府采购实施意见--财库[2004]185号</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环境标志产品政府采购实施的意见--财库[2006]90号</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过程中，如涉及，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.关于促进残疾人就业政府采购政策的通知》财库[2017]141号 </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根据《财政部 民政部 中国残疾人联合会关于促进残疾人就业政府采购政策的通知》（财库〔2017〕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w:t>
      </w:r>
      <w:r>
        <w:rPr>
          <w:rFonts w:hint="eastAsia" w:ascii="宋体" w:hAnsi="宋体" w:eastAsia="宋体" w:cs="宋体"/>
          <w:color w:val="auto"/>
          <w:sz w:val="24"/>
          <w:highlight w:val="none"/>
          <w:lang w:val="en-US" w:eastAsia="zh-CN"/>
        </w:rPr>
        <w:t xml:space="preserve">中华人民共和国</w:t>
      </w:r>
      <w:r>
        <w:rPr>
          <w:rFonts w:hint="eastAsia" w:ascii="宋体" w:hAnsi="宋体" w:eastAsia="宋体" w:cs="宋体"/>
          <w:color w:val="auto"/>
          <w:sz w:val="24"/>
          <w:highlight w:val="none"/>
        </w:rPr>
        <w:t xml:space="preserve">政府采购法》第七十七条第一款的规定追究法律责任。</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.根据《商品包装政府采购需求标准（试行）》、《快递包装政府采购需求标准（试行）》的通知（财办库[2020]123号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要求，商品使用的塑料、纸质、木材等包装需达到环保要求。</w:t>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jc w:val="left"/>
        <w:keepLines w:val="0"/>
        <w:keepNext w:val="0"/>
        <w:pageBreakBefore w:val="0"/>
        <w:spacing w:before="120" w:after="120" w:line="0" w:lineRule="atLeas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评审方法与评审标准：</w:t>
      </w:r>
      <w:r/>
    </w:p>
    <w:tbl>
      <w:tblPr>
        <w:tblStyle w:val="918"/>
        <w:tblpPr w:horzAnchor="page" w:tblpX="1220" w:vertAnchor="text" w:tblpY="304" w:leftFromText="180" w:topFromText="0" w:rightFromText="180" w:bottomFromText="0"/>
        <w:tblW w:w="96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304"/>
        <w:gridCol w:w="999"/>
        <w:gridCol w:w="6486"/>
      </w:tblGrid>
      <w:tr>
        <w:trPr>
          <w:cantSplit/>
          <w:trHeight w:val="64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w:t>
            </w:r>
            <w:r/>
          </w:p>
          <w:p>
            <w:pPr>
              <w:jc w:val="center"/>
              <w:keepLines w:val="0"/>
              <w:keepNext w:val="0"/>
              <w:pageBreakBefore w:val="0"/>
              <w:spacing w:line="3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w:t>
            </w:r>
            <w:r/>
          </w:p>
        </w:tc>
        <w:tc>
          <w:tcPr>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评审细则</w:t>
            </w:r>
            <w:r/>
          </w:p>
        </w:tc>
      </w:tr>
      <w:tr>
        <w:trPr>
          <w:cantSplit/>
          <w:trHeight w:val="1326"/>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tc>
        <w:tc>
          <w:tcPr>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jc w:val="left"/>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文件要求且投标价格最低的投标报价为评标基准价，其价格分为满分。其他投标人的价</w:t>
            </w:r>
            <w:r>
              <w:rPr>
                <w:rFonts w:hint="eastAsia" w:ascii="宋体" w:hAnsi="宋体" w:eastAsia="宋体" w:cs="宋体"/>
                <w:color w:val="auto"/>
                <w:sz w:val="24"/>
                <w:szCs w:val="24"/>
                <w:highlight w:val="none"/>
                <w:lang w:eastAsia="zh-CN"/>
              </w:rPr>
              <w:t xml:space="preserve">格部</w:t>
            </w:r>
            <w:r>
              <w:rPr>
                <w:rFonts w:hint="eastAsia" w:ascii="宋体" w:hAnsi="宋体" w:eastAsia="宋体" w:cs="宋体"/>
                <w:color w:val="auto"/>
                <w:sz w:val="24"/>
                <w:szCs w:val="24"/>
                <w:highlight w:val="none"/>
              </w:rPr>
              <w:t xml:space="preserve">分统一按照下列公式计算：投标报价得分=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评标基准价／投标报价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%×100。</w:t>
            </w:r>
            <w:r/>
          </w:p>
        </w:tc>
      </w:tr>
      <w:tr>
        <w:trPr>
          <w:cantSplit/>
          <w:trHeight w:val="2155"/>
        </w:trPr>
        <w:tc>
          <w:tcPr>
            <w:tcBorders>
              <w:top w:val="single" w:color="auto" w:sz="4" w:space="0"/>
              <w:left w:val="single" w:color="auto" w:sz="4" w:space="0"/>
              <w:right w:val="single" w:color="auto" w:sz="4" w:space="0"/>
            </w:tcBorders>
            <w:tcW w:w="851"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right w:val="single" w:color="auto" w:sz="4" w:space="0"/>
            </w:tcBorders>
            <w:tcW w:w="1304"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p>
        </w:tc>
        <w:tc>
          <w:tcPr>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pStyle w:val="946"/>
              <w:ind w:firstLine="240"/>
              <w:spacing w:before="29" w:line="216"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自202</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年1月1日以来，开展过化工园区（包含化工聚集区、开发区含化工定位的，均予认可）认定服务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安全评价、规划环评、</w:t>
            </w:r>
            <w:r>
              <w:rPr>
                <w:rFonts w:hint="eastAsia" w:ascii="宋体" w:hAnsi="宋体" w:eastAsia="宋体" w:cs="宋体"/>
                <w:color w:val="auto"/>
                <w:highlight w:val="none"/>
              </w:rPr>
              <w:t xml:space="preserve">化工园区竞争力</w:t>
            </w:r>
            <w:r>
              <w:rPr>
                <w:rFonts w:hint="eastAsia" w:ascii="宋体" w:hAnsi="宋体" w:eastAsia="宋体" w:cs="宋体"/>
                <w:color w:val="auto"/>
                <w:highlight w:val="none"/>
                <w:lang w:val="en-US" w:eastAsia="zh-CN"/>
              </w:rPr>
              <w:t xml:space="preserve">评价、</w:t>
            </w:r>
            <w:r>
              <w:rPr>
                <w:rFonts w:hint="eastAsia" w:ascii="宋体" w:hAnsi="宋体" w:eastAsia="宋体" w:cs="宋体"/>
                <w:color w:val="auto"/>
                <w:highlight w:val="none"/>
              </w:rPr>
              <w:t xml:space="preserve">智慧</w:t>
            </w:r>
            <w:r>
              <w:rPr>
                <w:rFonts w:hint="eastAsia" w:ascii="宋体" w:hAnsi="宋体" w:eastAsia="宋体" w:cs="宋体"/>
                <w:color w:val="auto"/>
                <w:highlight w:val="none"/>
                <w:lang w:val="en-US" w:eastAsia="zh-CN"/>
              </w:rPr>
              <w:t xml:space="preserve">信息化</w:t>
            </w:r>
            <w:r>
              <w:rPr>
                <w:rFonts w:hint="eastAsia" w:ascii="宋体" w:hAnsi="宋体" w:eastAsia="宋体" w:cs="宋体"/>
                <w:color w:val="auto"/>
                <w:highlight w:val="none"/>
              </w:rPr>
              <w:t xml:space="preserve">平台建设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园区核查整治提升工作、绿色化工园区创建的类似工作业绩。每提供1个业绩得3分，同类业绩不重复得分，本项最高得9分。</w:t>
            </w:r>
            <w:r/>
          </w:p>
          <w:p>
            <w:pPr>
              <w:jc w:val="left"/>
              <w:keepLines w:val="0"/>
              <w:keepNext w:val="0"/>
              <w:pageBreakBefore w:val="0"/>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pacing w:val="-5"/>
                <w:sz w:val="24"/>
                <w:szCs w:val="24"/>
                <w:highlight w:val="none"/>
              </w:rPr>
              <w:t xml:space="preserve">注：提供合同、</w:t>
            </w:r>
            <w:r>
              <w:rPr>
                <w:rFonts w:hint="eastAsia" w:ascii="宋体" w:hAnsi="宋体" w:eastAsia="宋体" w:cs="宋体"/>
                <w:b/>
                <w:bCs/>
                <w:color w:val="auto"/>
                <w:spacing w:val="-5"/>
                <w:sz w:val="24"/>
                <w:szCs w:val="24"/>
                <w:highlight w:val="none"/>
                <w:lang w:val="en-US" w:eastAsia="zh-CN"/>
              </w:rPr>
              <w:t xml:space="preserve">审查意见、园区认定</w:t>
            </w:r>
            <w:r>
              <w:rPr>
                <w:rFonts w:hint="eastAsia" w:ascii="宋体" w:hAnsi="宋体" w:eastAsia="宋体" w:cs="宋体"/>
                <w:b/>
                <w:bCs/>
                <w:color w:val="auto"/>
                <w:spacing w:val="-5"/>
                <w:sz w:val="24"/>
                <w:szCs w:val="24"/>
                <w:highlight w:val="none"/>
              </w:rPr>
              <w:t xml:space="preserve">依据等相关佐证材料，</w:t>
            </w:r>
            <w:r>
              <w:rPr>
                <w:rFonts w:hint="eastAsia" w:ascii="宋体" w:hAnsi="宋体" w:eastAsia="宋体" w:cs="宋体"/>
                <w:b/>
                <w:bCs/>
                <w:color w:val="auto"/>
                <w:spacing w:val="-5"/>
                <w:sz w:val="24"/>
                <w:szCs w:val="24"/>
                <w:highlight w:val="none"/>
                <w:lang w:val="en-US" w:eastAsia="zh-CN"/>
              </w:rPr>
              <w:t xml:space="preserve">复印件</w:t>
            </w:r>
            <w:r>
              <w:rPr>
                <w:rFonts w:hint="eastAsia" w:ascii="宋体" w:hAnsi="宋体" w:eastAsia="宋体" w:cs="宋体"/>
                <w:b/>
                <w:bCs/>
                <w:color w:val="auto"/>
                <w:spacing w:val="-5"/>
                <w:sz w:val="24"/>
                <w:szCs w:val="24"/>
                <w:highlight w:val="none"/>
              </w:rPr>
              <w:t xml:space="preserve">加盖公章</w:t>
            </w:r>
            <w:r>
              <w:rPr>
                <w:rFonts w:hint="eastAsia" w:ascii="宋体" w:hAnsi="宋体" w:eastAsia="宋体" w:cs="宋体"/>
                <w:b/>
                <w:bCs/>
                <w:color w:val="auto"/>
                <w:spacing w:val="-5"/>
                <w:sz w:val="24"/>
                <w:szCs w:val="24"/>
                <w:highlight w:val="none"/>
                <w:lang w:val="en-US" w:eastAsia="zh-CN"/>
              </w:rPr>
              <w:t xml:space="preserve">后扫描上传作为得分依据，未提供不得分</w:t>
            </w:r>
            <w:r>
              <w:rPr>
                <w:rFonts w:hint="eastAsia" w:ascii="宋体" w:hAnsi="宋体" w:eastAsia="宋体" w:cs="宋体"/>
                <w:b/>
                <w:bCs/>
                <w:color w:val="auto"/>
                <w:spacing w:val="-5"/>
                <w:sz w:val="24"/>
                <w:szCs w:val="24"/>
                <w:highlight w:val="none"/>
              </w:rPr>
              <w:t xml:space="preserve">。时间以合同签订</w:t>
            </w:r>
            <w:r>
              <w:rPr>
                <w:rFonts w:hint="eastAsia" w:ascii="宋体" w:hAnsi="宋体" w:eastAsia="宋体" w:cs="宋体"/>
                <w:b/>
                <w:bCs/>
                <w:color w:val="auto"/>
                <w:spacing w:val="-5"/>
                <w:sz w:val="24"/>
                <w:szCs w:val="24"/>
                <w:highlight w:val="none"/>
                <w:lang w:val="en-US" w:eastAsia="zh-CN"/>
              </w:rPr>
              <w:t xml:space="preserve">或审查意见</w:t>
            </w:r>
            <w:r>
              <w:rPr>
                <w:rFonts w:hint="eastAsia" w:ascii="宋体" w:hAnsi="宋体" w:eastAsia="宋体" w:cs="宋体"/>
                <w:b/>
                <w:bCs/>
                <w:color w:val="auto"/>
                <w:spacing w:val="-5"/>
                <w:sz w:val="24"/>
                <w:szCs w:val="24"/>
                <w:highlight w:val="none"/>
              </w:rPr>
              <w:t xml:space="preserve">时间为准。若提供的证明材料不能反映该业绩的相关数据和内容的，该业绩不予认可。</w:t>
            </w:r>
            <w:r/>
          </w:p>
        </w:tc>
      </w:tr>
      <w:tr>
        <w:trPr>
          <w:cantSplit/>
          <w:trHeight w:val="1402"/>
        </w:trPr>
        <w:tc>
          <w:tcPr>
            <w:tcBorders>
              <w:top w:val="single" w:color="auto" w:sz="4" w:space="0"/>
              <w:left w:val="single" w:color="auto" w:sz="4" w:space="0"/>
              <w:right w:val="single" w:color="auto" w:sz="4" w:space="0"/>
            </w:tcBorders>
            <w:tcW w:w="851"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auto" w:sz="4" w:space="0"/>
              <w:left w:val="single" w:color="auto" w:sz="4" w:space="0"/>
              <w:right w:val="single" w:color="auto" w:sz="4" w:space="0"/>
            </w:tcBorders>
            <w:tcW w:w="1304"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企业实力</w:t>
            </w:r>
            <w:r/>
          </w:p>
        </w:tc>
        <w:tc>
          <w:tcPr>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8分</w:t>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.供应商具备有效期内的质量管理体系认证证书的得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.供应商具备有效期内的环境管理体系认证证书的得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keepLines w:val="0"/>
              <w:keepNext w:val="0"/>
              <w:pageBreakBefore w:val="0"/>
              <w:spacing w:line="3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.供应商具备有效期内的职业健康安全管理体系认证证书的得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供应商具备有效期内的</w:t>
            </w:r>
            <w:r>
              <w:rPr>
                <w:rFonts w:hint="eastAsia" w:ascii="宋体" w:hAnsi="宋体" w:eastAsia="宋体" w:cs="宋体"/>
                <w:color w:val="auto"/>
                <w:sz w:val="24"/>
                <w:szCs w:val="24"/>
                <w:highlight w:val="none"/>
                <w:lang w:val="en-US" w:eastAsia="zh-CN"/>
              </w:rPr>
              <w:t xml:space="preserve">信息技术服务管理体系</w:t>
            </w:r>
            <w:r>
              <w:rPr>
                <w:rFonts w:hint="eastAsia" w:ascii="宋体" w:hAnsi="宋体" w:eastAsia="宋体" w:cs="宋体"/>
                <w:color w:val="auto"/>
                <w:sz w:val="24"/>
                <w:szCs w:val="24"/>
                <w:highlight w:val="none"/>
              </w:rPr>
              <w:t xml:space="preserve">认证证书的得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keepLines w:val="0"/>
              <w:keepNext w:val="0"/>
              <w:pageBreakBefore w:val="0"/>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5.供应商获得过化工园区安全类、环保类或者综合评估类的</w:t>
            </w:r>
            <w:r/>
          </w:p>
          <w:p>
            <w:pPr>
              <w:keepLines w:val="0"/>
              <w:keepNext w:val="0"/>
              <w:pageBreakBefore w:val="0"/>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省部级及以上主管部门</w:t>
            </w:r>
            <w:r>
              <w:rPr>
                <w:rFonts w:hint="eastAsia" w:ascii="宋体" w:hAnsi="宋体" w:cs="宋体"/>
                <w:color w:val="auto"/>
                <w:sz w:val="24"/>
                <w:szCs w:val="24"/>
                <w:highlight w:val="none"/>
                <w:lang w:val="en-US" w:eastAsia="zh-CN"/>
              </w:rPr>
              <w:t xml:space="preserve">或行业协会（学会）</w:t>
            </w:r>
            <w:r>
              <w:rPr>
                <w:rFonts w:hint="eastAsia" w:ascii="宋体" w:hAnsi="宋体" w:eastAsia="宋体" w:cs="宋体"/>
                <w:color w:val="auto"/>
                <w:sz w:val="24"/>
                <w:szCs w:val="24"/>
                <w:highlight w:val="none"/>
                <w:lang w:val="en-US" w:eastAsia="zh-CN"/>
              </w:rPr>
              <w:t xml:space="preserve">颁发的奖项有一个得2分；获得过化工园区安全类、环保类或者综合评估类的市级主管部门</w:t>
            </w:r>
            <w:r>
              <w:rPr>
                <w:rFonts w:hint="eastAsia" w:ascii="宋体" w:hAnsi="宋体" w:cs="宋体"/>
                <w:color w:val="auto"/>
                <w:sz w:val="24"/>
                <w:szCs w:val="24"/>
                <w:highlight w:val="none"/>
                <w:lang w:val="en-US" w:eastAsia="zh-CN"/>
              </w:rPr>
              <w:t xml:space="preserve">或行业协会（学会）</w:t>
            </w:r>
            <w:r>
              <w:rPr>
                <w:rFonts w:hint="eastAsia" w:ascii="宋体" w:hAnsi="宋体" w:eastAsia="宋体" w:cs="宋体"/>
                <w:color w:val="auto"/>
                <w:sz w:val="24"/>
                <w:szCs w:val="24"/>
                <w:highlight w:val="none"/>
                <w:lang w:val="en-US" w:eastAsia="zh-CN"/>
              </w:rPr>
              <w:t xml:space="preserve">颁发的奖项有一个得1分；本项最多计两个奖项，最高得4分。</w:t>
            </w:r>
            <w:r/>
          </w:p>
          <w:p>
            <w:pPr>
              <w:keepLines w:val="0"/>
              <w:keepNext w:val="0"/>
              <w:pageBreakBefore w:val="0"/>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注：提供相关证书复印件加盖公章后扫描上传作为得分依据，未提供不得分。</w:t>
            </w:r>
            <w:r/>
          </w:p>
        </w:tc>
      </w:tr>
      <w:tr>
        <w:trPr>
          <w:cantSplit/>
          <w:trHeight w:val="1561"/>
        </w:trPr>
        <w:tc>
          <w:tcPr>
            <w:tcBorders>
              <w:top w:val="single" w:color="auto" w:sz="4" w:space="0"/>
              <w:left w:val="single" w:color="auto" w:sz="4" w:space="0"/>
              <w:right w:val="single" w:color="auto" w:sz="4" w:space="0"/>
            </w:tcBorders>
            <w:tcW w:w="851"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auto" w:sz="4" w:space="0"/>
              <w:left w:val="single" w:color="auto" w:sz="4" w:space="0"/>
              <w:right w:val="single" w:color="auto" w:sz="4" w:space="0"/>
            </w:tcBorders>
            <w:tcW w:w="1304"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人员综合实力</w:t>
            </w:r>
            <w:r/>
          </w:p>
        </w:tc>
        <w:tc>
          <w:tcPr>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numPr>
                <w:ilvl w:val="0"/>
                <w:numId w:val="0"/>
              </w:numPr>
              <w:keepLines w:val="0"/>
              <w:keepNext w:val="0"/>
              <w:pageBreakBefore w:val="0"/>
              <w:spacing w:line="32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rPr>
              <w:t xml:space="preserve">项目总负责人</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1名</w:t>
            </w:r>
            <w:r>
              <w:rPr>
                <w:rFonts w:hint="eastAsia" w:ascii="宋体" w:hAnsi="宋体" w:eastAsia="宋体" w:cs="宋体"/>
                <w:b/>
                <w:bCs/>
                <w:color w:val="auto"/>
                <w:sz w:val="24"/>
                <w:szCs w:val="24"/>
                <w:highlight w:val="none"/>
                <w:lang w:eastAsia="zh-CN"/>
              </w:rPr>
              <w:t xml:space="preserve">）：</w:t>
            </w:r>
            <w:r/>
          </w:p>
          <w:p>
            <w:pPr>
              <w:numPr>
                <w:ilvl w:val="0"/>
                <w:numId w:val="0"/>
              </w:numPr>
              <w:ind w:firstLine="240"/>
              <w:keepLines w:val="0"/>
              <w:keepNext w:val="0"/>
              <w:pageBreakBefore w:val="0"/>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环保类或安全类</w:t>
            </w:r>
            <w:r>
              <w:rPr>
                <w:rFonts w:hint="eastAsia" w:ascii="宋体" w:hAnsi="宋体" w:eastAsia="宋体" w:cs="宋体"/>
                <w:color w:val="auto"/>
                <w:sz w:val="24"/>
                <w:szCs w:val="24"/>
                <w:highlight w:val="none"/>
              </w:rPr>
              <w:t xml:space="preserve">正高级工程师</w:t>
            </w:r>
            <w:r>
              <w:rPr>
                <w:rFonts w:hint="eastAsia" w:ascii="宋体" w:hAnsi="宋体" w:eastAsia="宋体" w:cs="宋体"/>
                <w:color w:val="auto"/>
                <w:sz w:val="24"/>
                <w:szCs w:val="24"/>
                <w:highlight w:val="none"/>
                <w:lang w:val="en-US" w:eastAsia="zh-CN"/>
              </w:rPr>
              <w:t xml:space="preserve">职称的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环保类或安全类副高级工程师职称得2分；</w:t>
            </w:r>
            <w:r>
              <w:rPr>
                <w:rFonts w:hint="eastAsia" w:ascii="宋体" w:hAnsi="宋体" w:eastAsia="宋体" w:cs="宋体"/>
                <w:color w:val="auto"/>
                <w:sz w:val="24"/>
                <w:szCs w:val="24"/>
                <w:highlight w:val="none"/>
              </w:rPr>
              <w:t xml:space="preserve">具有</w:t>
            </w:r>
            <w:bookmarkStart w:id="186" w:name="OLE_LINK20"/>
            <w:r>
              <w:rPr>
                <w:rFonts w:hint="eastAsia" w:ascii="宋体" w:hAnsi="宋体" w:eastAsia="宋体" w:cs="宋体"/>
                <w:color w:val="auto"/>
                <w:sz w:val="24"/>
                <w:szCs w:val="24"/>
                <w:highlight w:val="none"/>
              </w:rPr>
              <w:t xml:space="preserve">注册环评工程师</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注册安全工程师</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注册环保工程师</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注册化工工程师</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注册咨询工程师</w:t>
            </w:r>
            <w:r>
              <w:rPr>
                <w:rFonts w:hint="eastAsia" w:ascii="宋体" w:hAnsi="宋体" w:eastAsia="宋体" w:cs="宋体"/>
                <w:color w:val="auto"/>
                <w:sz w:val="24"/>
                <w:szCs w:val="24"/>
                <w:highlight w:val="none"/>
                <w:lang w:val="en-US" w:eastAsia="zh-CN"/>
              </w:rPr>
              <w:t xml:space="preserve">的得2分</w:t>
            </w:r>
            <w:r>
              <w:rPr>
                <w:rFonts w:hint="eastAsia" w:ascii="宋体" w:hAnsi="宋体" w:eastAsia="宋体" w:cs="宋体"/>
                <w:color w:val="auto"/>
                <w:sz w:val="24"/>
                <w:szCs w:val="24"/>
                <w:highlight w:val="none"/>
              </w:rPr>
              <w:t xml:space="preserve">。</w:t>
            </w:r>
            <w:bookmarkEnd w:id="186"/>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numPr>
                <w:ilvl w:val="0"/>
                <w:numId w:val="0"/>
              </w:numPr>
              <w:jc w:val="left"/>
              <w:keepLines w:val="0"/>
              <w:keepNext w:val="0"/>
              <w:pageBreakBefore w:val="0"/>
              <w:spacing w:line="32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rPr>
              <w:t xml:space="preserve">项目</w:t>
            </w:r>
            <w:bookmarkStart w:id="187" w:name="OLE_LINK3"/>
            <w:r>
              <w:rPr>
                <w:rFonts w:hint="eastAsia" w:ascii="宋体" w:hAnsi="宋体" w:eastAsia="宋体" w:cs="宋体"/>
                <w:b/>
                <w:bCs/>
                <w:color w:val="auto"/>
                <w:sz w:val="24"/>
                <w:szCs w:val="24"/>
                <w:highlight w:val="none"/>
              </w:rPr>
              <w:t xml:space="preserve">技术负责人</w:t>
            </w:r>
            <w:bookmarkEnd w:id="187"/>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1名，不得由项目总负责人兼任</w:t>
            </w:r>
            <w:r>
              <w:rPr>
                <w:rFonts w:hint="eastAsia" w:ascii="宋体" w:hAnsi="宋体" w:eastAsia="宋体" w:cs="宋体"/>
                <w:b/>
                <w:bCs/>
                <w:color w:val="auto"/>
                <w:sz w:val="24"/>
                <w:szCs w:val="24"/>
                <w:highlight w:val="none"/>
                <w:lang w:eastAsia="zh-CN"/>
              </w:rPr>
              <w:t xml:space="preserve">）：</w:t>
            </w:r>
            <w:r/>
          </w:p>
          <w:p>
            <w:pPr>
              <w:numPr>
                <w:ilvl w:val="0"/>
                <w:numId w:val="0"/>
              </w:numPr>
              <w:ind w:firstLine="240"/>
              <w:jc w:val="left"/>
              <w:keepLines w:val="0"/>
              <w:keepNext w:val="0"/>
              <w:pageBreakBefore w:val="0"/>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环保类或安全类</w:t>
            </w:r>
            <w:r>
              <w:rPr>
                <w:rFonts w:hint="eastAsia" w:ascii="宋体" w:hAnsi="宋体" w:eastAsia="宋体" w:cs="宋体"/>
                <w:color w:val="auto"/>
                <w:sz w:val="24"/>
                <w:szCs w:val="24"/>
                <w:highlight w:val="none"/>
              </w:rPr>
              <w:t xml:space="preserve">正高级工程师</w:t>
            </w:r>
            <w:r>
              <w:rPr>
                <w:rFonts w:hint="eastAsia" w:ascii="宋体" w:hAnsi="宋体" w:eastAsia="宋体" w:cs="宋体"/>
                <w:color w:val="auto"/>
                <w:sz w:val="24"/>
                <w:szCs w:val="24"/>
                <w:highlight w:val="none"/>
                <w:lang w:val="en-US" w:eastAsia="zh-CN"/>
              </w:rPr>
              <w:t xml:space="preserve">职称</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副高级工程师职称得2分；</w:t>
            </w:r>
            <w:r>
              <w:rPr>
                <w:rFonts w:hint="eastAsia" w:ascii="宋体" w:hAnsi="宋体" w:eastAsia="宋体" w:cs="宋体"/>
                <w:color w:val="auto"/>
                <w:sz w:val="24"/>
                <w:szCs w:val="24"/>
                <w:highlight w:val="none"/>
              </w:rPr>
              <w:t xml:space="preserve">获得过</w:t>
            </w:r>
            <w:r>
              <w:rPr>
                <w:rFonts w:hint="eastAsia" w:ascii="宋体" w:hAnsi="宋体" w:eastAsia="宋体" w:cs="宋体"/>
                <w:color w:val="auto"/>
                <w:sz w:val="24"/>
                <w:szCs w:val="24"/>
                <w:highlight w:val="none"/>
                <w:lang w:val="en-US" w:eastAsia="zh-CN"/>
              </w:rPr>
              <w:t xml:space="preserve">化工园区安全类、环保类或者综合评估类</w:t>
            </w:r>
            <w:r>
              <w:rPr>
                <w:rFonts w:hint="eastAsia" w:ascii="宋体" w:hAnsi="宋体" w:eastAsia="宋体" w:cs="宋体"/>
                <w:color w:val="auto"/>
                <w:sz w:val="24"/>
                <w:szCs w:val="24"/>
                <w:highlight w:val="none"/>
              </w:rPr>
              <w:t xml:space="preserve">省</w:t>
            </w:r>
            <w:r>
              <w:rPr>
                <w:rFonts w:hint="eastAsia" w:ascii="宋体" w:hAnsi="宋体" w:eastAsia="宋体" w:cs="宋体"/>
                <w:color w:val="auto"/>
                <w:sz w:val="24"/>
                <w:szCs w:val="24"/>
                <w:highlight w:val="none"/>
                <w:lang w:val="en-US" w:eastAsia="zh-CN"/>
              </w:rPr>
              <w:t xml:space="preserve">部</w:t>
            </w:r>
            <w:r>
              <w:rPr>
                <w:rFonts w:hint="eastAsia" w:ascii="宋体" w:hAnsi="宋体" w:eastAsia="宋体" w:cs="宋体"/>
                <w:color w:val="auto"/>
                <w:sz w:val="24"/>
                <w:szCs w:val="24"/>
                <w:highlight w:val="none"/>
              </w:rPr>
              <w:t xml:space="preserve">级</w:t>
            </w:r>
            <w:r>
              <w:rPr>
                <w:rFonts w:hint="eastAsia" w:ascii="宋体" w:hAnsi="宋体" w:eastAsia="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lang w:val="en-US" w:eastAsia="zh-CN"/>
              </w:rPr>
              <w:t xml:space="preserve">主管部门</w:t>
            </w:r>
            <w:r>
              <w:rPr>
                <w:rFonts w:hint="eastAsia" w:ascii="宋体" w:hAnsi="宋体" w:cs="宋体"/>
                <w:color w:val="auto"/>
                <w:sz w:val="24"/>
                <w:szCs w:val="24"/>
                <w:highlight w:val="none"/>
                <w:lang w:val="en-US" w:eastAsia="zh-CN"/>
              </w:rPr>
              <w:t xml:space="preserve">或行业协会（学会）颁发的相关</w:t>
            </w:r>
            <w:r>
              <w:rPr>
                <w:rFonts w:hint="eastAsia" w:ascii="宋体" w:hAnsi="宋体" w:eastAsia="宋体" w:cs="宋体"/>
                <w:color w:val="auto"/>
                <w:sz w:val="24"/>
                <w:szCs w:val="24"/>
                <w:highlight w:val="none"/>
              </w:rPr>
              <w:t xml:space="preserve">奖项的得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获得过</w:t>
            </w:r>
            <w:r>
              <w:rPr>
                <w:rFonts w:hint="eastAsia" w:ascii="宋体" w:hAnsi="宋体" w:eastAsia="宋体" w:cs="宋体"/>
                <w:color w:val="auto"/>
                <w:sz w:val="24"/>
                <w:szCs w:val="24"/>
                <w:highlight w:val="none"/>
                <w:lang w:val="en-US" w:eastAsia="zh-CN"/>
              </w:rPr>
              <w:t xml:space="preserve">化工园区安全类、环保类或者综合评估类</w:t>
            </w:r>
            <w:r>
              <w:rPr>
                <w:rFonts w:hint="eastAsia" w:ascii="宋体" w:hAnsi="宋体" w:eastAsia="宋体" w:cs="宋体"/>
                <w:color w:val="auto"/>
                <w:sz w:val="24"/>
                <w:szCs w:val="24"/>
                <w:highlight w:val="none"/>
                <w:lang w:val="en-US" w:eastAsia="zh-CN"/>
              </w:rPr>
              <w:t xml:space="preserve">市级</w:t>
            </w:r>
            <w:r>
              <w:rPr>
                <w:rFonts w:hint="eastAsia" w:ascii="宋体" w:hAnsi="宋体" w:eastAsia="宋体" w:cs="宋体"/>
                <w:color w:val="auto"/>
                <w:sz w:val="24"/>
                <w:szCs w:val="24"/>
                <w:highlight w:val="none"/>
                <w:lang w:val="en-US" w:eastAsia="zh-CN"/>
              </w:rPr>
              <w:t xml:space="preserve">主管部门</w:t>
            </w:r>
            <w:r>
              <w:rPr>
                <w:rFonts w:hint="eastAsia" w:ascii="宋体" w:hAnsi="宋体" w:cs="宋体"/>
                <w:color w:val="auto"/>
                <w:sz w:val="24"/>
                <w:szCs w:val="24"/>
                <w:highlight w:val="none"/>
                <w:lang w:val="en-US" w:eastAsia="zh-CN"/>
              </w:rPr>
              <w:t xml:space="preserve">或行业协会（学会）颁发的</w:t>
            </w:r>
            <w:r>
              <w:rPr>
                <w:rFonts w:hint="eastAsia" w:ascii="宋体" w:hAnsi="宋体" w:eastAsia="宋体" w:cs="宋体"/>
                <w:color w:val="auto"/>
                <w:sz w:val="24"/>
                <w:szCs w:val="24"/>
                <w:highlight w:val="none"/>
              </w:rPr>
              <w:t xml:space="preserve">奖项</w:t>
            </w:r>
            <w:r>
              <w:rPr>
                <w:rFonts w:hint="eastAsia" w:ascii="宋体" w:hAnsi="宋体" w:eastAsia="宋体" w:cs="宋体"/>
                <w:color w:val="auto"/>
                <w:sz w:val="24"/>
                <w:szCs w:val="24"/>
                <w:highlight w:val="none"/>
                <w:lang w:val="en-US" w:eastAsia="zh-CN"/>
              </w:rPr>
              <w:t xml:space="preserve">的得1分，按最高奖项只计一次，不累计得分</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numPr>
                <w:ilvl w:val="0"/>
                <w:numId w:val="0"/>
              </w:numPr>
              <w:keepLines w:val="0"/>
              <w:keepNext w:val="0"/>
              <w:pageBreakBefore w:val="0"/>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lang w:val="en-US" w:eastAsia="zh-CN"/>
              </w:rPr>
              <w:t xml:space="preserve">项目组成员（除项目总负责人、技术负责人之外，至少配备5名成员，否则本项不得分）：</w:t>
            </w:r>
            <w:bookmarkStart w:id="188" w:name="OLE_LINK4"/>
            <w:r/>
            <w:bookmarkEnd w:id="188"/>
            <w:r/>
            <w:r/>
          </w:p>
          <w:p>
            <w:pPr>
              <w:pStyle w:val="946"/>
              <w:ind w:right="111" w:firstLine="234"/>
              <w:jc w:val="both"/>
              <w:spacing w:before="19" w:line="230" w:lineRule="auto"/>
              <w:rPr>
                <w:rFonts w:hint="eastAsia" w:ascii="宋体" w:hAnsi="宋体" w:eastAsia="宋体" w:cs="宋体"/>
                <w:color w:val="auto"/>
                <w:spacing w:val="-3"/>
                <w:highlight w:val="none"/>
                <w:lang w:eastAsia="zh-CN"/>
              </w:rPr>
            </w:pPr>
            <w:r>
              <w:rPr>
                <w:rFonts w:hint="eastAsia" w:ascii="宋体" w:hAnsi="宋体" w:eastAsia="宋体" w:cs="宋体"/>
                <w:color w:val="auto"/>
                <w:spacing w:val="-3"/>
                <w:highlight w:val="none"/>
                <w:lang w:eastAsia="zh-CN"/>
              </w:rPr>
              <w:t xml:space="preserve">（</w:t>
            </w:r>
            <w:r>
              <w:rPr>
                <w:rFonts w:hint="eastAsia" w:ascii="宋体" w:hAnsi="宋体" w:eastAsia="宋体" w:cs="宋体"/>
                <w:color w:val="auto"/>
                <w:spacing w:val="-3"/>
                <w:highlight w:val="none"/>
                <w:lang w:val="en-US" w:eastAsia="zh-CN"/>
              </w:rPr>
              <w:t xml:space="preserve">1</w:t>
            </w:r>
            <w:r>
              <w:rPr>
                <w:rFonts w:hint="eastAsia" w:ascii="宋体" w:hAnsi="宋体" w:eastAsia="宋体" w:cs="宋体"/>
                <w:color w:val="auto"/>
                <w:spacing w:val="-3"/>
                <w:highlight w:val="none"/>
                <w:lang w:eastAsia="zh-CN"/>
              </w:rPr>
              <w:t xml:space="preserve">）</w:t>
            </w:r>
            <w:r>
              <w:rPr>
                <w:rFonts w:hint="eastAsia" w:ascii="宋体" w:hAnsi="宋体" w:eastAsia="宋体" w:cs="宋体"/>
                <w:color w:val="auto"/>
                <w:spacing w:val="-3"/>
                <w:highlight w:val="none"/>
              </w:rPr>
              <w:t xml:space="preserve">具有</w:t>
            </w:r>
            <w:r>
              <w:rPr>
                <w:rFonts w:hint="eastAsia" w:ascii="宋体" w:hAnsi="宋体" w:eastAsia="宋体" w:cs="宋体"/>
                <w:color w:val="auto"/>
                <w:spacing w:val="-3"/>
                <w:highlight w:val="none"/>
                <w:lang w:val="en-US" w:eastAsia="zh-CN"/>
              </w:rPr>
              <w:t xml:space="preserve">注册环评</w:t>
            </w:r>
            <w:r>
              <w:rPr>
                <w:rFonts w:hint="eastAsia" w:ascii="宋体" w:hAnsi="宋体" w:eastAsia="宋体" w:cs="宋体"/>
                <w:color w:val="auto"/>
                <w:spacing w:val="-3"/>
                <w:highlight w:val="none"/>
              </w:rPr>
              <w:t xml:space="preserve">工程师</w:t>
            </w:r>
            <w:r>
              <w:rPr>
                <w:rFonts w:hint="eastAsia" w:ascii="宋体" w:hAnsi="宋体" w:eastAsia="宋体" w:cs="宋体"/>
                <w:color w:val="auto"/>
                <w:spacing w:val="-3"/>
                <w:highlight w:val="none"/>
                <w:lang w:val="en-US" w:eastAsia="zh-CN"/>
              </w:rPr>
              <w:t xml:space="preserve">或</w:t>
            </w:r>
            <w:r>
              <w:rPr>
                <w:rFonts w:hint="eastAsia" w:ascii="宋体" w:hAnsi="宋体" w:eastAsia="宋体" w:cs="宋体"/>
                <w:color w:val="auto"/>
                <w:spacing w:val="-3"/>
                <w:highlight w:val="none"/>
              </w:rPr>
              <w:t xml:space="preserve">注册安全工程师</w:t>
            </w:r>
            <w:r>
              <w:rPr>
                <w:rFonts w:hint="eastAsia" w:cs="宋体"/>
                <w:color w:val="auto"/>
                <w:spacing w:val="-3"/>
                <w:highlight w:val="none"/>
                <w:lang w:val="en-US" w:eastAsia="zh-CN"/>
              </w:rPr>
              <w:t xml:space="preserve">或</w:t>
            </w:r>
            <w:r>
              <w:rPr>
                <w:rFonts w:hint="eastAsia" w:ascii="宋体" w:hAnsi="宋体" w:eastAsia="宋体" w:cs="宋体"/>
                <w:color w:val="auto"/>
                <w:spacing w:val="-3"/>
                <w:highlight w:val="none"/>
              </w:rPr>
              <w:t xml:space="preserve">注册环保工程师</w:t>
            </w:r>
            <w:r>
              <w:rPr>
                <w:rFonts w:hint="eastAsia" w:ascii="宋体" w:hAnsi="宋体" w:eastAsia="宋体" w:cs="宋体"/>
                <w:color w:val="auto"/>
                <w:spacing w:val="-3"/>
                <w:highlight w:val="none"/>
                <w:lang w:val="en-US" w:eastAsia="zh-CN"/>
              </w:rPr>
              <w:t xml:space="preserve">或</w:t>
            </w:r>
            <w:r>
              <w:rPr>
                <w:rFonts w:hint="eastAsia" w:ascii="宋体" w:hAnsi="宋体" w:eastAsia="宋体" w:cs="宋体"/>
                <w:color w:val="auto"/>
                <w:spacing w:val="-3"/>
                <w:highlight w:val="none"/>
              </w:rPr>
              <w:t xml:space="preserve">注册化工工程师</w:t>
            </w:r>
            <w:r>
              <w:rPr>
                <w:rFonts w:hint="eastAsia" w:cs="宋体"/>
                <w:color w:val="auto"/>
                <w:spacing w:val="-3"/>
                <w:highlight w:val="none"/>
                <w:lang w:val="en-US" w:eastAsia="zh-CN"/>
              </w:rPr>
              <w:t xml:space="preserve">或</w:t>
            </w:r>
            <w:r>
              <w:rPr>
                <w:rFonts w:hint="eastAsia" w:ascii="宋体" w:hAnsi="宋体" w:eastAsia="宋体" w:cs="宋体"/>
                <w:color w:val="auto"/>
                <w:spacing w:val="-3"/>
                <w:highlight w:val="none"/>
              </w:rPr>
              <w:t xml:space="preserve">注册公用设备工程师（给排水）</w:t>
            </w:r>
            <w:r>
              <w:rPr>
                <w:rFonts w:hint="eastAsia" w:ascii="宋体" w:hAnsi="宋体" w:eastAsia="宋体" w:cs="宋体"/>
                <w:color w:val="auto"/>
                <w:spacing w:val="-3"/>
                <w:highlight w:val="none"/>
                <w:lang w:val="en-US" w:eastAsia="zh-CN"/>
              </w:rPr>
              <w:t xml:space="preserve">或</w:t>
            </w:r>
            <w:r>
              <w:rPr>
                <w:rFonts w:hint="eastAsia" w:ascii="宋体" w:hAnsi="宋体" w:eastAsia="宋体" w:cs="宋体"/>
                <w:color w:val="auto"/>
                <w:spacing w:val="-3"/>
                <w:highlight w:val="none"/>
              </w:rPr>
              <w:t xml:space="preserve">注册咨询工程师的</w:t>
            </w:r>
            <w:r>
              <w:rPr>
                <w:rFonts w:hint="eastAsia" w:cs="宋体"/>
                <w:color w:val="auto"/>
                <w:spacing w:val="-3"/>
                <w:highlight w:val="none"/>
                <w:lang w:eastAsia="zh-CN"/>
              </w:rPr>
              <w:t xml:space="preserve">，</w:t>
            </w:r>
            <w:r>
              <w:rPr>
                <w:rFonts w:hint="eastAsia" w:cs="宋体"/>
                <w:color w:val="auto"/>
                <w:spacing w:val="-3"/>
                <w:highlight w:val="none"/>
                <w:lang w:val="en-US" w:eastAsia="zh-CN"/>
              </w:rPr>
              <w:t xml:space="preserve">每提供一个类型的证书</w:t>
            </w:r>
            <w:r>
              <w:rPr>
                <w:rFonts w:hint="eastAsia" w:ascii="宋体" w:hAnsi="宋体" w:eastAsia="宋体" w:cs="宋体"/>
                <w:color w:val="auto"/>
                <w:spacing w:val="-3"/>
                <w:highlight w:val="none"/>
              </w:rPr>
              <w:t xml:space="preserve">得</w:t>
            </w:r>
            <w:r>
              <w:rPr>
                <w:rFonts w:hint="eastAsia" w:ascii="宋体" w:hAnsi="宋体" w:eastAsia="宋体" w:cs="宋体"/>
                <w:color w:val="auto"/>
                <w:spacing w:val="-3"/>
                <w:highlight w:val="none"/>
                <w:lang w:val="en-US" w:eastAsia="zh-CN"/>
              </w:rPr>
              <w:t xml:space="preserve">3</w:t>
            </w:r>
            <w:r>
              <w:rPr>
                <w:rFonts w:hint="eastAsia" w:ascii="宋体" w:hAnsi="宋体" w:eastAsia="宋体" w:cs="宋体"/>
                <w:color w:val="auto"/>
                <w:spacing w:val="-3"/>
                <w:highlight w:val="none"/>
              </w:rPr>
              <w:t xml:space="preserve">分</w:t>
            </w:r>
            <w:r>
              <w:rPr>
                <w:rFonts w:hint="eastAsia" w:cs="宋体"/>
                <w:color w:val="auto"/>
                <w:spacing w:val="-3"/>
                <w:highlight w:val="none"/>
                <w:lang w:eastAsia="zh-CN"/>
              </w:rPr>
              <w:t xml:space="preserve">（</w:t>
            </w:r>
            <w:r>
              <w:rPr>
                <w:rFonts w:hint="eastAsia" w:cs="宋体"/>
                <w:color w:val="auto"/>
                <w:spacing w:val="-3"/>
                <w:highlight w:val="none"/>
                <w:lang w:val="en-US" w:eastAsia="zh-CN"/>
              </w:rPr>
              <w:t xml:space="preserve">同类型的证书只计一次，不重复得分</w:t>
            </w:r>
            <w:r>
              <w:rPr>
                <w:rFonts w:hint="eastAsia" w:cs="宋体"/>
                <w:color w:val="auto"/>
                <w:spacing w:val="-3"/>
                <w:highlight w:val="none"/>
                <w:lang w:eastAsia="zh-CN"/>
              </w:rPr>
              <w:t xml:space="preserve">），</w:t>
            </w:r>
            <w:r>
              <w:rPr>
                <w:rFonts w:hint="eastAsia" w:ascii="宋体" w:hAnsi="宋体" w:eastAsia="宋体" w:cs="宋体"/>
                <w:color w:val="auto"/>
                <w:spacing w:val="-3"/>
                <w:highlight w:val="none"/>
              </w:rPr>
              <w:t xml:space="preserve">本项最高得</w:t>
            </w:r>
            <w:r>
              <w:rPr>
                <w:rFonts w:hint="eastAsia" w:ascii="宋体" w:hAnsi="宋体" w:eastAsia="宋体" w:cs="宋体"/>
                <w:color w:val="auto"/>
                <w:spacing w:val="-3"/>
                <w:highlight w:val="none"/>
                <w:lang w:val="en-US" w:eastAsia="zh-CN"/>
              </w:rPr>
              <w:t xml:space="preserve">9</w:t>
            </w:r>
            <w:r>
              <w:rPr>
                <w:rFonts w:hint="eastAsia" w:ascii="宋体" w:hAnsi="宋体" w:eastAsia="宋体" w:cs="宋体"/>
                <w:color w:val="auto"/>
                <w:spacing w:val="-3"/>
                <w:highlight w:val="none"/>
              </w:rPr>
              <w:t xml:space="preserve">分</w:t>
            </w:r>
            <w:r>
              <w:rPr>
                <w:rFonts w:hint="eastAsia" w:ascii="宋体" w:hAnsi="宋体" w:eastAsia="宋体" w:cs="宋体"/>
                <w:color w:val="auto"/>
                <w:spacing w:val="-3"/>
                <w:highlight w:val="none"/>
                <w:lang w:eastAsia="zh-CN"/>
              </w:rPr>
              <w:t xml:space="preserve">。</w:t>
            </w:r>
            <w:r/>
          </w:p>
          <w:p>
            <w:pPr>
              <w:pStyle w:val="946"/>
              <w:ind w:right="111" w:firstLine="240"/>
              <w:jc w:val="both"/>
              <w:spacing w:before="19" w:line="230" w:lineRule="auto"/>
              <w:rPr>
                <w:rFonts w:hint="eastAsia" w:ascii="宋体" w:hAnsi="宋体" w:eastAsia="宋体" w:cs="宋体"/>
                <w:color w:val="auto"/>
                <w:spacing w:val="-4"/>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spacing w:val="-4"/>
                <w:highlight w:val="none"/>
              </w:rPr>
              <w:t xml:space="preserve">具备环境工程、化学工程、水文学及水资源、自然资</w:t>
            </w:r>
            <w:r>
              <w:rPr>
                <w:rFonts w:hint="eastAsia" w:ascii="宋体" w:hAnsi="宋体" w:eastAsia="宋体" w:cs="宋体"/>
                <w:color w:val="auto"/>
                <w:spacing w:val="5"/>
                <w:highlight w:val="none"/>
              </w:rPr>
              <w:t xml:space="preserve">   </w:t>
            </w:r>
            <w:r>
              <w:rPr>
                <w:rFonts w:hint="eastAsia" w:ascii="宋体" w:hAnsi="宋体" w:eastAsia="宋体" w:cs="宋体"/>
                <w:color w:val="auto"/>
                <w:spacing w:val="-4"/>
                <w:highlight w:val="none"/>
              </w:rPr>
              <w:t xml:space="preserve">源工程、石化工程、应用化学、安全技术及工程、环境监测、</w:t>
            </w:r>
            <w:r>
              <w:rPr>
                <w:rFonts w:hint="eastAsia" w:ascii="宋体" w:hAnsi="宋体" w:eastAsia="宋体" w:cs="宋体"/>
                <w:color w:val="auto"/>
                <w:spacing w:val="2"/>
                <w:highlight w:val="none"/>
              </w:rPr>
              <w:t xml:space="preserve"> </w:t>
            </w:r>
            <w:r>
              <w:rPr>
                <w:rFonts w:hint="eastAsia" w:ascii="宋体" w:hAnsi="宋体" w:eastAsia="宋体" w:cs="宋体"/>
                <w:color w:val="auto"/>
                <w:spacing w:val="-3"/>
                <w:highlight w:val="none"/>
              </w:rPr>
              <w:t xml:space="preserve">生态学等相关专业的中级及以上职称，每具备1名得1分</w:t>
            </w:r>
            <w:r>
              <w:rPr>
                <w:rFonts w:hint="eastAsia" w:ascii="宋体" w:hAnsi="宋体" w:eastAsia="宋体" w:cs="宋体"/>
                <w:color w:val="auto"/>
                <w:spacing w:val="-3"/>
                <w:highlight w:val="none"/>
                <w:lang w:eastAsia="zh-CN"/>
              </w:rPr>
              <w:t xml:space="preserve">（</w:t>
            </w:r>
            <w:r>
              <w:rPr>
                <w:rFonts w:hint="eastAsia" w:ascii="宋体" w:hAnsi="宋体" w:eastAsia="宋体" w:cs="宋体"/>
                <w:color w:val="auto"/>
                <w:spacing w:val="-3"/>
                <w:highlight w:val="none"/>
              </w:rPr>
              <w:t xml:space="preserve">同</w:t>
            </w:r>
            <w:r>
              <w:rPr>
                <w:rFonts w:hint="eastAsia" w:ascii="宋体" w:hAnsi="宋体" w:eastAsia="宋体" w:cs="宋体"/>
                <w:color w:val="auto"/>
                <w:spacing w:val="-4"/>
                <w:highlight w:val="none"/>
              </w:rPr>
              <w:t xml:space="preserve">一人员具有不同专业职称证书的只</w:t>
            </w:r>
            <w:r>
              <w:rPr>
                <w:rFonts w:hint="eastAsia" w:cs="宋体"/>
                <w:color w:val="auto"/>
                <w:spacing w:val="-3"/>
                <w:highlight w:val="none"/>
                <w:lang w:val="en-US" w:eastAsia="zh-CN"/>
              </w:rPr>
              <w:t xml:space="preserve">计</w:t>
            </w:r>
            <w:r>
              <w:rPr>
                <w:rFonts w:hint="eastAsia" w:ascii="宋体" w:hAnsi="宋体" w:eastAsia="宋体" w:cs="宋体"/>
                <w:color w:val="auto"/>
                <w:spacing w:val="-4"/>
                <w:highlight w:val="none"/>
              </w:rPr>
              <w:t xml:space="preserve">一次分</w:t>
            </w:r>
            <w:r>
              <w:rPr>
                <w:rFonts w:hint="eastAsia" w:ascii="宋体" w:hAnsi="宋体" w:eastAsia="宋体" w:cs="宋体"/>
                <w:color w:val="auto"/>
                <w:spacing w:val="-3"/>
                <w:highlight w:val="none"/>
                <w:lang w:eastAsia="zh-CN"/>
              </w:rPr>
              <w:t xml:space="preserve">）</w:t>
            </w:r>
            <w:r>
              <w:rPr>
                <w:rFonts w:hint="eastAsia" w:ascii="宋体" w:hAnsi="宋体" w:eastAsia="宋体" w:cs="宋体"/>
                <w:color w:val="auto"/>
                <w:spacing w:val="-4"/>
                <w:highlight w:val="none"/>
              </w:rPr>
              <w:t xml:space="preserve">。最高得</w:t>
            </w:r>
            <w:r>
              <w:rPr>
                <w:rFonts w:hint="eastAsia" w:ascii="宋体" w:hAnsi="宋体" w:eastAsia="宋体" w:cs="宋体"/>
                <w:color w:val="auto"/>
                <w:spacing w:val="-4"/>
                <w:highlight w:val="none"/>
                <w:lang w:val="en-US" w:eastAsia="zh-CN"/>
              </w:rPr>
              <w:t xml:space="preserve">6</w:t>
            </w:r>
            <w:r>
              <w:rPr>
                <w:rFonts w:hint="eastAsia" w:ascii="宋体" w:hAnsi="宋体" w:eastAsia="宋体" w:cs="宋体"/>
                <w:color w:val="auto"/>
                <w:spacing w:val="-4"/>
                <w:highlight w:val="none"/>
              </w:rPr>
              <w:t xml:space="preserve">分。</w:t>
            </w:r>
            <w:r/>
          </w:p>
          <w:p>
            <w:pPr>
              <w:pStyle w:val="946"/>
              <w:ind w:right="111" w:firstLine="240"/>
              <w:jc w:val="both"/>
              <w:spacing w:before="19" w:line="23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本项最高得15分。</w:t>
            </w:r>
            <w:r/>
          </w:p>
          <w:p>
            <w:pPr>
              <w:jc w:val="left"/>
              <w:keepLines w:val="0"/>
              <w:keepNext w:val="0"/>
              <w:pageBreakBefore w:val="0"/>
              <w:spacing w:line="3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注：以上人员须同时提供</w:t>
            </w:r>
            <w:r>
              <w:rPr>
                <w:rFonts w:hint="eastAsia" w:ascii="宋体" w:hAnsi="宋体" w:eastAsia="宋体" w:cs="宋体"/>
                <w:b/>
                <w:bCs/>
                <w:color w:val="auto"/>
                <w:sz w:val="24"/>
                <w:szCs w:val="24"/>
                <w:highlight w:val="none"/>
                <w:lang w:val="en-US" w:eastAsia="zh-CN"/>
              </w:rPr>
              <w:t xml:space="preserve">人员相关证书及</w:t>
            </w:r>
            <w:r>
              <w:rPr>
                <w:rFonts w:hint="eastAsia" w:ascii="宋体" w:hAnsi="宋体" w:eastAsia="宋体" w:cs="宋体"/>
                <w:b/>
                <w:bCs/>
                <w:color w:val="auto"/>
                <w:sz w:val="24"/>
                <w:szCs w:val="24"/>
                <w:highlight w:val="none"/>
              </w:rPr>
              <w:t xml:space="preserve">供应商为其缴纳的响应截止时间（不含当月）前三个月中任意一个月的社保证明材料，否则不得分。</w:t>
            </w:r>
            <w:r/>
          </w:p>
        </w:tc>
      </w:tr>
      <w:tr>
        <w:trPr>
          <w:cantSplit/>
          <w:trHeight w:val="646"/>
        </w:trPr>
        <w:tc>
          <w:tcPr>
            <w:tcBorders>
              <w:top w:val="single" w:color="auto" w:sz="4" w:space="0"/>
              <w:left w:val="single" w:color="auto" w:sz="4" w:space="0"/>
              <w:right w:val="single" w:color="auto" w:sz="4" w:space="0"/>
            </w:tcBorders>
            <w:tcW w:w="851"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Borders>
              <w:top w:val="single" w:color="auto" w:sz="4" w:space="0"/>
              <w:left w:val="single" w:color="auto" w:sz="4" w:space="0"/>
              <w:right w:val="single" w:color="auto" w:sz="4" w:space="0"/>
            </w:tcBorders>
            <w:tcW w:w="1304"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项目理解</w:t>
            </w:r>
            <w:r/>
          </w:p>
        </w:tc>
        <w:tc>
          <w:tcPr>
            <w:tcBorders>
              <w:top w:val="single" w:color="auto" w:sz="4" w:space="0"/>
              <w:left w:val="single" w:color="auto" w:sz="4" w:space="0"/>
              <w:right w:val="single" w:color="auto" w:sz="4" w:space="0"/>
            </w:tcBorders>
            <w:tcW w:w="99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6486" w:type="dxa"/>
            <w:vAlign w:val="top"/>
            <w:textDirection w:val="lrTb"/>
            <w:noWrap w:val="false"/>
          </w:tcPr>
          <w:p>
            <w:pPr>
              <w:jc w:val="left"/>
              <w:keepLines w:val="0"/>
              <w:keepNext w:val="0"/>
              <w:pageBreakBefore w:val="0"/>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供应商对本项目背景、项目工作范围、工作对象、技术路线、工作内容及最终成果的了解：</w:t>
            </w:r>
            <w:r/>
          </w:p>
          <w:p>
            <w:pPr>
              <w:numPr>
                <w:ilvl w:val="0"/>
                <w:numId w:val="0"/>
              </w:numPr>
              <w:jc w:val="left"/>
              <w:keepLines w:val="0"/>
              <w:keepNext w:val="0"/>
              <w:pageBreakBefore w:val="0"/>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对项目认知明确、具体，贴合项目实际，提供详细的说明和分析的得10分；</w:t>
            </w:r>
            <w:r/>
          </w:p>
          <w:p>
            <w:pPr>
              <w:numPr>
                <w:ilvl w:val="0"/>
                <w:numId w:val="0"/>
              </w:numPr>
              <w:jc w:val="left"/>
              <w:keepLines w:val="0"/>
              <w:keepNext w:val="0"/>
              <w:pageBreakBefore w:val="0"/>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对项目较为了解，并提供较为详细的说明和分析，基本贴合项目实际的得7分；</w:t>
            </w:r>
            <w:r/>
          </w:p>
          <w:p>
            <w:pPr>
              <w:numPr>
                <w:ilvl w:val="0"/>
                <w:numId w:val="0"/>
              </w:numPr>
              <w:jc w:val="left"/>
              <w:keepLines w:val="0"/>
              <w:keepNext w:val="0"/>
              <w:pageBreakBefore w:val="0"/>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rPr>
              <w:t xml:space="preserve">对项目情况基本了解，相关内容分析合理性一般的得4分；</w:t>
            </w:r>
            <w:r/>
          </w:p>
          <w:p>
            <w:pPr>
              <w:numPr>
                <w:ilvl w:val="0"/>
                <w:numId w:val="0"/>
              </w:numPr>
              <w:jc w:val="left"/>
              <w:keepLines w:val="0"/>
              <w:keepNext w:val="0"/>
              <w:pageBreakBefore w:val="0"/>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rPr>
              <w:t xml:space="preserve">未提供不得分。</w:t>
            </w:r>
            <w:r/>
          </w:p>
        </w:tc>
      </w:tr>
      <w:tr>
        <w:trPr>
          <w:cantSplit/>
          <w:trHeight w:val="646"/>
        </w:trPr>
        <w:tc>
          <w:tcPr>
            <w:tcBorders>
              <w:top w:val="single" w:color="auto" w:sz="4" w:space="0"/>
              <w:left w:val="single" w:color="auto" w:sz="4" w:space="0"/>
              <w:right w:val="single" w:color="auto" w:sz="4" w:space="0"/>
            </w:tcBorders>
            <w:tcW w:w="851"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c>
          <w:tcPr>
            <w:tcBorders>
              <w:top w:val="single" w:color="auto" w:sz="4" w:space="0"/>
              <w:left w:val="single" w:color="auto" w:sz="4" w:space="0"/>
              <w:right w:val="single" w:color="auto" w:sz="4" w:space="0"/>
            </w:tcBorders>
            <w:tcW w:w="1304"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rPr>
              <w:t xml:space="preserve">工作方案</w:t>
            </w:r>
            <w:r/>
          </w:p>
        </w:tc>
        <w:tc>
          <w:tcPr>
            <w:tcBorders>
              <w:top w:val="single" w:color="auto" w:sz="4" w:space="0"/>
              <w:left w:val="single" w:color="auto" w:sz="4" w:space="0"/>
              <w:right w:val="single" w:color="auto" w:sz="4" w:space="0"/>
            </w:tcBorders>
            <w:tcW w:w="99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15分</w:t>
            </w:r>
            <w:r/>
          </w:p>
        </w:tc>
        <w:tc>
          <w:tcPr>
            <w:tcBorders>
              <w:top w:val="single" w:color="auto" w:sz="4" w:space="0"/>
              <w:left w:val="single" w:color="auto" w:sz="4" w:space="0"/>
              <w:bottom w:val="single" w:color="auto" w:sz="4" w:space="0"/>
              <w:right w:val="single" w:color="auto" w:sz="4" w:space="0"/>
            </w:tcBorders>
            <w:tcW w:w="6486" w:type="dxa"/>
            <w:vAlign w:val="top"/>
            <w:textDirection w:val="lrTb"/>
            <w:noWrap w:val="false"/>
          </w:tcPr>
          <w:p>
            <w:pPr>
              <w:jc w:val="left"/>
              <w:keepLines w:val="0"/>
              <w:keepNext w:val="0"/>
              <w:pageBreakBefore w:val="0"/>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工作方案符合采购单位需求，项目技术路线清晰、详尽，人员设备配备充足等方面：</w:t>
            </w:r>
            <w:r/>
          </w:p>
          <w:p>
            <w:pPr>
              <w:jc w:val="left"/>
              <w:keepLines w:val="0"/>
              <w:keepNext w:val="0"/>
              <w:pageBreakBefore w:val="0"/>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1.方案内容详细、全面的得15分；</w:t>
            </w:r>
            <w:r/>
          </w:p>
          <w:p>
            <w:pPr>
              <w:jc w:val="left"/>
              <w:keepLines w:val="0"/>
              <w:keepNext w:val="0"/>
              <w:pageBreakBefore w:val="0"/>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2.方案内容较为详细、全面的得12分；</w:t>
            </w:r>
            <w:r/>
          </w:p>
          <w:p>
            <w:pPr>
              <w:jc w:val="left"/>
              <w:keepLines w:val="0"/>
              <w:keepNext w:val="0"/>
              <w:pageBreakBefore w:val="0"/>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3.方案内容能基本保障工作实施的得9分；</w:t>
            </w:r>
            <w:r/>
          </w:p>
          <w:p>
            <w:pPr>
              <w:jc w:val="left"/>
              <w:keepLines w:val="0"/>
              <w:keepNext w:val="0"/>
              <w:pageBreakBefore w:val="0"/>
              <w:spacing w:line="3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4.未提供的不得分。</w:t>
            </w:r>
            <w:r/>
          </w:p>
        </w:tc>
      </w:tr>
      <w:tr>
        <w:trPr>
          <w:cantSplit/>
          <w:trHeight w:val="1187"/>
        </w:trPr>
        <w:tc>
          <w:tcPr>
            <w:tcBorders>
              <w:left w:val="single" w:color="auto" w:sz="4" w:space="0"/>
              <w:right w:val="single" w:color="auto" w:sz="4" w:space="0"/>
            </w:tcBorders>
            <w:tcW w:w="851"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Borders>
              <w:left w:val="single" w:color="auto" w:sz="4" w:space="0"/>
              <w:right w:val="single" w:color="auto" w:sz="4" w:space="0"/>
            </w:tcBorders>
            <w:tcW w:w="1304"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人员、进度保障方案</w:t>
            </w:r>
            <w:r/>
          </w:p>
        </w:tc>
        <w:tc>
          <w:tcPr>
            <w:tcBorders>
              <w:left w:val="single" w:color="auto" w:sz="4" w:space="0"/>
              <w:right w:val="single" w:color="auto" w:sz="4" w:space="0"/>
            </w:tcBorders>
            <w:tcW w:w="99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6486" w:type="dxa"/>
            <w:vAlign w:val="top"/>
            <w:textDirection w:val="lrTb"/>
            <w:noWrap w:val="false"/>
          </w:tcPr>
          <w:p>
            <w:pPr>
              <w:jc w:val="left"/>
              <w:keepLines w:val="0"/>
              <w:keepNext w:val="0"/>
              <w:pageBreakBefore w:val="0"/>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根据供应商对本项目提供的项目组工作人员组织架构设置、服务时效响应、进度计划等的科学性、合理性、有效性、紧密程度等进行评审：</w:t>
            </w:r>
            <w:r/>
          </w:p>
          <w:p>
            <w:pPr>
              <w:jc w:val="left"/>
              <w:keepLines w:val="0"/>
              <w:keepNext w:val="0"/>
              <w:pageBreakBefore w:val="0"/>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1.组织架构设置完整、服务时效响应高、进度计划完整的，得10分；</w:t>
            </w:r>
            <w:r/>
          </w:p>
          <w:p>
            <w:pPr>
              <w:jc w:val="left"/>
              <w:keepLines w:val="0"/>
              <w:keepNext w:val="0"/>
              <w:pageBreakBefore w:val="0"/>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2.组织架构设置较完整、服务时效响应较高、进度计划较完整的，得7分；</w:t>
            </w:r>
            <w:r/>
          </w:p>
          <w:p>
            <w:pPr>
              <w:jc w:val="left"/>
              <w:keepLines w:val="0"/>
              <w:keepNext w:val="0"/>
              <w:pageBreakBefore w:val="0"/>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3.组织架构设置一般、服务时效响应中等、进度计划一般完整的，得4分；</w:t>
            </w:r>
            <w:r/>
          </w:p>
          <w:p>
            <w:pPr>
              <w:jc w:val="left"/>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4.未提供不得分。</w:t>
            </w:r>
            <w:r/>
          </w:p>
        </w:tc>
      </w:tr>
      <w:tr>
        <w:trPr>
          <w:cantSplit/>
          <w:trHeight w:val="1988"/>
        </w:trPr>
        <w:tc>
          <w:tcPr>
            <w:tcBorders>
              <w:left w:val="single" w:color="auto" w:sz="4" w:space="0"/>
              <w:right w:val="single" w:color="auto" w:sz="4" w:space="0"/>
            </w:tcBorders>
            <w:tcW w:w="851"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Borders>
              <w:left w:val="single" w:color="auto" w:sz="4" w:space="0"/>
              <w:right w:val="single" w:color="auto" w:sz="4" w:space="0"/>
            </w:tcBorders>
            <w:tcW w:w="1304"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质量保证及售后服务方案</w:t>
            </w:r>
            <w:r/>
          </w:p>
        </w:tc>
        <w:tc>
          <w:tcPr>
            <w:tcBorders>
              <w:left w:val="single" w:color="auto" w:sz="4" w:space="0"/>
              <w:right w:val="single" w:color="auto" w:sz="4" w:space="0"/>
            </w:tcBorders>
            <w:tcW w:w="99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jc w:val="both"/>
              <w:keepLines w:val="0"/>
              <w:keepNext w:val="0"/>
              <w:pageBreakBefore w:val="0"/>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根据供应商对本项目制定的质量保证和售后服务措施进行评审：</w:t>
            </w:r>
            <w:r/>
          </w:p>
          <w:p>
            <w:pPr>
              <w:jc w:val="both"/>
              <w:keepLines w:val="0"/>
              <w:keepNext w:val="0"/>
              <w:pageBreakBefore w:val="0"/>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1.质量保证、售后服务措施全面、完整的，得8分；</w:t>
            </w:r>
            <w:r/>
          </w:p>
          <w:p>
            <w:pPr>
              <w:jc w:val="both"/>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2.质量保证、售后服务措施基本全面、基本完整的，得6分；3.质量保证、售后服务措施不够全面、不够完整的，得4分；4.未提供不得分。</w:t>
            </w:r>
            <w:r/>
          </w:p>
        </w:tc>
      </w:tr>
    </w:tbl>
    <w:p>
      <w:pPr>
        <w:spacing w:line="520" w:lineRule="exact"/>
        <w:tabs>
          <w:tab w:val="left" w:pos="2850" w:leader="none"/>
          <w:tab w:val="center" w:pos="41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rPr>
        <w:t xml:space="preserve">以上评标办法中所涉及到的相关业绩证明材料、企业及人员证书等，</w:t>
      </w:r>
      <w:r>
        <w:rPr>
          <w:rFonts w:hint="eastAsia" w:ascii="宋体" w:hAnsi="宋体" w:cs="宋体"/>
          <w:b/>
          <w:bCs/>
          <w:color w:val="auto"/>
          <w:sz w:val="24"/>
          <w:szCs w:val="24"/>
          <w:highlight w:val="none"/>
          <w:lang w:val="en-US" w:eastAsia="zh-CN"/>
        </w:rPr>
        <w:t xml:space="preserve">采购人有权</w:t>
      </w:r>
      <w:r>
        <w:rPr>
          <w:rFonts w:hint="eastAsia" w:ascii="宋体" w:hAnsi="宋体" w:eastAsia="宋体" w:cs="宋体"/>
          <w:b/>
          <w:bCs/>
          <w:color w:val="auto"/>
          <w:sz w:val="24"/>
          <w:szCs w:val="24"/>
          <w:highlight w:val="none"/>
        </w:rPr>
        <w:t xml:space="preserve">在成交后</w:t>
      </w:r>
      <w:r>
        <w:rPr>
          <w:rFonts w:hint="eastAsia" w:ascii="宋体" w:hAnsi="宋体" w:cs="宋体"/>
          <w:b/>
          <w:bCs/>
          <w:strike w:val="0"/>
          <w:color w:val="auto"/>
          <w:sz w:val="24"/>
          <w:szCs w:val="24"/>
          <w:highlight w:val="none"/>
          <w:lang w:val="en-US" w:eastAsia="zh-CN"/>
        </w:rPr>
        <w:t xml:space="preserve">要求成交供应商</w:t>
      </w:r>
      <w:r>
        <w:rPr>
          <w:rFonts w:hint="eastAsia" w:ascii="宋体" w:hAnsi="宋体" w:eastAsia="宋体" w:cs="宋体"/>
          <w:b/>
          <w:bCs/>
          <w:color w:val="auto"/>
          <w:sz w:val="24"/>
          <w:szCs w:val="24"/>
          <w:highlight w:val="none"/>
        </w:rPr>
        <w:t xml:space="preserve">提供所有原件核查。若不能按</w:t>
      </w:r>
      <w:r>
        <w:rPr>
          <w:rFonts w:hint="eastAsia" w:ascii="宋体" w:hAnsi="宋体" w:cs="宋体"/>
          <w:b/>
          <w:bCs/>
          <w:color w:val="auto"/>
          <w:sz w:val="24"/>
          <w:szCs w:val="24"/>
          <w:highlight w:val="none"/>
          <w:lang w:val="en-US" w:eastAsia="zh-CN"/>
        </w:rPr>
        <w:t xml:space="preserve">要求</w:t>
      </w:r>
      <w:r>
        <w:rPr>
          <w:rFonts w:hint="eastAsia" w:ascii="宋体" w:hAnsi="宋体" w:eastAsia="宋体" w:cs="宋体"/>
          <w:b/>
          <w:bCs/>
          <w:color w:val="auto"/>
          <w:sz w:val="24"/>
          <w:szCs w:val="24"/>
          <w:highlight w:val="none"/>
        </w:rPr>
        <w:t xml:space="preserve">提供或提供虚假材料的，采购人有权取消其成交资格。</w:t>
      </w:r>
      <w:r/>
    </w:p>
    <w:p>
      <w:pPr>
        <w:jc w:val="center"/>
        <w:rPr>
          <w:rFonts w:hint="eastAsia" w:ascii="宋体" w:hAnsi="宋体" w:eastAsia="宋体" w:cs="宋体"/>
          <w:color w:val="auto"/>
          <w:sz w:val="44"/>
          <w:szCs w:val="44"/>
          <w:highlight w:val="none"/>
        </w:rPr>
        <w:outlineLvl w:val="0"/>
      </w:pPr>
      <w:r/>
      <w:bookmarkStart w:id="189" w:name="_Toc28376"/>
      <w:r/>
      <w:r/>
    </w:p>
    <w:p>
      <w:pPr>
        <w:pStyle w:val="932"/>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rPr>
          <w:rFonts w:hint="eastAsia"/>
          <w:highlight w:val="none"/>
        </w:rPr>
      </w:pPr>
      <w:r>
        <w:rPr>
          <w:rFonts w:hint="eastAsia"/>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第六章  响应文件格式</w:t>
      </w:r>
      <w:bookmarkEnd w:id="189"/>
      <w:r/>
      <w:r/>
    </w:p>
    <w:p>
      <w:pPr>
        <w:pStyle w:val="930"/>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bookmarkStart w:id="190" w:name="_Hlt26955039"/>
      <w:r/>
      <w:bookmarkEnd w:id="190"/>
      <w:r/>
      <w:bookmarkStart w:id="191" w:name="_Toc120614282"/>
      <w:r/>
      <w:bookmarkEnd w:id="191"/>
      <w:r/>
      <w:bookmarkStart w:id="192" w:name="_Toc26554094"/>
      <w:r/>
      <w:bookmarkEnd w:id="192"/>
      <w:r/>
      <w:bookmarkStart w:id="193" w:name="_Hlt26671244"/>
      <w:r/>
      <w:bookmarkEnd w:id="193"/>
      <w:r/>
      <w:bookmarkStart w:id="194" w:name="_Toc49090576"/>
      <w:r/>
      <w:bookmarkEnd w:id="194"/>
      <w:r>
        <w:rPr>
          <w:rFonts w:hint="eastAsia" w:ascii="宋体" w:hAnsi="宋体" w:eastAsia="宋体" w:cs="宋体"/>
          <w:b/>
          <w:bCs/>
          <w:color w:val="auto"/>
          <w:sz w:val="72"/>
          <w:szCs w:val="72"/>
          <w:highlight w:val="none"/>
        </w:rPr>
        <w:t xml:space="preserve">响  应  文  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0"/>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0"/>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名 称：</w:t>
      </w:r>
      <w:r>
        <w:rPr>
          <w:rFonts w:hint="eastAsia" w:ascii="宋体" w:hAnsi="宋体" w:eastAsia="宋体" w:cs="宋体"/>
          <w:b/>
          <w:bCs/>
          <w:color w:val="auto"/>
          <w:sz w:val="32"/>
          <w:szCs w:val="32"/>
          <w:highlight w:val="none"/>
          <w:u w:val="singl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编 号：</w:t>
      </w:r>
      <w:r>
        <w:rPr>
          <w:rFonts w:hint="eastAsia" w:ascii="宋体" w:hAnsi="宋体" w:eastAsia="宋体" w:cs="宋体"/>
          <w:b/>
          <w:bCs/>
          <w:color w:val="auto"/>
          <w:sz w:val="32"/>
          <w:szCs w:val="32"/>
          <w:highlight w:val="none"/>
          <w:u w:val="singl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供应商名称 ：</w:t>
      </w:r>
      <w:r>
        <w:rPr>
          <w:rFonts w:hint="eastAsia" w:ascii="宋体" w:hAnsi="宋体" w:eastAsia="宋体" w:cs="宋体"/>
          <w:b/>
          <w:bCs/>
          <w:color w:val="auto"/>
          <w:sz w:val="32"/>
          <w:szCs w:val="32"/>
          <w:highlight w:val="none"/>
          <w:u w:val="single"/>
        </w:rPr>
        <w:t xml:space="preserve">（加盖CA电子公章）</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日   期 ：</w:t>
      </w:r>
      <w:r>
        <w:rPr>
          <w:rFonts w:hint="eastAsia" w:ascii="宋体" w:hAnsi="宋体" w:eastAsia="宋体" w:cs="宋体"/>
          <w:b/>
          <w:bCs/>
          <w:color w:val="auto"/>
          <w:sz w:val="32"/>
          <w:szCs w:val="32"/>
          <w:highlight w:val="none"/>
          <w:u w:val="singl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0"/>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0"/>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0"/>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0"/>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响应文件目录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一、</w:t>
      </w:r>
      <w:r>
        <w:rPr>
          <w:rFonts w:hint="eastAsia" w:ascii="宋体" w:hAnsi="宋体" w:eastAsia="宋体" w:cs="宋体"/>
          <w:b/>
          <w:bCs/>
          <w:color w:val="auto"/>
          <w:sz w:val="24"/>
          <w:szCs w:val="24"/>
          <w:highlight w:val="none"/>
          <w:u w:val="single"/>
        </w:rPr>
        <w:t xml:space="preserve">具有独立承担民事责任的能力</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法人或者其他组织的营业执照等证明文件或者自然人的身份证明</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二、</w:t>
      </w:r>
      <w:r>
        <w:rPr>
          <w:rFonts w:hint="eastAsia" w:ascii="宋体" w:hAnsi="宋体" w:eastAsia="宋体" w:cs="宋体"/>
          <w:b/>
          <w:bCs/>
          <w:color w:val="auto"/>
          <w:sz w:val="24"/>
          <w:szCs w:val="24"/>
          <w:highlight w:val="none"/>
          <w:u w:val="single"/>
        </w:rPr>
        <w:t xml:space="preserve">具有良好的商业信誉和健全的财务会计制度</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供应商近六个月中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三、</w:t>
      </w:r>
      <w:r>
        <w:rPr>
          <w:rFonts w:hint="eastAsia" w:ascii="宋体" w:hAnsi="宋体" w:eastAsia="宋体" w:cs="宋体"/>
          <w:b/>
          <w:bCs/>
          <w:color w:val="auto"/>
          <w:sz w:val="24"/>
          <w:szCs w:val="24"/>
          <w:highlight w:val="none"/>
          <w:u w:val="single"/>
        </w:rPr>
        <w:t xml:space="preserve">有依法缴纳税收和社会保障资金的良好记录：</w:t>
      </w:r>
      <w:r>
        <w:rPr>
          <w:rFonts w:hint="eastAsia" w:ascii="宋体" w:hAnsi="宋体" w:eastAsia="宋体" w:cs="宋体"/>
          <w:color w:val="auto"/>
          <w:sz w:val="24"/>
          <w:szCs w:val="24"/>
          <w:highlight w:val="none"/>
          <w:u w:val="single"/>
        </w:rPr>
        <w:t xml:space="preserve">提供供应商近六个月中任意一个月份（不含磋商响应文件递交当月）依法缴纳税收及缴纳社会保障资金的证明材料。磋商供应商依法享受缓缴、免缴税收、社会保障资金的提供证明材料</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四</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具有</w:t>
      </w:r>
      <w:r>
        <w:rPr>
          <w:rFonts w:hint="eastAsia" w:ascii="宋体" w:hAnsi="宋体" w:eastAsia="宋体" w:cs="宋体"/>
          <w:color w:val="auto"/>
          <w:sz w:val="24"/>
          <w:szCs w:val="24"/>
          <w:highlight w:val="none"/>
          <w:u w:val="single"/>
        </w:rPr>
        <w:t xml:space="preserve">履行合同所必需的设备和专业技术能力的书面声明</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五、参加政府采购活动前三年内，在经营活动中没有重大违法记录的书面声明</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六、特定资格要求的证明文件（如果本项目设置特定资格要求，则需要提供）</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七、法人授权书</w:t>
      </w:r>
      <w:r/>
    </w:p>
    <w:p>
      <w:pPr>
        <w:ind w:left="0" w:firstLine="480"/>
        <w:keepLines w:val="0"/>
        <w:keepNext w:val="0"/>
        <w:pageBreakBefore w:val="0"/>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rPr>
        <w:t xml:space="preserve">八、磋商响应函、磋商报价表</w:t>
      </w:r>
      <w:r>
        <w:rPr>
          <w:rFonts w:hint="eastAsia" w:ascii="宋体" w:hAnsi="宋体" w:eastAsia="宋体" w:cs="宋体"/>
          <w:strike w:val="0"/>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报价明细表</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九、中小企业声明函或监狱企业、残疾人福利性单位的证明资料（如有）</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十、商务及技术要求响应及偏离表；</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十</w:t>
      </w:r>
      <w:r>
        <w:rPr>
          <w:rFonts w:hint="eastAsia" w:ascii="宋体" w:hAnsi="宋体" w:cs="宋体"/>
          <w:color w:val="auto"/>
          <w:sz w:val="24"/>
          <w:szCs w:val="24"/>
          <w:highlight w:val="none"/>
          <w:u w:val="single"/>
          <w:lang w:val="en-US" w:eastAsia="zh-CN"/>
        </w:rPr>
        <w:t xml:space="preserve">一</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响应</w:t>
      </w:r>
      <w:r>
        <w:rPr>
          <w:rFonts w:hint="eastAsia" w:ascii="宋体" w:hAnsi="宋体" w:eastAsia="宋体" w:cs="宋体"/>
          <w:color w:val="auto"/>
          <w:sz w:val="24"/>
          <w:szCs w:val="24"/>
          <w:highlight w:val="none"/>
          <w:u w:val="single"/>
        </w:rPr>
        <w:t xml:space="preserve">承诺书</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十</w:t>
      </w:r>
      <w:r>
        <w:rPr>
          <w:rFonts w:hint="eastAsia" w:ascii="宋体" w:hAnsi="宋体" w:cs="宋体"/>
          <w:color w:val="auto"/>
          <w:sz w:val="24"/>
          <w:szCs w:val="24"/>
          <w:highlight w:val="none"/>
          <w:u w:val="single"/>
          <w:lang w:val="en-US" w:eastAsia="zh-CN"/>
        </w:rPr>
        <w:t xml:space="preserve">二</w:t>
      </w:r>
      <w:r>
        <w:rPr>
          <w:rFonts w:hint="eastAsia" w:ascii="宋体" w:hAnsi="宋体" w:eastAsia="宋体" w:cs="宋体"/>
          <w:color w:val="auto"/>
          <w:sz w:val="24"/>
          <w:szCs w:val="24"/>
          <w:highlight w:val="none"/>
          <w:u w:val="single"/>
        </w:rPr>
        <w:t xml:space="preserve">、按照评分办法应当递交的其他资料</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十</w:t>
      </w:r>
      <w:r>
        <w:rPr>
          <w:rFonts w:hint="eastAsia" w:ascii="宋体" w:hAnsi="宋体" w:cs="宋体"/>
          <w:color w:val="auto"/>
          <w:sz w:val="24"/>
          <w:szCs w:val="24"/>
          <w:highlight w:val="none"/>
          <w:u w:val="single"/>
          <w:lang w:val="en-US" w:eastAsia="zh-CN"/>
        </w:rPr>
        <w:t xml:space="preserve">三</w:t>
      </w:r>
      <w:r>
        <w:rPr>
          <w:rFonts w:hint="eastAsia" w:ascii="宋体" w:hAnsi="宋体" w:eastAsia="宋体" w:cs="宋体"/>
          <w:color w:val="auto"/>
          <w:sz w:val="24"/>
          <w:szCs w:val="24"/>
          <w:highlight w:val="none"/>
          <w:u w:val="single"/>
        </w:rPr>
        <w:t xml:space="preserve">、质疑函范本</w:t>
      </w:r>
      <w:r/>
    </w:p>
    <w:p>
      <w:pPr>
        <w:pStyle w:val="933"/>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0"/>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0"/>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0"/>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0"/>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0"/>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0"/>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一、法人或者其他组织的营业执照等证明文件或者自然人的身份证明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二、供应商</w:t>
      </w:r>
      <w:r>
        <w:rPr>
          <w:rFonts w:hint="eastAsia" w:ascii="宋体" w:hAnsi="宋体" w:eastAsia="宋体" w:cs="宋体"/>
          <w:color w:val="auto"/>
          <w:sz w:val="32"/>
          <w:szCs w:val="32"/>
          <w:highlight w:val="none"/>
          <w:u w:val="single"/>
          <w:lang w:val="en-US" w:eastAsia="zh-CN"/>
        </w:rPr>
        <w:t xml:space="preserve">近六个月中</w:t>
      </w:r>
      <w:r>
        <w:rPr>
          <w:rFonts w:hint="eastAsia" w:ascii="宋体" w:hAnsi="宋体" w:eastAsia="宋体" w:cs="宋体"/>
          <w:color w:val="auto"/>
          <w:sz w:val="32"/>
          <w:szCs w:val="32"/>
          <w:highlight w:val="none"/>
          <w:u w:val="single"/>
        </w:rPr>
        <w:t xml:space="preserve">任意一个月份（不含磋商响应文件递交当月）的财务状况报告（资产负债表和利润表）或由会计师事务所出具的近两年中任意一个年度的审计报告复印件；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其他组织、自然人及成立未满一年的法人应提供银行出具的资信证明</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三、依法缴纳税收和社会保障资金的相关材料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提供近六个月中任意一个月份（不含磋商响应文件递交当月）依法缴纳税收及缴纳社会保障资金的证明材料。供应商依法享受缓缴、免缴税收、社会保障资金的提供证明材料。</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四、具</w:t>
      </w:r>
      <w:r>
        <w:rPr>
          <w:rFonts w:hint="eastAsia" w:ascii="宋体" w:hAnsi="宋体" w:cs="宋体"/>
          <w:color w:val="auto"/>
          <w:sz w:val="32"/>
          <w:szCs w:val="32"/>
          <w:highlight w:val="none"/>
          <w:u w:val="single"/>
          <w:lang w:val="en-US" w:eastAsia="zh-CN"/>
        </w:rPr>
        <w:t xml:space="preserve">有</w:t>
      </w:r>
      <w:r>
        <w:rPr>
          <w:rFonts w:hint="eastAsia" w:ascii="宋体" w:hAnsi="宋体" w:eastAsia="宋体" w:cs="宋体"/>
          <w:color w:val="auto"/>
          <w:sz w:val="32"/>
          <w:szCs w:val="32"/>
          <w:highlight w:val="none"/>
          <w:u w:val="single"/>
        </w:rPr>
        <w:t xml:space="preserve">履行合同所必需的设备和专业技术能力的书面声明</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i/>
          <w:iCs/>
          <w:color w:val="auto"/>
          <w:sz w:val="24"/>
          <w:szCs w:val="24"/>
          <w:highlight w:val="none"/>
        </w:rPr>
      </w:pPr>
      <w:r>
        <w:rPr>
          <w:rFonts w:hint="eastAsia" w:ascii="宋体" w:hAnsi="宋体" w:eastAsia="宋体" w:cs="宋体"/>
          <w:i/>
          <w:iCs/>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五、参加政府采购活动前</w:t>
      </w:r>
      <w:r>
        <w:rPr>
          <w:rFonts w:hint="eastAsia" w:ascii="宋体" w:hAnsi="宋体" w:cs="宋体"/>
          <w:color w:val="auto"/>
          <w:sz w:val="32"/>
          <w:szCs w:val="32"/>
          <w:highlight w:val="none"/>
          <w:u w:val="single"/>
          <w:lang w:val="en-US" w:eastAsia="zh-CN"/>
        </w:rPr>
        <w:t xml:space="preserve">3</w:t>
      </w:r>
      <w:r>
        <w:rPr>
          <w:rFonts w:hint="eastAsia" w:ascii="宋体" w:hAnsi="宋体" w:eastAsia="宋体" w:cs="宋体"/>
          <w:color w:val="auto"/>
          <w:sz w:val="32"/>
          <w:szCs w:val="32"/>
          <w:highlight w:val="none"/>
          <w:u w:val="single"/>
        </w:rPr>
        <w:t xml:space="preserve">年内在经营活动中没有重大违法记录的书面声明</w:t>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44"/>
          <w:szCs w:val="44"/>
          <w:highlight w:val="none"/>
        </w:rPr>
        <w:t xml:space="preserve">声  明</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我单位郑重声明：参加本次政府采购活动前</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年内，我单位在经营活动中没有因违法经营受到刑事处罚或者责令停产停业、吊销许可证或者执照、较大数额罚款等行政处罚。</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32"/>
          <w:szCs w:val="32"/>
          <w:highlight w:val="none"/>
          <w:u w:val="single"/>
        </w:rPr>
        <w:t xml:space="preserve">六、特定资格要求的证明文件</w:t>
      </w:r>
      <w:r>
        <w:rPr>
          <w:rFonts w:hint="eastAsia" w:ascii="宋体" w:hAnsi="宋体" w:cs="宋体"/>
          <w:color w:val="auto"/>
          <w:sz w:val="32"/>
          <w:szCs w:val="32"/>
          <w:highlight w:val="none"/>
          <w:u w:val="single"/>
          <w:lang w:eastAsia="zh-CN"/>
        </w:rPr>
        <w:t xml:space="preserve">（</w:t>
      </w:r>
      <w:r>
        <w:rPr>
          <w:rFonts w:hint="eastAsia" w:ascii="宋体" w:hAnsi="宋体" w:cs="宋体"/>
          <w:color w:val="auto"/>
          <w:sz w:val="32"/>
          <w:szCs w:val="32"/>
          <w:highlight w:val="none"/>
          <w:u w:val="single"/>
          <w:lang w:val="en-US" w:eastAsia="zh-CN"/>
        </w:rPr>
        <w:t xml:space="preserve">如有</w:t>
      </w:r>
      <w:r>
        <w:rPr>
          <w:rFonts w:hint="eastAsia" w:ascii="宋体" w:hAnsi="宋体" w:cs="宋体"/>
          <w:color w:val="auto"/>
          <w:sz w:val="32"/>
          <w:szCs w:val="32"/>
          <w:highlight w:val="none"/>
          <w:u w:val="single"/>
          <w:lang w:eastAsia="zh-CN"/>
        </w:rPr>
        <w:t xml:space="preserve">）</w:t>
      </w:r>
      <w:r/>
    </w:p>
    <w:p>
      <w:pPr>
        <w:pStyle w:val="929"/>
        <w:rPr>
          <w:rFonts w:hint="eastAsia"/>
          <w:color w:val="auto"/>
          <w:highlight w:val="none"/>
          <w:lang w:val="en-US" w:eastAsia="zh-CN"/>
        </w:rPr>
      </w:pPr>
      <w:r>
        <w:rPr>
          <w:rFonts w:hint="eastAsia"/>
          <w:color w:val="auto"/>
          <w:highlight w:val="none"/>
          <w:lang w:val="en-US" w:eastAsia="zh-CN"/>
        </w:rPr>
      </w:r>
      <w:r/>
    </w:p>
    <w:p>
      <w:pPr>
        <w:pStyle w:val="929"/>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i/>
          <w:iCs/>
          <w:color w:val="auto"/>
          <w:sz w:val="32"/>
          <w:szCs w:val="32"/>
          <w:highlight w:val="none"/>
          <w:u w:val="single"/>
        </w:rPr>
      </w:pPr>
      <w:r/>
      <w:bookmarkStart w:id="195" w:name="_Toc120614284"/>
      <w:r/>
      <w:r/>
    </w:p>
    <w:p>
      <w:pPr>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七、法人授权书</w:t>
      </w:r>
      <w:bookmarkEnd w:id="195"/>
      <w:r/>
      <w:r/>
    </w:p>
    <w:p>
      <w:pPr>
        <w:jc w:val="center"/>
        <w:spacing w:line="400" w:lineRule="exact"/>
        <w:rPr>
          <w:rFonts w:hint="eastAsia" w:ascii="宋体" w:hAnsi="宋体" w:eastAsia="宋体" w:cs="宋体"/>
          <w:b/>
          <w:color w:val="auto"/>
          <w:sz w:val="44"/>
          <w:highlight w:val="none"/>
        </w:rPr>
      </w:pPr>
      <w:r/>
      <w:bookmarkStart w:id="196" w:name="_Hlt26955070"/>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__________________（</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名称）：</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本授权声明：（</w:t>
      </w:r>
      <w:r>
        <w:rPr>
          <w:rFonts w:hint="eastAsia" w:ascii="宋体" w:hAnsi="宋体" w:cs="宋体"/>
          <w:color w:val="auto"/>
          <w:sz w:val="24"/>
          <w:highlight w:val="none"/>
          <w:lang w:val="en-US" w:eastAsia="zh-CN"/>
        </w:rPr>
        <w:t xml:space="preserve">响应供应商</w:t>
      </w:r>
      <w:r>
        <w:rPr>
          <w:rFonts w:hint="eastAsia" w:ascii="宋体" w:hAnsi="宋体" w:eastAsia="宋体" w:cs="宋体"/>
          <w:color w:val="auto"/>
          <w:sz w:val="24"/>
          <w:highlight w:val="none"/>
        </w:rPr>
        <w:t xml:space="preserve">名称）（法定代表人姓名、职务）授权（被委托代理人姓名、职务）为我方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活动的合法代表，以我方名义全权处理该项目有关</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、签订合同以及执行合同等一切事宜。</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特此声明。</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highlight w:val="none"/>
        </w:rPr>
        <w:t xml:space="preserve">签字：</w:t>
      </w:r>
      <w:r/>
    </w:p>
    <w:p>
      <w:pPr>
        <w:ind w:firstLine="480"/>
        <w:spacing w:line="40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响应供应商</w:t>
      </w:r>
      <w:r>
        <w:rPr>
          <w:rFonts w:hint="eastAsia" w:ascii="宋体" w:hAnsi="宋体" w:eastAsia="宋体" w:cs="宋体"/>
          <w:color w:val="auto"/>
          <w:sz w:val="24"/>
          <w:highlight w:val="none"/>
        </w:rPr>
        <w:t xml:space="preserve">名称：（盖章）</w:t>
      </w:r>
      <w:r/>
    </w:p>
    <w:p>
      <w:pPr>
        <w:ind w:firstLine="480"/>
        <w:spacing w:line="400" w:lineRule="exact"/>
        <w:rPr>
          <w:rFonts w:hint="eastAsia" w:ascii="宋体" w:hAnsi="宋体" w:eastAsia="宋体" w:cs="宋体"/>
          <w:color w:val="auto"/>
          <w:sz w:val="32"/>
          <w:highlight w:val="none"/>
        </w:rPr>
      </w:pPr>
      <w:r>
        <w:rPr>
          <w:rFonts w:hint="eastAsia" w:ascii="宋体" w:hAnsi="宋体" w:eastAsia="宋体" w:cs="宋体"/>
          <w:color w:val="auto"/>
          <w:sz w:val="24"/>
          <w:highlight w:val="none"/>
        </w:rPr>
        <w:t xml:space="preserve">日    期：</w:t>
      </w:r>
      <w:r/>
    </w:p>
    <w:p>
      <w:pPr>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一、上述证明文件在</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文件中附有代理人身份证复印件（身份证两面均应复印）时才能生效；</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文件均由</w:t>
      </w: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法定代表人签字的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文件中可不提供该附件的内容。</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三、扫描件与复印件具有同等效力。</w:t>
      </w:r>
      <w:r/>
    </w:p>
    <w:p>
      <w:pPr>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2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授权代表身份证复印件（正反两面均需复印） ：</w:t>
      </w:r>
      <w:r/>
    </w:p>
    <w:p>
      <w:pPr>
        <w:pStyle w:val="92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918"/>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469"/>
        <w:gridCol w:w="4207"/>
      </w:tblGrid>
      <w:tr>
        <w:trPr>
          <w:trHeight w:val="2673"/>
        </w:trPr>
        <w:tc>
          <w:tcPr>
            <w:tcW w:w="4031" w:type="dxa"/>
            <w:vAlign w:val="top"/>
            <w:textDirection w:val="lrTb"/>
            <w:noWrap w:val="false"/>
          </w:tcPr>
          <w:p>
            <w:pPr>
              <w:pStyle w:val="92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0"/>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被委托</w:t>
            </w:r>
            <w:r>
              <w:rPr>
                <w:rFonts w:hint="eastAsia" w:ascii="宋体" w:hAnsi="宋体" w:eastAsia="宋体" w:cs="宋体"/>
                <w:color w:val="auto"/>
                <w:sz w:val="24"/>
                <w:szCs w:val="22"/>
                <w:highlight w:val="none"/>
              </w:rPr>
              <w:t xml:space="preserve">代理人</w:t>
            </w:r>
            <w:r>
              <w:rPr>
                <w:rFonts w:hint="eastAsia" w:ascii="宋体" w:hAnsi="宋体" w:eastAsia="宋体" w:cs="宋体"/>
                <w:color w:val="auto"/>
                <w:sz w:val="24"/>
                <w:szCs w:val="24"/>
                <w:highlight w:val="none"/>
              </w:rPr>
              <w:t xml:space="preserve">身份证正面复印件</w:t>
            </w:r>
            <w:r/>
          </w:p>
          <w:p>
            <w:pPr>
              <w:pStyle w:val="92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469" w:type="dxa"/>
            <w:vAlign w:val="top"/>
            <w:textDirection w:val="lrTb"/>
            <w:noWrap w:val="false"/>
          </w:tcPr>
          <w:p>
            <w:pPr>
              <w:pStyle w:val="920"/>
              <w:ind w:left="621"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Cs w:val="22"/>
                <w:highlight w:val="none"/>
              </w:rPr>
              <w:t xml:space="preserve"> </w:t>
            </w:r>
            <w:r/>
          </w:p>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pStyle w:val="92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07" w:type="dxa"/>
            <w:vAlign w:val="top"/>
            <w:textDirection w:val="lrTb"/>
            <w:noWrap w:val="false"/>
          </w:tcPr>
          <w:p>
            <w:pPr>
              <w:pStyle w:val="920"/>
              <w:ind w:firstLine="48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pStyle w:val="920"/>
              <w:ind w:firstLine="48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pStyle w:val="920"/>
              <w:ind w:firstLine="48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pStyle w:val="92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被委托</w:t>
            </w:r>
            <w:r>
              <w:rPr>
                <w:rFonts w:hint="eastAsia" w:ascii="宋体" w:hAnsi="宋体" w:eastAsia="宋体" w:cs="宋体"/>
                <w:color w:val="auto"/>
                <w:sz w:val="24"/>
                <w:szCs w:val="22"/>
                <w:highlight w:val="none"/>
              </w:rPr>
              <w:t xml:space="preserve">代理人</w:t>
            </w:r>
            <w:r>
              <w:rPr>
                <w:rFonts w:hint="eastAsia" w:ascii="宋体" w:hAnsi="宋体" w:eastAsia="宋体" w:cs="宋体"/>
                <w:color w:val="auto"/>
                <w:sz w:val="24"/>
                <w:szCs w:val="24"/>
                <w:highlight w:val="none"/>
              </w:rPr>
              <w:t xml:space="preserve">身份证反面复印件</w:t>
            </w:r>
            <w:r/>
          </w:p>
          <w:p>
            <w:pPr>
              <w:pStyle w:val="920"/>
              <w:ind w:firstLine="162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bl>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keepLines/>
        <w:keepNext/>
        <w:spacing w:before="260" w:after="260" w:line="415" w:lineRule="auto"/>
        <w:rPr>
          <w:rFonts w:hint="eastAsia" w:ascii="宋体" w:hAnsi="宋体" w:eastAsia="宋体" w:cs="宋体"/>
          <w:color w:val="auto"/>
          <w:sz w:val="24"/>
          <w:szCs w:val="24"/>
          <w:highlight w:val="none"/>
        </w:rPr>
      </w:pPr>
      <w:r>
        <w:rPr>
          <w:color w:val="auto"/>
          <w:highlight w:val="none"/>
        </w:rPr>
        <w:br w:type="page" w:clear="all"/>
      </w:r>
      <w:r>
        <w:rPr>
          <w:rFonts w:hint="eastAsia" w:ascii="宋体" w:hAnsi="宋体" w:eastAsia="宋体" w:cs="宋体"/>
          <w:b/>
          <w:bCs/>
          <w:color w:val="auto"/>
          <w:sz w:val="32"/>
          <w:szCs w:val="32"/>
          <w:highlight w:val="none"/>
          <w:u w:val="single"/>
        </w:rPr>
        <w:t xml:space="preserve">八、磋商响应函</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致：江苏建泰工程项目管理有限公司</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color w:val="auto"/>
          <w:sz w:val="24"/>
          <w:szCs w:val="24"/>
          <w:highlight w:val="none"/>
        </w:rPr>
        <w:t xml:space="preserve">号磋商文件，正式授权下述签字人______(姓名)代表我方______________（供应商的名称），全权处理本次项目磋商的有关事宜。</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据此函，__________签字人兹宣布同意如下：</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1.按磋商文件规定的各项要求，向买方提供所需</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货物、服务（包含与货物相关的服务及与服务相关的货物）。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2.我们完全理解贵方不一定将合同授予最低报价的供应商。</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3.我们已详细审核全部磋商文件及其有效补充文件，我们知道必须放弃提出含糊不清或误解问题的权利。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4.我们同意从规定的开标日期起遵循本响应文件，并在规定的磋商有效期期满之前均具有约束力。</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5.同意向贵方提供贵方可能另外要求的与磋商有关的任何证据或资料，并保证我方已提供和将要提供的文件是真实的、准确的。</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6.一旦我方成交,我方将根据磋商文件的规定，严格履行合同的责任和义务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并保证在磋商文件规定的时间完成项目，交付买方验收、使用。</w:t>
      </w:r>
      <w:r/>
    </w:p>
    <w:p>
      <w:pPr>
        <w:ind w:left="42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7.我方与本磋商有关的正式通讯地址为：</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供应商开户行：</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期：________年____月____日</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2"/>
        <w:rPr>
          <w:rFonts w:hint="eastAsia"/>
          <w:color w:val="auto"/>
          <w:highlight w:val="none"/>
        </w:rPr>
      </w:pPr>
      <w:r>
        <w:rPr>
          <w:rFonts w:hint="eastAsia"/>
          <w:color w:val="auto"/>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磋商报价</w:t>
      </w:r>
      <w:r>
        <w:rPr>
          <w:rFonts w:hint="eastAsia" w:ascii="宋体" w:hAnsi="宋体" w:eastAsia="宋体" w:cs="宋体"/>
          <w:b/>
          <w:bCs/>
          <w:color w:val="auto"/>
          <w:sz w:val="32"/>
          <w:szCs w:val="32"/>
          <w:highlight w:val="none"/>
        </w:rPr>
        <w:t xml:space="preserve">表</w:t>
      </w:r>
      <w:r/>
    </w:p>
    <w:p>
      <w:pPr>
        <w:pStyle w:val="928"/>
        <w:keepLines w:val="0"/>
        <w:keepNext w:val="0"/>
        <w:pageBreakBefore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p>
      <w:pPr>
        <w:pStyle w:val="928"/>
        <w:keepLines w:val="0"/>
        <w:keepNext w:val="0"/>
        <w:pageBreakBefore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本次为首次报价                              货币单位：人民币元</w:t>
      </w:r>
      <w:r/>
    </w:p>
    <w:p>
      <w:pPr>
        <w:pStyle w:val="928"/>
        <w:keepLines w:val="0"/>
        <w:keepNext w:val="0"/>
        <w:pageBreakBefore w:val="0"/>
        <w:spacing w:before="0" w:beforeAutospacing="0" w:after="0" w:afterAutospacing="0"/>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SA"/>
        </w:rPr>
        <w:t xml:space="preserve">项目编号：</w:t>
      </w:r>
      <w:r>
        <w:rPr>
          <w:rFonts w:hint="eastAsia" w:ascii="宋体" w:hAnsi="宋体" w:eastAsia="宋体" w:cs="宋体"/>
          <w:color w:val="auto"/>
          <w:highlight w:val="none"/>
        </w:rPr>
        <w:t xml:space="preserve">   </w:t>
      </w:r>
      <w:r/>
    </w:p>
    <w:tbl>
      <w:tblPr>
        <w:tblStyle w:val="918"/>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431"/>
        <w:gridCol w:w="2426"/>
        <w:gridCol w:w="3613"/>
      </w:tblGrid>
      <w:tr>
        <w:trPr>
          <w:tblCellSpacing w:w="15" w:type="dxa"/>
        </w:trPr>
        <w:tc>
          <w:tcPr>
            <w:tcW w:w="2386" w:type="dxa"/>
            <w:vAlign w:val="center"/>
            <w:textDirection w:val="lrTb"/>
            <w:noWrap w:val="false"/>
          </w:tcPr>
          <w:p>
            <w:pPr>
              <w:pStyle w:val="928"/>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项目名称</w:t>
            </w:r>
            <w:r/>
          </w:p>
        </w:tc>
        <w:tc>
          <w:tcPr>
            <w:tcW w:w="2396" w:type="dxa"/>
            <w:vAlign w:val="center"/>
            <w:textDirection w:val="lrTb"/>
            <w:noWrap w:val="false"/>
          </w:tcPr>
          <w:p>
            <w:pPr>
              <w:pStyle w:val="928"/>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项目内容</w:t>
            </w:r>
            <w:r/>
          </w:p>
        </w:tc>
        <w:tc>
          <w:tcPr>
            <w:tcW w:w="3568" w:type="dxa"/>
            <w:vAlign w:val="center"/>
            <w:textDirection w:val="lrTb"/>
            <w:noWrap w:val="false"/>
          </w:tcPr>
          <w:p>
            <w:pPr>
              <w:pStyle w:val="928"/>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总价（小写）</w:t>
            </w:r>
            <w:r/>
          </w:p>
        </w:tc>
      </w:tr>
      <w:tr>
        <w:trPr>
          <w:tblCellSpacing w:w="15" w:type="dxa"/>
        </w:trPr>
        <w:tc>
          <w:tcPr>
            <w:tcW w:w="2386" w:type="dxa"/>
            <w:vAlign w:val="center"/>
            <w:textDirection w:val="lrTb"/>
            <w:noWrap w:val="false"/>
          </w:tcPr>
          <w:p>
            <w:pPr>
              <w:pStyle w:val="928"/>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 项目名称 </w:t>
            </w:r>
            <w:r/>
          </w:p>
        </w:tc>
        <w:tc>
          <w:tcPr>
            <w:tcW w:w="2396" w:type="dxa"/>
            <w:vAlign w:val="center"/>
            <w:textDirection w:val="lrTb"/>
            <w:noWrap w:val="false"/>
          </w:tcPr>
          <w:p>
            <w:pPr>
              <w:pStyle w:val="928"/>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详见响应文件</w:t>
            </w:r>
            <w:r/>
          </w:p>
        </w:tc>
        <w:tc>
          <w:tcPr>
            <w:tcW w:w="3568" w:type="dxa"/>
            <w:vAlign w:val="center"/>
            <w:textDirection w:val="lrTb"/>
            <w:noWrap w:val="false"/>
          </w:tcPr>
          <w:p>
            <w:pPr>
              <w:pStyle w:val="928"/>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  </w: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695960" cy="231775"/>
                      <wp:effectExtent l="0" t="0" r="0" b="0"/>
                      <wp:docPr id="4" name=""/>
                      <wp:cNvGraphicFramePr/>
                      <a:graphic xmlns:a="http://schemas.openxmlformats.org/drawingml/2006/main">
                        <a:graphicData uri="http://schemas.microsoft.com/office/word/2010/wordprocessingShape">
                          <wps:wsp>
                            <wps:cNvPr id="0" name=""/>
                            <wps:cNvSpPr/>
                            <wps:spPr bwMode="auto">
                              <a:xfrm>
                                <a:off x="0" y="0"/>
                                <a:ext cx="695960" cy="231775"/>
                              </a:xfrm>
                              <a:prstGeom prst="rect">
                                <a:avLst/>
                              </a:prstGeom>
                              <a:blipFill>
                                <a:blip r:embed="rId13"/>
                                <a:stretch/>
                              </a:blipFill>
                              <a:ln>
                                <a:noFill/>
                              </a:ln>
                            </wps:spPr>
                            <wps:bodyPr rot="0">
                              <a:prstTxWarp prst="textNoShape">
                                <a:avLst/>
                              </a:prstTxWarp>
                              <a:noAutofit/>
                            </wps:bodyPr>
                          </wps:wsp>
                        </a:graphicData>
                      </a:graphic>
                    </wp:inline>
                  </w:drawing>
                </mc:Choice>
                <mc:Fallback>
                  <w:pict>
                    <v:shape id="shape 3" o:spid="_x0000_s3" o:spt="1" type="#_x0000_t1" style="width:54.8pt;height:18.2pt;mso-wrap-distance-left:0.0pt;mso-wrap-distance-top:0.0pt;mso-wrap-distance-right:0.0pt;mso-wrap-distance-bottom:0.0pt;visibility:visible;" stroked="f">
                      <v:fill r:id="rId13" o:title="" type="frame"/>
                    </v:shape>
                  </w:pict>
                </mc:Fallback>
              </mc:AlternateContent>
            </w:r>
            <w:r>
              <w:rPr>
                <w:rFonts w:hint="eastAsia" w:ascii="宋体" w:hAnsi="宋体" w:eastAsia="宋体" w:cs="宋体"/>
                <w:color w:val="auto"/>
                <w:highlight w:val="none"/>
              </w:rPr>
              <w:t xml:space="preserve">  元</w:t>
            </w:r>
            <w:r/>
          </w:p>
        </w:tc>
      </w:tr>
      <w:tr>
        <w:trPr>
          <w:tblCellSpacing w:w="15" w:type="dxa"/>
        </w:trPr>
        <w:tc>
          <w:tcPr>
            <w:tcW w:w="2386" w:type="dxa"/>
            <w:vAlign w:val="center"/>
            <w:textDirection w:val="lrTb"/>
            <w:noWrap w:val="false"/>
          </w:tcPr>
          <w:p>
            <w:pPr>
              <w:pStyle w:val="928"/>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总价（大写）：</w:t>
            </w:r>
            <w:r/>
          </w:p>
        </w:tc>
        <w:tc>
          <w:tcPr>
            <w:gridSpan w:val="2"/>
            <w:tcW w:w="5975" w:type="dxa"/>
            <w:vAlign w:val="center"/>
            <w:textDirection w:val="lrTb"/>
            <w:noWrap w:val="false"/>
          </w:tcPr>
          <w:p>
            <w:pPr>
              <w:pStyle w:val="928"/>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 金额大写 </w:t>
            </w:r>
            <w:r/>
          </w:p>
        </w:tc>
      </w:tr>
    </w:tbl>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4"/>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pStyle w:val="92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九、中小企业声明函（</w:t>
      </w:r>
      <w:r>
        <w:rPr>
          <w:rFonts w:hint="eastAsia" w:ascii="宋体" w:hAnsi="宋体" w:cs="宋体"/>
          <w:b/>
          <w:bCs/>
          <w:color w:val="auto"/>
          <w:sz w:val="32"/>
          <w:szCs w:val="32"/>
          <w:highlight w:val="none"/>
          <w:lang w:val="en-US" w:eastAsia="zh-CN"/>
        </w:rPr>
        <w:t xml:space="preserve">服务</w:t>
      </w:r>
      <w:r>
        <w:rPr>
          <w:rFonts w:hint="eastAsia" w:ascii="宋体" w:hAnsi="宋体" w:eastAsia="宋体" w:cs="宋体"/>
          <w:b/>
          <w:bCs/>
          <w:color w:val="auto"/>
          <w:sz w:val="32"/>
          <w:szCs w:val="32"/>
          <w:highlight w:val="none"/>
        </w:rPr>
        <w:t xml:space="preserve">）</w:t>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jc w:val="left"/>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其他未列明行业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；承建（承接）企业为 </w:t>
      </w:r>
      <w:r>
        <w:rPr>
          <w:rFonts w:hint="eastAsia" w:ascii="宋体" w:hAnsi="宋体" w:eastAsia="宋体" w:cs="宋体"/>
          <w:color w:val="auto"/>
          <w:sz w:val="24"/>
          <w:szCs w:val="24"/>
          <w:highlight w:val="none"/>
          <w:u w:val="single"/>
        </w:rPr>
        <w:t xml:space="preserve">（企业名称）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84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jc w:val="cente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pStyle w:val="937"/>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4"/>
        <w:ind w:firstLine="480"/>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（备注：1、参照《关于印发中小企业划型标准规定的通知》（工信部联企业【2011】300号）文件，</w:t>
      </w:r>
      <w:bookmarkStart w:id="197" w:name="OLE_LINK6"/>
      <w:r>
        <w:rPr>
          <w:rFonts w:hint="eastAsia" w:ascii="宋体" w:hAnsi="宋体" w:eastAsia="宋体" w:cs="宋体"/>
          <w:color w:val="auto"/>
          <w:sz w:val="24"/>
          <w:szCs w:val="24"/>
          <w:highlight w:val="none"/>
        </w:rPr>
        <w:t xml:space="preserve">本项目所属行业为</w:t>
      </w:r>
      <w:r>
        <w:rPr>
          <w:rFonts w:hint="eastAsia" w:ascii="宋体" w:hAnsi="宋体" w:eastAsia="宋体" w:cs="宋体"/>
          <w:b/>
          <w:bCs/>
          <w:color w:val="auto"/>
          <w:sz w:val="24"/>
          <w:szCs w:val="24"/>
          <w:highlight w:val="none"/>
          <w:u w:val="single"/>
        </w:rPr>
        <w:t xml:space="preserve">其他未列明行业</w:t>
      </w:r>
      <w:bookmarkEnd w:id="197"/>
      <w:r>
        <w:rPr>
          <w:rFonts w:hint="eastAsia" w:ascii="宋体" w:hAnsi="宋体" w:eastAsia="宋体" w:cs="宋体"/>
          <w:color w:val="auto"/>
          <w:sz w:val="24"/>
          <w:szCs w:val="24"/>
          <w:highlight w:val="none"/>
        </w:rPr>
        <w:t xml:space="preserve">。2、请如实填写属于中型企业或小型企业或微型企业。3、</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从业人员、营业收入、资产总额填报上一年度数据，无上一年度数据的新成立企业可不填报。） </w:t>
      </w:r>
      <w:r>
        <w:rPr>
          <w:color w:val="auto"/>
          <w:highlight w:val="none"/>
        </w:rPr>
        <w:br w:type="page" w:clear="all"/>
      </w:r>
      <w:r>
        <w:rPr>
          <w:rFonts w:hint="eastAsia" w:ascii="宋体" w:hAnsi="宋体" w:eastAsia="宋体" w:cs="宋体"/>
          <w:b/>
          <w:bCs/>
          <w:color w:val="auto"/>
          <w:sz w:val="32"/>
          <w:szCs w:val="32"/>
          <w:highlight w:val="none"/>
        </w:rPr>
        <w:t xml:space="preserve">残疾人福利性单位声明函</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 141号）的规定，本单位  是</w:t>
      </w:r>
      <w:r>
        <w:rPr>
          <w:rFonts w:hint="eastAsia" w:ascii="宋体" w:hAnsi="宋体" w:eastAsia="宋体" w:cs="宋体"/>
          <w:color w:val="auto"/>
          <w:sz w:val="24"/>
          <w:szCs w:val="24"/>
          <w:highlight w:val="none"/>
          <w:u w:val="single"/>
        </w:rPr>
        <w:t xml:space="preserve">/否  为</w:t>
      </w:r>
      <w:r>
        <w:rPr>
          <w:rFonts w:hint="eastAsia" w:ascii="宋体" w:hAnsi="宋体" w:eastAsia="宋体" w:cs="宋体"/>
          <w:color w:val="auto"/>
          <w:sz w:val="24"/>
          <w:szCs w:val="24"/>
          <w:highlight w:val="none"/>
        </w:rPr>
        <w:t xml:space="preserve">符合条件的残疾人福利性单位，且本单位参加______单位的采购文件编号为______的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6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560" w:firstLine="624"/>
        <w:jc w:val="center"/>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sz w:val="24"/>
          <w:szCs w:val="24"/>
          <w:highlight w:val="none"/>
        </w:rPr>
        <w:t xml:space="preserve">供应商全称（加盖CA电子公章）：</w:t>
      </w:r>
      <w:r/>
    </w:p>
    <w:p>
      <w:pPr>
        <w:ind w:right="1560" w:firstLine="480"/>
        <w:jc w:val="center"/>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9"/>
        <w:rPr>
          <w:rFonts w:hint="eastAsia" w:ascii="宋体" w:hAnsi="宋体" w:eastAsia="宋体" w:cs="宋体"/>
          <w:b/>
          <w:bCs/>
          <w:color w:val="auto"/>
          <w:sz w:val="32"/>
          <w:szCs w:val="32"/>
          <w:highlight w:val="none"/>
          <w:lang w:val="en-US" w:eastAsia="en-US" w:bidi="ar-SA"/>
        </w:rPr>
      </w:pPr>
      <w:r>
        <w:rPr>
          <w:rFonts w:hint="eastAsia" w:ascii="宋体" w:hAnsi="宋体" w:eastAsia="宋体" w:cs="宋体"/>
          <w:b/>
          <w:bCs/>
          <w:color w:val="auto"/>
          <w:sz w:val="32"/>
          <w:szCs w:val="32"/>
          <w:highlight w:val="none"/>
          <w:lang w:val="en-US" w:eastAsia="en-US" w:bidi="ar-SA"/>
        </w:rPr>
      </w:r>
      <w:r/>
    </w:p>
    <w:p>
      <w:pPr>
        <w:pStyle w:val="939"/>
        <w:jc w:val="center"/>
        <w:rPr>
          <w:rFonts w:hint="eastAsia" w:ascii="宋体" w:hAnsi="宋体" w:eastAsia="宋体" w:cs="宋体"/>
          <w:b/>
          <w:bCs/>
          <w:color w:val="auto"/>
          <w:sz w:val="32"/>
          <w:szCs w:val="32"/>
          <w:highlight w:val="none"/>
          <w:lang w:val="en-US" w:eastAsia="en-US" w:bidi="ar-SA"/>
        </w:rPr>
      </w:pPr>
      <w:r>
        <w:rPr>
          <w:rFonts w:hint="eastAsia" w:ascii="宋体" w:hAnsi="宋体" w:eastAsia="宋体" w:cs="宋体"/>
          <w:b/>
          <w:bCs/>
          <w:color w:val="auto"/>
          <w:sz w:val="32"/>
          <w:szCs w:val="32"/>
          <w:highlight w:val="none"/>
          <w:lang w:val="en-US" w:eastAsia="en-US" w:bidi="ar-SA"/>
        </w:rPr>
        <w:t xml:space="preserve">监狱企业证明材料（如有，非监狱企业不需提供）</w:t>
      </w:r>
      <w:r/>
    </w:p>
    <w:p>
      <w:pPr>
        <w:ind w:firstLine="480"/>
        <w:spacing w:line="8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参加政府采购活动的监狱企业应当提供省级以上监狱管理局、戒毒管理局（含新疆生产建设兵团）出具的属于监狱企业的证明文件扫描件并</w:t>
      </w:r>
      <w:r>
        <w:rPr>
          <w:rFonts w:hint="eastAsia" w:ascii="宋体" w:hAnsi="宋体" w:eastAsia="宋体" w:cs="宋体"/>
          <w:color w:val="auto"/>
          <w:sz w:val="24"/>
          <w:szCs w:val="24"/>
          <w:highlight w:val="none"/>
        </w:rPr>
        <w:t xml:space="preserve">加盖CA电子公章</w:t>
      </w:r>
      <w:r>
        <w:rPr>
          <w:rFonts w:hint="eastAsia" w:ascii="宋体" w:hAnsi="宋体" w:eastAsia="宋体" w:cs="宋体"/>
          <w:bCs/>
          <w:color w:val="auto"/>
          <w:sz w:val="24"/>
          <w:szCs w:val="24"/>
          <w:highlight w:val="none"/>
        </w:rPr>
        <w:t xml:space="preserve">。</w:t>
      </w:r>
      <w:r/>
    </w:p>
    <w:p>
      <w:pPr>
        <w:pStyle w:val="929"/>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29"/>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29"/>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29"/>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29"/>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29"/>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29"/>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34"/>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36"/>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sz w:val="30"/>
          <w:szCs w:val="30"/>
          <w:highlight w:val="none"/>
        </w:rPr>
      </w:pPr>
      <w:r>
        <w:rPr>
          <w:rFonts w:hint="eastAsia" w:ascii="宋体" w:hAnsi="宋体" w:eastAsia="宋体" w:cs="宋体"/>
          <w:b/>
          <w:bCs/>
          <w:color w:val="auto"/>
          <w:sz w:val="32"/>
          <w:szCs w:val="32"/>
          <w:highlight w:val="none"/>
          <w:lang w:val="en-US" w:eastAsia="zh-CN" w:bidi="ar-SA"/>
        </w:rPr>
        <w:t xml:space="preserve">十、</w:t>
      </w:r>
      <w:bookmarkEnd w:id="196"/>
      <w:r/>
      <w:bookmarkStart w:id="198" w:name="_格式2__法定代表人授权书"/>
      <w:r>
        <w:rPr>
          <w:rFonts w:hint="eastAsia" w:ascii="宋体" w:hAnsi="宋体" w:eastAsia="宋体" w:cs="宋体"/>
          <w:b/>
          <w:color w:val="auto"/>
          <w:sz w:val="30"/>
          <w:szCs w:val="30"/>
          <w:highlight w:val="none"/>
        </w:rPr>
        <w:t xml:space="preserve">商务及技术要求响应及偏离表</w:t>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tbl>
      <w:tblPr>
        <w:tblStyle w:val="918"/>
        <w:tblW w:w="9201" w:type="dxa"/>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327"/>
        <w:gridCol w:w="2558"/>
        <w:gridCol w:w="1590"/>
        <w:gridCol w:w="1962"/>
      </w:tblGrid>
      <w:tr>
        <w:trPr>
          <w:trHeight w:val="835"/>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偏离内容及原因</w:t>
            </w:r>
            <w:r/>
          </w:p>
        </w:tc>
      </w:tr>
      <w:tr>
        <w:trPr>
          <w:trHeight w:val="488"/>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5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若无偏离，在“有无偏离”栏中填写“无”；若有偏离在“有无偏离”栏中填写“有”并在“偏离内容及原因”栏中作出说明。</w:t>
      </w:r>
      <w:r>
        <w:rPr>
          <w:rFonts w:hint="eastAsia" w:ascii="宋体" w:hAnsi="宋体" w:eastAsia="宋体" w:cs="宋体"/>
          <w:b/>
          <w:bCs/>
          <w:color w:val="auto"/>
          <w:sz w:val="24"/>
          <w:highlight w:val="none"/>
          <w:lang w:val="en-US" w:eastAsia="zh-CN"/>
        </w:rPr>
        <w:t xml:space="preserve">未注明或未填写任何内容的，视为全部响应。</w:t>
      </w:r>
      <w:r/>
    </w:p>
    <w:p>
      <w:pPr>
        <w:pStyle w:val="940"/>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40"/>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40"/>
        <w:spacing w:before="0" w:beforeAutospacing="0" w:after="0" w:afterAutospacing="0"/>
        <w:rPr>
          <w:rFonts w:hint="eastAsia" w:ascii="宋体" w:hAnsi="宋体" w:eastAsia="宋体" w:cs="宋体"/>
          <w:color w:val="auto"/>
          <w:szCs w:val="24"/>
          <w:highlight w:val="none"/>
        </w:rPr>
      </w:pPr>
      <w:r>
        <w:rPr>
          <w:rFonts w:hint="eastAsia" w:cs="宋体"/>
          <w:color w:val="auto"/>
          <w:szCs w:val="24"/>
          <w:highlight w:val="none"/>
          <w:lang w:val="en-US" w:eastAsia="zh-CN"/>
        </w:rPr>
        <w:t xml:space="preserve">响应单位</w:t>
      </w:r>
      <w:r>
        <w:rPr>
          <w:rFonts w:hint="eastAsia" w:ascii="宋体" w:hAnsi="宋体" w:eastAsia="宋体" w:cs="宋体"/>
          <w:color w:val="auto"/>
          <w:szCs w:val="24"/>
          <w:highlight w:val="none"/>
        </w:rPr>
        <w:t xml:space="preserve">（</w:t>
      </w:r>
      <w:r>
        <w:rPr>
          <w:rFonts w:hint="eastAsia" w:ascii="宋体" w:hAnsi="宋体" w:eastAsia="宋体" w:cs="宋体"/>
          <w:bCs/>
          <w:color w:val="auto"/>
          <w:highlight w:val="none"/>
        </w:rPr>
        <w:t xml:space="preserve">加盖CA电子公章</w:t>
      </w:r>
      <w:r>
        <w:rPr>
          <w:rFonts w:hint="eastAsia" w:ascii="宋体" w:hAnsi="宋体" w:eastAsia="宋体" w:cs="宋体"/>
          <w:color w:val="auto"/>
          <w:szCs w:val="24"/>
          <w:highlight w:val="none"/>
        </w:rPr>
        <w:t xml:space="preserve">）：</w:t>
      </w:r>
      <w:r/>
    </w:p>
    <w:p>
      <w:pPr>
        <w:pStyle w:val="940"/>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法定代表人或法定代表人授权代表（签字或盖章）：</w:t>
      </w:r>
      <w:r/>
    </w:p>
    <w:p>
      <w:pPr>
        <w:pStyle w:val="940"/>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ind w:right="480" w:firstLine="50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0"/>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0"/>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0"/>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0"/>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一</w:t>
      </w:r>
      <w:r>
        <w:rPr>
          <w:rFonts w:hint="eastAsia" w:ascii="宋体" w:hAnsi="宋体" w:eastAsia="宋体" w:cs="宋体"/>
          <w:b/>
          <w:bCs/>
          <w:color w:val="auto"/>
          <w:sz w:val="32"/>
          <w:szCs w:val="32"/>
          <w:highlight w:val="none"/>
        </w:rPr>
        <w:t xml:space="preserve">、</w:t>
      </w:r>
      <w:r>
        <w:rPr>
          <w:rFonts w:hint="eastAsia" w:ascii="宋体" w:hAnsi="宋体" w:cs="宋体"/>
          <w:b/>
          <w:bCs/>
          <w:color w:val="auto"/>
          <w:sz w:val="32"/>
          <w:szCs w:val="32"/>
          <w:highlight w:val="none"/>
          <w:lang w:val="en-US" w:eastAsia="zh-CN"/>
        </w:rPr>
        <w:t xml:space="preserve">响应</w:t>
      </w:r>
      <w:r>
        <w:rPr>
          <w:rFonts w:hint="eastAsia" w:ascii="宋体" w:hAnsi="宋体" w:eastAsia="宋体" w:cs="宋体"/>
          <w:b/>
          <w:bCs/>
          <w:color w:val="auto"/>
          <w:sz w:val="32"/>
          <w:szCs w:val="32"/>
          <w:highlight w:val="none"/>
        </w:rPr>
        <w:t xml:space="preserve">承诺书</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供应商名称</w:t>
      </w:r>
      <w:r>
        <w:rPr>
          <w:rFonts w:hint="eastAsia" w:ascii="宋体" w:hAnsi="宋体" w:eastAsia="宋体" w:cs="宋体"/>
          <w:color w:val="auto"/>
          <w:sz w:val="24"/>
          <w:szCs w:val="24"/>
          <w:highlight w:val="none"/>
        </w:rPr>
        <w:t xml:space="preserve">）在此承诺：</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1.本公司（单位）对本项目（项目编号：              ）所提供的服务不低于采购文件要求的标准。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列入失信</w:t>
      </w:r>
      <w:r>
        <w:rPr>
          <w:rFonts w:hint="eastAsia" w:ascii="宋体" w:hAnsi="宋体" w:eastAsia="宋体" w:cs="宋体"/>
          <w:color w:val="auto"/>
          <w:sz w:val="24"/>
          <w:szCs w:val="24"/>
          <w:highlight w:val="none"/>
          <w:lang w:val="en-US" w:eastAsia="zh-CN"/>
        </w:rPr>
        <w:t xml:space="preserve">被</w:t>
      </w:r>
      <w:r>
        <w:rPr>
          <w:rFonts w:hint="eastAsia" w:ascii="宋体" w:hAnsi="宋体" w:eastAsia="宋体" w:cs="宋体"/>
          <w:color w:val="auto"/>
          <w:sz w:val="24"/>
          <w:szCs w:val="24"/>
          <w:highlight w:val="none"/>
        </w:rPr>
        <w:t xml:space="preserve">执行人、重大税收违法</w:t>
      </w:r>
      <w:r>
        <w:rPr>
          <w:rFonts w:hint="eastAsia" w:ascii="宋体" w:hAnsi="宋体" w:eastAsia="宋体" w:cs="宋体"/>
          <w:color w:val="auto"/>
          <w:sz w:val="24"/>
          <w:szCs w:val="24"/>
          <w:highlight w:val="none"/>
          <w:lang w:val="en-US" w:eastAsia="zh-CN"/>
        </w:rPr>
        <w:t xml:space="preserve">失信主体</w:t>
      </w:r>
      <w:r>
        <w:rPr>
          <w:rFonts w:hint="eastAsia" w:ascii="宋体" w:hAnsi="宋体" w:eastAsia="宋体" w:cs="宋体"/>
          <w:color w:val="auto"/>
          <w:sz w:val="24"/>
          <w:szCs w:val="24"/>
          <w:highlight w:val="none"/>
        </w:rPr>
        <w:t xml:space="preserve">、政府采购严重违法失信行为记录名单。</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.对磋商文件中所提及的</w:t>
      </w:r>
      <w:r>
        <w:rPr>
          <w:rFonts w:hint="eastAsia" w:ascii="宋体" w:hAnsi="宋体" w:eastAsia="宋体" w:cs="宋体"/>
          <w:color w:val="auto"/>
          <w:sz w:val="24"/>
          <w:szCs w:val="24"/>
          <w:highlight w:val="none"/>
          <w:lang w:val="en-US" w:eastAsia="zh-CN"/>
        </w:rPr>
        <w:t xml:space="preserve">质量要求、服务要求、验收要求、售后服务要求等</w:t>
      </w:r>
      <w:r>
        <w:rPr>
          <w:rFonts w:hint="eastAsia" w:ascii="宋体" w:hAnsi="宋体" w:eastAsia="宋体" w:cs="宋体"/>
          <w:color w:val="auto"/>
          <w:sz w:val="24"/>
          <w:szCs w:val="24"/>
          <w:highlight w:val="none"/>
        </w:rPr>
        <w:t xml:space="preserve">条款，本公司（单位）承诺将严格按照条款要求执行。</w:t>
      </w:r>
      <w:r/>
    </w:p>
    <w:p>
      <w:pPr>
        <w:pStyle w:val="941"/>
        <w:ind w:right="0"/>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本公司</w:t>
      </w:r>
      <w:r>
        <w:rPr>
          <w:rFonts w:hint="eastAsia" w:ascii="宋体" w:hAnsi="宋体" w:eastAsia="宋体" w:cs="宋体"/>
          <w:color w:val="auto"/>
          <w:sz w:val="24"/>
          <w:szCs w:val="24"/>
          <w:highlight w:val="none"/>
          <w:lang w:val="en-US" w:eastAsia="zh-CN"/>
        </w:rPr>
        <w:t xml:space="preserve">承诺，如</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val="en-US" w:eastAsia="zh-CN"/>
        </w:rPr>
        <w:t xml:space="preserve">，将</w:t>
      </w:r>
      <w:r>
        <w:rPr>
          <w:rFonts w:hint="eastAsia" w:ascii="宋体" w:hAnsi="宋体" w:cs="宋体"/>
          <w:color w:val="auto"/>
          <w:sz w:val="24"/>
          <w:szCs w:val="24"/>
          <w:highlight w:val="none"/>
          <w:lang w:val="en-US" w:eastAsia="zh-CN"/>
        </w:rPr>
        <w:t xml:space="preserve">按要求提供服务。</w:t>
      </w:r>
      <w:r/>
    </w:p>
    <w:p>
      <w:pPr>
        <w:pStyle w:val="941"/>
        <w:ind w:right="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.其他承诺（供应商可自行增加）：……</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highlight w:val="none"/>
        </w:rPr>
      </w:pPr>
      <w:r>
        <w:rPr>
          <w:rFonts w:hint="eastAsia" w:ascii="宋体" w:hAnsi="宋体" w:eastAsia="宋体" w:cs="宋体"/>
          <w:color w:val="auto"/>
          <w:highlight w:val="none"/>
        </w:rPr>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ind w:right="1560" w:firstLine="480"/>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560" w:firstLine="480"/>
        <w:jc w:val="center"/>
        <w:tabs>
          <w:tab w:val="left" w:pos="4860" w:leader="none"/>
        </w:tabs>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日  期：</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二</w:t>
      </w:r>
      <w:r>
        <w:rPr>
          <w:rFonts w:hint="eastAsia" w:ascii="宋体" w:hAnsi="宋体" w:eastAsia="宋体" w:cs="宋体"/>
          <w:b/>
          <w:bCs/>
          <w:color w:val="auto"/>
          <w:sz w:val="32"/>
          <w:szCs w:val="32"/>
          <w:highlight w:val="none"/>
        </w:rPr>
        <w:t xml:space="preserve">、按照评分办法应当递交的其他资料</w:t>
      </w:r>
      <w:bookmarkEnd w:id="198"/>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三</w:t>
      </w:r>
      <w:r>
        <w:rPr>
          <w:rFonts w:hint="eastAsia" w:ascii="宋体" w:hAnsi="宋体" w:eastAsia="宋体" w:cs="宋体"/>
          <w:b/>
          <w:bCs/>
          <w:color w:val="auto"/>
          <w:sz w:val="32"/>
          <w:szCs w:val="32"/>
          <w:highlight w:val="none"/>
        </w:rPr>
        <w:t xml:space="preserve">、质疑函范本</w:t>
      </w:r>
      <w:r/>
    </w:p>
    <w:p>
      <w:pPr>
        <w:spacing w:before="287"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一、质疑供应商基本信息</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质疑供应商：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地址：邮编：</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联系人：联系电话：</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授权代表：</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地址：邮编：</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二、质疑项目基本情况</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质疑项目的名称：</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质疑项目的编号：              包号：</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采购人名称：</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采购文件获取日期：</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三、质疑事项具体内容</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质疑事项1：</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事实依据：</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法律依据：</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质疑事项2</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四、与质疑事项相关的质疑请求</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请求：</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签字（签章）：                   公章：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pStyle w:val="94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质疑函制作说明：</w:t>
      </w:r>
      <w:r/>
    </w:p>
    <w:p>
      <w:pPr>
        <w:ind w:firstLine="598"/>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1.供应商提出质疑时，应提交质疑函和必要的证明材料。</w:t>
      </w:r>
      <w:r/>
    </w:p>
    <w:p>
      <w:pPr>
        <w:ind w:firstLine="598"/>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98"/>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3.质疑供应商对项目的某一分包进行质疑，质疑函中应列明具体分包号。</w:t>
      </w:r>
      <w:r/>
    </w:p>
    <w:p>
      <w:pPr>
        <w:ind w:firstLine="598"/>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4.质疑函的质疑事项应具体、明确，并有必要的事实依据和法律依据。</w:t>
      </w:r>
      <w:r/>
    </w:p>
    <w:p>
      <w:pPr>
        <w:ind w:firstLine="598"/>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5.质疑函的质疑请求应与质疑事项相关。</w:t>
      </w:r>
      <w:r/>
    </w:p>
    <w:p>
      <w:pPr>
        <w:ind w:firstLine="598"/>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7.按该表格填写，一式两份，并将该函和相关证据盖公章在规定的时间内分别送达采购人和采购代理机构。</w:t>
      </w:r>
      <w:r/>
    </w:p>
    <w:p>
      <w:pPr>
        <w:pStyle w:val="9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highlight w:val="none"/>
        </w:rPr>
      </w:pPr>
      <w:r>
        <w:rPr>
          <w:highlight w:val="none"/>
        </w:rPr>
      </w:r>
      <w:r/>
    </w:p>
    <w:sectPr>
      <w:footerReference w:type="default" r:id="rId11"/>
      <w:footnotePr/>
      <w:endnotePr/>
      <w:type w:val="nextPage"/>
      <w:pgSz w:w="11906" w:h="16838" w:orient="portrait"/>
      <w:pgMar w:top="1429" w:right="1633" w:bottom="1440" w:left="1582"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Courier New">
    <w:panose1 w:val="02070309020205020404"/>
  </w:font>
  <w:font w:name="Times New Roman">
    <w:panose1 w:val="02020603050405020304"/>
  </w:font>
  <w:font w:name="微软雅黑">
    <w:panose1 w:val="020B0503020204020204"/>
  </w:font>
  <w:font w:name="Calibri">
    <w:panose1 w:val="020F0502020204030204"/>
  </w:font>
  <w:font w:name="Verdana">
    <w:panose1 w:val="020B0604030504040204"/>
  </w:font>
  <w:font w:name="仿宋_GB2312">
    <w:panose1 w:val="02010609060101010101"/>
  </w:font>
  <w:font w:name="黑体">
    <w:panose1 w:val="02010609060101010101"/>
  </w:font>
  <w:font w:name="宋体">
    <w:panose1 w:val="02010600030101010101"/>
  </w:font>
  <w:font w:name="仿宋">
    <w:panose1 w:val="02010609060101010101"/>
  </w:font>
  <w:font w:name="等线 Light">
    <w:panose1 w:val="02010600030101010101"/>
  </w:font>
  <w:font w:name="等线">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2712720</wp:posOffset>
              </wp:positionH>
              <wp:positionV relativeFrom="paragraph">
                <wp:posOffset>-245110</wp:posOffset>
              </wp:positionV>
              <wp:extent cx="76200" cy="400050"/>
              <wp:effectExtent l="0" t="0" r="0" b="0"/>
              <wp:wrapNone/>
              <wp:docPr id="1" name="矩形 29086"/>
              <wp:cNvGraphicFramePr/>
              <a:graphic xmlns:a="http://schemas.openxmlformats.org/drawingml/2006/main">
                <a:graphicData uri="http://schemas.microsoft.com/office/word/2010/wordprocessingShape">
                  <wps:wsp>
                    <wps:cNvPr id="0" name=""/>
                    <wps:cNvSpPr/>
                    <wps:spPr bwMode="auto">
                      <a:xfrm>
                        <a:off x="0" y="0"/>
                        <a:ext cx="76200" cy="400050"/>
                      </a:xfrm>
                      <a:prstGeom prst="rect">
                        <a:avLst/>
                      </a:prstGeom>
                      <a:noFill/>
                      <a:ln>
                        <a:noFill/>
                      </a:ln>
                      <a:effectLst/>
                    </wps:spPr>
                    <wps:txbx>
                      <w:txbxContent>
                        <w:p>
                          <w:pPr>
                            <w:pStyle w:val="925"/>
                            <w:rPr>
                              <w:rFonts w:hint="eastAsia"/>
                            </w:rPr>
                          </w:pPr>
                          <w:r>
                            <w:rPr>
                              <w:rFonts w:hint="eastAsia"/>
                            </w:rPr>
                          </w:r>
                          <w:r/>
                        </w:p>
                      </w:txbxContent>
                    </wps:txbx>
                    <wps:bodyPr rot="0" spcFirstLastPara="0" vertOverflow="overflow" horzOverflow="overflow" vert="horz" wrap="square" lIns="0" tIns="0" rIns="0" bIns="0" numCol="1" anchor="t" upright="0">
                      <a:noAutofit/>
                    </wps:bodyPr>
                  </wps:wsp>
                </a:graphicData>
              </a:graphic>
            </wp:anchor>
          </w:drawing>
        </mc:Choice>
        <mc:Fallback>
          <w:pict>
            <v:shape id="shape 0" o:spid="_x0000_s0" o:spt="1" type="#_x0000_t1" style="position:absolute;z-index:251659264;o:allowoverlap:true;o:allowincell:true;mso-position-horizontal-relative:margin;margin-left:213.6pt;mso-position-horizontal:absolute;mso-position-vertical-relative:text;margin-top:-19.3pt;mso-position-vertical:absolute;width:6.0pt;height:31.5pt;mso-wrap-distance-left:9.0pt;mso-wrap-distance-top:0.0pt;mso-wrap-distance-right:9.0pt;mso-wrap-distance-bottom:0.0pt;v-text-anchor:top;visibility:visible;" filled="f" stroked="f">
              <v:textbox inset="0,0,0,0">
                <w:txbxContent>
                  <w:p>
                    <w:pPr>
                      <w:pStyle w:val="925"/>
                      <w:rPr>
                        <w:rFonts w:hint="eastAsia"/>
                      </w:rPr>
                    </w:pPr>
                    <w:r>
                      <w:rPr>
                        <w:rFonts w:hint="eastAsia"/>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2737485</wp:posOffset>
              </wp:positionH>
              <wp:positionV relativeFrom="paragraph">
                <wp:posOffset>-347345</wp:posOffset>
              </wp:positionV>
              <wp:extent cx="1828800" cy="1828800"/>
              <wp:effectExtent l="0" t="0" r="0" b="0"/>
              <wp:wrapNone/>
              <wp:docPr id="2" name="矩形 29087"/>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925"/>
                            <w:rPr>
                              <w:rFonts w:hint="eastAsia"/>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anchor="t" upright="0">
                      <a:spAutoFit/>
                    </wps:bodyPr>
                  </wps:wsp>
                </a:graphicData>
              </a:graphic>
            </wp:anchor>
          </w:drawing>
        </mc:Choice>
        <mc:Fallback>
          <w:pict>
            <v:shape id="shape 1" o:spid="_x0000_s1" o:spt="1" type="#_x0000_t1" style="position:absolute;z-index:251660288;o:allowoverlap:true;o:allowincell:true;mso-position-horizontal-relative:margin;margin-left:215.5pt;mso-position-horizontal:absolute;mso-position-vertical-relative:text;margin-top:-27.3pt;mso-position-vertical:absolute;width:144.0pt;height:144.0pt;mso-wrap-distance-left:9.0pt;mso-wrap-distance-top:0.0pt;mso-wrap-distance-right:9.0pt;mso-wrap-distance-bottom:0.0pt;v-text-anchor:top;visibility:visible;" filled="f" stroked="f">
              <v:textbox inset="0,0,0,0">
                <w:txbxContent>
                  <w:p>
                    <w:pPr>
                      <w:pStyle w:val="925"/>
                      <w:rPr>
                        <w:rFonts w:hint="eastAsia"/>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2717165</wp:posOffset>
              </wp:positionH>
              <wp:positionV relativeFrom="paragraph">
                <wp:posOffset>-116205</wp:posOffset>
              </wp:positionV>
              <wp:extent cx="119380" cy="398145"/>
              <wp:effectExtent l="0" t="0" r="0" b="0"/>
              <wp:wrapNone/>
              <wp:docPr id="3" name="矩形 29088"/>
              <wp:cNvGraphicFramePr/>
              <a:graphic xmlns:a="http://schemas.openxmlformats.org/drawingml/2006/main">
                <a:graphicData uri="http://schemas.microsoft.com/office/word/2010/wordprocessingShape">
                  <wps:wsp>
                    <wps:cNvPr id="0" name=""/>
                    <wps:cNvSpPr/>
                    <wps:spPr bwMode="auto">
                      <a:xfrm>
                        <a:off x="0" y="0"/>
                        <a:ext cx="119380" cy="398145"/>
                      </a:xfrm>
                      <a:prstGeom prst="rect">
                        <a:avLst/>
                      </a:prstGeom>
                      <a:noFill/>
                      <a:ln>
                        <a:noFill/>
                      </a:ln>
                      <a:effectLst/>
                    </wps:spPr>
                    <wps:txbx>
                      <w:txbxContent>
                        <w:p>
                          <w:pPr>
                            <w:pStyle w:val="925"/>
                            <w:rPr>
                              <w:rFonts w:hint="eastAsia"/>
                            </w:rPr>
                          </w:pPr>
                          <w:r>
                            <w:fldChar w:fldCharType="begin"/>
                          </w:r>
                          <w:r>
                            <w:instrText xml:space="preserve"> PAGE  \* MERGEFORMAT </w:instrText>
                          </w:r>
                          <w:r>
                            <w:fldChar w:fldCharType="separate"/>
                          </w:r>
                          <w:r>
                            <w:t xml:space="preserve">64</w:t>
                          </w:r>
                          <w:r>
                            <w:fldChar w:fldCharType="end"/>
                          </w:r>
                          <w:r/>
                        </w:p>
                      </w:txbxContent>
                    </wps:txbx>
                    <wps:bodyPr rot="0" spcFirstLastPara="0" vertOverflow="overflow" horzOverflow="overflow" vert="horz" wrap="square" lIns="0" tIns="0" rIns="0" bIns="0" numCol="1" anchor="t" upright="0">
                      <a:noAutofit/>
                    </wps:bodyPr>
                  </wps:wsp>
                </a:graphicData>
              </a:graphic>
            </wp:anchor>
          </w:drawing>
        </mc:Choice>
        <mc:Fallback>
          <w:pict>
            <v:shape id="shape 2" o:spid="_x0000_s2" o:spt="1" type="#_x0000_t1" style="position:absolute;z-index:251661312;o:allowoverlap:true;o:allowincell:true;mso-position-horizontal-relative:margin;margin-left:213.9pt;mso-position-horizontal:absolute;mso-position-vertical-relative:text;margin-top:-9.2pt;mso-position-vertical:absolute;width:9.4pt;height:31.3pt;mso-wrap-distance-left:9.0pt;mso-wrap-distance-top:0.0pt;mso-wrap-distance-right:9.0pt;mso-wrap-distance-bottom:0.0pt;v-text-anchor:top;visibility:visible;" filled="f" stroked="f">
              <v:textbox inset="0,0,0,0">
                <w:txbxContent>
                  <w:p>
                    <w:pPr>
                      <w:pStyle w:val="925"/>
                      <w:rPr>
                        <w:rFonts w:hint="eastAsia"/>
                      </w:rPr>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Bdr>
        <w:top w:val="none" w:color="auto" w:sz="0" w:space="0"/>
        <w:left w:val="none" w:color="auto" w:sz="0" w:space="0"/>
        <w:bottom w:val="none" w:color="auto" w:sz="0" w:space="1"/>
        <w:right w:val="none" w:color="auto" w:sz="0" w:space="0"/>
        <w:between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name w:val="Heading 1"/>
    <w:basedOn w:val="915"/>
    <w:next w:val="915"/>
    <w:link w:val="743"/>
    <w:uiPriority w:val="9"/>
    <w:qFormat/>
    <w:pPr>
      <w:keepLines/>
      <w:keepNext/>
      <w:spacing w:before="480" w:after="200"/>
      <w:outlineLvl w:val="0"/>
    </w:pPr>
    <w:rPr>
      <w:rFonts w:ascii="Arial" w:hAnsi="Arial" w:eastAsia="Arial" w:cs="Arial"/>
      <w:sz w:val="40"/>
      <w:szCs w:val="40"/>
    </w:rPr>
  </w:style>
  <w:style w:type="character" w:styleId="743">
    <w:name w:val="Heading 1 Char"/>
    <w:basedOn w:val="917"/>
    <w:link w:val="742"/>
    <w:uiPriority w:val="9"/>
    <w:rPr>
      <w:rFonts w:ascii="Arial" w:hAnsi="Arial" w:eastAsia="Arial" w:cs="Arial"/>
      <w:sz w:val="40"/>
      <w:szCs w:val="40"/>
    </w:rPr>
  </w:style>
  <w:style w:type="paragraph" w:styleId="744">
    <w:name w:val="Heading 2"/>
    <w:basedOn w:val="915"/>
    <w:next w:val="915"/>
    <w:link w:val="745"/>
    <w:uiPriority w:val="9"/>
    <w:unhideWhenUsed/>
    <w:qFormat/>
    <w:pPr>
      <w:keepLines/>
      <w:keepNext/>
      <w:spacing w:before="360" w:after="200"/>
      <w:outlineLvl w:val="1"/>
    </w:pPr>
    <w:rPr>
      <w:rFonts w:ascii="Arial" w:hAnsi="Arial" w:eastAsia="Arial" w:cs="Arial"/>
      <w:sz w:val="34"/>
    </w:rPr>
  </w:style>
  <w:style w:type="character" w:styleId="745">
    <w:name w:val="Heading 2 Char"/>
    <w:basedOn w:val="917"/>
    <w:link w:val="744"/>
    <w:uiPriority w:val="9"/>
    <w:rPr>
      <w:rFonts w:ascii="Arial" w:hAnsi="Arial" w:eastAsia="Arial" w:cs="Arial"/>
      <w:sz w:val="34"/>
    </w:rPr>
  </w:style>
  <w:style w:type="paragraph" w:styleId="746">
    <w:name w:val="Heading 3"/>
    <w:basedOn w:val="915"/>
    <w:next w:val="915"/>
    <w:link w:val="747"/>
    <w:uiPriority w:val="9"/>
    <w:unhideWhenUsed/>
    <w:qFormat/>
    <w:pPr>
      <w:keepLines/>
      <w:keepNext/>
      <w:spacing w:before="320" w:after="200"/>
      <w:outlineLvl w:val="2"/>
    </w:pPr>
    <w:rPr>
      <w:rFonts w:ascii="Arial" w:hAnsi="Arial" w:eastAsia="Arial" w:cs="Arial"/>
      <w:sz w:val="30"/>
      <w:szCs w:val="30"/>
    </w:rPr>
  </w:style>
  <w:style w:type="character" w:styleId="747">
    <w:name w:val="Heading 3 Char"/>
    <w:basedOn w:val="917"/>
    <w:link w:val="746"/>
    <w:uiPriority w:val="9"/>
    <w:rPr>
      <w:rFonts w:ascii="Arial" w:hAnsi="Arial" w:eastAsia="Arial" w:cs="Arial"/>
      <w:sz w:val="30"/>
      <w:szCs w:val="30"/>
    </w:rPr>
  </w:style>
  <w:style w:type="character" w:styleId="748">
    <w:name w:val="Heading 4 Char"/>
    <w:basedOn w:val="917"/>
    <w:link w:val="916"/>
    <w:uiPriority w:val="9"/>
    <w:rPr>
      <w:rFonts w:ascii="Arial" w:hAnsi="Arial" w:eastAsia="Arial" w:cs="Arial"/>
      <w:b/>
      <w:bCs/>
      <w:sz w:val="26"/>
      <w:szCs w:val="26"/>
    </w:rPr>
  </w:style>
  <w:style w:type="paragraph" w:styleId="749">
    <w:name w:val="Heading 5"/>
    <w:basedOn w:val="915"/>
    <w:next w:val="915"/>
    <w:link w:val="750"/>
    <w:uiPriority w:val="9"/>
    <w:unhideWhenUsed/>
    <w:qFormat/>
    <w:pPr>
      <w:keepLines/>
      <w:keepNext/>
      <w:spacing w:before="320" w:after="200"/>
      <w:outlineLvl w:val="4"/>
    </w:pPr>
    <w:rPr>
      <w:rFonts w:ascii="Arial" w:hAnsi="Arial" w:eastAsia="Arial" w:cs="Arial"/>
      <w:b/>
      <w:bCs/>
      <w:sz w:val="24"/>
      <w:szCs w:val="24"/>
    </w:rPr>
  </w:style>
  <w:style w:type="character" w:styleId="750">
    <w:name w:val="Heading 5 Char"/>
    <w:basedOn w:val="917"/>
    <w:link w:val="749"/>
    <w:uiPriority w:val="9"/>
    <w:rPr>
      <w:rFonts w:ascii="Arial" w:hAnsi="Arial" w:eastAsia="Arial" w:cs="Arial"/>
      <w:b/>
      <w:bCs/>
      <w:sz w:val="24"/>
      <w:szCs w:val="24"/>
    </w:rPr>
  </w:style>
  <w:style w:type="paragraph" w:styleId="751">
    <w:name w:val="Heading 6"/>
    <w:basedOn w:val="915"/>
    <w:next w:val="915"/>
    <w:link w:val="752"/>
    <w:uiPriority w:val="9"/>
    <w:unhideWhenUsed/>
    <w:qFormat/>
    <w:pPr>
      <w:keepLines/>
      <w:keepNext/>
      <w:spacing w:before="320" w:after="200"/>
      <w:outlineLvl w:val="5"/>
    </w:pPr>
    <w:rPr>
      <w:rFonts w:ascii="Arial" w:hAnsi="Arial" w:eastAsia="Arial" w:cs="Arial"/>
      <w:b/>
      <w:bCs/>
      <w:sz w:val="22"/>
      <w:szCs w:val="22"/>
    </w:rPr>
  </w:style>
  <w:style w:type="character" w:styleId="752">
    <w:name w:val="Heading 6 Char"/>
    <w:basedOn w:val="917"/>
    <w:link w:val="751"/>
    <w:uiPriority w:val="9"/>
    <w:rPr>
      <w:rFonts w:ascii="Arial" w:hAnsi="Arial" w:eastAsia="Arial" w:cs="Arial"/>
      <w:b/>
      <w:bCs/>
      <w:sz w:val="22"/>
      <w:szCs w:val="22"/>
    </w:rPr>
  </w:style>
  <w:style w:type="paragraph" w:styleId="753">
    <w:name w:val="Heading 7"/>
    <w:basedOn w:val="915"/>
    <w:next w:val="915"/>
    <w:link w:val="754"/>
    <w:uiPriority w:val="9"/>
    <w:unhideWhenUsed/>
    <w:qFormat/>
    <w:pPr>
      <w:keepLines/>
      <w:keepNext/>
      <w:spacing w:before="320" w:after="200"/>
      <w:outlineLvl w:val="6"/>
    </w:pPr>
    <w:rPr>
      <w:rFonts w:ascii="Arial" w:hAnsi="Arial" w:eastAsia="Arial" w:cs="Arial"/>
      <w:b/>
      <w:bCs/>
      <w:i/>
      <w:iCs/>
      <w:sz w:val="22"/>
      <w:szCs w:val="22"/>
    </w:rPr>
  </w:style>
  <w:style w:type="character" w:styleId="754">
    <w:name w:val="Heading 7 Char"/>
    <w:basedOn w:val="917"/>
    <w:link w:val="753"/>
    <w:uiPriority w:val="9"/>
    <w:rPr>
      <w:rFonts w:ascii="Arial" w:hAnsi="Arial" w:eastAsia="Arial" w:cs="Arial"/>
      <w:b/>
      <w:bCs/>
      <w:i/>
      <w:iCs/>
      <w:sz w:val="22"/>
      <w:szCs w:val="22"/>
    </w:rPr>
  </w:style>
  <w:style w:type="paragraph" w:styleId="755">
    <w:name w:val="Heading 8"/>
    <w:basedOn w:val="915"/>
    <w:next w:val="915"/>
    <w:link w:val="756"/>
    <w:uiPriority w:val="9"/>
    <w:unhideWhenUsed/>
    <w:qFormat/>
    <w:pPr>
      <w:keepLines/>
      <w:keepNext/>
      <w:spacing w:before="320" w:after="200"/>
      <w:outlineLvl w:val="7"/>
    </w:pPr>
    <w:rPr>
      <w:rFonts w:ascii="Arial" w:hAnsi="Arial" w:eastAsia="Arial" w:cs="Arial"/>
      <w:i/>
      <w:iCs/>
      <w:sz w:val="22"/>
      <w:szCs w:val="22"/>
    </w:rPr>
  </w:style>
  <w:style w:type="character" w:styleId="756">
    <w:name w:val="Heading 8 Char"/>
    <w:basedOn w:val="917"/>
    <w:link w:val="755"/>
    <w:uiPriority w:val="9"/>
    <w:rPr>
      <w:rFonts w:ascii="Arial" w:hAnsi="Arial" w:eastAsia="Arial" w:cs="Arial"/>
      <w:i/>
      <w:iCs/>
      <w:sz w:val="22"/>
      <w:szCs w:val="22"/>
    </w:rPr>
  </w:style>
  <w:style w:type="paragraph" w:styleId="757">
    <w:name w:val="Heading 9"/>
    <w:basedOn w:val="915"/>
    <w:next w:val="915"/>
    <w:link w:val="758"/>
    <w:uiPriority w:val="9"/>
    <w:unhideWhenUsed/>
    <w:qFormat/>
    <w:pPr>
      <w:keepLines/>
      <w:keepNext/>
      <w:spacing w:before="320" w:after="200"/>
      <w:outlineLvl w:val="8"/>
    </w:pPr>
    <w:rPr>
      <w:rFonts w:ascii="Arial" w:hAnsi="Arial" w:eastAsia="Arial" w:cs="Arial"/>
      <w:i/>
      <w:iCs/>
      <w:sz w:val="21"/>
      <w:szCs w:val="21"/>
    </w:rPr>
  </w:style>
  <w:style w:type="character" w:styleId="758">
    <w:name w:val="Heading 9 Char"/>
    <w:basedOn w:val="917"/>
    <w:link w:val="757"/>
    <w:uiPriority w:val="9"/>
    <w:rPr>
      <w:rFonts w:ascii="Arial" w:hAnsi="Arial" w:eastAsia="Arial" w:cs="Arial"/>
      <w:i/>
      <w:iCs/>
      <w:sz w:val="21"/>
      <w:szCs w:val="21"/>
    </w:rPr>
  </w:style>
  <w:style w:type="paragraph" w:styleId="759">
    <w:name w:val="No Spacing"/>
    <w:uiPriority w:val="1"/>
    <w:qFormat/>
    <w:pPr>
      <w:spacing w:before="0" w:after="0" w:line="240" w:lineRule="auto"/>
    </w:pPr>
  </w:style>
  <w:style w:type="paragraph" w:styleId="760">
    <w:name w:val="Title"/>
    <w:basedOn w:val="915"/>
    <w:next w:val="915"/>
    <w:link w:val="761"/>
    <w:uiPriority w:val="10"/>
    <w:qFormat/>
    <w:pPr>
      <w:contextualSpacing/>
      <w:spacing w:before="300" w:after="200"/>
    </w:pPr>
    <w:rPr>
      <w:sz w:val="48"/>
      <w:szCs w:val="48"/>
    </w:rPr>
  </w:style>
  <w:style w:type="character" w:styleId="761">
    <w:name w:val="Title Char"/>
    <w:basedOn w:val="917"/>
    <w:link w:val="760"/>
    <w:uiPriority w:val="10"/>
    <w:rPr>
      <w:sz w:val="48"/>
      <w:szCs w:val="48"/>
    </w:rPr>
  </w:style>
  <w:style w:type="paragraph" w:styleId="762">
    <w:name w:val="Subtitle"/>
    <w:basedOn w:val="915"/>
    <w:next w:val="915"/>
    <w:link w:val="763"/>
    <w:uiPriority w:val="11"/>
    <w:qFormat/>
    <w:pPr>
      <w:spacing w:before="200" w:after="200"/>
    </w:pPr>
    <w:rPr>
      <w:sz w:val="24"/>
      <w:szCs w:val="24"/>
    </w:rPr>
  </w:style>
  <w:style w:type="character" w:styleId="763">
    <w:name w:val="Subtitle Char"/>
    <w:basedOn w:val="917"/>
    <w:link w:val="762"/>
    <w:uiPriority w:val="11"/>
    <w:rPr>
      <w:sz w:val="24"/>
      <w:szCs w:val="24"/>
    </w:rPr>
  </w:style>
  <w:style w:type="paragraph" w:styleId="764">
    <w:name w:val="Quote"/>
    <w:basedOn w:val="915"/>
    <w:next w:val="915"/>
    <w:link w:val="765"/>
    <w:uiPriority w:val="29"/>
    <w:qFormat/>
    <w:pPr>
      <w:ind w:left="720" w:right="720"/>
    </w:pPr>
    <w:rPr>
      <w:i/>
    </w:rPr>
  </w:style>
  <w:style w:type="character" w:styleId="765">
    <w:name w:val="Quote Char"/>
    <w:link w:val="764"/>
    <w:uiPriority w:val="29"/>
    <w:rPr>
      <w:i/>
    </w:rPr>
  </w:style>
  <w:style w:type="paragraph" w:styleId="766">
    <w:name w:val="Intense Quote"/>
    <w:basedOn w:val="915"/>
    <w:next w:val="915"/>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name w:val="Intense Quote Char"/>
    <w:link w:val="766"/>
    <w:uiPriority w:val="30"/>
    <w:rPr>
      <w:i/>
    </w:rPr>
  </w:style>
  <w:style w:type="character" w:styleId="768">
    <w:name w:val="Header Char"/>
    <w:basedOn w:val="917"/>
    <w:link w:val="926"/>
    <w:uiPriority w:val="99"/>
  </w:style>
  <w:style w:type="character" w:styleId="769">
    <w:name w:val="Footer Char"/>
    <w:basedOn w:val="917"/>
    <w:link w:val="925"/>
    <w:uiPriority w:val="99"/>
  </w:style>
  <w:style w:type="paragraph" w:styleId="770">
    <w:name w:val="Caption"/>
    <w:basedOn w:val="915"/>
    <w:next w:val="915"/>
    <w:uiPriority w:val="35"/>
    <w:semiHidden/>
    <w:unhideWhenUsed/>
    <w:qFormat/>
    <w:pPr>
      <w:spacing w:line="276" w:lineRule="auto"/>
    </w:pPr>
    <w:rPr>
      <w:b/>
      <w:bCs/>
      <w:color w:val="4f81bd" w:themeColor="accent1"/>
      <w:sz w:val="18"/>
      <w:szCs w:val="18"/>
    </w:rPr>
  </w:style>
  <w:style w:type="character" w:styleId="771">
    <w:name w:val="Caption Char"/>
    <w:basedOn w:val="770"/>
    <w:link w:val="925"/>
    <w:uiPriority w:val="99"/>
  </w:style>
  <w:style w:type="table" w:styleId="772">
    <w:name w:val="Table Grid"/>
    <w:basedOn w:val="91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3">
    <w:name w:val="Table Grid Light"/>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4">
    <w:name w:val="Plain Table 1"/>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basedOn w:val="9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basedOn w:val="9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1 Light - Accent 1"/>
    <w:basedOn w:val="9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1">
    <w:name w:val="Grid Table 1 Light - Accent 2"/>
    <w:basedOn w:val="9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2">
    <w:name w:val="Grid Table 1 Light - Accent 3"/>
    <w:basedOn w:val="9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3">
    <w:name w:val="Grid Table 1 Light - Accent 4"/>
    <w:basedOn w:val="9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4">
    <w:name w:val="Grid Table 1 Light - Accent 5"/>
    <w:basedOn w:val="9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5">
    <w:name w:val="Grid Table 1 Light - Accent 6"/>
    <w:basedOn w:val="9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6">
    <w:name w:val="Grid Table 2"/>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2 - Accent 1"/>
    <w:basedOn w:val="9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8">
    <w:name w:val="Grid Table 2 - Accent 2"/>
    <w:basedOn w:val="9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2 - Accent 3"/>
    <w:basedOn w:val="9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2 - Accent 4"/>
    <w:basedOn w:val="9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2 - Accent 5"/>
    <w:basedOn w:val="9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2">
    <w:name w:val="Grid Table 2 - Accent 6"/>
    <w:basedOn w:val="9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3">
    <w:name w:val="Grid Table 3"/>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1"/>
    <w:basedOn w:val="9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2"/>
    <w:basedOn w:val="9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3"/>
    <w:basedOn w:val="9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4"/>
    <w:basedOn w:val="9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5"/>
    <w:basedOn w:val="9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6"/>
    <w:basedOn w:val="9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basedOn w:val="9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4 - Accent 1"/>
    <w:basedOn w:val="9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2">
    <w:name w:val="Grid Table 4 - Accent 2"/>
    <w:basedOn w:val="9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3">
    <w:name w:val="Grid Table 4 - Accent 3"/>
    <w:basedOn w:val="9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4">
    <w:name w:val="Grid Table 4 - Accent 4"/>
    <w:basedOn w:val="9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5">
    <w:name w:val="Grid Table 4 - Accent 5"/>
    <w:basedOn w:val="9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6">
    <w:name w:val="Grid Table 4 - Accent 6"/>
    <w:basedOn w:val="9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7">
    <w:name w:val="Grid Table 5 Dark"/>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5 Dark- Accent 1"/>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09">
    <w:name w:val="Grid Table 5 Dark - Accent 2"/>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10">
    <w:name w:val="Grid Table 5 Dark - Accent 3"/>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11">
    <w:name w:val="Grid Table 5 Dark- Accent 4"/>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12">
    <w:name w:val="Grid Table 5 Dark - Accent 5"/>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13">
    <w:name w:val="Grid Table 5 Dark - Accent 6"/>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14">
    <w:name w:val="Grid Table 6 Colorful"/>
    <w:basedOn w:val="9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6 Colorful - Accent 1"/>
    <w:basedOn w:val="9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16">
    <w:name w:val="Grid Table 6 Colorful - Accent 2"/>
    <w:basedOn w:val="9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17">
    <w:name w:val="Grid Table 6 Colorful - Accent 3"/>
    <w:basedOn w:val="9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18">
    <w:name w:val="Grid Table 6 Colorful - Accent 4"/>
    <w:basedOn w:val="9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19">
    <w:name w:val="Grid Table 6 Colorful - Accent 5"/>
    <w:basedOn w:val="9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0">
    <w:name w:val="Grid Table 6 Colorful - Accent 6"/>
    <w:basedOn w:val="9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1">
    <w:name w:val="Grid Table 7 Colorful"/>
    <w:basedOn w:val="9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Grid Table 7 Colorful - Accent 1"/>
    <w:basedOn w:val="9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3">
    <w:name w:val="Grid Table 7 Colorful - Accent 2"/>
    <w:basedOn w:val="9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7 Colorful - Accent 3"/>
    <w:basedOn w:val="9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7 Colorful - Accent 4"/>
    <w:basedOn w:val="9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7 Colorful - Accent 5"/>
    <w:basedOn w:val="9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7">
    <w:name w:val="Grid Table 7 Colorful - Accent 6"/>
    <w:basedOn w:val="9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8">
    <w:name w:val="List Table 1 Light"/>
    <w:basedOn w:val="9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1 Light - Accent 1"/>
    <w:basedOn w:val="91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0">
    <w:name w:val="List Table 1 Light - Accent 2"/>
    <w:basedOn w:val="91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1">
    <w:name w:val="List Table 1 Light - Accent 3"/>
    <w:basedOn w:val="91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2">
    <w:name w:val="List Table 1 Light - Accent 4"/>
    <w:basedOn w:val="91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3">
    <w:name w:val="List Table 1 Light - Accent 5"/>
    <w:basedOn w:val="91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4">
    <w:name w:val="List Table 1 Light - Accent 6"/>
    <w:basedOn w:val="91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5">
    <w:name w:val="List Table 2"/>
    <w:basedOn w:val="9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2 - Accent 1"/>
    <w:basedOn w:val="9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7">
    <w:name w:val="List Table 2 - Accent 2"/>
    <w:basedOn w:val="9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8">
    <w:name w:val="List Table 2 - Accent 3"/>
    <w:basedOn w:val="9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9">
    <w:name w:val="List Table 2 - Accent 4"/>
    <w:basedOn w:val="9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0">
    <w:name w:val="List Table 2 - Accent 5"/>
    <w:basedOn w:val="9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1">
    <w:name w:val="List Table 2 - Accent 6"/>
    <w:basedOn w:val="9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2">
    <w:name w:val="List Table 3"/>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3 - Accent 1"/>
    <w:basedOn w:val="9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4">
    <w:name w:val="List Table 3 - Accent 2"/>
    <w:basedOn w:val="9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45">
    <w:name w:val="List Table 3 - Accent 3"/>
    <w:basedOn w:val="9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46">
    <w:name w:val="List Table 3 - Accent 4"/>
    <w:basedOn w:val="9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47">
    <w:name w:val="List Table 3 - Accent 5"/>
    <w:basedOn w:val="9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48">
    <w:name w:val="List Table 3 - Accent 6"/>
    <w:basedOn w:val="9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49">
    <w:name w:val="List Table 4"/>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 Accent 1"/>
    <w:basedOn w:val="9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1">
    <w:name w:val="List Table 4 - Accent 2"/>
    <w:basedOn w:val="9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52">
    <w:name w:val="List Table 4 - Accent 3"/>
    <w:basedOn w:val="9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53">
    <w:name w:val="List Table 4 - Accent 4"/>
    <w:basedOn w:val="9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54">
    <w:name w:val="List Table 4 - Accent 5"/>
    <w:basedOn w:val="9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55">
    <w:name w:val="List Table 4 - Accent 6"/>
    <w:basedOn w:val="9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56">
    <w:name w:val="List Table 5 Dark"/>
    <w:basedOn w:val="9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1"/>
    <w:basedOn w:val="9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2"/>
    <w:basedOn w:val="9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3"/>
    <w:basedOn w:val="9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4"/>
    <w:basedOn w:val="9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5"/>
    <w:basedOn w:val="9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6"/>
    <w:basedOn w:val="9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basedOn w:val="9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6 Colorful - Accent 1"/>
    <w:basedOn w:val="9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65">
    <w:name w:val="List Table 6 Colorful - Accent 2"/>
    <w:basedOn w:val="9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66">
    <w:name w:val="List Table 6 Colorful - Accent 3"/>
    <w:basedOn w:val="9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67">
    <w:name w:val="List Table 6 Colorful - Accent 4"/>
    <w:basedOn w:val="9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68">
    <w:name w:val="List Table 6 Colorful - Accent 5"/>
    <w:basedOn w:val="9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69">
    <w:name w:val="List Table 6 Colorful - Accent 6"/>
    <w:basedOn w:val="9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70">
    <w:name w:val="List Table 7 Colorful"/>
    <w:basedOn w:val="9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1">
    <w:name w:val="List Table 7 Colorful - Accent 1"/>
    <w:basedOn w:val="9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72">
    <w:name w:val="List Table 7 Colorful - Accent 2"/>
    <w:basedOn w:val="9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73">
    <w:name w:val="List Table 7 Colorful - Accent 3"/>
    <w:basedOn w:val="9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74">
    <w:name w:val="List Table 7 Colorful - Accent 4"/>
    <w:basedOn w:val="9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75">
    <w:name w:val="List Table 7 Colorful - Accent 5"/>
    <w:basedOn w:val="9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76">
    <w:name w:val="List Table 7 Colorful - Accent 6"/>
    <w:basedOn w:val="9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77">
    <w:name w:val="Lined - Accent"/>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Lined - Accent 1"/>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9">
    <w:name w:val="Lined - Accent 2"/>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0">
    <w:name w:val="Lined - Accent 3"/>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1">
    <w:name w:val="Lined - Accent 4"/>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2">
    <w:name w:val="Lined - Accent 5"/>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3">
    <w:name w:val="Lined - Accent 6"/>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4">
    <w:name w:val="Bordered &amp; Lined - Accent"/>
    <w:basedOn w:val="9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Bordered &amp; Lined - Accent 1"/>
    <w:basedOn w:val="9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6">
    <w:name w:val="Bordered &amp; Lined - Accent 2"/>
    <w:basedOn w:val="9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7">
    <w:name w:val="Bordered &amp; Lined - Accent 3"/>
    <w:basedOn w:val="9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8">
    <w:name w:val="Bordered &amp; Lined - Accent 4"/>
    <w:basedOn w:val="9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9">
    <w:name w:val="Bordered &amp; Lined - Accent 5"/>
    <w:basedOn w:val="9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0">
    <w:name w:val="Bordered &amp; Lined - Accent 6"/>
    <w:basedOn w:val="9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1">
    <w:name w:val="Bordered"/>
    <w:basedOn w:val="9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2">
    <w:name w:val="Bordered - Accent 1"/>
    <w:basedOn w:val="9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3">
    <w:name w:val="Bordered - Accent 2"/>
    <w:basedOn w:val="9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4">
    <w:name w:val="Bordered - Accent 3"/>
    <w:basedOn w:val="9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5">
    <w:name w:val="Bordered - Accent 4"/>
    <w:basedOn w:val="9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6">
    <w:name w:val="Bordered - Accent 5"/>
    <w:basedOn w:val="9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7">
    <w:name w:val="Bordered - Accent 6"/>
    <w:basedOn w:val="9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8">
    <w:name w:val="Hyperlink"/>
    <w:uiPriority w:val="99"/>
    <w:unhideWhenUsed/>
    <w:rPr>
      <w:color w:val="0000ff" w:themeColor="hyperlink"/>
      <w:u w:val="single"/>
    </w:rPr>
  </w:style>
  <w:style w:type="paragraph" w:styleId="899">
    <w:name w:val="footnote text"/>
    <w:basedOn w:val="915"/>
    <w:link w:val="900"/>
    <w:uiPriority w:val="99"/>
    <w:semiHidden/>
    <w:unhideWhenUsed/>
    <w:pPr>
      <w:spacing w:after="40" w:line="240" w:lineRule="auto"/>
    </w:pPr>
    <w:rPr>
      <w:sz w:val="18"/>
    </w:rPr>
  </w:style>
  <w:style w:type="character" w:styleId="900">
    <w:name w:val="Footnote Text Char"/>
    <w:link w:val="899"/>
    <w:uiPriority w:val="99"/>
    <w:rPr>
      <w:sz w:val="18"/>
    </w:rPr>
  </w:style>
  <w:style w:type="character" w:styleId="901">
    <w:name w:val="footnote reference"/>
    <w:basedOn w:val="917"/>
    <w:uiPriority w:val="99"/>
    <w:unhideWhenUsed/>
    <w:rPr>
      <w:vertAlign w:val="superscript"/>
    </w:rPr>
  </w:style>
  <w:style w:type="paragraph" w:styleId="902">
    <w:name w:val="endnote text"/>
    <w:basedOn w:val="915"/>
    <w:link w:val="903"/>
    <w:uiPriority w:val="99"/>
    <w:semiHidden/>
    <w:unhideWhenUsed/>
    <w:pPr>
      <w:spacing w:after="0" w:line="240" w:lineRule="auto"/>
    </w:pPr>
    <w:rPr>
      <w:sz w:val="20"/>
    </w:rPr>
  </w:style>
  <w:style w:type="character" w:styleId="903">
    <w:name w:val="Endnote Text Char"/>
    <w:link w:val="902"/>
    <w:uiPriority w:val="99"/>
    <w:rPr>
      <w:sz w:val="20"/>
    </w:rPr>
  </w:style>
  <w:style w:type="character" w:styleId="904">
    <w:name w:val="endnote reference"/>
    <w:basedOn w:val="917"/>
    <w:uiPriority w:val="99"/>
    <w:semiHidden/>
    <w:unhideWhenUsed/>
    <w:rPr>
      <w:vertAlign w:val="superscript"/>
    </w:rPr>
  </w:style>
  <w:style w:type="paragraph" w:styleId="905">
    <w:name w:val="toc 1"/>
    <w:basedOn w:val="915"/>
    <w:next w:val="915"/>
    <w:uiPriority w:val="39"/>
    <w:unhideWhenUsed/>
    <w:pPr>
      <w:ind w:left="0" w:right="0" w:firstLine="0"/>
      <w:spacing w:after="57"/>
    </w:pPr>
  </w:style>
  <w:style w:type="paragraph" w:styleId="906">
    <w:name w:val="toc 2"/>
    <w:basedOn w:val="915"/>
    <w:next w:val="915"/>
    <w:uiPriority w:val="39"/>
    <w:unhideWhenUsed/>
    <w:pPr>
      <w:ind w:left="283" w:right="0" w:firstLine="0"/>
      <w:spacing w:after="57"/>
    </w:pPr>
  </w:style>
  <w:style w:type="paragraph" w:styleId="907">
    <w:name w:val="toc 3"/>
    <w:basedOn w:val="915"/>
    <w:next w:val="915"/>
    <w:uiPriority w:val="39"/>
    <w:unhideWhenUsed/>
    <w:pPr>
      <w:ind w:left="567" w:right="0" w:firstLine="0"/>
      <w:spacing w:after="57"/>
    </w:pPr>
  </w:style>
  <w:style w:type="paragraph" w:styleId="908">
    <w:name w:val="toc 4"/>
    <w:basedOn w:val="915"/>
    <w:next w:val="915"/>
    <w:uiPriority w:val="39"/>
    <w:unhideWhenUsed/>
    <w:pPr>
      <w:ind w:left="850" w:right="0" w:firstLine="0"/>
      <w:spacing w:after="57"/>
    </w:pPr>
  </w:style>
  <w:style w:type="paragraph" w:styleId="909">
    <w:name w:val="toc 5"/>
    <w:basedOn w:val="915"/>
    <w:next w:val="915"/>
    <w:uiPriority w:val="39"/>
    <w:unhideWhenUsed/>
    <w:pPr>
      <w:ind w:left="1134" w:right="0" w:firstLine="0"/>
      <w:spacing w:after="57"/>
    </w:pPr>
  </w:style>
  <w:style w:type="paragraph" w:styleId="910">
    <w:name w:val="toc 6"/>
    <w:basedOn w:val="915"/>
    <w:next w:val="915"/>
    <w:uiPriority w:val="39"/>
    <w:unhideWhenUsed/>
    <w:pPr>
      <w:ind w:left="1417" w:right="0" w:firstLine="0"/>
      <w:spacing w:after="57"/>
    </w:pPr>
  </w:style>
  <w:style w:type="paragraph" w:styleId="911">
    <w:name w:val="toc 8"/>
    <w:basedOn w:val="915"/>
    <w:next w:val="915"/>
    <w:uiPriority w:val="39"/>
    <w:unhideWhenUsed/>
    <w:pPr>
      <w:ind w:left="1984" w:right="0" w:firstLine="0"/>
      <w:spacing w:after="57"/>
    </w:pPr>
  </w:style>
  <w:style w:type="paragraph" w:styleId="912">
    <w:name w:val="toc 9"/>
    <w:basedOn w:val="915"/>
    <w:next w:val="915"/>
    <w:uiPriority w:val="39"/>
    <w:unhideWhenUsed/>
    <w:pPr>
      <w:ind w:left="2268" w:right="0" w:firstLine="0"/>
      <w:spacing w:after="57"/>
    </w:pPr>
  </w:style>
  <w:style w:type="paragraph" w:styleId="913">
    <w:name w:val="TOC Heading"/>
    <w:uiPriority w:val="39"/>
    <w:unhideWhenUsed/>
  </w:style>
  <w:style w:type="paragraph" w:styleId="914">
    <w:name w:val="table of figures"/>
    <w:basedOn w:val="915"/>
    <w:next w:val="915"/>
    <w:uiPriority w:val="99"/>
    <w:unhideWhenUsed/>
    <w:pPr>
      <w:spacing w:after="0" w:afterAutospacing="0"/>
    </w:pPr>
  </w:style>
  <w:style w:type="paragraph" w:styleId="915" w:default="1">
    <w:name w:val="Normal"/>
    <w:uiPriority w:val="0"/>
    <w:qFormat/>
    <w:pPr>
      <w:jc w:val="both"/>
      <w:widowControl w:val="off"/>
    </w:pPr>
    <w:rPr>
      <w:rFonts w:ascii="等线" w:hAnsi="等线" w:eastAsia="宋体" w:cs="Arial"/>
      <w:sz w:val="21"/>
      <w:szCs w:val="22"/>
      <w:lang w:val="en-US" w:eastAsia="zh-CN" w:bidi="ar-SA"/>
    </w:rPr>
  </w:style>
  <w:style w:type="paragraph" w:styleId="916">
    <w:name w:val="Heading 4"/>
    <w:basedOn w:val="915"/>
    <w:next w:val="915"/>
    <w:uiPriority w:val="0"/>
    <w:qFormat/>
    <w:pPr>
      <w:keepLines/>
      <w:keepNext/>
      <w:spacing w:before="280" w:after="290" w:line="376" w:lineRule="auto"/>
      <w:outlineLvl w:val="3"/>
    </w:pPr>
    <w:rPr>
      <w:rFonts w:ascii="等线 Light" w:hAnsi="等线 Light" w:eastAsia="黑体"/>
      <w:b/>
      <w:bCs/>
      <w:sz w:val="28"/>
      <w:szCs w:val="28"/>
    </w:rPr>
  </w:style>
  <w:style w:type="character" w:styleId="917" w:default="1">
    <w:name w:val="Default Paragraph Font"/>
    <w:uiPriority w:val="0"/>
    <w:semiHidden/>
    <w:qFormat/>
  </w:style>
  <w:style w:type="table" w:styleId="918" w:default="1">
    <w:name w:val="Normal Table"/>
    <w:uiPriority w:val="0"/>
    <w:semiHidden/>
    <w:qFormat/>
    <w:tblPr>
      <w:tblCellMar>
        <w:left w:w="108" w:type="dxa"/>
        <w:top w:w="0" w:type="dxa"/>
        <w:right w:w="108" w:type="dxa"/>
        <w:bottom w:w="0" w:type="dxa"/>
      </w:tblCellMar>
    </w:tblPr>
  </w:style>
  <w:style w:type="paragraph" w:styleId="919">
    <w:name w:val="toc 7"/>
    <w:basedOn w:val="915"/>
    <w:next w:val="915"/>
    <w:uiPriority w:val="39"/>
    <w:qFormat/>
    <w:pPr>
      <w:ind w:left="2520" w:firstLine="200"/>
      <w:jc w:val="left"/>
    </w:pPr>
    <w:rPr>
      <w:rFonts w:ascii="Calibri" w:hAnsi="Calibri" w:eastAsia="仿宋" w:cs="Times New Roman"/>
      <w:sz w:val="28"/>
    </w:rPr>
  </w:style>
  <w:style w:type="paragraph" w:styleId="920">
    <w:name w:val="Normal Indent"/>
    <w:basedOn w:val="915"/>
    <w:uiPriority w:val="0"/>
    <w:qFormat/>
    <w:pPr>
      <w:ind w:firstLine="420"/>
      <w:jc w:val="left"/>
    </w:pPr>
    <w:rPr>
      <w:rFonts w:ascii="Times New Roman" w:hAnsi="Times New Roman"/>
      <w:sz w:val="28"/>
      <w:szCs w:val="24"/>
    </w:rPr>
  </w:style>
  <w:style w:type="paragraph" w:styleId="921">
    <w:name w:val="Body Text"/>
    <w:basedOn w:val="915"/>
    <w:next w:val="922"/>
    <w:uiPriority w:val="0"/>
    <w:qFormat/>
    <w:pPr>
      <w:spacing w:after="120"/>
    </w:pPr>
    <w:rPr>
      <w:sz w:val="20"/>
      <w:szCs w:val="20"/>
    </w:rPr>
  </w:style>
  <w:style w:type="paragraph" w:styleId="922">
    <w:name w:val="Body Text 2"/>
    <w:basedOn w:val="915"/>
    <w:uiPriority w:val="99"/>
    <w:qFormat/>
    <w:rPr>
      <w:rFonts w:eastAsia="仿宋_GB2312"/>
      <w:color w:val="000000"/>
    </w:rPr>
  </w:style>
  <w:style w:type="paragraph" w:styleId="923">
    <w:name w:val="index 4"/>
    <w:basedOn w:val="915"/>
    <w:next w:val="915"/>
    <w:uiPriority w:val="0"/>
    <w:semiHidden/>
    <w:qFormat/>
    <w:pPr>
      <w:ind w:left="1260"/>
    </w:pPr>
  </w:style>
  <w:style w:type="paragraph" w:styleId="924">
    <w:name w:val="Plain Text"/>
    <w:basedOn w:val="915"/>
    <w:next w:val="920"/>
    <w:uiPriority w:val="0"/>
    <w:qFormat/>
    <w:pPr>
      <w:ind w:firstLine="200"/>
      <w:jc w:val="left"/>
      <w:spacing w:after="200" w:line="360" w:lineRule="auto"/>
      <w:widowControl/>
    </w:pPr>
    <w:rPr>
      <w:rFonts w:ascii="宋体" w:hAnsi="Courier New" w:eastAsia="仿宋"/>
      <w:sz w:val="24"/>
      <w:szCs w:val="20"/>
      <w:lang w:eastAsia="en-US"/>
    </w:rPr>
  </w:style>
  <w:style w:type="paragraph" w:styleId="925">
    <w:name w:val="Footer"/>
    <w:basedOn w:val="915"/>
    <w:uiPriority w:val="99"/>
    <w:qFormat/>
    <w:pPr>
      <w:jc w:val="left"/>
      <w:tabs>
        <w:tab w:val="center" w:pos="4153" w:leader="none"/>
        <w:tab w:val="right" w:pos="8306" w:leader="none"/>
      </w:tabs>
    </w:pPr>
    <w:rPr>
      <w:sz w:val="18"/>
      <w:szCs w:val="18"/>
    </w:rPr>
  </w:style>
  <w:style w:type="paragraph" w:styleId="926">
    <w:name w:val="Header"/>
    <w:basedOn w:val="915"/>
    <w:uiPriority w:val="0"/>
    <w:qFormat/>
    <w:pPr>
      <w:jc w:val="center"/>
      <w:tabs>
        <w:tab w:val="center" w:pos="4153" w:leader="none"/>
        <w:tab w:val="right" w:pos="8306" w:leader="none"/>
      </w:tabs>
      <w:pBdr>
        <w:bottom w:val="single" w:color="auto" w:sz="6" w:space="1"/>
      </w:pBdr>
    </w:pPr>
    <w:rPr>
      <w:sz w:val="18"/>
      <w:szCs w:val="18"/>
    </w:rPr>
  </w:style>
  <w:style w:type="paragraph" w:styleId="927">
    <w:name w:val="Body Text Indent 3"/>
    <w:basedOn w:val="915"/>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928">
    <w:name w:val="Normal (Web)"/>
    <w:basedOn w:val="915"/>
    <w:uiPriority w:val="99"/>
    <w:qFormat/>
    <w:pPr>
      <w:jc w:val="left"/>
      <w:spacing w:before="100" w:beforeAutospacing="1" w:after="100" w:afterAutospacing="1"/>
      <w:widowControl/>
    </w:pPr>
    <w:rPr>
      <w:rFonts w:ascii="宋体" w:hAnsi="宋体" w:cs="宋体"/>
      <w:sz w:val="24"/>
      <w:szCs w:val="24"/>
    </w:rPr>
  </w:style>
  <w:style w:type="paragraph" w:styleId="929">
    <w:name w:val="Body Text First Indent"/>
    <w:basedOn w:val="921"/>
    <w:uiPriority w:val="0"/>
    <w:qFormat/>
    <w:pPr>
      <w:ind w:firstLine="420"/>
    </w:pPr>
    <w:rPr>
      <w:rFonts w:ascii="Verdana" w:hAnsi="Verdana"/>
      <w:szCs w:val="28"/>
      <w:lang w:eastAsia="en-US"/>
    </w:rPr>
  </w:style>
  <w:style w:type="paragraph" w:styleId="930" w:customStyle="1">
    <w:name w:val="段"/>
    <w:next w:val="915"/>
    <w:uiPriority w:val="0"/>
    <w:qFormat/>
    <w:pPr>
      <w:ind w:firstLine="420"/>
      <w:jc w:val="both"/>
      <w:spacing w:after="200" w:line="276" w:lineRule="auto"/>
      <w:tabs>
        <w:tab w:val="center" w:pos="4201" w:leader="none"/>
        <w:tab w:val="right" w:pos="9298" w:leader="dot"/>
      </w:tabs>
    </w:pPr>
    <w:rPr>
      <w:rFonts w:ascii="宋体" w:hAnsi="等线" w:eastAsia="宋体" w:cs="Arial"/>
      <w:lang w:val="en-US" w:eastAsia="zh-CN" w:bidi="ar-SA"/>
    </w:rPr>
  </w:style>
  <w:style w:type="paragraph" w:styleId="931" w:customStyle="1">
    <w:name w:val="WPSOffice手动目录 1"/>
    <w:uiPriority w:val="0"/>
    <w:qFormat/>
    <w:rPr>
      <w:rFonts w:ascii="Times New Roman" w:hAnsi="Times New Roman" w:eastAsia="宋体" w:cs="Times New Roman"/>
      <w:lang w:val="en-US" w:eastAsia="zh-CN" w:bidi="ar-SA"/>
    </w:rPr>
  </w:style>
  <w:style w:type="paragraph" w:styleId="932" w:customStyle="1">
    <w:name w:val="列出段落1"/>
    <w:basedOn w:val="915"/>
    <w:uiPriority w:val="0"/>
    <w:qFormat/>
    <w:pPr>
      <w:ind w:firstLine="420"/>
    </w:pPr>
    <w:rPr>
      <w:rFonts w:ascii="Calibri" w:hAnsi="Calibri" w:cs="Times New Roman"/>
      <w:sz w:val="20"/>
      <w:szCs w:val="20"/>
    </w:rPr>
  </w:style>
  <w:style w:type="paragraph" w:styleId="933" w:customStyle="1">
    <w:name w:val="正文文本缩进1"/>
    <w:basedOn w:val="915"/>
    <w:uiPriority w:val="0"/>
    <w:qFormat/>
    <w:pPr>
      <w:ind w:left="420" w:firstLine="420"/>
      <w:spacing w:line="240" w:lineRule="atLeast"/>
    </w:pPr>
    <w:rPr>
      <w:rFonts w:ascii="Times New Roman" w:hAnsi="Times New Roman" w:eastAsia="楷体_GB2312" w:cs="Times New Roman"/>
      <w:sz w:val="24"/>
      <w:szCs w:val="24"/>
    </w:rPr>
  </w:style>
  <w:style w:type="paragraph" w:styleId="934" w:customStyle="1">
    <w:name w:val="Comment Subject"/>
    <w:basedOn w:val="935"/>
    <w:next w:val="936"/>
    <w:uiPriority w:val="0"/>
    <w:qFormat/>
    <w:rPr>
      <w:b/>
      <w:bCs/>
    </w:rPr>
  </w:style>
  <w:style w:type="paragraph" w:styleId="935" w:customStyle="1">
    <w:name w:val="Comment Text"/>
    <w:basedOn w:val="915"/>
    <w:uiPriority w:val="0"/>
    <w:qFormat/>
    <w:pPr>
      <w:ind w:firstLine="200"/>
      <w:jc w:val="left"/>
    </w:pPr>
    <w:rPr>
      <w:rFonts w:ascii="Times New Roman" w:hAnsi="Times New Roman" w:eastAsia="仿宋"/>
      <w:sz w:val="28"/>
      <w:szCs w:val="24"/>
    </w:rPr>
  </w:style>
  <w:style w:type="paragraph" w:styleId="936" w:customStyle="1">
    <w:name w:val="Plain Text1"/>
    <w:basedOn w:val="915"/>
    <w:next w:val="919"/>
    <w:uiPriority w:val="0"/>
    <w:qFormat/>
    <w:pPr>
      <w:ind w:firstLine="3584"/>
      <w:spacing w:line="360" w:lineRule="auto"/>
    </w:pPr>
  </w:style>
  <w:style w:type="paragraph" w:styleId="937" w:customStyle="1">
    <w:name w:val="纯文本1111"/>
    <w:basedOn w:val="915"/>
    <w:next w:val="938"/>
    <w:uiPriority w:val="0"/>
    <w:unhideWhenUsed/>
    <w:qFormat/>
    <w:rPr>
      <w:rFonts w:ascii="宋体" w:hAnsi="Courier New"/>
    </w:rPr>
  </w:style>
  <w:style w:type="paragraph" w:styleId="938" w:customStyle="1">
    <w:name w:val="正文缩进1"/>
    <w:basedOn w:val="915"/>
    <w:uiPriority w:val="0"/>
    <w:qFormat/>
    <w:pPr>
      <w:ind w:firstLine="420"/>
    </w:pPr>
    <w:rPr>
      <w:rFonts w:ascii="Calibri" w:hAnsi="Calibri" w:cs="Times New Roman"/>
      <w:sz w:val="20"/>
      <w:szCs w:val="20"/>
    </w:rPr>
  </w:style>
  <w:style w:type="paragraph" w:styleId="939" w:customStyle="1">
    <w:name w:val="msonormal"/>
    <w:basedOn w:val="915"/>
    <w:uiPriority w:val="0"/>
    <w:qFormat/>
    <w:pPr>
      <w:jc w:val="left"/>
      <w:spacing w:before="100" w:beforeAutospacing="1" w:after="100" w:afterAutospacing="1"/>
      <w:widowControl/>
    </w:pPr>
    <w:rPr>
      <w:rFonts w:ascii="宋体" w:hAnsi="宋体" w:cs="宋体"/>
      <w:sz w:val="24"/>
      <w:szCs w:val="24"/>
    </w:rPr>
  </w:style>
  <w:style w:type="paragraph" w:styleId="940" w:customStyle="1">
    <w:name w:val="普通(网站)1"/>
    <w:basedOn w:val="915"/>
    <w:uiPriority w:val="0"/>
    <w:qFormat/>
    <w:pPr>
      <w:jc w:val="left"/>
      <w:spacing w:before="100" w:beforeAutospacing="1" w:after="100" w:afterAutospacing="1"/>
      <w:widowControl/>
    </w:pPr>
    <w:rPr>
      <w:rFonts w:ascii="宋体" w:hAnsi="宋体" w:cs="宋体"/>
      <w:sz w:val="24"/>
      <w:szCs w:val="24"/>
    </w:rPr>
  </w:style>
  <w:style w:type="paragraph" w:styleId="941" w:customStyle="1">
    <w:name w:val="DAS正文"/>
    <w:basedOn w:val="915"/>
    <w:uiPriority w:val="0"/>
    <w:qFormat/>
    <w:pPr>
      <w:ind w:right="181" w:firstLine="480"/>
      <w:spacing w:line="360" w:lineRule="auto"/>
    </w:pPr>
    <w:rPr>
      <w:rFonts w:ascii="Verdana" w:hAnsi="Verdana" w:cs="Times New Roman"/>
      <w:szCs w:val="24"/>
    </w:rPr>
  </w:style>
  <w:style w:type="character" w:styleId="942" w:customStyle="1">
    <w:name w:val="font51"/>
    <w:basedOn w:val="917"/>
    <w:uiPriority w:val="0"/>
    <w:qFormat/>
    <w:rPr>
      <w:rFonts w:hint="eastAsia" w:ascii="宋体" w:hAnsi="宋体" w:eastAsia="宋体" w:cs="宋体"/>
      <w:color w:val="000000"/>
      <w:sz w:val="18"/>
      <w:szCs w:val="18"/>
      <w:u w:val="none"/>
    </w:rPr>
  </w:style>
  <w:style w:type="character" w:styleId="943" w:customStyle="1">
    <w:name w:val="font41"/>
    <w:basedOn w:val="917"/>
    <w:uiPriority w:val="0"/>
    <w:qFormat/>
    <w:rPr>
      <w:rFonts w:hint="eastAsia" w:ascii="宋体" w:hAnsi="宋体" w:eastAsia="宋体" w:cs="宋体"/>
      <w:color w:val="000000"/>
      <w:sz w:val="18"/>
      <w:szCs w:val="18"/>
      <w:u w:val="none"/>
    </w:rPr>
  </w:style>
  <w:style w:type="character" w:styleId="944" w:customStyle="1">
    <w:name w:val="font21"/>
    <w:basedOn w:val="917"/>
    <w:uiPriority w:val="0"/>
    <w:qFormat/>
    <w:rPr>
      <w:rFonts w:hint="eastAsia" w:ascii="微软雅黑" w:hAnsi="微软雅黑" w:eastAsia="微软雅黑" w:cs="微软雅黑"/>
      <w:color w:val="000000"/>
      <w:sz w:val="20"/>
      <w:szCs w:val="20"/>
      <w:u w:val="none"/>
    </w:rPr>
  </w:style>
  <w:style w:type="paragraph" w:styleId="945">
    <w:name w:val="List Paragraph"/>
    <w:basedOn w:val="915"/>
    <w:uiPriority w:val="34"/>
    <w:qFormat/>
    <w:pPr>
      <w:ind w:firstLine="420"/>
    </w:pPr>
    <w:rPr>
      <w:sz w:val="20"/>
      <w:szCs w:val="20"/>
    </w:rPr>
  </w:style>
  <w:style w:type="paragraph" w:styleId="946" w:customStyle="1">
    <w:name w:val="Table Text"/>
    <w:basedOn w:val="915"/>
    <w:uiPriority w:val="0"/>
    <w:semiHidden/>
    <w:qFormat/>
    <w:rPr>
      <w:rFonts w:ascii="宋体" w:hAnsi="宋体" w:eastAsia="宋体" w:cs="宋体"/>
      <w:sz w:val="24"/>
      <w:szCs w:val="24"/>
      <w:lang w:val="en-US" w:eastAsia="en-US" w:bidi="ar-SA"/>
    </w:rPr>
  </w:style>
  <w:style w:type="table" w:styleId="947" w:customStyle="1">
    <w:name w:val="Table Normal"/>
    <w:uiPriority w:val="0"/>
    <w:semiHidden/>
    <w:unhideWhenUsed/>
    <w:qFormat/>
    <w:tblPr>
      <w:tblCellMar>
        <w:left w:w="0" w:type="dxa"/>
        <w:top w:w="0" w:type="dxa"/>
        <w:right w:w="0" w:type="dxa"/>
        <w:bottom w:w="0" w:type="dxa"/>
      </w:tblCellMar>
    </w:tbl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周纯</cp:lastModifiedBy>
  <cp:revision>3</cp:revision>
  <dcterms:created xsi:type="dcterms:W3CDTF">2014-10-29T12:08:00Z</dcterms:created>
  <dcterms:modified xsi:type="dcterms:W3CDTF">2026-04-23T08:01:35Z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7AD3E1E03BB94F6BA9D8F6012E461563_13</vt:lpwstr>
  </property>
  <property fmtid="{D5CDD505-2E9C-101B-9397-08002B2CF9AE}" pid="4" name="KSOTemplateDocerSaveRecord">
    <vt:lpwstr>eyJoZGlkIjoiY2I1ZWQyMDIzMmI2OGYyYzI2YTM3OTg4YjAxOTQ1MWIiLCJ1c2VySWQiOiIzMTU1ODEyOTcifQ==</vt:lpwstr>
  </property>
</Properties>
</file>