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28"/>
          <w:szCs w:val="28"/>
          <w:highlight w:val="none"/>
        </w:rPr>
      </w:pPr>
      <w:r>
        <w:rPr>
          <w:rFonts w:ascii="宋体" w:hAnsi="宋体" w:cs="宋体"/>
          <w:b/>
          <w:color w:val="auto"/>
          <w:spacing w:val="76"/>
          <w:sz w:val="28"/>
          <w:szCs w:val="28"/>
          <w:highlight w:val="none"/>
        </w:rPr>
      </w:r>
      <w:r/>
    </w:p>
    <w:p>
      <w:pPr>
        <w:pStyle w:val="792"/>
        <w:ind w:firstLine="0"/>
        <w:rPr>
          <w:rFonts w:ascii="宋体" w:hAnsi="宋体" w:cs="宋体"/>
          <w:b/>
          <w:color w:val="auto"/>
          <w:spacing w:val="76"/>
          <w:sz w:val="32"/>
          <w:szCs w:val="32"/>
          <w:highlight w:val="none"/>
        </w:rPr>
      </w:pPr>
      <w:r>
        <w:rPr>
          <w:rFonts w:ascii="宋体" w:hAnsi="宋体" w:cs="宋体"/>
          <w:b/>
          <w:color w:val="auto"/>
          <w:spacing w:val="76"/>
          <w:sz w:val="32"/>
          <w:szCs w:val="32"/>
          <w:highlight w:val="none"/>
        </w:rPr>
      </w:r>
      <w:r/>
    </w:p>
    <w:p>
      <w:pPr>
        <w:pStyle w:val="792"/>
        <w:ind w:firstLine="0"/>
        <w:rPr>
          <w:rFonts w:ascii="宋体" w:hAnsi="宋体" w:cs="宋体"/>
          <w:b/>
          <w:color w:val="auto"/>
          <w:spacing w:val="76"/>
          <w:sz w:val="84"/>
          <w:szCs w:val="84"/>
          <w:highlight w:val="none"/>
        </w:rPr>
      </w:pPr>
      <w:r>
        <w:rPr>
          <w:rFonts w:ascii="宋体" w:hAnsi="宋体" w:cs="宋体"/>
          <w:b/>
          <w:color w:val="auto"/>
          <w:spacing w:val="76"/>
          <w:sz w:val="84"/>
          <w:szCs w:val="84"/>
          <w:highlight w:val="none"/>
        </w:rPr>
      </w:r>
      <w:r/>
    </w:p>
    <w:p>
      <w:pPr>
        <w:jc w:val="center"/>
        <w:rPr>
          <w:rFonts w:ascii="宋体" w:hAnsi="宋体" w:cs="宋体"/>
          <w:b/>
          <w:color w:val="auto"/>
          <w:spacing w:val="76"/>
          <w:sz w:val="120"/>
          <w:szCs w:val="120"/>
          <w:highlight w:val="none"/>
        </w:rPr>
      </w:pPr>
      <w:r>
        <w:rPr>
          <w:rFonts w:hint="eastAsia" w:ascii="宋体" w:hAnsi="宋体" w:cs="宋体"/>
          <w:b/>
          <w:color w:val="auto"/>
          <w:spacing w:val="76"/>
          <w:sz w:val="120"/>
          <w:szCs w:val="120"/>
          <w:highlight w:val="none"/>
        </w:rPr>
        <w:t xml:space="preserve">招标文件</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hint="default" w:ascii="宋体" w:hAnsi="宋体" w:cs="宋体"/>
          <w:color w:val="auto"/>
          <w:sz w:val="28"/>
          <w:szCs w:val="28"/>
          <w:highlight w:val="none"/>
          <w:lang w:val="en-US"/>
        </w:rPr>
      </w:pPr>
      <w:r>
        <w:rPr>
          <w:rStyle w:val="1069"/>
          <w:rFonts w:hint="eastAsia" w:ascii="仿宋" w:hAnsi="仿宋" w:eastAsia="仿宋" w:cs="仿宋"/>
          <w:b/>
          <w:color w:val="auto"/>
          <w:szCs w:val="21"/>
          <w:highlight w:val="none"/>
        </w:rPr>
        <mc:AlternateContent>
          <mc:Choice Requires="wpg">
            <w:drawing>
              <wp:inline xmlns:wp="http://schemas.openxmlformats.org/drawingml/2006/wordprocessingDrawing" distT="0" distB="0" distL="0" distR="0">
                <wp:extent cx="2741930" cy="185293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6"/>
                        <a:stretch/>
                      </pic:blipFill>
                      <pic:spPr bwMode="auto">
                        <a:xfrm>
                          <a:off x="0" y="0"/>
                          <a:ext cx="2742184" cy="1853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9pt;height:145.9pt;mso-wrap-distance-left:0.0pt;mso-wrap-distance-top:0.0pt;mso-wrap-distance-right:0.0pt;mso-wrap-distance-bottom:0.0pt;" stroked="f">
                <v:path textboxrect="0,0,0,0"/>
                <v:imagedata r:id="rId16" o:title=""/>
              </v:shape>
            </w:pict>
          </mc:Fallback>
        </mc:AlternateContent>
      </w:r>
      <w:r/>
    </w:p>
    <w:p>
      <w:pPr>
        <w:pStyle w:val="792"/>
        <w:rPr>
          <w:rFonts w:ascii="宋体" w:hAnsi="宋体" w:cs="宋体"/>
          <w:color w:val="auto"/>
          <w:sz w:val="28"/>
          <w:szCs w:val="28"/>
          <w:highlight w:val="none"/>
        </w:rPr>
      </w:pPr>
      <w:r>
        <w:rPr>
          <w:rFonts w:ascii="宋体" w:hAnsi="宋体" w:cs="宋体"/>
          <w:color w:val="auto"/>
          <w:sz w:val="28"/>
          <w:szCs w:val="28"/>
          <w:highlight w:val="none"/>
        </w:rPr>
      </w:r>
      <w:r/>
    </w:p>
    <w:p>
      <w:pPr>
        <w:ind w:firstLine="32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JSZC-320300-JTGS-G2026-0015</w:t>
      </w:r>
      <w:r>
        <w:rPr>
          <w:rFonts w:hint="eastAsia" w:ascii="宋体" w:hAnsi="宋体" w:cs="宋体"/>
          <w:color w:val="auto"/>
          <w:sz w:val="32"/>
          <w:szCs w:val="32"/>
          <w:highlight w:val="none"/>
        </w:rPr>
        <w:t xml:space="preserve"> </w:t>
      </w:r>
      <w:r/>
    </w:p>
    <w:p>
      <w:pPr>
        <w:ind w:firstLine="320"/>
        <w:spacing w:line="6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徐州市公安局贾汪分局食堂食材采购</w:t>
      </w:r>
      <w:r/>
    </w:p>
    <w:p>
      <w:pPr>
        <w:ind w:firstLine="320"/>
        <w:jc w:val="left"/>
        <w:rPr>
          <w:rFonts w:ascii="宋体" w:hAnsi="宋体" w:cs="宋体"/>
          <w:color w:val="auto"/>
          <w:sz w:val="32"/>
          <w:szCs w:val="32"/>
          <w:highlight w:val="none"/>
        </w:rPr>
      </w:pPr>
      <w:r>
        <w:rPr>
          <w:rFonts w:hint="eastAsia" w:ascii="宋体" w:hAnsi="宋体" w:cs="宋体"/>
          <w:color w:val="auto"/>
          <w:sz w:val="32"/>
          <w:szCs w:val="32"/>
          <w:highlight w:val="none"/>
        </w:rPr>
        <w:t xml:space="preserve">采 购 人：徐州市公安局贾汪分局</w:t>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ind w:right="-159" w:firstLine="2112"/>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848"/>
        <w:rPr>
          <w:rFonts w:ascii="宋体" w:hAnsi="宋体" w:cs="宋体"/>
          <w:color w:val="auto"/>
          <w:sz w:val="32"/>
          <w:szCs w:val="32"/>
          <w:highlight w:val="none"/>
        </w:rPr>
      </w:pPr>
      <w:r>
        <w:rPr>
          <w:rFonts w:ascii="宋体" w:hAnsi="宋体" w:cs="宋体"/>
          <w:color w:val="auto"/>
          <w:sz w:val="32"/>
          <w:szCs w:val="32"/>
          <w:highlight w:val="none"/>
        </w:rPr>
      </w:r>
      <w:r/>
    </w:p>
    <w:p>
      <w:pPr>
        <w:rPr>
          <w:highlight w:val="none"/>
        </w:rPr>
      </w:pPr>
      <w:r>
        <w:rPr>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江苏骏通建设项目管理咨询有限公司</w:t>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2"/>
          <w:szCs w:val="32"/>
          <w:highlight w:val="none"/>
        </w:rPr>
        <w:t xml:space="preserve">二〇二六年</w:t>
      </w:r>
      <w:r>
        <w:rPr>
          <w:rFonts w:hint="eastAsia" w:ascii="宋体" w:hAnsi="宋体" w:cs="宋体"/>
          <w:bCs/>
          <w:color w:val="auto"/>
          <w:sz w:val="32"/>
          <w:szCs w:val="32"/>
          <w:highlight w:val="none"/>
          <w:lang w:val="en-US" w:eastAsia="zh-CN"/>
        </w:rPr>
        <w:t xml:space="preserve">四</w:t>
      </w:r>
      <w:r>
        <w:rPr>
          <w:rFonts w:hint="eastAsia" w:ascii="宋体" w:hAnsi="宋体" w:cs="宋体"/>
          <w:bCs/>
          <w:color w:val="auto"/>
          <w:sz w:val="32"/>
          <w:szCs w:val="32"/>
          <w:highlight w:val="none"/>
        </w:rPr>
        <w:t xml:space="preserve">月</w:t>
      </w:r>
      <w:r/>
    </w:p>
    <w:p>
      <w:pPr>
        <w:jc w:val="cente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目 录</w:t>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25"/>
          <w:rFonts w:hint="eastAsia" w:ascii="宋体" w:hAnsi="宋体" w:cs="宋体"/>
          <w:color w:val="auto"/>
          <w:sz w:val="30"/>
          <w:szCs w:val="30"/>
          <w:highlight w:val="none"/>
          <w:u w:val="none"/>
        </w:rPr>
        <w:t xml:space="preserve">第一章 投标邀请</w:t>
      </w:r>
      <w:r>
        <w:rPr>
          <w:rStyle w:val="825"/>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25"/>
          <w:rFonts w:hint="eastAsia" w:ascii="宋体" w:hAnsi="宋体" w:cs="宋体"/>
          <w:color w:val="auto"/>
          <w:sz w:val="30"/>
          <w:szCs w:val="30"/>
          <w:highlight w:val="none"/>
          <w:u w:val="none"/>
        </w:rPr>
        <w:t xml:space="preserve">第二章 投标人须知</w:t>
      </w:r>
      <w:r>
        <w:rPr>
          <w:rStyle w:val="825"/>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25"/>
          <w:rFonts w:hint="eastAsia" w:ascii="宋体" w:hAnsi="宋体" w:cs="宋体"/>
          <w:color w:val="auto"/>
          <w:sz w:val="30"/>
          <w:szCs w:val="30"/>
          <w:highlight w:val="none"/>
          <w:u w:val="none"/>
        </w:rPr>
        <w:t xml:space="preserve">第三章 投标资料表</w:t>
      </w:r>
      <w:r>
        <w:rPr>
          <w:rStyle w:val="825"/>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25"/>
          <w:rFonts w:hint="eastAsia" w:ascii="宋体" w:hAnsi="宋体" w:cs="宋体"/>
          <w:color w:val="auto"/>
          <w:sz w:val="30"/>
          <w:szCs w:val="30"/>
          <w:highlight w:val="none"/>
          <w:u w:val="none"/>
        </w:rPr>
        <w:t xml:space="preserve">第四章 评标标准</w:t>
      </w:r>
      <w:r>
        <w:rPr>
          <w:rStyle w:val="825"/>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25"/>
          <w:rFonts w:hint="eastAsia" w:ascii="宋体" w:hAnsi="宋体" w:cs="宋体"/>
          <w:color w:val="auto"/>
          <w:sz w:val="30"/>
          <w:szCs w:val="30"/>
          <w:highlight w:val="none"/>
          <w:u w:val="none"/>
        </w:rPr>
        <w:t xml:space="preserve">第五章 拟签订的合同文本</w:t>
      </w:r>
      <w:r>
        <w:rPr>
          <w:rStyle w:val="825"/>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25"/>
          <w:rFonts w:hint="eastAsia" w:ascii="宋体" w:hAnsi="宋体" w:cs="宋体"/>
          <w:color w:val="auto"/>
          <w:sz w:val="30"/>
          <w:szCs w:val="30"/>
          <w:highlight w:val="none"/>
          <w:u w:val="none"/>
        </w:rPr>
        <w:t xml:space="preserve">第六章 采购需求</w:t>
      </w:r>
      <w:r>
        <w:rPr>
          <w:rStyle w:val="825"/>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25"/>
          <w:rFonts w:hint="eastAsia" w:ascii="宋体" w:hAnsi="宋体" w:cs="宋体"/>
          <w:color w:val="auto"/>
          <w:sz w:val="30"/>
          <w:szCs w:val="30"/>
          <w:highlight w:val="none"/>
          <w:u w:val="none"/>
        </w:rPr>
        <w:t xml:space="preserve">第七章 投标文件相关格式</w:t>
      </w:r>
      <w:r>
        <w:rPr>
          <w:rStyle w:val="825"/>
          <w:rFonts w:hint="eastAsia" w:ascii="宋体" w:hAnsi="宋体" w:cs="宋体"/>
          <w:color w:val="auto"/>
          <w:sz w:val="30"/>
          <w:szCs w:val="30"/>
          <w:highlight w:val="none"/>
          <w:u w:val="none"/>
        </w:rPr>
        <w:fldChar w:fldCharType="end"/>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51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spacing w:line="24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w:t>
      </w:r>
      <w:bookmarkStart w:id="4" w:name="_GoBack"/>
      <w:r/>
      <w:bookmarkEnd w:id="4"/>
      <w:r>
        <w:rPr>
          <w:rFonts w:hint="eastAsia" w:ascii="宋体" w:hAnsi="宋体" w:cs="宋体"/>
          <w:b/>
          <w:color w:val="auto"/>
          <w:sz w:val="36"/>
          <w:szCs w:val="36"/>
          <w:highlight w:val="none"/>
          <w:lang w:eastAsia="zh-CN"/>
        </w:rPr>
        <w:t xml:space="preserve">徐州市公安局贾汪分局食堂食材采购</w:t>
      </w:r>
      <w:r>
        <w:rPr>
          <w:rFonts w:hint="eastAsia" w:ascii="宋体" w:hAnsi="宋体" w:cs="宋体"/>
          <w:b/>
          <w:color w:val="auto"/>
          <w:sz w:val="36"/>
          <w:szCs w:val="36"/>
          <w:highlight w:val="none"/>
        </w:rPr>
        <w:t xml:space="preserve">》</w:t>
      </w:r>
      <w:r/>
    </w:p>
    <w:p>
      <w:pPr>
        <w:jc w:val="center"/>
        <w:spacing w:line="24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江苏骏通建设项目管理咨询有限公司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徐州市公安局贾汪分局食堂食材采购</w:t>
      </w:r>
      <w:r>
        <w:rPr>
          <w:rFonts w:hint="eastAsia" w:ascii="宋体" w:hAnsi="宋体" w:cs="宋体"/>
          <w:color w:val="auto"/>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徐州市公安局贾汪分局食堂食材采购</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(二)项目编号：</w:t>
      </w:r>
      <w:r>
        <w:rPr>
          <w:rFonts w:hint="eastAsia" w:ascii="宋体" w:hAnsi="宋体" w:cs="宋体"/>
          <w:b/>
          <w:bCs/>
          <w:color w:val="auto"/>
          <w:sz w:val="24"/>
          <w:szCs w:val="24"/>
          <w:highlight w:val="none"/>
          <w:lang w:eastAsia="zh-CN"/>
        </w:rPr>
        <w:t xml:space="preserve">JSZC-320300-JTGS-G2026-0015</w:t>
      </w:r>
      <w:r>
        <w:rPr>
          <w:rFonts w:hint="eastAsia" w:ascii="宋体" w:hAnsi="宋体" w:cs="宋体"/>
          <w:b/>
          <w:bCs/>
          <w:color w:val="auto"/>
          <w:sz w:val="24"/>
          <w:szCs w:val="24"/>
          <w:highlight w:val="none"/>
        </w:rPr>
        <w:t xml:space="preserve"> </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详见本项目公开招标公告。</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1、潜在投标人访问电子招标投标交易平台的网络地址和方法：</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（5）招标代理机构（采购代理机构）将数据电文形式的采购文件加载至“苏采云”系统，供潜在投标人下载或者查阅。</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（6）苏采云系统使用谷歌浏览器参与开标。</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2、售价：免费。</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shd w:val="nil"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（一）投标截止时间：2026年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13</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日北京时间09：30。</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（二）开标时间：2026年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13</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日北京时间09：30。</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（三）开标地点：</w:t>
      </w:r>
      <w:r>
        <w:rPr>
          <w:rFonts w:hint="eastAsia" w:ascii="宋体" w:hAnsi="宋体" w:cs="宋体"/>
          <w:color w:val="auto"/>
          <w:sz w:val="24"/>
          <w:szCs w:val="24"/>
          <w:highlight w:val="none"/>
        </w:rPr>
        <w:t xml:space="preserve">“苏采云”系统“开标大厅”或进入徐州政府采购网--业务工作--用户登录，点击“苏采云”进入系统“开标大厅”。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（一）名称：徐州市公安局贾汪分局</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（二）地址：徐州市贾汪区山水大道9号</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 </w:t>
      </w:r>
      <w:r>
        <w:rPr>
          <w:rFonts w:hint="eastAsia" w:ascii="宋体" w:hAnsi="宋体" w:cs="宋体"/>
          <w:color w:val="auto"/>
          <w:sz w:val="24"/>
          <w:szCs w:val="24"/>
          <w:highlight w:val="none"/>
          <w:lang w:val="en-US" w:eastAsia="zh-CN"/>
        </w:rPr>
        <w:t xml:space="preserve">汪坤</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（四）联系方式：0516-85869068</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江苏骏通建设项目管理咨询有限公司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徐州市泉山区矿大科技园同创新座B区4号楼三层</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李振</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0516-83891178</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center"/>
        <w:spacing w:line="720"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3" w:bottom="1440" w:left="1803" w:header="851" w:footer="992" w:gutter="0"/>
          <w:cols w:num="1" w:sep="0" w:space="0" w:equalWidth="1"/>
          <w:docGrid w:linePitch="360"/>
        </w:sectPr>
        <w:outlineLvl w:val="0"/>
      </w:pPr>
      <w:r>
        <w:rPr>
          <w:rFonts w:ascii="宋体" w:hAnsi="宋体" w:cs="宋体"/>
          <w:b/>
          <w:color w:val="auto"/>
          <w:sz w:val="28"/>
          <w:szCs w:val="28"/>
          <w:highlight w:val="none"/>
        </w:rPr>
      </w:r>
      <w:r/>
    </w:p>
    <w:p>
      <w:pPr>
        <w:numPr>
          <w:ilvl w:val="0"/>
          <w:numId w:val="2"/>
        </w:num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投标人须知</w:t>
      </w:r>
      <w:r/>
    </w:p>
    <w:p>
      <w:pPr>
        <w:pStyle w:val="816"/>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r>
      <w:r/>
    </w:p>
    <w:p>
      <w:pPr>
        <w:pStyle w:val="816"/>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r>
      <w:r/>
    </w:p>
    <w:p>
      <w:pPr>
        <w:pStyle w:val="816"/>
        <w:ind w:left="0" w:right="0"/>
        <w:jc w:val="center"/>
        <w:keepLines w:val="0"/>
        <w:keepNext w:val="0"/>
        <w:spacing w:before="0" w:beforeAutospacing="0" w:after="0" w:afterAutospacing="0"/>
        <w:widowControl w:val="off"/>
        <w:rPr>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highlight w:val="none"/>
        </w:rPr>
        <w:t xml:space="preserve">目</w:t>
      </w: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录</w:t>
      </w:r>
      <w:r/>
    </w:p>
    <w:p>
      <w:pPr>
        <w:pStyle w:val="816"/>
        <w:ind w:left="420"/>
        <w:jc w:val="both"/>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一、总则</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二、招标</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三、投标</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四、开标</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五、评标</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六、定标</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七、政府采购合同</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八、询问和质疑</w:t>
      </w:r>
      <w:r/>
    </w:p>
    <w:p>
      <w:pPr>
        <w:pStyle w:val="816"/>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九、电子招标投标交易平台</w:t>
      </w:r>
      <w:r/>
    </w:p>
    <w:p>
      <w:pPr>
        <w:pStyle w:val="798"/>
        <w:numPr>
          <w:ilvl w:val="0"/>
          <w:numId w:val="0"/>
        </w:numPr>
        <w:ind w:right="1440"/>
        <w:rPr>
          <w:highlight w:val="none"/>
        </w:rPr>
      </w:pPr>
      <w:r>
        <w:rPr>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pStyle w:val="849"/>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1.开标时间及地点。开标应当在招标文件确定的提交投标文件截止时间的同一时间公开进行；开标地点应当为招标文件中预先确定的地点。</w:t>
      </w:r>
      <w:r/>
    </w:p>
    <w:p>
      <w:pPr>
        <w:pStyle w:val="849"/>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2.由电子招标投标交易平台主持，邀请投标人参加。</w:t>
      </w:r>
      <w:r/>
    </w:p>
    <w:p>
      <w:pPr>
        <w:pStyle w:val="849"/>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3.所有投标单位使用 CA 证书在开标时间时，解密各自投标文件，投标人不足3家的，不得评标。</w:t>
      </w:r>
      <w:r/>
    </w:p>
    <w:p>
      <w:pPr>
        <w:pStyle w:val="849"/>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6.投标人未参加开标的，视同认可开标结果。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25"/>
          <w:rFonts w:hint="eastAsia" w:ascii="宋体" w:hAnsi="宋体" w:eastAsia="宋体" w:cs="宋体"/>
          <w:color w:val="auto"/>
          <w:sz w:val="24"/>
          <w:szCs w:val="24"/>
          <w:highlight w:val="none"/>
          <w:u w:val="none"/>
        </w:rPr>
        <w:t xml:space="preserve">政府采购</w:t>
      </w:r>
      <w:r>
        <w:rPr>
          <w:rStyle w:val="82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25"/>
          <w:rFonts w:hint="eastAsia" w:ascii="宋体" w:hAnsi="宋体" w:eastAsia="宋体" w:cs="宋体"/>
          <w:color w:val="auto"/>
          <w:sz w:val="24"/>
          <w:szCs w:val="24"/>
          <w:highlight w:val="none"/>
          <w:u w:val="none"/>
        </w:rPr>
        <w:t xml:space="preserve">最低评标价法</w:t>
      </w:r>
      <w:r>
        <w:rPr>
          <w:rStyle w:val="82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25"/>
          <w:rFonts w:hint="eastAsia" w:ascii="宋体" w:hAnsi="宋体" w:eastAsia="宋体" w:cs="宋体"/>
          <w:color w:val="auto"/>
          <w:sz w:val="24"/>
          <w:szCs w:val="24"/>
          <w:highlight w:val="none"/>
          <w:u w:val="none"/>
        </w:rPr>
        <w:t xml:space="preserve">综合评分法</w:t>
      </w:r>
      <w:r>
        <w:rPr>
          <w:rStyle w:val="82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w:t>
      </w:r>
      <w:r>
        <w:rPr>
          <w:rFonts w:hint="eastAsia" w:ascii="宋体" w:hAnsi="宋体" w:eastAsia="宋体" w:cs="宋体"/>
          <w:b/>
          <w:bCs/>
          <w:color w:val="auto"/>
          <w:sz w:val="24"/>
          <w:szCs w:val="24"/>
          <w:highlight w:val="none"/>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72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第三章 投标资料表</w:t>
      </w:r>
      <w:r/>
    </w:p>
    <w:p>
      <w:pPr>
        <w:ind w:firstLine="56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21"/>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条款项号</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内 容</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总则</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本项目采购人：徐州市公安局贾汪分局</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本次采购采用的政府采购方式：公开招标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采购人确定的采购项目属性：服务</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江苏骏通建设项目管理咨询有限公司</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一、符合《中华人民共和国政府采购法》第二十二条的规定；</w:t>
            </w:r>
            <w:r/>
          </w:p>
          <w:p>
            <w:pPr>
              <w:pStyle w:val="816"/>
              <w:ind w:left="0" w:right="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二、落实政府采购政策需满足的资格要求：此项目属于专门面向中小微企业采购的项目，投标人应为中小微企业、监狱企业、残疾人福利性单位。</w:t>
            </w:r>
            <w:r/>
          </w:p>
          <w:p>
            <w:pPr>
              <w:pStyle w:val="816"/>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bidi="ar-SA"/>
              </w:rPr>
              <w:t xml:space="preserve">本项目的特定资格要求：</w:t>
            </w:r>
            <w:r>
              <w:rPr>
                <w:rFonts w:hint="eastAsia" w:ascii="宋体" w:hAnsi="宋体" w:eastAsia="宋体" w:cs="宋体"/>
                <w:color w:val="000000"/>
                <w:sz w:val="24"/>
                <w:szCs w:val="24"/>
                <w:highlight w:val="none"/>
                <w:lang w:val="en-US" w:eastAsia="zh-CN" w:bidi="ar-SA"/>
              </w:rPr>
              <w:t xml:space="preserve">提供投标人有效的《食品经营许可证》扫描件或《食品生产许可证》扫描件（仅预包装食品经营的供应商，提供市场监管部门核发的仅销售预包装食品经营者备案凭证扫描件）。</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同时明确相关事项如下：</w:t>
            </w:r>
            <w:r/>
          </w:p>
          <w:p>
            <w:pPr>
              <w:ind w:left="0" w:right="0" w:firstLine="2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1、本项目不接受联合体参与采购活动。</w:t>
            </w:r>
            <w:r/>
          </w:p>
          <w:p>
            <w:pPr>
              <w:ind w:left="0" w:right="0" w:firstLine="2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查询及使用供应商信用记录：</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由采购人查询信用信息。</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查询渠道包括：</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1、“信用中国”网（www.creditchina.gov.cn）；</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2、中国政府采购网（www.ccgp.gov.cn）；</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3、“信用江苏”网（http://credit.jiangsu.gov.cn/）；</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4、“信用中国(江苏徐州)”网（http://www.xuzhoucredit.gov.cn）；</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截止时点（查询环节）：开标后资格审查结束前。</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信用信息的使用规则：</w:t>
            </w:r>
            <w:r/>
          </w:p>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招标</w:t>
            </w:r>
            <w:r/>
          </w:p>
        </w:tc>
      </w:tr>
      <w:tr>
        <w:trPr>
          <w:jc w:val="center"/>
          <w:trHeight w:val="151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(九)2</w:t>
            </w:r>
            <w:r/>
          </w:p>
        </w:tc>
        <w:tc>
          <w:tcPr>
            <w:tcMar>
              <w:left w:w="108" w:type="dxa"/>
              <w:top w:w="0" w:type="dxa"/>
              <w:right w:w="108" w:type="dxa"/>
              <w:bottom w:w="0" w:type="dxa"/>
            </w:tcMar>
            <w:tcW w:w="4296" w:type="pct"/>
            <w:vAlign w:val="top"/>
            <w:textDirection w:val="lrTb"/>
            <w:noWrap w:val="false"/>
          </w:tcPr>
          <w:p>
            <w:pPr>
              <w:pStyle w:val="816"/>
              <w:ind w:left="0" w:right="0"/>
              <w:jc w:val="both"/>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不安排现场考察，投标人自行考察。</w:t>
            </w:r>
            <w:r/>
          </w:p>
          <w:p>
            <w:pPr>
              <w:ind w:left="0" w:right="0"/>
              <w:keepLines w:val="0"/>
              <w:keepNext w:val="0"/>
              <w:pageBreakBefore w:val="0"/>
              <w:spacing w:line="240" w:lineRule="auto"/>
              <w:widowControl w:val="off"/>
              <w:tabs>
                <w:tab w:val="left" w:pos="57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(九)3</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不安排开标前答疑会。</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投标文件的语言为中文</w:t>
            </w:r>
            <w:r/>
          </w:p>
        </w:tc>
      </w:tr>
      <w:tr>
        <w:trPr>
          <w:jc w:val="center"/>
          <w:trHeight w:val="784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(十二)1</w:t>
            </w:r>
            <w:r/>
          </w:p>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投标人合法有效的营业执照扫描件，或事业单位法人证书扫描件，或民办非企业单位登记证书扫描件</w:t>
            </w:r>
            <w:r>
              <w:rPr>
                <w:rFonts w:hint="eastAsia" w:ascii="宋体" w:hAnsi="宋体" w:cs="宋体"/>
                <w:color w:val="auto"/>
                <w:sz w:val="24"/>
                <w:szCs w:val="24"/>
                <w:highlight w:val="none"/>
                <w:lang w:eastAsia="zh-CN"/>
              </w:rPr>
              <w:t xml:space="preserve">；</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财务状况报告（即提供投标人的本项目开标时间（不含开标当月）前6个月内任何时间的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color w:val="auto"/>
                <w:sz w:val="24"/>
                <w:szCs w:val="24"/>
                <w:highlight w:val="none"/>
                <w:lang w:val="en-US" w:eastAsia="zh-CN"/>
              </w:rPr>
              <w:t xml:space="preserve">上年度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2024年度或2025年度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一份；或投标人的本项目开标时间（不含开标当月）前6个月内银行出具的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投标人的本项目开标时间（不含开标当月）前6个月内任何1个月的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具有履行合同所必需的设备和专业技术能力（投标文件中提供《具备履行合同所必需的设备和专业技术能力的书面声明（附证明材料扫描件）》，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，格式见本文件第七章《投标文件相关格式》。</w:t>
            </w:r>
            <w:r/>
          </w:p>
          <w:p>
            <w:pPr>
              <w:pStyle w:val="816"/>
              <w:ind w:right="0"/>
              <w:jc w:val="both"/>
              <w:keepLines w:val="0"/>
              <w:keepNext w:val="0"/>
              <w:spacing w:before="0" w:beforeAutospacing="0" w:after="0" w:afterAutospacing="0" w:line="312" w:lineRule="auto"/>
              <w:widowControl/>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eastAsia="zh-CN"/>
              </w:rPr>
              <w:t xml:space="preserve">（</w:t>
            </w:r>
            <w:r>
              <w:rPr>
                <w:rFonts w:hint="eastAsia" w:cs="宋体"/>
                <w:b/>
                <w:bCs/>
                <w:color w:val="000000"/>
                <w:sz w:val="24"/>
                <w:szCs w:val="24"/>
                <w:highlight w:val="none"/>
                <w:lang w:val="en-US" w:eastAsia="zh-CN"/>
              </w:rPr>
              <w:t xml:space="preserve">六</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本项目的特定资格要求：</w:t>
            </w:r>
            <w:r/>
          </w:p>
          <w:p>
            <w:pPr>
              <w:pStyle w:val="816"/>
              <w:ind w:left="0" w:firstLine="480"/>
              <w:jc w:val="both"/>
              <w:keepLines w:val="0"/>
              <w:keepNext w:val="0"/>
              <w:spacing w:before="0" w:beforeAutospacing="0" w:after="0" w:afterAutospacing="0" w:line="312"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提供投标人有效的《食品经营许可证》扫描件或《食品生产许可证》扫描件（仅预包装食品经营的供应商，提供市场监管部门核发的仅销售预包装食品经营者备案凭证扫描件）。</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本项目为专门面向中小微企业采购的项目，</w:t>
            </w:r>
            <w:r>
              <w:rPr>
                <w:rFonts w:hint="eastAsia" w:ascii="宋体" w:hAnsi="宋体" w:cs="宋体"/>
                <w:color w:val="auto"/>
                <w:sz w:val="24"/>
                <w:szCs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政府采购客户端工具输入报价自动生成。</w:t>
            </w:r>
            <w:r/>
          </w:p>
          <w:p>
            <w:pPr>
              <w:ind w:left="0" w:right="0"/>
              <w:keepLines w:val="0"/>
              <w:keepNext w:val="0"/>
              <w:pageBreakBefore w:val="0"/>
              <w:spacing w:line="240" w:lineRule="auto"/>
              <w:widowControl w:val="off"/>
              <w:rPr>
                <w:rFonts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ind w:left="0" w:right="0"/>
              <w:keepLines w:val="0"/>
              <w:keepNext w:val="0"/>
              <w:pageBreakBefore w:val="0"/>
              <w:spacing w:line="240" w:lineRule="auto"/>
              <w:widowControl w:val="off"/>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w:t>
            </w:r>
            <w:r>
              <w:rPr>
                <w:rFonts w:hint="eastAsia" w:ascii="宋体" w:hAnsi="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color w:val="auto"/>
                <w:sz w:val="24"/>
                <w:szCs w:val="24"/>
                <w:highlight w:val="none"/>
              </w:rPr>
              <w:t xml:space="preserve">（特别提醒：如公司法定代表人直接参与本项目投标的，提供法定代表人身份证明（并附身份证扫描件），可不单独提供《授权委托书》）。</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ind w:left="0" w:right="0"/>
              <w:keepLines w:val="0"/>
              <w:keepNext w:val="0"/>
              <w:pageBreakBefore w:val="0"/>
              <w:spacing w:line="240" w:lineRule="auto"/>
              <w:widowControl w:val="off"/>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w:t>
            </w:r>
            <w:r>
              <w:rPr>
                <w:rFonts w:hint="eastAsia" w:ascii="宋体" w:hAnsi="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法律、法规和招标文件规定的其他无效情形。</w:t>
            </w:r>
            <w:r/>
          </w:p>
          <w:p>
            <w:pPr>
              <w:numPr>
                <w:ilvl w:val="0"/>
                <w:numId w:val="0"/>
              </w:numPr>
              <w:ind w:right="0"/>
              <w:keepLines w:val="0"/>
              <w:keepNext w:val="0"/>
              <w:pageBreakBefore w:val="0"/>
              <w:spacing w:line="240" w:lineRule="auto"/>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r>
            <w:r/>
          </w:p>
          <w:p>
            <w:pPr>
              <w:numPr>
                <w:ilvl w:val="0"/>
                <w:numId w:val="0"/>
              </w:numPr>
              <w:ind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综合评审评分项</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（一）技术部分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1、食材供应及配送方案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2、食材质量保证</w:t>
            </w:r>
            <w:r>
              <w:rPr>
                <w:rFonts w:hint="eastAsia" w:ascii="宋体" w:hAnsi="宋体" w:cs="宋体"/>
                <w:b/>
                <w:bCs/>
                <w:color w:val="auto"/>
                <w:sz w:val="24"/>
                <w:szCs w:val="24"/>
                <w:highlight w:val="none"/>
                <w:lang w:val="en-US" w:eastAsia="zh-CN"/>
              </w:rPr>
              <w:t xml:space="preserve">措施</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3、配合与服从采购人管理方案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4、处理突发食品安全事件的应急预案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5、紧急勤务保障方案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6、退换货方案</w:t>
            </w:r>
            <w:r>
              <w:rPr>
                <w:rFonts w:hint="eastAsia" w:ascii="宋体" w:hAnsi="宋体" w:cs="宋体"/>
                <w:color w:val="auto"/>
                <w:sz w:val="24"/>
                <w:szCs w:val="24"/>
                <w:highlight w:val="none"/>
              </w:rPr>
              <w:t xml:space="preserve">（要求见招标文件第六章《采购需求》及第四章《评标标准》中《评分细则》）；</w:t>
            </w:r>
            <w:r/>
          </w:p>
          <w:p>
            <w:pPr>
              <w:pStyle w:val="798"/>
              <w:ind w:left="0" w:right="-108" w:firstLine="0"/>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、人员配备方案</w:t>
            </w:r>
            <w:r>
              <w:rPr>
                <w:rFonts w:hint="eastAsia" w:ascii="宋体" w:hAnsi="宋体" w:cs="宋体"/>
                <w:color w:val="auto"/>
                <w:sz w:val="24"/>
                <w:szCs w:val="24"/>
                <w:highlight w:val="none"/>
              </w:rPr>
              <w:t xml:space="preserve">（要求见招标文件第六章《采购需求》及第四章《评标标准》中《评分细则》）；</w:t>
            </w:r>
            <w:r/>
          </w:p>
          <w:p>
            <w:pPr>
              <w:pStyle w:val="798"/>
              <w:ind w:left="0" w:right="112" w:firstLine="0"/>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lang w:val="en-US" w:eastAsia="zh-CN" w:bidi="ar-SA"/>
              </w:rPr>
              <w:t xml:space="preserve">、车辆配备方案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、评分细则中评分得分需提供的相关证明文件扫描件。</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商务部分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1、投标人业绩</w:t>
            </w:r>
            <w:r>
              <w:rPr>
                <w:rFonts w:hint="eastAsia" w:ascii="宋体" w:hAnsi="宋体" w:cs="宋体"/>
                <w:color w:val="auto"/>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2、投标人评价</w:t>
            </w:r>
            <w:r>
              <w:rPr>
                <w:rFonts w:hint="eastAsia" w:ascii="宋体" w:hAnsi="宋体" w:cs="宋体"/>
                <w:color w:val="auto"/>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、投标人其它证明文件及材料扫描件。</w:t>
            </w:r>
            <w:r/>
          </w:p>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p>
          <w:p>
            <w:pPr>
              <w:ind w:left="0" w:right="0"/>
              <w:keepLines w:val="0"/>
              <w:keepNext w:val="0"/>
              <w:pageBreakBefore w:val="0"/>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1、价格折扣文件格式：无。</w:t>
            </w:r>
            <w:r/>
          </w:p>
          <w:p>
            <w:pPr>
              <w:ind w:left="0" w:right="0"/>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1、投标人应对以上文件的合法性、真实性负责。</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商务条件见：</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一、本文件第四章《评标标准》中《评分细则》。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二、本文件第三章《投标资料表》中(十二)1和(十二)2。</w:t>
            </w:r>
            <w:r/>
          </w:p>
        </w:tc>
      </w:tr>
      <w:tr>
        <w:trPr>
          <w:jc w:val="center"/>
          <w:trHeight w:val="9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)3</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交货和提供服务的时间：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eastAsia="宋体" w:cs="宋体"/>
                <w:b/>
                <w:bCs/>
                <w:color w:val="000000"/>
                <w:sz w:val="24"/>
                <w:szCs w:val="24"/>
                <w:highlight w:val="none"/>
              </w:rPr>
              <w:t xml:space="preserve">本项目预算金额人民币151.2万元。</w:t>
            </w:r>
            <w:r>
              <w:rPr>
                <w:rFonts w:hint="eastAsia" w:ascii="宋体" w:hAnsi="宋体" w:cs="宋体"/>
                <w:b/>
                <w:bCs/>
                <w:color w:val="auto"/>
                <w:sz w:val="24"/>
                <w:szCs w:val="24"/>
                <w:highlight w:val="none"/>
              </w:rPr>
              <w:t xml:space="preserve">本项目按照综合优惠率进行投标报价，不接受低于或等于0.00%的综合优惠率。采购人不再支付报价以外的任何费用。</w:t>
            </w:r>
            <w:r/>
          </w:p>
        </w:tc>
      </w:tr>
      <w:tr>
        <w:trPr>
          <w:jc w:val="center"/>
          <w:trHeight w:val="46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以优惠率进行报价。</w:t>
            </w:r>
            <w:r/>
          </w:p>
        </w:tc>
      </w:tr>
      <w:tr>
        <w:trPr>
          <w:jc w:val="center"/>
          <w:trHeight w:val="369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w:t>
            </w:r>
            <w:r/>
          </w:p>
        </w:tc>
        <w:tc>
          <w:tcPr>
            <w:tcMar>
              <w:left w:w="108" w:type="dxa"/>
              <w:top w:w="0" w:type="dxa"/>
              <w:right w:w="108" w:type="dxa"/>
              <w:bottom w:w="0" w:type="dxa"/>
            </w:tcMar>
            <w:tcW w:w="4296" w:type="pct"/>
            <w:vAlign w:val="center"/>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投标人须用政府采购客户端工具导入“苏采云”系统下载的采购文件（后缀名为“.kedt”）后，离线编制投标文件。供应商操作手册及政府采购客户端工具可通过“苏采云”系统（网址：</w:t>
            </w:r>
            <w:r>
              <w:rPr>
                <w:color w:val="auto"/>
                <w:sz w:val="24"/>
                <w:szCs w:val="24"/>
                <w:highlight w:val="none"/>
              </w:rPr>
              <w:fldChar w:fldCharType="begin"/>
            </w:r>
            <w:r>
              <w:rPr>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highlight w:val="none"/>
              </w:rPr>
              <w:fldChar w:fldCharType="separate"/>
            </w:r>
            <w:r>
              <w:rPr>
                <w:rStyle w:val="825"/>
                <w:rFonts w:hint="eastAsia" w:ascii="宋体" w:hAnsi="宋体" w:cs="宋体"/>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5"/>
                <w:rFonts w:hint="eastAsia" w:ascii="宋体" w:hAnsi="宋体" w:cs="宋体"/>
                <w:color w:val="auto"/>
                <w:sz w:val="24"/>
                <w:szCs w:val="24"/>
                <w:highlight w:val="none"/>
                <w:u w:val="none"/>
              </w:rPr>
              <w:fldChar w:fldCharType="end"/>
            </w:r>
            <w:r/>
          </w:p>
          <w:p>
            <w:pPr>
              <w:ind w:left="0" w:right="0" w:firstLine="56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特别说明：政府采购客户端工具需要导出加密的投标文件（后缀名为</w:t>
            </w:r>
            <w:r>
              <w:rPr>
                <w:rFonts w:hint="eastAsia" w:ascii="宋体" w:hAnsi="宋体" w:cs="宋体"/>
                <w:b/>
                <w:bCs/>
                <w:color w:val="auto"/>
                <w:sz w:val="24"/>
                <w:szCs w:val="24"/>
                <w:highlight w:val="none"/>
              </w:rPr>
              <w:t xml:space="preserve">zip</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投标文件不得超过150M！</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见本文件第三章《投标资料表》中(十二)1和(十二)2</w:t>
            </w:r>
            <w:r/>
          </w:p>
        </w:tc>
      </w:tr>
      <w:tr>
        <w:trPr>
          <w:jc w:val="center"/>
          <w:trHeight w:val="1439"/>
        </w:trPr>
        <w:tc>
          <w:tcPr>
            <w:tcMar>
              <w:left w:w="108" w:type="dxa"/>
              <w:top w:w="0" w:type="dxa"/>
              <w:right w:w="108" w:type="dxa"/>
              <w:bottom w:w="0" w:type="dxa"/>
            </w:tcMar>
            <w:tcW w:w="703" w:type="pct"/>
            <w:textDirection w:val="lrTb"/>
            <w:noWrap w:val="false"/>
          </w:tcPr>
          <w:p>
            <w:pPr>
              <w:ind w:right="0"/>
              <w:jc w:val="both"/>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w:t>
            </w:r>
            <w:r/>
          </w:p>
        </w:tc>
        <w:tc>
          <w:tcPr>
            <w:tcMar>
              <w:left w:w="108" w:type="dxa"/>
              <w:top w:w="0" w:type="dxa"/>
              <w:right w:w="108" w:type="dxa"/>
              <w:bottom w:w="0" w:type="dxa"/>
            </w:tcMar>
            <w:tcW w:w="4296" w:type="pct"/>
            <w:textDirection w:val="lrTb"/>
            <w:noWrap w:val="false"/>
          </w:tcPr>
          <w:p>
            <w:pPr>
              <w:ind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投标文件的提交与接收：</w:t>
            </w:r>
            <w:r>
              <w:rPr>
                <w:rFonts w:hint="eastAsia" w:ascii="宋体" w:hAnsi="宋体" w:cs="宋体"/>
                <w:color w:val="auto"/>
                <w:sz w:val="24"/>
                <w:szCs w:val="24"/>
                <w:highlight w:val="none"/>
              </w:rPr>
              <w:t xml:space="preserve"> </w:t>
            </w:r>
            <w:r/>
          </w:p>
          <w:p>
            <w:pPr>
              <w:ind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1、投标文件提交与接收时间：2026年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5</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13</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日09:30前。</w:t>
            </w:r>
            <w:r/>
          </w:p>
          <w:p>
            <w:pPr>
              <w:ind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2、投标文件提交与接收地点：</w:t>
            </w:r>
            <w:r>
              <w:rPr>
                <w:rFonts w:hint="eastAsia" w:ascii="宋体" w:hAnsi="宋体" w:cs="宋体"/>
                <w:color w:val="auto"/>
                <w:sz w:val="24"/>
                <w:szCs w:val="24"/>
                <w:highlight w:val="none"/>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w:t>
            </w:r>
            <w:r/>
          </w:p>
        </w:tc>
        <w:tc>
          <w:tcPr>
            <w:tcMar>
              <w:left w:w="108" w:type="dxa"/>
              <w:top w:w="0" w:type="dxa"/>
              <w:right w:w="108" w:type="dxa"/>
              <w:bottom w:w="0" w:type="dxa"/>
            </w:tcMar>
            <w:tcW w:w="4296" w:type="pct"/>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电子投标文件应由其法定代表人或法定代表人授权代表在规定的网上投标时间内，</w:t>
            </w:r>
            <w:r>
              <w:rPr>
                <w:rFonts w:hint="eastAsia" w:ascii="宋体" w:hAnsi="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pStyle w:val="816"/>
              <w:ind w:firstLine="48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pPr>
            <w:r>
              <w:rPr>
                <w:rFonts w:hint="eastAsia"/>
                <w:color w:val="auto"/>
                <w:highlight w:val="none"/>
              </w:rPr>
              <w:t xml:space="preserve">投标文件解密失败的补救方案</w:t>
            </w:r>
            <w:r>
              <w:rPr>
                <w:rFonts w:hint="eastAsia"/>
                <w:color w:val="auto"/>
                <w:highlight w:val="none"/>
                <w:lang w:eastAsia="zh-CN"/>
              </w:rPr>
              <w:t xml:space="preserve">：</w:t>
            </w:r>
            <w:r>
              <w:rPr>
                <w:rFonts w:hint="eastAsia"/>
                <w:color w:val="auto"/>
                <w:highlight w:val="none"/>
              </w:rPr>
              <w:t xml:space="preserve">无。</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w:t>
            </w:r>
            <w:r/>
          </w:p>
        </w:tc>
      </w:tr>
      <w:tr>
        <w:trPr>
          <w:jc w:val="center"/>
          <w:trHeight w:val="179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(二十五)1</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开标时间及地点：</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none"/>
              </w:rPr>
              <w:t xml:space="preserve">2026年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13</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日09：30（标准时间）。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2、开标地点：</w:t>
            </w: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评标</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采用综合评分法。</w:t>
            </w:r>
            <w:r/>
          </w:p>
        </w:tc>
      </w:tr>
      <w:tr>
        <w:trPr>
          <w:jc w:val="center"/>
          <w:trHeight w:val="38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二、采用综合评分法的，按评审后得分由高到低顺序排列。得分相同的，按投标报价（综合优惠率）由高到低顺序排列。得分且投标报价相同的，按食材质量保证措施得分顺序排列。</w:t>
            </w:r>
            <w:r/>
          </w:p>
          <w:p>
            <w:pPr>
              <w:ind w:left="0" w:right="0"/>
              <w:keepLines w:val="0"/>
              <w:keepNext w:val="0"/>
              <w:pageBreakBefore w:val="0"/>
              <w:spacing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（三十）</w:t>
            </w:r>
            <w:r/>
          </w:p>
        </w:tc>
        <w:tc>
          <w:tcPr>
            <w:tcMar>
              <w:left w:w="108" w:type="dxa"/>
              <w:top w:w="0" w:type="dxa"/>
              <w:right w:w="108" w:type="dxa"/>
              <w:bottom w:w="0" w:type="dxa"/>
            </w:tcMar>
            <w:tcW w:w="4296" w:type="pct"/>
            <w:textDirection w:val="lrTb"/>
            <w:noWrap w:val="false"/>
          </w:tcPr>
          <w:p>
            <w:pPr>
              <w:ind w:firstLine="480"/>
              <w:rPr>
                <w:rFonts w:ascii="宋体" w:hAnsi="宋体" w:cs="宋体"/>
                <w:color w:val="auto"/>
                <w:sz w:val="24"/>
                <w:highlight w:val="none"/>
              </w:rPr>
            </w:pPr>
            <w:r/>
            <w:bookmarkStart w:id="0" w:name="OLE_LINK4"/>
            <w:r/>
            <w:bookmarkStart w:id="1" w:name="OLE_LINK7"/>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54"/>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七</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政府采购合同</w:t>
            </w:r>
            <w:r/>
          </w:p>
        </w:tc>
      </w:tr>
      <w:tr>
        <w:trPr>
          <w:jc w:val="center"/>
          <w:trHeight w:val="75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采购人与中标（成交）人应当在中标（成交）通知书发出之日起30日内，按照</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文件确定的事项签订政府采购合同。</w:t>
            </w:r>
            <w:r/>
          </w:p>
        </w:tc>
      </w:tr>
      <w:tr>
        <w:trPr>
          <w:jc w:val="center"/>
          <w:trHeight w:val="43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履约保证金：详见招标文件第五章《拟签订的合同文本》。</w:t>
            </w:r>
            <w:r/>
          </w:p>
        </w:tc>
      </w:tr>
      <w:tr>
        <w:trPr>
          <w:jc w:val="center"/>
          <w:trHeight w:val="222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四十</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李振</w:t>
            </w:r>
            <w:r>
              <w:rPr>
                <w:rFonts w:hint="eastAsia" w:ascii="宋体" w:hAnsi="宋体" w:cs="宋体"/>
                <w:color w:val="auto"/>
                <w:sz w:val="24"/>
                <w:szCs w:val="24"/>
                <w:highlight w:val="none"/>
              </w:rPr>
              <w:t xml:space="preserve">      联系电话：0516-</w:t>
            </w:r>
            <w:r>
              <w:rPr>
                <w:rFonts w:hint="eastAsia" w:ascii="宋体" w:hAnsi="宋体" w:cs="宋体"/>
                <w:color w:val="auto"/>
                <w:sz w:val="24"/>
                <w:szCs w:val="24"/>
                <w:highlight w:val="none"/>
                <w:lang w:val="en-US" w:eastAsia="zh-CN"/>
              </w:rPr>
              <w:t xml:space="preserve">83891178</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地址：徐州市泉山区矿大科技园同创新座B区4号楼三层</w:t>
            </w:r>
            <w:r/>
          </w:p>
        </w:tc>
      </w:tr>
      <w:tr>
        <w:trPr>
          <w:jc w:val="center"/>
          <w:trHeight w:val="98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附加说明</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邮箱：</w:t>
            </w:r>
            <w:r>
              <w:rPr>
                <w:rFonts w:hint="eastAsia" w:asciiTheme="minorEastAsia" w:hAnsiTheme="minorEastAsia" w:eastAsiaTheme="minorEastAsia" w:cstheme="minorEastAsia"/>
                <w:color w:val="auto"/>
                <w:sz w:val="24"/>
                <w:szCs w:val="24"/>
                <w:highlight w:val="none"/>
                <w:lang w:val="en-US" w:eastAsia="zh-CN"/>
              </w:rPr>
              <w:t xml:space="preserve">jsjtxz@126.com</w:t>
            </w:r>
            <w:r/>
          </w:p>
        </w:tc>
      </w:tr>
      <w:tr>
        <w:trPr>
          <w:jc w:val="center"/>
          <w:trHeight w:val="4970"/>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4、招标文件中如需“授权代表签字或盖章”，供应商可打印成文档。签字或盖章后再扫描上传，最后再电子签章。</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副本）。</w:t>
            </w:r>
            <w:r/>
          </w:p>
        </w:tc>
      </w:tr>
    </w:tbl>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79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pStyle w:val="816"/>
        <w:ind w:left="0" w:right="0"/>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说 明 ：</w:t>
      </w:r>
      <w:r/>
    </w:p>
    <w:p>
      <w:pPr>
        <w:pStyle w:val="816"/>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pStyle w:val="816"/>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2.代理服务费按差额定率累进法计算。</w:t>
      </w:r>
      <w:r/>
    </w:p>
    <w:p>
      <w:pPr>
        <w:pStyle w:val="816"/>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p>
    <w:p>
      <w:pPr>
        <w:pStyle w:val="816"/>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4.代理服务费应收取金额=代理服务费基准金额(按差额定率累进法计算)的合计数。</w:t>
      </w:r>
      <w:r/>
    </w:p>
    <w:p>
      <w:pPr>
        <w:pStyle w:val="816"/>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pStyle w:val="816"/>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6.有分包(分标段)的按一个项目计算。</w:t>
      </w:r>
      <w:r/>
    </w:p>
    <w:p>
      <w:pPr>
        <w:pStyle w:val="816"/>
        <w:jc w:val="both"/>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p>
    <w:p>
      <w:pPr>
        <w:pStyle w:val="798"/>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98"/>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98"/>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highlight w:val="none"/>
        </w:rPr>
      </w:pPr>
      <w:r>
        <w:rPr>
          <w:rFonts w:hint="eastAsia"/>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98"/>
        <w:rPr>
          <w:highlight w:val="none"/>
        </w:rPr>
      </w:pPr>
      <w:r>
        <w:rPr>
          <w:highlight w:val="none"/>
        </w:rPr>
      </w:r>
      <w:r/>
    </w:p>
    <w:p>
      <w:pPr>
        <w:numPr>
          <w:ilvl w:val="0"/>
          <w:numId w:val="3"/>
        </w:numPr>
        <w:jc w:val="center"/>
        <w:spacing w:line="360" w:lineRule="auto"/>
        <w:rPr>
          <w:rFonts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评标标准</w:t>
      </w:r>
      <w:r/>
    </w:p>
    <w:tbl>
      <w:tblPr>
        <w:tblStyle w:val="790"/>
        <w:tblW w:w="5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86"/>
        <w:gridCol w:w="1328"/>
        <w:gridCol w:w="6299"/>
      </w:tblGrid>
      <w:tr>
        <w:trPr>
          <w:jc w:val="center"/>
          <w:trHeight w:val="527"/>
        </w:trPr>
        <w:tc>
          <w:tcPr>
            <w:gridSpan w:val="2"/>
            <w:tcW w:w="1466" w:type="pct"/>
            <w:vAlign w:val="center"/>
            <w:textDirection w:val="lrTb"/>
            <w:noWrap w:val="false"/>
          </w:tcPr>
          <w:p>
            <w:pPr>
              <w:jc w:val="center"/>
              <w:rPr>
                <w:rFonts w:ascii="宋体" w:hAnsi="宋体" w:cs="宋体"/>
                <w:color w:val="auto"/>
                <w:sz w:val="24"/>
                <w:highlight w:val="none"/>
              </w:rPr>
            </w:pPr>
            <w:r>
              <w:rPr>
                <w:rFonts w:hint="eastAsia" w:ascii="宋体" w:hAnsi="宋体" w:cs="宋体"/>
                <w:b/>
                <w:color w:val="auto"/>
                <w:sz w:val="24"/>
                <w:highlight w:val="none"/>
              </w:rPr>
              <w:t xml:space="preserve">评审因素</w:t>
            </w:r>
            <w:r/>
          </w:p>
        </w:tc>
        <w:tc>
          <w:tcPr>
            <w:tcW w:w="3533" w:type="pct"/>
            <w:vAlign w:val="center"/>
            <w:textDirection w:val="lrTb"/>
            <w:noWrap w:val="false"/>
          </w:tcPr>
          <w:p>
            <w:pPr>
              <w:jc w:val="center"/>
              <w:rPr>
                <w:rFonts w:ascii="宋体" w:hAnsi="宋体" w:cs="宋体"/>
                <w:color w:val="auto"/>
                <w:sz w:val="24"/>
                <w:highlight w:val="none"/>
              </w:rPr>
            </w:pPr>
            <w:r>
              <w:rPr>
                <w:rFonts w:hint="eastAsia" w:ascii="宋体" w:hAnsi="宋体" w:cs="宋体"/>
                <w:b/>
                <w:color w:val="auto"/>
                <w:sz w:val="24"/>
                <w:highlight w:val="none"/>
              </w:rPr>
              <w:t xml:space="preserve">评分依据</w:t>
            </w:r>
            <w:r/>
          </w:p>
        </w:tc>
      </w:tr>
      <w:tr>
        <w:trPr>
          <w:cantSplit/>
          <w:jc w:val="center"/>
          <w:trHeight w:val="692"/>
        </w:trPr>
        <w:tc>
          <w:tcPr>
            <w:gridSpan w:val="2"/>
            <w:tcW w:w="1466" w:type="pct"/>
            <w:vAlign w:val="center"/>
            <w:textDirection w:val="lrTb"/>
            <w:noWrap w:val="false"/>
          </w:tcPr>
          <w:p>
            <w:pPr>
              <w:jc w:val="center"/>
              <w:rPr>
                <w:rFonts w:ascii="宋体" w:hAnsi="宋体" w:cs="宋体"/>
                <w:color w:val="auto"/>
                <w:sz w:val="24"/>
                <w:highlight w:val="none"/>
              </w:rPr>
            </w:pPr>
            <w:r>
              <w:rPr>
                <w:rFonts w:hint="eastAsia" w:ascii="宋体" w:hAnsi="宋体" w:cs="宋体"/>
                <w:bCs/>
                <w:color w:val="auto"/>
                <w:sz w:val="24"/>
                <w:highlight w:val="none"/>
              </w:rPr>
              <w:t xml:space="preserve">价格部分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各投标人价格得分=(100%-投标人的最高综合优惠率)÷(100%-各投标人综合优惠率)×</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w:t>
            </w:r>
            <w:r/>
          </w:p>
          <w:p>
            <w:pPr>
              <w:rPr>
                <w:rFonts w:ascii="宋体" w:hAnsi="宋体" w:cs="宋体"/>
                <w:color w:val="auto"/>
                <w:sz w:val="24"/>
                <w:highlight w:val="none"/>
              </w:rPr>
            </w:pPr>
            <w:r>
              <w:rPr>
                <w:rFonts w:hint="eastAsia" w:ascii="宋体" w:hAnsi="宋体" w:cs="宋体"/>
                <w:b/>
                <w:bCs/>
                <w:color w:val="auto"/>
                <w:sz w:val="24"/>
                <w:highlight w:val="none"/>
              </w:rPr>
              <w:t xml:space="preserve">例：</w:t>
            </w:r>
            <w:r>
              <w:rPr>
                <w:rFonts w:hint="eastAsia" w:ascii="宋体" w:hAnsi="宋体" w:cs="宋体"/>
                <w:b/>
                <w:bCs/>
                <w:color w:val="auto"/>
                <w:sz w:val="24"/>
                <w:highlight w:val="none"/>
                <w:lang w:val="en-US" w:eastAsia="zh-CN"/>
              </w:rPr>
              <w:t xml:space="preserve">A</w:t>
            </w:r>
            <w:r>
              <w:rPr>
                <w:rFonts w:hint="eastAsia" w:ascii="宋体" w:hAnsi="宋体" w:cs="宋体"/>
                <w:b/>
                <w:bCs/>
                <w:color w:val="auto"/>
                <w:sz w:val="24"/>
                <w:highlight w:val="none"/>
              </w:rPr>
              <w:t xml:space="preserve">投标人所投综合优惠率为10%，本项目投标人所投最高综合优惠率为20%，则</w:t>
            </w:r>
            <w:r>
              <w:rPr>
                <w:rFonts w:hint="eastAsia" w:ascii="宋体" w:hAnsi="宋体" w:cs="宋体"/>
                <w:b/>
                <w:bCs/>
                <w:color w:val="auto"/>
                <w:sz w:val="24"/>
                <w:highlight w:val="none"/>
                <w:lang w:val="en-US" w:eastAsia="zh-CN"/>
              </w:rPr>
              <w:t xml:space="preserve">A投标人</w:t>
            </w:r>
            <w:r>
              <w:rPr>
                <w:rFonts w:hint="eastAsia" w:ascii="宋体" w:hAnsi="宋体" w:cs="宋体"/>
                <w:b/>
                <w:bCs/>
                <w:color w:val="auto"/>
                <w:sz w:val="24"/>
                <w:highlight w:val="none"/>
              </w:rPr>
              <w:t xml:space="preserve">价格得分为（100%-20%）÷（100%-10%）×</w:t>
            </w:r>
            <w:r>
              <w:rPr>
                <w:rFonts w:hint="eastAsia" w:ascii="宋体" w:hAnsi="宋体" w:cs="宋体"/>
                <w:b/>
                <w:bCs/>
                <w:color w:val="auto"/>
                <w:sz w:val="24"/>
                <w:highlight w:val="none"/>
                <w:lang w:val="en-US" w:eastAsia="zh-CN"/>
              </w:rPr>
              <w:t xml:space="preserve">45</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40</w:t>
            </w:r>
            <w:r>
              <w:rPr>
                <w:rFonts w:hint="eastAsia" w:ascii="宋体" w:hAnsi="宋体" w:cs="宋体"/>
                <w:b/>
                <w:bCs/>
                <w:color w:val="auto"/>
                <w:sz w:val="24"/>
                <w:highlight w:val="none"/>
              </w:rPr>
              <w:t xml:space="preserve">分。</w:t>
            </w:r>
            <w:r/>
          </w:p>
        </w:tc>
      </w:tr>
      <w:tr>
        <w:trPr>
          <w:cantSplit/>
          <w:jc w:val="center"/>
          <w:trHeight w:val="2439"/>
        </w:trPr>
        <w:tc>
          <w:tcPr>
            <w:tcW w:w="721" w:type="pct"/>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bCs/>
                <w:color w:val="auto"/>
                <w:sz w:val="24"/>
                <w:highlight w:val="none"/>
              </w:rPr>
              <w:t xml:space="preserve">技术方案（</w:t>
            </w:r>
            <w:r>
              <w:rPr>
                <w:rFonts w:hint="eastAsia" w:ascii="宋体" w:hAnsi="宋体" w:cs="宋体"/>
                <w:bCs/>
                <w:color w:val="auto"/>
                <w:sz w:val="24"/>
                <w:highlight w:val="none"/>
                <w:lang w:val="en-US" w:eastAsia="zh-CN"/>
              </w:rPr>
              <w:t xml:space="preserve">49</w:t>
            </w:r>
            <w:r>
              <w:rPr>
                <w:rFonts w:hint="eastAsia" w:ascii="宋体" w:hAnsi="宋体" w:cs="宋体"/>
                <w:bCs/>
                <w:color w:val="auto"/>
                <w:sz w:val="24"/>
                <w:highlight w:val="none"/>
              </w:rPr>
              <w:t xml:space="preserve">分）</w:t>
            </w:r>
            <w:r/>
          </w:p>
        </w:tc>
        <w:tc>
          <w:tcPr>
            <w:tcW w:w="74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食材供应及配送方案（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3533" w:type="pct"/>
            <w:vAlign w:val="center"/>
            <w:textDirection w:val="lrTb"/>
            <w:noWrap w:val="false"/>
          </w:tcPr>
          <w:p>
            <w:pPr>
              <w:pStyle w:val="816"/>
              <w:ind w:left="0" w:right="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对方案内容全面性、可行性、针对性进行评价，方案内必须包含各类食材对应配送车辆的说明以及如何确保食材与配送车辆类型、季节相符，保证食材的新鲜和品质。</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方案全面性（</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分）：全面具体详实得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分；较全面得</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分；存在较大漏项或缺陷得</w:t>
            </w:r>
            <w:r>
              <w:rPr>
                <w:rFonts w:hint="eastAsia"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方案可行性（</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分）：切实可行得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分；较切实可行得</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分；可行性欠缺得</w:t>
            </w:r>
            <w:r>
              <w:rPr>
                <w:rFonts w:hint="eastAsia"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方案针对性（</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分）：针对性强得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分；针对性较强得</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分；针对性不强得</w:t>
            </w:r>
            <w:r>
              <w:rPr>
                <w:rFonts w:hint="eastAsia"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p>
          <w:p>
            <w:pPr>
              <w:pStyle w:val="816"/>
              <w:jc w:val="both"/>
              <w:keepLines w:val="0"/>
              <w:keepNext w:val="0"/>
              <w:spacing w:before="0" w:beforeAutospacing="0" w:after="0" w:afterAutospacing="0"/>
              <w:widowControl w:val="off"/>
              <w:rPr>
                <w:rFonts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未提供的得0分，本项最高得</w:t>
            </w: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分，最低得0分。</w:t>
            </w:r>
            <w:r/>
          </w:p>
        </w:tc>
      </w:tr>
      <w:tr>
        <w:trPr>
          <w:cantSplit/>
          <w:jc w:val="center"/>
          <w:trHeight w:val="2512"/>
        </w:trPr>
        <w:tc>
          <w:tcPr>
            <w:tcW w:w="721" w:type="pct"/>
            <w:vAlign w:val="center"/>
            <w:vMerge w:val="continue"/>
            <w:textDirection w:val="lrTb"/>
            <w:noWrap w:val="false"/>
          </w:tcPr>
          <w:p>
            <w:pPr>
              <w:jc w:val="center"/>
              <w:rPr>
                <w:rFonts w:ascii="宋体" w:hAnsi="宋体" w:cs="宋体"/>
                <w:bCs/>
                <w:color w:val="auto"/>
                <w:sz w:val="24"/>
                <w:highlight w:val="none"/>
              </w:rPr>
            </w:pPr>
            <w:r>
              <w:rPr>
                <w:rFonts w:ascii="宋体" w:hAnsi="宋体" w:cs="宋体"/>
                <w:bCs/>
                <w:color w:val="auto"/>
                <w:sz w:val="24"/>
                <w:highlight w:val="none"/>
              </w:rPr>
            </w:r>
            <w:r/>
          </w:p>
        </w:tc>
        <w:tc>
          <w:tcPr>
            <w:tcW w:w="745" w:type="pct"/>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食材质量保证</w:t>
            </w:r>
            <w:r>
              <w:rPr>
                <w:rFonts w:hint="eastAsia" w:ascii="宋体" w:hAnsi="宋体" w:cs="宋体"/>
                <w:color w:val="auto"/>
                <w:sz w:val="24"/>
                <w:highlight w:val="none"/>
                <w:lang w:val="en-US" w:eastAsia="zh-CN"/>
              </w:rPr>
              <w:t xml:space="preserve">措施</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对措施内容全面性、可行性、针对性进行评价。</w:t>
            </w:r>
            <w:r/>
          </w:p>
          <w:p>
            <w:pPr>
              <w:rPr>
                <w:rFonts w:ascii="宋体" w:hAnsi="宋体" w:cs="宋体"/>
                <w:color w:val="auto"/>
                <w:sz w:val="24"/>
                <w:highlight w:val="none"/>
              </w:rPr>
            </w:pPr>
            <w:r>
              <w:rPr>
                <w:rFonts w:hint="eastAsia" w:ascii="宋体" w:hAnsi="宋体" w:cs="宋体"/>
                <w:color w:val="auto"/>
                <w:sz w:val="24"/>
                <w:highlight w:val="none"/>
              </w:rPr>
              <w:t xml:space="preserve">措施全面性（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分；存在较大漏项或缺陷得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措施可行性（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措施针对性（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b/>
                <w:bCs/>
                <w:color w:val="auto"/>
                <w:sz w:val="24"/>
                <w:highlight w:val="none"/>
              </w:rPr>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分，最低得0分。</w:t>
            </w:r>
            <w:r/>
          </w:p>
        </w:tc>
      </w:tr>
      <w:tr>
        <w:trPr>
          <w:cantSplit/>
          <w:jc w:val="center"/>
          <w:trHeight w:val="1951"/>
        </w:trPr>
        <w:tc>
          <w:tcPr>
            <w:tcW w:w="721" w:type="pct"/>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配合与服从采购人管理方案</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对方案内容的可行性、针对性进行评价。</w:t>
            </w:r>
            <w:r/>
          </w:p>
          <w:p>
            <w:pPr>
              <w:rPr>
                <w:rFonts w:ascii="宋体" w:hAnsi="宋体" w:cs="宋体"/>
                <w:color w:val="auto"/>
                <w:sz w:val="24"/>
                <w:highlight w:val="none"/>
              </w:rPr>
            </w:pPr>
            <w:r>
              <w:rPr>
                <w:rFonts w:hint="eastAsia" w:ascii="宋体" w:hAnsi="宋体" w:cs="宋体"/>
                <w:color w:val="auto"/>
                <w:sz w:val="24"/>
                <w:highlight w:val="none"/>
              </w:rPr>
              <w:t xml:space="preserve">方案可行性（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方案针对性（2分）：针对性强得2分；针对性较强得1分；针对性不强得0.5分。</w:t>
            </w:r>
            <w:r/>
          </w:p>
          <w:p>
            <w:pPr>
              <w:pStyle w:val="816"/>
              <w:jc w:val="both"/>
              <w:keepLines w:val="0"/>
              <w:keepNext w:val="0"/>
              <w:spacing w:before="0" w:beforeAutospacing="0" w:after="0" w:afterAutospacing="0"/>
              <w:widowControl w:val="off"/>
              <w:rPr>
                <w:rFonts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cantSplit/>
          <w:jc w:val="center"/>
          <w:trHeight w:val="90"/>
        </w:trPr>
        <w:tc>
          <w:tcPr>
            <w:tcW w:w="721" w:type="pct"/>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处理突发食品安全事件的应急预案</w:t>
            </w:r>
            <w:r/>
          </w:p>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对方案内容全面性、可行性、针对性进行评价。</w:t>
            </w:r>
            <w:r/>
          </w:p>
          <w:p>
            <w:pPr>
              <w:rPr>
                <w:rFonts w:ascii="宋体" w:hAnsi="宋体" w:cs="宋体"/>
                <w:color w:val="auto"/>
                <w:sz w:val="24"/>
                <w:highlight w:val="none"/>
              </w:rPr>
            </w:pPr>
            <w:r>
              <w:rPr>
                <w:rFonts w:hint="eastAsia" w:ascii="宋体" w:hAnsi="宋体" w:cs="宋体"/>
                <w:color w:val="auto"/>
                <w:sz w:val="24"/>
                <w:highlight w:val="none"/>
              </w:rPr>
              <w:t xml:space="preserve">方案全面性（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分；存在较大漏项或缺陷得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方案可行性（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方案针对性（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分；针对性不强得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分，最低得0分。</w:t>
            </w:r>
            <w:r/>
          </w:p>
        </w:tc>
      </w:tr>
      <w:tr>
        <w:trPr>
          <w:cantSplit/>
          <w:jc w:val="center"/>
          <w:trHeight w:val="90"/>
        </w:trPr>
        <w:tc>
          <w:tcPr>
            <w:tcW w:w="721" w:type="pct"/>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紧急勤务保障方案</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tc>
        <w:tc>
          <w:tcPr>
            <w:tcW w:w="3533" w:type="pct"/>
            <w:vAlign w:val="center"/>
            <w:textDirection w:val="lrTb"/>
            <w:noWrap w:val="false"/>
          </w:tcPr>
          <w:p>
            <w:pPr>
              <w:pStyle w:val="816"/>
              <w:ind w:left="0" w:right="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对方案内容全面性、可行性、针对性进行评价。</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方案全面性（3分）：全面具体详实得3分；较全面得2分；存在较大漏项或缺陷得1分。</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方案可行性（3分）：切实可行得3分；较切实可行得2分；可行性欠缺得1分。</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方案针对性（3分）：针对性强得3分；针对性较强得2分；针对性不强得1分。</w:t>
            </w:r>
            <w:r/>
          </w:p>
          <w:p>
            <w:pPr>
              <w:pStyle w:val="816"/>
              <w:jc w:val="both"/>
              <w:keepLines w:val="0"/>
              <w:keepNext w:val="0"/>
              <w:spacing w:before="0" w:beforeAutospacing="0" w:after="0" w:afterAutospacing="0"/>
              <w:widowControl w:val="off"/>
              <w:rPr>
                <w:rFonts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未提供的得0分，本项最高得9分，最低得0分。</w:t>
            </w:r>
            <w:r/>
          </w:p>
        </w:tc>
      </w:tr>
      <w:tr>
        <w:trPr>
          <w:cantSplit/>
          <w:jc w:val="center"/>
          <w:trHeight w:val="1623"/>
        </w:trPr>
        <w:tc>
          <w:tcPr>
            <w:tcW w:w="721" w:type="pct"/>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退换货方案（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tc>
        <w:tc>
          <w:tcPr>
            <w:tcW w:w="3533" w:type="pct"/>
            <w:vAlign w:val="center"/>
            <w:textDirection w:val="lrTb"/>
            <w:noWrap w:val="false"/>
          </w:tcPr>
          <w:p>
            <w:pPr>
              <w:pStyle w:val="816"/>
              <w:ind w:left="0" w:right="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对方案内容包括退换货的响应时间、响应方案等全面性、可行性、针对性进行综合评价。</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方案全面性（</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分；存在较大漏项或缺陷得</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方案可行性（</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分）：切实可行得</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方案针对性（</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分）：切实可行得</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16"/>
              <w:jc w:val="both"/>
              <w:keepLines w:val="0"/>
              <w:keepNext w:val="0"/>
              <w:spacing w:before="0" w:beforeAutospacing="0" w:after="0" w:afterAutospacing="0"/>
              <w:widowControl w:val="off"/>
              <w:rPr>
                <w:rFonts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未提供的得0分，本项最高得</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分，最低得0分。</w:t>
            </w:r>
            <w:r/>
          </w:p>
        </w:tc>
      </w:tr>
      <w:tr>
        <w:trPr>
          <w:cantSplit/>
          <w:jc w:val="center"/>
          <w:trHeight w:val="1623"/>
        </w:trPr>
        <w:tc>
          <w:tcPr>
            <w:tcW w:w="721" w:type="pct"/>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方案</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对方案内容的可行性、针对性进行评价。</w:t>
            </w:r>
            <w:r/>
          </w:p>
          <w:p>
            <w:pPr>
              <w:rPr>
                <w:rFonts w:ascii="宋体" w:hAnsi="宋体" w:cs="宋体"/>
                <w:color w:val="auto"/>
                <w:sz w:val="24"/>
                <w:highlight w:val="none"/>
              </w:rPr>
            </w:pPr>
            <w:r>
              <w:rPr>
                <w:rFonts w:hint="eastAsia" w:ascii="宋体" w:hAnsi="宋体" w:cs="宋体"/>
                <w:color w:val="auto"/>
                <w:sz w:val="24"/>
                <w:highlight w:val="none"/>
              </w:rPr>
              <w:t xml:space="preserve">方案可行性（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方案针对性（2分）：针对性强得2分；针对性较强得1分；针对性不强得0.5分。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cantSplit/>
          <w:jc w:val="center"/>
          <w:trHeight w:val="1623"/>
        </w:trPr>
        <w:tc>
          <w:tcPr>
            <w:tcW w:w="721" w:type="pct"/>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车辆配备</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方案</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对方案内容的可行性、针对性进行评价。</w:t>
            </w:r>
            <w:r/>
          </w:p>
          <w:p>
            <w:pPr>
              <w:rPr>
                <w:rFonts w:ascii="宋体" w:hAnsi="宋体" w:cs="宋体"/>
                <w:color w:val="auto"/>
                <w:sz w:val="24"/>
                <w:highlight w:val="none"/>
              </w:rPr>
            </w:pPr>
            <w:r>
              <w:rPr>
                <w:rFonts w:hint="eastAsia" w:ascii="宋体" w:hAnsi="宋体" w:cs="宋体"/>
                <w:color w:val="auto"/>
                <w:sz w:val="24"/>
                <w:highlight w:val="none"/>
              </w:rPr>
              <w:t xml:space="preserve">方案可行性（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ascii="宋体" w:hAnsi="宋体" w:cs="宋体"/>
                <w:color w:val="auto"/>
                <w:sz w:val="24"/>
                <w:highlight w:val="none"/>
              </w:rPr>
            </w:pPr>
            <w:r>
              <w:rPr>
                <w:rFonts w:hint="eastAsia" w:ascii="宋体" w:hAnsi="宋体" w:cs="宋体"/>
                <w:color w:val="auto"/>
                <w:sz w:val="24"/>
                <w:highlight w:val="none"/>
              </w:rPr>
              <w:t xml:space="preserve">方案针对性（2分）：针对性强得2分；针对性较强得1分；针对性不强得0.5分。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分，最低得0分。</w:t>
            </w:r>
            <w:r/>
          </w:p>
        </w:tc>
      </w:tr>
      <w:tr>
        <w:trPr>
          <w:cantSplit/>
          <w:jc w:val="center"/>
          <w:trHeight w:val="372"/>
        </w:trPr>
        <w:tc>
          <w:tcPr>
            <w:tcW w:w="721" w:type="pct"/>
            <w:vAlign w:val="center"/>
            <w:vMerge w:val="restart"/>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商务部分（6分）</w:t>
            </w:r>
            <w:r/>
          </w:p>
        </w:tc>
        <w:tc>
          <w:tcPr>
            <w:tcW w:w="74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投标人业绩（4 分）</w:t>
            </w:r>
            <w:r/>
          </w:p>
        </w:tc>
        <w:tc>
          <w:tcPr>
            <w:tcW w:w="3533"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投标文件中提供投标人自2023年1月1日以来（时间以合同签订时间为准），合同内容为与本次采购项目同类或相似的合同，每项得2分，最高得4分。</w:t>
            </w:r>
            <w:r/>
          </w:p>
          <w:p>
            <w:pPr>
              <w:rPr>
                <w:rFonts w:ascii="宋体" w:hAnsi="宋体" w:cs="宋体"/>
                <w:color w:val="auto"/>
                <w:sz w:val="24"/>
                <w:highlight w:val="none"/>
              </w:rPr>
            </w:pPr>
            <w:r>
              <w:rPr>
                <w:rFonts w:hint="eastAsia" w:ascii="宋体" w:hAnsi="宋体" w:cs="宋体"/>
                <w:b/>
                <w:bCs/>
                <w:color w:val="auto"/>
                <w:sz w:val="24"/>
                <w:highlight w:val="none"/>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cantSplit/>
          <w:jc w:val="center"/>
          <w:trHeight w:val="1700"/>
        </w:trPr>
        <w:tc>
          <w:tcPr>
            <w:tcW w:w="721" w:type="pct"/>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4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投标人评价（</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tc>
        <w:tc>
          <w:tcPr>
            <w:tcW w:w="3533"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分，不提供或提供不全的不得分。</w:t>
            </w:r>
            <w:r/>
          </w:p>
          <w:p>
            <w:pPr>
              <w:jc w:val="left"/>
              <w:rPr>
                <w:rFonts w:ascii="宋体" w:hAnsi="宋体" w:cs="宋体"/>
                <w:color w:val="auto"/>
                <w:sz w:val="24"/>
                <w:highlight w:val="none"/>
              </w:rPr>
            </w:pPr>
            <w:r>
              <w:rPr>
                <w:rFonts w:hint="eastAsia" w:ascii="宋体" w:hAnsi="宋体" w:cs="宋体"/>
                <w:color w:val="auto"/>
                <w:sz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分，不提供或提供不全的不得分。</w:t>
            </w:r>
            <w:r/>
          </w:p>
          <w:p>
            <w:pPr>
              <w:jc w:val="left"/>
              <w:rPr>
                <w:rFonts w:ascii="宋体" w:hAnsi="宋体" w:cs="宋体"/>
                <w:color w:val="auto"/>
                <w:sz w:val="24"/>
                <w:highlight w:val="none"/>
              </w:rPr>
            </w:pPr>
            <w:r>
              <w:rPr>
                <w:rFonts w:hint="eastAsia" w:ascii="宋体" w:hAnsi="宋体" w:cs="宋体"/>
                <w:color w:val="auto"/>
                <w:sz w:val="24"/>
                <w:highlight w:val="none"/>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分，不提供或提供不全的不得分。</w:t>
            </w:r>
            <w:r/>
          </w:p>
          <w:p>
            <w:pPr>
              <w:rPr>
                <w:rFonts w:ascii="宋体" w:hAnsi="宋体" w:cs="宋体"/>
                <w:color w:val="auto"/>
                <w:sz w:val="24"/>
                <w:highlight w:val="none"/>
              </w:rPr>
            </w:pP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分，最低得0分。</w:t>
            </w:r>
            <w:r/>
          </w:p>
        </w:tc>
      </w:tr>
    </w:tbl>
    <w:p>
      <w:pPr>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4"/>
          <w:highlight w:val="none"/>
        </w:rPr>
        <w:t xml:space="preserve">本章说明：本项目采用综合评分法。评分结果精确到小数点后两位。</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拟签订的合同文本</w:t>
      </w:r>
      <w:r/>
    </w:p>
    <w:p>
      <w:pPr>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政 府 采 购 合 同</w:t>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JSZC-320300-JTGS-G2026-0015</w:t>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lang w:eastAsia="zh-CN"/>
        </w:rPr>
        <w:t xml:space="preserve">徐州市公安局贾汪分局食堂食材采购</w:t>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采购单位（甲方）：徐州市公安局</w:t>
      </w:r>
      <w:r>
        <w:rPr>
          <w:rFonts w:hint="eastAsia" w:ascii="宋体" w:hAnsi="宋体" w:cs="宋体"/>
          <w:b/>
          <w:color w:val="auto"/>
          <w:sz w:val="28"/>
          <w:szCs w:val="28"/>
          <w:highlight w:val="none"/>
          <w:lang w:eastAsia="zh-CN"/>
        </w:rPr>
        <w:t xml:space="preserve">贾汪分局</w:t>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中标供应商（乙方）：</w:t>
      </w:r>
      <w:r/>
    </w:p>
    <w:p>
      <w:pPr>
        <w:ind w:firstLine="630"/>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ascii="宋体" w:hAnsi="宋体" w:cs="宋体"/>
          <w:b/>
          <w:color w:val="auto"/>
          <w:sz w:val="28"/>
          <w:szCs w:val="28"/>
          <w:highlight w:val="none"/>
        </w:rPr>
      </w:r>
      <w:r/>
    </w:p>
    <w:p>
      <w:pPr>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签订日期：    年  月  日</w:t>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798"/>
        <w:ind w:left="0" w:right="0"/>
        <w:spacing w:after="0"/>
        <w:rPr>
          <w:rFonts w:ascii="宋体" w:hAnsi="宋体" w:cs="宋体"/>
          <w:b/>
          <w:color w:val="auto"/>
          <w:sz w:val="28"/>
          <w:szCs w:val="28"/>
          <w:highlight w:val="none"/>
        </w:rPr>
      </w:pPr>
      <w:r>
        <w:rPr>
          <w:rFonts w:ascii="宋体" w:hAnsi="宋体" w:cs="宋体"/>
          <w:b/>
          <w:color w:val="auto"/>
          <w:sz w:val="28"/>
          <w:szCs w:val="28"/>
          <w:highlight w:val="none"/>
        </w:rPr>
      </w:r>
      <w:r/>
    </w:p>
    <w:p>
      <w:pPr>
        <w:pStyle w:val="798"/>
        <w:ind w:left="0" w:right="0"/>
        <w:spacing w:after="0"/>
        <w:rPr>
          <w:rFonts w:ascii="宋体" w:hAnsi="宋体" w:cs="宋体"/>
          <w:b/>
          <w:color w:val="auto"/>
          <w:sz w:val="28"/>
          <w:szCs w:val="28"/>
          <w:highlight w:val="none"/>
        </w:rPr>
      </w:pPr>
      <w:r>
        <w:rPr>
          <w:rFonts w:ascii="宋体" w:hAnsi="宋体" w:cs="宋体"/>
          <w:b/>
          <w:color w:val="auto"/>
          <w:sz w:val="28"/>
          <w:szCs w:val="28"/>
          <w:highlight w:val="none"/>
        </w:rPr>
      </w:r>
      <w:r/>
    </w:p>
    <w:p>
      <w:pPr>
        <w:pStyle w:val="798"/>
        <w:ind w:left="0" w:right="0"/>
        <w:spacing w:after="0"/>
        <w:rPr>
          <w:rFonts w:ascii="宋体" w:hAnsi="宋体" w:cs="宋体"/>
          <w:b/>
          <w:color w:val="auto"/>
          <w:sz w:val="28"/>
          <w:szCs w:val="28"/>
          <w:highlight w:val="none"/>
        </w:rPr>
      </w:pPr>
      <w:r>
        <w:rPr>
          <w:rFonts w:ascii="宋体" w:hAnsi="宋体" w:cs="宋体"/>
          <w:b/>
          <w:color w:val="auto"/>
          <w:sz w:val="28"/>
          <w:szCs w:val="28"/>
          <w:highlight w:val="none"/>
        </w:rPr>
      </w:r>
      <w:r/>
    </w:p>
    <w:p>
      <w:pPr>
        <w:pStyle w:val="798"/>
        <w:ind w:left="0" w:right="0"/>
        <w:spacing w:after="0"/>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友情提醒：采购人与中标供应商应当在中标通知书发出之日起三十日内，按照采购文件确定的事项签订政府采购合同。</w:t>
      </w:r>
      <w:r/>
    </w:p>
    <w:p>
      <w:pPr>
        <w:pStyle w:val="798"/>
        <w:ind w:left="0" w:right="0"/>
        <w:spacing w:after="0"/>
        <w:rPr>
          <w:rFonts w:ascii="宋体" w:hAnsi="宋体" w:cs="宋体"/>
          <w:b/>
          <w:color w:val="auto"/>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徐州市公安局贾汪分局食堂食材采购</w:t>
      </w:r>
      <w:r>
        <w:rPr>
          <w:rFonts w:hint="eastAsia" w:ascii="宋体" w:hAnsi="宋体" w:cs="宋体"/>
          <w:b/>
          <w:bCs/>
          <w:color w:val="auto"/>
          <w:sz w:val="30"/>
          <w:szCs w:val="30"/>
          <w:highlight w:val="none"/>
        </w:rPr>
        <w:t xml:space="preserve">合同</w:t>
      </w:r>
      <w:r/>
    </w:p>
    <w:p>
      <w:pPr>
        <w:pStyle w:val="1063"/>
        <w:contextualSpacing/>
        <w:ind w:right="220"/>
        <w:rPr>
          <w:rFonts w:hAnsi="宋体" w:cs="宋体"/>
          <w:color w:val="auto"/>
          <w:sz w:val="28"/>
          <w:szCs w:val="28"/>
          <w:highlight w:val="none"/>
        </w:rPr>
      </w:pPr>
      <w:r>
        <w:rPr>
          <w:rFonts w:hAnsi="宋体" w:cs="宋体"/>
          <w:color w:val="auto"/>
          <w:sz w:val="28"/>
          <w:szCs w:val="28"/>
          <w:highlight w:val="none"/>
        </w:rPr>
      </w:r>
      <w:r/>
    </w:p>
    <w:p>
      <w:pPr>
        <w:pStyle w:val="1063"/>
        <w:contextualSpacing/>
        <w:spacing w:line="360" w:lineRule="auto"/>
        <w:rPr>
          <w:rFonts w:hAnsi="宋体" w:cs="宋体"/>
          <w:color w:val="auto"/>
          <w:sz w:val="24"/>
          <w:szCs w:val="24"/>
          <w:highlight w:val="none"/>
        </w:rPr>
      </w:pPr>
      <w:r>
        <w:rPr>
          <w:rFonts w:hint="eastAsia" w:hAnsi="宋体" w:cs="宋体"/>
          <w:color w:val="auto"/>
          <w:sz w:val="24"/>
          <w:szCs w:val="24"/>
          <w:highlight w:val="none"/>
        </w:rPr>
        <w:t xml:space="preserve">甲方：                     项目名称：</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                     项目编号： </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                           签订时间：</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                           签订地点：</w:t>
      </w:r>
      <w:r/>
    </w:p>
    <w:p>
      <w:pPr>
        <w:pStyle w:val="850"/>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甲、乙双方根据《中华人民共和国政府采购法》、《中华人民共和国民法典》，按照</w:t>
      </w:r>
      <w:r>
        <w:rPr>
          <w:rFonts w:hint="eastAsia" w:ascii="宋体" w:hAnsi="宋体" w:cs="宋体"/>
          <w:color w:val="auto"/>
          <w:sz w:val="24"/>
          <w:highlight w:val="none"/>
          <w:u w:val="single"/>
          <w:lang w:eastAsia="zh-CN"/>
        </w:rPr>
        <w:t xml:space="preserve">徐州市公安局贾汪分局食堂食材采购</w:t>
      </w:r>
      <w:r>
        <w:rPr>
          <w:rFonts w:hint="eastAsia" w:ascii="宋体" w:hAnsi="宋体" w:cs="宋体"/>
          <w:color w:val="auto"/>
          <w:sz w:val="24"/>
          <w:highlight w:val="none"/>
        </w:rPr>
        <w:t xml:space="preserve">发出的中标通知书、招标文件及乙方的投标文件等，按照平等、自愿的原则，经友好协商，签订本合同。</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一、供货范围和期限</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（一）供货范围：为甲方进行食材的采购和配送。</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（二）供货时间：自合同签订生效后十二个月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1062"/>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（三）采购需求：详见合同附件1。</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二、供应方式及要求</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（一）确定订单</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甲方食堂提前一天向乙方提供所需食品订单，乙方必须在甲方食堂规定时间内，依据订单将甲方食堂所需的食品购齐，送至甲方食堂指定地点进行验收。</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85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（三）乙方应主动配合甲方食堂对其供应食品所进行的数量、质量检查。</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三、供应价格及预算金额</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（一）供应价格</w:t>
      </w:r>
      <w:r/>
    </w:p>
    <w:p>
      <w:pPr>
        <w:pStyle w:val="850"/>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1、乙方综合优惠率：</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p>
    <w:tbl>
      <w:tblPr>
        <w:tblStyle w:val="8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775"/>
        <w:gridCol w:w="1522"/>
        <w:gridCol w:w="2399"/>
        <w:gridCol w:w="979"/>
      </w:tblGrid>
      <w:tr>
        <w:trPr/>
        <w:tc>
          <w:tcPr>
            <w:tcW w:w="491"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630"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类别</w:t>
            </w:r>
            <w:r/>
          </w:p>
        </w:tc>
        <w:tc>
          <w:tcPr>
            <w:tcW w:w="893"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占比</w:t>
            </w:r>
            <w:r/>
          </w:p>
        </w:tc>
        <w:tc>
          <w:tcPr>
            <w:tcW w:w="1409"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优惠率报价（%）</w:t>
            </w:r>
            <w:r/>
          </w:p>
        </w:tc>
        <w:tc>
          <w:tcPr>
            <w:tcW w:w="57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c>
          <w:tcPr>
            <w:tcW w:w="4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63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肉、水产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禽蛋类</w:t>
            </w:r>
            <w:r/>
          </w:p>
        </w:tc>
        <w:tc>
          <w:tcPr>
            <w:tcW w:w="89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 42.7</w:t>
            </w:r>
            <w:r>
              <w:rPr>
                <w:rFonts w:hint="eastAsia" w:ascii="宋体" w:hAnsi="宋体" w:cs="宋体"/>
                <w:color w:val="auto"/>
                <w:sz w:val="24"/>
                <w:highlight w:val="none"/>
              </w:rPr>
              <w:t xml:space="preserve">%</w:t>
            </w:r>
            <w:r/>
          </w:p>
        </w:tc>
        <w:tc>
          <w:tcPr>
            <w:tcW w:w="140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c>
          <w:tcPr>
            <w:tcW w:w="4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63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粮油类</w:t>
            </w:r>
            <w:r/>
          </w:p>
        </w:tc>
        <w:tc>
          <w:tcPr>
            <w:tcW w:w="89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8.6</w:t>
            </w:r>
            <w:r>
              <w:rPr>
                <w:rFonts w:hint="eastAsia" w:ascii="宋体" w:hAnsi="宋体" w:cs="宋体"/>
                <w:color w:val="auto"/>
                <w:sz w:val="24"/>
                <w:highlight w:val="none"/>
              </w:rPr>
              <w:t xml:space="preserve">%</w:t>
            </w:r>
            <w:r/>
          </w:p>
        </w:tc>
        <w:tc>
          <w:tcPr>
            <w:tcW w:w="140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c>
          <w:tcPr>
            <w:tcW w:w="4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63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干货和调料类</w:t>
            </w:r>
            <w:r/>
          </w:p>
        </w:tc>
        <w:tc>
          <w:tcPr>
            <w:tcW w:w="89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w:t>
            </w:r>
            <w:r/>
          </w:p>
        </w:tc>
        <w:tc>
          <w:tcPr>
            <w:tcW w:w="140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c>
          <w:tcPr>
            <w:tcW w:w="4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163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果蔬类</w:t>
            </w:r>
            <w:r/>
          </w:p>
        </w:tc>
        <w:tc>
          <w:tcPr>
            <w:tcW w:w="89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30.6</w:t>
            </w:r>
            <w:r>
              <w:rPr>
                <w:rFonts w:hint="eastAsia" w:ascii="宋体" w:hAnsi="宋体" w:cs="宋体"/>
                <w:color w:val="auto"/>
                <w:sz w:val="24"/>
                <w:highlight w:val="none"/>
              </w:rPr>
              <w:t xml:space="preserve">%</w:t>
            </w:r>
            <w:r/>
          </w:p>
        </w:tc>
        <w:tc>
          <w:tcPr>
            <w:tcW w:w="140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90"/>
        </w:trPr>
        <w:tc>
          <w:tcPr>
            <w:tcW w:w="4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163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冻品类</w:t>
            </w:r>
            <w:r/>
          </w:p>
        </w:tc>
        <w:tc>
          <w:tcPr>
            <w:tcW w:w="89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w:t>
            </w:r>
            <w:r/>
          </w:p>
        </w:tc>
        <w:tc>
          <w:tcPr>
            <w:tcW w:w="140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7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405"/>
        </w:trPr>
        <w:tc>
          <w:tcPr>
            <w:gridSpan w:val="3"/>
            <w:tcW w:w="301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综合优惠率（%）</w:t>
            </w:r>
            <w:r/>
          </w:p>
        </w:tc>
        <w:tc>
          <w:tcPr>
            <w:tcW w:w="1409"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tcW w:w="575"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bl>
    <w:p>
      <w:pPr>
        <w:ind w:firstLine="560"/>
        <w:rPr>
          <w:rFonts w:ascii="宋体" w:hAnsi="宋体" w:cs="宋体"/>
          <w:color w:val="auto"/>
          <w:sz w:val="24"/>
          <w:highlight w:val="none"/>
        </w:rPr>
      </w:pPr>
      <w:r>
        <w:rPr>
          <w:rFonts w:ascii="宋体" w:hAnsi="宋体" w:cs="宋体"/>
          <w:color w:val="auto"/>
          <w:sz w:val="24"/>
          <w:highlight w:val="none"/>
        </w:rPr>
      </w:r>
      <w:r/>
    </w:p>
    <w:p>
      <w:pPr>
        <w:numPr>
          <w:ilvl w:val="0"/>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所有配送食品价格以徐州市发展和改革委员会网站“民生价格监测”上</w:t>
      </w:r>
      <w:r>
        <w:rPr>
          <w:rFonts w:hint="eastAsia" w:ascii="宋体" w:hAnsi="宋体" w:cs="宋体"/>
          <w:color w:val="auto"/>
          <w:sz w:val="24"/>
          <w:highlight w:val="none"/>
          <w:lang w:val="en-US" w:eastAsia="zh-CN"/>
        </w:rPr>
        <w:t xml:space="preserve">最新公布的同类食材平均单价作为基准价</w:t>
      </w:r>
      <w:r>
        <w:rPr>
          <w:rFonts w:hint="eastAsia" w:ascii="宋体" w:hAnsi="宋体" w:cs="宋体"/>
          <w:color w:val="auto"/>
          <w:sz w:val="24"/>
          <w:highlight w:val="none"/>
        </w:rPr>
        <w:t xml:space="preserve">；如徐州市发展和改革委员会网站“民生价格监测”</w:t>
      </w:r>
      <w:r>
        <w:rPr>
          <w:rFonts w:hint="eastAsia" w:ascii="宋体" w:hAnsi="宋体" w:cs="宋体"/>
          <w:color w:val="auto"/>
          <w:sz w:val="24"/>
          <w:highlight w:val="none"/>
          <w:lang w:val="en-US" w:eastAsia="zh-CN"/>
        </w:rPr>
        <w:t xml:space="preserve">没有的菜品，</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与</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组成的询价小组（</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如不参加，则视为自愿放弃）</w:t>
      </w:r>
      <w:r>
        <w:rPr>
          <w:rFonts w:hint="eastAsia" w:ascii="宋体" w:hAnsi="宋体" w:cs="宋体"/>
          <w:color w:val="auto"/>
          <w:sz w:val="24"/>
          <w:highlight w:val="none"/>
          <w:lang w:eastAsia="zh-CN"/>
        </w:rPr>
        <w:t xml:space="preserve">，</w:t>
      </w:r>
      <w:r>
        <w:rPr>
          <w:rFonts w:hint="eastAsia" w:ascii="宋体" w:hAnsi="宋体" w:eastAsia="宋体" w:cs="宋体"/>
          <w:color w:val="000000"/>
          <w:sz w:val="24"/>
          <w:szCs w:val="24"/>
          <w:highlight w:val="none"/>
        </w:rPr>
        <w:t xml:space="preserve">每周</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定期前往</w:t>
      </w:r>
      <w:r>
        <w:rPr>
          <w:rFonts w:hint="eastAsia" w:ascii="宋体" w:hAnsi="宋体" w:cs="宋体"/>
          <w:color w:val="auto"/>
          <w:sz w:val="24"/>
          <w:highlight w:val="none"/>
          <w:lang w:val="en-US" w:eastAsia="zh-CN"/>
        </w:rPr>
        <w:t xml:space="preserve">泉城新区农贸市场、中安农贸市场</w:t>
      </w:r>
      <w:r>
        <w:rPr>
          <w:rFonts w:hint="eastAsia"/>
          <w:highlight w:val="none"/>
          <w:lang w:eastAsia="zh-CN"/>
        </w:rPr>
        <w:t xml:space="preserve">、</w:t>
      </w:r>
      <w:r>
        <w:rPr>
          <w:rFonts w:hint="eastAsia" w:ascii="宋体" w:hAnsi="宋体" w:cs="宋体"/>
          <w:color w:val="auto"/>
          <w:sz w:val="24"/>
          <w:highlight w:val="none"/>
          <w:lang w:eastAsia="zh-CN"/>
        </w:rPr>
        <w:t xml:space="preserve">贾汪</w:t>
      </w:r>
      <w:r>
        <w:rPr>
          <w:rFonts w:hint="eastAsia" w:ascii="宋体" w:hAnsi="宋体" w:cs="宋体"/>
          <w:color w:val="auto"/>
          <w:sz w:val="24"/>
          <w:highlight w:val="none"/>
          <w:lang w:val="en-US" w:eastAsia="zh-CN"/>
        </w:rPr>
        <w:t xml:space="preserve">区</w:t>
      </w:r>
      <w:r>
        <w:rPr>
          <w:rFonts w:hint="eastAsia" w:ascii="宋体" w:hAnsi="宋体" w:cs="宋体"/>
          <w:color w:val="auto"/>
          <w:sz w:val="24"/>
          <w:highlight w:val="none"/>
          <w:lang w:eastAsia="zh-CN"/>
        </w:rPr>
        <w:t xml:space="preserve">吾悦广场家家悦超市、宜家福生活超市，</w:t>
      </w:r>
      <w:r>
        <w:rPr>
          <w:rFonts w:hint="eastAsia" w:ascii="宋体" w:hAnsi="宋体" w:cs="宋体"/>
          <w:color w:val="auto"/>
          <w:sz w:val="24"/>
          <w:highlight w:val="none"/>
          <w:lang w:val="en-US" w:eastAsia="zh-CN"/>
        </w:rPr>
        <w:t xml:space="preserve">任选两家采集食材价格的平均单价作为本周的基准价；</w:t>
      </w:r>
      <w:r>
        <w:rPr>
          <w:rFonts w:hint="eastAsia" w:ascii="宋体" w:hAnsi="宋体" w:eastAsia="宋体" w:cs="宋体"/>
          <w:color w:val="000000"/>
          <w:sz w:val="24"/>
          <w:szCs w:val="24"/>
          <w:highlight w:val="none"/>
        </w:rPr>
        <w:t xml:space="preserve">如上述还未有的菜品，以供应商的批发采购处的的同类菜品零售价为基准单价。</w:t>
      </w:r>
      <w:r/>
    </w:p>
    <w:p>
      <w:pPr>
        <w:pStyle w:val="850"/>
        <w:ind w:firstLine="56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3、乙方供货结算单价=基准单价×（1-乙方</w:t>
      </w:r>
      <w:r>
        <w:rPr>
          <w:rFonts w:hint="eastAsia" w:ascii="宋体" w:hAnsi="宋体" w:cs="宋体"/>
          <w:color w:val="auto"/>
          <w:sz w:val="24"/>
          <w:highlight w:val="none"/>
          <w:lang w:val="en-US" w:eastAsia="zh-CN"/>
        </w:rPr>
        <w:t xml:space="preserve">各类</w:t>
      </w:r>
      <w:r>
        <w:rPr>
          <w:rFonts w:hint="eastAsia" w:ascii="宋体" w:hAnsi="宋体" w:cs="宋体"/>
          <w:color w:val="auto"/>
          <w:sz w:val="24"/>
          <w:szCs w:val="24"/>
          <w:highlight w:val="none"/>
        </w:rPr>
        <w:t xml:space="preserve">食材</w:t>
      </w:r>
      <w:r>
        <w:rPr>
          <w:rFonts w:hint="eastAsia" w:ascii="宋体" w:hAnsi="宋体" w:cs="宋体"/>
          <w:color w:val="auto"/>
          <w:sz w:val="24"/>
          <w:highlight w:val="none"/>
        </w:rPr>
        <w:t xml:space="preserve">优惠率），但不得超出基准单价</w:t>
      </w:r>
      <w:r>
        <w:rPr>
          <w:rFonts w:hint="eastAsia" w:ascii="宋体" w:hAnsi="宋体" w:cs="宋体"/>
          <w:color w:val="auto"/>
          <w:sz w:val="24"/>
          <w:highlight w:val="none"/>
          <w:lang w:eastAsia="zh-CN"/>
        </w:rPr>
        <w:t xml:space="preserve">。</w:t>
      </w:r>
      <w:r/>
    </w:p>
    <w:p>
      <w:pPr>
        <w:pStyle w:val="850"/>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4、乙方应按甲方需求进行每日配送。不得以任何理由拒绝。</w:t>
      </w:r>
      <w:r/>
    </w:p>
    <w:p>
      <w:pPr>
        <w:pStyle w:val="850"/>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5、按周计算应付金额，结算数量以甲方每日签字确认为准，按月付款。</w:t>
      </w:r>
      <w:r/>
    </w:p>
    <w:p>
      <w:pPr>
        <w:pStyle w:val="850"/>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6、乙方需向甲方提供合法有效的发票。</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（二）预算金额</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注：本项目</w:t>
      </w:r>
      <w:r>
        <w:rPr>
          <w:rFonts w:hint="eastAsia" w:ascii="宋体" w:hAnsi="宋体" w:cs="宋体"/>
          <w:b/>
          <w:bCs/>
          <w:color w:val="auto"/>
          <w:sz w:val="24"/>
          <w:highlight w:val="none"/>
          <w:lang w:val="en-US" w:eastAsia="zh-CN"/>
        </w:rPr>
        <w:t xml:space="preserve">预算金额为人民币151.2</w:t>
      </w:r>
      <w:r>
        <w:rPr>
          <w:rFonts w:hint="eastAsia" w:ascii="宋体" w:hAnsi="宋体" w:cs="宋体"/>
          <w:b/>
          <w:bCs/>
          <w:color w:val="auto"/>
          <w:sz w:val="24"/>
          <w:highlight w:val="none"/>
        </w:rPr>
        <w:t xml:space="preserve">万元。</w:t>
      </w:r>
      <w:r>
        <w:rPr>
          <w:rFonts w:hint="eastAsia" w:ascii="宋体" w:hAnsi="宋体" w:cs="宋体"/>
          <w:color w:val="auto"/>
          <w:sz w:val="24"/>
          <w:highlight w:val="none"/>
        </w:rPr>
        <w:t xml:space="preserve">）</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四、支付（采购资金的支付方式、时间、条件）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1、经双方协商一致，选择以下第</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种付款方式:</w:t>
      </w:r>
      <w:r/>
    </w:p>
    <w:p>
      <w:pPr>
        <w:ind w:firstLine="56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付款方式一：提交预付款保函的</w:t>
      </w:r>
      <w:r/>
    </w:p>
    <w:p>
      <w:pPr>
        <w:pStyle w:val="1026"/>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预算金额的百分之</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元，在双方签订合同后10个工作日内，乙方向甲方出具等额预付款保函后，由甲方办理政府采购资金结算手续支付给乙方。</w:t>
      </w:r>
      <w:r/>
    </w:p>
    <w:p>
      <w:pPr>
        <w:pStyle w:val="850"/>
        <w:ind w:firstLine="5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1062"/>
        <w:rPr>
          <w:highlight w:val="none"/>
        </w:rPr>
      </w:pPr>
      <w:r>
        <w:rPr>
          <w:highlight w:val="none"/>
        </w:rPr>
      </w:r>
      <w:r/>
    </w:p>
    <w:p>
      <w:pPr>
        <w:pStyle w:val="798"/>
        <w:ind w:left="0" w:right="0" w:firstLine="561"/>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付款方式二：</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提交预付款保函的</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预算金额的百分之十(10%)即￥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元，在双方签订合同后10个工作日内，由甲方办理政府采购资金结算手续支付给乙方。</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816"/>
        <w:ind w:left="0" w:right="0" w:firstLine="36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（在签订合同时，供应商明确表示无需预付款的，费用按双方核算确认的月度金额。（注：此条符合苏财购〔2020〕52号文件要求））</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2、合同约定的乙方账户：</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3、其他</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若出现因乙方违约导致双方有争议的情况，待争议解决后3个工作日内甲方再向乙方支付货款，期间造成的经济损失由乙方自行承担。</w:t>
      </w:r>
      <w:r/>
    </w:p>
    <w:p>
      <w:pPr>
        <w:pStyle w:val="850"/>
        <w:ind w:firstLine="36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4、在预算金额范围内按照实际发生金额据实结算支付，若本合同履行期限内支付超过预算金额，本合同自动终止。</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p>
    <w:p>
      <w:pPr>
        <w:pStyle w:val="798"/>
        <w:ind w:left="0" w:right="0" w:firstLine="2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①乙方出具当月甲方已经实际确认的订单量的全额正式发票；</w:t>
      </w:r>
      <w:r/>
    </w:p>
    <w:p>
      <w:pPr>
        <w:pStyle w:val="798"/>
        <w:ind w:left="0" w:right="0" w:firstLine="2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②甲方确认的送货清单；</w:t>
      </w:r>
      <w:r/>
    </w:p>
    <w:p>
      <w:pPr>
        <w:pStyle w:val="798"/>
        <w:ind w:left="0" w:right="0" w:firstLine="2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③甲方出具的结算价款考核确认单。</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五、质量标准和检验</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（一）质量标准</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所供应的食品数量不得短缺，质量必须符合国家《食品安全法》等有关法律法规和《批发业和集体用餐配送单位卫生规范》等相关产品国家标准，特殊物品应符合行业内通用标准。所供食品均符合《国家食品卫生标准》、《食品卫生法》和《动物检疫法》等相关规定。乙方提供的所有蔬菜、水果、豆、粮、油等均须</w:t>
      </w:r>
      <w:r>
        <w:rPr>
          <w:rFonts w:hint="eastAsia" w:ascii="宋体" w:hAnsi="宋体" w:cs="宋体"/>
          <w:color w:val="auto"/>
          <w:sz w:val="24"/>
          <w:highlight w:val="none"/>
        </w:rPr>
        <w:t xml:space="preserve">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2、乙方为满足质量标准提供的技术方案详见合同附件2。</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3、乙方为满足质量标准提供的组织机构设置及人员和车辆配备方案详见合同附件3。</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4、乙方未满足质量标准提供的退换货承诺方案详见合同附件4。</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（二）验收检验</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每天对供应食品的品名、规格、数量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    </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食材供应评价意见表》见合同附件</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w:t>
      </w:r>
      <w:r/>
    </w:p>
    <w:p>
      <w:pPr>
        <w:pStyle w:val="8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3、验收标准（验收要求、验收标准和程序）：见合同附件5。</w:t>
      </w:r>
      <w:r/>
    </w:p>
    <w:p>
      <w:pPr>
        <w:pStyle w:val="816"/>
        <w:ind w:left="0" w:right="0" w:firstLine="482"/>
        <w:jc w:val="both"/>
        <w:keepLines w:val="0"/>
        <w:keepNext w:val="0"/>
        <w:spacing w:before="0" w:beforeAutospacing="0" w:after="0" w:afterAutospacing="0" w:line="336"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4、所有带保质期的食材，乙方配送至甲方指定地点时，剩余保质期须不低于该食材标注总保质期的 2/3，严禁配送临期、过期或保质期不符合本条款要求的产品。</w:t>
      </w:r>
      <w:r/>
    </w:p>
    <w:p>
      <w:pPr>
        <w:pStyle w:val="850"/>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（三）供应时间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每日7:30前</w:t>
      </w:r>
      <w:r>
        <w:rPr>
          <w:rFonts w:hint="eastAsia" w:ascii="宋体" w:hAnsi="宋体" w:cs="宋体"/>
          <w:color w:val="auto"/>
          <w:sz w:val="24"/>
          <w:highlight w:val="none"/>
          <w:lang w:eastAsia="zh-CN"/>
        </w:rPr>
        <w:t xml:space="preserve">）</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每日必须按照</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要求的时间将</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食堂所需食品送至指定地点进行验收，</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如送货迟到超过半小时，</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可扣</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当天总货款的10%做为违约金。因迟到一小时以上而造成</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食堂无法正常供餐的，</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有权拒收并从别处紧急采购，采购费用从</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货款中扣除；如第二次发生类似情况，除采购费用从</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货款中扣除外，并扣除结账货款5000元；如第三次发生类似情况，</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有权单方面解除合同，并有权追究</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相关经济、法律责任。遇有特殊任务或其他情况，应以</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具体要求为准。如遇特殊情况，</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要为</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食堂提供紧急配送服务，接</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通知后， 70 分钟内送达。</w:t>
      </w:r>
      <w:r/>
    </w:p>
    <w:p>
      <w:pPr>
        <w:pStyle w:val="85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六、包装与标记</w:t>
      </w:r>
      <w:r/>
    </w:p>
    <w:p>
      <w:pPr>
        <w:pStyle w:val="850"/>
        <w:ind w:firstLine="540"/>
        <w:spacing w:line="360" w:lineRule="auto"/>
        <w:rPr>
          <w:rFonts w:ascii="宋体" w:hAnsi="宋体" w:cs="宋体"/>
          <w:color w:val="auto"/>
          <w:sz w:val="24"/>
          <w:highlight w:val="none"/>
        </w:rPr>
      </w:pPr>
      <w:r>
        <w:rPr>
          <w:rFonts w:hint="eastAsia" w:ascii="宋体" w:hAnsi="宋体" w:cs="宋体"/>
          <w:color w:val="auto"/>
          <w:sz w:val="24"/>
          <w:highlight w:val="none"/>
        </w:rPr>
        <w:t xml:space="preserve">1、商品（合同标的）包装具体要求：见《关于印发《商品包装政府采购需求标准（试行）》、 《快递包装政府采购需求标准（试行）》的通知》（财办库〔2020〕123号）中《商品包装政府采购需求标准（试行）》。</w:t>
      </w:r>
      <w:r/>
    </w:p>
    <w:p>
      <w:pPr>
        <w:pStyle w:val="850"/>
        <w:ind w:firstLine="54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2、快递包装具体要求：见《关于印发《商品包装政府采购需求标准（试行）》、 《快递包装政府采购需求标准（试行）》的通知》（财办库〔2020〕123号）中《快递包装政府采购需求标准（试行）》。</w:t>
      </w:r>
      <w:r/>
    </w:p>
    <w:p>
      <w:pPr>
        <w:pStyle w:val="85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七、履约</w:t>
      </w:r>
      <w:r>
        <w:rPr>
          <w:rFonts w:hint="eastAsia" w:ascii="宋体" w:hAnsi="宋体" w:cs="宋体"/>
          <w:b/>
          <w:bCs/>
          <w:color w:val="auto"/>
          <w:sz w:val="24"/>
          <w:highlight w:val="none"/>
          <w:lang w:val="en-US" w:eastAsia="zh-CN"/>
        </w:rPr>
        <w:t xml:space="preserve">保证金</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1、乙方是否提供履约</w:t>
      </w:r>
      <w:r>
        <w:rPr>
          <w:rFonts w:hint="eastAsia" w:ascii="宋体" w:hAnsi="宋体" w:cs="宋体"/>
          <w:color w:val="auto"/>
          <w:sz w:val="24"/>
          <w:highlight w:val="none"/>
          <w:lang w:val="en-US" w:eastAsia="zh-CN"/>
        </w:rPr>
        <w:t xml:space="preserve">保证金</w:t>
      </w:r>
      <w:r>
        <w:rPr>
          <w:rFonts w:hint="eastAsia" w:ascii="宋体" w:hAnsi="宋体" w:cs="宋体"/>
          <w:color w:val="auto"/>
          <w:sz w:val="24"/>
          <w:highlight w:val="none"/>
        </w:rPr>
        <w:t xml:space="preserve">：预算金额的10%。 </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2、乙方提供履约</w:t>
      </w:r>
      <w:r>
        <w:rPr>
          <w:rFonts w:hint="eastAsia" w:ascii="宋体" w:hAnsi="宋体" w:cs="宋体"/>
          <w:color w:val="auto"/>
          <w:sz w:val="24"/>
          <w:highlight w:val="none"/>
          <w:lang w:val="en-US" w:eastAsia="zh-CN"/>
        </w:rPr>
        <w:t xml:space="preserve">保证金</w:t>
      </w:r>
      <w:r>
        <w:rPr>
          <w:rFonts w:hint="eastAsia" w:ascii="宋体" w:hAnsi="宋体" w:cs="宋体"/>
          <w:color w:val="auto"/>
          <w:sz w:val="24"/>
          <w:highlight w:val="none"/>
        </w:rPr>
        <w:t xml:space="preserve">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pStyle w:val="850"/>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b/>
          <w:bCs/>
          <w:color w:val="auto"/>
          <w:sz w:val="24"/>
          <w:highlight w:val="none"/>
        </w:rPr>
        <w:t xml:space="preserve"> </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八、违约责任</w:t>
      </w:r>
      <w:r/>
    </w:p>
    <w:p>
      <w:pPr>
        <w:pStyle w:val="85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（一）甲方违约责任</w:t>
      </w:r>
      <w:r/>
    </w:p>
    <w:p>
      <w:pPr>
        <w:pStyle w:val="850"/>
        <w:ind w:firstLine="54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乙方按合同履约，甲方按合同约定支付食堂食材费用，除因财政付款审批程序滞后外，甲方应在次月付款前完成上月付款，如有特殊情况，双方协商解决。</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rPr>
        <w:t xml:space="preserve">乙方违约责任</w:t>
      </w:r>
      <w:r/>
    </w:p>
    <w:p>
      <w:pPr>
        <w:pStyle w:val="85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1、数量违约</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2、质量违约</w:t>
      </w:r>
      <w:r/>
    </w:p>
    <w:p>
      <w:pPr>
        <w:pStyle w:val="816"/>
        <w:ind w:left="0" w:right="0" w:firstLine="36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816"/>
        <w:ind w:left="0" w:firstLine="36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816"/>
        <w:ind w:left="0" w:firstLine="36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关于留样与抽查送检：</w:t>
      </w:r>
      <w:r>
        <w:rPr>
          <w:rFonts w:hint="eastAsia" w:ascii="宋体" w:hAnsi="宋体" w:eastAsia="宋体" w:cs="宋体"/>
          <w:color w:val="auto"/>
          <w:sz w:val="24"/>
          <w:szCs w:val="24"/>
          <w:highlight w:val="none"/>
          <w:lang w:val="en-US" w:eastAsia="zh-CN" w:bidi="ar-SA"/>
        </w:rPr>
        <w:t xml:space="preserve">甲方将对每批次配送的货品进行留样保存，</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有权对配送的货品不定期随机抽样送检，如送检检验合格，检验费用由甲方承担;检查不合格由乙方承担，</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对该批货物予以退货或当场销毁，同时乙方需及时补货，甲方不需支付该批货物的货款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并作出相应的处罚。</w:t>
      </w:r>
      <w:r>
        <w:rPr>
          <w:rFonts w:hint="eastAsia" w:ascii="宋体" w:hAnsi="宋体" w:eastAsia="宋体" w:cs="宋体"/>
          <w:color w:val="000000"/>
          <w:sz w:val="24"/>
          <w:szCs w:val="24"/>
          <w:highlight w:val="none"/>
        </w:rPr>
        <w:t xml:space="preserve">如有食品卫生安全监督部门或相关部门对货品进行检查，乙方须全力配合，不得找任何借口推脱。</w:t>
      </w:r>
      <w:r/>
    </w:p>
    <w:p>
      <w:pPr>
        <w:pStyle w:val="816"/>
        <w:ind w:left="0" w:firstLine="36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3、服务违约</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参照本合同“</w:t>
      </w:r>
      <w:r>
        <w:rPr>
          <w:rFonts w:hint="eastAsia" w:ascii="宋体" w:hAnsi="宋体" w:cs="宋体"/>
          <w:b/>
          <w:bCs/>
          <w:color w:val="auto"/>
          <w:sz w:val="24"/>
          <w:highlight w:val="none"/>
        </w:rPr>
        <w:t xml:space="preserve">五、质量标准和检验</w:t>
      </w:r>
      <w:r>
        <w:rPr>
          <w:rFonts w:hint="eastAsia" w:ascii="宋体" w:hAnsi="宋体" w:cs="宋体"/>
          <w:color w:val="auto"/>
          <w:sz w:val="24"/>
          <w:highlight w:val="none"/>
        </w:rPr>
        <w:t xml:space="preserve">（三）供应时间”相关要求。</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4、保密违约</w:t>
      </w:r>
      <w:r/>
    </w:p>
    <w:p>
      <w:pPr>
        <w:pStyle w:val="850"/>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850"/>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如违反本协议和保密承诺约定、承诺的保密义务，应当赔偿给甲方造成的全部损失及甲方因维权行为而产生的所有费用(包括但不限于直接损失、间接损失、预期利益损失律师费、鉴定费、交通费等)，构成犯罪的，依法处理。</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 本合同在下列条件全部满足后生效，生效日期以下列条件全部满足的最晚日期为准： </w:t>
      </w:r>
      <w:r/>
    </w:p>
    <w:p>
      <w:pPr>
        <w:pStyle w:val="85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color w:val="auto"/>
          <w:sz w:val="24"/>
          <w:highlight w:val="none"/>
        </w:rPr>
        <w:t xml:space="preserve">合同的双方当事人不得擅自变更、中止或者终止合同。 </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十一、</w:t>
      </w:r>
      <w:r>
        <w:rPr>
          <w:rFonts w:hint="eastAsia" w:ascii="宋体" w:hAnsi="宋体" w:cs="宋体"/>
          <w:color w:val="auto"/>
          <w:sz w:val="24"/>
          <w:highlight w:val="none"/>
        </w:rPr>
        <w:t xml:space="preserve">双方约定，在履行合同过程中产生争议时，应通过友好协商解决，若协商不成可向甲方所在地人民法院提起诉讼。</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十二、</w:t>
      </w:r>
      <w:r>
        <w:rPr>
          <w:rFonts w:hint="eastAsia" w:ascii="宋体" w:hAnsi="宋体" w:cs="宋体"/>
          <w:color w:val="auto"/>
          <w:sz w:val="24"/>
          <w:highlight w:val="none"/>
        </w:rPr>
        <w:t xml:space="preserve">合同其他未尽事宜及与招标文件有矛盾之处，以招标文件[项目编号：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]为准。</w:t>
      </w:r>
      <w:r/>
    </w:p>
    <w:p>
      <w:pPr>
        <w:pStyle w:val="85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十三、</w:t>
      </w:r>
      <w:r>
        <w:rPr>
          <w:rFonts w:hint="eastAsia" w:ascii="宋体" w:hAnsi="宋体" w:cs="宋体"/>
          <w:color w:val="auto"/>
          <w:sz w:val="24"/>
          <w:highlight w:val="none"/>
        </w:rPr>
        <w:t xml:space="preserve">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p>
    <w:p>
      <w:pPr>
        <w:pStyle w:val="850"/>
        <w:contextualSpacing/>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十四、</w:t>
      </w:r>
      <w:r>
        <w:rPr>
          <w:rFonts w:hint="eastAsia" w:ascii="宋体" w:hAnsi="宋体" w:cs="宋体"/>
          <w:color w:val="auto"/>
          <w:sz w:val="24"/>
          <w:highlight w:val="none"/>
        </w:rPr>
        <w:t xml:space="preserve">按照《财政部关于做好政府采购信息公开工作的通知》（财库〔2015〕135号），甲方依据《保守国家秘密法》等法律制度规定确定本合同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部分涉及国家秘密，该涉及国家秘密部分不公告；甲方依据《反不正当竞争法》等法律制度的规定与乙方约定本合同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部分涉及商业秘密，该涉及商业秘密部分不公告。</w:t>
      </w:r>
      <w:r/>
    </w:p>
    <w:p>
      <w:pPr>
        <w:pStyle w:val="850"/>
        <w:contextualSpacing/>
        <w:ind w:hanging="28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850"/>
        <w:contextualSpacing/>
        <w:ind w:hanging="2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pStyle w:val="850"/>
        <w:contextualSpacing/>
        <w:ind w:hanging="28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850"/>
        <w:contextualSpacing/>
        <w:ind w:hanging="28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850"/>
        <w:contextualSpacing/>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                                           乙方 </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单位签章： </w:t>
      </w:r>
      <w:r>
        <w:rPr>
          <w:rFonts w:hint="eastAsia" w:ascii="宋体" w:hAnsi="宋体" w:cs="宋体"/>
          <w:color w:val="auto"/>
          <w:sz w:val="24"/>
          <w:highlight w:val="none"/>
        </w:rPr>
        <w:tab/>
      </w:r>
      <w:r>
        <w:rPr>
          <w:rFonts w:hint="eastAsia" w:ascii="宋体" w:hAnsi="宋体" w:cs="宋体"/>
          <w:color w:val="auto"/>
          <w:sz w:val="24"/>
          <w:highlight w:val="none"/>
        </w:rPr>
        <w:t xml:space="preserve">                                  单位签章： </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 </w:t>
      </w:r>
      <w:r>
        <w:rPr>
          <w:rFonts w:hint="eastAsia" w:ascii="宋体" w:hAnsi="宋体" w:cs="宋体"/>
          <w:color w:val="auto"/>
          <w:sz w:val="24"/>
          <w:highlight w:val="none"/>
        </w:rPr>
        <w:tab/>
      </w:r>
      <w:r>
        <w:rPr>
          <w:rFonts w:hint="eastAsia" w:ascii="宋体" w:hAnsi="宋体" w:cs="宋体"/>
          <w:color w:val="auto"/>
          <w:sz w:val="24"/>
          <w:highlight w:val="none"/>
        </w:rPr>
        <w:t xml:space="preserve">                                  开户银行：</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                                      银行账号：</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联 系 人：                                      联 系 人：</w:t>
      </w:r>
      <w:r/>
    </w:p>
    <w:p>
      <w:pPr>
        <w:pStyle w:val="850"/>
        <w:contextualSpacing/>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联系电话：</w:t>
      </w:r>
      <w:r/>
    </w:p>
    <w:p>
      <w:pPr>
        <w:pStyle w:val="1062"/>
        <w:spacing w:line="360" w:lineRule="auto"/>
        <w:rPr>
          <w:rFonts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日期：                                          日期：  </w:t>
      </w:r>
      <w:r>
        <w:rPr>
          <w:rFonts w:hint="eastAsia" w:ascii="宋体" w:hAnsi="宋体" w:eastAsia="宋体" w:cs="宋体"/>
          <w:color w:val="auto"/>
          <w:sz w:val="28"/>
          <w:szCs w:val="28"/>
          <w:highlight w:val="none"/>
        </w:rPr>
        <w:t xml:space="preserve"> </w:t>
      </w:r>
      <w:r/>
    </w:p>
    <w:p>
      <w:pPr>
        <w:pStyle w:val="850"/>
        <w:jc w:val="center"/>
        <w:pageBreakBefore/>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合同附件</w:t>
      </w:r>
      <w:r/>
    </w:p>
    <w:p>
      <w:pPr>
        <w:pStyle w:val="850"/>
        <w:rPr>
          <w:rFonts w:ascii="宋体" w:hAnsi="宋体" w:cs="宋体"/>
          <w:color w:val="auto"/>
          <w:sz w:val="28"/>
          <w:szCs w:val="28"/>
          <w:highlight w:val="none"/>
        </w:rPr>
      </w:pPr>
      <w:r>
        <w:rPr>
          <w:rFonts w:ascii="宋体" w:hAnsi="宋体" w:cs="宋体"/>
          <w:color w:val="auto"/>
          <w:sz w:val="28"/>
          <w:szCs w:val="28"/>
          <w:highlight w:val="none"/>
        </w:rPr>
      </w:r>
      <w:r/>
    </w:p>
    <w:p>
      <w:pPr>
        <w:pStyle w:val="850"/>
        <w:rPr>
          <w:rFonts w:ascii="宋体" w:hAnsi="宋体" w:cs="宋体"/>
          <w:color w:val="auto"/>
          <w:sz w:val="28"/>
          <w:szCs w:val="28"/>
          <w:highlight w:val="none"/>
        </w:rPr>
      </w:pPr>
      <w:r>
        <w:rPr>
          <w:rFonts w:ascii="宋体" w:hAnsi="宋体" w:cs="宋体"/>
          <w:color w:val="auto"/>
          <w:sz w:val="28"/>
          <w:szCs w:val="28"/>
          <w:highlight w:val="none"/>
        </w:rPr>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合同附件1：采购需求（见招标文件第六章《采购需求》）</w:t>
      </w:r>
      <w:r/>
    </w:p>
    <w:p>
      <w:pPr>
        <w:pStyle w:val="85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85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合同附件2：质量标准技术要求（要求见招标文件第六章《采购需求》；合同见乙方投标文件中</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技术方案》。）</w:t>
      </w:r>
      <w:r/>
    </w:p>
    <w:p>
      <w:pPr>
        <w:pStyle w:val="1062"/>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合同附件3：人员和车辆配备要求（要求见招标文件第六章《采购需求》；合同见乙方投标文件中《人员和车辆配备方案》。）</w:t>
      </w:r>
      <w:r/>
    </w:p>
    <w:p>
      <w:pPr>
        <w:pStyle w:val="1062"/>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合同附件4：退换货要求（要求见招标文件第六章《采购需求》；合同见乙方投标文件中《退换货承诺方案》。）</w:t>
      </w:r>
      <w:r/>
    </w:p>
    <w:p>
      <w:pPr>
        <w:pStyle w:val="1062"/>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合同附件5：验收标准（验收要求、验收标准和程序）</w:t>
      </w:r>
      <w:r/>
    </w:p>
    <w:p>
      <w:pPr>
        <w:pStyle w:val="1062"/>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合同附件6：《保密承诺》</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98"/>
        <w:rPr>
          <w:highlight w:val="none"/>
        </w:rPr>
      </w:pPr>
      <w:r>
        <w:rPr>
          <w:highlight w:val="none"/>
        </w:rPr>
      </w:r>
      <w:r/>
    </w:p>
    <w:p>
      <w:pPr>
        <w:pStyle w:val="106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：《食材供应评价意见表》</w:t>
      </w:r>
      <w:r/>
    </w:p>
    <w:p>
      <w:pPr>
        <w:pStyle w:val="850"/>
        <w:rPr>
          <w:rFonts w:ascii="宋体" w:hAnsi="宋体" w:cs="宋体"/>
          <w:color w:val="auto"/>
          <w:sz w:val="28"/>
          <w:szCs w:val="28"/>
          <w:highlight w:val="none"/>
        </w:rPr>
      </w:pPr>
      <w:r>
        <w:rPr>
          <w:rFonts w:ascii="宋体" w:hAnsi="宋体" w:cs="宋体"/>
          <w:color w:val="auto"/>
          <w:sz w:val="28"/>
          <w:szCs w:val="28"/>
          <w:highlight w:val="none"/>
        </w:rPr>
      </w:r>
      <w:r/>
    </w:p>
    <w:p>
      <w:pPr>
        <w:pStyle w:val="85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1062"/>
        <w:spacing w:line="52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85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062"/>
        <w:spacing w:line="52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850"/>
        <w:contextualSpacing/>
        <w:spacing w:before="240" w:line="360" w:lineRule="auto"/>
        <w:rPr>
          <w:rFonts w:ascii="宋体" w:hAnsi="宋体" w:cs="宋体"/>
          <w:color w:val="auto"/>
          <w:sz w:val="24"/>
          <w:szCs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4"/>
          <w:szCs w:val="24"/>
          <w:highlight w:val="none"/>
        </w:rPr>
        <w:t xml:space="preserve">合同附件5</w:t>
      </w:r>
      <w:r/>
    </w:p>
    <w:p>
      <w:pPr>
        <w:pStyle w:val="85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验收标准（验收要求、验收标准和程序）</w:t>
      </w:r>
      <w:r/>
    </w:p>
    <w:p>
      <w:pPr>
        <w:pStyle w:val="85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甲方：</w:t>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合同编号：</w:t>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签订地点：</w:t>
      </w:r>
      <w:r/>
    </w:p>
    <w:p>
      <w:pPr>
        <w:pStyle w:val="850"/>
        <w:contextualSpacing/>
        <w:spacing w:before="240" w:line="360" w:lineRule="auto"/>
        <w:rPr>
          <w:rFonts w:ascii="宋体" w:hAnsi="宋体" w:cs="宋体"/>
          <w:color w:val="auto"/>
          <w:sz w:val="24"/>
          <w:highlight w:val="none"/>
        </w:rPr>
      </w:pPr>
      <w:r>
        <w:rPr>
          <w:rFonts w:ascii="宋体" w:hAnsi="宋体" w:cs="宋体"/>
          <w:color w:val="auto"/>
          <w:sz w:val="24"/>
          <w:highlight w:val="none"/>
        </w:rPr>
      </w:r>
      <w:r/>
    </w:p>
    <w:p>
      <w:pPr>
        <w:pStyle w:val="850"/>
        <w:contextualSpacing/>
        <w:spacing w:before="240" w:line="360" w:lineRule="auto"/>
        <w:rPr>
          <w:rFonts w:ascii="宋体" w:hAnsi="宋体" w:cs="宋体"/>
          <w:color w:val="auto"/>
          <w:sz w:val="24"/>
          <w:highlight w:val="none"/>
        </w:rPr>
      </w:pPr>
      <w:r>
        <w:rPr>
          <w:rFonts w:ascii="宋体" w:hAnsi="宋体" w:cs="宋体"/>
          <w:color w:val="auto"/>
          <w:sz w:val="24"/>
          <w:highlight w:val="none"/>
        </w:rPr>
      </w:r>
      <w:r/>
    </w:p>
    <w:p>
      <w:pPr>
        <w:pStyle w:val="850"/>
        <w:contextualSpacing/>
        <w:spacing w:before="240" w:line="360" w:lineRule="auto"/>
        <w:rPr>
          <w:rFonts w:ascii="宋体" w:hAnsi="宋体" w:cs="宋体"/>
          <w:color w:val="auto"/>
          <w:sz w:val="24"/>
          <w:highlight w:val="none"/>
        </w:rPr>
      </w:pPr>
      <w:r>
        <w:rPr>
          <w:rFonts w:ascii="宋体" w:hAnsi="宋体" w:cs="宋体"/>
          <w:color w:val="auto"/>
          <w:sz w:val="24"/>
          <w:highlight w:val="none"/>
        </w:rPr>
      </w:r>
      <w:r/>
    </w:p>
    <w:p>
      <w:pPr>
        <w:pStyle w:val="850"/>
        <w:ind w:firstLine="360"/>
        <w:spacing w:line="360" w:lineRule="auto"/>
        <w:rPr>
          <w:rFonts w:ascii="宋体" w:hAnsi="宋体" w:cs="宋体"/>
          <w:color w:val="auto"/>
          <w:sz w:val="24"/>
          <w:highlight w:val="none"/>
        </w:rPr>
      </w:pPr>
      <w:r>
        <w:rPr>
          <w:rFonts w:ascii="宋体" w:hAnsi="宋体" w:cs="宋体"/>
          <w:color w:val="auto"/>
          <w:sz w:val="24"/>
          <w:highlight w:val="none"/>
        </w:rPr>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验收标准：见本合同“五、质量标准和检验”。</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验收要求、验收程序：乙方提出书面验收要求，甲方接到书面验收要求后5个工作日内出具验收书，如乙方对验收书有异议，在接到验收书后7个工作日内向甲方书面提出。</w:t>
      </w:r>
      <w:r/>
    </w:p>
    <w:p>
      <w:pPr>
        <w:pStyle w:val="850"/>
        <w:contextualSpacing/>
        <w:spacing w:before="240" w:line="360" w:lineRule="auto"/>
        <w:rPr>
          <w:rFonts w:ascii="宋体" w:hAnsi="宋体" w:cs="宋体"/>
          <w:color w:val="auto"/>
          <w:sz w:val="24"/>
          <w:highlight w:val="none"/>
        </w:rPr>
      </w:pPr>
      <w:r>
        <w:rPr>
          <w:rFonts w:ascii="宋体" w:hAnsi="宋体" w:cs="宋体"/>
          <w:color w:val="auto"/>
          <w:sz w:val="24"/>
          <w:highlight w:val="none"/>
        </w:rPr>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850"/>
        <w:contextualSpacing/>
        <w:spacing w:before="240" w:line="360" w:lineRule="auto"/>
        <w:rPr>
          <w:rFonts w:ascii="宋体" w:hAnsi="宋体" w:cs="宋体"/>
          <w:color w:val="auto"/>
          <w:sz w:val="24"/>
          <w:highlight w:val="none"/>
        </w:rPr>
      </w:pPr>
      <w:r>
        <w:rPr>
          <w:rFonts w:ascii="宋体" w:hAnsi="宋体" w:cs="宋体"/>
          <w:color w:val="auto"/>
          <w:sz w:val="24"/>
          <w:highlight w:val="none"/>
        </w:rPr>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            乙   方 </w:t>
      </w:r>
      <w:r/>
    </w:p>
    <w:p>
      <w:pPr>
        <w:pStyle w:val="85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单位签章： </w:t>
      </w:r>
      <w:r>
        <w:rPr>
          <w:rFonts w:hint="eastAsia" w:ascii="宋体" w:hAnsi="宋体" w:cs="宋体"/>
          <w:color w:val="auto"/>
          <w:sz w:val="24"/>
          <w:highlight w:val="none"/>
        </w:rPr>
        <w:tab/>
      </w:r>
      <w:r>
        <w:rPr>
          <w:rFonts w:hint="eastAsia" w:ascii="宋体" w:hAnsi="宋体" w:cs="宋体"/>
          <w:color w:val="auto"/>
          <w:sz w:val="24"/>
          <w:highlight w:val="none"/>
        </w:rPr>
        <w:t xml:space="preserve">                单位签章： </w:t>
      </w:r>
      <w:r/>
    </w:p>
    <w:p>
      <w:pPr>
        <w:pStyle w:val="850"/>
        <w:contextualSpacing/>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日期：                        日期：</w:t>
      </w:r>
      <w:r/>
    </w:p>
    <w:p>
      <w:pPr>
        <w:pStyle w:val="85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50"/>
        <w:contextualSpacing/>
        <w:spacing w:before="240" w:line="5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50"/>
        <w:contextualSpacing/>
        <w:spacing w:before="240" w:line="520" w:lineRule="exact"/>
        <w:rPr>
          <w:rFonts w:ascii="宋体" w:hAnsi="宋体" w:cs="宋体"/>
          <w:color w:val="auto"/>
          <w:sz w:val="28"/>
          <w:szCs w:val="28"/>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28"/>
          <w:szCs w:val="28"/>
          <w:highlight w:val="none"/>
        </w:rPr>
      </w:r>
      <w:r/>
    </w:p>
    <w:p>
      <w:pPr>
        <w:pStyle w:val="850"/>
        <w:contextualSpacing/>
        <w:spacing w:before="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合同附件6</w:t>
      </w:r>
      <w:r/>
    </w:p>
    <w:p>
      <w:pPr>
        <w:pStyle w:val="850"/>
        <w:ind w:firstLine="300"/>
        <w:jc w:val="center"/>
        <w:spacing w:line="360" w:lineRule="auto"/>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保密承诺</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（甲方名称）：</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参加贵单位的活动，我单位承诺按照以下条件对</w:t>
      </w:r>
      <w:r>
        <w:rPr>
          <w:rFonts w:hint="eastAsia" w:ascii="宋体" w:hAnsi="宋体" w:cs="宋体"/>
          <w:color w:val="auto"/>
          <w:sz w:val="24"/>
          <w:highlight w:val="none"/>
          <w:u w:val="single"/>
        </w:rPr>
        <w:t xml:space="preserve">  （甲方名称）  </w:t>
      </w:r>
      <w:r>
        <w:rPr>
          <w:rFonts w:hint="eastAsia" w:ascii="宋体" w:hAnsi="宋体" w:cs="宋体"/>
          <w:color w:val="auto"/>
          <w:sz w:val="24"/>
          <w:highlight w:val="none"/>
        </w:rPr>
        <w:t xml:space="preserve">有关信息进行保密：</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1．不将</w:t>
      </w:r>
      <w:r>
        <w:rPr>
          <w:rFonts w:hint="eastAsia" w:ascii="宋体" w:hAnsi="宋体" w:cs="宋体"/>
          <w:color w:val="auto"/>
          <w:sz w:val="24"/>
          <w:highlight w:val="none"/>
          <w:u w:val="single"/>
        </w:rPr>
        <w:t xml:space="preserve"> （甲方名称）  </w:t>
      </w:r>
      <w:r>
        <w:rPr>
          <w:rFonts w:hint="eastAsia" w:ascii="宋体" w:hAnsi="宋体" w:cs="宋体"/>
          <w:color w:val="auto"/>
          <w:sz w:val="24"/>
          <w:highlight w:val="none"/>
        </w:rPr>
        <w:t xml:space="preserve">披露的任何信息用于项目之外的任何目的。</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2．不将为</w:t>
      </w:r>
      <w:r>
        <w:rPr>
          <w:rFonts w:hint="eastAsia" w:ascii="宋体" w:hAnsi="宋体" w:cs="宋体"/>
          <w:color w:val="auto"/>
          <w:sz w:val="24"/>
          <w:highlight w:val="none"/>
          <w:u w:val="single"/>
        </w:rPr>
        <w:t xml:space="preserve"> （甲方名称）  </w:t>
      </w:r>
      <w:r>
        <w:rPr>
          <w:rFonts w:hint="eastAsia" w:ascii="宋体" w:hAnsi="宋体" w:cs="宋体"/>
          <w:color w:val="auto"/>
          <w:sz w:val="24"/>
          <w:highlight w:val="none"/>
        </w:rPr>
        <w:t xml:space="preserve">提供的任何信息以任何形式向第三方披露、泄露、出售、交易、公布、复制或使用。</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3．按照政府行业主管部门要求上报涉及</w:t>
      </w:r>
      <w:r>
        <w:rPr>
          <w:rFonts w:hint="eastAsia" w:ascii="宋体" w:hAnsi="宋体" w:cs="宋体"/>
          <w:color w:val="auto"/>
          <w:sz w:val="24"/>
          <w:highlight w:val="none"/>
          <w:u w:val="single"/>
        </w:rPr>
        <w:t xml:space="preserve"> （甲方名称）  </w:t>
      </w:r>
      <w:r>
        <w:rPr>
          <w:rFonts w:hint="eastAsia" w:ascii="宋体" w:hAnsi="宋体" w:cs="宋体"/>
          <w:color w:val="auto"/>
          <w:sz w:val="24"/>
          <w:highlight w:val="none"/>
        </w:rPr>
        <w:t xml:space="preserve">的所有信息，均经</w:t>
      </w:r>
      <w:r>
        <w:rPr>
          <w:rFonts w:hint="eastAsia" w:ascii="宋体" w:hAnsi="宋体" w:cs="宋体"/>
          <w:color w:val="auto"/>
          <w:sz w:val="24"/>
          <w:highlight w:val="none"/>
          <w:u w:val="single"/>
        </w:rPr>
        <w:t xml:space="preserve"> （甲方名称）  </w:t>
      </w:r>
      <w:r>
        <w:rPr>
          <w:rFonts w:hint="eastAsia" w:ascii="宋体" w:hAnsi="宋体" w:cs="宋体"/>
          <w:color w:val="auto"/>
          <w:sz w:val="24"/>
          <w:highlight w:val="none"/>
        </w:rPr>
        <w:t xml:space="preserve">审查批准。</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4．本承诺书的保密义务期限：长期。</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5．除以上承诺我单位将实行以下措施来确保保密工作的有效性：</w:t>
      </w:r>
      <w:r/>
    </w:p>
    <w:p>
      <w:pPr>
        <w:ind w:firstLine="60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 </w:t>
      </w:r>
      <w:r/>
    </w:p>
    <w:p>
      <w:pPr>
        <w:ind w:firstLine="60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 </w:t>
      </w:r>
      <w:r/>
    </w:p>
    <w:p>
      <w:pPr>
        <w:ind w:firstLine="60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 </w:t>
      </w:r>
      <w:r/>
    </w:p>
    <w:p>
      <w:pPr>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ind w:firstLine="60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6.按照</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（甲方名称）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要求签订《保密协议》。</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承诺人全称（盖章）：    </w:t>
      </w:r>
      <w:r/>
    </w:p>
    <w:p>
      <w:pPr>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val="zh-CN"/>
        </w:rPr>
        <w:t xml:space="preserve">（签字）</w:t>
      </w:r>
      <w:r>
        <w:rPr>
          <w:rFonts w:hint="eastAsia" w:ascii="宋体" w:hAnsi="宋体" w:cs="宋体"/>
          <w:color w:val="auto"/>
          <w:sz w:val="24"/>
          <w:highlight w:val="none"/>
        </w:rPr>
        <w:t xml:space="preserve">：    </w:t>
      </w:r>
      <w:r/>
    </w:p>
    <w:p>
      <w:pPr>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项目负责人（签字）</w:t>
      </w:r>
      <w:r>
        <w:rPr>
          <w:rFonts w:hint="eastAsia" w:ascii="宋体" w:hAnsi="宋体" w:cs="宋体"/>
          <w:color w:val="auto"/>
          <w:sz w:val="24"/>
          <w:highlight w:val="none"/>
        </w:rPr>
        <w:t xml:space="preserve">：             </w:t>
      </w:r>
      <w:r/>
    </w:p>
    <w:p>
      <w:pPr>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850"/>
        <w:contextualSpacing/>
        <w:spacing w:before="240" w:line="520" w:lineRule="exact"/>
        <w:rPr>
          <w:rFonts w:ascii="宋体" w:hAnsi="宋体" w:cs="宋体"/>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24"/>
          <w:highlight w:val="none"/>
        </w:rPr>
      </w:r>
      <w:r/>
    </w:p>
    <w:p>
      <w:pPr>
        <w:pStyle w:val="850"/>
        <w:contextualSpacing/>
        <w:spacing w:before="24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合同附件</w:t>
      </w:r>
      <w:r>
        <w:rPr>
          <w:rFonts w:hint="eastAsia" w:ascii="宋体" w:hAnsi="宋体" w:cs="宋体"/>
          <w:color w:val="auto"/>
          <w:sz w:val="24"/>
          <w:szCs w:val="24"/>
          <w:highlight w:val="none"/>
          <w:lang w:val="en-US" w:eastAsia="zh-CN"/>
        </w:rPr>
        <w:t xml:space="preserve">7</w:t>
      </w:r>
      <w:r/>
    </w:p>
    <w:p>
      <w:pPr>
        <w:pStyle w:val="798"/>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90"/>
        <w:tblW w:w="10841" w:type="dxa"/>
        <w:tblInd w:w="-1056" w:type="dxa"/>
        <w:tblLayout w:type="fixed"/>
        <w:tblCellMar>
          <w:left w:w="108" w:type="dxa"/>
          <w:top w:w="0" w:type="dxa"/>
          <w:right w:w="108" w:type="dxa"/>
          <w:bottom w:w="0" w:type="dxa"/>
        </w:tblCellMar>
        <w:tblLook w:val="04A0" w:firstRow="1" w:lastRow="0" w:firstColumn="1" w:lastColumn="0" w:noHBand="0" w:noVBand="1"/>
      </w:tblPr>
      <w:tblGrid>
        <w:gridCol w:w="570"/>
        <w:gridCol w:w="1474"/>
        <w:gridCol w:w="4480"/>
        <w:gridCol w:w="853"/>
        <w:gridCol w:w="2686"/>
        <w:gridCol w:w="778"/>
      </w:tblGrid>
      <w:tr>
        <w:trPr>
          <w:trHeight w:val="494"/>
        </w:trPr>
        <w:tc>
          <w:tcPr>
            <w:gridSpan w:val="6"/>
            <w:tcBorders>
              <w:top w:val="none" w:color="000000" w:sz="4" w:space="0"/>
              <w:left w:val="none" w:color="000000" w:sz="4" w:space="0"/>
              <w:bottom w:val="none" w:color="000000" w:sz="4" w:space="0"/>
              <w:right w:val="none" w:color="000000" w:sz="4" w:space="0"/>
            </w:tcBorders>
            <w:tcW w:w="1084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bidi="ar"/>
              </w:rPr>
              <w:t xml:space="preserve">  食材供应评价意见表</w:t>
            </w:r>
            <w:r/>
          </w:p>
        </w:tc>
      </w:tr>
      <w:tr>
        <w:trPr>
          <w:trHeight w:val="453"/>
        </w:trPr>
        <w:tc>
          <w:tcPr>
            <w:gridSpan w:val="2"/>
            <w:tcBorders>
              <w:top w:val="none" w:color="000000" w:sz="4" w:space="0"/>
              <w:left w:val="none" w:color="000000" w:sz="4" w:space="0"/>
              <w:bottom w:val="single" w:color="auto" w:sz="4" w:space="0"/>
              <w:right w:val="none" w:color="000000" w:sz="4" w:space="0"/>
            </w:tcBorders>
            <w:tcW w:w="2044" w:type="dxa"/>
            <w:vAlign w:val="center"/>
            <w:textDirection w:val="lrTb"/>
            <w:noWrap/>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项目名称：</w:t>
            </w:r>
            <w:r/>
          </w:p>
        </w:tc>
        <w:tc>
          <w:tcPr>
            <w:tcBorders>
              <w:top w:val="none" w:color="000000" w:sz="4" w:space="0"/>
              <w:left w:val="none" w:color="000000" w:sz="4" w:space="0"/>
              <w:bottom w:val="single" w:color="auto" w:sz="4" w:space="0"/>
              <w:right w:val="none" w:color="000000" w:sz="4" w:space="0"/>
            </w:tcBorders>
            <w:tcW w:w="4480"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none" w:color="000000" w:sz="4" w:space="0"/>
              <w:left w:val="none" w:color="000000" w:sz="4" w:space="0"/>
              <w:bottom w:val="single" w:color="auto" w:sz="4" w:space="0"/>
              <w:right w:val="none" w:color="000000" w:sz="4" w:space="0"/>
            </w:tcBorders>
            <w:tcW w:w="853"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none" w:color="000000" w:sz="4" w:space="0"/>
              <w:left w:val="none" w:color="000000" w:sz="4" w:space="0"/>
              <w:bottom w:val="single" w:color="auto" w:sz="4" w:space="0"/>
              <w:right w:val="none" w:color="000000" w:sz="4" w:space="0"/>
            </w:tcBorders>
            <w:tcW w:w="2686"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评价月份：</w:t>
            </w:r>
            <w:r/>
          </w:p>
        </w:tc>
        <w:tc>
          <w:tcPr>
            <w:tcBorders>
              <w:top w:val="none" w:color="000000" w:sz="4" w:space="0"/>
              <w:left w:val="none" w:color="000000" w:sz="4" w:space="0"/>
              <w:bottom w:val="single" w:color="auto" w:sz="4" w:space="0"/>
              <w:right w:val="none" w:color="000000" w:sz="4" w:space="0"/>
            </w:tcBorders>
            <w:tcW w:w="778"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444"/>
        </w:trPr>
        <w:tc>
          <w:tcPr>
            <w:tcBorders>
              <w:top w:val="single" w:color="auto"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auto" w:sz="4" w:space="0"/>
              <w:left w:val="single" w:color="000000" w:sz="4" w:space="0"/>
              <w:bottom w:val="single" w:color="000000" w:sz="4" w:space="0"/>
              <w:right w:val="single" w:color="000000" w:sz="4" w:space="0"/>
            </w:tcBorders>
            <w:tcW w:w="1474"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食材</w:t>
            </w:r>
            <w:r>
              <w:rPr>
                <w:rFonts w:hint="eastAsia" w:ascii="宋体" w:hAnsi="宋体" w:eastAsia="宋体" w:cs="宋体"/>
                <w:color w:val="auto"/>
                <w:sz w:val="24"/>
                <w:szCs w:val="24"/>
                <w:highlight w:val="none"/>
                <w:lang w:val="en-US" w:eastAsia="zh-CN" w:bidi="ar"/>
              </w:rPr>
              <w:t xml:space="preserve">/服务</w:t>
            </w:r>
            <w:r/>
          </w:p>
        </w:tc>
        <w:tc>
          <w:tcPr>
            <w:tcBorders>
              <w:top w:val="single" w:color="auto" w:sz="4" w:space="0"/>
              <w:left w:val="single" w:color="000000" w:sz="4" w:space="0"/>
              <w:bottom w:val="single" w:color="000000" w:sz="4" w:space="0"/>
              <w:right w:val="single" w:color="000000" w:sz="4" w:space="0"/>
            </w:tcBorders>
            <w:tcW w:w="4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技术要求</w:t>
            </w:r>
            <w:r/>
          </w:p>
        </w:tc>
        <w:tc>
          <w:tcPr>
            <w:tcBorders>
              <w:top w:val="single" w:color="auto"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分值</w:t>
            </w:r>
            <w:r/>
          </w:p>
        </w:tc>
        <w:tc>
          <w:tcPr>
            <w:tcBorders>
              <w:top w:val="single" w:color="auto"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评价标准</w:t>
            </w:r>
            <w:r/>
          </w:p>
        </w:tc>
        <w:tc>
          <w:tcPr>
            <w:tcBorders>
              <w:top w:val="single" w:color="auto"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评价结果</w:t>
            </w:r>
            <w:r/>
          </w:p>
        </w:tc>
      </w:tr>
      <w:tr>
        <w:trPr>
          <w:trHeight w:val="916"/>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生猪肉、排骨</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鲜五花肉和后肘肉，一级鲜度，肌肉有光泽，红色均匀，脂肪洁白，指压后凹陷立即恢复，具有鲜猪肉正常气味</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鲜牛肉、鲜羊肉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一级鲜度，肌肉有光泽，红色均匀，脂肪洁白或淡黄色，指压后凹陷立即恢复，具有鲜牛肉、鲜羊肉正常的气味</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鸡、鸭</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新鲜光禽、全净膛的肉食鸡、鸭。重量为单只净重2一3斤左右，无死、无冻，无注水、泡水现象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眼球饱满，皮肤有光泽，呈淡黄色;肉有弹性，放手后指压的凹陷立即恢复;肚中无内脏和其它异物，具有味道，外表处理干净，微干或湿润</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鲤鱼、鲢鱼、草混子等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新鲜、活鱼(按采购人要求宰杀)，眼睛光亮透明，眼珠凸出，鱼鳞光亮、整洁、紧贴鱼体，鱼体洁净、挺而不软弯度小、有弹性</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活虾</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新鲜的虾头尾完整，有一定的弯曲度、虾身较挺。虾皮壳发亮，呈青白色。虾肉质坚实、细嫩。1公斤30-40头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5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冷冻食品类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保质期内、产品需有完整的资料，速冻食品生产和经营卫生规范等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76"/>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熟食类、卤菜类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新鲜、卫生、有足够的有效保质期、使用食品袋密封包装</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0"/>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果蔬类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整体匀称，表皮光滑，新鲜整洁，大小适中，成熟度适中，无烂芯烂根烂叶、无斑点、无霉点、无芽点、无虫眼，品种及其他要求详见采购要求</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合格得</w:t>
            </w: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分，每1次不符合要求扣</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分，最多扣</w:t>
            </w: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71"/>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鲜蛋类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蛋壳清洁完整，灯光透视时整个蛋呈微红色，蛋黄不见或略见阴影。打开后蛋黄凸起完整并带有韧性，蛋白澄清透明，稀稠分明</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豆腐</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highlight w:val="none"/>
                <w:lang w:bidi="ar"/>
              </w:rPr>
              <w:t xml:space="preserve">豆腐皮等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新鲜有弹性、带有豆香味</w:t>
            </w:r>
            <w:r>
              <w:rPr>
                <w:rFonts w:hint="eastAsia" w:ascii="宋体" w:hAnsi="宋体" w:cs="宋体"/>
                <w:color w:val="auto"/>
                <w:sz w:val="24"/>
                <w:highlight w:val="none"/>
                <w:lang w:val="en-US" w:eastAsia="zh-CN" w:bidi="ar"/>
              </w:rPr>
              <w:t xml:space="preserve">;</w:t>
            </w:r>
            <w:r>
              <w:rPr>
                <w:rFonts w:hint="eastAsia" w:ascii="宋体" w:hAnsi="宋体" w:cs="宋体"/>
                <w:color w:val="auto"/>
                <w:sz w:val="24"/>
                <w:highlight w:val="none"/>
                <w:lang w:bidi="ar"/>
              </w:rPr>
              <w:t xml:space="preserve">粘手、发酸证明已变质不能食用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粮油、干调类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食用油有“QS”食品质量安全认证，正规品牌非转基因油类，油品清亮、无杂质、无沉淀物、常温不凝固;干调类正规品牌、质量符合采购需求，生产日期新鲜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米面、谷物类、种子类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颗粒饱满，色泽正常，无虫蛀、无霉变、无杂质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5"/>
        </w:trPr>
        <w:tc>
          <w:tcPr>
            <w:gridSpan w:val="3"/>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总评价</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93"/>
        </w:trPr>
        <w:tc>
          <w:tcPr>
            <w:gridSpan w:val="6"/>
            <w:tcBorders>
              <w:top w:val="none" w:color="000000" w:sz="4" w:space="0"/>
              <w:left w:val="none" w:color="000000" w:sz="4" w:space="0"/>
              <w:bottom w:val="none" w:color="000000" w:sz="4" w:space="0"/>
              <w:right w:val="none" w:color="000000" w:sz="4" w:space="0"/>
            </w:tcBorders>
            <w:tcW w:w="10841" w:type="dxa"/>
            <w:vAlign w:val="top"/>
            <w:textDirection w:val="lrTb"/>
            <w:noWrap w:val="false"/>
          </w:tcPr>
          <w:p>
            <w:pP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注明：</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1、以上为主要供应食材品种，可根据实际供应品种调整。</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2、技术要求为摘要，具体详见招标文件第六章</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采购需求</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中“三、技术要求”。</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3、本评价表作为每月付款依据，每月月底进行评价，参与各方签字确认。</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p>
          <w:p>
            <w:pPr>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5、本表作为合同附件，与合同具有同等法律效应。</w:t>
            </w:r>
            <w:r/>
          </w:p>
        </w:tc>
      </w:tr>
      <w:tr>
        <w:trPr>
          <w:trHeight w:val="494"/>
        </w:trPr>
        <w:tc>
          <w:tcPr>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1474"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供应人：</w:t>
            </w:r>
            <w:r/>
          </w:p>
        </w:tc>
        <w:tc>
          <w:tcPr>
            <w:tcBorders>
              <w:top w:val="none" w:color="000000" w:sz="4" w:space="0"/>
              <w:left w:val="none" w:color="000000" w:sz="4" w:space="0"/>
              <w:bottom w:val="none" w:color="000000" w:sz="4" w:space="0"/>
              <w:right w:val="none" w:color="000000" w:sz="4" w:space="0"/>
            </w:tcBorders>
            <w:tcW w:w="4480" w:type="dxa"/>
            <w:vAlign w:val="center"/>
            <w:textDirection w:val="lrTb"/>
            <w:noWrap/>
          </w:tcPr>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评价人：</w:t>
            </w:r>
            <w:r/>
          </w:p>
        </w:tc>
        <w:tc>
          <w:tcPr>
            <w:tcBorders>
              <w:top w:val="none" w:color="000000" w:sz="4" w:space="0"/>
              <w:left w:val="none" w:color="000000" w:sz="4" w:space="0"/>
              <w:bottom w:val="none" w:color="000000" w:sz="4" w:space="0"/>
              <w:right w:val="none" w:color="000000" w:sz="4" w:space="0"/>
            </w:tcBorders>
            <w:tcW w:w="85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686" w:type="dxa"/>
            <w:vAlign w:val="center"/>
            <w:textDirection w:val="lrTb"/>
            <w:noWrap/>
          </w:tcPr>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评价时间：</w:t>
            </w:r>
            <w:r/>
          </w:p>
        </w:tc>
        <w:tc>
          <w:tcPr>
            <w:tcBorders>
              <w:top w:val="none" w:color="000000" w:sz="4" w:space="0"/>
              <w:left w:val="none" w:color="000000" w:sz="4" w:space="0"/>
              <w:bottom w:val="none" w:color="000000" w:sz="4" w:space="0"/>
              <w:right w:val="none" w:color="000000" w:sz="4" w:space="0"/>
            </w:tcBorders>
            <w:tcW w:w="778"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b/>
          <w:color w:val="auto"/>
          <w:sz w:val="30"/>
          <w:szCs w:val="30"/>
          <w:highlight w:val="none"/>
        </w:rPr>
        <w:t xml:space="preserve">第六章 采购需求</w:t>
      </w:r>
      <w:bookmarkStart w:id="2" w:name="_Toc322457054"/>
      <w:r/>
      <w:bookmarkEnd w:id="2"/>
      <w:r/>
      <w:bookmarkStart w:id="3" w:name="_Toc324452802"/>
      <w:r/>
      <w:bookmarkEnd w:id="3"/>
      <w:r/>
      <w:r/>
    </w:p>
    <w:p>
      <w:pPr>
        <w:spacing w:line="360" w:lineRule="auto"/>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说明</w:t>
      </w:r>
      <w:r/>
    </w:p>
    <w:p>
      <w:pPr>
        <w:pStyle w:val="1064"/>
        <w:ind w:left="0"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（一）采购人：徐州市公安局</w:t>
      </w:r>
      <w:r>
        <w:rPr>
          <w:rFonts w:hint="eastAsia" w:ascii="宋体" w:hAnsi="宋体" w:eastAsia="宋体" w:cs="宋体"/>
          <w:color w:val="auto"/>
          <w:sz w:val="24"/>
          <w:szCs w:val="24"/>
          <w:highlight w:val="none"/>
          <w:lang w:val="en-US" w:eastAsia="zh-CN"/>
        </w:rPr>
        <w:t xml:space="preserve">贾汪</w:t>
      </w:r>
      <w:r>
        <w:rPr>
          <w:rFonts w:hint="eastAsia" w:ascii="宋体" w:hAnsi="宋体" w:eastAsia="宋体" w:cs="宋体"/>
          <w:color w:val="auto"/>
          <w:sz w:val="24"/>
          <w:szCs w:val="24"/>
          <w:highlight w:val="none"/>
        </w:rPr>
        <w:t xml:space="preserve">分局</w:t>
      </w:r>
      <w:r/>
    </w:p>
    <w:p>
      <w:pPr>
        <w:pStyle w:val="1064"/>
        <w:ind w:left="0" w:righ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（二）采购项目名称：</w:t>
      </w:r>
      <w:r>
        <w:rPr>
          <w:rFonts w:hint="eastAsia" w:ascii="宋体" w:hAnsi="宋体" w:eastAsia="宋体" w:cs="宋体"/>
          <w:color w:val="auto"/>
          <w:sz w:val="24"/>
          <w:szCs w:val="24"/>
          <w:highlight w:val="none"/>
          <w:lang w:eastAsia="zh-CN"/>
        </w:rPr>
        <w:t xml:space="preserve">徐州市公安局贾汪分局食堂食材采购</w:t>
      </w:r>
      <w:r/>
    </w:p>
    <w:p>
      <w:pPr>
        <w:pStyle w:val="1064"/>
        <w:ind w:left="0" w:righ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（三）采购标的：</w:t>
      </w:r>
      <w:r>
        <w:rPr>
          <w:rFonts w:hint="eastAsia" w:ascii="宋体" w:hAnsi="宋体" w:eastAsia="宋体" w:cs="宋体"/>
          <w:color w:val="auto"/>
          <w:sz w:val="24"/>
          <w:szCs w:val="24"/>
          <w:highlight w:val="none"/>
          <w:lang w:eastAsia="zh-CN"/>
        </w:rPr>
        <w:t xml:space="preserve">徐州市公安局贾汪分局食堂食材采购</w:t>
      </w:r>
      <w:r/>
    </w:p>
    <w:p>
      <w:pPr>
        <w:pStyle w:val="1064"/>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徐州市公安局贾汪分局食堂食材采购</w:t>
      </w:r>
      <w:r>
        <w:rPr>
          <w:rFonts w:hint="eastAsia" w:ascii="宋体" w:hAnsi="宋体" w:eastAsia="宋体" w:cs="宋体"/>
          <w:color w:val="auto"/>
          <w:sz w:val="24"/>
          <w:szCs w:val="24"/>
          <w:highlight w:val="none"/>
        </w:rPr>
        <w:t xml:space="preserve">对应的中小企业划分标准所属行业为</w:t>
      </w:r>
      <w:r>
        <w:rPr>
          <w:rFonts w:hint="eastAsia" w:ascii="宋体" w:hAnsi="宋体" w:eastAsia="宋体" w:cs="宋体"/>
          <w:color w:val="auto"/>
          <w:sz w:val="24"/>
          <w:szCs w:val="24"/>
          <w:highlight w:val="none"/>
          <w:lang w:val="en-US" w:eastAsia="zh-CN"/>
        </w:rPr>
        <w:t xml:space="preserve">批发业</w:t>
      </w:r>
      <w:r>
        <w:rPr>
          <w:rFonts w:hint="eastAsia" w:ascii="宋体" w:hAnsi="宋体" w:eastAsia="宋体" w:cs="宋体"/>
          <w:color w:val="auto"/>
          <w:sz w:val="24"/>
          <w:szCs w:val="24"/>
          <w:highlight w:val="none"/>
        </w:rPr>
        <w:t xml:space="preserve">。</w:t>
      </w:r>
      <w:r/>
    </w:p>
    <w:p>
      <w:pPr>
        <w:pStyle w:val="1064"/>
        <w:ind w:left="0"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pStyle w:val="1064"/>
        <w:ind w:left="0"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（四）本项目为专门面向中小企业的项目。</w:t>
      </w:r>
      <w:r/>
    </w:p>
    <w:p>
      <w:pPr>
        <w:pStyle w:val="1064"/>
        <w:ind w:left="0"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（五）预算金额：</w:t>
      </w:r>
      <w:r>
        <w:rPr>
          <w:rFonts w:hint="eastAsia" w:ascii="宋体" w:hAnsi="宋体" w:eastAsia="宋体" w:cs="宋体"/>
          <w:color w:val="auto"/>
          <w:sz w:val="24"/>
          <w:szCs w:val="24"/>
          <w:highlight w:val="none"/>
          <w:lang w:val="en-US" w:eastAsia="zh-CN"/>
        </w:rPr>
        <w:t xml:space="preserve">151.2</w:t>
      </w:r>
      <w:r>
        <w:rPr>
          <w:rFonts w:hint="eastAsia" w:ascii="宋体" w:hAnsi="宋体" w:eastAsia="宋体" w:cs="宋体"/>
          <w:color w:val="auto"/>
          <w:sz w:val="24"/>
          <w:szCs w:val="24"/>
          <w:highlight w:val="none"/>
        </w:rPr>
        <w:t xml:space="preserve">万元。</w:t>
      </w:r>
      <w:r/>
    </w:p>
    <w:p>
      <w:pPr>
        <w:pStyle w:val="1064"/>
        <w:ind w:left="0" w:righ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（六）服务期限：供货期限1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个月，自合同签订生效后十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个月。 </w:t>
      </w:r>
      <w:r/>
    </w:p>
    <w:p>
      <w:pP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二、项目基本概况</w:t>
      </w:r>
      <w:r/>
    </w:p>
    <w:p>
      <w:pPr>
        <w:pStyle w:val="1064"/>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本项目预算金额</w:t>
      </w:r>
      <w:r>
        <w:rPr>
          <w:rFonts w:hint="eastAsia" w:ascii="宋体" w:hAnsi="宋体" w:eastAsia="宋体" w:cs="宋体"/>
          <w:color w:val="auto"/>
          <w:sz w:val="24"/>
          <w:szCs w:val="24"/>
          <w:highlight w:val="none"/>
          <w:lang w:val="en-US" w:eastAsia="zh-CN"/>
        </w:rPr>
        <w:t xml:space="preserve">151.2</w:t>
      </w:r>
      <w:r>
        <w:rPr>
          <w:rFonts w:hint="eastAsia" w:ascii="宋体" w:hAnsi="宋体" w:eastAsia="宋体" w:cs="宋体"/>
          <w:color w:val="auto"/>
          <w:sz w:val="24"/>
          <w:szCs w:val="24"/>
          <w:highlight w:val="none"/>
        </w:rPr>
        <w:t xml:space="preserve">万元，配送地址为</w:t>
      </w:r>
      <w:r>
        <w:rPr>
          <w:rFonts w:hint="eastAsia" w:ascii="宋体" w:hAnsi="宋体" w:eastAsia="宋体" w:cs="宋体"/>
          <w:color w:val="auto"/>
          <w:sz w:val="24"/>
          <w:szCs w:val="24"/>
          <w:highlight w:val="none"/>
          <w:lang w:val="en-US" w:eastAsia="zh-CN"/>
        </w:rPr>
        <w:t xml:space="preserve">贾汪区山水大道9号，</w:t>
      </w:r>
      <w:r>
        <w:rPr>
          <w:rFonts w:hint="eastAsia" w:ascii="宋体" w:hAnsi="宋体" w:eastAsia="宋体" w:cs="宋体"/>
          <w:color w:val="auto"/>
          <w:sz w:val="24"/>
          <w:szCs w:val="24"/>
          <w:highlight w:val="none"/>
        </w:rPr>
        <w:t xml:space="preserve">因勤务需要</w:t>
      </w:r>
      <w:r>
        <w:rPr>
          <w:rFonts w:hint="eastAsia" w:ascii="宋体" w:hAnsi="宋体" w:eastAsia="宋体" w:cs="宋体"/>
          <w:color w:val="auto"/>
          <w:sz w:val="24"/>
          <w:szCs w:val="24"/>
          <w:highlight w:val="none"/>
          <w:lang w:val="en-US" w:eastAsia="zh-CN"/>
        </w:rPr>
        <w:t xml:space="preserve">贾汪分局机关食堂</w:t>
      </w:r>
      <w:r>
        <w:rPr>
          <w:rFonts w:hint="eastAsia" w:ascii="宋体" w:hAnsi="宋体" w:eastAsia="宋体" w:cs="宋体"/>
          <w:color w:val="auto"/>
          <w:sz w:val="24"/>
          <w:szCs w:val="24"/>
          <w:highlight w:val="none"/>
        </w:rPr>
        <w:t xml:space="preserve">的粮油、禽蛋、调味品、佐料、食用原材料及冷冻食品等,具体包含畜禽肉类、水产品类、冷冻食品类、熟食卤菜类、蔬菜类、蛋类、水果点心饮料类、种子类食材、豆制品类、粮油类、干调类等食材的采购及配送。</w:t>
      </w:r>
      <w:r/>
    </w:p>
    <w:p>
      <w:pP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三、技术要求</w:t>
      </w:r>
      <w:r/>
    </w:p>
    <w:p>
      <w:pPr>
        <w:pStyle w:val="1064"/>
        <w:ind w:left="0" w:right="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为进一步加强食品卫生安全管理，规范食品原料采购管理，严防发生食物中毒或食源性疾病的发生，切实保障使用者的身体健康和生命安全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中标人采购原料要</w:t>
      </w:r>
      <w:r>
        <w:rPr>
          <w:rFonts w:hint="eastAsia" w:ascii="宋体" w:hAnsi="宋体" w:eastAsia="宋体" w:cs="宋体"/>
          <w:color w:val="auto"/>
          <w:sz w:val="24"/>
          <w:szCs w:val="24"/>
          <w:highlight w:val="none"/>
        </w:rPr>
        <w:t xml:space="preserve">符合《国家食品卫生标准》、《食品卫生法》和《动物检疫法》等相关规定。做到食品新鲜，不得弄虚作假，以次充好，不得擅自改变数量和品种。具体要求如下：</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1.畜禽肉类、水产品类、冷冻食品类、熟食卤菜类：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1.1畜禽肉类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1.1.1生猪肉：为鲜五花肉和后肘肉，一级鲜度，执行现行国家标准或国内行业标准（有地方部门检疫章），肌肉有光泽，红色均匀，脂肪洁白，指压后凹陷立即恢复，具有鲜猪肉正常气味。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1.1.2排骨：新鲜肋排，一级鲜度，肉色鲜红自然，不滴血水，骨头断面上颜色自然带血丝，无酸腐异味，肉质柔软有弹性。</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1.1.3火腿肠：正规品牌，特级，猪肉火腿肠，执行现行国家标准或国内行业标准。</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1.1.4鲜牛肉、鲜羊肉：一级鲜度，执行现行国家标准或国内行业标准，肌肉有光泽，红色均匀，脂肪洁白或淡黄色，指压后凹陷立即恢复，具有鲜牛肉、鲜羊肉正常的气味。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鸡、鸭：新鲜光禽、全净膛的肉食鸡、鸭。重量为单只净重2—3斤左右，无死、无冻，无注水、泡水现象；眼球饱满，皮肤有光泽，呈淡黄色；肉有弹性，放手后指压的凹陷立即恢复；肚中无内脏和其它异物，具有味道，外表处理干净，微干或湿润。</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1.2水产品类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1.2.1鲤鱼、鲢鱼、草混子、鲫鱼、鲈鱼：新鲜、活鱼（按采购人要求宰杀），眼睛光亮透明，眼珠凸出，鱼鳞光亮、整洁、紧贴鱼体，鱼体洁净、挺而不软弯度小、有弹性。</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1.2.2黄花鱼：单只长度15厘米以上。鱼体色泽鲜亮，鱼肉紧实，身体无异味，鱼眼鲜亮有光泽。</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1.2.3活虾：新鲜旳虾头尾完整，有一定旳弯曲度、虾身较挺。虾皮壳发亮，呈青白色。虾肉质坚实、细嫩。1公斤30—40头。</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1.2.4带鱼：5厘米以上的大带鱼，带鱼冰衣符合国家规定的范围内，鱼体解冻后净含量允差按国家标准内，且带鱼感官指标要符合正常的色泽。</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 冰冻虾：应选择体型完整，外壳透明光亮，体表呈青白色或青绿色，头节与躯体紧连，肉体硬实而有韧性，须足无损，体表无污秽黏附，无异常气味旳生虾为好。</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 虾仁：冻虾仁旳外包装与否完整、清洁，肉质清洁、完整，呈淡青色或乳白色。</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 冻海鱼类：鳍平直紧贴鱼体，鳞片上覆有冻结旳粘液层，天然色泽显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1.3冷冻食品类：保质期内，检测执行国内行业标准产品明示标准及质量要求，产品需有完整的资料，速冻食品生产和经营卫生规范等。</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熟食类：必须使用封闭冷藏（冷链）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卤菜类：制作材料必须保证其新鲜、卫生、符合该类食品的行业标准，成品及半成品要有足够的有效保质期。必须使用封闭冷藏（冷链）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2.蔬菜类、蛋类、水果点心饮料类、种子类食材、豆制品类：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2.1蔬菜类： </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2.1.1大白菜、包菜、菠菜、茼蒿、大葱：新鲜整洁，大小适中，成熟度适中，无烂芯烂根烂叶。</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2.1.2土豆：新鲜度好，大小均匀无斑点、无霉点、无芽点。</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2.1.3洋葱：色度新鲜，球茎坚实而不软，大小均匀。</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2.1.4茭瓜、豆角、蒜薹：要色度新鲜，果实坚实不软，大小均匀，嫩而不老，表面光滑，无鼓包和凹陷。</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2.1.5西红柿：要色度新鲜，自然成熟，果实坚实不软，大小均匀。</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2.1.6黄瓜：要瓜头顶花带刺，直而不软。</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2.1.7冬瓜：要黑色大个，无腐烂变质、无伤疤、表皮光滑，色度新鲜。</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2.1.8长茄子：要当天采摘、色度新鲜，无空心、色泽鲜亮、表皮光滑无疤痕。</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2.1.9大蒜：外表无水分、无霉点、无芽点。</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2.1.10青椒：感官指标要达到色泽鲜艳，拥有各自品种典型颜色，要当天采摘、色度新鲜，无空心、色泽鲜亮、表皮光滑无疤痕、成熟度适中，个头大小一致，无烂果、无异味、无病虫害和明显机械伤。</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2.1.11 笋瓜、山芋、南瓜：感官指标要达到形态、色泽一致，瓜果均匀且大小适中，拥有各自品种典型形状；无疤点，无断裂，无畸形瓜、病虫瓜、烂瓜，瓜身不带泥土，无明显机械伤。</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2.1.12 白萝卜、红萝卜、胡萝卜：感官指标要达到皮细光滑色泽良好，大小均匀，肉质鲜嫩致密；新鲜无畸形、裂痕、糠心、病虫害斑和明显机械伤，不带泥沙，不带茎叶、须根；萝卜直径80-100毫米，长度不小于200mm,胡萝卜顶端直径不小于40毫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2.1.13 香菜、青菜、油麦菜、芹菜：感官指标要达到肉质鲜嫩、形态好，色泽正常；颈基部削平，无枯黄叶、病叶、泥土、明显机械伤和病虫害；无烧心焦边、腐烂等现象，无抽薹（菜心除外）；结球的蔬菜应结球紧实。</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2.1.14 蒜黄：蒜黄去根和老叶，无病虫害斑，无泥土，无杂质，无明显机械伤。</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2.1.15 藕：感官指标要达到个头为该品种中等以上大小且大小一致，具有该品种典型形状；肉质鲜嫩，成熟度适中，无机械伤，无干瘪，无腐烂霉变。</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2.1.16 莴苣：感官指标要达到个头为该品种中等以上大小且大小一致，色泽均匀，不带茎叶、须根，无泥沙，无机械伤和病虫害斑，无腐烂、干瘪；直径不小于80毫米。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2.1.17 姜：感官指标要达到个头为该品种中等以上大小且大小一致，色泽均匀，不带茎叶、须根，无泥沙，无机械伤和病虫害斑，无腐烂、干瘪；外皮不能变绿，直径不小于80毫米，生姜为干姜或鲜姜；</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2.1.18 香菇、蘑菇：感官指标要达到菇形正常、规整、饱满，具有该品种典型形状和色泽，大小均匀一致，拥有正常食用菌特有的香味。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2.1.20 西兰花：表面蓓蕾平展，无开花、发黄现象，无异味臭味。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2.1.21木耳：朵片完整，耳片厚度1毫米以上；杂质不超过0.3%。耳面黑褐色，有光亮感；没有拳耳、流耳、流失耳、虫蛀耳、霉烂耳。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2.2蛋类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2.2.1鸡蛋：鲜鸡蛋，执行现行国家标准或国内行业标准，蛋壳清洁完整，灯光透视时整个蛋呈微红色，蛋黄不见或略见阴影。打开后蛋黄凸起完整并带有韧性，蛋白澄清透明，稀稠分明。</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2.2.2咸鸭蛋：蛋壳清洁完整，味道纯正，无异味。</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2.3水果、点心、饮料类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2.3.1苹果：整体匀称，表皮光滑，无虫眼；单个在150-300克。</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2.3.2香蕉：皮色鲜黄光亮，两端带青；两指轻捏果身，富有弹性；肉口柔软糯滑，甜香俱全。</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2.3.3桔子：整体匀称，表皮光滑，无虫眼；单个在100-200克。</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2.3.4梨：整体匀称，表皮光滑，无虫眼；单个在150-300克。</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2.3.5 点心类：要求正规品牌，不库存，当天需求当天采购。应具有各自的正常色泽、气味和滋味，不得有酸败、发霉等的杂味，食品内外不得有生虫、霉变及其他外来污染物。</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2.3.6 饮料类：产品必须符合现行国家标准或国内行业标准，必须提供正规品牌，品牌和种类须征得采购人认可。</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 种子食材类：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2.4.1：豆类：黄豆、青豆、蚕豆、芸豆、豌豆、黑豆、红小豆、绿豆，等级一级，颗粒饱满，色泽正常，无虫蛀、无霉变、无杂质，不完善粒含量≤1%。</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 薯类：个大形正，大小整齐，表面无伤，体硬不软、饱满。无腐烂、无破皮、坑眼少、无畸形、无泥土多、无发软。</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2.5豆制品类：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 豆腐、豆腐皮等豆制品必须新鲜有弹性、带有豆香味；粘手、发酸证明已变质不能实用。</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3.粮油类、干调类：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3.1粮油类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 大米：食堂配送的大米必须符合现行国家标准或国内行业标准，并拥有“QS”食品质量安全认证，正规品牌大米，颗粒均匀饱满、表面光洁、有光泽、色泽正常白粒少、有天然清香。</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3.1.2面粉：正规品牌，色泽呈白色或微黄色、无杂质、无异味。玉米面、杂粮面闻起来有面香而无其它异味，色泽自然，不沾手，无虫蛀、无霉变、无杂质。</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3.1.3.食用油：食用油必须符合现行国家标准或国内行业标准，并拥有“QS”食品质量安全认证，正规品牌非转基因油类，油品清亮、无杂质、无沉淀物、常温不凝固。</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3.2干调类</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3.2.1酱油：正规品牌，瓶装600mL-1.2L，要求颜色为红褐色或棕褐色，鲜艳，有光泽，体态澄清，浓度适当，无沉淀物，香气丰富纯正。</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3.2.2老抽：正规品牌，塑料桶装1.2L—2L，颜色呈焦糖色，很深，呈棕褐色，有光泽；味感鲜美微甜。</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3.2.3醋：正规品牌，瓶装600mL-1.2L，要求陈醋，颜色为琥珀色或红棕色，有光泽，体态澄清，浓度适中，无悬浮物或沉淀。</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3.2.4食用淀粉：地瓜淀粉，袋装300—400克,淀粉色泽洁白，有一定光泽；应有地瓜固有的气味；干燥，手攥不应成团，有较好的分散性。</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3.2.5味精：正规品牌，袋装400克—500克，要求颗粒形状一致，色洁白、有光泽，颗粒间呈散料状态。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3.2.6料酒：正规品牌，瓶装600mL-1.2L。</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3.2.7白糖：白砂糖，等级一级，无受潮溶化、无异味、洁白有光泽，颗粒均匀，干燥，手攥不应成团，有较好的分散性，必须具有“QS”食品质量认证标志。质量标准符合现行国家标准要求。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（二）食材质量要求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1.食材质量保证措施要求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1.2蔬菜类质量要求：当日供应蔬菜为当日采摘的新鲜蔬菜。蔬菜类材料采购必须从正规市场购入并符合国家有关食品安全方面的规定，蔬菜须提供农药残留合格证。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1.3肉禽类质量要求：投标人应为具有屠宰资质的企业或与定点屠宰企业长期合作的单位或定点屠宰企业在徐州的一级代理商。供应的肉禽产品要求具有防疫部门检验印章。</w:t>
      </w:r>
      <w:r/>
    </w:p>
    <w:p>
      <w:pPr>
        <w:spacing w:line="360" w:lineRule="auto"/>
        <w:rPr>
          <w:rFonts w:hint="default"/>
          <w:highlight w:val="none"/>
          <w:lang w:val="en-US" w:eastAsia="zh-CN"/>
        </w:rPr>
      </w:pPr>
      <w:r>
        <w:rPr>
          <w:rFonts w:hint="eastAsia" w:ascii="宋体" w:hAnsi="宋体" w:eastAsia="宋体" w:cs="宋体"/>
          <w:color w:val="auto"/>
          <w:sz w:val="24"/>
          <w:szCs w:val="24"/>
          <w:highlight w:val="none"/>
          <w:lang w:val="en-US" w:eastAsia="zh-CN" w:bidi="ar-SA"/>
        </w:rPr>
        <w:t xml:space="preserve">1.4、所有带保质期的食材，乙方配送至甲方指定地点时，剩余保质期须不低于该食材标注总保质期的 2/3，严禁配送临期、过期或保质期不符合本条款要求的产品。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2.食材质量保障能力要求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2.1要求投标人具有食品安全检测设备或农药残留快速检测设备等相关设备，投标文件中提供相关证明材料。</w:t>
      </w:r>
      <w:r/>
    </w:p>
    <w:p>
      <w:pPr>
        <w:numPr>
          <w:ilvl w:val="0"/>
          <w:numId w:val="5"/>
        </w:num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食材配送要求</w:t>
      </w:r>
      <w:r/>
    </w:p>
    <w:p>
      <w:pPr>
        <w:pStyle w:val="850"/>
        <w:spacing w:line="360" w:lineRule="auto"/>
        <w:rPr>
          <w:rFonts w:hint="eastAsia"/>
          <w:highlight w:val="none"/>
          <w:lang w:val="en-US" w:eastAsia="zh-CN"/>
        </w:rPr>
      </w:pPr>
      <w:r>
        <w:rPr>
          <w:rFonts w:hint="eastAsia" w:ascii="宋体" w:hAnsi="宋体" w:cs="宋体"/>
          <w:color w:val="auto"/>
          <w:sz w:val="24"/>
          <w:highlight w:val="none"/>
          <w:lang w:val="en-US" w:eastAsia="zh-CN"/>
        </w:rPr>
        <w:t xml:space="preserve">1.采购人</w:t>
      </w:r>
      <w:r>
        <w:rPr>
          <w:rFonts w:hint="eastAsia" w:ascii="宋体" w:hAnsi="宋体" w:cs="宋体"/>
          <w:color w:val="auto"/>
          <w:sz w:val="24"/>
          <w:highlight w:val="none"/>
        </w:rPr>
        <w:t xml:space="preserve">食堂提前一天向</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提供所需食品订单，</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必须在</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食堂规定时间内，依据订单将</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食堂所需的食品购齐，送至</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食堂指定地点进行验收。</w:t>
      </w:r>
      <w:r/>
    </w:p>
    <w:p>
      <w:pPr>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2.配送时间：每日7:30前。</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.配送地点：贾汪区山水大道9号贾汪分局食堂。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（四）配合及服从采购人管理要求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中标人须配合采购人食品安全检测人员对所送物品按国家有关标准进行检测，若所供货品不符合卫生规定或其他质量问题的，采购人有权拒收，中标人应立即无条件予以退货、更换。</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（五）处理突发食品安全事件要求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因采购人工作内容特殊性，投标人要根据采购人在工作过程中发生食品安全突发事件做好处置工作。</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（六）紧急勤务保障要求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因采购人工作内容特殊性，投标人要根据采购人在工作过程中发生紧急勤务情况下，做好食材配送保障工作。</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(七) 投标文件要求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1.投标文件中提供《技术方案》文件。</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2.《技术方案》需包括以下内容：</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 食材供应及配送方案；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(2) 食材质量保证方案（包括食材质量保证措施及食材质量保障能力）；</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(3) 配合与服从采购人管理方案；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(4) 处理突发食品安全事件的应急预案；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 紧急勤务保障方案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四、商务要求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（一）组织机构设置及人员和车辆配备要求 </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1.组织机构设置要求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投标人应根据项目情况合理设定部门及岗位，配备相关人员。</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2.人员配备要求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服务人员（包括采购、运送等相关人员）</w:t>
      </w:r>
      <w:r>
        <w:rPr>
          <w:rFonts w:hint="eastAsia" w:ascii="宋体" w:hAnsi="宋体" w:cs="宋体"/>
          <w:color w:val="auto"/>
          <w:sz w:val="24"/>
          <w:szCs w:val="24"/>
          <w:highlight w:val="none"/>
          <w:lang w:val="en-US" w:eastAsia="zh-CN" w:bidi="ar-SA"/>
        </w:rPr>
        <w:t xml:space="preserve">数量</w:t>
      </w:r>
      <w:r>
        <w:rPr>
          <w:rFonts w:hint="eastAsia" w:ascii="宋体" w:hAnsi="宋体" w:eastAsia="宋体" w:cs="宋体"/>
          <w:color w:val="auto"/>
          <w:sz w:val="24"/>
          <w:szCs w:val="24"/>
          <w:highlight w:val="none"/>
          <w:lang w:val="en-US" w:eastAsia="zh-CN" w:bidi="ar-SA"/>
        </w:rPr>
        <w:t xml:space="preserve">要满足每日实际配送需求，人员要签订劳动合同并具有健康证。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3.车辆配备要求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要求投标人租赁车辆合同（租赁方为投标人）或投标人名下配送车辆不低于1辆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运送车须具备合法手续及有效行驶证。运输工具应清洁卫生无污染，食品（食材）运输必须采用符合卫生标准的外包装和运载工具，并且要保持清洁和定期消毒。运输车厢的内仓，包括地面、墙面和顶，应使用抗腐蚀、防潮，易清洁消毒的材料。车厢内无不良气味、异味；运输途中严防日晒、雨淋，注意通风散热；严防机械损伤。</w:t>
      </w:r>
      <w:r/>
    </w:p>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bidi="ar-SA"/>
        </w:rPr>
        <w:t xml:space="preserve">夏季高温天气，中标人提供冷藏车配送，防止（预防）原材料在高温情况下出现变质。</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投标文件要求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（1）投标文件中提供《组织机构设置及人员和车辆配备方案》文件。</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（2）《组织机构设置及人员和车辆配备方案》需包括以下内容：</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①组织机构设置方案；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②人员配备方案</w:t>
      </w:r>
      <w:r>
        <w:rPr>
          <w:rFonts w:hint="eastAsia" w:ascii="宋体" w:hAnsi="宋体" w:cs="宋体"/>
          <w:color w:val="auto"/>
          <w:sz w:val="24"/>
          <w:szCs w:val="24"/>
          <w:highlight w:val="none"/>
          <w:lang w:val="en-US" w:eastAsia="zh-CN" w:bidi="ar-SA"/>
        </w:rPr>
        <w:t xml:space="preserve">；</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③车辆配备方案。</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（二）退换货要求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1.采购人要求投标人提供退货、换货承诺。</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2.投标文件要求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投标文件中提供《退换货承诺方案》文件。</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五、验收标准（验收要求、验收标准和程序）</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（一）验收必须由采购人和中标人相关人员等共同验收，签字确认，验收时提供供货清单，质量符合国家、行业标准及采购人要求，包括但不限于：</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蔬菜类要求：新鲜、无腐叶、无农药残留。</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鲜肉、蛋、家禽及鱼类要求：安全、新鲜、无异味、无瘦肉精、无抗生素、无注水。</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鱼类要求：鱼眼睛清亮，角膜透明，鳞片上覆有冻结的透明黏液层，皮肤天然色泽明显。</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中标人负责货品装卸送至采购人仓库并协助摆放。</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验收检查：采购人如发现不符合合同规定的货品，中标人应无条件收回所供应的货品并给予采购人书面答复说明原因，并在采购人要求的时间内更换好所需货品，由此造成的损失和影响由中标人负责。第一次验收不合格，采购人发出书面警告，第二次乙方按照5000元承担违约责任，甲方有权在当期付款中扣除，第三次采购人有权解除合同。</w:t>
      </w:r>
      <w:r/>
    </w:p>
    <w:p>
      <w:pPr>
        <w:spacing w:line="360" w:lineRule="auto"/>
        <w:rPr>
          <w:rFonts w:hint="eastAsia"/>
          <w:highlight w:val="none"/>
          <w:lang w:val="en-US" w:eastAsia="zh-CN"/>
        </w:rPr>
      </w:pPr>
      <w:r>
        <w:rPr>
          <w:rFonts w:hint="eastAsia" w:ascii="宋体" w:hAnsi="宋体" w:eastAsia="宋体" w:cs="宋体"/>
          <w:color w:val="auto"/>
          <w:sz w:val="24"/>
          <w:szCs w:val="24"/>
          <w:highlight w:val="none"/>
          <w:lang w:val="en-US" w:eastAsia="zh-CN" w:bidi="ar-SA"/>
        </w:rPr>
        <w:t xml:space="preserve">关于留样与抽查送检：采购人将对每批次配送的货品进行留样保存，</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有权对配送的货品不定期随机抽样送检，如送检检验合格，检验费用由采购人承担;检查不合格由中标人承担，</w:t>
      </w:r>
      <w:r>
        <w:rPr>
          <w:rFonts w:hint="eastAsia" w:ascii="宋体" w:hAnsi="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zh-CN" w:bidi="ar-SA"/>
        </w:rPr>
        <w:t xml:space="preserve">对该批货物予以退货或当场销毁，同时中标人需及时补货，采购人不需支付该批货物的货款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并作出相应的处罚。</w:t>
      </w:r>
      <w:r>
        <w:rPr>
          <w:rFonts w:hint="eastAsia" w:ascii="宋体" w:hAnsi="宋体" w:eastAsia="宋体" w:cs="宋体"/>
          <w:color w:val="000000"/>
          <w:sz w:val="24"/>
          <w:szCs w:val="24"/>
          <w:highlight w:val="none"/>
        </w:rPr>
        <w:t xml:space="preserve">如有食品卫生安全监督部门或相关部门对货品进行检查，</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须全力配合，不得找任何借口推脱。</w:t>
      </w:r>
      <w:r/>
    </w:p>
    <w:p>
      <w:pPr>
        <w:numPr>
          <w:ilvl w:val="0"/>
          <w:numId w:val="0"/>
        </w:num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中标人每日必须按照采购人要求的</w:t>
      </w:r>
      <w:r>
        <w:rPr>
          <w:rFonts w:hint="eastAsia" w:ascii="宋体" w:hAnsi="宋体" w:eastAsia="宋体" w:cs="宋体"/>
          <w:color w:val="auto"/>
          <w:sz w:val="24"/>
          <w:szCs w:val="24"/>
          <w:highlight w:val="none"/>
          <w:lang w:val="en-US" w:eastAsia="zh-CN" w:bidi="ar-SA"/>
        </w:rPr>
        <w:t xml:space="preserve">时间将采购人食堂所需食品送至指定地点进行验收，中标人如送货迟到超过半小时，采购人可扣中标人当天总货款的10%做为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如遇特殊情况，中标人要为采购人食堂提供紧急配送服务，接采购人电话通知后，</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70分钟内送达。</w:t>
      </w:r>
      <w:r/>
    </w:p>
    <w:p>
      <w:pPr>
        <w:numPr>
          <w:ilvl w:val="0"/>
          <w:numId w:val="0"/>
        </w:num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七、关于投标报价的相关说明</w:t>
      </w:r>
      <w:r/>
    </w:p>
    <w:p>
      <w:pPr>
        <w:pStyle w:val="816"/>
        <w:ind w:right="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Verdana" w:hAnsi="Verdana" w:cs="Verdana"/>
          <w:color w:val="000000"/>
          <w:sz w:val="24"/>
          <w:szCs w:val="24"/>
          <w:highlight w:val="none"/>
        </w:rPr>
        <w:t xml:space="preserve">1</w:t>
      </w:r>
      <w:r>
        <w:rPr>
          <w:rFonts w:hint="default" w:ascii="Verdana" w:hAnsi="Verdana" w:cs="Verdana"/>
          <w:color w:val="000000"/>
          <w:sz w:val="24"/>
          <w:szCs w:val="24"/>
          <w:highlight w:val="none"/>
        </w:rPr>
        <w:t xml:space="preserve">.本采购预算金额：人民币</w:t>
      </w:r>
      <w:r>
        <w:rPr>
          <w:rFonts w:hint="eastAsia" w:cs="宋体"/>
          <w:color w:val="000000"/>
          <w:sz w:val="24"/>
          <w:szCs w:val="24"/>
          <w:highlight w:val="none"/>
          <w:lang w:val="en-US" w:eastAsia="zh-CN"/>
        </w:rPr>
        <w:t xml:space="preserve">151.2</w:t>
      </w:r>
      <w:r>
        <w:rPr>
          <w:rFonts w:hint="default" w:ascii="Verdana" w:hAnsi="Verdana" w:cs="Verdana"/>
          <w:color w:val="000000"/>
          <w:sz w:val="24"/>
          <w:szCs w:val="24"/>
          <w:highlight w:val="none"/>
        </w:rPr>
        <w:t xml:space="preserve">万元。本项目以肉、水产、禽蛋类，粮油类，干货和调料类，果蔬类，冻品类等五项综合优惠率（N%）进行报价。</w:t>
      </w:r>
      <w:r>
        <w:rPr>
          <w:rFonts w:hint="default" w:ascii="Verdana" w:hAnsi="Verdana" w:cs="Verdana"/>
          <w:b/>
          <w:bCs/>
          <w:color w:val="000000"/>
          <w:sz w:val="24"/>
          <w:szCs w:val="24"/>
          <w:highlight w:val="none"/>
        </w:rPr>
        <w:t xml:space="preserve">不接受低于或等于0%的优惠率的投标报价。</w:t>
      </w:r>
      <w:r/>
    </w:p>
    <w:p>
      <w:pPr>
        <w:pStyle w:val="816"/>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Verdana" w:hAnsi="Verdana" w:cs="Verdana"/>
          <w:color w:val="000000"/>
          <w:sz w:val="24"/>
          <w:szCs w:val="24"/>
          <w:highlight w:val="none"/>
        </w:rPr>
        <w:t xml:space="preserve">2.综合优惠率（N%）计算方法：综合优惠率（N%）=肉、水产、禽蛋类占比</w:t>
      </w:r>
      <w:r>
        <w:rPr>
          <w:rFonts w:hint="eastAsia" w:ascii="Verdana" w:hAnsi="Verdana" w:cs="Verdana"/>
          <w:color w:val="000000"/>
          <w:sz w:val="24"/>
          <w:szCs w:val="24"/>
          <w:highlight w:val="none"/>
          <w:lang w:val="en-US" w:eastAsia="zh-CN"/>
        </w:rPr>
        <w:t xml:space="preserve"> 42.7</w:t>
      </w:r>
      <w:r>
        <w:rPr>
          <w:rFonts w:hint="default" w:ascii="Verdana" w:hAnsi="Verdana" w:cs="Verdana"/>
          <w:color w:val="000000"/>
          <w:sz w:val="24"/>
          <w:szCs w:val="24"/>
          <w:highlight w:val="none"/>
        </w:rPr>
        <w:t xml:space="preserve">%*肉、水产、禽蛋类优惠率报价+粮油类占比</w:t>
      </w:r>
      <w:r>
        <w:rPr>
          <w:rFonts w:hint="eastAsia" w:ascii="Verdana" w:hAnsi="Verdana" w:cs="Verdana"/>
          <w:color w:val="000000"/>
          <w:sz w:val="24"/>
          <w:szCs w:val="24"/>
          <w:highlight w:val="none"/>
          <w:lang w:val="en-US" w:eastAsia="zh-CN"/>
        </w:rPr>
        <w:t xml:space="preserve">8.6</w:t>
      </w:r>
      <w:r>
        <w:rPr>
          <w:rFonts w:hint="default" w:ascii="Verdana" w:hAnsi="Verdana" w:cs="Verdana"/>
          <w:color w:val="000000"/>
          <w:sz w:val="24"/>
          <w:szCs w:val="24"/>
          <w:highlight w:val="none"/>
        </w:rPr>
        <w:t xml:space="preserve">%*粮油类优惠率报价+干货和调料类占比</w:t>
      </w:r>
      <w:r>
        <w:rPr>
          <w:rFonts w:hint="eastAsia" w:ascii="Verdana" w:hAnsi="Verdana" w:cs="Verdana"/>
          <w:color w:val="000000"/>
          <w:sz w:val="24"/>
          <w:szCs w:val="24"/>
          <w:highlight w:val="none"/>
          <w:lang w:val="en-US" w:eastAsia="zh-CN"/>
        </w:rPr>
        <w:t xml:space="preserve">14</w:t>
      </w:r>
      <w:r>
        <w:rPr>
          <w:rFonts w:hint="default" w:ascii="Verdana" w:hAnsi="Verdana" w:cs="Verdana"/>
          <w:color w:val="000000"/>
          <w:sz w:val="24"/>
          <w:szCs w:val="24"/>
          <w:highlight w:val="none"/>
        </w:rPr>
        <w:t xml:space="preserve">%*干货和调料类优惠率报价+果蔬类占比</w:t>
      </w:r>
      <w:r>
        <w:rPr>
          <w:rFonts w:hint="eastAsia" w:ascii="Verdana" w:hAnsi="Verdana" w:cs="Verdana"/>
          <w:color w:val="000000"/>
          <w:sz w:val="24"/>
          <w:szCs w:val="24"/>
          <w:highlight w:val="none"/>
          <w:lang w:val="en-US" w:eastAsia="zh-CN"/>
        </w:rPr>
        <w:t xml:space="preserve">30.6</w:t>
      </w:r>
      <w:r>
        <w:rPr>
          <w:rFonts w:hint="default" w:ascii="Verdana" w:hAnsi="Verdana" w:cs="Verdana"/>
          <w:color w:val="000000"/>
          <w:sz w:val="24"/>
          <w:szCs w:val="24"/>
          <w:highlight w:val="none"/>
        </w:rPr>
        <w:t xml:space="preserve">%*果蔬类优惠率报价+冻品类</w:t>
      </w:r>
      <w:r>
        <w:rPr>
          <w:rFonts w:hint="eastAsia" w:ascii="Verdana" w:hAnsi="Verdana" w:cs="Verdana"/>
          <w:color w:val="000000"/>
          <w:sz w:val="24"/>
          <w:szCs w:val="24"/>
          <w:highlight w:val="none"/>
          <w:lang w:val="en-US" w:eastAsia="zh-CN"/>
        </w:rPr>
        <w:t xml:space="preserve">4.1</w:t>
      </w:r>
      <w:r>
        <w:rPr>
          <w:rFonts w:hint="default" w:ascii="Verdana" w:hAnsi="Verdana" w:cs="Verdana"/>
          <w:color w:val="000000"/>
          <w:sz w:val="24"/>
          <w:szCs w:val="24"/>
          <w:highlight w:val="none"/>
        </w:rPr>
        <w:t xml:space="preserve">%*冻品类优惠率报价。</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基</w:t>
      </w:r>
      <w:r>
        <w:rPr>
          <w:rFonts w:hint="eastAsia" w:ascii="宋体" w:hAnsi="宋体" w:cs="宋体"/>
          <w:b/>
          <w:bCs/>
          <w:color w:val="auto"/>
          <w:sz w:val="24"/>
          <w:szCs w:val="24"/>
          <w:highlight w:val="none"/>
          <w:lang w:val="en-US" w:eastAsia="zh-CN"/>
        </w:rPr>
        <w:t xml:space="preserve">准单价：</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所有配送食品价格以徐州市发展和改革委员会网站“民生价格监测”上</w:t>
      </w:r>
      <w:r>
        <w:rPr>
          <w:rFonts w:hint="eastAsia" w:ascii="宋体" w:hAnsi="宋体" w:cs="宋体"/>
          <w:color w:val="auto"/>
          <w:sz w:val="24"/>
          <w:highlight w:val="none"/>
          <w:lang w:val="en-US" w:eastAsia="zh-CN"/>
        </w:rPr>
        <w:t xml:space="preserve">最新公布的同类食材平均单价作为基准价</w:t>
      </w:r>
      <w:r>
        <w:rPr>
          <w:rFonts w:hint="eastAsia" w:ascii="宋体" w:hAnsi="宋体" w:cs="宋体"/>
          <w:color w:val="auto"/>
          <w:sz w:val="24"/>
          <w:highlight w:val="none"/>
        </w:rPr>
        <w:t xml:space="preserve">；如徐州市发展和改革委员会网站“民生价格监测”</w:t>
      </w:r>
      <w:r>
        <w:rPr>
          <w:rFonts w:hint="eastAsia" w:ascii="宋体" w:hAnsi="宋体" w:cs="宋体"/>
          <w:color w:val="auto"/>
          <w:sz w:val="24"/>
          <w:highlight w:val="none"/>
          <w:lang w:val="en-US" w:eastAsia="zh-CN"/>
        </w:rPr>
        <w:t xml:space="preserve">没有的菜品，</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与</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组成的询价小组（</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如不参加，则视为自愿放弃）</w:t>
      </w:r>
      <w:r>
        <w:rPr>
          <w:rFonts w:hint="eastAsia" w:ascii="宋体" w:hAnsi="宋体" w:cs="宋体"/>
          <w:color w:val="auto"/>
          <w:sz w:val="24"/>
          <w:highlight w:val="none"/>
          <w:lang w:eastAsia="zh-CN"/>
        </w:rPr>
        <w:t xml:space="preserve">，</w:t>
      </w:r>
      <w:r>
        <w:rPr>
          <w:rFonts w:hint="eastAsia" w:ascii="宋体" w:hAnsi="宋体" w:eastAsia="宋体" w:cs="宋体"/>
          <w:color w:val="000000"/>
          <w:sz w:val="24"/>
          <w:szCs w:val="24"/>
          <w:highlight w:val="none"/>
        </w:rPr>
        <w:t xml:space="preserve">每周</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定期前往</w:t>
      </w:r>
      <w:r>
        <w:rPr>
          <w:rFonts w:hint="eastAsia" w:ascii="宋体" w:hAnsi="宋体" w:cs="宋体"/>
          <w:color w:val="auto"/>
          <w:sz w:val="24"/>
          <w:highlight w:val="none"/>
          <w:lang w:val="en-US" w:eastAsia="zh-CN"/>
        </w:rPr>
        <w:t xml:space="preserve">泉城新区农贸市场、中安农贸市场</w:t>
      </w:r>
      <w:r>
        <w:rPr>
          <w:rFonts w:hint="eastAsia"/>
          <w:highlight w:val="none"/>
          <w:lang w:eastAsia="zh-CN"/>
        </w:rPr>
        <w:t xml:space="preserve">、</w:t>
      </w:r>
      <w:r>
        <w:rPr>
          <w:rFonts w:hint="eastAsia" w:ascii="宋体" w:hAnsi="宋体" w:cs="宋体"/>
          <w:color w:val="auto"/>
          <w:sz w:val="24"/>
          <w:highlight w:val="none"/>
          <w:lang w:eastAsia="zh-CN"/>
        </w:rPr>
        <w:t xml:space="preserve">贾汪</w:t>
      </w:r>
      <w:r>
        <w:rPr>
          <w:rFonts w:hint="eastAsia" w:ascii="宋体" w:hAnsi="宋体" w:cs="宋体"/>
          <w:color w:val="auto"/>
          <w:sz w:val="24"/>
          <w:highlight w:val="none"/>
          <w:lang w:val="en-US" w:eastAsia="zh-CN"/>
        </w:rPr>
        <w:t xml:space="preserve">区</w:t>
      </w:r>
      <w:r>
        <w:rPr>
          <w:rFonts w:hint="eastAsia" w:ascii="宋体" w:hAnsi="宋体" w:cs="宋体"/>
          <w:color w:val="auto"/>
          <w:sz w:val="24"/>
          <w:highlight w:val="none"/>
          <w:lang w:eastAsia="zh-CN"/>
        </w:rPr>
        <w:t xml:space="preserve">吾悦广场家家悦超市、宜家福生活超市，</w:t>
      </w:r>
      <w:r>
        <w:rPr>
          <w:rFonts w:hint="eastAsia" w:ascii="宋体" w:hAnsi="宋体" w:cs="宋体"/>
          <w:color w:val="auto"/>
          <w:sz w:val="24"/>
          <w:highlight w:val="none"/>
          <w:lang w:val="en-US" w:eastAsia="zh-CN"/>
        </w:rPr>
        <w:t xml:space="preserve">任选两家采集食材价格的平均单价作为本周的基准价；</w:t>
      </w:r>
      <w:r>
        <w:rPr>
          <w:rFonts w:hint="eastAsia" w:ascii="宋体" w:hAnsi="宋体" w:eastAsia="宋体" w:cs="宋体"/>
          <w:color w:val="000000"/>
          <w:sz w:val="24"/>
          <w:szCs w:val="24"/>
          <w:highlight w:val="none"/>
        </w:rPr>
        <w:t xml:space="preserve">如上述还未有的菜品，以供应商的批发采购处的的同类菜品零售价为基准单价。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结算单价=基准单价×（1-各类食材中标优惠率）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但不得超出基准单价；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结算单价包括但不限于所有成本费、运输费、人工费、保险费、检查费、检验费、税费（采购人认可的有效增值税普通发票）以及服务期内的所有相关食品采购、检验费用在内的采购人指定地点交货全包价，采购人不再支付结算价以外的任何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报价需充分考虑合同期限内的市场因素和成本变化状况的风险。</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说明：本“</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、关于投标报价的相关说明”为不允许偏离的实质性要求和条件，供应商必须完全响应，若有一项未响应或偏离，在符合性审查时按照投标无效处理。</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、关于支付（采购资金的支付方式、时间、条件）的要求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见招标文件第五章《拟签订的合同文本》中“四、支付（采购资金的支付方式、时间、条件）”。</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、其他要求：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详见招标文件第五章《拟签订的合同文本》。</w:t>
      </w:r>
      <w:r/>
    </w:p>
    <w:p>
      <w:pPr>
        <w:jc w:val="both"/>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第七章 投标文件相关格式</w:t>
      </w:r>
      <w:r/>
    </w:p>
    <w:p>
      <w:pPr>
        <w:ind w:firstLine="64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致：徐州市公安局贾汪分局</w:t>
      </w:r>
      <w:r/>
    </w:p>
    <w:p>
      <w:pPr>
        <w:ind w:firstLine="6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（投标人的名称）全权处理本次投标的有关事宜。</w:t>
      </w:r>
      <w:r/>
    </w:p>
    <w:p>
      <w:pPr>
        <w:ind w:firstLine="6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据此函，投标人承诺并同意如下： </w:t>
      </w:r>
      <w:r/>
    </w:p>
    <w:p>
      <w:pPr>
        <w:ind w:firstLine="48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1、投标人唯一投标报价见《开标一览表》。</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4、投标有效期为90天。</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10、与本投标有关的一切正式往来信函请寄：</w:t>
      </w:r>
      <w:r/>
    </w:p>
    <w:p>
      <w:pPr>
        <w:ind w:firstLine="12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 </w:t>
      </w:r>
      <w:r/>
    </w:p>
    <w:p>
      <w:pPr>
        <w:ind w:firstLine="120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手机号码： </w:t>
      </w:r>
      <w:r/>
    </w:p>
    <w:p>
      <w:pPr>
        <w:ind w:firstLine="12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27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27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ind w:firstLine="64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二、开标一览表格式</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left"/>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00"/>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ind w:firstLine="60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bl>
      <w:tblPr>
        <w:tblStyle w:val="8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552"/>
        <w:gridCol w:w="1500"/>
        <w:gridCol w:w="2014"/>
        <w:gridCol w:w="1200"/>
      </w:tblGrid>
      <w:tr>
        <w:trPr/>
        <w:tc>
          <w:tcPr>
            <w:tcW w:w="731" w:type="pct"/>
            <w:vAlign w:val="center"/>
            <w:textDirection w:val="lrTb"/>
            <w:noWrap w:val="false"/>
          </w:tcPr>
          <w:p>
            <w:pPr>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499" w:type="pct"/>
            <w:vAlign w:val="center"/>
            <w:textDirection w:val="lrTb"/>
            <w:noWrap w:val="false"/>
          </w:tcPr>
          <w:p>
            <w:pPr>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类别</w:t>
            </w:r>
            <w:r/>
          </w:p>
        </w:tc>
        <w:tc>
          <w:tcPr>
            <w:tcW w:w="881" w:type="pct"/>
            <w:vAlign w:val="center"/>
            <w:textDirection w:val="lrTb"/>
            <w:noWrap w:val="false"/>
          </w:tcPr>
          <w:p>
            <w:pPr>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占比</w:t>
            </w:r>
            <w:r/>
          </w:p>
        </w:tc>
        <w:tc>
          <w:tcPr>
            <w:tcW w:w="1183" w:type="pct"/>
            <w:vAlign w:val="center"/>
            <w:textDirection w:val="lrTb"/>
            <w:noWrap w:val="false"/>
          </w:tcPr>
          <w:p>
            <w:pPr>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所报优惠率（%）</w:t>
            </w:r>
            <w:r/>
          </w:p>
        </w:tc>
        <w:tc>
          <w:tcPr>
            <w:tcW w:w="704" w:type="pct"/>
            <w:vAlign w:val="center"/>
            <w:textDirection w:val="lrTb"/>
            <w:noWrap w:val="false"/>
          </w:tcPr>
          <w:p>
            <w:pPr>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tc>
          <w:tcPr>
            <w:tcW w:w="731" w:type="pct"/>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5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肉、水产、禽蛋类</w:t>
            </w:r>
            <w:r/>
          </w:p>
        </w:tc>
        <w:tc>
          <w:tcPr>
            <w:tcW w:w="150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 42.7</w:t>
            </w:r>
            <w:r>
              <w:rPr>
                <w:rFonts w:hint="eastAsia" w:ascii="宋体" w:hAnsi="宋体" w:cs="宋体"/>
                <w:color w:val="auto"/>
                <w:sz w:val="24"/>
                <w:highlight w:val="none"/>
              </w:rPr>
              <w:t xml:space="preserve">%</w:t>
            </w:r>
            <w:r/>
          </w:p>
        </w:tc>
        <w:tc>
          <w:tcPr>
            <w:tcW w:w="1183"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4"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731" w:type="pct"/>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5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粮油类</w:t>
            </w:r>
            <w:r/>
          </w:p>
        </w:tc>
        <w:tc>
          <w:tcPr>
            <w:tcW w:w="150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8.6</w:t>
            </w:r>
            <w:r>
              <w:rPr>
                <w:rFonts w:hint="eastAsia" w:ascii="宋体" w:hAnsi="宋体" w:cs="宋体"/>
                <w:color w:val="auto"/>
                <w:sz w:val="24"/>
                <w:highlight w:val="none"/>
              </w:rPr>
              <w:t xml:space="preserve">%</w:t>
            </w:r>
            <w:r/>
          </w:p>
        </w:tc>
        <w:tc>
          <w:tcPr>
            <w:tcW w:w="1183"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4"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731" w:type="pct"/>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5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干货和调料类</w:t>
            </w:r>
            <w:r/>
          </w:p>
        </w:tc>
        <w:tc>
          <w:tcPr>
            <w:tcW w:w="150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w:t>
            </w:r>
            <w:r/>
          </w:p>
        </w:tc>
        <w:tc>
          <w:tcPr>
            <w:tcW w:w="1183"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4"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731" w:type="pct"/>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5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果蔬类</w:t>
            </w:r>
            <w:r/>
          </w:p>
        </w:tc>
        <w:tc>
          <w:tcPr>
            <w:tcW w:w="150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30.6</w:t>
            </w:r>
            <w:r>
              <w:rPr>
                <w:rFonts w:hint="eastAsia" w:ascii="宋体" w:hAnsi="宋体" w:cs="宋体"/>
                <w:color w:val="auto"/>
                <w:sz w:val="24"/>
                <w:highlight w:val="none"/>
              </w:rPr>
              <w:t xml:space="preserve">%</w:t>
            </w:r>
            <w:r/>
          </w:p>
        </w:tc>
        <w:tc>
          <w:tcPr>
            <w:tcW w:w="1183"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4"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731" w:type="pct"/>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52"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冻品类</w:t>
            </w:r>
            <w:r/>
          </w:p>
        </w:tc>
        <w:tc>
          <w:tcPr>
            <w:tcW w:w="150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w:t>
            </w:r>
            <w:r/>
          </w:p>
        </w:tc>
        <w:tc>
          <w:tcPr>
            <w:tcW w:w="1183"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4"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3"/>
            <w:tcW w:w="3111" w:type="pct"/>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综合优惠率（%）</w:t>
            </w:r>
            <w:r/>
          </w:p>
        </w:tc>
        <w:tc>
          <w:tcPr>
            <w:tcW w:w="1183"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4" w:type="pct"/>
            <w:vAlign w:val="center"/>
            <w:textDirection w:val="lrTb"/>
            <w:noWrap w:val="false"/>
          </w:tcPr>
          <w:p>
            <w:pPr>
              <w:jc w:val="cente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0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98"/>
        <w:ind w:left="0"/>
        <w:rPr>
          <w:rFonts w:ascii="宋体" w:hAnsi="宋体" w:cs="宋体"/>
          <w:color w:val="auto"/>
          <w:sz w:val="24"/>
          <w:szCs w:val="24"/>
          <w:highlight w:val="none"/>
        </w:rPr>
      </w:pPr>
      <w:r>
        <w:rPr>
          <w:rFonts w:ascii="宋体" w:hAnsi="宋体" w:cs="宋体"/>
          <w:color w:val="auto"/>
          <w:sz w:val="24"/>
          <w:szCs w:val="24"/>
          <w:highlight w:val="none"/>
        </w:rPr>
      </w:r>
      <w:r/>
    </w:p>
    <w:p>
      <w:pPr>
        <w:pStyle w:val="798"/>
        <w:rPr>
          <w:rFonts w:ascii="宋体" w:hAnsi="宋体" w:cs="宋体"/>
          <w:color w:val="auto"/>
          <w:sz w:val="24"/>
          <w:szCs w:val="24"/>
          <w:highlight w:val="none"/>
        </w:rPr>
      </w:pPr>
      <w:r>
        <w:rPr>
          <w:rFonts w:ascii="宋体" w:hAnsi="宋体" w:cs="宋体"/>
          <w:color w:val="auto"/>
          <w:sz w:val="24"/>
          <w:szCs w:val="24"/>
          <w:highlight w:val="none"/>
        </w:rPr>
      </w:r>
      <w:r/>
    </w:p>
    <w:p>
      <w:pPr>
        <w:ind w:firstLine="364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36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说明</w:t>
      </w:r>
      <w:r>
        <w:rPr>
          <w:rFonts w:hint="eastAsia" w:ascii="宋体" w:hAnsi="宋体" w:cs="宋体"/>
          <w:color w:val="auto"/>
          <w:sz w:val="24"/>
          <w:szCs w:val="24"/>
          <w:highlight w:val="none"/>
        </w:rPr>
        <w:t xml:space="preserve">：</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1、综合优惠率（N%）计算方法：详见</w:t>
      </w:r>
      <w:r>
        <w:rPr>
          <w:rFonts w:hint="eastAsia" w:ascii="宋体" w:hAnsi="宋体" w:cs="宋体"/>
          <w:color w:val="auto"/>
          <w:sz w:val="24"/>
          <w:szCs w:val="24"/>
          <w:highlight w:val="none"/>
          <w:lang w:val="en-US" w:eastAsia="zh-CN"/>
        </w:rPr>
        <w:t xml:space="preserve">招标文件第六章《</w:t>
      </w: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、投标人对以上数据的真实性负责。</w:t>
      </w:r>
      <w:r/>
    </w:p>
    <w:p>
      <w:pPr>
        <w:pStyle w:val="798"/>
        <w:ind w:left="0" w:firstLine="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pStyle w:val="798"/>
        <w:ind w:left="0" w:right="740" w:firstLine="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①如果不提供详细分项价格表的，将视为没有实质性响应招标文件。</w:t>
      </w:r>
      <w:r/>
    </w:p>
    <w:p>
      <w:pPr>
        <w:pStyle w:val="798"/>
        <w:ind w:left="0" w:firstLine="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②投标人对以上数据的真实性负责。</w:t>
      </w:r>
      <w:r/>
    </w:p>
    <w:p>
      <w:pPr>
        <w:jc w:val="lef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采购人或采购代理机构有权将以上内容进行公示。</w:t>
      </w:r>
      <w:r/>
    </w:p>
    <w:p>
      <w:pPr>
        <w:ind w:firstLine="56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bl>
      <w:tblPr>
        <w:tblStyle w:val="8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486"/>
        <w:gridCol w:w="1488"/>
        <w:gridCol w:w="1796"/>
        <w:gridCol w:w="1355"/>
        <w:gridCol w:w="1568"/>
      </w:tblGrid>
      <w:tr>
        <w:trPr>
          <w:trHeight w:val="794"/>
        </w:trPr>
        <w:tc>
          <w:tcPr>
            <w:tcMar>
              <w:left w:w="108" w:type="dxa"/>
              <w:top w:w="0" w:type="dxa"/>
              <w:right w:w="108" w:type="dxa"/>
              <w:bottom w:w="0" w:type="dxa"/>
            </w:tcMar>
            <w:tcW w:w="482"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序号</w:t>
            </w:r>
            <w:r/>
          </w:p>
        </w:tc>
        <w:tc>
          <w:tcPr>
            <w:tcMar>
              <w:left w:w="108" w:type="dxa"/>
              <w:top w:w="0" w:type="dxa"/>
              <w:right w:w="108" w:type="dxa"/>
              <w:bottom w:w="0" w:type="dxa"/>
            </w:tcMar>
            <w:tcW w:w="872"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偏离内容</w:t>
            </w:r>
            <w:r/>
          </w:p>
        </w:tc>
        <w:tc>
          <w:tcPr>
            <w:tcMar>
              <w:left w:w="108" w:type="dxa"/>
              <w:top w:w="0" w:type="dxa"/>
              <w:right w:w="108" w:type="dxa"/>
              <w:bottom w:w="0" w:type="dxa"/>
            </w:tcMar>
            <w:tcW w:w="873"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3900"/>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ind w:firstLine="600"/>
        <w:jc w:val="center"/>
        <w:spacing w:line="479" w:lineRule="atLeast"/>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五、法定代表人身份证明或法定代表人授权委托书</w:t>
      </w:r>
      <w:r/>
    </w:p>
    <w:p>
      <w:pPr>
        <w:pStyle w:val="816"/>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8"/>
          <w:szCs w:val="28"/>
          <w:highlight w:val="none"/>
          <w:lang w:val="en-US" w:eastAsia="zh-CN"/>
        </w:rPr>
        <w:t xml:space="preserve">    </w:t>
      </w:r>
      <w:r>
        <w:rPr>
          <w:rFonts w:hint="eastAsia" w:ascii="宋体" w:hAnsi="宋体" w:eastAsia="宋体" w:cs="宋体"/>
          <w:b/>
          <w:bCs/>
          <w:color w:val="auto"/>
          <w:sz w:val="30"/>
          <w:szCs w:val="30"/>
          <w:highlight w:val="none"/>
          <w:lang w:val="en-US" w:eastAsia="zh-CN" w:bidi="ar-SA"/>
        </w:rPr>
        <w:t xml:space="preserve"> 法定代表人身份证明（如法定代表人参加时提供）</w:t>
      </w:r>
      <w:r/>
    </w:p>
    <w:p>
      <w:pPr>
        <w:pStyle w:val="816"/>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投标人名称：</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 </w:t>
      </w:r>
      <w:r/>
    </w:p>
    <w:p>
      <w:pPr>
        <w:pStyle w:val="816"/>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姓名：</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rPr>
        <w:t xml:space="preserve">性别：</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年龄：</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职务：</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p>
    <w:p>
      <w:pPr>
        <w:pStyle w:val="816"/>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系</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（投标人名称）的法定代表人。</w:t>
      </w:r>
      <w:r/>
    </w:p>
    <w:p>
      <w:pPr>
        <w:pStyle w:val="816"/>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r>
      <w:r/>
    </w:p>
    <w:p>
      <w:pPr>
        <w:pStyle w:val="816"/>
        <w:ind w:left="0" w:firstLine="1689"/>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特此证明。</w:t>
      </w:r>
      <w:r/>
    </w:p>
    <w:p>
      <w:pPr>
        <w:pStyle w:val="816"/>
        <w:ind w:left="0" w:firstLine="1689"/>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p>
      <w:pPr>
        <w:pStyle w:val="816"/>
        <w:ind w:left="0" w:firstLine="480"/>
        <w:jc w:val="right"/>
        <w:keepLines w:val="0"/>
        <w:keepNext w:val="0"/>
        <w:spacing w:before="0" w:beforeAutospacing="0" w:after="0" w:afterAutospacing="0" w:line="48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                                        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（盖电子签章）</w:t>
      </w:r>
      <w:r/>
    </w:p>
    <w:p>
      <w:pPr>
        <w:pStyle w:val="816"/>
        <w:ind w:left="0" w:firstLine="480"/>
        <w:jc w:val="right"/>
        <w:keepLines w:val="0"/>
        <w:keepNext w:val="0"/>
        <w:spacing w:before="0" w:beforeAutospacing="0" w:after="0" w:afterAutospacing="0" w:line="48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日期：   年  月  日</w:t>
      </w:r>
      <w:r/>
    </w:p>
    <w:p>
      <w:pPr>
        <w:pStyle w:val="816"/>
        <w:ind w:left="0" w:firstLine="1478"/>
        <w:jc w:val="right"/>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w:t>
      </w:r>
      <w:r/>
    </w:p>
    <w:p>
      <w:pPr>
        <w:pStyle w:val="816"/>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附：</w:t>
      </w:r>
      <w:r/>
    </w:p>
    <w:tbl>
      <w:tblPr>
        <w:tblStyle w:val="790"/>
        <w:tblW w:w="0" w:type="auto"/>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2473"/>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val="false"/>
          </w:tcPr>
          <w:p>
            <w:pPr>
              <w:pStyle w:val="816"/>
              <w:ind w:left="0" w:firstLine="950"/>
              <w:jc w:val="center"/>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p>
            <w:pPr>
              <w:pStyle w:val="816"/>
              <w:ind w:left="0" w:firstLine="23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(法定代表人身份证扫描件附后)</w:t>
            </w:r>
            <w:r/>
          </w:p>
          <w:p>
            <w:pPr>
              <w:pStyle w:val="816"/>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tc>
      </w:tr>
    </w:tbl>
    <w:p>
      <w:pPr>
        <w:pStyle w:val="816"/>
        <w:ind w:left="0" w:firstLine="1478"/>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816"/>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798"/>
        <w:rPr>
          <w:rFonts w:ascii="宋体" w:hAnsi="宋体" w:cs="宋体"/>
          <w:color w:val="auto"/>
          <w:sz w:val="28"/>
          <w:szCs w:val="28"/>
          <w:highlight w:val="none"/>
        </w:rPr>
      </w:pPr>
      <w:r>
        <w:rPr>
          <w:rFonts w:ascii="宋体" w:hAnsi="宋体" w:cs="宋体"/>
          <w:color w:val="auto"/>
          <w:sz w:val="28"/>
          <w:szCs w:val="28"/>
          <w:highlight w:val="none"/>
        </w:rPr>
      </w:r>
      <w:r/>
    </w:p>
    <w:p>
      <w:pPr>
        <w:pStyle w:val="816"/>
        <w:ind w:left="0" w:right="0"/>
        <w:jc w:val="center"/>
        <w:keepLines w:val="0"/>
        <w:keepNext w:val="0"/>
        <w:spacing w:before="260" w:beforeAutospacing="0" w:after="260" w:afterAutospacing="0" w:line="415" w:lineRule="auto"/>
        <w:widowControl w:val="off"/>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法定代表人授权委托书（如授权委托人参加时提供）</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职务：</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法定代表人（签字或盖章）： </w:t>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798"/>
        <w:ind w:left="0" w:firstLine="602"/>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right="600" w:firstLine="615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年 月 日 </w:t>
      </w:r>
      <w:r/>
    </w:p>
    <w:p>
      <w:pPr>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ind w:firstLine="600"/>
        <w:jc w:val="center"/>
        <w:spacing w:before="100" w:after="100"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ind w:firstLine="600"/>
        <w:jc w:val="center"/>
        <w:spacing w:before="100" w:after="100"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中小企业声明函</w:t>
      </w:r>
      <w:r/>
    </w:p>
    <w:p>
      <w:pPr>
        <w:spacing w:before="100" w:after="100" w:line="480" w:lineRule="exac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before="100" w:after="100" w:line="480" w:lineRule="exac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val="en-US" w:eastAsia="zh-CN"/>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项目名称</w:t>
      </w:r>
      <w:r>
        <w:rPr>
          <w:rFonts w:hint="eastAsia" w:ascii="宋体" w:hAnsi="宋体" w:cs="宋体"/>
          <w:color w:val="auto"/>
          <w:sz w:val="28"/>
          <w:szCs w:val="28"/>
          <w:highlight w:val="none"/>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徐州市公安局贾汪分局食堂食材采购</w:t>
      </w:r>
      <w:r>
        <w:rPr>
          <w:rFonts w:hint="eastAsia" w:ascii="宋体" w:hAnsi="宋体" w:cs="宋体"/>
          <w:color w:val="auto"/>
          <w:sz w:val="28"/>
          <w:szCs w:val="28"/>
          <w:highlight w:val="none"/>
        </w:rPr>
        <w:t xml:space="preserve">），属于</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行业；承建（承接）企业为</w:t>
      </w:r>
      <w:r>
        <w:rPr>
          <w:rFonts w:hint="eastAsia" w:ascii="宋体" w:hAnsi="宋体" w:cs="宋体"/>
          <w:color w:val="auto"/>
          <w:sz w:val="28"/>
          <w:szCs w:val="28"/>
          <w:highlight w:val="none"/>
          <w:u w:val="single"/>
        </w:rPr>
        <w:t xml:space="preserve">   （企业名称）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（□中型企业、□小型企业、□微型企业，请</w:t>
      </w:r>
      <w:r>
        <w:rPr>
          <w:rFonts w:hint="eastAsia" w:ascii="宋体" w:hAnsi="宋体" w:cs="宋体"/>
          <w:color w:val="auto"/>
          <w:sz w:val="28"/>
          <w:szCs w:val="28"/>
          <w:highlight w:val="none"/>
          <w:lang w:val="en-US" w:eastAsia="zh-CN"/>
        </w:rPr>
        <w:t xml:space="preserve">填写或</w:t>
      </w:r>
      <w:r>
        <w:rPr>
          <w:rFonts w:hint="eastAsia" w:ascii="宋体" w:hAnsi="宋体" w:cs="宋体"/>
          <w:color w:val="auto"/>
          <w:sz w:val="28"/>
          <w:szCs w:val="28"/>
          <w:highlight w:val="none"/>
        </w:rPr>
        <w:t xml:space="preserve">勾选！）</w:t>
      </w:r>
      <w:r>
        <w:rPr>
          <w:rFonts w:hint="eastAsia" w:ascii="宋体" w:hAnsi="宋体" w:cs="宋体"/>
          <w:color w:val="auto"/>
          <w:sz w:val="28"/>
          <w:szCs w:val="28"/>
          <w:highlight w:val="none"/>
          <w:lang w:eastAsia="zh-CN"/>
        </w:rPr>
        <w:t xml:space="preserve">。</w:t>
      </w:r>
      <w:r/>
    </w:p>
    <w:p>
      <w:pPr>
        <w:pStyle w:val="816"/>
        <w:ind w:left="0" w:right="0" w:firstLine="482"/>
        <w:jc w:val="both"/>
        <w:keepLines w:val="0"/>
        <w:keepNext w:val="0"/>
        <w:spacing w:before="0" w:beforeAutospacing="0" w:after="0" w:afterAutospacing="0" w:line="312" w:lineRule="auto"/>
        <w:widowControl w:val="off"/>
        <w:rPr>
          <w:rFonts w:hint="eastAsia"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w:t>
      </w:r>
      <w:r/>
    </w:p>
    <w:p>
      <w:pPr>
        <w:pStyle w:val="797"/>
        <w:ind w:left="0"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797"/>
        <w:ind w:left="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注：本采购项目属于“批发业”行业。</w:t>
      </w:r>
      <w:r/>
    </w:p>
    <w:p>
      <w:pPr>
        <w:pStyle w:val="797"/>
        <w:ind w:left="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797"/>
        <w:spacing w:line="4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p>
    <w:p>
      <w:pPr>
        <w:pStyle w:val="797"/>
        <w:spacing w:line="4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spacing w:before="100" w:after="100" w:line="480" w:lineRule="exac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8"/>
          <w:szCs w:val="28"/>
          <w:highlight w:val="none"/>
        </w:rPr>
      </w:r>
      <w:r/>
    </w:p>
    <w:p>
      <w:pPr>
        <w:pStyle w:val="797"/>
        <w:ind w:left="0"/>
        <w:jc w:val="left"/>
        <w:spacing w:after="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97"/>
        <w:ind w:left="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3、中标人为小型、微型企业的，采购人或者其委托的采购代理机构有权随中标、成交结果同时公告其《中小企业声明函》，接受社会监督。</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5、投标人提供的《中小企业声明函》与事实不符的，依照《政府采购法》第七十七条第一款的规定追究法律责任。</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6、《中小企业声明函》查询渠道用微信搜索“中小企业规模类型自测小程序”。</w:t>
      </w:r>
      <w:r/>
    </w:p>
    <w:p>
      <w:pPr>
        <w:pStyle w:val="798"/>
        <w:ind w:left="0" w:firstLine="0"/>
        <w:rPr>
          <w:rFonts w:ascii="宋体" w:hAnsi="宋体" w:cs="宋体"/>
          <w:color w:val="auto"/>
          <w:sz w:val="28"/>
          <w:szCs w:val="28"/>
          <w:highlight w:val="none"/>
        </w:rPr>
      </w:pPr>
      <w:r>
        <w:rPr>
          <w:rFonts w:ascii="宋体" w:hAnsi="宋体" w:cs="宋体"/>
          <w:color w:val="auto"/>
          <w:sz w:val="28"/>
          <w:szCs w:val="28"/>
          <w:highlight w:val="none"/>
        </w:rPr>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386330" cy="3783965"/>
                <wp:effectExtent l="0" t="0" r="6350" b="1079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2386330" cy="3783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9pt;height:297.9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 w:val="28"/>
          <w:szCs w:val="28"/>
          <w:highlight w:val="none"/>
        </w:rPr>
        <w:br w:type="page" w:clear="all"/>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七、残疾人福利性单位声明函格式</w:t>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（如投标人不属于残疾人福利性单位不需要提供此声明函）</w:t>
      </w:r>
      <w:r/>
    </w:p>
    <w:p>
      <w:pPr>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项目编号：</w:t>
      </w:r>
      <w:r/>
    </w:p>
    <w:p>
      <w:pPr>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项目名称：</w:t>
      </w: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日期：年 月 日</w:t>
      </w:r>
      <w:r/>
    </w:p>
    <w:p>
      <w:pPr>
        <w:ind w:firstLine="45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徐州市公安局贾汪分局食堂食材采购</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我单位对上述声明的真实性负责。如有虚假，将依法承担相应责任。</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日期：年 月 日</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九、具备履行合同所必需的设备和专业技术能力的书面声明（附证明材料扫描件）格式（投标人可自行拟定）</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注：至少提供投标人有效的《食品经营许可证》扫描件或《食品生产许可证》扫描件（仅预包装食品经营的供应商，提供市场监管部门核发的仅销售预包装食品经营者备案凭证扫描件）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食品安全检测设备或农药残留快速检测设备等相关设备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郑重声明：投标人具备履行合同（项目名称：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所必需的设备和专业技术能力， 具体为：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专业技术能力：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特此声明。</w:t>
      </w:r>
      <w:r/>
    </w:p>
    <w:p>
      <w:pPr>
        <w:spacing w:line="360" w:lineRule="auto"/>
        <w:rPr>
          <w:rFonts w:ascii="宋体" w:hAnsi="宋体" w:cs="宋体"/>
          <w:color w:val="auto"/>
          <w:spacing w:val="6"/>
          <w:sz w:val="24"/>
          <w:szCs w:val="24"/>
          <w:highlight w:val="none"/>
        </w:rPr>
      </w:pPr>
      <w:r>
        <w:rPr>
          <w:rFonts w:hint="eastAsia" w:ascii="宋体" w:hAnsi="宋体" w:cs="宋体"/>
          <w:color w:val="auto"/>
          <w:sz w:val="24"/>
          <w:szCs w:val="24"/>
          <w:highlight w:val="none"/>
        </w:rPr>
        <w:t xml:space="preserve">供应商对上述声明的真实性负责。如有虚假，将依法承担相应责任。</w:t>
      </w:r>
      <w:r/>
    </w:p>
    <w:p>
      <w:pPr>
        <w:pStyle w:val="796"/>
        <w:rPr>
          <w:rFonts w:ascii="宋体" w:hAnsi="宋体" w:cs="宋体"/>
          <w:color w:val="auto"/>
          <w:sz w:val="24"/>
          <w:szCs w:val="24"/>
          <w:highlight w:val="none"/>
        </w:rPr>
      </w:pPr>
      <w:r>
        <w:rPr>
          <w:rFonts w:ascii="宋体" w:hAnsi="宋体" w:cs="宋体"/>
          <w:color w:val="auto"/>
          <w:sz w:val="24"/>
          <w:szCs w:val="24"/>
          <w:highlight w:val="none"/>
        </w:rPr>
      </w:r>
      <w:r/>
    </w:p>
    <w:p>
      <w:pPr>
        <w:ind w:right="2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（电子签章）</w:t>
      </w:r>
      <w:r/>
    </w:p>
    <w:p>
      <w:pPr>
        <w:ind w:right="2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日期：  年  月  日</w:t>
      </w:r>
      <w:r/>
    </w:p>
    <w:p>
      <w:pPr>
        <w:jc w:val="center"/>
        <w:pageBreakBefore/>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十、预付款保函支付条款模板</w:t>
      </w:r>
      <w:r/>
    </w:p>
    <w:p>
      <w:pPr>
        <w:ind w:firstLine="605"/>
        <w:spacing w:line="47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符合条件一：提交预付款保函的</w:t>
      </w:r>
      <w:r/>
    </w:p>
    <w:p>
      <w:pPr>
        <w:ind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ind w:left="140"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Verdan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pBdr>
        <w:bottom w:val="single" w:color="auto" w:sz="4" w:space="0"/>
      </w:pBdr>
    </w:pPr>
    <w:r>
      <w:rPr>
        <w:rFonts w:hint="eastAsia"/>
        <w:lang w:eastAsia="zh-CN"/>
      </w:rPr>
      <w:t xml:space="preserve">徐州市公安局贾汪分局食堂食材采购</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徐州市公安局贾汪分局食堂食材采购</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徐州市公安局贾汪分局食堂食材采购</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4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10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name w:val="Heading 1"/>
    <w:basedOn w:val="779"/>
    <w:next w:val="779"/>
    <w:link w:val="1038"/>
    <w:uiPriority w:val="0"/>
    <w:qFormat/>
    <w:pPr>
      <w:jc w:val="center"/>
      <w:keepLines/>
      <w:keepNext/>
      <w:spacing w:line="578" w:lineRule="auto"/>
      <w:outlineLvl w:val="0"/>
    </w:pPr>
    <w:rPr>
      <w:rFonts w:eastAsia="新宋体"/>
      <w:b/>
      <w:bCs/>
      <w:sz w:val="30"/>
      <w:szCs w:val="44"/>
    </w:rPr>
  </w:style>
  <w:style w:type="paragraph" w:styleId="781">
    <w:name w:val="Heading 2"/>
    <w:basedOn w:val="779"/>
    <w:next w:val="779"/>
    <w:link w:val="103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2">
    <w:name w:val="Heading 3"/>
    <w:basedOn w:val="779"/>
    <w:next w:val="779"/>
    <w:link w:val="1037"/>
    <w:uiPriority w:val="9"/>
    <w:unhideWhenUsed/>
    <w:qFormat/>
    <w:pPr>
      <w:keepLines/>
      <w:keepNext/>
      <w:spacing w:before="260" w:after="260" w:line="416" w:lineRule="auto"/>
      <w:outlineLvl w:val="2"/>
    </w:pPr>
    <w:rPr>
      <w:b/>
      <w:bCs/>
      <w:sz w:val="32"/>
      <w:szCs w:val="32"/>
    </w:rPr>
  </w:style>
  <w:style w:type="paragraph" w:styleId="783">
    <w:name w:val="Heading 4"/>
    <w:basedOn w:val="779"/>
    <w:next w:val="779"/>
    <w:link w:val="900"/>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901"/>
    <w:uiPriority w:val="9"/>
    <w:unhideWhenUsed/>
    <w:qFormat/>
    <w:pPr>
      <w:keepLines/>
      <w:keepNext/>
      <w:spacing w:before="320" w:after="200"/>
      <w:outlineLvl w:val="4"/>
    </w:pPr>
    <w:rPr>
      <w:rFonts w:ascii="Arial" w:hAnsi="Arial" w:eastAsia="Arial" w:cs="Arial"/>
      <w:b/>
      <w:bCs/>
      <w:sz w:val="24"/>
    </w:rPr>
  </w:style>
  <w:style w:type="paragraph" w:styleId="785">
    <w:name w:val="Heading 6"/>
    <w:basedOn w:val="779"/>
    <w:next w:val="779"/>
    <w:link w:val="902"/>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904"/>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905"/>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Normal Indent"/>
    <w:basedOn w:val="779"/>
    <w:uiPriority w:val="0"/>
    <w:qFormat/>
    <w:pPr>
      <w:ind w:firstLine="420"/>
    </w:pPr>
  </w:style>
  <w:style w:type="paragraph" w:styleId="793">
    <w:name w:val="Caption"/>
    <w:basedOn w:val="779"/>
    <w:next w:val="7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4">
    <w:name w:val="index 5"/>
    <w:basedOn w:val="779"/>
    <w:next w:val="779"/>
    <w:uiPriority w:val="0"/>
    <w:qFormat/>
    <w:pPr>
      <w:ind w:left="798"/>
      <w:jc w:val="left"/>
    </w:pPr>
    <w:rPr>
      <w:rFonts w:ascii="Calibri" w:hAnsi="Calibri"/>
    </w:rPr>
  </w:style>
  <w:style w:type="paragraph" w:styleId="795">
    <w:name w:val="annotation text"/>
    <w:basedOn w:val="779"/>
    <w:link w:val="1034"/>
    <w:uiPriority w:val="99"/>
    <w:semiHidden/>
    <w:unhideWhenUsed/>
    <w:qFormat/>
    <w:pPr>
      <w:jc w:val="left"/>
    </w:pPr>
  </w:style>
  <w:style w:type="paragraph" w:styleId="796">
    <w:name w:val="Body Text"/>
    <w:basedOn w:val="779"/>
    <w:next w:val="779"/>
    <w:link w:val="1040"/>
    <w:uiPriority w:val="99"/>
    <w:qFormat/>
    <w:pPr>
      <w:spacing w:after="120"/>
    </w:pPr>
    <w:rPr>
      <w:rFonts w:ascii="Calibri" w:hAnsi="Calibri"/>
    </w:rPr>
  </w:style>
  <w:style w:type="paragraph" w:styleId="797">
    <w:name w:val="Body Text Indent"/>
    <w:basedOn w:val="779"/>
    <w:uiPriority w:val="0"/>
    <w:qFormat/>
    <w:pPr>
      <w:ind w:left="420"/>
      <w:spacing w:after="120"/>
    </w:pPr>
    <w:rPr>
      <w:rFonts w:ascii="Calibri" w:hAnsi="Calibri"/>
    </w:rPr>
  </w:style>
  <w:style w:type="paragraph" w:styleId="798">
    <w:name w:val="Block Text"/>
    <w:basedOn w:val="779"/>
    <w:uiPriority w:val="99"/>
    <w:unhideWhenUsed/>
    <w:qFormat/>
    <w:pPr>
      <w:ind w:left="1440" w:right="1440"/>
      <w:spacing w:after="120"/>
    </w:pPr>
  </w:style>
  <w:style w:type="paragraph" w:styleId="799">
    <w:name w:val="toc 5"/>
    <w:basedOn w:val="779"/>
    <w:next w:val="779"/>
    <w:uiPriority w:val="39"/>
    <w:unhideWhenUsed/>
    <w:qFormat/>
    <w:pPr>
      <w:ind w:left="1134"/>
      <w:spacing w:after="57"/>
    </w:pPr>
  </w:style>
  <w:style w:type="paragraph" w:styleId="800">
    <w:name w:val="toc 3"/>
    <w:basedOn w:val="779"/>
    <w:next w:val="779"/>
    <w:uiPriority w:val="39"/>
    <w:unhideWhenUsed/>
    <w:qFormat/>
    <w:pPr>
      <w:ind w:left="567"/>
      <w:spacing w:after="57"/>
    </w:pPr>
  </w:style>
  <w:style w:type="paragraph" w:styleId="801">
    <w:name w:val="Plain Text"/>
    <w:basedOn w:val="779"/>
    <w:uiPriority w:val="0"/>
    <w:qFormat/>
    <w:rPr>
      <w:rFonts w:ascii="宋体" w:hAnsi="Courier New"/>
      <w:sz w:val="20"/>
      <w:szCs w:val="20"/>
    </w:rPr>
  </w:style>
  <w:style w:type="paragraph" w:styleId="802">
    <w:name w:val="toc 8"/>
    <w:basedOn w:val="779"/>
    <w:next w:val="779"/>
    <w:uiPriority w:val="39"/>
    <w:unhideWhenUsed/>
    <w:qFormat/>
    <w:pPr>
      <w:ind w:left="1984"/>
      <w:spacing w:after="57"/>
    </w:pPr>
  </w:style>
  <w:style w:type="paragraph" w:styleId="803">
    <w:name w:val="Date"/>
    <w:basedOn w:val="779"/>
    <w:next w:val="779"/>
    <w:uiPriority w:val="0"/>
    <w:qFormat/>
    <w:rPr>
      <w:rFonts w:eastAsia="仿宋_GB2312"/>
      <w:sz w:val="28"/>
      <w:szCs w:val="20"/>
    </w:rPr>
  </w:style>
  <w:style w:type="paragraph" w:styleId="804">
    <w:name w:val="endnote text"/>
    <w:basedOn w:val="779"/>
    <w:link w:val="1023"/>
    <w:uiPriority w:val="99"/>
    <w:semiHidden/>
    <w:unhideWhenUsed/>
    <w:qFormat/>
    <w:rPr>
      <w:sz w:val="20"/>
    </w:rPr>
  </w:style>
  <w:style w:type="paragraph" w:styleId="805">
    <w:name w:val="Balloon Text"/>
    <w:basedOn w:val="779"/>
    <w:link w:val="1027"/>
    <w:uiPriority w:val="0"/>
    <w:qFormat/>
    <w:rPr>
      <w:sz w:val="18"/>
      <w:szCs w:val="18"/>
    </w:rPr>
  </w:style>
  <w:style w:type="paragraph" w:styleId="806">
    <w:name w:val="Footer"/>
    <w:basedOn w:val="779"/>
    <w:link w:val="1029"/>
    <w:uiPriority w:val="99"/>
    <w:qFormat/>
    <w:pPr>
      <w:jc w:val="left"/>
      <w:tabs>
        <w:tab w:val="center" w:pos="4153" w:leader="none"/>
        <w:tab w:val="right" w:pos="8306" w:leader="none"/>
      </w:tabs>
    </w:pPr>
    <w:rPr>
      <w:sz w:val="18"/>
      <w:szCs w:val="18"/>
    </w:rPr>
  </w:style>
  <w:style w:type="paragraph" w:styleId="807">
    <w:name w:val="Header"/>
    <w:basedOn w:val="779"/>
    <w:link w:val="1039"/>
    <w:uiPriority w:val="99"/>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79"/>
    <w:next w:val="779"/>
    <w:uiPriority w:val="39"/>
    <w:qFormat/>
  </w:style>
  <w:style w:type="paragraph" w:styleId="809">
    <w:name w:val="toc 4"/>
    <w:basedOn w:val="779"/>
    <w:next w:val="779"/>
    <w:uiPriority w:val="39"/>
    <w:unhideWhenUsed/>
    <w:qFormat/>
    <w:pPr>
      <w:ind w:left="850"/>
      <w:spacing w:after="57"/>
    </w:pPr>
  </w:style>
  <w:style w:type="paragraph" w:styleId="810">
    <w:name w:val="Subtitle"/>
    <w:basedOn w:val="779"/>
    <w:next w:val="779"/>
    <w:link w:val="908"/>
    <w:uiPriority w:val="11"/>
    <w:qFormat/>
    <w:pPr>
      <w:spacing w:before="200" w:after="200"/>
    </w:pPr>
    <w:rPr>
      <w:sz w:val="24"/>
    </w:rPr>
  </w:style>
  <w:style w:type="paragraph" w:styleId="811">
    <w:name w:val="footnote text"/>
    <w:basedOn w:val="779"/>
    <w:next w:val="794"/>
    <w:uiPriority w:val="0"/>
    <w:qFormat/>
    <w:pPr>
      <w:jc w:val="left"/>
    </w:pPr>
    <w:rPr>
      <w:rFonts w:ascii="宋体" w:eastAsia="Times New Roman"/>
      <w:sz w:val="18"/>
      <w:szCs w:val="18"/>
    </w:rPr>
  </w:style>
  <w:style w:type="paragraph" w:styleId="812">
    <w:name w:val="toc 6"/>
    <w:basedOn w:val="779"/>
    <w:next w:val="779"/>
    <w:uiPriority w:val="39"/>
    <w:unhideWhenUsed/>
    <w:qFormat/>
    <w:pPr>
      <w:ind w:left="1417"/>
      <w:spacing w:after="57"/>
    </w:pPr>
  </w:style>
  <w:style w:type="paragraph" w:styleId="813">
    <w:name w:val="table of figures"/>
    <w:basedOn w:val="779"/>
    <w:next w:val="779"/>
    <w:uiPriority w:val="99"/>
    <w:unhideWhenUsed/>
    <w:qFormat/>
  </w:style>
  <w:style w:type="paragraph" w:styleId="814">
    <w:name w:val="toc 2"/>
    <w:basedOn w:val="779"/>
    <w:next w:val="779"/>
    <w:uiPriority w:val="39"/>
    <w:unhideWhenUsed/>
    <w:qFormat/>
    <w:pPr>
      <w:ind w:left="283"/>
      <w:spacing w:after="57"/>
    </w:pPr>
  </w:style>
  <w:style w:type="paragraph" w:styleId="815">
    <w:name w:val="toc 9"/>
    <w:basedOn w:val="779"/>
    <w:next w:val="779"/>
    <w:uiPriority w:val="39"/>
    <w:unhideWhenUsed/>
    <w:qFormat/>
    <w:pPr>
      <w:ind w:left="2268"/>
      <w:spacing w:after="57"/>
    </w:pPr>
  </w:style>
  <w:style w:type="paragraph" w:styleId="816">
    <w:name w:val="Normal (Web)"/>
    <w:basedOn w:val="779"/>
    <w:uiPriority w:val="0"/>
    <w:qFormat/>
    <w:pPr>
      <w:jc w:val="left"/>
      <w:spacing w:before="100" w:beforeAutospacing="1" w:after="100" w:afterAutospacing="1"/>
      <w:widowControl/>
    </w:pPr>
    <w:rPr>
      <w:rFonts w:ascii="宋体" w:hAnsi="宋体" w:cs="宋体"/>
      <w:sz w:val="24"/>
    </w:rPr>
  </w:style>
  <w:style w:type="paragraph" w:styleId="817">
    <w:name w:val="Title"/>
    <w:basedOn w:val="779"/>
    <w:next w:val="779"/>
    <w:link w:val="907"/>
    <w:uiPriority w:val="10"/>
    <w:qFormat/>
    <w:pPr>
      <w:contextualSpacing/>
      <w:spacing w:before="300" w:after="200"/>
    </w:pPr>
    <w:rPr>
      <w:sz w:val="48"/>
      <w:szCs w:val="48"/>
    </w:rPr>
  </w:style>
  <w:style w:type="paragraph" w:styleId="818">
    <w:name w:val="annotation subject"/>
    <w:basedOn w:val="795"/>
    <w:next w:val="795"/>
    <w:link w:val="1035"/>
    <w:uiPriority w:val="0"/>
    <w:semiHidden/>
    <w:unhideWhenUsed/>
    <w:qFormat/>
    <w:rPr>
      <w:b/>
      <w:bCs/>
    </w:rPr>
  </w:style>
  <w:style w:type="paragraph" w:styleId="819">
    <w:name w:val="Body Text First Indent"/>
    <w:basedOn w:val="796"/>
    <w:next w:val="820"/>
    <w:uiPriority w:val="0"/>
    <w:qFormat/>
    <w:pPr>
      <w:ind w:firstLine="420"/>
    </w:pPr>
  </w:style>
  <w:style w:type="paragraph" w:styleId="820">
    <w:name w:val="Body Text First Indent 2"/>
    <w:basedOn w:val="797"/>
    <w:uiPriority w:val="0"/>
    <w:qFormat/>
    <w:pPr>
      <w:ind w:firstLine="420"/>
      <w:spacing w:line="360" w:lineRule="auto"/>
    </w:pPr>
    <w:rPr>
      <w:color w:val="000000"/>
      <w:sz w:val="20"/>
    </w:rPr>
  </w:style>
  <w:style w:type="table" w:styleId="821">
    <w:name w:val="Table Grid"/>
    <w:basedOn w:val="7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endnote reference"/>
    <w:basedOn w:val="789"/>
    <w:uiPriority w:val="99"/>
    <w:semiHidden/>
    <w:unhideWhenUsed/>
    <w:qFormat/>
    <w:rPr>
      <w:vertAlign w:val="superscript"/>
    </w:rPr>
  </w:style>
  <w:style w:type="character" w:styleId="823">
    <w:name w:val="page number"/>
    <w:basedOn w:val="789"/>
    <w:uiPriority w:val="0"/>
    <w:qFormat/>
  </w:style>
  <w:style w:type="character" w:styleId="824">
    <w:name w:val="Emphasis"/>
    <w:basedOn w:val="789"/>
    <w:uiPriority w:val="20"/>
    <w:qFormat/>
    <w:rPr>
      <w:i/>
    </w:rPr>
  </w:style>
  <w:style w:type="character" w:styleId="825">
    <w:name w:val="Hyperlink"/>
    <w:basedOn w:val="789"/>
    <w:uiPriority w:val="99"/>
    <w:unhideWhenUsed/>
    <w:qFormat/>
    <w:rPr>
      <w:color w:val="0000ff"/>
      <w:u w:val="single"/>
    </w:rPr>
  </w:style>
  <w:style w:type="character" w:styleId="826">
    <w:name w:val="annotation reference"/>
    <w:basedOn w:val="789"/>
    <w:uiPriority w:val="0"/>
    <w:semiHidden/>
    <w:unhideWhenUsed/>
    <w:qFormat/>
    <w:rPr>
      <w:sz w:val="21"/>
      <w:szCs w:val="21"/>
    </w:rPr>
  </w:style>
  <w:style w:type="character" w:styleId="827">
    <w:name w:val="footnote reference"/>
    <w:basedOn w:val="789"/>
    <w:uiPriority w:val="99"/>
    <w:unhideWhenUsed/>
    <w:qFormat/>
    <w:rPr>
      <w:vertAlign w:val="superscript"/>
    </w:rPr>
  </w:style>
  <w:style w:type="table" w:styleId="828"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列表段落1"/>
    <w:basedOn w:val="849"/>
    <w:next w:val="779"/>
    <w:uiPriority w:val="99"/>
    <w:qFormat/>
    <w:pPr>
      <w:ind w:firstLine="420"/>
    </w:pPr>
  </w:style>
  <w:style w:type="paragraph" w:styleId="849" w:customStyle="1">
    <w:name w:val="正文1"/>
    <w:basedOn w:val="850"/>
    <w:next w:val="851"/>
    <w:uiPriority w:val="0"/>
    <w:qFormat/>
    <w:pPr>
      <w:jc w:val="left"/>
      <w:spacing w:line="360" w:lineRule="atLeast"/>
    </w:pPr>
    <w:rPr>
      <w:rFonts w:ascii="宋体" w:hAnsiTheme="minorHAnsi" w:eastAsiaTheme="minorEastAsia" w:cstheme="minorBidi"/>
      <w:sz w:val="24"/>
      <w:szCs w:val="20"/>
    </w:rPr>
  </w:style>
  <w:style w:type="paragraph" w:styleId="850" w:customStyle="1">
    <w:name w:val="正文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目录 11"/>
    <w:basedOn w:val="852"/>
    <w:next w:val="854"/>
    <w:uiPriority w:val="0"/>
    <w:qFormat/>
    <w:pPr>
      <w:jc w:val="left"/>
      <w:spacing w:before="120" w:after="120"/>
      <w:widowControl/>
    </w:pPr>
    <w:rPr>
      <w:rFonts w:cs="Calibri"/>
      <w:b/>
      <w:bCs/>
      <w:caps/>
      <w:sz w:val="20"/>
      <w:szCs w:val="20"/>
    </w:rPr>
  </w:style>
  <w:style w:type="paragraph" w:styleId="852" w:customStyle="1">
    <w:name w:val="正文12"/>
    <w:next w:val="853"/>
    <w:uiPriority w:val="0"/>
    <w:qFormat/>
    <w:pPr>
      <w:jc w:val="both"/>
      <w:widowControl w:val="off"/>
    </w:pPr>
    <w:rPr>
      <w:rFonts w:hint="default" w:ascii="Calibri" w:hAnsi="Calibri" w:eastAsia="宋体" w:cs="Times New Roman"/>
      <w:sz w:val="21"/>
      <w:szCs w:val="24"/>
      <w:lang w:val="en-US" w:eastAsia="zh-CN" w:bidi="ar-SA"/>
    </w:rPr>
  </w:style>
  <w:style w:type="paragraph" w:styleId="853" w:customStyle="1">
    <w:name w:val="正文文本111"/>
    <w:basedOn w:val="852"/>
    <w:next w:val="852"/>
    <w:uiPriority w:val="0"/>
    <w:qFormat/>
  </w:style>
  <w:style w:type="paragraph" w:styleId="854" w:customStyle="1">
    <w:name w:val="正文1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文本11"/>
    <w:basedOn w:val="856"/>
    <w:next w:val="857"/>
    <w:uiPriority w:val="0"/>
    <w:qFormat/>
    <w:pPr>
      <w:spacing w:after="120"/>
    </w:pPr>
  </w:style>
  <w:style w:type="paragraph" w:styleId="856" w:customStyle="1">
    <w:name w:val="正文112"/>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9" w:customStyle="1">
    <w:name w:val="段"/>
    <w:basedOn w:val="849"/>
    <w:next w:val="779"/>
    <w:uiPriority w:val="0"/>
    <w:qFormat/>
    <w:pPr>
      <w:ind w:firstLine="200"/>
      <w:widowControl/>
    </w:pPr>
    <w:rPr>
      <w:sz w:val="20"/>
    </w:rPr>
  </w:style>
  <w:style w:type="paragraph" w:styleId="860" w:customStyle="1">
    <w:name w:val="正文文本1"/>
    <w:basedOn w:val="849"/>
    <w:next w:val="849"/>
    <w:uiPriority w:val="0"/>
    <w:qFormat/>
    <w:pPr>
      <w:spacing w:after="120"/>
    </w:pPr>
    <w:rPr>
      <w:lang w:eastAsia="en-US"/>
    </w:rPr>
  </w:style>
  <w:style w:type="paragraph" w:styleId="861" w:customStyle="1">
    <w:name w:val="文本块11"/>
    <w:basedOn w:val="852"/>
    <w:uiPriority w:val="0"/>
    <w:qFormat/>
    <w:pPr>
      <w:ind w:left="420" w:right="33"/>
      <w:jc w:val="left"/>
    </w:pPr>
    <w:rPr>
      <w:sz w:val="24"/>
      <w:szCs w:val="20"/>
    </w:rPr>
  </w:style>
  <w:style w:type="table" w:styleId="862"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paragraph" w:styleId="882" w:customStyle="1">
    <w:name w:val="正文缩进1"/>
    <w:basedOn w:val="779"/>
    <w:uiPriority w:val="0"/>
    <w:qFormat/>
    <w:pPr>
      <w:ind w:firstLine="420"/>
    </w:pPr>
  </w:style>
  <w:style w:type="character" w:styleId="883" w:customStyle="1">
    <w:name w:val="Heading 4 Char"/>
    <w:basedOn w:val="789"/>
    <w:uiPriority w:val="9"/>
    <w:qFormat/>
    <w:rPr>
      <w:rFonts w:ascii="Arial" w:hAnsi="Arial" w:eastAsia="Arial" w:cs="Arial"/>
      <w:b/>
      <w:bCs/>
      <w:sz w:val="26"/>
      <w:szCs w:val="26"/>
    </w:rPr>
  </w:style>
  <w:style w:type="character" w:styleId="884" w:customStyle="1">
    <w:name w:val="Heading 5 Char"/>
    <w:basedOn w:val="789"/>
    <w:uiPriority w:val="9"/>
    <w:qFormat/>
    <w:rPr>
      <w:rFonts w:ascii="Arial" w:hAnsi="Arial" w:eastAsia="Arial" w:cs="Arial"/>
      <w:b/>
      <w:bCs/>
      <w:sz w:val="24"/>
      <w:szCs w:val="24"/>
    </w:rPr>
  </w:style>
  <w:style w:type="character" w:styleId="885" w:customStyle="1">
    <w:name w:val="Heading 6 Char"/>
    <w:basedOn w:val="789"/>
    <w:uiPriority w:val="9"/>
    <w:qFormat/>
    <w:rPr>
      <w:rFonts w:ascii="Arial" w:hAnsi="Arial" w:eastAsia="Arial" w:cs="Arial"/>
      <w:b/>
      <w:bCs/>
      <w:sz w:val="22"/>
      <w:szCs w:val="22"/>
    </w:rPr>
  </w:style>
  <w:style w:type="character" w:styleId="886" w:customStyle="1">
    <w:name w:val="Heading 7 Char"/>
    <w:basedOn w:val="789"/>
    <w:uiPriority w:val="9"/>
    <w:qFormat/>
    <w:rPr>
      <w:rFonts w:ascii="Arial" w:hAnsi="Arial" w:eastAsia="Arial" w:cs="Arial"/>
      <w:b/>
      <w:bCs/>
      <w:i/>
      <w:iCs/>
      <w:sz w:val="22"/>
      <w:szCs w:val="22"/>
    </w:rPr>
  </w:style>
  <w:style w:type="character" w:styleId="887" w:customStyle="1">
    <w:name w:val="Heading 8 Char"/>
    <w:basedOn w:val="789"/>
    <w:uiPriority w:val="9"/>
    <w:qFormat/>
    <w:rPr>
      <w:rFonts w:ascii="Arial" w:hAnsi="Arial" w:eastAsia="Arial" w:cs="Arial"/>
      <w:i/>
      <w:iCs/>
      <w:sz w:val="22"/>
      <w:szCs w:val="22"/>
    </w:rPr>
  </w:style>
  <w:style w:type="character" w:styleId="888" w:customStyle="1">
    <w:name w:val="Heading 9 Char"/>
    <w:basedOn w:val="789"/>
    <w:uiPriority w:val="9"/>
    <w:qFormat/>
    <w:rPr>
      <w:rFonts w:ascii="Arial" w:hAnsi="Arial" w:eastAsia="Arial" w:cs="Arial"/>
      <w:i/>
      <w:iCs/>
      <w:sz w:val="21"/>
      <w:szCs w:val="21"/>
    </w:rPr>
  </w:style>
  <w:style w:type="character" w:styleId="889" w:customStyle="1">
    <w:name w:val="Title Char"/>
    <w:basedOn w:val="789"/>
    <w:uiPriority w:val="10"/>
    <w:qFormat/>
    <w:rPr>
      <w:sz w:val="48"/>
      <w:szCs w:val="48"/>
    </w:rPr>
  </w:style>
  <w:style w:type="character" w:styleId="890" w:customStyle="1">
    <w:name w:val="Subtitle Char"/>
    <w:basedOn w:val="789"/>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Endnote Text Char"/>
    <w:uiPriority w:val="99"/>
    <w:qFormat/>
    <w:rPr>
      <w:sz w:val="20"/>
    </w:rPr>
  </w:style>
  <w:style w:type="paragraph" w:styleId="894" w:customStyle="1">
    <w:name w:val="TOC 标题111"/>
    <w:uiPriority w:val="39"/>
    <w:unhideWhenUsed/>
    <w:qFormat/>
    <w:rPr>
      <w:rFonts w:hint="default" w:ascii="Times New Roman" w:hAnsi="Times New Roman" w:eastAsia="宋体" w:cs="Times New Roman"/>
      <w:lang w:val="en-US" w:eastAsia="zh-CN" w:bidi="ar-SA"/>
    </w:rPr>
  </w:style>
  <w:style w:type="paragraph" w:styleId="895" w:customStyle="1">
    <w:name w:val="脚注文本1"/>
    <w:basedOn w:val="849"/>
    <w:next w:val="896"/>
    <w:uiPriority w:val="0"/>
    <w:qFormat/>
    <w:rPr>
      <w:rFonts w:eastAsia="Times New Roman"/>
      <w:sz w:val="18"/>
      <w:szCs w:val="18"/>
    </w:rPr>
  </w:style>
  <w:style w:type="paragraph" w:styleId="896" w:customStyle="1">
    <w:name w:val="索引 51"/>
    <w:basedOn w:val="849"/>
    <w:next w:val="849"/>
    <w:uiPriority w:val="0"/>
    <w:qFormat/>
    <w:pPr>
      <w:ind w:left="798"/>
    </w:pPr>
    <w:rPr>
      <w:rFonts w:ascii="Calibri" w:hAnsi="Calibri"/>
    </w:rPr>
  </w:style>
  <w:style w:type="character" w:styleId="897" w:customStyle="1">
    <w:name w:val="Heading 1 Char"/>
    <w:basedOn w:val="789"/>
    <w:uiPriority w:val="9"/>
    <w:qFormat/>
    <w:rPr>
      <w:rFonts w:ascii="Arial" w:hAnsi="Arial" w:eastAsia="Arial" w:cs="Arial"/>
      <w:sz w:val="40"/>
      <w:szCs w:val="40"/>
    </w:rPr>
  </w:style>
  <w:style w:type="character" w:styleId="898" w:customStyle="1">
    <w:name w:val="Heading 2 Char"/>
    <w:basedOn w:val="789"/>
    <w:uiPriority w:val="9"/>
    <w:qFormat/>
    <w:rPr>
      <w:rFonts w:ascii="Arial" w:hAnsi="Arial" w:eastAsia="Arial" w:cs="Arial"/>
      <w:sz w:val="34"/>
    </w:rPr>
  </w:style>
  <w:style w:type="character" w:styleId="899" w:customStyle="1">
    <w:name w:val="Heading 3 Char"/>
    <w:basedOn w:val="789"/>
    <w:uiPriority w:val="9"/>
    <w:qFormat/>
    <w:rPr>
      <w:rFonts w:ascii="Arial" w:hAnsi="Arial" w:eastAsia="Arial" w:cs="Arial"/>
      <w:sz w:val="30"/>
      <w:szCs w:val="30"/>
    </w:rPr>
  </w:style>
  <w:style w:type="character" w:styleId="900" w:customStyle="1">
    <w:name w:val="标题 4 字符"/>
    <w:basedOn w:val="789"/>
    <w:link w:val="783"/>
    <w:uiPriority w:val="9"/>
    <w:qFormat/>
    <w:rPr>
      <w:rFonts w:ascii="Arial" w:hAnsi="Arial" w:eastAsia="Arial" w:cs="Arial"/>
      <w:b/>
      <w:bCs/>
      <w:sz w:val="26"/>
      <w:szCs w:val="26"/>
    </w:rPr>
  </w:style>
  <w:style w:type="character" w:styleId="901" w:customStyle="1">
    <w:name w:val="标题 5 字符"/>
    <w:basedOn w:val="789"/>
    <w:link w:val="784"/>
    <w:uiPriority w:val="9"/>
    <w:qFormat/>
    <w:rPr>
      <w:rFonts w:ascii="Arial" w:hAnsi="Arial" w:eastAsia="Arial" w:cs="Arial"/>
      <w:b/>
      <w:bCs/>
      <w:sz w:val="24"/>
      <w:szCs w:val="24"/>
    </w:rPr>
  </w:style>
  <w:style w:type="character" w:styleId="902" w:customStyle="1">
    <w:name w:val="标题 6 字符"/>
    <w:basedOn w:val="789"/>
    <w:link w:val="785"/>
    <w:uiPriority w:val="9"/>
    <w:qFormat/>
    <w:rPr>
      <w:rFonts w:ascii="Arial" w:hAnsi="Arial" w:eastAsia="Arial" w:cs="Arial"/>
      <w:b/>
      <w:bCs/>
      <w:sz w:val="22"/>
      <w:szCs w:val="22"/>
    </w:rPr>
  </w:style>
  <w:style w:type="character" w:styleId="903" w:customStyle="1">
    <w:name w:val="标题 7 字符"/>
    <w:basedOn w:val="789"/>
    <w:link w:val="786"/>
    <w:uiPriority w:val="9"/>
    <w:qFormat/>
    <w:rPr>
      <w:rFonts w:ascii="Arial" w:hAnsi="Arial" w:eastAsia="Arial" w:cs="Arial"/>
      <w:b/>
      <w:bCs/>
      <w:i/>
      <w:iCs/>
      <w:sz w:val="22"/>
      <w:szCs w:val="22"/>
    </w:rPr>
  </w:style>
  <w:style w:type="character" w:styleId="904" w:customStyle="1">
    <w:name w:val="标题 8 字符"/>
    <w:basedOn w:val="789"/>
    <w:link w:val="787"/>
    <w:uiPriority w:val="9"/>
    <w:qFormat/>
    <w:rPr>
      <w:rFonts w:ascii="Arial" w:hAnsi="Arial" w:eastAsia="Arial" w:cs="Arial"/>
      <w:i/>
      <w:iCs/>
      <w:sz w:val="22"/>
      <w:szCs w:val="22"/>
    </w:rPr>
  </w:style>
  <w:style w:type="character" w:styleId="905" w:customStyle="1">
    <w:name w:val="标题 9 字符"/>
    <w:basedOn w:val="789"/>
    <w:link w:val="788"/>
    <w:uiPriority w:val="9"/>
    <w:qFormat/>
    <w:rPr>
      <w:rFonts w:ascii="Arial" w:hAnsi="Arial" w:eastAsia="Arial" w:cs="Arial"/>
      <w:i/>
      <w:iCs/>
      <w:sz w:val="21"/>
      <w:szCs w:val="21"/>
    </w:rPr>
  </w:style>
  <w:style w:type="paragraph" w:styleId="906">
    <w:name w:val="No Spacing"/>
    <w:uiPriority w:val="1"/>
    <w:qFormat/>
    <w:rPr>
      <w:rFonts w:hint="default" w:ascii="Times New Roman" w:hAnsi="Times New Roman" w:eastAsia="宋体" w:cs="Times New Roman"/>
      <w:lang w:val="en-US" w:eastAsia="zh-CN" w:bidi="ar-SA"/>
    </w:rPr>
  </w:style>
  <w:style w:type="character" w:styleId="907" w:customStyle="1">
    <w:name w:val="标题 字符"/>
    <w:basedOn w:val="789"/>
    <w:link w:val="817"/>
    <w:uiPriority w:val="10"/>
    <w:qFormat/>
    <w:rPr>
      <w:sz w:val="48"/>
      <w:szCs w:val="48"/>
    </w:rPr>
  </w:style>
  <w:style w:type="character" w:styleId="908" w:customStyle="1">
    <w:name w:val="副标题 字符"/>
    <w:basedOn w:val="789"/>
    <w:link w:val="810"/>
    <w:uiPriority w:val="11"/>
    <w:qFormat/>
    <w:rPr>
      <w:sz w:val="24"/>
      <w:szCs w:val="24"/>
    </w:rPr>
  </w:style>
  <w:style w:type="paragraph" w:styleId="909">
    <w:name w:val="Quote"/>
    <w:basedOn w:val="779"/>
    <w:next w:val="779"/>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779"/>
    <w:next w:val="779"/>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basedOn w:val="789"/>
    <w:uiPriority w:val="99"/>
    <w:qFormat/>
  </w:style>
  <w:style w:type="character" w:styleId="914" w:customStyle="1">
    <w:name w:val="Footer Char"/>
    <w:basedOn w:val="789"/>
    <w:uiPriority w:val="99"/>
    <w:qFormat/>
  </w:style>
  <w:style w:type="character" w:styleId="915" w:customStyle="1">
    <w:name w:val="Caption Char"/>
    <w:uiPriority w:val="99"/>
    <w:qFormat/>
  </w:style>
  <w:style w:type="table" w:styleId="916"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7"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6"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0"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2"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3"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4"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5"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6"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7"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0"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 Accent 1"/>
    <w:basedOn w:val="7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7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7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7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7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7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6"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7"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8"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9"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0"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1"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2"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7"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9"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0"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1"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2"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3"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 Accent 1"/>
    <w:basedOn w:val="7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0"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4"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List Table 7 Colorful - Accent 1"/>
    <w:basedOn w:val="7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7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7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7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7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7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3"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7"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7"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8"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9"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0"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1"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2" w:customStyle="1">
    <w:name w:val="Footnote Text Char"/>
    <w:uiPriority w:val="99"/>
    <w:qFormat/>
    <w:rPr>
      <w:sz w:val="18"/>
    </w:rPr>
  </w:style>
  <w:style w:type="character" w:styleId="1023" w:customStyle="1">
    <w:name w:val="尾注文本 字符"/>
    <w:link w:val="804"/>
    <w:uiPriority w:val="99"/>
    <w:qFormat/>
    <w:rPr>
      <w:sz w:val="20"/>
    </w:rPr>
  </w:style>
  <w:style w:type="paragraph" w:styleId="1024" w:customStyle="1">
    <w:name w:val="TOC 标题11"/>
    <w:uiPriority w:val="39"/>
    <w:unhideWhenUsed/>
    <w:qFormat/>
    <w:rPr>
      <w:rFonts w:hint="default" w:ascii="Times New Roman" w:hAnsi="Times New Roman" w:eastAsia="宋体" w:cs="Times New Roman"/>
      <w:lang w:val="en-US" w:eastAsia="zh-CN" w:bidi="ar-SA"/>
    </w:rPr>
  </w:style>
  <w:style w:type="paragraph" w:styleId="1025" w:customStyle="1">
    <w:name w:val="p0"/>
    <w:basedOn w:val="779"/>
    <w:uiPriority w:val="0"/>
    <w:qFormat/>
    <w:pPr>
      <w:widowControl/>
    </w:pPr>
    <w:rPr>
      <w:szCs w:val="21"/>
    </w:rPr>
  </w:style>
  <w:style w:type="paragraph" w:styleId="1026">
    <w:name w:val="List Paragraph"/>
    <w:basedOn w:val="779"/>
    <w:uiPriority w:val="1"/>
    <w:qFormat/>
    <w:pPr>
      <w:ind w:firstLine="420"/>
    </w:pPr>
  </w:style>
  <w:style w:type="character" w:styleId="1027" w:customStyle="1">
    <w:name w:val="批注框文本 字符"/>
    <w:basedOn w:val="789"/>
    <w:link w:val="805"/>
    <w:uiPriority w:val="0"/>
    <w:qFormat/>
    <w:rPr>
      <w:rFonts w:ascii="Times New Roman" w:hAnsi="Times New Roman" w:eastAsia="宋体" w:cs="Times New Roman"/>
      <w:sz w:val="18"/>
      <w:szCs w:val="18"/>
    </w:rPr>
  </w:style>
  <w:style w:type="paragraph" w:styleId="10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9" w:customStyle="1">
    <w:name w:val="页脚 字符"/>
    <w:basedOn w:val="789"/>
    <w:link w:val="806"/>
    <w:uiPriority w:val="99"/>
    <w:qFormat/>
    <w:rPr>
      <w:rFonts w:ascii="Times New Roman" w:hAnsi="Times New Roman" w:eastAsia="宋体" w:cs="Times New Roman"/>
      <w:sz w:val="18"/>
      <w:szCs w:val="18"/>
    </w:rPr>
  </w:style>
  <w:style w:type="character" w:styleId="1030" w:customStyle="1">
    <w:name w:val="NormalCharacter"/>
    <w:uiPriority w:val="0"/>
    <w:semiHidden/>
    <w:qFormat/>
    <w:rPr>
      <w:sz w:val="28"/>
      <w:lang w:val="en-US" w:eastAsia="zh-CN" w:bidi="ar-SA"/>
    </w:rPr>
  </w:style>
  <w:style w:type="paragraph" w:styleId="1031" w:customStyle="1">
    <w:name w:val="179"/>
    <w:basedOn w:val="779"/>
    <w:uiPriority w:val="0"/>
    <w:qFormat/>
    <w:pPr>
      <w:ind w:firstLine="420"/>
      <w:jc w:val="left"/>
      <w:widowControl/>
    </w:pPr>
    <w:rPr>
      <w:rFonts w:ascii="宋体" w:hAnsi="宋体"/>
      <w:sz w:val="24"/>
    </w:rPr>
  </w:style>
  <w:style w:type="paragraph" w:styleId="103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3" w:customStyle="1">
    <w:name w:val="标准"/>
    <w:basedOn w:val="779"/>
    <w:uiPriority w:val="0"/>
    <w:qFormat/>
    <w:pPr>
      <w:ind w:firstLine="200"/>
      <w:spacing w:line="360" w:lineRule="auto"/>
    </w:pPr>
    <w:rPr>
      <w:rFonts w:cs="宋体"/>
      <w:sz w:val="20"/>
      <w:szCs w:val="20"/>
    </w:rPr>
  </w:style>
  <w:style w:type="character" w:styleId="1034" w:customStyle="1">
    <w:name w:val="批注文字 字符"/>
    <w:basedOn w:val="789"/>
    <w:link w:val="795"/>
    <w:uiPriority w:val="0"/>
    <w:semiHidden/>
    <w:qFormat/>
    <w:rPr>
      <w:rFonts w:ascii="Times New Roman" w:hAnsi="Times New Roman" w:eastAsia="宋体" w:cs="Times New Roman"/>
      <w:sz w:val="21"/>
      <w:szCs w:val="24"/>
    </w:rPr>
  </w:style>
  <w:style w:type="character" w:styleId="1035" w:customStyle="1">
    <w:name w:val="批注主题 字符"/>
    <w:basedOn w:val="1034"/>
    <w:link w:val="818"/>
    <w:uiPriority w:val="0"/>
    <w:semiHidden/>
    <w:qFormat/>
    <w:rPr>
      <w:rFonts w:ascii="Times New Roman" w:hAnsi="Times New Roman" w:eastAsia="宋体" w:cs="Times New Roman"/>
      <w:b/>
      <w:bCs/>
      <w:sz w:val="21"/>
      <w:szCs w:val="24"/>
    </w:rPr>
  </w:style>
  <w:style w:type="character" w:styleId="1036" w:customStyle="1">
    <w:name w:val="标题 2 字符"/>
    <w:basedOn w:val="789"/>
    <w:link w:val="781"/>
    <w:uiPriority w:val="9"/>
    <w:qFormat/>
    <w:rPr>
      <w:rFonts w:asciiTheme="majorHAnsi" w:hAnsiTheme="majorHAnsi" w:eastAsiaTheme="majorEastAsia" w:cstheme="majorBidi"/>
      <w:b/>
      <w:bCs/>
      <w:sz w:val="32"/>
      <w:szCs w:val="32"/>
    </w:rPr>
  </w:style>
  <w:style w:type="character" w:styleId="1037" w:customStyle="1">
    <w:name w:val="标题 3 字符"/>
    <w:basedOn w:val="789"/>
    <w:link w:val="782"/>
    <w:uiPriority w:val="9"/>
    <w:qFormat/>
    <w:rPr>
      <w:rFonts w:ascii="Times New Roman" w:hAnsi="Times New Roman" w:eastAsia="宋体" w:cs="Times New Roman"/>
      <w:b/>
      <w:bCs/>
      <w:sz w:val="32"/>
      <w:szCs w:val="32"/>
    </w:rPr>
  </w:style>
  <w:style w:type="character" w:styleId="1038" w:customStyle="1">
    <w:name w:val="标题 1 字符"/>
    <w:basedOn w:val="789"/>
    <w:link w:val="780"/>
    <w:uiPriority w:val="0"/>
    <w:qFormat/>
    <w:rPr>
      <w:rFonts w:ascii="Times New Roman" w:hAnsi="Times New Roman" w:eastAsia="新宋体" w:cs="Times New Roman"/>
      <w:b/>
      <w:bCs/>
      <w:sz w:val="30"/>
      <w:szCs w:val="44"/>
    </w:rPr>
  </w:style>
  <w:style w:type="character" w:styleId="1039" w:customStyle="1">
    <w:name w:val="页眉 字符"/>
    <w:basedOn w:val="789"/>
    <w:link w:val="807"/>
    <w:uiPriority w:val="99"/>
    <w:qFormat/>
    <w:rPr>
      <w:rFonts w:ascii="Times New Roman" w:hAnsi="Times New Roman" w:eastAsia="宋体" w:cs="Times New Roman"/>
      <w:sz w:val="18"/>
      <w:szCs w:val="18"/>
    </w:rPr>
  </w:style>
  <w:style w:type="character" w:styleId="1040" w:customStyle="1">
    <w:name w:val="正文文本 字符"/>
    <w:basedOn w:val="789"/>
    <w:link w:val="796"/>
    <w:uiPriority w:val="99"/>
    <w:qFormat/>
    <w:rPr>
      <w:rFonts w:ascii="Calibri" w:hAnsi="Calibri" w:eastAsia="宋体" w:cs="Times New Roman"/>
      <w:sz w:val="21"/>
      <w:szCs w:val="24"/>
    </w:rPr>
  </w:style>
  <w:style w:type="paragraph" w:styleId="1041" w:customStyle="1">
    <w:name w:val="_Style 11"/>
    <w:basedOn w:val="779"/>
    <w:next w:val="1026"/>
    <w:uiPriority w:val="34"/>
    <w:qFormat/>
    <w:pPr>
      <w:ind w:firstLine="420"/>
    </w:pPr>
    <w:rPr>
      <w:color w:val="000000"/>
      <w:szCs w:val="21"/>
    </w:rPr>
  </w:style>
  <w:style w:type="paragraph" w:styleId="1042" w:customStyle="1">
    <w:name w:val="BodyText1I2"/>
    <w:basedOn w:val="779"/>
    <w:uiPriority w:val="0"/>
    <w:qFormat/>
    <w:pPr>
      <w:ind w:firstLine="420"/>
      <w:spacing w:line="360" w:lineRule="auto"/>
      <w:widowControl/>
    </w:pPr>
    <w:rPr>
      <w:rFonts w:ascii="宋体" w:hAnsi="宋体" w:cstheme="minorBidi"/>
      <w:sz w:val="20"/>
      <w:szCs w:val="20"/>
    </w:rPr>
  </w:style>
  <w:style w:type="paragraph" w:styleId="1043" w:customStyle="1">
    <w:name w:val="UserStyle_133"/>
    <w:basedOn w:val="779"/>
    <w:uiPriority w:val="0"/>
    <w:qFormat/>
    <w:pPr>
      <w:widowControl/>
    </w:pPr>
    <w:rPr>
      <w:rFonts w:ascii="Tahoma" w:hAnsi="Tahoma" w:cstheme="minorBidi"/>
      <w:sz w:val="24"/>
    </w:rPr>
  </w:style>
  <w:style w:type="paragraph" w:styleId="1044" w:customStyle="1">
    <w:name w:val="AnnotationText"/>
    <w:basedOn w:val="779"/>
    <w:link w:val="1045"/>
    <w:uiPriority w:val="0"/>
    <w:qFormat/>
    <w:pPr>
      <w:jc w:val="left"/>
      <w:widowControl/>
    </w:pPr>
    <w:rPr>
      <w:rFonts w:cstheme="minorBidi"/>
    </w:rPr>
  </w:style>
  <w:style w:type="character" w:styleId="1045" w:customStyle="1">
    <w:name w:val="UserStyle_12"/>
    <w:link w:val="1044"/>
    <w:uiPriority w:val="0"/>
    <w:qFormat/>
    <w:rPr>
      <w:rFonts w:ascii="Times New Roman" w:hAnsi="Times New Roman" w:eastAsia="宋体"/>
      <w:sz w:val="21"/>
      <w:szCs w:val="24"/>
    </w:rPr>
  </w:style>
  <w:style w:type="paragraph" w:styleId="104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47" w:customStyle="1">
    <w:name w:val="*正文-表格"/>
    <w:basedOn w:val="779"/>
    <w:uiPriority w:val="0"/>
    <w:qFormat/>
    <w:rPr>
      <w:sz w:val="24"/>
      <w:szCs w:val="20"/>
    </w:rPr>
  </w:style>
  <w:style w:type="character" w:styleId="1048" w:customStyle="1">
    <w:name w:val="font21"/>
    <w:basedOn w:val="789"/>
    <w:uiPriority w:val="0"/>
    <w:qFormat/>
    <w:rPr>
      <w:rFonts w:hint="eastAsia" w:ascii="宋体" w:hAnsi="宋体" w:eastAsia="宋体" w:cs="宋体"/>
      <w:b/>
      <w:bCs/>
      <w:color w:val="000000"/>
      <w:sz w:val="28"/>
      <w:szCs w:val="28"/>
      <w:u w:val="none"/>
    </w:rPr>
  </w:style>
  <w:style w:type="paragraph" w:styleId="1049" w:customStyle="1">
    <w:name w:val="标题 5（有编号）（绿盟科技）"/>
    <w:basedOn w:val="779"/>
    <w:next w:val="105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51" w:customStyle="1">
    <w:name w:val="投标文件正文"/>
    <w:basedOn w:val="779"/>
    <w:uiPriority w:val="0"/>
    <w:qFormat/>
    <w:pPr>
      <w:ind w:firstLine="200"/>
      <w:spacing w:before="40" w:after="40" w:line="400" w:lineRule="exact"/>
    </w:pPr>
    <w:rPr>
      <w:sz w:val="24"/>
    </w:rPr>
  </w:style>
  <w:style w:type="paragraph" w:styleId="1052" w:customStyle="1">
    <w:name w:val="标题 21"/>
    <w:basedOn w:val="779"/>
    <w:next w:val="779"/>
    <w:uiPriority w:val="0"/>
    <w:qFormat/>
    <w:pPr>
      <w:jc w:val="left"/>
      <w:keepLines/>
      <w:keepNext/>
      <w:spacing w:before="50"/>
      <w:tabs>
        <w:tab w:val="left" w:pos="0" w:leader="none"/>
      </w:tabs>
    </w:pPr>
    <w:rPr>
      <w:rFonts w:ascii="Arial" w:hAnsi="Arial" w:eastAsia="黑体"/>
      <w:sz w:val="32"/>
      <w:szCs w:val="20"/>
    </w:rPr>
  </w:style>
  <w:style w:type="paragraph" w:styleId="1053" w:customStyle="1">
    <w:name w:val="BodyTextIndent"/>
    <w:basedOn w:val="779"/>
    <w:next w:val="1054"/>
    <w:uiPriority w:val="0"/>
    <w:qFormat/>
    <w:pPr>
      <w:ind w:left="420"/>
      <w:spacing w:after="120"/>
    </w:pPr>
  </w:style>
  <w:style w:type="paragraph" w:styleId="1054" w:customStyle="1">
    <w:name w:val="EnvelopeReturn"/>
    <w:basedOn w:val="779"/>
    <w:uiPriority w:val="0"/>
    <w:qFormat/>
    <w:rPr>
      <w:rFonts w:ascii="Arial" w:hAnsi="Arial"/>
    </w:rPr>
  </w:style>
  <w:style w:type="paragraph" w:styleId="1055" w:customStyle="1">
    <w:name w:val="Table Paragraph"/>
    <w:basedOn w:val="779"/>
    <w:uiPriority w:val="1"/>
    <w:qFormat/>
    <w:pPr>
      <w:ind w:left="107"/>
    </w:pPr>
    <w:rPr>
      <w:rFonts w:ascii="宋体" w:hAnsi="宋体" w:cs="宋体"/>
    </w:rPr>
  </w:style>
  <w:style w:type="paragraph" w:styleId="1056" w:customStyle="1">
    <w:name w:val="列出段落1"/>
    <w:basedOn w:val="779"/>
    <w:uiPriority w:val="34"/>
    <w:qFormat/>
    <w:pPr>
      <w:ind w:left="480"/>
      <w:jc w:val="left"/>
    </w:pPr>
    <w:rPr>
      <w:rFonts w:ascii="Calibri" w:hAnsi="Calibri" w:eastAsia="PMingLiU"/>
      <w:sz w:val="24"/>
      <w:szCs w:val="20"/>
      <w:lang w:eastAsia="zh-TW"/>
    </w:rPr>
  </w:style>
  <w:style w:type="paragraph" w:styleId="105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58" w:customStyle="1">
    <w:name w:val="font51"/>
    <w:uiPriority w:val="0"/>
    <w:qFormat/>
    <w:rPr>
      <w:rFonts w:hint="eastAsia" w:ascii="微软雅黑" w:hAnsi="微软雅黑" w:eastAsia="微软雅黑" w:cs="微软雅黑"/>
      <w:color w:val="000000"/>
      <w:sz w:val="16"/>
      <w:szCs w:val="16"/>
      <w:u w:val="none"/>
    </w:rPr>
  </w:style>
  <w:style w:type="character" w:styleId="1059" w:customStyle="1">
    <w:name w:val="font01"/>
    <w:basedOn w:val="789"/>
    <w:uiPriority w:val="0"/>
    <w:qFormat/>
    <w:rPr>
      <w:rFonts w:hint="eastAsia" w:ascii="微软雅黑" w:hAnsi="微软雅黑" w:eastAsia="微软雅黑" w:cs="微软雅黑"/>
      <w:color w:val="000000"/>
      <w:sz w:val="16"/>
      <w:szCs w:val="16"/>
      <w:u w:val="none"/>
    </w:rPr>
  </w:style>
  <w:style w:type="character" w:styleId="1060" w:customStyle="1">
    <w:name w:val="font31"/>
    <w:basedOn w:val="789"/>
    <w:uiPriority w:val="0"/>
    <w:qFormat/>
    <w:rPr>
      <w:rFonts w:hint="eastAsia" w:ascii="微软雅黑" w:hAnsi="微软雅黑" w:eastAsia="微软雅黑" w:cs="微软雅黑"/>
      <w:color w:val="000000"/>
      <w:sz w:val="16"/>
      <w:szCs w:val="16"/>
      <w:u w:val="none"/>
    </w:rPr>
  </w:style>
  <w:style w:type="paragraph" w:styleId="1061" w:customStyle="1">
    <w:name w:val="BlockQuote"/>
    <w:basedOn w:val="850"/>
    <w:uiPriority w:val="0"/>
    <w:qFormat/>
    <w:pPr>
      <w:ind w:left="256" w:right="6" w:firstLine="624"/>
    </w:pPr>
    <w:rPr>
      <w:rFonts w:eastAsia="仿宋_GB2312"/>
      <w:sz w:val="28"/>
    </w:rPr>
  </w:style>
  <w:style w:type="paragraph" w:styleId="1062" w:customStyle="1">
    <w:name w:val="目录 111"/>
    <w:basedOn w:val="852"/>
    <w:next w:val="779"/>
    <w:uiPriority w:val="0"/>
    <w:qFormat/>
    <w:pPr>
      <w:spacing w:after="100" w:line="259" w:lineRule="auto"/>
      <w:widowControl/>
    </w:pPr>
    <w:rPr>
      <w:rFonts w:ascii="Calibri" w:hAnsi="Calibri"/>
      <w:sz w:val="22"/>
      <w:szCs w:val="22"/>
    </w:rPr>
  </w:style>
  <w:style w:type="paragraph" w:styleId="1063" w:customStyle="1">
    <w:name w:val="纯文本1"/>
    <w:basedOn w:val="850"/>
    <w:uiPriority w:val="0"/>
    <w:qFormat/>
    <w:rPr>
      <w:rFonts w:ascii="宋体" w:hAnsi="Courier New"/>
      <w:szCs w:val="21"/>
    </w:rPr>
  </w:style>
  <w:style w:type="paragraph" w:styleId="1064" w:customStyle="1">
    <w:name w:val="文本块1"/>
    <w:basedOn w:val="850"/>
    <w:uiPriority w:val="0"/>
    <w:qFormat/>
    <w:pPr>
      <w:ind w:left="256" w:right="6" w:firstLine="624"/>
    </w:pPr>
    <w:rPr>
      <w:rFonts w:eastAsia="仿宋"/>
      <w:sz w:val="28"/>
      <w:szCs w:val="20"/>
    </w:rPr>
  </w:style>
  <w:style w:type="paragraph" w:styleId="1065" w:customStyle="1">
    <w:name w:val="目录 1112"/>
    <w:basedOn w:val="779"/>
    <w:next w:val="779"/>
    <w:uiPriority w:val="39"/>
    <w:qFormat/>
  </w:style>
  <w:style w:type="paragraph" w:styleId="1066" w:customStyle="1">
    <w:name w:val="页眉11"/>
    <w:basedOn w:val="779"/>
    <w:uiPriority w:val="0"/>
    <w:qFormat/>
    <w:pPr>
      <w:jc w:val="center"/>
      <w:tabs>
        <w:tab w:val="center" w:pos="4153" w:leader="none"/>
        <w:tab w:val="right" w:pos="8306" w:leader="none"/>
      </w:tabs>
      <w:pBdr>
        <w:bottom w:val="single" w:color="000000" w:sz="6" w:space="1"/>
      </w:pBdr>
    </w:pPr>
    <w:rPr>
      <w:sz w:val="18"/>
      <w:szCs w:val="18"/>
    </w:rPr>
  </w:style>
  <w:style w:type="paragraph" w:styleId="1067" w:customStyle="1">
    <w:name w:val="页脚11"/>
    <w:basedOn w:val="779"/>
    <w:uiPriority w:val="99"/>
    <w:qFormat/>
    <w:pPr>
      <w:jc w:val="left"/>
      <w:tabs>
        <w:tab w:val="center" w:pos="4153" w:leader="none"/>
        <w:tab w:val="right" w:pos="8306" w:leader="none"/>
      </w:tabs>
    </w:pPr>
    <w:rPr>
      <w:sz w:val="18"/>
      <w:szCs w:val="18"/>
    </w:rPr>
  </w:style>
  <w:style w:type="character" w:styleId="1068" w:customStyle="1">
    <w:name w:val="页码1"/>
    <w:uiPriority w:val="0"/>
    <w:qFormat/>
  </w:style>
  <w:style w:type="character" w:styleId="1069" w:customStyle="1">
    <w:name w:val="NormalCharacter1"/>
    <w:link w:val="779"/>
    <w:uiPriority w:val="0"/>
    <w:semiHidden/>
    <w:qFormat/>
    <w:rPr>
      <w:rFonts w:hint="default" w:ascii="Times New Roman" w:hAnsi="Times New Roman" w:eastAsia="宋体" w:cs="Times New Roman"/>
      <w:sz w:val="21"/>
      <w:szCs w:val="24"/>
      <w:lang w:val="en-US" w:eastAsia="zh-CN" w:bidi="ar-SA"/>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李振</cp:lastModifiedBy>
  <cp:revision>298</cp:revision>
  <dcterms:created xsi:type="dcterms:W3CDTF">2021-06-29T06:28:00Z</dcterms:created>
  <dcterms:modified xsi:type="dcterms:W3CDTF">2026-04-20T07:21:48Z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37E6FDD9FDC942A68D676A82E1957DCB_13</vt:lpwstr>
  </property>
  <property fmtid="{D5CDD505-2E9C-101B-9397-08002B2CF9AE}" pid="4" name="KSOTemplateDocerSaveRecord">
    <vt:lpwstr>eyJoZGlkIjoiMDljYzUzMWQ4OWI0YzBkYjYzMDRhZTY5ZjZkYmFmYTgiLCJ1c2VySWQiOiIxMzc1NTQ2OTE2In0=</vt:lpwstr>
  </property>
</Properties>
</file>