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pStyle w:val="1100"/>
        <w:rPr>
          <w:rFonts w:hint="eastAsia"/>
        </w:rPr>
      </w:pPr>
      <w:r>
        <w:rPr>
          <w:rFonts w:hint="eastAsia"/>
        </w:rPr>
      </w:r>
      <w:r/>
    </w:p>
    <w:p>
      <w:r/>
      <w:r/>
    </w:p>
    <w:p>
      <w:pPr>
        <w:pStyle w:val="1100"/>
        <w:rPr>
          <w:rFonts w:hint="eastAsia"/>
        </w:rPr>
      </w:pPr>
      <w:r>
        <w:rPr>
          <w:rFonts w:hint="eastAsia"/>
        </w:rPr>
      </w:r>
      <w:r/>
    </w:p>
    <w:p>
      <w:r/>
      <w:r/>
    </w:p>
    <w:p>
      <w:pPr>
        <w:pStyle w:val="1100"/>
        <w:rPr>
          <w:rFonts w:hint="eastAsia"/>
        </w:rPr>
      </w:pPr>
      <w:r>
        <w:rPr>
          <w:rFonts w:hint="eastAsia"/>
        </w:rPr>
      </w:r>
      <w:r/>
    </w:p>
    <w:p>
      <w:pPr>
        <w:jc w:val="center"/>
        <w:spacing w:line="360" w:lineRule="auto"/>
        <w:rPr>
          <w:sz w:val="60"/>
          <w:szCs w:val="60"/>
        </w:rPr>
      </w:pPr>
      <w:r>
        <w:rPr>
          <w:sz w:val="60"/>
          <w:szCs w:val="60"/>
        </w:rPr>
      </w:r>
      <w:r/>
    </w:p>
    <w:p>
      <w:pPr>
        <w:pStyle w:val="1100"/>
        <w:rPr>
          <w:rFonts w:hint="eastAsia"/>
        </w:rPr>
      </w:pPr>
      <w:r>
        <w:rPr>
          <w:rFonts w:hint="eastAsia"/>
        </w:rPr>
      </w:r>
      <w:r/>
    </w:p>
    <w:p>
      <w:r/>
      <w:r/>
    </w:p>
    <w:p>
      <w:pPr>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武进国家高新区智慧园区信息化项目2026年度维护服务</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JSZC-320412-SZDD-G2026-0002     </w:t>
      </w:r>
      <w:r/>
    </w:p>
    <w:p>
      <w:pPr>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武进高新技术产业开发区创新发展中心</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江苏晟泽工程造价咨询有限公司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lang w:val="en-US" w:eastAsia="zh-CN"/>
        </w:rPr>
        <w:t xml:space="preserve">四</w:t>
      </w:r>
      <w:r>
        <w:rPr>
          <w:rFonts w:hint="eastAsia"/>
          <w:bCs/>
          <w:sz w:val="36"/>
          <w:szCs w:val="36"/>
        </w:rPr>
        <w:t xml:space="preserve">月</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left"/>
        <w:spacing w:line="360" w:lineRule="auto"/>
        <w:tabs>
          <w:tab w:val="left" w:pos="3240" w:leader="none"/>
          <w:tab w:val="left" w:pos="3420" w:leader="none"/>
        </w:tabs>
        <w:rPr>
          <w:bCs/>
          <w:sz w:val="36"/>
          <w:szCs w:val="36"/>
        </w:rPr>
      </w:pPr>
      <w:r>
        <w:rPr>
          <w:bCs/>
          <w:sz w:val="36"/>
          <w:szCs w:val="36"/>
        </w:rPr>
      </w:r>
      <w:r/>
    </w:p>
    <w:p>
      <w:pPr>
        <w:jc w:val="center"/>
        <w:spacing w:line="360" w:lineRule="auto"/>
        <w:rPr>
          <w:b/>
          <w:sz w:val="36"/>
          <w:szCs w:val="36"/>
        </w:rPr>
        <w:outlineLvl w:val="0"/>
      </w:pPr>
      <w:r/>
      <w:bookmarkStart w:id="0" w:name="_Toc139400505"/>
      <w:r/>
      <w:bookmarkStart w:id="1" w:name="_Toc139400573"/>
      <w:r/>
      <w:bookmarkStart w:id="2" w:name="_Toc99301418"/>
      <w:r>
        <w:rPr>
          <w:b/>
          <w:sz w:val="36"/>
          <w:szCs w:val="36"/>
        </w:rPr>
        <w:t xml:space="preserve">目      录</w:t>
      </w:r>
      <w:bookmarkEnd w:id="0"/>
      <w:r/>
      <w:bookmarkEnd w:id="1"/>
      <w:r/>
      <w:bookmarkEnd w:id="2"/>
      <w:r/>
      <w:r/>
    </w:p>
    <w:p>
      <w:r/>
      <w:r/>
    </w:p>
    <w:p>
      <w:r/>
      <w:r/>
    </w:p>
    <w:p>
      <w:r/>
      <w:r/>
    </w:p>
    <w:p>
      <w:pPr>
        <w:pStyle w:val="1092"/>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92"/>
        <w:rPr>
          <w:rFonts w:hint="eastAsia" w:ascii="等线" w:hAnsi="等线" w:eastAsia="等线"/>
          <w:b w:val="0"/>
          <w:sz w:val="21"/>
          <w:szCs w:val="22"/>
        </w:rPr>
      </w:pPr>
      <w:r>
        <w:fldChar w:fldCharType="begin"/>
      </w:r>
      <w:r>
        <w:instrText xml:space="preserve"> HYPERLINK \l "_Toc139400574" </w:instrText>
      </w:r>
      <w:r>
        <w:fldChar w:fldCharType="separate"/>
      </w:r>
      <w:r>
        <w:rPr>
          <w:rStyle w:val="1098"/>
          <w:color w:val="auto"/>
        </w:rPr>
        <w:t xml:space="preserve">第一章   </w:t>
      </w:r>
      <w:r>
        <w:rPr>
          <w:rStyle w:val="1098"/>
          <w:rFonts w:hint="eastAsia"/>
          <w:color w:val="auto"/>
        </w:rPr>
        <w:t xml:space="preserve">投标邀请</w:t>
      </w:r>
      <w:r>
        <w:tab/>
      </w:r>
      <w:r>
        <w:fldChar w:fldCharType="begin"/>
      </w:r>
      <w:r>
        <w:instrText xml:space="preserve"> PAGEREF _Toc139400574 \h </w:instrText>
      </w:r>
      <w:r>
        <w:fldChar w:fldCharType="separate"/>
      </w:r>
      <w:r>
        <w:t xml:space="preserve">3</w:t>
      </w:r>
      <w:r>
        <w:fldChar w:fldCharType="end"/>
      </w:r>
      <w:r>
        <w:fldChar w:fldCharType="end"/>
      </w:r>
      <w:r/>
    </w:p>
    <w:p>
      <w:pPr>
        <w:pStyle w:val="1092"/>
        <w:rPr>
          <w:rFonts w:hint="eastAsia" w:ascii="等线" w:hAnsi="等线" w:eastAsia="等线"/>
          <w:b w:val="0"/>
          <w:sz w:val="21"/>
          <w:szCs w:val="22"/>
        </w:rPr>
      </w:pPr>
      <w:r>
        <w:fldChar w:fldCharType="begin"/>
      </w:r>
      <w:r>
        <w:instrText xml:space="preserve"> HYPERLINK \l "_Toc139400575" </w:instrText>
      </w:r>
      <w:r>
        <w:fldChar w:fldCharType="separate"/>
      </w:r>
      <w:r>
        <w:rPr>
          <w:rStyle w:val="1098"/>
          <w:color w:val="auto"/>
        </w:rPr>
        <w:t xml:space="preserve">第二章   投标人须知</w:t>
      </w:r>
      <w:r>
        <w:tab/>
      </w:r>
      <w:r>
        <w:fldChar w:fldCharType="begin"/>
      </w:r>
      <w:r>
        <w:instrText xml:space="preserve"> PAGEREF _Toc139400575 \h </w:instrText>
      </w:r>
      <w:r>
        <w:fldChar w:fldCharType="separate"/>
      </w:r>
      <w:r>
        <w:t xml:space="preserve">7</w:t>
      </w:r>
      <w:r>
        <w:fldChar w:fldCharType="end"/>
      </w:r>
      <w:r>
        <w:fldChar w:fldCharType="end"/>
      </w:r>
      <w:r/>
    </w:p>
    <w:p>
      <w:pPr>
        <w:pStyle w:val="1092"/>
        <w:rPr>
          <w:rFonts w:hint="eastAsia" w:ascii="等线" w:hAnsi="等线" w:eastAsia="等线"/>
          <w:b w:val="0"/>
          <w:sz w:val="21"/>
          <w:szCs w:val="22"/>
        </w:rPr>
      </w:pPr>
      <w:r>
        <w:fldChar w:fldCharType="begin"/>
      </w:r>
      <w:r>
        <w:instrText xml:space="preserve"> HYPERLINK \l "_Toc139400576" </w:instrText>
      </w:r>
      <w:r>
        <w:fldChar w:fldCharType="separate"/>
      </w:r>
      <w:r>
        <w:rPr>
          <w:rStyle w:val="1098"/>
          <w:color w:val="auto"/>
        </w:rPr>
        <w:t xml:space="preserve">第三章   资格审查</w:t>
      </w:r>
      <w:r>
        <w:tab/>
      </w:r>
      <w:r>
        <w:fldChar w:fldCharType="begin"/>
      </w:r>
      <w:r>
        <w:instrText xml:space="preserve"> PAGEREF _Toc139400576 \h </w:instrText>
      </w:r>
      <w:r>
        <w:fldChar w:fldCharType="separate"/>
      </w:r>
      <w:r>
        <w:t xml:space="preserve">22</w:t>
      </w:r>
      <w:r>
        <w:fldChar w:fldCharType="end"/>
      </w:r>
      <w:r>
        <w:fldChar w:fldCharType="end"/>
      </w:r>
      <w:r/>
    </w:p>
    <w:p>
      <w:pPr>
        <w:pStyle w:val="1092"/>
        <w:rPr>
          <w:rFonts w:hint="eastAsia" w:ascii="等线" w:hAnsi="等线" w:eastAsia="等线"/>
          <w:b w:val="0"/>
          <w:sz w:val="21"/>
          <w:szCs w:val="22"/>
        </w:rPr>
      </w:pPr>
      <w:r>
        <w:fldChar w:fldCharType="begin"/>
      </w:r>
      <w:r>
        <w:instrText xml:space="preserve"> HYPERLINK \l "_Toc139400577" </w:instrText>
      </w:r>
      <w:r>
        <w:fldChar w:fldCharType="separate"/>
      </w:r>
      <w:r>
        <w:rPr>
          <w:rStyle w:val="1098"/>
          <w:color w:val="auto"/>
        </w:rPr>
        <w:t xml:space="preserve">第四章   评标程序、评标方法和评标标准</w:t>
      </w:r>
      <w:r>
        <w:tab/>
      </w:r>
      <w:r>
        <w:fldChar w:fldCharType="begin"/>
      </w:r>
      <w:r>
        <w:instrText xml:space="preserve"> PAGEREF _Toc139400577 \h </w:instrText>
      </w:r>
      <w:r>
        <w:fldChar w:fldCharType="separate"/>
      </w:r>
      <w:r>
        <w:t xml:space="preserve">24</w:t>
      </w:r>
      <w:r>
        <w:fldChar w:fldCharType="end"/>
      </w:r>
      <w:r>
        <w:fldChar w:fldCharType="end"/>
      </w:r>
      <w:r/>
    </w:p>
    <w:p>
      <w:pPr>
        <w:pStyle w:val="1092"/>
        <w:rPr>
          <w:rFonts w:hint="eastAsia" w:ascii="等线" w:hAnsi="等线" w:eastAsia="等线"/>
          <w:b w:val="0"/>
          <w:sz w:val="21"/>
          <w:szCs w:val="22"/>
        </w:rPr>
      </w:pPr>
      <w:r>
        <w:fldChar w:fldCharType="begin"/>
      </w:r>
      <w:r>
        <w:instrText xml:space="preserve"> HYPERLINK \l "_Toc139400578" </w:instrText>
      </w:r>
      <w:r>
        <w:fldChar w:fldCharType="separate"/>
      </w:r>
      <w:r>
        <w:rPr>
          <w:rStyle w:val="1098"/>
          <w:color w:val="auto"/>
        </w:rPr>
        <w:t xml:space="preserve">第五章   采购需求</w:t>
      </w:r>
      <w:r>
        <w:tab/>
      </w:r>
      <w:r>
        <w:fldChar w:fldCharType="begin"/>
      </w:r>
      <w:r>
        <w:instrText xml:space="preserve"> PAGEREF _Toc139400578 \h </w:instrText>
      </w:r>
      <w:r>
        <w:fldChar w:fldCharType="separate"/>
      </w:r>
      <w:r>
        <w:t xml:space="preserve">32</w:t>
      </w:r>
      <w:r>
        <w:fldChar w:fldCharType="end"/>
      </w:r>
      <w:r>
        <w:fldChar w:fldCharType="end"/>
      </w:r>
      <w:r/>
    </w:p>
    <w:p>
      <w:pPr>
        <w:pStyle w:val="1092"/>
        <w:rPr>
          <w:rFonts w:hint="eastAsia" w:ascii="等线" w:hAnsi="等线" w:eastAsia="等线"/>
          <w:b w:val="0"/>
          <w:sz w:val="21"/>
          <w:szCs w:val="22"/>
        </w:rPr>
      </w:pPr>
      <w:r>
        <w:fldChar w:fldCharType="begin"/>
      </w:r>
      <w:r>
        <w:instrText xml:space="preserve"> HYPERLINK \l "_Toc139400579" </w:instrText>
      </w:r>
      <w:r>
        <w:fldChar w:fldCharType="separate"/>
      </w:r>
      <w:r>
        <w:rPr>
          <w:rStyle w:val="1098"/>
          <w:color w:val="auto"/>
        </w:rPr>
        <w:t xml:space="preserve">第六章   拟签订的合同文本</w:t>
      </w:r>
      <w:r>
        <w:tab/>
      </w:r>
      <w:r>
        <w:rPr>
          <w:rFonts w:hint="eastAsia"/>
        </w:rPr>
        <w:t xml:space="preserve">43</w:t>
      </w:r>
      <w:r>
        <w:rPr>
          <w:rFonts w:hint="eastAsia"/>
        </w:rPr>
        <w:fldChar w:fldCharType="end"/>
      </w:r>
      <w:r/>
    </w:p>
    <w:p>
      <w:pPr>
        <w:pStyle w:val="1092"/>
        <w:rPr>
          <w:rFonts w:hint="eastAsia" w:ascii="等线" w:hAnsi="等线" w:eastAsia="等线"/>
          <w:b w:val="0"/>
          <w:sz w:val="21"/>
          <w:szCs w:val="22"/>
        </w:rPr>
      </w:pPr>
      <w:r>
        <w:fldChar w:fldCharType="begin"/>
      </w:r>
      <w:r>
        <w:instrText xml:space="preserve"> HYPERLINK \l "_Toc139400580" </w:instrText>
      </w:r>
      <w:r>
        <w:fldChar w:fldCharType="separate"/>
      </w:r>
      <w:r>
        <w:rPr>
          <w:rStyle w:val="1098"/>
          <w:color w:val="auto"/>
        </w:rPr>
        <w:t xml:space="preserve">第七章   投标文件的组成及提交须知</w:t>
      </w:r>
      <w:r>
        <w:tab/>
      </w:r>
      <w:r>
        <w:fldChar w:fldCharType="begin"/>
      </w:r>
      <w:r>
        <w:instrText xml:space="preserve"> PAGEREF _Toc139400580 \h </w:instrText>
      </w:r>
      <w:r>
        <w:fldChar w:fldCharType="separate"/>
      </w:r>
      <w:r>
        <w:t xml:space="preserve">50</w:t>
      </w:r>
      <w:r>
        <w:fldChar w:fldCharType="end"/>
      </w:r>
      <w:r>
        <w:fldChar w:fldCharType="end"/>
      </w:r>
      <w:r/>
    </w:p>
    <w:p>
      <w:pPr>
        <w:pStyle w:val="1092"/>
        <w:rPr>
          <w:rFonts w:hint="eastAsia" w:ascii="等线" w:hAnsi="等线" w:eastAsia="等线"/>
          <w:b w:val="0"/>
          <w:sz w:val="21"/>
          <w:szCs w:val="22"/>
        </w:rPr>
      </w:pPr>
      <w:r>
        <w:fldChar w:fldCharType="begin"/>
      </w:r>
      <w:r>
        <w:instrText xml:space="preserve"> HYPERLINK \l "_Toc139400586" </w:instrText>
      </w:r>
      <w:r>
        <w:fldChar w:fldCharType="separate"/>
      </w:r>
      <w:r>
        <w:rPr>
          <w:rStyle w:val="1098"/>
          <w:color w:val="auto"/>
        </w:rPr>
        <w:t xml:space="preserve">第八章   投标文件格式</w:t>
      </w:r>
      <w:r>
        <w:tab/>
      </w:r>
      <w:r>
        <w:fldChar w:fldCharType="begin"/>
      </w:r>
      <w:r>
        <w:instrText xml:space="preserve"> PAGEREF _Toc139400586 \h </w:instrText>
      </w:r>
      <w:r>
        <w:fldChar w:fldCharType="separate"/>
      </w:r>
      <w:r>
        <w:t xml:space="preserve">59</w:t>
      </w:r>
      <w:r>
        <w:fldChar w:fldCharType="end"/>
      </w:r>
      <w:r>
        <w:fldChar w:fldCharType="end"/>
      </w:r>
      <w:r/>
    </w:p>
    <w:p>
      <w:pPr>
        <w:pStyle w:val="1092"/>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jc w:val="center"/>
        <w:spacing w:line="360" w:lineRule="auto"/>
        <w:rPr>
          <w:sz w:val="24"/>
        </w:rPr>
        <w:outlineLvl w:val="0"/>
      </w:pPr>
      <w:r>
        <w:rPr>
          <w:sz w:val="24"/>
        </w:rPr>
      </w:r>
      <w:r/>
    </w:p>
    <w:p>
      <w:pPr>
        <w:jc w:val="center"/>
        <w:spacing w:line="360" w:lineRule="auto"/>
        <w:rPr>
          <w:sz w:val="24"/>
        </w:rPr>
        <w:outlineLvl w:val="0"/>
      </w:pPr>
      <w:r>
        <w:rPr>
          <w:sz w:val="24"/>
        </w:rPr>
      </w:r>
      <w:r/>
    </w:p>
    <w:p>
      <w:pPr>
        <w:spacing w:line="360" w:lineRule="auto"/>
        <w:tabs>
          <w:tab w:val="left" w:pos="986" w:leader="none"/>
        </w:tabs>
        <w:rPr>
          <w:sz w:val="24"/>
        </w:rPr>
        <w:outlineLvl w:val="0"/>
      </w:pPr>
      <w:r>
        <w:rPr>
          <w:sz w:val="24"/>
        </w:rPr>
        <w:tab/>
      </w:r>
      <w:r/>
    </w:p>
    <w:p>
      <w:pPr>
        <w:jc w:val="center"/>
        <w:spacing w:line="360" w:lineRule="auto"/>
        <w:rPr>
          <w:b/>
          <w:sz w:val="36"/>
          <w:szCs w:val="36"/>
        </w:rPr>
        <w:outlineLvl w:val="0"/>
      </w:pPr>
      <w:r>
        <w:rPr>
          <w:sz w:val="24"/>
        </w:rPr>
        <w:br w:type="page" w:clear="all"/>
      </w:r>
      <w:bookmarkStart w:id="3" w:name="_Toc139400574"/>
      <w:r>
        <w:rPr>
          <w:b/>
          <w:sz w:val="36"/>
          <w:szCs w:val="36"/>
        </w:rPr>
        <w:t xml:space="preserve">第一章   </w:t>
      </w:r>
      <w:bookmarkEnd w:id="3"/>
      <w:r>
        <w:rPr>
          <w:b/>
          <w:sz w:val="36"/>
          <w:szCs w:val="36"/>
        </w:rPr>
        <w:t xml:space="preserve">投标邀请</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rPr>
        <w:t xml:space="preserve">项目概况</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rPr>
        <w:t xml:space="preserve">武进高新技术产业开发区创新发展中心的武进国家高新区智慧园区信息化项目2026年度维护服务的潜在投标人应在苏采云政府采购一体化平台获取采购文件，并于</w:t>
      </w:r>
      <w:r>
        <w:rPr>
          <w:sz w:val="24"/>
        </w:rPr>
        <w:t xml:space="preserve">202</w:t>
      </w:r>
      <w:r>
        <w:rPr>
          <w:rFonts w:hint="eastAsia"/>
          <w:sz w:val="24"/>
        </w:rPr>
        <w:t xml:space="preserve">6</w:t>
      </w:r>
      <w:r>
        <w:rPr>
          <w:sz w:val="24"/>
        </w:rPr>
        <w:t xml:space="preserve">年</w:t>
      </w:r>
      <w:r>
        <w:rPr>
          <w:rFonts w:hint="eastAsia"/>
          <w:sz w:val="24"/>
          <w:lang w:val="en-US" w:eastAsia="zh-CN"/>
        </w:rPr>
        <w:t xml:space="preserve">4</w:t>
      </w:r>
      <w:r>
        <w:rPr>
          <w:sz w:val="24"/>
        </w:rPr>
        <w:t xml:space="preserve">月</w:t>
      </w:r>
      <w:r>
        <w:rPr>
          <w:rFonts w:hint="eastAsia"/>
          <w:sz w:val="24"/>
          <w:lang w:val="en-US" w:eastAsia="zh-CN"/>
        </w:rPr>
        <w:t xml:space="preserve">29</w:t>
      </w:r>
      <w:r>
        <w:rPr>
          <w:sz w:val="24"/>
        </w:rPr>
        <w:t xml:space="preserve">日</w:t>
      </w:r>
      <w:r>
        <w:rPr>
          <w:rFonts w:hint="eastAsia"/>
          <w:sz w:val="24"/>
        </w:rPr>
        <w:t xml:space="preserve">14</w:t>
      </w:r>
      <w:r>
        <w:rPr>
          <w:sz w:val="24"/>
        </w:rPr>
        <w:t xml:space="preserve">点00分</w:t>
      </w:r>
      <w:r>
        <w:rPr>
          <w:rFonts w:hint="eastAsia"/>
          <w:sz w:val="24"/>
        </w:rPr>
        <w:t xml:space="preserve">（北京时间）前在线提交投标</w:t>
      </w:r>
      <w:r>
        <w:rPr>
          <w:sz w:val="24"/>
        </w:rPr>
        <w:t xml:space="preserve">文件</w:t>
      </w:r>
      <w:r>
        <w:rPr>
          <w:rFonts w:hint="eastAsia"/>
          <w:sz w:val="24"/>
        </w:rPr>
        <w:t xml:space="preserve">。</w:t>
      </w:r>
      <w:r/>
    </w:p>
    <w:p>
      <w:pPr>
        <w:pStyle w:val="1076"/>
        <w:jc w:val="left"/>
        <w:spacing w:before="0" w:line="360" w:lineRule="auto"/>
        <w:rPr>
          <w:rFonts w:ascii="Times New Roman" w:hAnsi="Times New Roman" w:eastAsia="宋体"/>
          <w:sz w:val="24"/>
          <w:szCs w:val="24"/>
        </w:rPr>
      </w:pPr>
      <w:r/>
      <w:bookmarkStart w:id="4" w:name="_Toc28359079"/>
      <w:r/>
      <w:bookmarkStart w:id="5" w:name="_Toc28359002"/>
      <w:r/>
      <w:bookmarkStart w:id="6" w:name="_Toc35393621"/>
      <w:r/>
      <w:bookmarkStart w:id="7" w:name="_Toc35393790"/>
      <w:r/>
      <w:bookmarkStart w:id="8" w:name="_Hlk24379207"/>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tabs>
          <w:tab w:val="left" w:pos="6831" w:leader="none"/>
        </w:tabs>
        <w:rPr>
          <w:rFonts w:hint="eastAsia"/>
          <w:sz w:val="24"/>
          <w:u w:val="single"/>
        </w:rPr>
      </w:pPr>
      <w:r>
        <w:rPr>
          <w:sz w:val="24"/>
        </w:rPr>
        <w:t xml:space="preserve">1.项目编号</w:t>
      </w:r>
      <w:r>
        <w:rPr>
          <w:rFonts w:hint="eastAsia"/>
          <w:sz w:val="24"/>
        </w:rPr>
        <w:t xml:space="preserve">：</w:t>
      </w:r>
      <w:r>
        <w:rPr>
          <w:rFonts w:hint="eastAsia"/>
          <w:sz w:val="24"/>
          <w:u w:val="single"/>
        </w:rPr>
        <w:t xml:space="preserve">JSZC-320412-SZDD-G2026-0002</w:t>
      </w:r>
      <w:r/>
    </w:p>
    <w:p>
      <w:pPr>
        <w:ind w:firstLine="480"/>
        <w:spacing w:line="360" w:lineRule="auto"/>
        <w:rPr>
          <w:sz w:val="24"/>
        </w:rPr>
      </w:pPr>
      <w:r>
        <w:rPr>
          <w:sz w:val="24"/>
        </w:rPr>
        <w:t xml:space="preserve">2.项目名称：</w:t>
      </w:r>
      <w:r>
        <w:rPr>
          <w:rFonts w:hint="eastAsia"/>
          <w:sz w:val="24"/>
          <w:u w:val="single"/>
        </w:rPr>
        <w:t xml:space="preserve">武进国家高新区智慧园区信息化项目2026年度维护服务</w:t>
      </w:r>
      <w:bookmarkEnd w:id="8"/>
      <w:r/>
      <w:r/>
    </w:p>
    <w:p>
      <w:pPr>
        <w:ind w:firstLine="480"/>
        <w:spacing w:line="360" w:lineRule="auto"/>
        <w:rPr>
          <w:sz w:val="24"/>
        </w:rPr>
      </w:pPr>
      <w:r>
        <w:rPr>
          <w:sz w:val="24"/>
        </w:rPr>
        <w:t xml:space="preserve">3.项目预算金额：</w:t>
      </w:r>
      <w:r>
        <w:rPr>
          <w:rFonts w:hint="eastAsia"/>
          <w:sz w:val="24"/>
          <w:u w:val="single"/>
        </w:rPr>
        <w:t xml:space="preserve">230</w:t>
      </w:r>
      <w:r>
        <w:rPr>
          <w:sz w:val="24"/>
        </w:rPr>
        <w:t xml:space="preserve">万元、项目最高限价</w:t>
      </w:r>
      <w:r>
        <w:rPr>
          <w:rFonts w:hint="eastAsia"/>
          <w:sz w:val="24"/>
          <w:u w:val="single"/>
        </w:rPr>
        <w:t xml:space="preserve"> 213 </w:t>
      </w:r>
      <w:r>
        <w:rPr>
          <w:sz w:val="24"/>
        </w:rPr>
        <w:t xml:space="preserve">万元</w:t>
      </w:r>
      <w:r/>
    </w:p>
    <w:p>
      <w:pPr>
        <w:ind w:firstLine="480"/>
        <w:spacing w:line="360" w:lineRule="auto"/>
        <w:rPr>
          <w:sz w:val="24"/>
        </w:rPr>
      </w:pPr>
      <w:r>
        <w:rPr>
          <w:sz w:val="24"/>
        </w:rPr>
        <w:t xml:space="preserve">4.采购需求：</w:t>
      </w:r>
      <w:r/>
    </w:p>
    <w:tbl>
      <w:tblPr>
        <w:tblStyle w:val="1079"/>
        <w:tblW w:w="46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258"/>
        <w:gridCol w:w="1702"/>
        <w:gridCol w:w="1273"/>
        <w:gridCol w:w="2604"/>
      </w:tblGrid>
      <w:tr>
        <w:trPr>
          <w:jc w:val="center"/>
          <w:trHeight w:val="1033"/>
        </w:trPr>
        <w:tc>
          <w:tcPr>
            <w:tcW w:w="444" w:type="pct"/>
            <w:vAlign w:val="center"/>
            <w:textDirection w:val="lrTb"/>
            <w:noWrap w:val="false"/>
          </w:tcPr>
          <w:p>
            <w:pPr>
              <w:jc w:val="center"/>
              <w:rPr>
                <w:bCs/>
                <w:szCs w:val="21"/>
              </w:rPr>
            </w:pPr>
            <w:r>
              <w:rPr>
                <w:bCs/>
                <w:szCs w:val="21"/>
              </w:rPr>
              <w:t xml:space="preserve">包号</w:t>
            </w:r>
            <w:r/>
          </w:p>
        </w:tc>
        <w:tc>
          <w:tcPr>
            <w:tcW w:w="1312" w:type="pct"/>
            <w:vAlign w:val="center"/>
            <w:textDirection w:val="lrTb"/>
            <w:noWrap w:val="false"/>
          </w:tcPr>
          <w:p>
            <w:pPr>
              <w:jc w:val="center"/>
              <w:rPr>
                <w:bCs/>
                <w:szCs w:val="21"/>
              </w:rPr>
            </w:pPr>
            <w:r>
              <w:rPr>
                <w:bCs/>
                <w:szCs w:val="21"/>
              </w:rPr>
              <w:t xml:space="preserve">标的名称</w:t>
            </w:r>
            <w:r/>
          </w:p>
        </w:tc>
        <w:tc>
          <w:tcPr>
            <w:tcW w:w="989" w:type="pct"/>
            <w:vAlign w:val="center"/>
            <w:textDirection w:val="lrTb"/>
            <w:noWrap w:val="false"/>
          </w:tcPr>
          <w:p>
            <w:pPr>
              <w:jc w:val="center"/>
              <w:rPr>
                <w:bCs/>
                <w:szCs w:val="21"/>
              </w:rPr>
            </w:pPr>
            <w:r>
              <w:rPr>
                <w:bCs/>
                <w:szCs w:val="21"/>
              </w:rPr>
              <w:t xml:space="preserve">采购包预算金额</w:t>
            </w:r>
            <w:r/>
          </w:p>
          <w:p>
            <w:pPr>
              <w:jc w:val="center"/>
              <w:rPr>
                <w:bCs/>
                <w:szCs w:val="21"/>
              </w:rPr>
            </w:pPr>
            <w:r>
              <w:rPr>
                <w:bCs/>
                <w:szCs w:val="21"/>
              </w:rPr>
              <w:t xml:space="preserve">（万元）</w:t>
            </w:r>
            <w:r/>
          </w:p>
        </w:tc>
        <w:tc>
          <w:tcPr>
            <w:tcW w:w="740"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bCs/>
                <w:szCs w:val="21"/>
              </w:rPr>
              <w:t xml:space="preserve">（万元）</w:t>
            </w:r>
            <w:r/>
          </w:p>
        </w:tc>
        <w:tc>
          <w:tcPr>
            <w:tcW w:w="151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444" w:type="pct"/>
            <w:vAlign w:val="center"/>
            <w:textDirection w:val="lrTb"/>
            <w:noWrap w:val="false"/>
          </w:tcPr>
          <w:p>
            <w:pPr>
              <w:jc w:val="center"/>
              <w:rPr>
                <w:bCs/>
                <w:szCs w:val="21"/>
              </w:rPr>
            </w:pPr>
            <w:r>
              <w:rPr>
                <w:bCs/>
                <w:szCs w:val="21"/>
              </w:rPr>
              <w:t xml:space="preserve">01</w:t>
            </w:r>
            <w:r/>
          </w:p>
        </w:tc>
        <w:tc>
          <w:tcPr>
            <w:tcW w:w="1312" w:type="pct"/>
            <w:vAlign w:val="center"/>
            <w:textDirection w:val="lrTb"/>
            <w:noWrap w:val="false"/>
          </w:tcPr>
          <w:p>
            <w:pPr>
              <w:jc w:val="center"/>
              <w:rPr>
                <w:bCs/>
                <w:szCs w:val="21"/>
              </w:rPr>
            </w:pPr>
            <w:r>
              <w:rPr>
                <w:rFonts w:hint="eastAsia"/>
                <w:bCs/>
                <w:szCs w:val="21"/>
              </w:rPr>
              <w:t xml:space="preserve">武进国家高新区智慧园区信息化项目2026年度维护服务</w:t>
            </w:r>
            <w:r/>
          </w:p>
        </w:tc>
        <w:tc>
          <w:tcPr>
            <w:tcW w:w="989" w:type="pct"/>
            <w:vAlign w:val="center"/>
            <w:textDirection w:val="lrTb"/>
            <w:noWrap w:val="false"/>
          </w:tcPr>
          <w:p>
            <w:pPr>
              <w:jc w:val="center"/>
              <w:rPr>
                <w:bCs/>
                <w:szCs w:val="21"/>
              </w:rPr>
            </w:pPr>
            <w:r>
              <w:rPr>
                <w:rFonts w:hint="eastAsia"/>
                <w:bCs/>
                <w:szCs w:val="21"/>
              </w:rPr>
              <w:t xml:space="preserve">230</w:t>
            </w:r>
            <w:r/>
          </w:p>
        </w:tc>
        <w:tc>
          <w:tcPr>
            <w:tcW w:w="740" w:type="pct"/>
            <w:vAlign w:val="center"/>
            <w:textDirection w:val="lrTb"/>
            <w:noWrap w:val="false"/>
          </w:tcPr>
          <w:p>
            <w:pPr>
              <w:jc w:val="center"/>
              <w:rPr>
                <w:bCs/>
                <w:szCs w:val="21"/>
              </w:rPr>
            </w:pPr>
            <w:r>
              <w:rPr>
                <w:rFonts w:hint="eastAsia"/>
                <w:bCs/>
                <w:szCs w:val="21"/>
              </w:rPr>
              <w:t xml:space="preserve">213  </w:t>
            </w:r>
            <w:r/>
          </w:p>
        </w:tc>
        <w:tc>
          <w:tcPr>
            <w:tcW w:w="1513" w:type="pct"/>
            <w:vAlign w:val="center"/>
            <w:textDirection w:val="lrTb"/>
            <w:noWrap w:val="false"/>
          </w:tcPr>
          <w:p>
            <w:pPr>
              <w:rPr>
                <w:szCs w:val="21"/>
              </w:rPr>
            </w:pPr>
            <w:r>
              <w:rPr>
                <w:rFonts w:hint="eastAsia"/>
                <w:bCs/>
                <w:szCs w:val="21"/>
              </w:rPr>
              <w:t xml:space="preserve">具体内容包括：由2012年至2025年期间智慧园区平台中多个质保期已到期的项目共同构成。内容包含各类电子监控及智能交通设备，9所学校云桌面（共计部署641套胖终端、瘦终端及配套显示器、键盘鼠标等设备）和智慧园区城市公共信息服务平台、协同办公系统、项目管理系统、统一门户等软件的维护年度服务以及为保证项目持续稳定运行所涉及的不定量清单，具体见采购需求。</w:t>
            </w:r>
            <w:r/>
          </w:p>
        </w:tc>
      </w:tr>
    </w:tbl>
    <w:p>
      <w:pPr>
        <w:ind w:firstLine="480"/>
        <w:spacing w:line="360" w:lineRule="auto"/>
        <w:rPr>
          <w:sz w:val="24"/>
        </w:rPr>
      </w:pPr>
      <w:r>
        <w:rPr>
          <w:sz w:val="24"/>
        </w:rPr>
        <w:t xml:space="preserve">5.合同履行期限</w:t>
      </w:r>
      <w:r>
        <w:rPr>
          <w:rFonts w:hint="eastAsia"/>
          <w:sz w:val="24"/>
        </w:rPr>
        <w:t xml:space="preserve">：</w:t>
      </w:r>
      <w:r>
        <w:rPr>
          <w:rFonts w:hint="eastAsia"/>
          <w:bCs/>
          <w:sz w:val="24"/>
        </w:rPr>
        <w:t xml:space="preserve">按各固定部分维护清单期限。</w:t>
      </w:r>
      <w:r/>
    </w:p>
    <w:p>
      <w:pPr>
        <w:ind w:firstLine="480"/>
        <w:spacing w:line="360" w:lineRule="auto"/>
        <w:rPr>
          <w:sz w:val="24"/>
        </w:rPr>
      </w:pPr>
      <w:r>
        <w:rPr>
          <w:sz w:val="24"/>
        </w:rPr>
        <w:t xml:space="preserve">6.本项目是否接受联合体投标：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076"/>
        <w:jc w:val="left"/>
        <w:spacing w:before="0" w:line="360" w:lineRule="auto"/>
        <w:rPr>
          <w:rFonts w:ascii="Times New Roman" w:hAnsi="Times New Roman" w:eastAsia="宋体"/>
          <w:sz w:val="24"/>
          <w:szCs w:val="24"/>
        </w:rPr>
      </w:pPr>
      <w:r/>
      <w:bookmarkStart w:id="9" w:name="_Toc28359080"/>
      <w:r/>
      <w:bookmarkStart w:id="10" w:name="_Toc28359003"/>
      <w:r/>
      <w:bookmarkStart w:id="11" w:name="_Toc35393791"/>
      <w:r/>
      <w:bookmarkStart w:id="12" w:name="_Toc35393622"/>
      <w:r>
        <w:rPr>
          <w:rFonts w:ascii="Times New Roman" w:hAnsi="Times New Roman" w:eastAsia="宋体"/>
          <w:sz w:val="24"/>
          <w:szCs w:val="24"/>
        </w:rPr>
        <w:t xml:space="preserve">二、申请人的资格要求（须同时满足）</w:t>
      </w:r>
      <w:bookmarkEnd w:id="9"/>
      <w:r/>
      <w:bookmarkEnd w:id="10"/>
      <w:r/>
      <w:bookmarkEnd w:id="11"/>
      <w:r/>
      <w:bookmarkEnd w:id="12"/>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840"/>
        <w:spacing w:line="360" w:lineRule="auto"/>
        <w:rPr>
          <w:sz w:val="24"/>
        </w:rPr>
      </w:pPr>
      <w:r>
        <w:rPr>
          <w:rFonts w:hint="eastAsia" w:ascii="宋体" w:hAnsi="宋体"/>
        </w:rPr>
        <w:t xml:space="preserve">■</w:t>
      </w:r>
      <w:r>
        <w:rPr>
          <w:sz w:val="24"/>
        </w:rPr>
        <w:t xml:space="preserve">本项目不专门面向中小企业预留采购份额</w:t>
      </w:r>
      <w:r/>
    </w:p>
    <w:p>
      <w:pPr>
        <w:ind w:firstLine="480"/>
        <w:spacing w:line="360" w:lineRule="auto"/>
        <w:rPr>
          <w:sz w:val="24"/>
        </w:rPr>
      </w:pPr>
      <w:r>
        <w:rPr>
          <w:sz w:val="24"/>
        </w:rPr>
        <w:t xml:space="preserve">2.2 其它落实政府采购政策的资格要求（如有）：</w:t>
      </w:r>
      <w:r>
        <w:rPr>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sz w:val="24"/>
          <w:u w:val="single"/>
        </w:rPr>
        <w:t xml:space="preserve"> / </w:t>
      </w:r>
      <w:r>
        <w:rPr>
          <w:sz w:val="24"/>
        </w:rPr>
        <w:t xml:space="preserve">。</w:t>
      </w:r>
      <w:bookmarkEnd w:id="13"/>
      <w:r/>
      <w:bookmarkEnd w:id="14"/>
      <w:r/>
      <w:r/>
    </w:p>
    <w:p>
      <w:pPr>
        <w:pStyle w:val="1076"/>
        <w:jc w:val="left"/>
        <w:spacing w:before="0" w:line="360" w:lineRule="auto"/>
        <w:widowControl/>
        <w:rPr>
          <w:rFonts w:ascii="Times New Roman" w:hAnsi="Times New Roman" w:eastAsia="宋体"/>
          <w:sz w:val="24"/>
          <w:szCs w:val="24"/>
        </w:rPr>
      </w:pPr>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
    </w:p>
    <w:p>
      <w:pPr>
        <w:ind w:firstLine="480"/>
        <w:spacing w:line="360" w:lineRule="auto"/>
        <w:rPr>
          <w:sz w:val="24"/>
          <w:lang w:bidi="ar"/>
        </w:rPr>
      </w:pPr>
      <w:r/>
      <w:bookmarkStart w:id="17" w:name="_Toc35393793"/>
      <w:r/>
      <w:bookmarkStart w:id="18" w:name="_Toc28359082"/>
      <w:r/>
      <w:bookmarkStart w:id="19" w:name="_Toc28359005"/>
      <w:r/>
      <w:bookmarkStart w:id="20" w:name="_Toc35393624"/>
      <w:r>
        <w:rPr>
          <w:rFonts w:hint="eastAsia"/>
          <w:sz w:val="24"/>
          <w:lang w:bidi="ar"/>
        </w:rPr>
        <w:t xml:space="preserve">1.时间：自采购文件公告发布之日起5个工作日。</w:t>
      </w:r>
      <w:r/>
    </w:p>
    <w:p>
      <w:pPr>
        <w:ind w:firstLine="480"/>
        <w:spacing w:line="360" w:lineRule="auto"/>
        <w:rPr>
          <w:sz w:val="24"/>
          <w:lang w:bidi="ar"/>
        </w:rPr>
      </w:pPr>
      <w:r>
        <w:rPr>
          <w:rFonts w:hint="eastAsia"/>
          <w:sz w:val="24"/>
          <w:lang w:bidi="ar"/>
        </w:rPr>
        <w:t xml:space="preserve">2.地点：苏采云政府采购一体化平台。</w:t>
      </w:r>
      <w:r/>
    </w:p>
    <w:p>
      <w:pPr>
        <w:ind w:firstLine="480"/>
        <w:spacing w:line="360" w:lineRule="auto"/>
        <w:rPr>
          <w:sz w:val="24"/>
          <w:lang w:bidi="ar"/>
        </w:rPr>
      </w:pPr>
      <w:r>
        <w:rPr>
          <w:rFonts w:hint="eastAsia"/>
          <w:sz w:val="24"/>
          <w:lang w:bidi="ar"/>
        </w:rPr>
        <w:t xml:space="preserve">3.方式：供应商持CA数字认证证书登录苏采云政府采购一体化平台（http://jszfcg.jsczt.cn/jszc/login）获取电子版招标文件。</w:t>
      </w:r>
      <w:r/>
    </w:p>
    <w:p>
      <w:pPr>
        <w:ind w:firstLine="480"/>
        <w:spacing w:line="360" w:lineRule="auto"/>
        <w:rPr>
          <w:sz w:val="24"/>
          <w:lang w:bidi="ar"/>
        </w:rPr>
      </w:pPr>
      <w:r>
        <w:rPr>
          <w:rFonts w:hint="eastAsia"/>
          <w:sz w:val="24"/>
          <w:lang w:bidi="ar"/>
        </w:rPr>
        <w:t xml:space="preserve">4.售价：无。</w:t>
      </w:r>
      <w:r/>
    </w:p>
    <w:p>
      <w:pPr>
        <w:pStyle w:val="1076"/>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sz w:val="24"/>
          <w:lang w:bidi="ar"/>
        </w:rPr>
      </w:pPr>
      <w:r/>
      <w:bookmarkStart w:id="21" w:name="_Toc35393625"/>
      <w:r/>
      <w:bookmarkStart w:id="22" w:name="_Toc35393794"/>
      <w:r/>
      <w:bookmarkStart w:id="23" w:name="_Toc28359007"/>
      <w:r/>
      <w:bookmarkStart w:id="24" w:name="_Toc28359084"/>
      <w:r>
        <w:rPr>
          <w:rFonts w:hint="eastAsia"/>
          <w:sz w:val="24"/>
          <w:lang w:bidi="ar"/>
        </w:rPr>
        <w:t xml:space="preserve">截止时间：2026年</w:t>
      </w:r>
      <w:r>
        <w:rPr>
          <w:rFonts w:hint="eastAsia"/>
          <w:sz w:val="24"/>
          <w:lang w:val="en-US" w:eastAsia="zh-CN" w:bidi="ar"/>
        </w:rPr>
        <w:t xml:space="preserve">4</w:t>
      </w:r>
      <w:r>
        <w:rPr>
          <w:rFonts w:hint="eastAsia"/>
          <w:sz w:val="24"/>
          <w:lang w:bidi="ar"/>
        </w:rPr>
        <w:t xml:space="preserve">月</w:t>
      </w:r>
      <w:r>
        <w:rPr>
          <w:rFonts w:hint="eastAsia"/>
          <w:sz w:val="24"/>
          <w:lang w:val="en-US" w:eastAsia="zh-CN" w:bidi="ar"/>
        </w:rPr>
        <w:t xml:space="preserve">29</w:t>
      </w:r>
      <w:r>
        <w:rPr>
          <w:rFonts w:hint="eastAsia"/>
          <w:sz w:val="24"/>
          <w:lang w:bidi="ar"/>
        </w:rPr>
        <w:t xml:space="preserve">日14点00分（北京时间）</w:t>
      </w:r>
      <w:r/>
    </w:p>
    <w:p>
      <w:pPr>
        <w:ind w:firstLine="480"/>
        <w:spacing w:line="360" w:lineRule="auto"/>
        <w:rPr>
          <w:sz w:val="24"/>
          <w:lang w:bidi="ar"/>
        </w:rPr>
      </w:pPr>
      <w:r>
        <w:rPr>
          <w:rFonts w:hint="eastAsia"/>
          <w:sz w:val="24"/>
          <w:lang w:bidi="ar"/>
        </w:rPr>
        <w:t xml:space="preserve">地点：本项目采用不见面交易方式，无需到现场提交，响应人登录“苏采云”政府采购一体化平台供应商端，通过系统在线提交电子</w:t>
      </w:r>
      <w:r>
        <w:rPr>
          <w:rFonts w:hint="eastAsia"/>
          <w:sz w:val="24"/>
          <w:lang w:val="en-US" w:eastAsia="zh-CN" w:bidi="ar"/>
        </w:rPr>
        <w:t xml:space="preserve">投标</w:t>
      </w:r>
      <w:r>
        <w:rPr>
          <w:rFonts w:hint="eastAsia"/>
          <w:sz w:val="24"/>
          <w:lang w:bidi="ar"/>
        </w:rPr>
        <w:t xml:space="preserve">文件</w:t>
      </w:r>
      <w:r>
        <w:rPr>
          <w:rFonts w:hint="eastAsia"/>
          <w:sz w:val="24"/>
          <w:lang w:val="zh-TW" w:bidi="ar"/>
        </w:rPr>
        <w:t xml:space="preserve">。</w:t>
      </w:r>
      <w:r/>
    </w:p>
    <w:p>
      <w:pPr>
        <w:pStyle w:val="1076"/>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五、公告</w:t>
      </w:r>
      <w:bookmarkEnd w:id="21"/>
      <w:r/>
      <w:bookmarkEnd w:id="22"/>
      <w:r/>
      <w:bookmarkEnd w:id="23"/>
      <w:r/>
      <w:bookmarkEnd w:id="24"/>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自本公告发布之日起5个工作日。</w:t>
      </w:r>
      <w:r/>
    </w:p>
    <w:p>
      <w:pPr>
        <w:pStyle w:val="1076"/>
        <w:jc w:val="left"/>
        <w:spacing w:before="0" w:line="360" w:lineRule="auto"/>
        <w:rPr>
          <w:rFonts w:ascii="Times New Roman" w:hAnsi="Times New Roman" w:eastAsia="宋体"/>
          <w:sz w:val="24"/>
          <w:szCs w:val="24"/>
        </w:rPr>
      </w:pPr>
      <w:r/>
      <w:bookmarkStart w:id="25" w:name="_Toc35393626"/>
      <w:r/>
      <w:bookmarkStart w:id="26" w:name="_Toc35393795"/>
      <w:r>
        <w:rPr>
          <w:rFonts w:hint="eastAsia" w:ascii="Times New Roman" w:hAnsi="Times New Roman" w:eastAsia="宋体"/>
          <w:sz w:val="24"/>
          <w:szCs w:val="24"/>
        </w:rPr>
        <w:t xml:space="preserve">六、其他补充</w:t>
      </w:r>
      <w:bookmarkEnd w:id="25"/>
      <w:r/>
      <w:bookmarkEnd w:id="26"/>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1.本项目需要落实的政府采购政策：</w:t>
      </w:r>
      <w:r>
        <w:rPr>
          <w:rFonts w:hint="eastAsia"/>
          <w:sz w:val="24"/>
          <w:u w:val="single"/>
        </w:rPr>
        <w:t xml:space="preserve"> </w:t>
      </w:r>
      <w:r>
        <w:rPr>
          <w:sz w:val="24"/>
          <w:u w:val="single"/>
          <w:lang w:bidi="ar"/>
        </w:rPr>
        <w:t xml:space="preserve">/ </w:t>
      </w:r>
      <w:r>
        <w:rPr>
          <w:sz w:val="24"/>
          <w:lang w:bidi="ar"/>
        </w:rPr>
        <w:t xml:space="preserve">。</w:t>
      </w:r>
      <w:r/>
    </w:p>
    <w:p>
      <w:pPr>
        <w:ind w:firstLine="480"/>
        <w:spacing w:line="360" w:lineRule="auto"/>
        <w:rPr>
          <w:sz w:val="24"/>
          <w:lang w:bidi="ar"/>
        </w:rPr>
      </w:pPr>
      <w:r/>
      <w:bookmarkStart w:id="27" w:name="_Toc28359085"/>
      <w:r/>
      <w:bookmarkStart w:id="28" w:name="_Toc35393796"/>
      <w:r/>
      <w:bookmarkStart w:id="29" w:name="_Toc28359008"/>
      <w:r/>
      <w:bookmarkStart w:id="30" w:name="_Toc35393627"/>
      <w:r>
        <w:rPr>
          <w:rFonts w:hint="eastAsia"/>
          <w:sz w:val="24"/>
          <w:lang w:bidi="ar"/>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firstLine="480"/>
        <w:spacing w:line="360" w:lineRule="auto"/>
        <w:rPr>
          <w:sz w:val="24"/>
          <w:lang w:bidi="ar"/>
        </w:rPr>
      </w:pPr>
      <w:r>
        <w:rPr>
          <w:rFonts w:hint="eastAsia"/>
          <w:sz w:val="24"/>
          <w:lang w:bidi="ar"/>
        </w:rPr>
        <w:t xml:space="preserve">技术支持服务热线    0519-85588210</w:t>
      </w:r>
      <w:r/>
    </w:p>
    <w:p>
      <w:pPr>
        <w:ind w:firstLine="480"/>
        <w:spacing w:line="360" w:lineRule="auto"/>
        <w:rPr>
          <w:sz w:val="24"/>
          <w:lang w:bidi="ar"/>
        </w:rPr>
      </w:pPr>
      <w:r>
        <w:rPr>
          <w:rFonts w:hint="eastAsia"/>
          <w:sz w:val="24"/>
          <w:lang w:bidi="ar"/>
        </w:rPr>
        <w:t xml:space="preserve">CA认证证书办理（可邮寄）联系电话   0519-85588120</w:t>
      </w:r>
      <w:r/>
    </w:p>
    <w:p>
      <w:pPr>
        <w:ind w:firstLine="480"/>
        <w:spacing w:line="360" w:lineRule="auto"/>
        <w:rPr>
          <w:sz w:val="24"/>
          <w:lang w:bidi="ar"/>
        </w:rPr>
      </w:pPr>
      <w:r>
        <w:rPr>
          <w:rFonts w:hint="eastAsia"/>
          <w:sz w:val="24"/>
          <w:lang w:bidi="ar"/>
        </w:rPr>
        <w:t xml:space="preserve">2.1办理CA认证证书</w:t>
      </w:r>
      <w:r/>
    </w:p>
    <w:p>
      <w:pPr>
        <w:ind w:firstLine="480"/>
        <w:spacing w:line="360" w:lineRule="auto"/>
        <w:rPr>
          <w:sz w:val="24"/>
          <w:lang w:bidi="ar"/>
        </w:rPr>
      </w:pPr>
      <w:r>
        <w:rPr>
          <w:rFonts w:hint="eastAsia"/>
          <w:sz w:val="24"/>
          <w:lang w:bidi="ar"/>
        </w:rPr>
        <w:t xml:space="preserve">供应商登录常州市政府采购网“下载中心”下载并查阅 “江苏省政府采购数字证书CA及电子签章办理指南”，按照程序要求办理。</w:t>
      </w:r>
      <w:r/>
    </w:p>
    <w:p>
      <w:pPr>
        <w:ind w:firstLine="480"/>
        <w:spacing w:line="360" w:lineRule="auto"/>
        <w:rPr>
          <w:sz w:val="24"/>
          <w:lang w:bidi="ar"/>
        </w:rPr>
      </w:pPr>
      <w:r>
        <w:rPr>
          <w:rFonts w:hint="eastAsia"/>
          <w:sz w:val="24"/>
          <w:lang w:bidi="ar"/>
        </w:rPr>
        <w:t xml:space="preserve">2.2注册</w:t>
      </w:r>
      <w:r/>
    </w:p>
    <w:p>
      <w:pPr>
        <w:ind w:firstLine="480"/>
        <w:spacing w:line="360" w:lineRule="auto"/>
        <w:rPr>
          <w:sz w:val="24"/>
          <w:lang w:bidi="ar"/>
        </w:rPr>
      </w:pPr>
      <w:r>
        <w:rPr>
          <w:rFonts w:hint="eastAsia"/>
          <w:sz w:val="24"/>
          <w:lang w:bidi="ar"/>
        </w:rPr>
        <w:t xml:space="preserve">供应商登录常州市政府采购网“下载中心”-“苏采云”系统供应商操作手册”下载相关操作手册、操作视频等，查阅后进行自助注册。</w:t>
      </w:r>
      <w:r/>
    </w:p>
    <w:p>
      <w:pPr>
        <w:ind w:firstLine="480"/>
        <w:spacing w:line="360" w:lineRule="auto"/>
        <w:rPr>
          <w:sz w:val="24"/>
          <w:lang w:bidi="ar"/>
        </w:rPr>
      </w:pPr>
      <w:r>
        <w:rPr>
          <w:rFonts w:hint="eastAsia"/>
          <w:sz w:val="24"/>
          <w:lang w:bidi="ar"/>
        </w:rPr>
        <w:t xml:space="preserve">2.3控件、客户端下载</w:t>
      </w:r>
      <w:r/>
    </w:p>
    <w:p>
      <w:pPr>
        <w:ind w:firstLine="480"/>
        <w:spacing w:line="360" w:lineRule="auto"/>
        <w:rPr>
          <w:sz w:val="24"/>
          <w:lang w:bidi="ar"/>
        </w:rPr>
      </w:pPr>
      <w:r>
        <w:rPr>
          <w:rFonts w:hint="eastAsia"/>
          <w:sz w:val="24"/>
          <w:lang w:bidi="ar"/>
        </w:rPr>
        <w:t xml:space="preserve">供应商登录常州市政府采购网“下载中心”-“政府采购管理交易系统（苏采云）CA及签章控件驱动”下载相关控件和客户端。</w:t>
      </w:r>
      <w:r/>
    </w:p>
    <w:p>
      <w:pPr>
        <w:ind w:firstLine="480"/>
        <w:spacing w:line="360" w:lineRule="auto"/>
        <w:rPr>
          <w:sz w:val="24"/>
          <w:lang w:bidi="ar"/>
        </w:rPr>
      </w:pPr>
      <w:r>
        <w:rPr>
          <w:rFonts w:hint="eastAsia"/>
          <w:sz w:val="24"/>
          <w:lang w:bidi="ar"/>
        </w:rPr>
        <w:t xml:space="preserve">2.4 获取电子招标文件</w:t>
      </w:r>
      <w:r/>
    </w:p>
    <w:p>
      <w:pPr>
        <w:ind w:firstLine="480"/>
        <w:spacing w:line="360" w:lineRule="auto"/>
        <w:rPr>
          <w:sz w:val="24"/>
          <w:lang w:bidi="ar"/>
        </w:rPr>
      </w:pPr>
      <w:r>
        <w:rPr>
          <w:rFonts w:hint="eastAsia"/>
          <w:sz w:val="24"/>
          <w:lang w:bidi="ar"/>
        </w:rPr>
        <w:t xml:space="preserve">供应商持CA数字认证证书登录苏采云政府采购一体化平台获取电子招标文件。未在规定期限内通过苏采云政府采购一体化平台获取招标文件的响应无效。</w:t>
      </w:r>
      <w:r/>
    </w:p>
    <w:p>
      <w:pPr>
        <w:ind w:firstLine="480"/>
        <w:spacing w:line="360" w:lineRule="auto"/>
        <w:rPr>
          <w:sz w:val="24"/>
          <w:lang w:bidi="ar"/>
        </w:rPr>
      </w:pPr>
      <w:r>
        <w:rPr>
          <w:rFonts w:hint="eastAsia"/>
          <w:sz w:val="24"/>
          <w:lang w:bidi="ar"/>
        </w:rPr>
        <w:t xml:space="preserve">2.5编制电子响应文件</w:t>
      </w:r>
      <w:r/>
    </w:p>
    <w:p>
      <w:pPr>
        <w:ind w:firstLine="480"/>
        <w:spacing w:line="360" w:lineRule="auto"/>
        <w:rPr>
          <w:sz w:val="24"/>
          <w:lang w:bidi="ar"/>
        </w:rPr>
      </w:pPr>
      <w:r>
        <w:rPr>
          <w:rFonts w:hint="eastAsia"/>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sz w:val="24"/>
          <w:lang w:bidi="ar"/>
        </w:rPr>
      </w:pPr>
      <w:r>
        <w:rPr>
          <w:rFonts w:hint="eastAsia"/>
          <w:sz w:val="24"/>
          <w:lang w:bidi="ar"/>
        </w:rPr>
        <w:t xml:space="preserve">2.6提交电子响应文件</w:t>
      </w:r>
      <w:r/>
    </w:p>
    <w:p>
      <w:pPr>
        <w:ind w:firstLine="480"/>
        <w:spacing w:line="360" w:lineRule="auto"/>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p>
    <w:p>
      <w:pPr>
        <w:ind w:firstLine="480"/>
        <w:spacing w:line="360" w:lineRule="auto"/>
        <w:rPr>
          <w:sz w:val="24"/>
          <w:lang w:bidi="ar"/>
        </w:rPr>
      </w:pPr>
      <w:r>
        <w:rPr>
          <w:rFonts w:hint="eastAsia"/>
          <w:sz w:val="24"/>
          <w:lang w:bidi="ar"/>
        </w:rPr>
        <w:t xml:space="preserve">2.7电子开标</w:t>
      </w:r>
      <w:r/>
    </w:p>
    <w:p>
      <w:pPr>
        <w:ind w:firstLine="480"/>
        <w:spacing w:line="360" w:lineRule="auto"/>
        <w:rPr>
          <w:sz w:val="24"/>
          <w:lang w:bidi="ar"/>
        </w:rPr>
      </w:pPr>
      <w:r>
        <w:rPr>
          <w:rFonts w:hint="eastAsia"/>
          <w:sz w:val="24"/>
          <w:lang w:bidi="ar"/>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sz w:val="24"/>
          <w:lang w:bidi="ar"/>
        </w:rPr>
      </w:pPr>
      <w:r>
        <w:rPr>
          <w:rFonts w:hint="eastAsia"/>
          <w:sz w:val="24"/>
          <w:lang w:bidi="ar"/>
        </w:rPr>
        <w:t xml:space="preserve">2.8注意事项</w:t>
      </w:r>
      <w:r/>
    </w:p>
    <w:p>
      <w:pPr>
        <w:ind w:firstLine="480"/>
        <w:spacing w:line="360" w:lineRule="auto"/>
        <w:rPr>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lang w:bidi="ar"/>
        </w:rPr>
      </w:pPr>
      <w:r>
        <w:rPr>
          <w:rFonts w:hint="eastAsia"/>
          <w:sz w:val="24"/>
          <w:lang w:bidi="ar"/>
        </w:rPr>
        <w:t xml:space="preserve">3.关于常州市中小企业政府采购信用融资：</w:t>
      </w:r>
      <w:r/>
    </w:p>
    <w:p>
      <w:pPr>
        <w:ind w:firstLine="480"/>
        <w:spacing w:line="360" w:lineRule="auto"/>
        <w:rPr>
          <w:sz w:val="24"/>
          <w:lang w:bidi="ar"/>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6"/>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w:t>
      </w:r>
      <w:r>
        <w:rPr>
          <w:rFonts w:ascii="Times New Roman" w:hAnsi="Times New Roman" w:eastAsia="宋体"/>
          <w:sz w:val="24"/>
          <w:szCs w:val="24"/>
        </w:rPr>
        <w:t xml:space="preserve">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sz w:val="24"/>
        </w:rPr>
      </w:pPr>
      <w:r/>
      <w:bookmarkStart w:id="31" w:name="_Toc28359009"/>
      <w:r/>
      <w:bookmarkStart w:id="32" w:name="_Toc28359086"/>
      <w:r>
        <w:rPr>
          <w:sz w:val="24"/>
        </w:rPr>
        <w:t xml:space="preserve">名    称：</w:t>
      </w:r>
      <w:r>
        <w:rPr>
          <w:rFonts w:hint="eastAsia"/>
          <w:sz w:val="24"/>
        </w:rPr>
        <w:t xml:space="preserve">武进高新技术产业开发区创新发展中心</w:t>
      </w:r>
      <w:r/>
    </w:p>
    <w:p>
      <w:pPr>
        <w:ind w:left="1079" w:hanging="300"/>
        <w:jc w:val="left"/>
        <w:spacing w:line="360" w:lineRule="auto"/>
        <w:rPr>
          <w:sz w:val="24"/>
        </w:rPr>
      </w:pPr>
      <w:r>
        <w:rPr>
          <w:sz w:val="24"/>
        </w:rPr>
        <w:t xml:space="preserve">地    址：</w:t>
      </w:r>
      <w:r>
        <w:rPr>
          <w:rFonts w:hint="eastAsia"/>
          <w:sz w:val="24"/>
        </w:rPr>
        <w:t xml:space="preserve">江苏省常州武进区海湖路特1号</w:t>
      </w:r>
      <w:r/>
    </w:p>
    <w:p>
      <w:pPr>
        <w:ind w:left="1079" w:hanging="300"/>
        <w:jc w:val="left"/>
        <w:spacing w:line="360" w:lineRule="auto"/>
        <w:rPr>
          <w:sz w:val="24"/>
        </w:rPr>
      </w:pPr>
      <w:r>
        <w:rPr>
          <w:sz w:val="24"/>
        </w:rPr>
        <w:t xml:space="preserve">联系方式：</w:t>
      </w:r>
      <w:r>
        <w:rPr>
          <w:rFonts w:hint="eastAsia"/>
          <w:sz w:val="24"/>
        </w:rPr>
        <w:t xml:space="preserve">吴先生 ，0519-86221121</w:t>
      </w:r>
      <w:r/>
    </w:p>
    <w:p>
      <w:pPr>
        <w:ind w:left="1080" w:hanging="301"/>
        <w:jc w:val="left"/>
        <w:spacing w:line="360" w:lineRule="auto"/>
        <w:rPr>
          <w:b/>
          <w:sz w:val="24"/>
        </w:rPr>
      </w:pPr>
      <w:r>
        <w:rPr>
          <w:b/>
          <w:sz w:val="24"/>
        </w:rPr>
        <w:t xml:space="preserve">2.采购代理机构信息</w:t>
      </w:r>
      <w:bookmarkEnd w:id="31"/>
      <w:r/>
      <w:bookmarkEnd w:id="32"/>
      <w:r/>
      <w:r/>
    </w:p>
    <w:p>
      <w:pPr>
        <w:ind w:left="1079" w:hanging="300"/>
        <w:jc w:val="left"/>
        <w:spacing w:line="360" w:lineRule="auto"/>
        <w:rPr>
          <w:sz w:val="24"/>
        </w:rPr>
      </w:pPr>
      <w:r/>
      <w:bookmarkStart w:id="33" w:name="_Toc28359010"/>
      <w:r/>
      <w:bookmarkStart w:id="34" w:name="_Toc28359087"/>
      <w:r>
        <w:rPr>
          <w:sz w:val="24"/>
        </w:rPr>
        <w:t xml:space="preserve">名    称：</w:t>
      </w:r>
      <w:r>
        <w:rPr>
          <w:rFonts w:hint="eastAsia"/>
          <w:sz w:val="24"/>
        </w:rPr>
        <w:t xml:space="preserve">江苏晟泽工程造价咨询有限公司</w:t>
      </w:r>
      <w:r/>
    </w:p>
    <w:p>
      <w:pPr>
        <w:ind w:left="1079" w:hanging="300"/>
        <w:jc w:val="left"/>
        <w:spacing w:line="360" w:lineRule="auto"/>
        <w:rPr>
          <w:sz w:val="24"/>
        </w:rPr>
      </w:pPr>
      <w:r>
        <w:rPr>
          <w:sz w:val="24"/>
        </w:rPr>
        <w:t xml:space="preserve">地    址：</w:t>
      </w:r>
      <w:r>
        <w:rPr>
          <w:rFonts w:hint="eastAsia"/>
          <w:sz w:val="24"/>
        </w:rPr>
        <w:t xml:space="preserve">常州市天宁区博爱大厦15楼</w:t>
      </w:r>
      <w:r/>
    </w:p>
    <w:p>
      <w:pPr>
        <w:ind w:left="1079" w:hanging="300"/>
        <w:jc w:val="left"/>
        <w:spacing w:line="360" w:lineRule="auto"/>
        <w:rPr>
          <w:sz w:val="24"/>
          <w:u w:val="single"/>
        </w:rPr>
      </w:pPr>
      <w:r>
        <w:rPr>
          <w:sz w:val="24"/>
        </w:rPr>
        <w:t xml:space="preserve">联系方式：</w:t>
      </w:r>
      <w:r>
        <w:rPr>
          <w:rFonts w:hint="eastAsia"/>
          <w:sz w:val="24"/>
        </w:rPr>
        <w:t xml:space="preserve">051988173257</w:t>
      </w:r>
      <w:r/>
    </w:p>
    <w:p>
      <w:pPr>
        <w:ind w:firstLine="723"/>
        <w:spacing w:line="360" w:lineRule="auto"/>
        <w:rPr>
          <w:b/>
          <w:sz w:val="24"/>
          <w:u w:val="single"/>
        </w:rPr>
      </w:pPr>
      <w:r>
        <w:rPr>
          <w:b/>
          <w:sz w:val="24"/>
        </w:rPr>
        <w:t xml:space="preserve">3.项目联系方式</w:t>
      </w:r>
      <w:bookmarkEnd w:id="33"/>
      <w:r/>
      <w:bookmarkEnd w:id="34"/>
      <w:r/>
      <w:r/>
    </w:p>
    <w:p>
      <w:pPr>
        <w:pStyle w:val="1089"/>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丁洋杰</w:t>
      </w:r>
      <w:r/>
    </w:p>
    <w:p>
      <w:pPr>
        <w:pStyle w:val="1089"/>
        <w:ind w:firstLine="720"/>
        <w:spacing w:line="360" w:lineRule="auto"/>
        <w:rPr>
          <w:rFonts w:hint="default" w:ascii="Times New Roman" w:hAnsi="Times New Roman"/>
          <w:sz w:val="24"/>
          <w:szCs w:val="24"/>
        </w:rPr>
      </w:pPr>
      <w:r>
        <w:rPr>
          <w:rFonts w:hint="default" w:ascii="Times New Roman" w:hAnsi="Times New Roman"/>
          <w:sz w:val="24"/>
        </w:rPr>
        <w:t xml:space="preserve">电      话：</w:t>
      </w:r>
      <w:r>
        <w:rPr>
          <w:rFonts w:ascii="Times New Roman" w:hAnsi="Times New Roman"/>
          <w:sz w:val="24"/>
          <w:szCs w:val="24"/>
        </w:rPr>
        <w:t xml:space="preserve">15895053501</w:t>
      </w:r>
      <w:r/>
    </w:p>
    <w:p>
      <w:pPr>
        <w:pStyle w:val="1089"/>
        <w:ind w:firstLine="720"/>
        <w:spacing w:line="360" w:lineRule="auto"/>
        <w:rPr>
          <w:rFonts w:hint="default" w:ascii="Times New Roman" w:hAnsi="Times New Roman"/>
          <w:sz w:val="24"/>
        </w:rPr>
      </w:pPr>
      <w:r>
        <w:rPr>
          <w:rFonts w:ascii="Times New Roman" w:hAnsi="Times New Roman"/>
          <w:sz w:val="24"/>
        </w:rPr>
        <w:t xml:space="preserve">上述个人信息由于工作需要，经机构或本人同意对外公布。</w:t>
      </w:r>
      <w:r/>
    </w:p>
    <w:p>
      <w:pPr>
        <w:pStyle w:val="1089"/>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5" w:name="_Toc305158854"/>
      <w:r/>
      <w:bookmarkStart w:id="36" w:name="_Toc127161488"/>
      <w:r/>
      <w:bookmarkStart w:id="37" w:name="_Toc265228423"/>
      <w:r/>
      <w:bookmarkStart w:id="38" w:name="_Toc305158928"/>
      <w:r/>
      <w:bookmarkStart w:id="39" w:name="_Toc353825548"/>
      <w:r/>
      <w:bookmarkStart w:id="40" w:name="_Toc139400575"/>
      <w:r/>
      <w:bookmarkStart w:id="41" w:name="_Toc150774783"/>
      <w:r/>
      <w:bookmarkStart w:id="42" w:name="_Toc195842950"/>
      <w:r/>
      <w:bookmarkStart w:id="43" w:name="_Toc353873938"/>
      <w:r/>
      <w:bookmarkStart w:id="44" w:name="_Toc226965856"/>
      <w:r/>
      <w:bookmarkStart w:id="45" w:name="_Toc127151777"/>
      <w:r/>
      <w:bookmarkStart w:id="46" w:name="_Toc264969275"/>
      <w:r/>
      <w:bookmarkStart w:id="47" w:name="_Toc512937850"/>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76"/>
        <w:spacing w:before="0" w:line="360" w:lineRule="auto"/>
        <w:tabs>
          <w:tab w:val="center" w:pos="4592" w:leader="none"/>
          <w:tab w:val="left" w:pos="7860" w:leader="none"/>
        </w:tabs>
        <w:rPr>
          <w:rFonts w:ascii="Times New Roman" w:hAnsi="Times New Roman" w:eastAsia="宋体"/>
          <w:sz w:val="28"/>
        </w:rPr>
      </w:pPr>
      <w:r/>
      <w:bookmarkStart w:id="48" w:name="_Toc150774619"/>
      <w:r/>
      <w:bookmarkStart w:id="49" w:name="_Toc226965792"/>
      <w:r/>
      <w:bookmarkStart w:id="50" w:name="_Toc226965709"/>
      <w:r/>
      <w:bookmarkStart w:id="51" w:name="_Toc164608788"/>
      <w:r/>
      <w:bookmarkStart w:id="52" w:name="_Toc151190146"/>
      <w:r/>
      <w:bookmarkStart w:id="53" w:name="_Toc150480757"/>
      <w:r/>
      <w:bookmarkStart w:id="54" w:name="_Toc164608633"/>
      <w:r/>
      <w:bookmarkStart w:id="55" w:name="_Toc164229360"/>
      <w:r/>
      <w:bookmarkStart w:id="56" w:name="_Toc164351613"/>
      <w:r/>
      <w:bookmarkStart w:id="57" w:name="_Toc151193833"/>
      <w:r/>
      <w:bookmarkStart w:id="58" w:name="_Toc150509270"/>
      <w:r/>
      <w:bookmarkStart w:id="59" w:name="_Toc226309763"/>
      <w:r/>
      <w:bookmarkStart w:id="60" w:name="_Toc195842884"/>
      <w:r/>
      <w:bookmarkStart w:id="61" w:name="_Toc151193907"/>
      <w:r/>
      <w:bookmarkStart w:id="62" w:name="_Toc520356144"/>
      <w:r/>
      <w:bookmarkStart w:id="63" w:name="_Toc151193761"/>
      <w:r/>
      <w:bookmarkStart w:id="64" w:name="_Toc164229214"/>
      <w:r/>
      <w:bookmarkStart w:id="65" w:name="_Toc127151519"/>
      <w:r/>
      <w:bookmarkStart w:id="66" w:name="_Toc151193689"/>
      <w:r/>
      <w:bookmarkStart w:id="67" w:name="_Toc127151720"/>
      <w:r/>
      <w:bookmarkStart w:id="68" w:name="_Toc226337215"/>
      <w:r/>
      <w:bookmarkStart w:id="69" w:name="_Toc150774724"/>
      <w:r/>
      <w:bookmarkStart w:id="70" w:name="_Toc151193617"/>
      <w:r/>
      <w:bookmarkStart w:id="71" w:name="_Toc127161433"/>
      <w:r/>
      <w:bookmarkStart w:id="72" w:name="_Toc142311021"/>
      <w:r/>
      <w:bookmarkStart w:id="73" w:name="_Toc149720812"/>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p>
    <w:tbl>
      <w:tblPr>
        <w:tblStyle w:val="107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1089"/>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关于核心产品本项目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包不适用。</w:t>
            </w:r>
            <w:r/>
          </w:p>
          <w:p>
            <w:pPr>
              <w:pStyle w:val="1089"/>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包为单一产品采购项目。</w:t>
            </w:r>
            <w:r/>
          </w:p>
          <w:p>
            <w:pPr>
              <w:jc w:val="left"/>
              <w:rPr>
                <w:sz w:val="24"/>
              </w:rPr>
            </w:pPr>
            <w:r>
              <w:rPr>
                <w:rFonts w:hint="eastAsia" w:ascii="宋体" w:hAnsi="宋体"/>
              </w:rPr>
              <w:t xml:space="preserve">□</w:t>
            </w:r>
            <w:r>
              <w:rPr>
                <w:sz w:val="24"/>
              </w:rPr>
              <w:t xml:space="preserve">本项目</w:t>
            </w:r>
            <w:r>
              <w:rPr>
                <w:sz w:val="24"/>
                <w:u w:val="single"/>
              </w:rPr>
              <w:t xml:space="preserve"> / </w:t>
            </w:r>
            <w:r>
              <w:rPr>
                <w:sz w:val="24"/>
              </w:rPr>
              <w:t xml:space="preserve">包为非单一产品采购项目，核心产品为：</w:t>
            </w:r>
            <w:r>
              <w:rPr>
                <w:rFonts w:hint="eastAsia"/>
                <w:b/>
                <w:bCs/>
                <w:sz w:val="24"/>
              </w:rPr>
              <w:t xml:space="preserve">/</w:t>
            </w:r>
            <w:r>
              <w:rPr>
                <w:sz w:val="24"/>
              </w:rPr>
              <w:t xml:space="preserve">。</w:t>
            </w:r>
            <w:r/>
          </w:p>
        </w:tc>
      </w:tr>
      <w:tr>
        <w:trPr>
          <w:jc w:val="center"/>
          <w:trHeight w:val="20"/>
        </w:trPr>
        <w:tc>
          <w:tcPr>
            <w:tcW w:w="988" w:type="dxa"/>
            <w:vAlign w:val="center"/>
            <w:vMerge w:val="restart"/>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089"/>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089"/>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u w:val="single"/>
              </w:rPr>
              <w:t xml:space="preserve"> /</w:t>
            </w:r>
            <w:r>
              <w:rPr>
                <w:rFonts w:hint="default" w:ascii="Times New Roman" w:hAnsi="Times New Roman"/>
                <w:sz w:val="24"/>
                <w:u w:val="single"/>
              </w:rPr>
              <w:t xml:space="preserve"> </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hint="eastAsia" w:ascii="宋体" w:hAnsi="宋体"/>
              </w:rPr>
              <w:t xml:space="preserve">□</w:t>
            </w:r>
            <w:r>
              <w:rPr>
                <w:sz w:val="24"/>
              </w:rPr>
              <w:t xml:space="preserve">需要，具体要求如下：</w:t>
            </w:r>
            <w:r/>
          </w:p>
          <w:p>
            <w:pPr>
              <w:jc w:val="left"/>
              <w:rPr>
                <w:sz w:val="24"/>
                <w:u w:val="single"/>
              </w:rPr>
            </w:pPr>
            <w:r>
              <w:rPr>
                <w:sz w:val="24"/>
              </w:rPr>
              <w:t xml:space="preserve">（1）样品制作的标准和要求：</w:t>
            </w:r>
            <w:r>
              <w:rPr>
                <w:sz w:val="24"/>
                <w:u w:val="single"/>
              </w:rPr>
              <w:t xml:space="preserve"> / </w:t>
            </w:r>
            <w:r>
              <w:rPr>
                <w:sz w:val="24"/>
              </w:rPr>
              <w:t xml:space="preserve">；</w:t>
            </w:r>
            <w:r/>
          </w:p>
          <w:p>
            <w:pPr>
              <w:jc w:val="left"/>
              <w:rPr>
                <w:sz w:val="24"/>
              </w:rPr>
            </w:pPr>
            <w:r>
              <w:rPr>
                <w:sz w:val="24"/>
              </w:rPr>
              <w:t xml:space="preserve">（2）是否需要随样品提交相关检测报告：</w:t>
            </w:r>
            <w:r/>
          </w:p>
          <w:p>
            <w:pPr>
              <w:ind w:firstLine="525"/>
              <w:jc w:val="left"/>
              <w:rPr>
                <w:sz w:val="24"/>
              </w:rPr>
            </w:pPr>
            <w:r>
              <w:rPr>
                <w:rFonts w:hint="eastAsia" w:ascii="宋体" w:hAnsi="宋体"/>
              </w:rPr>
              <w:t xml:space="preserve">□</w:t>
            </w:r>
            <w:r>
              <w:rPr>
                <w:sz w:val="24"/>
              </w:rPr>
              <w:t xml:space="preserve">不需要</w:t>
            </w:r>
            <w:r/>
          </w:p>
          <w:p>
            <w:pPr>
              <w:ind w:firstLine="525"/>
              <w:jc w:val="left"/>
              <w:rPr>
                <w:sz w:val="24"/>
              </w:rPr>
            </w:pPr>
            <w:r>
              <w:rPr>
                <w:rFonts w:hint="eastAsia" w:ascii="宋体" w:hAnsi="宋体"/>
              </w:rPr>
              <w:t xml:space="preserve">□</w:t>
            </w:r>
            <w:r>
              <w:rPr>
                <w:sz w:val="24"/>
              </w:rPr>
              <w:t xml:space="preserve">需要</w:t>
            </w:r>
            <w:r/>
          </w:p>
          <w:p>
            <w:pPr>
              <w:jc w:val="left"/>
              <w:rPr>
                <w:sz w:val="24"/>
              </w:rPr>
            </w:pPr>
            <w:r>
              <w:rPr>
                <w:sz w:val="24"/>
              </w:rPr>
              <w:t xml:space="preserve">（3）样品递交要求：</w:t>
            </w:r>
            <w:r>
              <w:rPr>
                <w:sz w:val="24"/>
                <w:u w:val="single"/>
              </w:rPr>
              <w:t xml:space="preserve"> / </w:t>
            </w:r>
            <w:r>
              <w:rPr>
                <w:sz w:val="24"/>
              </w:rPr>
              <w:t xml:space="preserve">；</w:t>
            </w:r>
            <w:r/>
          </w:p>
          <w:p>
            <w:pPr>
              <w:jc w:val="left"/>
              <w:rPr>
                <w:sz w:val="24"/>
              </w:rPr>
            </w:pPr>
            <w:r>
              <w:rPr>
                <w:sz w:val="24"/>
              </w:rPr>
              <w:t xml:space="preserve">（4）未中标人样品退还：</w:t>
            </w:r>
            <w:r>
              <w:rPr>
                <w:sz w:val="24"/>
                <w:u w:val="single"/>
              </w:rPr>
              <w:t xml:space="preserve"> / </w:t>
            </w:r>
            <w:r>
              <w:rPr>
                <w:sz w:val="24"/>
              </w:rPr>
              <w:t xml:space="preserve">；</w:t>
            </w:r>
            <w:r/>
          </w:p>
          <w:p>
            <w:pPr>
              <w:jc w:val="left"/>
              <w:rPr>
                <w:sz w:val="24"/>
                <w:u w:val="single"/>
              </w:rPr>
            </w:pPr>
            <w:r>
              <w:rPr>
                <w:sz w:val="24"/>
              </w:rPr>
              <w:t xml:space="preserve">（5）中标人样品保管、封存及退还：</w:t>
            </w:r>
            <w:r>
              <w:rPr>
                <w:sz w:val="24"/>
                <w:u w:val="single"/>
              </w:rPr>
              <w:t xml:space="preserve"> / </w:t>
            </w:r>
            <w:r>
              <w:rPr>
                <w:sz w:val="24"/>
              </w:rPr>
              <w:t xml:space="preserve">；</w:t>
            </w:r>
            <w:r/>
          </w:p>
          <w:p>
            <w:pPr>
              <w:jc w:val="left"/>
              <w:rPr>
                <w:sz w:val="24"/>
              </w:rPr>
            </w:pPr>
            <w:r>
              <w:rPr>
                <w:sz w:val="24"/>
              </w:rPr>
              <w:t xml:space="preserve">（6）其他要求（如有）：</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ascii="宋体" w:hAnsi="宋体"/>
                <w:sz w:val="24"/>
              </w:rPr>
              <w:t xml:space="preserve">本项目属于</w:t>
            </w:r>
            <w:r>
              <w:rPr>
                <w:rFonts w:hint="eastAsia" w:ascii="宋体" w:hAnsi="宋体"/>
                <w:b/>
                <w:sz w:val="24"/>
                <w:u w:val="single"/>
              </w:rPr>
              <w:t xml:space="preserve">服务类</w:t>
            </w:r>
            <w:r>
              <w:rPr>
                <w:rFonts w:hint="eastAsia" w:ascii="宋体" w:hAnsi="宋体" w:cs="楷体"/>
                <w:sz w:val="24"/>
              </w:rPr>
              <w:t xml:space="preserve">，</w:t>
            </w:r>
            <w:r>
              <w:rPr>
                <w:rFonts w:ascii="宋体" w:hAnsi="宋体"/>
                <w:sz w:val="24"/>
              </w:rPr>
              <w:t xml:space="preserve">采购标的对应的中小企业划分标准所属行业：</w:t>
            </w:r>
            <w:r>
              <w:rPr>
                <w:rFonts w:hint="eastAsia" w:ascii="宋体" w:hAnsi="宋体"/>
                <w:b/>
                <w:sz w:val="24"/>
                <w:u w:val="single"/>
              </w:rPr>
              <w:t xml:space="preserve">其他</w:t>
            </w:r>
            <w:r>
              <w:rPr>
                <w:rFonts w:hint="eastAsia" w:ascii="宋体" w:hAnsi="宋体"/>
                <w:bCs/>
                <w:sz w:val="24"/>
                <w:u w:val="single"/>
              </w:rPr>
              <w:t xml:space="preserve">（《关于印</w:t>
            </w:r>
            <w:r>
              <w:rPr>
                <w:rFonts w:hint="eastAsia" w:ascii="宋体" w:hAnsi="宋体"/>
                <w:bCs/>
                <w:sz w:val="24"/>
              </w:rPr>
              <w:t xml:space="preserve">发</w:t>
            </w:r>
            <w:r>
              <w:rPr>
                <w:rFonts w:hint="eastAsia" w:ascii="宋体" w:hAnsi="宋体"/>
                <w:sz w:val="24"/>
              </w:rPr>
              <w:t xml:space="preserve">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bl>
    <w:p>
      <w:r>
        <w:br w:type="page" w:clear="all"/>
      </w:r>
      <w:r/>
    </w:p>
    <w:tbl>
      <w:tblPr>
        <w:tblStyle w:val="107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089"/>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w:t>
            </w:r>
            <w:r/>
          </w:p>
        </w:tc>
      </w:tr>
      <w:tr>
        <w:trPr>
          <w:jc w:val="center"/>
          <w:trHeight w:val="781"/>
        </w:trPr>
        <w:tc>
          <w:tcPr>
            <w:tcW w:w="988" w:type="dxa"/>
            <w:vAlign w:val="center"/>
            <w:textDirection w:val="lrTb"/>
            <w:noWrap w:val="false"/>
          </w:tcPr>
          <w:p>
            <w:pPr>
              <w:pStyle w:val="1089"/>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835"/>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投标人对招标文件如有疑问，请将疑问于2026年</w:t>
            </w:r>
            <w:r>
              <w:rPr>
                <w:rFonts w:hint="eastAsia"/>
                <w:sz w:val="24"/>
                <w:u w:val="single"/>
                <w:lang w:val="en-US" w:eastAsia="zh-CN"/>
              </w:rPr>
              <w:t xml:space="preserve">4</w:t>
            </w:r>
            <w:r>
              <w:rPr>
                <w:rFonts w:hint="eastAsia"/>
                <w:sz w:val="24"/>
                <w:u w:val="single"/>
              </w:rPr>
              <w:t xml:space="preserve">月</w:t>
            </w:r>
            <w:r>
              <w:rPr>
                <w:rFonts w:hint="eastAsia"/>
                <w:sz w:val="24"/>
                <w:u w:val="single"/>
                <w:lang w:val="en-US" w:eastAsia="zh-CN"/>
              </w:rPr>
              <w:t xml:space="preserve">15</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点00分（北京时间）前以书面形式提交或发电子邮件至江苏晟泽工程造价咨询有限公司。</w:t>
            </w:r>
            <w:r>
              <w:rPr>
                <w:sz w:val="24"/>
                <w:u w:val="single"/>
              </w:rPr>
              <w:t xml:space="preserve">邮箱：</w:t>
            </w:r>
            <w:r>
              <w:fldChar w:fldCharType="begin"/>
            </w:r>
            <w:r>
              <w:instrText xml:space="preserve"> HYPERLINK "mailto:394676860@qq.com" </w:instrText>
            </w:r>
            <w:r>
              <w:fldChar w:fldCharType="separate"/>
            </w:r>
            <w:r>
              <w:rPr>
                <w:rStyle w:val="1098"/>
                <w:rFonts w:hint="eastAsia"/>
                <w:color w:val="auto"/>
                <w:sz w:val="24"/>
              </w:rPr>
              <w:t xml:space="preserve">512090947@</w:t>
            </w:r>
            <w:r>
              <w:rPr>
                <w:rStyle w:val="1098"/>
                <w:color w:val="auto"/>
                <w:sz w:val="24"/>
              </w:rPr>
              <w:t xml:space="preserve">qq.com</w:t>
            </w:r>
            <w:r>
              <w:rPr>
                <w:rStyle w:val="1098"/>
                <w:color w:val="auto"/>
                <w:sz w:val="24"/>
              </w:rPr>
              <w:fldChar w:fldCharType="end"/>
            </w:r>
            <w:r>
              <w:rPr>
                <w:rFonts w:hint="eastAsia"/>
                <w:sz w:val="24"/>
                <w:u w:val="single"/>
              </w:rPr>
              <w:t xml:space="preserve">。</w:t>
            </w:r>
            <w:r/>
          </w:p>
        </w:tc>
      </w:tr>
      <w:tr>
        <w:trPr>
          <w:jc w:val="center"/>
          <w:trHeight w:val="20"/>
        </w:trPr>
        <w:tc>
          <w:tcPr>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江苏晟泽工程造价咨询有限公司代理部</w:t>
            </w:r>
            <w:r>
              <w:rPr>
                <w:sz w:val="24"/>
              </w:rPr>
              <w:t xml:space="preserve">；</w:t>
            </w:r>
            <w:r/>
          </w:p>
          <w:p>
            <w:pPr>
              <w:jc w:val="left"/>
              <w:rPr>
                <w:sz w:val="24"/>
              </w:rPr>
            </w:pPr>
            <w:r>
              <w:rPr>
                <w:sz w:val="24"/>
              </w:rPr>
              <w:t xml:space="preserve">联系电话：</w:t>
            </w:r>
            <w:r>
              <w:rPr>
                <w:rFonts w:hint="eastAsia"/>
                <w:sz w:val="24"/>
                <w:u w:val="single"/>
              </w:rPr>
              <w:t xml:space="preserve">15895053501</w:t>
            </w:r>
            <w:r>
              <w:rPr>
                <w:sz w:val="24"/>
              </w:rPr>
              <w:t xml:space="preserve">；</w:t>
            </w:r>
            <w:r/>
          </w:p>
          <w:p>
            <w:pPr>
              <w:jc w:val="left"/>
              <w:rPr>
                <w:sz w:val="24"/>
              </w:rPr>
            </w:pPr>
            <w:r>
              <w:rPr>
                <w:sz w:val="24"/>
              </w:rPr>
              <w:t xml:space="preserve">通讯地址：</w:t>
            </w:r>
            <w:r>
              <w:rPr>
                <w:rFonts w:hint="eastAsia"/>
                <w:sz w:val="24"/>
                <w:u w:val="single"/>
              </w:rPr>
              <w:t xml:space="preserve">常州市天宁区博爱大厦15楼</w:t>
            </w:r>
            <w:r>
              <w:rPr>
                <w:sz w:val="24"/>
              </w:rPr>
              <w:t xml:space="preserve">。</w:t>
            </w:r>
            <w:r/>
          </w:p>
        </w:tc>
      </w:tr>
      <w:tr>
        <w:trPr>
          <w:jc w:val="center"/>
          <w:trHeight w:val="376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89"/>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中标人</w:t>
            </w:r>
            <w:r/>
          </w:p>
          <w:p>
            <w:pPr>
              <w:jc w:val="left"/>
              <w:rPr>
                <w:sz w:val="24"/>
              </w:rPr>
            </w:pPr>
            <w:r>
              <w:rPr>
                <w:sz w:val="24"/>
              </w:rPr>
              <w:t xml:space="preserve">收费标准：</w:t>
            </w:r>
            <w:r>
              <w:rPr>
                <w:rFonts w:hint="eastAsia"/>
                <w:sz w:val="24"/>
              </w:rPr>
              <w:t xml:space="preserve">代理费按发改价格【2011】534号《国家发展改革委关于降低部分建设项目收费行为等有关问题的通知》七折执行；</w:t>
            </w:r>
            <w:r/>
          </w:p>
          <w:p>
            <w:pPr>
              <w:jc w:val="left"/>
              <w:rPr>
                <w:sz w:val="24"/>
              </w:rPr>
            </w:pPr>
            <w:r>
              <w:rPr>
                <w:rFonts w:hint="eastAsia"/>
                <w:sz w:val="24"/>
              </w:rPr>
              <w:t xml:space="preserve">缴纳时间：在领取中标（成交）通知书时将中标服务费付至采购代理机构指定账户。</w:t>
            </w:r>
            <w:r/>
          </w:p>
          <w:p>
            <w:pPr>
              <w:jc w:val="left"/>
              <w:rPr>
                <w:sz w:val="24"/>
              </w:rPr>
            </w:pPr>
            <w:r>
              <w:rPr>
                <w:rFonts w:hint="eastAsia"/>
                <w:sz w:val="24"/>
              </w:rPr>
              <w:t xml:space="preserve">账 </w:t>
            </w:r>
            <w:r>
              <w:rPr>
                <w:sz w:val="24"/>
              </w:rPr>
              <w:t xml:space="preserve">   </w:t>
            </w:r>
            <w:r>
              <w:rPr>
                <w:rFonts w:hint="eastAsia"/>
                <w:sz w:val="24"/>
              </w:rPr>
              <w:t xml:space="preserve">户：江苏晟泽工程造价咨询有限公司</w:t>
            </w:r>
            <w:r/>
          </w:p>
          <w:p>
            <w:pPr>
              <w:jc w:val="left"/>
              <w:rPr>
                <w:sz w:val="24"/>
              </w:rPr>
            </w:pPr>
            <w:r>
              <w:rPr>
                <w:rFonts w:hint="eastAsia"/>
                <w:sz w:val="24"/>
              </w:rPr>
              <w:t xml:space="preserve">开户银行：建设银行博爱路支行；</w:t>
            </w:r>
            <w:r/>
          </w:p>
          <w:p>
            <w:pPr>
              <w:jc w:val="left"/>
              <w:rPr>
                <w:sz w:val="24"/>
              </w:rPr>
            </w:pPr>
            <w:r>
              <w:rPr>
                <w:rFonts w:hint="eastAsia"/>
                <w:sz w:val="24"/>
              </w:rPr>
              <w:t xml:space="preserve">帐 </w:t>
            </w:r>
            <w:r>
              <w:rPr>
                <w:sz w:val="24"/>
              </w:rPr>
              <w:t xml:space="preserve">   </w:t>
            </w:r>
            <w:r>
              <w:rPr>
                <w:rFonts w:hint="eastAsia"/>
                <w:sz w:val="24"/>
              </w:rPr>
              <w:t xml:space="preserve">号：32001626737059000010；</w:t>
            </w:r>
            <w:r/>
          </w:p>
        </w:tc>
      </w:tr>
    </w:tbl>
    <w:p>
      <w:pPr>
        <w:jc w:val="both"/>
        <w:spacing w:line="360" w:lineRule="auto"/>
        <w:tabs>
          <w:tab w:val="left" w:pos="5580" w:leader="none"/>
        </w:tabs>
        <w:rPr>
          <w:sz w:val="24"/>
        </w:rPr>
        <w:sectPr>
          <w:headerReference w:type="default" r:id="rId9"/>
          <w:headerReference w:type="first" r:id="rId10"/>
          <w:footerReference w:type="default" r:id="rId16"/>
          <w:footnotePr/>
          <w:endnotePr/>
          <w:type w:val="continuous"/>
          <w:pgSz w:w="11907" w:h="16840" w:orient="portrait"/>
          <w:pgMar w:top="1418" w:right="1134" w:bottom="1418" w:left="1701" w:header="851" w:footer="851" w:gutter="0"/>
          <w:cols w:num="1" w:sep="0" w:space="720" w:equalWidth="1"/>
          <w:docGrid w:linePitch="360"/>
        </w:sectPr>
      </w:pPr>
      <w:r>
        <w:rPr>
          <w:sz w:val="24"/>
        </w:rPr>
      </w:r>
      <w:r/>
    </w:p>
    <w:p>
      <w:pPr>
        <w:jc w:val="center"/>
        <w:spacing w:before="240" w:after="240"/>
        <w:rPr>
          <w:b/>
          <w:sz w:val="28"/>
          <w:szCs w:val="28"/>
        </w:rPr>
        <w:outlineLvl w:val="1"/>
      </w:pPr>
      <w:r/>
      <w:bookmarkStart w:id="74" w:name="_Toc195842882"/>
      <w:r/>
      <w:bookmarkStart w:id="75" w:name="_Toc305158785"/>
      <w:r/>
      <w:bookmarkStart w:id="76" w:name="_Toc226337213"/>
      <w:r/>
      <w:bookmarkStart w:id="77" w:name="_Toc353825542"/>
      <w:r/>
      <w:bookmarkStart w:id="78" w:name="_Toc150480755"/>
      <w:r/>
      <w:bookmarkStart w:id="79" w:name="_Toc265228355"/>
      <w:r/>
      <w:bookmarkStart w:id="80" w:name="_Toc142311019"/>
      <w:r/>
      <w:bookmarkStart w:id="81" w:name="_Toc264969207"/>
      <w:r/>
      <w:bookmarkStart w:id="82" w:name="_Toc305158859"/>
      <w:r/>
      <w:bookmarkStart w:id="83" w:name="_Toc127151517"/>
      <w:r/>
      <w:bookmarkStart w:id="84" w:name="_Toc226965790"/>
      <w:r/>
      <w:bookmarkStart w:id="85" w:name="_Toc353873662"/>
      <w:r/>
      <w:bookmarkStart w:id="86" w:name="_Toc353873932"/>
      <w:r/>
      <w:bookmarkStart w:id="87" w:name="_Toc150774722"/>
      <w:r>
        <w:rPr>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76"/>
        <w:jc w:val="left"/>
        <w:spacing w:before="0" w:line="360" w:lineRule="auto"/>
        <w:tabs>
          <w:tab w:val="center" w:pos="4592" w:leader="none"/>
          <w:tab w:val="left" w:pos="7860" w:leader="none"/>
        </w:tabs>
        <w:rPr>
          <w:rFonts w:ascii="Times New Roman" w:hAnsi="Times New Roman" w:eastAsia="宋体"/>
          <w:sz w:val="28"/>
        </w:rPr>
      </w:pPr>
      <w:r/>
      <w:bookmarkStart w:id="88" w:name="_Toc127151518"/>
      <w:r/>
      <w:bookmarkStart w:id="89" w:name="_Toc520356143"/>
      <w:r>
        <w:rPr>
          <w:rFonts w:ascii="Times New Roman" w:hAnsi="Times New Roman" w:eastAsia="宋体"/>
          <w:sz w:val="28"/>
        </w:rPr>
        <w:tab/>
      </w:r>
      <w:bookmarkStart w:id="90" w:name="_Toc226309762"/>
      <w:r/>
      <w:bookmarkStart w:id="91" w:name="_Toc151193688"/>
      <w:r/>
      <w:bookmarkStart w:id="92" w:name="_Toc151193616"/>
      <w:r/>
      <w:bookmarkStart w:id="93" w:name="_Toc264969208"/>
      <w:r/>
      <w:bookmarkStart w:id="94" w:name="_Toc150480756"/>
      <w:r/>
      <w:bookmarkStart w:id="95" w:name="_Toc151193906"/>
      <w:r/>
      <w:bookmarkStart w:id="96" w:name="_Toc305158860"/>
      <w:r/>
      <w:bookmarkStart w:id="97" w:name="_Toc151193760"/>
      <w:r/>
      <w:bookmarkStart w:id="98" w:name="_Toc195842883"/>
      <w:r/>
      <w:bookmarkStart w:id="99" w:name="_Toc151190145"/>
      <w:r/>
      <w:bookmarkStart w:id="100" w:name="_Toc305158786"/>
      <w:r/>
      <w:bookmarkStart w:id="101" w:name="_Toc226965791"/>
      <w:r/>
      <w:bookmarkStart w:id="102" w:name="_Toc150774723"/>
      <w:r/>
      <w:bookmarkStart w:id="103" w:name="_Toc265228356"/>
      <w:r/>
      <w:bookmarkStart w:id="104" w:name="_Toc151193832"/>
      <w:r/>
      <w:bookmarkStart w:id="105" w:name="_Toc150509269"/>
      <w:r/>
      <w:bookmarkStart w:id="106" w:name="_Toc150774618"/>
      <w:r/>
      <w:bookmarkStart w:id="107" w:name="_Toc226337214"/>
      <w:r/>
      <w:bookmarkStart w:id="108" w:name="_Toc142311020"/>
      <w:r/>
      <w:bookmarkStart w:id="109" w:name="_Toc226965708"/>
      <w:r>
        <w:rPr>
          <w:rFonts w:ascii="Times New Roman" w:hAnsi="Times New Roman"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sz w:val="24"/>
        </w:rPr>
        <w:outlineLvl w:val="2"/>
      </w:pPr>
      <w:r/>
      <w:bookmarkStart w:id="110" w:name="_Toc265228357"/>
      <w:r/>
      <w:bookmarkStart w:id="111" w:name="_Toc305158861"/>
      <w:r/>
      <w:bookmarkStart w:id="112" w:name="_Toc305158787"/>
      <w:r/>
      <w:bookmarkStart w:id="113" w:name="_Toc264969209"/>
      <w:r>
        <w:rPr>
          <w:sz w:val="24"/>
        </w:rPr>
        <w:t xml:space="preserve">采购人、采购代理机构、投标人</w:t>
      </w:r>
      <w:bookmarkEnd w:id="110"/>
      <w:r/>
      <w:bookmarkEnd w:id="111"/>
      <w:r/>
      <w:bookmarkEnd w:id="112"/>
      <w:r/>
      <w:bookmarkEnd w:id="113"/>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sz w:val="24"/>
        </w:rPr>
        <w:outlineLvl w:val="2"/>
      </w:pPr>
      <w:r/>
      <w:bookmarkStart w:id="114" w:name="_Toc151193690"/>
      <w:r/>
      <w:bookmarkStart w:id="115" w:name="_Toc142311022"/>
      <w:r/>
      <w:bookmarkStart w:id="116" w:name="_Toc265228358"/>
      <w:r/>
      <w:bookmarkStart w:id="117" w:name="_Toc127161434"/>
      <w:r/>
      <w:bookmarkStart w:id="118" w:name="_Toc164229361"/>
      <w:r/>
      <w:bookmarkStart w:id="119" w:name="_Toc226309764"/>
      <w:r/>
      <w:bookmarkStart w:id="120" w:name="_Toc305158862"/>
      <w:r/>
      <w:bookmarkStart w:id="121" w:name="_Toc127151721"/>
      <w:r/>
      <w:bookmarkStart w:id="122" w:name="_Toc226965793"/>
      <w:r/>
      <w:bookmarkStart w:id="123" w:name="_Toc305158788"/>
      <w:r/>
      <w:bookmarkStart w:id="124" w:name="_Toc195842885"/>
      <w:r/>
      <w:bookmarkStart w:id="125" w:name="_Toc226965710"/>
      <w:r/>
      <w:bookmarkStart w:id="126" w:name="_Toc150774725"/>
      <w:r/>
      <w:bookmarkStart w:id="127" w:name="_Toc226337216"/>
      <w:r/>
      <w:bookmarkStart w:id="128" w:name="_Toc150480758"/>
      <w:r/>
      <w:bookmarkStart w:id="129" w:name="_Toc164229215"/>
      <w:r/>
      <w:bookmarkStart w:id="130" w:name="_Toc151193834"/>
      <w:r/>
      <w:bookmarkStart w:id="131" w:name="_Toc264969210"/>
      <w:r/>
      <w:bookmarkStart w:id="132" w:name="_Toc150774620"/>
      <w:r/>
      <w:bookmarkStart w:id="133" w:name="_Toc149720813"/>
      <w:r/>
      <w:bookmarkStart w:id="134" w:name="_Toc164351614"/>
      <w:r/>
      <w:bookmarkStart w:id="135" w:name="_Toc150509271"/>
      <w:r/>
      <w:bookmarkStart w:id="136" w:name="_Toc151193618"/>
      <w:r/>
      <w:bookmarkStart w:id="137" w:name="_Toc151193762"/>
      <w:r/>
      <w:bookmarkStart w:id="138" w:name="_Toc127151520"/>
      <w:r/>
      <w:bookmarkStart w:id="139" w:name="_Toc164608789"/>
      <w:r/>
      <w:bookmarkStart w:id="140" w:name="_Toc151193908"/>
      <w:r/>
      <w:bookmarkStart w:id="141" w:name="_Toc164608634"/>
      <w:r/>
      <w:bookmarkStart w:id="142" w:name="_Toc151190147"/>
      <w:r>
        <w:rPr>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sz w:val="24"/>
        </w:rPr>
        <w:t xml:space="preserve">、项目属性、科研仪器设备采购、核心产品</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
        </w:numPr>
        <w:ind w:left="357" w:hanging="357"/>
        <w:spacing w:line="360" w:lineRule="auto"/>
        <w:tabs>
          <w:tab w:val="left" w:pos="360" w:leader="none"/>
        </w:tabs>
        <w:rPr>
          <w:sz w:val="24"/>
        </w:rPr>
        <w:outlineLvl w:val="2"/>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3" w:name="_Toc265228360"/>
      <w:r/>
      <w:bookmarkStart w:id="144" w:name="_Toc151193620"/>
      <w:r/>
      <w:bookmarkStart w:id="145" w:name="_Toc150774727"/>
      <w:r/>
      <w:bookmarkStart w:id="146" w:name="_Toc226337218"/>
      <w:r/>
      <w:bookmarkStart w:id="147" w:name="_Toc151193692"/>
      <w:r/>
      <w:bookmarkStart w:id="148" w:name="_Toc226965712"/>
      <w:r/>
      <w:bookmarkStart w:id="149" w:name="_Toc150774622"/>
      <w:r/>
      <w:bookmarkStart w:id="150" w:name="_Toc151190149"/>
      <w:r/>
      <w:bookmarkStart w:id="151" w:name="_Toc127151522"/>
      <w:r/>
      <w:bookmarkStart w:id="152" w:name="_Toc305158864"/>
      <w:r/>
      <w:bookmarkStart w:id="153" w:name="_Toc226965795"/>
      <w:r/>
      <w:bookmarkStart w:id="154" w:name="_Toc150480760"/>
      <w:r/>
      <w:bookmarkStart w:id="155" w:name="_Toc150509273"/>
      <w:r/>
      <w:bookmarkStart w:id="156" w:name="_Toc264969212"/>
      <w:r/>
      <w:bookmarkStart w:id="157" w:name="_Toc151193910"/>
      <w:r/>
      <w:bookmarkStart w:id="158" w:name="_Toc142311024"/>
      <w:r/>
      <w:bookmarkStart w:id="159" w:name="_Toc195842887"/>
      <w:r/>
      <w:bookmarkStart w:id="160" w:name="_Toc305158790"/>
      <w:r/>
      <w:bookmarkStart w:id="161" w:name="_Toc520356146"/>
      <w:r/>
      <w:bookmarkStart w:id="162" w:name="_Toc151193836"/>
      <w:r/>
      <w:bookmarkStart w:id="163" w:name="_Toc226309766"/>
      <w:r/>
      <w:bookmarkStart w:id="164" w:name="_Toc151193764"/>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2"/>
      </w:pPr>
      <w:r>
        <w:rPr>
          <w:sz w:val="24"/>
        </w:rPr>
        <w:t xml:space="preserve">样品</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 w:val="clear" w:pos="900" w:leader="none"/>
        </w:tabs>
        <w:rPr>
          <w:sz w:val="24"/>
        </w:rPr>
        <w:outlineLvl w:val="2"/>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101"/>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w:t>
      </w:r>
      <w:r>
        <w:rPr>
          <w:rFonts w:hint="eastAsia"/>
          <w:sz w:val="24"/>
        </w:rPr>
        <w:t xml:space="preserve">民法典</w:t>
      </w:r>
      <w:r>
        <w:rPr>
          <w:sz w:val="24"/>
        </w:rPr>
        <w:t xml:space="preserve">》订立劳动合同的从业人员。</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101"/>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1"/>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1"/>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1"/>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80"/>
        <w:spacing w:line="360" w:lineRule="auto"/>
        <w:tabs>
          <w:tab w:val="left" w:pos="2014" w:leader="none"/>
        </w:tabs>
        <w:rPr>
          <w:sz w:val="24"/>
        </w:rPr>
      </w:pPr>
      <w:r>
        <w:rPr>
          <w:rFonts w:hint="eastAsia"/>
          <w:sz w:val="24"/>
        </w:rPr>
        <w:t xml:space="preserve">5.8绿色采购政策</w:t>
      </w:r>
      <w:r/>
    </w:p>
    <w:p>
      <w:pPr>
        <w:ind w:left="1080"/>
        <w:spacing w:line="360" w:lineRule="auto"/>
        <w:tabs>
          <w:tab w:val="left" w:pos="2014" w:leader="none"/>
        </w:tabs>
        <w:rPr>
          <w:sz w:val="24"/>
        </w:rPr>
      </w:pPr>
      <w:r>
        <w:rPr>
          <w:rFonts w:hint="eastAsia"/>
          <w:sz w:val="24"/>
        </w:rPr>
        <w:t xml:space="preserve">5.8.1  绿色数据中心政策 </w:t>
      </w:r>
      <w:r/>
    </w:p>
    <w:p>
      <w:pPr>
        <w:ind w:left="1080"/>
        <w:spacing w:line="360" w:lineRule="auto"/>
        <w:tabs>
          <w:tab w:val="left" w:pos="2014" w:leader="none"/>
        </w:tabs>
        <w:rPr>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5.8.2 推广应用绿色建材</w:t>
      </w:r>
      <w:r/>
    </w:p>
    <w:p>
      <w:pPr>
        <w:ind w:left="1080"/>
        <w:spacing w:line="360" w:lineRule="auto"/>
        <w:tabs>
          <w:tab w:val="left" w:pos="2014" w:leader="none"/>
        </w:tabs>
        <w:rPr>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 5.8.3 优先使用低挥发性有机化合物产品</w:t>
      </w:r>
      <w:r/>
    </w:p>
    <w:p>
      <w:pPr>
        <w:ind w:left="1080"/>
        <w:spacing w:line="360" w:lineRule="auto"/>
        <w:tabs>
          <w:tab w:val="left" w:pos="2014" w:leader="none"/>
        </w:tabs>
        <w:rPr>
          <w:sz w:val="24"/>
        </w:rPr>
      </w:pPr>
      <w:r>
        <w:rPr>
          <w:rFonts w:hint="eastAsia"/>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80"/>
        <w:spacing w:line="360" w:lineRule="auto"/>
        <w:tabs>
          <w:tab w:val="left" w:pos="2014" w:leader="none"/>
        </w:tabs>
        <w:rPr>
          <w:sz w:val="24"/>
        </w:rPr>
      </w:pPr>
      <w:r>
        <w:rPr>
          <w:sz w:val="24"/>
        </w:rPr>
      </w:r>
      <w:r/>
    </w:p>
    <w:p>
      <w:pPr>
        <w:numPr>
          <w:ilvl w:val="0"/>
          <w:numId w:val="1"/>
        </w:numPr>
        <w:ind w:left="357" w:hanging="357"/>
        <w:spacing w:line="360" w:lineRule="auto"/>
        <w:tabs>
          <w:tab w:val="left" w:pos="360" w:leader="none"/>
        </w:tabs>
        <w:rPr>
          <w:sz w:val="24"/>
        </w:rPr>
        <w:outlineLvl w:val="2"/>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5" w:name="_1.8_计量单位"/>
      <w:r/>
      <w:bookmarkEnd w:id="165"/>
      <w:r/>
      <w:r/>
    </w:p>
    <w:p>
      <w:pPr>
        <w:pStyle w:val="1076"/>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1"/>
        </w:numPr>
        <w:ind w:left="357" w:hanging="357"/>
        <w:spacing w:line="360" w:lineRule="auto"/>
        <w:tabs>
          <w:tab w:val="left" w:pos="360" w:leader="none"/>
        </w:tabs>
        <w:rPr>
          <w:sz w:val="24"/>
        </w:rPr>
        <w:outlineLvl w:val="1"/>
      </w:pPr>
      <w:r/>
      <w:bookmarkStart w:id="166" w:name="_Toc164608637"/>
      <w:r/>
      <w:bookmarkStart w:id="167" w:name="_Toc127161437"/>
      <w:r/>
      <w:bookmarkStart w:id="168" w:name="_Toc164229364"/>
      <w:r/>
      <w:bookmarkStart w:id="169" w:name="_Toc151193693"/>
      <w:r/>
      <w:bookmarkStart w:id="170" w:name="_Toc265228361"/>
      <w:r/>
      <w:bookmarkStart w:id="171" w:name="_Toc150480761"/>
      <w:r/>
      <w:bookmarkStart w:id="172" w:name="_Toc305158865"/>
      <w:r/>
      <w:bookmarkStart w:id="173" w:name="_Toc226965796"/>
      <w:r/>
      <w:bookmarkStart w:id="174" w:name="_Toc149720816"/>
      <w:r/>
      <w:bookmarkStart w:id="175" w:name="_Toc164351617"/>
      <w:r/>
      <w:bookmarkStart w:id="176" w:name="_Toc226337219"/>
      <w:r/>
      <w:bookmarkStart w:id="177" w:name="_Toc151193621"/>
      <w:r/>
      <w:bookmarkStart w:id="178" w:name="_Toc164608792"/>
      <w:r/>
      <w:bookmarkStart w:id="179" w:name="_Toc150774728"/>
      <w:r/>
      <w:bookmarkStart w:id="180" w:name="_Toc151193765"/>
      <w:r/>
      <w:bookmarkStart w:id="181" w:name="_Toc164229218"/>
      <w:r/>
      <w:bookmarkStart w:id="182" w:name="_Toc127151523"/>
      <w:r/>
      <w:bookmarkStart w:id="183" w:name="_Toc226309767"/>
      <w:r/>
      <w:bookmarkStart w:id="184" w:name="_Toc151190150"/>
      <w:r/>
      <w:bookmarkStart w:id="185" w:name="_Toc150774623"/>
      <w:r/>
      <w:bookmarkStart w:id="186" w:name="_Toc151193837"/>
      <w:r/>
      <w:bookmarkStart w:id="187" w:name="_Toc520356147"/>
      <w:r/>
      <w:bookmarkStart w:id="188" w:name="_Toc195842888"/>
      <w:r/>
      <w:bookmarkStart w:id="189" w:name="_Toc264969213"/>
      <w:r/>
      <w:bookmarkStart w:id="190" w:name="_Toc127151724"/>
      <w:r/>
      <w:bookmarkStart w:id="191" w:name="_Toc305158791"/>
      <w:r/>
      <w:bookmarkStart w:id="192" w:name="_Toc150509274"/>
      <w:r/>
      <w:bookmarkStart w:id="193" w:name="_Toc142311025"/>
      <w:r/>
      <w:bookmarkStart w:id="194" w:name="_Toc151193911"/>
      <w:r/>
      <w:bookmarkStart w:id="195" w:name="_Toc226965713"/>
      <w:r>
        <w:rPr>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6" w:name="_Toc516367020"/>
      <w:r/>
      <w:bookmarkStart w:id="197" w:name="_Toc151193914"/>
      <w:r/>
      <w:bookmarkStart w:id="198" w:name="_Toc226309770"/>
      <w:r/>
      <w:bookmarkStart w:id="199" w:name="_Toc520356150"/>
      <w:r/>
      <w:bookmarkStart w:id="200" w:name="_Toc151190153"/>
      <w:r/>
      <w:bookmarkStart w:id="201" w:name="_Toc142311028"/>
      <w:r/>
      <w:bookmarkStart w:id="202" w:name="_Toc305158794"/>
      <w:r/>
      <w:bookmarkStart w:id="203" w:name="_Toc150774626"/>
      <w:r/>
      <w:bookmarkStart w:id="204" w:name="_Toc226965716"/>
      <w:r/>
      <w:bookmarkStart w:id="205" w:name="_Toc127151526"/>
      <w:r/>
      <w:bookmarkStart w:id="206" w:name="_Toc151193840"/>
      <w:r/>
      <w:bookmarkStart w:id="207" w:name="_Toc226965799"/>
      <w:r/>
      <w:bookmarkStart w:id="208" w:name="_Toc305158868"/>
      <w:r/>
      <w:bookmarkStart w:id="209" w:name="_Toc264969216"/>
      <w:r/>
      <w:bookmarkStart w:id="210" w:name="_Toc226337222"/>
      <w:r/>
      <w:bookmarkStart w:id="211" w:name="_Toc151193624"/>
      <w:r/>
      <w:bookmarkStart w:id="212" w:name="_Toc265228364"/>
      <w:r/>
      <w:bookmarkStart w:id="213" w:name="_Toc150774731"/>
      <w:r/>
      <w:bookmarkStart w:id="214" w:name="_Toc195842891"/>
      <w:r/>
      <w:bookmarkStart w:id="215" w:name="_Toc150480764"/>
      <w:r/>
      <w:bookmarkStart w:id="216" w:name="_Toc150509277"/>
      <w:r/>
      <w:bookmarkStart w:id="217" w:name="_Toc151193696"/>
      <w:r/>
      <w:bookmarkStart w:id="218" w:name="_Toc151193768"/>
      <w:r/>
      <w:r/>
    </w:p>
    <w:p>
      <w:pPr>
        <w:pStyle w:val="107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6"/>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numPr>
          <w:ilvl w:val="0"/>
          <w:numId w:val="1"/>
        </w:numPr>
        <w:ind w:left="357" w:hanging="357"/>
        <w:spacing w:line="360" w:lineRule="auto"/>
        <w:tabs>
          <w:tab w:val="left" w:pos="360" w:leader="none"/>
        </w:tabs>
        <w:rPr>
          <w:sz w:val="24"/>
        </w:rPr>
        <w:outlineLvl w:val="1"/>
      </w:pPr>
      <w:r/>
      <w:bookmarkStart w:id="219" w:name="_Toc149720820"/>
      <w:r/>
      <w:bookmarkStart w:id="220" w:name="_Toc150774732"/>
      <w:r/>
      <w:bookmarkStart w:id="221" w:name="_Toc142311029"/>
      <w:r/>
      <w:bookmarkStart w:id="222" w:name="_Toc151193625"/>
      <w:r/>
      <w:bookmarkStart w:id="223" w:name="_Toc520356151"/>
      <w:r/>
      <w:bookmarkStart w:id="224" w:name="_Toc164229222"/>
      <w:r/>
      <w:bookmarkStart w:id="225" w:name="_Toc151190154"/>
      <w:r/>
      <w:bookmarkStart w:id="226" w:name="_Toc164229368"/>
      <w:r/>
      <w:bookmarkStart w:id="227" w:name="_Toc164608796"/>
      <w:r/>
      <w:bookmarkStart w:id="228" w:name="_Toc164608641"/>
      <w:r/>
      <w:bookmarkStart w:id="229" w:name="_Toc195842892"/>
      <w:r/>
      <w:bookmarkStart w:id="230" w:name="_Toc305158795"/>
      <w:r/>
      <w:bookmarkStart w:id="231" w:name="_Toc226965800"/>
      <w:r/>
      <w:bookmarkStart w:id="232" w:name="_Toc151193769"/>
      <w:r/>
      <w:bookmarkStart w:id="233" w:name="_Toc226337223"/>
      <w:r/>
      <w:bookmarkStart w:id="234" w:name="_Toc151193697"/>
      <w:r/>
      <w:bookmarkStart w:id="235" w:name="_Toc150480765"/>
      <w:r/>
      <w:bookmarkStart w:id="236" w:name="_Toc150774627"/>
      <w:r/>
      <w:bookmarkStart w:id="237" w:name="_Toc264969217"/>
      <w:r/>
      <w:bookmarkStart w:id="238" w:name="_Toc516367021"/>
      <w:r/>
      <w:bookmarkStart w:id="239" w:name="_Toc305158869"/>
      <w:r/>
      <w:bookmarkStart w:id="240" w:name="_Toc150509278"/>
      <w:r/>
      <w:bookmarkStart w:id="241" w:name="_Toc151193915"/>
      <w:r/>
      <w:bookmarkStart w:id="242" w:name="_Toc226965717"/>
      <w:r/>
      <w:bookmarkStart w:id="243" w:name="_Toc127161441"/>
      <w:r/>
      <w:bookmarkStart w:id="244" w:name="_Toc226309771"/>
      <w:r/>
      <w:bookmarkStart w:id="245" w:name="_Toc127151527"/>
      <w:r/>
      <w:bookmarkStart w:id="246" w:name="_Toc151193841"/>
      <w:r/>
      <w:bookmarkStart w:id="247" w:name="_Toc127151728"/>
      <w:r/>
      <w:bookmarkStart w:id="248" w:name="_Toc265228365"/>
      <w:r/>
      <w:bookmarkStart w:id="249" w:name="_Toc164351621"/>
      <w:r>
        <w:rPr>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50" w:name="_Ref467306195"/>
      <w:r/>
      <w:bookmarkStart w:id="251" w:name="_Toc516367022"/>
      <w:r/>
      <w:bookmarkStart w:id="252" w:name="_Ref467306676"/>
      <w:r/>
      <w:bookmarkStart w:id="253" w:name="_Toc264969218"/>
      <w:r/>
      <w:bookmarkStart w:id="254" w:name="_Toc151193842"/>
      <w:r/>
      <w:bookmarkStart w:id="255" w:name="_Toc305158870"/>
      <w:r/>
      <w:bookmarkStart w:id="256" w:name="_Toc150774628"/>
      <w:r/>
      <w:bookmarkStart w:id="257" w:name="_Toc164608642"/>
      <w:r/>
      <w:bookmarkStart w:id="258" w:name="_Toc151193916"/>
      <w:r/>
      <w:bookmarkStart w:id="259" w:name="_Toc151193626"/>
      <w:r/>
      <w:bookmarkStart w:id="260" w:name="_Toc151193770"/>
      <w:r/>
      <w:bookmarkStart w:id="261" w:name="_Toc164229223"/>
      <w:r/>
      <w:bookmarkStart w:id="262" w:name="_Toc127151528"/>
      <w:r/>
      <w:bookmarkStart w:id="263" w:name="_Toc151190155"/>
      <w:r/>
      <w:bookmarkStart w:id="264" w:name="_Toc265228366"/>
      <w:r/>
      <w:bookmarkStart w:id="265" w:name="_Toc150480766"/>
      <w:r/>
      <w:bookmarkStart w:id="266" w:name="_Toc226965801"/>
      <w:r/>
      <w:bookmarkStart w:id="267" w:name="_Toc142311030"/>
      <w:r/>
      <w:bookmarkStart w:id="268" w:name="_Toc127161442"/>
      <w:r/>
      <w:bookmarkStart w:id="269" w:name="_Toc305158796"/>
      <w:r/>
      <w:bookmarkStart w:id="270" w:name="_Toc164608797"/>
      <w:r/>
      <w:bookmarkStart w:id="271" w:name="_Toc150509279"/>
      <w:r/>
      <w:bookmarkStart w:id="272" w:name="_Toc164351622"/>
      <w:r/>
      <w:bookmarkStart w:id="273" w:name="_Toc195842893"/>
      <w:r/>
      <w:bookmarkStart w:id="274" w:name="_Toc226337224"/>
      <w:r/>
      <w:bookmarkStart w:id="275" w:name="_Toc520356152"/>
      <w:r/>
      <w:bookmarkStart w:id="276" w:name="_Toc226309772"/>
      <w:r/>
      <w:bookmarkStart w:id="277" w:name="_Toc164229369"/>
      <w:r/>
      <w:bookmarkStart w:id="278" w:name="_Toc150774733"/>
      <w:r/>
      <w:bookmarkStart w:id="279" w:name="_Toc226965718"/>
      <w:r/>
      <w:bookmarkStart w:id="280" w:name="_Toc149720821"/>
      <w:r/>
      <w:bookmarkStart w:id="281" w:name="_Toc127151729"/>
      <w:r/>
      <w:bookmarkStart w:id="282" w:name="_Toc151193698"/>
      <w:r>
        <w:rPr>
          <w:sz w:val="24"/>
        </w:rPr>
        <w:t xml:space="preserve">投标文件</w:t>
      </w:r>
      <w:bookmarkEnd w:id="250"/>
      <w:r/>
      <w:bookmarkEnd w:id="251"/>
      <w:r/>
      <w:bookmarkEnd w:id="252"/>
      <w:r>
        <w:rPr>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1"/>
        </w:numPr>
        <w:ind w:left="1077" w:hanging="720"/>
        <w:spacing w:line="360" w:lineRule="auto"/>
        <w:tabs>
          <w:tab w:val="left" w:pos="1080" w:leader="none"/>
          <w:tab w:val="left" w:pos="2014" w:leader="none"/>
        </w:tabs>
        <w:rPr>
          <w:sz w:val="24"/>
        </w:rPr>
      </w:pPr>
      <w:r/>
      <w:bookmarkStart w:id="28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3"/>
      <w:r/>
      <w:r/>
    </w:p>
    <w:p>
      <w:pPr>
        <w:numPr>
          <w:ilvl w:val="0"/>
          <w:numId w:val="1"/>
        </w:numPr>
        <w:ind w:left="357" w:hanging="357"/>
        <w:spacing w:line="360" w:lineRule="auto"/>
        <w:tabs>
          <w:tab w:val="left" w:pos="360" w:leader="none"/>
        </w:tabs>
        <w:rPr>
          <w:sz w:val="24"/>
        </w:rPr>
        <w:outlineLvl w:val="1"/>
      </w:pPr>
      <w:r/>
      <w:bookmarkStart w:id="284" w:name="_Toc150480768"/>
      <w:r/>
      <w:bookmarkStart w:id="285" w:name="_Toc151193772"/>
      <w:r/>
      <w:bookmarkStart w:id="286" w:name="_Toc195842895"/>
      <w:r/>
      <w:bookmarkStart w:id="287" w:name="_Toc520356155"/>
      <w:r/>
      <w:bookmarkStart w:id="288" w:name="_Toc151193628"/>
      <w:r/>
      <w:bookmarkStart w:id="289" w:name="_Toc151193918"/>
      <w:r/>
      <w:bookmarkStart w:id="290" w:name="_Toc151193844"/>
      <w:r/>
      <w:bookmarkStart w:id="291" w:name="_Toc149720823"/>
      <w:r/>
      <w:bookmarkStart w:id="292" w:name="_Toc164351624"/>
      <w:r/>
      <w:bookmarkStart w:id="293" w:name="_Toc164229371"/>
      <w:r/>
      <w:bookmarkStart w:id="294" w:name="_Toc164229225"/>
      <w:r/>
      <w:bookmarkStart w:id="295" w:name="_Toc151190157"/>
      <w:r/>
      <w:bookmarkStart w:id="296" w:name="_Toc151193700"/>
      <w:r/>
      <w:bookmarkStart w:id="297" w:name="_Toc164608799"/>
      <w:r/>
      <w:bookmarkStart w:id="298" w:name="_Toc150509281"/>
      <w:r/>
      <w:bookmarkStart w:id="299" w:name="_Toc164608644"/>
      <w:r/>
      <w:bookmarkStart w:id="300" w:name="_Toc127151530"/>
      <w:r/>
      <w:bookmarkStart w:id="301" w:name="_Toc150774735"/>
      <w:r/>
      <w:bookmarkStart w:id="302" w:name="_Toc127151731"/>
      <w:r/>
      <w:bookmarkStart w:id="303" w:name="_Toc127161444"/>
      <w:r/>
      <w:bookmarkStart w:id="304" w:name="_Toc150774630"/>
      <w:r/>
      <w:bookmarkStart w:id="305" w:name="_Toc142311032"/>
      <w:r>
        <w:rPr>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06" w:name="_Toc149720824"/>
      <w:r/>
      <w:bookmarkStart w:id="307" w:name="_Toc164229226"/>
      <w:r/>
      <w:bookmarkStart w:id="308" w:name="_Toc226309775"/>
      <w:r/>
      <w:bookmarkStart w:id="309" w:name="_Toc150480769"/>
      <w:r/>
      <w:bookmarkStart w:id="310" w:name="_Toc127151732"/>
      <w:r/>
      <w:bookmarkStart w:id="311" w:name="_Toc151190158"/>
      <w:r/>
      <w:bookmarkStart w:id="312" w:name="_Toc226965721"/>
      <w:r/>
      <w:bookmarkStart w:id="313" w:name="_Toc127151531"/>
      <w:r/>
      <w:bookmarkStart w:id="314" w:name="_Toc265228369"/>
      <w:r/>
      <w:bookmarkStart w:id="315" w:name="_Toc305158799"/>
      <w:r/>
      <w:bookmarkStart w:id="316" w:name="_Toc151193845"/>
      <w:r/>
      <w:bookmarkStart w:id="317" w:name="_Toc151193773"/>
      <w:r/>
      <w:bookmarkStart w:id="318" w:name="_Toc151193919"/>
      <w:r/>
      <w:bookmarkStart w:id="319" w:name="_Toc151193701"/>
      <w:r/>
      <w:bookmarkStart w:id="320" w:name="_Toc127161445"/>
      <w:r/>
      <w:bookmarkStart w:id="321" w:name="_Toc195842896"/>
      <w:r/>
      <w:bookmarkStart w:id="322" w:name="_Toc151193629"/>
      <w:r/>
      <w:bookmarkStart w:id="323" w:name="_Toc150509282"/>
      <w:r/>
      <w:bookmarkStart w:id="324" w:name="_Toc150774736"/>
      <w:r/>
      <w:bookmarkStart w:id="325" w:name="_Toc520356156"/>
      <w:r/>
      <w:bookmarkStart w:id="326" w:name="_Toc226965804"/>
      <w:r/>
      <w:bookmarkStart w:id="327" w:name="_Toc305158873"/>
      <w:r/>
      <w:bookmarkStart w:id="328" w:name="_Toc264969221"/>
      <w:r/>
      <w:bookmarkStart w:id="329" w:name="_Ref467306513"/>
      <w:r/>
      <w:bookmarkStart w:id="330" w:name="_Toc226337227"/>
      <w:r/>
      <w:bookmarkStart w:id="331" w:name="_Toc142311033"/>
      <w:r/>
      <w:bookmarkStart w:id="332" w:name="_Toc164229372"/>
      <w:r/>
      <w:bookmarkStart w:id="333" w:name="_Toc164608645"/>
      <w:r/>
      <w:bookmarkStart w:id="334" w:name="_Toc164351625"/>
      <w:r/>
      <w:bookmarkStart w:id="335" w:name="_Toc150774631"/>
      <w:r/>
      <w:bookmarkStart w:id="336" w:name="_Toc164608800"/>
      <w:r>
        <w:rPr>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7" w:name="_Toc305158800"/>
      <w:r/>
      <w:bookmarkStart w:id="338" w:name="_Toc151193920"/>
      <w:r/>
      <w:bookmarkStart w:id="339" w:name="_Toc151193846"/>
      <w:r/>
      <w:bookmarkStart w:id="340" w:name="_Toc150774737"/>
      <w:r/>
      <w:bookmarkStart w:id="341" w:name="_Toc164229373"/>
      <w:r/>
      <w:bookmarkStart w:id="342" w:name="_Toc520356157"/>
      <w:r/>
      <w:bookmarkStart w:id="343" w:name="_Toc195842897"/>
      <w:r/>
      <w:bookmarkStart w:id="344" w:name="_Toc150774632"/>
      <w:r/>
      <w:bookmarkStart w:id="345" w:name="_Toc264969222"/>
      <w:r/>
      <w:bookmarkStart w:id="346" w:name="_Toc150480770"/>
      <w:r/>
      <w:bookmarkStart w:id="347" w:name="_Toc226965722"/>
      <w:r/>
      <w:bookmarkStart w:id="348" w:name="_Toc265228370"/>
      <w:r/>
      <w:bookmarkStart w:id="349" w:name="_Toc151193702"/>
      <w:r/>
      <w:bookmarkStart w:id="350" w:name="_Toc164608801"/>
      <w:r/>
      <w:bookmarkStart w:id="351" w:name="_Toc164351626"/>
      <w:r/>
      <w:bookmarkStart w:id="352" w:name="_Toc142311034"/>
      <w:r/>
      <w:bookmarkStart w:id="353" w:name="_Toc149720825"/>
      <w:r/>
      <w:bookmarkStart w:id="354" w:name="_Toc151193774"/>
      <w:r/>
      <w:bookmarkStart w:id="355" w:name="_Toc164608646"/>
      <w:r/>
      <w:bookmarkStart w:id="356" w:name="_Toc150509283"/>
      <w:r/>
      <w:bookmarkStart w:id="357" w:name="_Toc226965805"/>
      <w:r/>
      <w:bookmarkStart w:id="358" w:name="_Toc151193630"/>
      <w:r/>
      <w:bookmarkStart w:id="359" w:name="_Toc226309776"/>
      <w:r/>
      <w:bookmarkStart w:id="360" w:name="_Toc151190159"/>
      <w:r/>
      <w:bookmarkStart w:id="361" w:name="_Toc164229227"/>
      <w:r/>
      <w:bookmarkStart w:id="362" w:name="_Toc226337228"/>
      <w:r/>
      <w:bookmarkStart w:id="363" w:name="_Toc305158874"/>
      <w:r/>
      <w:bookmarkStart w:id="364" w:name="_Toc127151532"/>
      <w:r/>
      <w:bookmarkStart w:id="365" w:name="_Toc127151733"/>
      <w:r/>
      <w:bookmarkStart w:id="366" w:name="_Toc127161446"/>
      <w:r>
        <w:rPr>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7" w:name="_Toc305158801"/>
      <w:r/>
      <w:bookmarkStart w:id="368" w:name="_Toc142311035"/>
      <w:r/>
      <w:bookmarkStart w:id="369" w:name="_Toc150774633"/>
      <w:r/>
      <w:bookmarkStart w:id="370" w:name="_Toc226965723"/>
      <w:r/>
      <w:bookmarkStart w:id="371" w:name="_Toc305158875"/>
      <w:r/>
      <w:bookmarkStart w:id="372" w:name="_Toc164351627"/>
      <w:r/>
      <w:bookmarkStart w:id="373" w:name="_Toc151193921"/>
      <w:r/>
      <w:bookmarkStart w:id="374" w:name="_Toc149720826"/>
      <w:r/>
      <w:bookmarkStart w:id="375" w:name="_Toc264969223"/>
      <w:r/>
      <w:bookmarkStart w:id="376" w:name="_Toc150774738"/>
      <w:r/>
      <w:bookmarkStart w:id="377" w:name="_Toc226965806"/>
      <w:r/>
      <w:bookmarkStart w:id="378" w:name="_Toc195842898"/>
      <w:r/>
      <w:bookmarkStart w:id="379" w:name="_Toc150509284"/>
      <w:r/>
      <w:bookmarkStart w:id="380" w:name="_Toc127151734"/>
      <w:r/>
      <w:bookmarkStart w:id="381" w:name="_Toc265228371"/>
      <w:r/>
      <w:bookmarkStart w:id="382" w:name="_Toc226337229"/>
      <w:r/>
      <w:bookmarkStart w:id="383" w:name="_Toc127161447"/>
      <w:r/>
      <w:bookmarkStart w:id="384" w:name="_Toc226309777"/>
      <w:r/>
      <w:bookmarkStart w:id="385" w:name="_Toc164229228"/>
      <w:r/>
      <w:bookmarkStart w:id="386" w:name="_Toc164608647"/>
      <w:r/>
      <w:bookmarkStart w:id="387" w:name="_Toc151193631"/>
      <w:r/>
      <w:bookmarkStart w:id="388" w:name="_Toc151193847"/>
      <w:r/>
      <w:bookmarkStart w:id="389" w:name="_Toc151190160"/>
      <w:r/>
      <w:bookmarkStart w:id="390" w:name="_Toc164229374"/>
      <w:r/>
      <w:bookmarkStart w:id="391" w:name="_Toc127151533"/>
      <w:r/>
      <w:bookmarkStart w:id="392" w:name="_Toc150480771"/>
      <w:r/>
      <w:bookmarkStart w:id="393" w:name="_Toc151193703"/>
      <w:r/>
      <w:bookmarkStart w:id="394" w:name="_Toc520356158"/>
      <w:r/>
      <w:bookmarkStart w:id="395" w:name="_Toc164608802"/>
      <w:r/>
      <w:bookmarkStart w:id="396" w:name="_Toc151193775"/>
      <w:r>
        <w:rPr>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7" w:name="_Toc520356159"/>
      <w:r/>
      <w:bookmarkStart w:id="398" w:name="_Toc151190161"/>
      <w:r/>
      <w:bookmarkStart w:id="399" w:name="_Toc150480772"/>
      <w:r/>
      <w:bookmarkStart w:id="400" w:name="_Toc151193922"/>
      <w:r/>
      <w:bookmarkStart w:id="401" w:name="_Toc226965724"/>
      <w:r/>
      <w:bookmarkStart w:id="402" w:name="_Toc150509285"/>
      <w:r/>
      <w:bookmarkStart w:id="403" w:name="_Toc127151534"/>
      <w:r/>
      <w:bookmarkStart w:id="404" w:name="_Toc150774739"/>
      <w:r/>
      <w:bookmarkStart w:id="405" w:name="_Toc226337230"/>
      <w:r/>
      <w:bookmarkStart w:id="406" w:name="_Toc151193704"/>
      <w:r/>
      <w:bookmarkStart w:id="407" w:name="_Toc151193848"/>
      <w:r/>
      <w:bookmarkStart w:id="408" w:name="_Toc142311036"/>
      <w:r/>
      <w:bookmarkStart w:id="409" w:name="_Toc305158802"/>
      <w:r/>
      <w:bookmarkStart w:id="410" w:name="_Toc305158876"/>
      <w:r/>
      <w:bookmarkStart w:id="411" w:name="_Toc264969224"/>
      <w:r/>
      <w:bookmarkStart w:id="412" w:name="_Toc226309778"/>
      <w:r/>
      <w:bookmarkStart w:id="413" w:name="_Toc151193776"/>
      <w:r/>
      <w:bookmarkStart w:id="414" w:name="_Toc150774634"/>
      <w:r/>
      <w:bookmarkStart w:id="415" w:name="_Toc265228372"/>
      <w:r/>
      <w:bookmarkStart w:id="416" w:name="_Toc226965807"/>
      <w:r/>
      <w:bookmarkStart w:id="417" w:name="_Toc151193632"/>
      <w:r/>
      <w:bookmarkStart w:id="418" w:name="_Toc19584289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1"/>
        </w:numPr>
        <w:ind w:left="357" w:hanging="357"/>
        <w:spacing w:line="360" w:lineRule="auto"/>
        <w:tabs>
          <w:tab w:val="left" w:pos="360" w:leader="none"/>
        </w:tabs>
        <w:rPr>
          <w:sz w:val="24"/>
        </w:rPr>
        <w:outlineLvl w:val="1"/>
      </w:pPr>
      <w:r/>
      <w:bookmarkStart w:id="419" w:name="_Toc150509286"/>
      <w:r/>
      <w:bookmarkStart w:id="420" w:name="_Toc265228373"/>
      <w:r/>
      <w:bookmarkStart w:id="421" w:name="_Toc150480773"/>
      <w:r/>
      <w:bookmarkStart w:id="422" w:name="_Toc226965808"/>
      <w:r/>
      <w:bookmarkStart w:id="423" w:name="_Toc150774635"/>
      <w:r/>
      <w:bookmarkStart w:id="424" w:name="_Toc127151736"/>
      <w:r/>
      <w:bookmarkStart w:id="425" w:name="_Toc142311037"/>
      <w:r/>
      <w:bookmarkStart w:id="426" w:name="_Toc164229230"/>
      <w:r/>
      <w:bookmarkStart w:id="427" w:name="_Toc164351629"/>
      <w:r/>
      <w:bookmarkStart w:id="428" w:name="_Toc151190162"/>
      <w:r/>
      <w:bookmarkStart w:id="429" w:name="_Toc164608804"/>
      <w:r/>
      <w:bookmarkStart w:id="430" w:name="_Toc305158877"/>
      <w:r/>
      <w:bookmarkStart w:id="431" w:name="_Toc151193633"/>
      <w:r/>
      <w:bookmarkStart w:id="432" w:name="_Toc226965725"/>
      <w:r/>
      <w:bookmarkStart w:id="433" w:name="_Toc151193923"/>
      <w:r/>
      <w:bookmarkStart w:id="434" w:name="_Toc151193705"/>
      <w:r/>
      <w:bookmarkStart w:id="435" w:name="_Toc127151535"/>
      <w:r/>
      <w:bookmarkStart w:id="436" w:name="_Toc226309779"/>
      <w:r/>
      <w:bookmarkStart w:id="437" w:name="_Toc195842900"/>
      <w:r/>
      <w:bookmarkStart w:id="438" w:name="_Toc164229376"/>
      <w:r/>
      <w:bookmarkStart w:id="439" w:name="_Toc164608649"/>
      <w:r/>
      <w:bookmarkStart w:id="440" w:name="_Toc151193777"/>
      <w:r/>
      <w:bookmarkStart w:id="441" w:name="_Toc264969225"/>
      <w:r/>
      <w:bookmarkStart w:id="442" w:name="_Toc150774740"/>
      <w:r/>
      <w:bookmarkStart w:id="443" w:name="_Toc520356160"/>
      <w:r/>
      <w:bookmarkStart w:id="444" w:name="_Toc305158803"/>
      <w:r/>
      <w:bookmarkStart w:id="445" w:name="_Toc226337231"/>
      <w:r/>
      <w:bookmarkStart w:id="446" w:name="_Toc151193849"/>
      <w:r/>
      <w:bookmarkStart w:id="447" w:name="_Toc127161449"/>
      <w:r/>
      <w:bookmarkStart w:id="448" w:name="_Toc149720828"/>
      <w:r>
        <w:rPr>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bookmarkStart w:id="449" w:name="_Toc164229231"/>
      <w:r/>
      <w:bookmarkStart w:id="450" w:name="_Toc150774636"/>
      <w:r/>
      <w:bookmarkStart w:id="451" w:name="_Toc264969226"/>
      <w:r/>
      <w:bookmarkStart w:id="452" w:name="_Toc226965809"/>
      <w:r/>
      <w:bookmarkStart w:id="453" w:name="_Toc149720829"/>
      <w:r/>
      <w:bookmarkStart w:id="454" w:name="_Toc265228374"/>
      <w:r/>
      <w:bookmarkStart w:id="455" w:name="_Toc150774741"/>
      <w:r/>
      <w:bookmarkStart w:id="456" w:name="_Toc151193634"/>
      <w:r/>
      <w:bookmarkStart w:id="457" w:name="_Toc195842901"/>
      <w:r/>
      <w:bookmarkStart w:id="458" w:name="_Toc151193850"/>
      <w:r/>
      <w:bookmarkStart w:id="459" w:name="_Toc164608650"/>
      <w:r/>
      <w:bookmarkStart w:id="460" w:name="_Toc151193778"/>
      <w:r/>
      <w:bookmarkStart w:id="461" w:name="_Toc142311038"/>
      <w:r/>
      <w:bookmarkStart w:id="462" w:name="_Toc151193924"/>
      <w:r/>
      <w:bookmarkStart w:id="463" w:name="_Toc305158804"/>
      <w:r/>
      <w:bookmarkStart w:id="464" w:name="_Toc226337232"/>
      <w:r/>
      <w:bookmarkStart w:id="465" w:name="_Toc151193706"/>
      <w:r/>
      <w:bookmarkStart w:id="466" w:name="_Toc127161450"/>
      <w:r/>
      <w:bookmarkStart w:id="467" w:name="_Toc150480774"/>
      <w:r/>
      <w:bookmarkStart w:id="468" w:name="_Toc150509287"/>
      <w:r/>
      <w:bookmarkStart w:id="469" w:name="_Toc226309780"/>
      <w:r/>
      <w:bookmarkStart w:id="470" w:name="_Toc164608805"/>
      <w:r/>
      <w:bookmarkStart w:id="471" w:name="_Toc520356161"/>
      <w:r/>
      <w:bookmarkStart w:id="472" w:name="_Toc164229377"/>
      <w:r/>
      <w:bookmarkStart w:id="473" w:name="_Toc305158878"/>
      <w:r/>
      <w:bookmarkStart w:id="474" w:name="_Toc226965726"/>
      <w:r/>
      <w:bookmarkStart w:id="475" w:name="_Toc127151737"/>
      <w:r/>
      <w:bookmarkStart w:id="476" w:name="_Toc164351630"/>
      <w:r/>
      <w:bookmarkStart w:id="477" w:name="_Toc151190163"/>
      <w:r/>
      <w:bookmarkStart w:id="478" w:name="_Toc127151536"/>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rPr>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bookmarkStart w:id="479" w:name="_Toc226965810"/>
      <w:r/>
      <w:bookmarkStart w:id="480" w:name="_Toc151193851"/>
      <w:r/>
      <w:bookmarkStart w:id="481" w:name="_Toc226337233"/>
      <w:r/>
      <w:bookmarkStart w:id="482" w:name="_Toc151190164"/>
      <w:r/>
      <w:bookmarkStart w:id="483" w:name="_Toc164608806"/>
      <w:r/>
      <w:bookmarkStart w:id="484" w:name="_Toc151193925"/>
      <w:r/>
      <w:bookmarkStart w:id="485" w:name="_Toc520356162"/>
      <w:r/>
      <w:bookmarkStart w:id="486" w:name="_Toc164608651"/>
      <w:r/>
      <w:bookmarkStart w:id="487" w:name="_Toc150774637"/>
      <w:r/>
      <w:bookmarkStart w:id="488" w:name="_Toc151193635"/>
      <w:r/>
      <w:bookmarkStart w:id="489" w:name="_Toc164351631"/>
      <w:r/>
      <w:bookmarkStart w:id="490" w:name="_Toc127151738"/>
      <w:r/>
      <w:bookmarkStart w:id="491" w:name="_Toc195842902"/>
      <w:r/>
      <w:bookmarkStart w:id="492" w:name="_Toc164229232"/>
      <w:r/>
      <w:bookmarkStart w:id="493" w:name="_Toc305158805"/>
      <w:r/>
      <w:bookmarkStart w:id="494" w:name="_Toc150774742"/>
      <w:r/>
      <w:bookmarkStart w:id="495" w:name="_Toc142311039"/>
      <w:r/>
      <w:bookmarkStart w:id="496" w:name="_Toc150480775"/>
      <w:r/>
      <w:bookmarkStart w:id="497" w:name="_Toc264969227"/>
      <w:r/>
      <w:bookmarkStart w:id="498" w:name="_Toc305158879"/>
      <w:r/>
      <w:bookmarkStart w:id="499" w:name="_Toc127151537"/>
      <w:r/>
      <w:bookmarkStart w:id="500" w:name="_Toc150509288"/>
      <w:r/>
      <w:bookmarkStart w:id="501" w:name="_Toc151193707"/>
      <w:r/>
      <w:bookmarkStart w:id="502" w:name="_Toc151193779"/>
      <w:r/>
      <w:bookmarkStart w:id="503" w:name="_Toc226309781"/>
      <w:r/>
      <w:bookmarkStart w:id="504" w:name="_Toc164229378"/>
      <w:r/>
      <w:bookmarkStart w:id="505" w:name="_Toc149720830"/>
      <w:r/>
      <w:bookmarkStart w:id="506" w:name="_Toc226965727"/>
      <w:r/>
      <w:bookmarkStart w:id="507" w:name="_Toc127161451"/>
      <w:r/>
      <w:bookmarkStart w:id="508" w:name="_Toc265228375"/>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6"/>
        <w:spacing w:before="0" w:line="360" w:lineRule="auto"/>
        <w:rPr>
          <w:rFonts w:ascii="Times New Roman" w:hAnsi="Times New Roman" w:eastAsia="宋体"/>
          <w:sz w:val="28"/>
        </w:rPr>
      </w:pPr>
      <w:r/>
      <w:bookmarkStart w:id="509" w:name="_Toc142311040"/>
      <w:r/>
      <w:bookmarkStart w:id="510" w:name="_Toc264969228"/>
      <w:r/>
      <w:bookmarkStart w:id="511" w:name="_Toc226309782"/>
      <w:r/>
      <w:bookmarkStart w:id="512" w:name="_Toc151193636"/>
      <w:r/>
      <w:bookmarkStart w:id="513" w:name="_Toc151190165"/>
      <w:r/>
      <w:bookmarkStart w:id="514" w:name="_Toc195842903"/>
      <w:r/>
      <w:bookmarkStart w:id="515" w:name="_Toc127151538"/>
      <w:r/>
      <w:bookmarkStart w:id="516" w:name="_Toc305158880"/>
      <w:r/>
      <w:bookmarkStart w:id="517" w:name="_Toc520356163"/>
      <w:r/>
      <w:bookmarkStart w:id="518" w:name="_Toc226965811"/>
      <w:r/>
      <w:bookmarkStart w:id="519" w:name="_Toc150509289"/>
      <w:r/>
      <w:bookmarkStart w:id="520" w:name="_Toc150774743"/>
      <w:r/>
      <w:bookmarkStart w:id="521" w:name="_Toc265228376"/>
      <w:r/>
      <w:bookmarkStart w:id="522" w:name="_Toc151193780"/>
      <w:r/>
      <w:bookmarkStart w:id="523" w:name="_Toc305158806"/>
      <w:r/>
      <w:bookmarkStart w:id="524" w:name="_Toc150480776"/>
      <w:r/>
      <w:bookmarkStart w:id="525" w:name="_Toc151193852"/>
      <w:r/>
      <w:bookmarkStart w:id="526" w:name="_Toc226337234"/>
      <w:r/>
      <w:bookmarkStart w:id="527" w:name="_Toc150774638"/>
      <w:r/>
      <w:bookmarkStart w:id="528" w:name="_Toc151193708"/>
      <w:r/>
      <w:bookmarkStart w:id="529" w:name="_Toc226965728"/>
      <w:r/>
      <w:bookmarkStart w:id="530" w:name="_Toc151193926"/>
      <w:r>
        <w:rPr>
          <w:rFonts w:ascii="Times New Roman" w:hAnsi="Times New Roman" w:eastAsia="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0"/>
          <w:numId w:val="1"/>
        </w:numPr>
        <w:ind w:left="357" w:hanging="357"/>
        <w:spacing w:line="360" w:lineRule="auto"/>
        <w:tabs>
          <w:tab w:val="left" w:pos="360" w:leader="none"/>
        </w:tabs>
        <w:rPr>
          <w:sz w:val="24"/>
        </w:rPr>
        <w:outlineLvl w:val="1"/>
      </w:pPr>
      <w:r/>
      <w:bookmarkStart w:id="531" w:name="_Toc151193709"/>
      <w:r/>
      <w:bookmarkStart w:id="532" w:name="_Toc164608808"/>
      <w:r/>
      <w:bookmarkStart w:id="533" w:name="_Toc151193637"/>
      <w:r/>
      <w:bookmarkStart w:id="534" w:name="_Toc127151539"/>
      <w:r/>
      <w:bookmarkStart w:id="535" w:name="_Toc164229380"/>
      <w:r/>
      <w:bookmarkStart w:id="536" w:name="_Toc264969229"/>
      <w:r/>
      <w:bookmarkStart w:id="537" w:name="_Toc265228377"/>
      <w:r/>
      <w:bookmarkStart w:id="538" w:name="_Toc164608653"/>
      <w:r/>
      <w:bookmarkStart w:id="539" w:name="_Toc305158807"/>
      <w:r/>
      <w:bookmarkStart w:id="540" w:name="_Toc142311041"/>
      <w:r/>
      <w:bookmarkStart w:id="541" w:name="_Toc164351633"/>
      <w:r/>
      <w:bookmarkStart w:id="542" w:name="_Toc150509290"/>
      <w:r/>
      <w:bookmarkStart w:id="543" w:name="_Toc195842904"/>
      <w:r/>
      <w:bookmarkStart w:id="544" w:name="_Toc226309783"/>
      <w:r/>
      <w:bookmarkStart w:id="545" w:name="_Toc520356164"/>
      <w:r/>
      <w:bookmarkStart w:id="546" w:name="_Toc151190166"/>
      <w:r/>
      <w:bookmarkStart w:id="547" w:name="_Toc226965729"/>
      <w:r/>
      <w:bookmarkStart w:id="548" w:name="_Toc149720832"/>
      <w:r/>
      <w:bookmarkStart w:id="549" w:name="_Toc151193927"/>
      <w:r/>
      <w:bookmarkStart w:id="550" w:name="_Toc150480777"/>
      <w:r/>
      <w:bookmarkStart w:id="551" w:name="_Toc226337235"/>
      <w:r/>
      <w:bookmarkStart w:id="552" w:name="_Toc226965812"/>
      <w:r/>
      <w:bookmarkStart w:id="553" w:name="_Toc151193781"/>
      <w:r/>
      <w:bookmarkStart w:id="554" w:name="_Toc150774744"/>
      <w:r/>
      <w:bookmarkStart w:id="555" w:name="_Toc127151740"/>
      <w:r/>
      <w:bookmarkStart w:id="556" w:name="_Toc150774639"/>
      <w:r/>
      <w:bookmarkStart w:id="557" w:name="_Toc151193853"/>
      <w:r/>
      <w:bookmarkStart w:id="558" w:name="_Toc164229234"/>
      <w:r/>
      <w:bookmarkStart w:id="559" w:name="_Toc127161453"/>
      <w:r/>
      <w:bookmarkStart w:id="560" w:name="_Toc305158881"/>
      <w:r>
        <w:rPr>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numPr>
          <w:ilvl w:val="1"/>
          <w:numId w:val="1"/>
        </w:numPr>
        <w:ind w:left="1077" w:hanging="720"/>
        <w:spacing w:line="360" w:lineRule="auto"/>
        <w:tabs>
          <w:tab w:val="left" w:pos="1080" w:leader="none"/>
          <w:tab w:val="left" w:pos="2014" w:leader="none"/>
        </w:tabs>
        <w:rPr>
          <w:sz w:val="24"/>
        </w:rPr>
      </w:pPr>
      <w:r/>
      <w:bookmarkStart w:id="561" w:name="_Toc520356165"/>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61"/>
      <w:r/>
      <w:r/>
    </w:p>
    <w:p>
      <w:pPr>
        <w:numPr>
          <w:ilvl w:val="0"/>
          <w:numId w:val="1"/>
        </w:numPr>
        <w:ind w:left="357" w:hanging="357"/>
        <w:spacing w:line="360" w:lineRule="auto"/>
        <w:tabs>
          <w:tab w:val="left" w:pos="360" w:leader="none"/>
        </w:tabs>
        <w:rPr>
          <w:sz w:val="24"/>
        </w:rPr>
        <w:outlineLvl w:val="1"/>
      </w:pPr>
      <w:r/>
      <w:bookmarkStart w:id="562" w:name="_Toc127151741"/>
      <w:r/>
      <w:bookmarkStart w:id="563" w:name="_Toc127151540"/>
      <w:r/>
      <w:bookmarkStart w:id="564" w:name="_Toc151193782"/>
      <w:r/>
      <w:bookmarkStart w:id="565" w:name="_Toc151193928"/>
      <w:r/>
      <w:bookmarkStart w:id="566" w:name="_Toc151193638"/>
      <w:r/>
      <w:bookmarkStart w:id="567" w:name="_Toc226965813"/>
      <w:r/>
      <w:bookmarkStart w:id="568" w:name="_Toc151193854"/>
      <w:r/>
      <w:bookmarkStart w:id="569" w:name="_Toc151193710"/>
      <w:r/>
      <w:bookmarkStart w:id="570" w:name="_Toc195842905"/>
      <w:r/>
      <w:bookmarkStart w:id="571" w:name="_Toc226965730"/>
      <w:r/>
      <w:bookmarkStart w:id="572" w:name="_Toc150480778"/>
      <w:r/>
      <w:bookmarkStart w:id="573" w:name="_Toc151190167"/>
      <w:r/>
      <w:bookmarkStart w:id="574" w:name="_Toc164229381"/>
      <w:r/>
      <w:bookmarkStart w:id="575" w:name="_Toc164608654"/>
      <w:r/>
      <w:bookmarkStart w:id="576" w:name="_Toc164229235"/>
      <w:r/>
      <w:bookmarkStart w:id="577" w:name="_Toc305158808"/>
      <w:r/>
      <w:bookmarkStart w:id="578" w:name="_Toc150509291"/>
      <w:r/>
      <w:bookmarkStart w:id="579" w:name="_Toc264969230"/>
      <w:r/>
      <w:bookmarkStart w:id="580" w:name="_Toc226337236"/>
      <w:r/>
      <w:bookmarkStart w:id="581" w:name="_Toc164351634"/>
      <w:r/>
      <w:bookmarkStart w:id="582" w:name="_Toc226309784"/>
      <w:r/>
      <w:bookmarkStart w:id="583" w:name="_Toc164608809"/>
      <w:r/>
      <w:bookmarkStart w:id="584" w:name="_Toc142311042"/>
      <w:r/>
      <w:bookmarkStart w:id="585" w:name="_Toc305158882"/>
      <w:r/>
      <w:bookmarkStart w:id="586" w:name="_Toc149720833"/>
      <w:r/>
      <w:bookmarkStart w:id="587" w:name="_Toc150774745"/>
      <w:r/>
      <w:bookmarkStart w:id="588" w:name="_Toc265228378"/>
      <w:r/>
      <w:bookmarkStart w:id="589" w:name="_Toc127161454"/>
      <w:r/>
      <w:bookmarkStart w:id="590" w:name="_Toc150774640"/>
      <w:r>
        <w:rPr>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1"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1"/>
      <w:r/>
      <w:bookmarkStart w:id="592"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6"/>
        <w:spacing w:before="0" w:line="360" w:lineRule="auto"/>
        <w:rPr>
          <w:rFonts w:ascii="Times New Roman" w:hAnsi="Times New Roman" w:eastAsia="宋体"/>
          <w:sz w:val="28"/>
        </w:rPr>
      </w:pPr>
      <w:r/>
      <w:bookmarkStart w:id="593" w:name="_Toc150480783"/>
      <w:r/>
      <w:bookmarkStart w:id="594" w:name="_Toc151193859"/>
      <w:r/>
      <w:bookmarkStart w:id="595" w:name="_Toc226965818"/>
      <w:r/>
      <w:bookmarkStart w:id="596" w:name="_Toc265228383"/>
      <w:r/>
      <w:bookmarkStart w:id="597" w:name="_Toc142311047"/>
      <w:r/>
      <w:bookmarkStart w:id="598" w:name="_Toc195842910"/>
      <w:r/>
      <w:bookmarkStart w:id="599" w:name="_Toc150509296"/>
      <w:r/>
      <w:bookmarkStart w:id="600" w:name="_Toc151193715"/>
      <w:r/>
      <w:bookmarkStart w:id="601" w:name="_Toc151193643"/>
      <w:r/>
      <w:bookmarkStart w:id="602" w:name="_Toc226965735"/>
      <w:r/>
      <w:bookmarkStart w:id="603" w:name="_Toc127151545"/>
      <w:r/>
      <w:bookmarkStart w:id="604" w:name="_Toc151190172"/>
      <w:r/>
      <w:bookmarkStart w:id="605" w:name="_Toc305158887"/>
      <w:r/>
      <w:bookmarkStart w:id="606" w:name="_Toc150774645"/>
      <w:r/>
      <w:bookmarkStart w:id="607" w:name="_Toc150774750"/>
      <w:r/>
      <w:bookmarkStart w:id="608" w:name="_Toc226309789"/>
      <w:r/>
      <w:bookmarkStart w:id="609" w:name="_Toc151193933"/>
      <w:r/>
      <w:bookmarkStart w:id="610" w:name="_Toc264969235"/>
      <w:r/>
      <w:bookmarkStart w:id="611" w:name="_Toc305158813"/>
      <w:r/>
      <w:bookmarkStart w:id="612" w:name="_Toc151193787"/>
      <w:r/>
      <w:bookmarkStart w:id="613" w:name="_Toc226337241"/>
      <w:r>
        <w:rPr>
          <w:rFonts w:ascii="Times New Roman" w:hAnsi="Times New Roman" w:eastAsia="宋体"/>
          <w:sz w:val="28"/>
        </w:rPr>
        <w:t xml:space="preserve">六   </w:t>
      </w:r>
      <w:bookmarkEnd w:id="592"/>
      <w:r>
        <w:rPr>
          <w:rFonts w:ascii="Times New Roman" w:hAnsi="Times New Roman" w:eastAsia="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127151547"/>
      <w:r/>
      <w:bookmarkStart w:id="615" w:name="_Toc264969237"/>
      <w:r/>
      <w:bookmarkStart w:id="616" w:name="_Toc164608661"/>
      <w:r/>
      <w:bookmarkStart w:id="617" w:name="_Toc150480785"/>
      <w:r/>
      <w:bookmarkStart w:id="618" w:name="_Toc195842912"/>
      <w:r/>
      <w:bookmarkStart w:id="619" w:name="_Toc151193789"/>
      <w:r/>
      <w:bookmarkStart w:id="620" w:name="_Toc164608816"/>
      <w:r/>
      <w:bookmarkStart w:id="621" w:name="_Toc127161461"/>
      <w:r/>
      <w:bookmarkStart w:id="622" w:name="_Toc151190174"/>
      <w:r/>
      <w:bookmarkStart w:id="623" w:name="_Toc265228385"/>
      <w:r/>
      <w:bookmarkStart w:id="624" w:name="_Toc226965737"/>
      <w:r/>
      <w:bookmarkStart w:id="625" w:name="_Toc142311049"/>
      <w:r/>
      <w:bookmarkStart w:id="626" w:name="_Toc226337243"/>
      <w:r/>
      <w:bookmarkStart w:id="627" w:name="_Toc164229242"/>
      <w:r/>
      <w:bookmarkStart w:id="628" w:name="_Toc150774647"/>
      <w:r/>
      <w:bookmarkStart w:id="629" w:name="_Toc151193717"/>
      <w:r/>
      <w:bookmarkStart w:id="630" w:name="_Toc149720840"/>
      <w:r/>
      <w:bookmarkStart w:id="631" w:name="_Toc164229388"/>
      <w:r/>
      <w:bookmarkStart w:id="632" w:name="_Toc127151748"/>
      <w:r/>
      <w:bookmarkStart w:id="633" w:name="_Toc305158815"/>
      <w:r/>
      <w:bookmarkStart w:id="634" w:name="_Toc150509298"/>
      <w:r/>
      <w:bookmarkStart w:id="635" w:name="_Toc151193935"/>
      <w:r/>
      <w:bookmarkStart w:id="636" w:name="_Toc226309791"/>
      <w:r/>
      <w:bookmarkStart w:id="637" w:name="_Toc150774752"/>
      <w:r/>
      <w:bookmarkStart w:id="638" w:name="_Toc164351641"/>
      <w:r/>
      <w:bookmarkStart w:id="639" w:name="_Toc151193861"/>
      <w:r/>
      <w:bookmarkStart w:id="640" w:name="_Toc305158889"/>
      <w:r/>
      <w:bookmarkStart w:id="641" w:name="_Toc151193645"/>
      <w:r/>
      <w:bookmarkStart w:id="642" w:name="_Toc226965820"/>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3" w:name="_Toc305158891"/>
      <w:r/>
      <w:bookmarkStart w:id="644" w:name="_Toc305158817"/>
      <w:r/>
      <w:bookmarkStart w:id="645" w:name="_Toc151190176"/>
      <w:r/>
      <w:bookmarkStart w:id="646" w:name="_Toc127151549"/>
      <w:r/>
      <w:bookmarkStart w:id="647" w:name="_Toc164229244"/>
      <w:r/>
      <w:bookmarkStart w:id="648" w:name="_Toc151193791"/>
      <w:r/>
      <w:bookmarkStart w:id="649" w:name="_Toc164608818"/>
      <w:r/>
      <w:bookmarkStart w:id="650" w:name="_Toc151193647"/>
      <w:r/>
      <w:bookmarkStart w:id="651" w:name="_Toc226309793"/>
      <w:r/>
      <w:bookmarkStart w:id="652" w:name="_Toc150480787"/>
      <w:r/>
      <w:bookmarkStart w:id="653" w:name="_Toc150774754"/>
      <w:r/>
      <w:bookmarkStart w:id="654" w:name="_Toc150774649"/>
      <w:r/>
      <w:bookmarkStart w:id="655" w:name="_Toc164351643"/>
      <w:r/>
      <w:bookmarkStart w:id="656" w:name="_Toc226337245"/>
      <w:r/>
      <w:bookmarkStart w:id="657" w:name="_Toc127161463"/>
      <w:r/>
      <w:bookmarkStart w:id="658" w:name="_Toc264969239"/>
      <w:r/>
      <w:bookmarkStart w:id="659" w:name="_Toc226965739"/>
      <w:r/>
      <w:bookmarkStart w:id="660" w:name="_Toc164608663"/>
      <w:r/>
      <w:bookmarkStart w:id="661" w:name="_Toc164229390"/>
      <w:r/>
      <w:bookmarkStart w:id="662" w:name="_Toc151193937"/>
      <w:r/>
      <w:bookmarkStart w:id="663" w:name="_Toc195842914"/>
      <w:r/>
      <w:bookmarkStart w:id="664" w:name="_Toc127151750"/>
      <w:r/>
      <w:bookmarkStart w:id="665" w:name="_Toc151193863"/>
      <w:r/>
      <w:bookmarkStart w:id="666" w:name="_Toc151193719"/>
      <w:r/>
      <w:bookmarkStart w:id="667" w:name="_Toc150509300"/>
      <w:r/>
      <w:bookmarkStart w:id="668" w:name="_Toc142311051"/>
      <w:r/>
      <w:bookmarkStart w:id="669" w:name="_Toc149720842"/>
      <w:r/>
      <w:bookmarkStart w:id="670" w:name="_Toc226965822"/>
      <w:r/>
      <w:bookmarkStart w:id="671" w:name="_Toc265228387"/>
      <w:r/>
      <w:bookmarkStart w:id="672" w:name="_Toc520356176"/>
      <w:r/>
      <w:bookmarkStart w:id="673" w:name="_Ref467306425"/>
      <w:r/>
      <w:bookmarkStart w:id="674" w:name="_Ref467307090"/>
      <w:r>
        <w:rPr>
          <w:sz w:val="24"/>
        </w:rPr>
        <w:t xml:space="preserve">中标公告与中标通知书</w:t>
      </w:r>
      <w:bookmarkEnd w:id="643"/>
      <w:r/>
      <w:bookmarkEnd w:id="644"/>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0"/>
          <w:numId w:val="1"/>
        </w:numPr>
        <w:ind w:left="357" w:hanging="357"/>
        <w:spacing w:line="360" w:lineRule="auto"/>
        <w:tabs>
          <w:tab w:val="left" w:pos="360" w:leader="none"/>
        </w:tabs>
        <w:rPr>
          <w:sz w:val="24"/>
        </w:rPr>
        <w:outlineLvl w:val="1"/>
      </w:pPr>
      <w:r/>
      <w:bookmarkStart w:id="675" w:name="_Toc150774755"/>
      <w:r/>
      <w:bookmarkStart w:id="676" w:name="_Toc127151550"/>
      <w:r/>
      <w:bookmarkStart w:id="677" w:name="_Toc264969240"/>
      <w:r/>
      <w:bookmarkStart w:id="678" w:name="_Toc226309794"/>
      <w:r/>
      <w:bookmarkStart w:id="679" w:name="_Toc164351644"/>
      <w:r/>
      <w:bookmarkStart w:id="680" w:name="_Toc151193938"/>
      <w:r/>
      <w:bookmarkStart w:id="681" w:name="_Ref467306978"/>
      <w:r/>
      <w:bookmarkStart w:id="682" w:name="_Toc164608664"/>
      <w:r/>
      <w:bookmarkStart w:id="683" w:name="_Toc164229391"/>
      <w:r/>
      <w:bookmarkStart w:id="684" w:name="_Ref467307062"/>
      <w:r/>
      <w:bookmarkStart w:id="685" w:name="_Toc265228388"/>
      <w:r/>
      <w:bookmarkStart w:id="686" w:name="_Toc226337246"/>
      <w:r/>
      <w:bookmarkStart w:id="687" w:name="_Toc151193792"/>
      <w:r/>
      <w:bookmarkStart w:id="688" w:name="_Toc150774650"/>
      <w:r/>
      <w:bookmarkStart w:id="689" w:name="_Toc149720843"/>
      <w:r/>
      <w:bookmarkStart w:id="690" w:name="_Toc127161464"/>
      <w:r/>
      <w:bookmarkStart w:id="691" w:name="_Ref467306377"/>
      <w:r/>
      <w:bookmarkStart w:id="692" w:name="_Toc305158892"/>
      <w:r/>
      <w:bookmarkStart w:id="693" w:name="_Toc195842915"/>
      <w:r/>
      <w:bookmarkStart w:id="694" w:name="_Toc164608819"/>
      <w:r/>
      <w:bookmarkStart w:id="695" w:name="_Toc151190177"/>
      <w:r/>
      <w:bookmarkStart w:id="696" w:name="_Toc151193648"/>
      <w:r/>
      <w:bookmarkStart w:id="697" w:name="_Toc142311052"/>
      <w:r/>
      <w:bookmarkStart w:id="698" w:name="_Toc150480788"/>
      <w:r/>
      <w:bookmarkStart w:id="699" w:name="_Toc305158818"/>
      <w:r/>
      <w:bookmarkStart w:id="700" w:name="_Toc226965740"/>
      <w:r/>
      <w:bookmarkStart w:id="701" w:name="_Toc164229245"/>
      <w:r/>
      <w:bookmarkStart w:id="702" w:name="_Ref467307204"/>
      <w:r/>
      <w:bookmarkStart w:id="703" w:name="_Toc127151751"/>
      <w:r/>
      <w:bookmarkStart w:id="704" w:name="_Toc226965823"/>
      <w:r/>
      <w:bookmarkStart w:id="705" w:name="_Toc150509301"/>
      <w:r/>
      <w:bookmarkStart w:id="706" w:name="_Toc151193720"/>
      <w:r/>
      <w:bookmarkStart w:id="707" w:name="_Toc151193864"/>
      <w:r/>
      <w:bookmarkStart w:id="708" w:name="_Toc520356175"/>
      <w:r>
        <w:rPr>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2"/>
      <w:r/>
      <w:bookmarkEnd w:id="673"/>
      <w:r/>
      <w:bookmarkEnd w:id="674"/>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8"/>
          <w:color w:val="auto"/>
        </w:rPr>
        <w:t xml:space="preserve">http://gk</w:t>
      </w:r>
      <w:bookmarkStart w:id="709" w:name="_Hlt100654014"/>
      <w:r>
        <w:rPr>
          <w:rStyle w:val="1098"/>
          <w:color w:val="auto"/>
        </w:rPr>
        <w:t xml:space="preserve">s</w:t>
      </w:r>
      <w:bookmarkEnd w:id="709"/>
      <w:r>
        <w:rPr>
          <w:rStyle w:val="1098"/>
          <w:color w:val="auto"/>
        </w:rPr>
        <w:t xml:space="preserve">.m</w:t>
      </w:r>
      <w:bookmarkStart w:id="710" w:name="_Hlt100653994"/>
      <w:r/>
      <w:bookmarkStart w:id="711" w:name="_Hlt100653993"/>
      <w:r>
        <w:rPr>
          <w:rStyle w:val="1098"/>
          <w:color w:val="auto"/>
        </w:rPr>
        <w:t xml:space="preserve">o</w:t>
      </w:r>
      <w:bookmarkEnd w:id="710"/>
      <w:r/>
      <w:bookmarkEnd w:id="711"/>
      <w:r>
        <w:rPr>
          <w:rStyle w:val="1098"/>
          <w:color w:val="auto"/>
        </w:rPr>
        <w:t xml:space="preserve">f.gov.cn/ztztz/zhengfucaigouguanli/201802/t20180201_2804589.htm</w:t>
      </w:r>
      <w:r>
        <w:rPr>
          <w:rStyle w:val="1098"/>
          <w:color w:val="auto"/>
        </w:rP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2" w:name="_Toc226965827"/>
      <w:r/>
      <w:bookmarkStart w:id="713" w:name="_Toc265228392"/>
      <w:r/>
      <w:bookmarkStart w:id="714" w:name="_Toc305158896"/>
      <w:r/>
      <w:bookmarkStart w:id="715" w:name="_Toc353825544"/>
      <w:r/>
      <w:bookmarkStart w:id="716" w:name="_Toc353873664"/>
      <w:r/>
      <w:bookmarkStart w:id="717" w:name="_Toc150480792"/>
      <w:r/>
      <w:bookmarkStart w:id="718" w:name="_Toc150774759"/>
      <w:r/>
      <w:bookmarkStart w:id="719" w:name="_Toc142311056"/>
      <w:r/>
      <w:bookmarkStart w:id="720" w:name="_Toc353873934"/>
      <w:r/>
      <w:bookmarkStart w:id="721" w:name="_Toc264969244"/>
      <w:r/>
      <w:bookmarkStart w:id="722" w:name="_Toc305158822"/>
      <w:r/>
      <w:bookmarkStart w:id="723" w:name="_Toc127151554"/>
      <w:r/>
      <w:bookmarkStart w:id="724" w:name="_Toc226337250"/>
      <w:r>
        <w:rPr>
          <w:sz w:val="24"/>
        </w:rPr>
        <w:br w:type="page" w:clear="all"/>
      </w:r>
      <w:bookmarkStart w:id="725" w:name="_Toc139400576"/>
      <w:r>
        <w:rPr>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rPr>
        <w:t xml:space="preserve">资格审查</w:t>
      </w:r>
      <w:bookmarkEnd w:id="725"/>
      <w:r/>
      <w:bookmarkStart w:id="726" w:name="_Toc487900382"/>
      <w:r/>
      <w:r/>
    </w:p>
    <w:p>
      <w:pPr>
        <w:jc w:val="center"/>
        <w:spacing w:line="360" w:lineRule="auto"/>
        <w:tabs>
          <w:tab w:val="left" w:pos="360" w:leader="none"/>
          <w:tab w:val="left" w:pos="900" w:leader="none"/>
        </w:tabs>
        <w:rPr>
          <w:b/>
          <w:sz w:val="24"/>
        </w:rPr>
        <w:outlineLvl w:val="1"/>
      </w:pPr>
      <w:r/>
      <w:bookmarkStart w:id="727" w:name="_Toc99301422"/>
      <w:r>
        <w:rPr>
          <w:b/>
          <w:sz w:val="24"/>
        </w:rPr>
        <w:t xml:space="preserve">一、资格审查程序</w:t>
      </w:r>
      <w:bookmarkEnd w:id="727"/>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10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28" w:name="_Hlt487972895"/>
            <w:r/>
            <w:bookmarkEnd w:id="728"/>
            <w:r>
              <w:rPr>
                <w:b/>
                <w:sz w:val="24"/>
              </w:rPr>
              <w:t xml:space="preserve">序号</w:t>
            </w:r>
            <w:r/>
          </w:p>
        </w:tc>
        <w:tc>
          <w:tcPr>
            <w:tcW w:w="1066" w:type="pct"/>
            <w:vAlign w:val="center"/>
            <w:textDirection w:val="lrTb"/>
            <w:noWrap w:val="false"/>
          </w:tcPr>
          <w:p>
            <w:pPr>
              <w:jc w:val="center"/>
              <w:tabs>
                <w:tab w:val="left" w:pos="1080" w:leader="none"/>
              </w:tabs>
              <w:rPr>
                <w:b/>
                <w:sz w:val="24"/>
              </w:rPr>
            </w:pPr>
            <w:r>
              <w:rPr>
                <w:b/>
                <w:sz w:val="24"/>
              </w:rPr>
              <w:t xml:space="preserve">审查因素</w:t>
            </w:r>
            <w:r/>
          </w:p>
        </w:tc>
        <w:tc>
          <w:tcPr>
            <w:tcW w:w="2595" w:type="pct"/>
            <w:vAlign w:val="center"/>
            <w:textDirection w:val="lrTb"/>
            <w:noWrap w:val="false"/>
          </w:tcPr>
          <w:p>
            <w:pPr>
              <w:jc w:val="center"/>
              <w:tabs>
                <w:tab w:val="left" w:pos="1080" w:leader="none"/>
              </w:tabs>
              <w:rPr>
                <w:b/>
                <w:sz w:val="24"/>
              </w:rPr>
            </w:pPr>
            <w:r>
              <w:rPr>
                <w:b/>
                <w:sz w:val="24"/>
              </w:rPr>
              <w:t xml:space="preserve">审查内容</w:t>
            </w:r>
            <w:r/>
          </w:p>
        </w:tc>
        <w:tc>
          <w:tcPr>
            <w:tcW w:w="881"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6"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rPr>
            </w:pPr>
            <w:r>
              <w:rPr>
                <w:sz w:val="24"/>
              </w:rPr>
              <w:t xml:space="preserve">具体规定见第一章《投标邀请》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6" w:type="pct"/>
            <w:vAlign w:val="center"/>
            <w:textDirection w:val="lrTb"/>
            <w:noWrap w:val="false"/>
          </w:tcPr>
          <w:p>
            <w:pPr>
              <w:tabs>
                <w:tab w:val="left" w:pos="1080" w:leader="none"/>
              </w:tabs>
              <w:rPr>
                <w:sz w:val="24"/>
              </w:rPr>
            </w:pPr>
            <w:r>
              <w:rPr>
                <w:rFonts w:hint="eastAsia"/>
                <w:sz w:val="24"/>
              </w:rPr>
              <w:t xml:space="preserve"> 营业执照或事业单位法人证书</w:t>
            </w:r>
            <w:r/>
          </w:p>
        </w:tc>
        <w:tc>
          <w:tcPr>
            <w:tcW w:w="2595" w:type="pct"/>
            <w:vAlign w:val="center"/>
            <w:textDirection w:val="lrTb"/>
            <w:noWrap w:val="false"/>
          </w:tcPr>
          <w:p>
            <w:pPr>
              <w:tabs>
                <w:tab w:val="left" w:pos="1080" w:leader="none"/>
              </w:tabs>
              <w:rPr>
                <w:sz w:val="24"/>
              </w:rPr>
            </w:pPr>
            <w:r>
              <w:rPr>
                <w:rFonts w:hint="eastAsia"/>
                <w:sz w:val="24"/>
              </w:rPr>
              <w:t xml:space="preserve">营业执照和税务登记证 (或“三证合一”的营业执照）或事业单位法人证书</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982" w:type="dxa"/>
            <w:vAlign w:val="center"/>
            <w:textDirection w:val="lrTb"/>
            <w:noWrap w:val="false"/>
          </w:tcPr>
          <w:p>
            <w:pPr>
              <w:tabs>
                <w:tab w:val="left" w:pos="1080" w:leader="none"/>
              </w:tabs>
              <w:rPr>
                <w:sz w:val="24"/>
              </w:rPr>
            </w:pPr>
            <w:r>
              <w:rPr>
                <w:rFonts w:hint="eastAsia"/>
                <w:sz w:val="24"/>
              </w:rPr>
              <w:t xml:space="preserve">法定代表人身份证明书或授权委托书</w:t>
            </w:r>
            <w:r/>
          </w:p>
        </w:tc>
        <w:tc>
          <w:tcPr>
            <w:tcW w:w="4822" w:type="dxa"/>
            <w:vAlign w:val="center"/>
            <w:textDirection w:val="lrTb"/>
            <w:noWrap w:val="false"/>
          </w:tcPr>
          <w:p>
            <w:pPr>
              <w:tabs>
                <w:tab w:val="left" w:pos="1080" w:leader="none"/>
              </w:tabs>
              <w:rPr>
                <w:sz w:val="24"/>
              </w:rPr>
            </w:pPr>
            <w:r>
              <w:rPr>
                <w:rFonts w:hint="eastAsia"/>
                <w:sz w:val="24"/>
              </w:rPr>
              <w:t xml:space="preserve">法定代表人身份证明书或授权委托书</w:t>
            </w:r>
            <w:r/>
          </w:p>
        </w:tc>
        <w:tc>
          <w:tcPr>
            <w:tcW w:w="1638" w:type="dxa"/>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3</w:t>
            </w:r>
            <w:r/>
          </w:p>
        </w:tc>
        <w:tc>
          <w:tcPr>
            <w:tcW w:w="1066"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5"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pct"/>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Cs w:val="21"/>
              </w:rPr>
            </w:pPr>
            <w:r>
              <w:rPr>
                <w:rFonts w:hint="eastAsia"/>
                <w:sz w:val="24"/>
              </w:rPr>
              <w:t xml:space="preserve">1-4</w:t>
            </w:r>
            <w:r/>
          </w:p>
        </w:tc>
        <w:tc>
          <w:tcPr>
            <w:tcW w:w="1066" w:type="pct"/>
            <w:vAlign w:val="center"/>
            <w:textDirection w:val="lrTb"/>
            <w:noWrap w:val="false"/>
          </w:tcPr>
          <w:p>
            <w:pPr>
              <w:ind w:firstLine="240"/>
              <w:tabs>
                <w:tab w:val="left" w:pos="1080" w:leader="none"/>
              </w:tabs>
              <w:rPr>
                <w:rFonts w:hint="eastAsia" w:ascii="宋体" w:hAnsi="宋体"/>
                <w:szCs w:val="21"/>
              </w:rPr>
            </w:pPr>
            <w:r>
              <w:rPr>
                <w:rFonts w:hint="eastAsia"/>
                <w:sz w:val="24"/>
              </w:rPr>
              <w:t xml:space="preserve">信用承诺</w:t>
            </w:r>
            <w:r/>
          </w:p>
        </w:tc>
        <w:tc>
          <w:tcPr>
            <w:tcW w:w="2595" w:type="pct"/>
            <w:vAlign w:val="center"/>
            <w:textDirection w:val="lrTb"/>
            <w:noWrap w:val="false"/>
          </w:tcPr>
          <w:p>
            <w:pPr>
              <w:tabs>
                <w:tab w:val="left" w:pos="1080" w:leader="none"/>
              </w:tabs>
              <w:rPr>
                <w:rFonts w:hint="eastAsia" w:ascii="宋体" w:hAnsi="宋体"/>
                <w:bCs/>
                <w:szCs w:val="21"/>
              </w:rPr>
            </w:pPr>
            <w:r>
              <w:rPr>
                <w:rFonts w:hint="eastAsia"/>
                <w:sz w:val="24"/>
              </w:rPr>
              <w:t xml:space="preserve">《政府采购供应商信用承诺书》</w:t>
            </w:r>
            <w:r/>
          </w:p>
        </w:tc>
        <w:tc>
          <w:tcPr>
            <w:tcW w:w="881" w:type="pct"/>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6" w:type="pct"/>
            <w:vAlign w:val="center"/>
            <w:textDirection w:val="lrTb"/>
            <w:noWrap w:val="false"/>
          </w:tcPr>
          <w:p>
            <w:pPr>
              <w:tabs>
                <w:tab w:val="left" w:pos="1080" w:leader="none"/>
              </w:tabs>
              <w:rPr>
                <w:sz w:val="24"/>
              </w:rPr>
            </w:pPr>
            <w:r>
              <w:rPr>
                <w:sz w:val="24"/>
              </w:rPr>
              <w:t xml:space="preserve">投标人信用记录</w:t>
            </w:r>
            <w:r/>
          </w:p>
        </w:tc>
        <w:tc>
          <w:tcPr>
            <w:tcW w:w="2595"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w:t>
            </w:r>
            <w:r>
              <w:rPr>
                <w:rFonts w:hint="eastAsia"/>
                <w:sz w:val="24"/>
              </w:rPr>
              <w:t xml:space="preserve">违法</w:t>
            </w:r>
            <w:r>
              <w:rPr>
                <w:sz w:val="24"/>
              </w:rPr>
              <w:t xml:space="preserve">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6"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tabs>
                <w:tab w:val="left" w:pos="1080" w:leader="none"/>
              </w:tabs>
              <w:rPr>
                <w:sz w:val="24"/>
              </w:rPr>
            </w:pPr>
            <w:r>
              <w:rPr>
                <w:sz w:val="24"/>
              </w:rPr>
              <w:t xml:space="preserve">具体要求见第一章《投标邀请》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2-1</w:t>
            </w:r>
            <w:r/>
          </w:p>
        </w:tc>
        <w:tc>
          <w:tcPr>
            <w:tcW w:w="1066"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5" w:type="pct"/>
            <w:vAlign w:val="center"/>
            <w:textDirection w:val="lrTb"/>
            <w:noWrap w:val="false"/>
          </w:tcPr>
          <w:p>
            <w:pPr>
              <w:pStyle w:val="1094"/>
              <w:jc w:val="both"/>
              <w:spacing w:beforeAutospacing="0" w:afterAutospacing="0"/>
              <w:widowControl/>
            </w:pPr>
            <w:r>
              <w:t xml:space="preserve">落实政府采购政策需满足的资格条件（详见第一章“投标邀请”）：如采购公告中明确专门面向中小/小微企业采购，须按要求提供中小企业声明函；如不专门面向可不提供中小企业声明函。</w:t>
            </w:r>
            <w:r/>
          </w:p>
        </w:tc>
        <w:tc>
          <w:tcPr>
            <w:tcW w:w="881"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6" w:type="pct"/>
            <w:vAlign w:val="center"/>
            <w:textDirection w:val="lrTb"/>
            <w:noWrap w:val="false"/>
          </w:tcPr>
          <w:p>
            <w:pPr>
              <w:tabs>
                <w:tab w:val="left" w:pos="1080" w:leader="none"/>
              </w:tabs>
              <w:rPr>
                <w:sz w:val="24"/>
              </w:rPr>
            </w:pPr>
            <w:r>
              <w:rPr>
                <w:sz w:val="24"/>
              </w:rPr>
              <w:t xml:space="preserve">本项目的特定资格要求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6" w:type="pct"/>
            <w:vAlign w:val="center"/>
            <w:textDirection w:val="lrTb"/>
            <w:noWrap w:val="false"/>
          </w:tcPr>
          <w:p>
            <w:pPr>
              <w:tabs>
                <w:tab w:val="left" w:pos="1080" w:leader="none"/>
              </w:tabs>
              <w:rPr>
                <w:sz w:val="24"/>
              </w:rPr>
            </w:pPr>
            <w:r>
              <w:rPr>
                <w:sz w:val="24"/>
              </w:rPr>
              <w:t xml:space="preserve">其他特定资格要求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r/>
          </w:p>
        </w:tc>
      </w:tr>
    </w:tbl>
    <w:p>
      <w:pPr>
        <w:jc w:val="left"/>
        <w:widowControl/>
        <w:rPr>
          <w:sz w:val="24"/>
        </w:rPr>
      </w:pPr>
      <w:r/>
      <w:bookmarkStart w:id="729" w:name="_Toc353873940"/>
      <w:r/>
      <w:bookmarkStart w:id="730" w:name="_Toc226965858"/>
      <w:r/>
      <w:bookmarkStart w:id="731" w:name="_Toc353825550"/>
      <w:r/>
      <w:bookmarkStart w:id="732" w:name="_Toc127151779"/>
      <w:r/>
      <w:bookmarkStart w:id="733" w:name="_Toc127161490"/>
      <w:r>
        <w:rPr>
          <w:sz w:val="24"/>
        </w:rPr>
        <w:br w:type="page" w:clear="all"/>
      </w:r>
      <w:r/>
    </w:p>
    <w:p>
      <w:pPr>
        <w:jc w:val="center"/>
        <w:spacing w:line="360" w:lineRule="auto"/>
        <w:rPr>
          <w:b/>
          <w:sz w:val="36"/>
          <w:szCs w:val="36"/>
        </w:rPr>
        <w:outlineLvl w:val="0"/>
      </w:pPr>
      <w:r/>
      <w:bookmarkStart w:id="734" w:name="_Toc139400577"/>
      <w:r>
        <w:rPr>
          <w:b/>
          <w:sz w:val="36"/>
          <w:szCs w:val="36"/>
        </w:rPr>
        <w:t xml:space="preserve">第四章   </w:t>
      </w:r>
      <w:bookmarkEnd w:id="729"/>
      <w:r/>
      <w:bookmarkEnd w:id="730"/>
      <w:r/>
      <w:bookmarkEnd w:id="731"/>
      <w:r/>
      <w:bookmarkEnd w:id="732"/>
      <w:r/>
      <w:bookmarkEnd w:id="733"/>
      <w:r/>
      <w:bookmarkStart w:id="735" w:name="_Hlt164229061"/>
      <w:r/>
      <w:bookmarkEnd w:id="735"/>
      <w:r>
        <w:rPr>
          <w:b/>
          <w:sz w:val="36"/>
          <w:szCs w:val="36"/>
        </w:rPr>
        <w:t xml:space="preserve">评标程序、评标方法和评标标准</w:t>
      </w:r>
      <w:bookmarkEnd w:id="734"/>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5"/>
        </w:numPr>
        <w:spacing w:line="360" w:lineRule="auto"/>
        <w:tabs>
          <w:tab w:val="left" w:pos="360" w:leader="none"/>
        </w:tabs>
        <w:rPr>
          <w:sz w:val="24"/>
        </w:rPr>
        <w:outlineLvl w:val="2"/>
      </w:pPr>
      <w:r/>
      <w:bookmarkStart w:id="736" w:name="_Toc265228379"/>
      <w:r/>
      <w:bookmarkStart w:id="737" w:name="_Toc226965814"/>
      <w:r/>
      <w:bookmarkStart w:id="738" w:name="_Toc127151742"/>
      <w:r/>
      <w:bookmarkStart w:id="739" w:name="_Toc151190168"/>
      <w:r/>
      <w:bookmarkStart w:id="740" w:name="_Toc226965731"/>
      <w:r/>
      <w:bookmarkStart w:id="741" w:name="_Toc164608810"/>
      <w:r/>
      <w:bookmarkStart w:id="742" w:name="_Toc305158883"/>
      <w:r/>
      <w:bookmarkStart w:id="743" w:name="_Toc151193711"/>
      <w:r/>
      <w:bookmarkStart w:id="744" w:name="_Toc150774746"/>
      <w:r/>
      <w:bookmarkStart w:id="745" w:name="_Toc164608655"/>
      <w:r/>
      <w:bookmarkStart w:id="746" w:name="_Toc226309785"/>
      <w:r/>
      <w:bookmarkStart w:id="747" w:name="_Toc142311043"/>
      <w:r/>
      <w:bookmarkStart w:id="748" w:name="_Toc195842906"/>
      <w:r/>
      <w:bookmarkStart w:id="749" w:name="_Toc151193929"/>
      <w:r/>
      <w:bookmarkStart w:id="750" w:name="_Toc150774641"/>
      <w:r/>
      <w:bookmarkStart w:id="751" w:name="_Toc151193639"/>
      <w:r/>
      <w:bookmarkStart w:id="752" w:name="_Toc164229382"/>
      <w:r/>
      <w:bookmarkStart w:id="753" w:name="_Toc305158809"/>
      <w:r/>
      <w:bookmarkStart w:id="754" w:name="_Toc264969231"/>
      <w:r/>
      <w:bookmarkStart w:id="755" w:name="_Toc127151541"/>
      <w:r/>
      <w:bookmarkStart w:id="756" w:name="_Toc226337237"/>
      <w:r/>
      <w:bookmarkStart w:id="757" w:name="_Toc127161455"/>
      <w:r/>
      <w:bookmarkStart w:id="758" w:name="_Toc151193855"/>
      <w:r/>
      <w:bookmarkStart w:id="759" w:name="_Toc149720834"/>
      <w:r/>
      <w:bookmarkStart w:id="760" w:name="_Toc150509292"/>
      <w:r/>
      <w:bookmarkStart w:id="761" w:name="_Toc164351635"/>
      <w:r/>
      <w:bookmarkStart w:id="762" w:name="_Toc150480779"/>
      <w:r/>
      <w:bookmarkStart w:id="763" w:name="_Toc164229236"/>
      <w:r/>
      <w:bookmarkStart w:id="764" w:name="_Toc151193783"/>
      <w:r/>
      <w:bookmarkStart w:id="765" w:name="_Toc353825551"/>
      <w:r/>
      <w:bookmarkStart w:id="766" w:name="_Toc353873941"/>
      <w:r/>
      <w:bookmarkStart w:id="767" w:name="_Toc195842920"/>
      <w:r/>
      <w:bookmarkStart w:id="768" w:name="_Toc150480793"/>
      <w:r/>
      <w:bookmarkStart w:id="769" w:name="_Toc305158897"/>
      <w:r/>
      <w:bookmarkStart w:id="770" w:name="_Toc226965828"/>
      <w:r/>
      <w:bookmarkStart w:id="771" w:name="_Toc353873665"/>
      <w:r/>
      <w:bookmarkStart w:id="772" w:name="_Toc142311057"/>
      <w:r/>
      <w:bookmarkStart w:id="773" w:name="_Toc265228393"/>
      <w:r/>
      <w:bookmarkStart w:id="774" w:name="_Toc127151555"/>
      <w:r/>
      <w:bookmarkStart w:id="775" w:name="_Toc264969245"/>
      <w:r/>
      <w:bookmarkStart w:id="776" w:name="_Toc150774760"/>
      <w:r/>
      <w:bookmarkStart w:id="777" w:name="_Toc305158823"/>
      <w:r/>
      <w:bookmarkStart w:id="778" w:name="_Toc226337251"/>
      <w:r/>
      <w:bookmarkStart w:id="779" w:name="_Toc353825545"/>
      <w:r/>
      <w:bookmarkStart w:id="780" w:name="_Toc353873935"/>
      <w:r>
        <w:rPr>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
    </w:p>
    <w:p>
      <w:pPr>
        <w:numPr>
          <w:ilvl w:val="1"/>
          <w:numId w:val="5"/>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1" w:name="_Toc520356167"/>
      <w:r/>
      <w:r/>
    </w:p>
    <w:p>
      <w:pPr>
        <w:numPr>
          <w:ilvl w:val="1"/>
          <w:numId w:val="5"/>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10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w:t>
            </w:r>
            <w:r>
              <w:rPr>
                <w:rFonts w:hint="eastAsia"/>
                <w:sz w:val="24"/>
              </w:rPr>
              <w:t xml:space="preserve">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6"/>
        </w:numPr>
        <w:spacing w:line="360" w:lineRule="auto"/>
        <w:tabs>
          <w:tab w:val="left" w:pos="1080" w:leader="none"/>
          <w:tab w:val="left" w:pos="1589" w:leader="none"/>
        </w:tabs>
        <w:rPr>
          <w:sz w:val="24"/>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5"/>
        </w:numPr>
        <w:spacing w:line="360" w:lineRule="auto"/>
        <w:tabs>
          <w:tab w:val="left" w:pos="360" w:leader="none"/>
        </w:tabs>
        <w:rPr>
          <w:sz w:val="24"/>
        </w:rPr>
        <w:outlineLvl w:val="2"/>
      </w:pPr>
      <w:r>
        <w:rPr>
          <w:sz w:val="24"/>
        </w:rPr>
        <w:t xml:space="preserve">投标文件有关事项的澄清或者说明</w:t>
      </w:r>
      <w:r/>
    </w:p>
    <w:p>
      <w:pPr>
        <w:numPr>
          <w:ilvl w:val="1"/>
          <w:numId w:val="5"/>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sz w:val="24"/>
        </w:rPr>
      </w:pPr>
      <w:r>
        <w:rPr>
          <w:rFonts w:hint="eastAsia"/>
          <w:sz w:val="24"/>
        </w:rPr>
        <w:t xml:space="preserve">评审过程中出现下列情形之一的，磋商小组应当启动异常低价投标（ 响应） 审查程序：</w:t>
      </w:r>
      <w:r/>
    </w:p>
    <w:p>
      <w:pPr>
        <w:ind w:left="357" w:firstLine="720"/>
        <w:spacing w:line="360" w:lineRule="auto"/>
        <w:tabs>
          <w:tab w:val="left" w:pos="1080" w:leader="none"/>
        </w:tabs>
        <w:rPr>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ind w:firstLine="960"/>
        <w:spacing w:line="360" w:lineRule="auto"/>
        <w:tabs>
          <w:tab w:val="left" w:pos="1080" w:leader="none"/>
        </w:tabs>
        <w:rPr>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ind w:firstLine="960"/>
        <w:spacing w:line="360" w:lineRule="auto"/>
        <w:tabs>
          <w:tab w:val="left" w:pos="1080" w:leader="none"/>
        </w:tabs>
        <w:rPr>
          <w:sz w:val="24"/>
        </w:rPr>
      </w:pPr>
      <w:r>
        <w:rPr>
          <w:rFonts w:hint="eastAsia"/>
          <w:sz w:val="24"/>
        </w:rPr>
        <w:t xml:space="preserve">3.投标(响应)报价低于采购项目最高限价45%的，即投标(响应)报价&lt;采购项目最高限价×45%;</w:t>
      </w:r>
      <w:r/>
    </w:p>
    <w:p>
      <w:pPr>
        <w:ind w:left="357" w:firstLine="480"/>
        <w:spacing w:line="360" w:lineRule="auto"/>
        <w:tabs>
          <w:tab w:val="left" w:pos="1080" w:leader="none"/>
        </w:tabs>
        <w:rPr>
          <w:sz w:val="24"/>
        </w:rPr>
      </w:pPr>
      <w:r>
        <w:rPr>
          <w:rFonts w:hint="eastAsia"/>
          <w:sz w:val="24"/>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30分钟内提供项目具体成本测算等与</w:t>
      </w:r>
      <w:r>
        <w:rPr>
          <w:rFonts w:hint="eastAsia"/>
          <w:sz w:val="24"/>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5"/>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5"/>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10</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5"/>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5"/>
        </w:numPr>
        <w:spacing w:line="360" w:lineRule="auto"/>
        <w:tabs>
          <w:tab w:val="left" w:pos="360" w:leader="none"/>
        </w:tabs>
        <w:rPr>
          <w:sz w:val="24"/>
        </w:rPr>
        <w:outlineLvl w:val="2"/>
      </w:pPr>
      <w:r>
        <w:rPr>
          <w:sz w:val="24"/>
        </w:rPr>
        <w:t xml:space="preserve">投标文件的比较和评价</w:t>
      </w:r>
      <w:bookmarkEnd w:id="765"/>
      <w:r/>
      <w:bookmarkEnd w:id="766"/>
      <w:r/>
      <w:r/>
    </w:p>
    <w:p>
      <w:pPr>
        <w:numPr>
          <w:ilvl w:val="1"/>
          <w:numId w:val="5"/>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sz w:val="24"/>
        </w:rPr>
      </w:pPr>
      <w:r>
        <w:rPr>
          <w:sz w:val="24"/>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其他方式，具体要求：_____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p>
    <w:p>
      <w:pPr>
        <w:numPr>
          <w:ilvl w:val="2"/>
          <w:numId w:val="5"/>
        </w:numPr>
        <w:ind w:left="2035"/>
        <w:spacing w:line="360" w:lineRule="auto"/>
        <w:tabs>
          <w:tab w:val="left" w:pos="1080" w:leader="none"/>
          <w:tab w:val="left" w:pos="1589" w:leader="none"/>
          <w:tab w:val="left" w:pos="2035" w:leader="none"/>
        </w:tabs>
        <w:rPr>
          <w:sz w:val="24"/>
        </w:rPr>
      </w:pPr>
      <w:r>
        <w:rPr>
          <w:sz w:val="24"/>
        </w:rPr>
        <w:t xml:space="preserve">关于无线局域网认证产品政府采购清单中的产品，优先采购的具体规定（如涉及）_____。</w:t>
      </w:r>
      <w:r/>
    </w:p>
    <w:p>
      <w:pPr>
        <w:numPr>
          <w:ilvl w:val="0"/>
          <w:numId w:val="5"/>
        </w:numPr>
        <w:spacing w:line="360" w:lineRule="auto"/>
        <w:tabs>
          <w:tab w:val="left" w:pos="360" w:leader="none"/>
        </w:tabs>
        <w:rPr>
          <w:sz w:val="24"/>
        </w:rPr>
        <w:outlineLvl w:val="2"/>
      </w:pPr>
      <w:r>
        <w:rPr>
          <w:sz w:val="24"/>
        </w:rPr>
        <w:t xml:space="preserve">确定</w:t>
      </w:r>
      <w:bookmarkStart w:id="782" w:name="_Toc226337242"/>
      <w:r/>
      <w:bookmarkStart w:id="783" w:name="_Toc149720839"/>
      <w:r/>
      <w:bookmarkStart w:id="784" w:name="_Toc226965736"/>
      <w:r/>
      <w:bookmarkStart w:id="785" w:name="_Toc264969236"/>
      <w:r/>
      <w:bookmarkStart w:id="786" w:name="_Toc305158888"/>
      <w:r/>
      <w:bookmarkStart w:id="787" w:name="_Toc150480784"/>
      <w:r/>
      <w:bookmarkStart w:id="788" w:name="_Toc127161460"/>
      <w:r/>
      <w:bookmarkStart w:id="789" w:name="_Toc226309790"/>
      <w:r/>
      <w:bookmarkStart w:id="790" w:name="_Toc142311048"/>
      <w:r/>
      <w:bookmarkStart w:id="791" w:name="_Toc127151546"/>
      <w:r/>
      <w:bookmarkStart w:id="792" w:name="_Toc195842911"/>
      <w:r/>
      <w:bookmarkStart w:id="793" w:name="_Toc164351640"/>
      <w:r/>
      <w:bookmarkStart w:id="794" w:name="_Toc151193716"/>
      <w:r/>
      <w:bookmarkStart w:id="795" w:name="_Toc150774751"/>
      <w:r/>
      <w:bookmarkStart w:id="796" w:name="_Toc151193788"/>
      <w:r/>
      <w:bookmarkStart w:id="797" w:name="_Toc164229387"/>
      <w:r/>
      <w:bookmarkStart w:id="798" w:name="_Toc151193934"/>
      <w:r/>
      <w:bookmarkStart w:id="799" w:name="_Ref467307010"/>
      <w:r/>
      <w:bookmarkStart w:id="800" w:name="_Toc151193644"/>
      <w:r/>
      <w:bookmarkStart w:id="801" w:name="_Toc127151747"/>
      <w:r/>
      <w:bookmarkStart w:id="802" w:name="_Toc150509297"/>
      <w:r/>
      <w:bookmarkStart w:id="803" w:name="_Toc520356170"/>
      <w:r/>
      <w:bookmarkStart w:id="804" w:name="_Toc164229241"/>
      <w:r/>
      <w:bookmarkStart w:id="805" w:name="_Toc151190173"/>
      <w:r/>
      <w:bookmarkStart w:id="806" w:name="_Toc151193860"/>
      <w:r/>
      <w:bookmarkStart w:id="807" w:name="_Toc305158814"/>
      <w:r/>
      <w:bookmarkStart w:id="808" w:name="_Toc164608660"/>
      <w:r/>
      <w:bookmarkStart w:id="809" w:name="_Toc226965819"/>
      <w:r/>
      <w:bookmarkStart w:id="810" w:name="_Toc265228384"/>
      <w:r/>
      <w:bookmarkStart w:id="811" w:name="_Toc150774646"/>
      <w:r/>
      <w:bookmarkStart w:id="812" w:name="_Toc164608815"/>
      <w:r>
        <w:rPr>
          <w:sz w:val="24"/>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
    </w:p>
    <w:p>
      <w:pPr>
        <w:numPr>
          <w:ilvl w:val="1"/>
          <w:numId w:val="5"/>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9"/>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随机抽取</w:t>
      </w:r>
      <w:r/>
    </w:p>
    <w:p>
      <w:pPr>
        <w:pStyle w:val="1089"/>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其他方式，具体要求：_____</w:t>
      </w:r>
      <w:r/>
    </w:p>
    <w:p>
      <w:pPr>
        <w:numPr>
          <w:ilvl w:val="1"/>
          <w:numId w:val="5"/>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5"/>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5"/>
        </w:numPr>
        <w:spacing w:line="360" w:lineRule="auto"/>
        <w:tabs>
          <w:tab w:val="left" w:pos="360" w:leader="none"/>
        </w:tabs>
        <w:rPr>
          <w:sz w:val="24"/>
        </w:rPr>
        <w:outlineLvl w:val="2"/>
      </w:pPr>
      <w:r>
        <w:rPr>
          <w:sz w:val="24"/>
        </w:rPr>
        <w:t xml:space="preserve">报告违法行为</w:t>
      </w:r>
      <w:r/>
    </w:p>
    <w:p>
      <w:pPr>
        <w:numPr>
          <w:ilvl w:val="1"/>
          <w:numId w:val="5"/>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p>
      <w:pPr>
        <w:ind w:firstLine="480"/>
        <w:spacing w:line="360" w:lineRule="auto"/>
        <w:tabs>
          <w:tab w:val="left" w:pos="1080" w:leader="none"/>
        </w:tabs>
        <w:rPr>
          <w:sz w:val="24"/>
        </w:rPr>
      </w:pPr>
      <w:r>
        <w:rPr>
          <w:rFonts w:hint="eastAsia"/>
          <w:sz w:val="24"/>
        </w:rPr>
        <w:t xml:space="preserve">1、评审小组</w:t>
      </w:r>
      <w:r>
        <w:rPr>
          <w:sz w:val="24"/>
        </w:rPr>
        <w:t xml:space="preserve">将根据各供应商的评审排序以及</w:t>
      </w:r>
      <w:r>
        <w:rPr>
          <w:rFonts w:hint="eastAsia"/>
          <w:sz w:val="24"/>
        </w:rPr>
        <w:t xml:space="preserve">招标</w:t>
      </w:r>
      <w:r>
        <w:rPr>
          <w:sz w:val="24"/>
        </w:rPr>
        <w:t xml:space="preserve">文件中关于成交候选人的相关规定，确定本项目成交候选人名单，按照评审得分由高到低顺序推荐成交候选人的排名顺序。响应文件满足</w:t>
      </w:r>
      <w:r>
        <w:rPr>
          <w:rFonts w:hint="eastAsia"/>
          <w:sz w:val="24"/>
        </w:rPr>
        <w:t xml:space="preserve">招标文件</w:t>
      </w:r>
      <w:r>
        <w:rPr>
          <w:sz w:val="24"/>
        </w:rPr>
        <w:t xml:space="preserve">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sz w:val="24"/>
        </w:rPr>
        <w:t xml:space="preserve">评审得分且最后报价相同的，按照技术指标优劣顺序推荐</w:t>
      </w:r>
      <w:r>
        <w:rPr>
          <w:rFonts w:hint="eastAsia"/>
          <w:sz w:val="24"/>
        </w:rPr>
        <w:t xml:space="preserve">；并列第一的供应商各部分得分均相同的,</w:t>
      </w:r>
      <w:r>
        <w:rPr>
          <w:sz w:val="24"/>
        </w:rPr>
        <w:t xml:space="preserve">由</w:t>
      </w:r>
      <w:r>
        <w:rPr>
          <w:rFonts w:hint="eastAsia"/>
          <w:sz w:val="24"/>
        </w:rPr>
        <w:t xml:space="preserve">采购人代表现场随机</w:t>
      </w:r>
      <w:r>
        <w:rPr>
          <w:sz w:val="24"/>
        </w:rPr>
        <w:t xml:space="preserve">抽</w:t>
      </w:r>
      <w:r>
        <w:rPr>
          <w:rFonts w:hint="eastAsia"/>
          <w:sz w:val="24"/>
        </w:rPr>
        <w:t xml:space="preserve">取</w:t>
      </w:r>
      <w:r>
        <w:rPr>
          <w:sz w:val="24"/>
        </w:rPr>
        <w:t xml:space="preserve">确定</w:t>
      </w:r>
      <w:r>
        <w:rPr>
          <w:rFonts w:hint="eastAsia"/>
          <w:sz w:val="24"/>
        </w:rPr>
        <w:t xml:space="preserve">成交单位</w:t>
      </w:r>
      <w:r>
        <w:rPr>
          <w:sz w:val="24"/>
        </w:rPr>
        <w:t xml:space="preserve">。</w:t>
      </w:r>
      <w:r/>
    </w:p>
    <w:p>
      <w:pPr>
        <w:ind w:firstLine="480"/>
        <w:spacing w:line="360" w:lineRule="auto"/>
        <w:tabs>
          <w:tab w:val="left" w:pos="1080" w:leader="none"/>
        </w:tabs>
        <w:rPr>
          <w:sz w:val="24"/>
        </w:rPr>
      </w:pPr>
      <w:r>
        <w:rPr>
          <w:rFonts w:hint="eastAsia"/>
          <w:sz w:val="24"/>
        </w:rPr>
        <w:t xml:space="preserve">2、每部分的得分保留小数点后两位，合计得分保留小数点后两位</w:t>
      </w:r>
      <w:r>
        <w:rPr>
          <w:sz w:val="24"/>
        </w:rPr>
        <w:t xml:space="preserve">，第三位四舍五入。</w:t>
      </w:r>
      <w:r>
        <w:rPr>
          <w:rFonts w:hint="eastAsia"/>
          <w:sz w:val="24"/>
        </w:rPr>
        <w:t xml:space="preserve"> </w:t>
      </w:r>
      <w:r/>
    </w:p>
    <w:tbl>
      <w:tblPr>
        <w:tblStyle w:val="1079"/>
        <w:tblW w:w="4996" w:type="pct"/>
        <w:jc w:val="center"/>
        <w:tblLayout w:type="autofit"/>
        <w:tblCellMar>
          <w:left w:w="0" w:type="dxa"/>
          <w:top w:w="0" w:type="dxa"/>
          <w:right w:w="0" w:type="dxa"/>
          <w:bottom w:w="0" w:type="dxa"/>
        </w:tblCellMar>
        <w:tblLook w:val="04A0" w:firstRow="1" w:lastRow="0" w:firstColumn="1" w:lastColumn="0" w:noHBand="0" w:noVBand="1"/>
      </w:tblPr>
      <w:tblGrid>
        <w:gridCol w:w="611"/>
        <w:gridCol w:w="1400"/>
        <w:gridCol w:w="6648"/>
        <w:gridCol w:w="622"/>
      </w:tblGrid>
      <w:tr>
        <w:trPr>
          <w:jc w:val="center"/>
          <w:trHeight w:val="42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评分标准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分值</w:t>
            </w:r>
            <w:r/>
          </w:p>
        </w:tc>
      </w:tr>
      <w:tr>
        <w:trPr>
          <w:jc w:val="center"/>
          <w:trHeight w:val="102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采用低价优先法计算，即满足招标文件要求且最低的投标报价为评标基准价，其价格分为满分。</w:t>
            </w:r>
            <w:r/>
          </w:p>
          <w:p>
            <w:pPr>
              <w:rPr>
                <w:rFonts w:hint="eastAsia" w:ascii="宋体" w:hAnsi="宋体" w:cs="宋体"/>
                <w:sz w:val="18"/>
                <w:szCs w:val="18"/>
              </w:rPr>
            </w:pPr>
            <w:r>
              <w:rPr>
                <w:rFonts w:hint="eastAsia" w:ascii="宋体" w:hAnsi="宋体" w:cs="宋体"/>
                <w:sz w:val="18"/>
                <w:szCs w:val="18"/>
              </w:rPr>
              <w:t xml:space="preserve">其他报价得分=评标基准价/投标报价*30分。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30</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40</w:t>
            </w:r>
            <w:r/>
          </w:p>
        </w:tc>
      </w:tr>
      <w:tr>
        <w:trPr>
          <w:jc w:val="center"/>
          <w:trHeight w:val="993"/>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 2023年</w:t>
            </w:r>
            <w:r>
              <w:rPr>
                <w:rFonts w:hint="eastAsia" w:ascii="宋体" w:hAnsi="宋体" w:cs="宋体"/>
                <w:bCs/>
                <w:sz w:val="18"/>
                <w:szCs w:val="18"/>
                <w:lang w:val="en-US" w:eastAsia="zh-CN"/>
              </w:rPr>
              <w:t xml:space="preserve">4</w:t>
            </w:r>
            <w:r>
              <w:rPr>
                <w:rFonts w:hint="eastAsia" w:ascii="宋体" w:hAnsi="宋体" w:cs="宋体"/>
                <w:bCs/>
                <w:sz w:val="18"/>
                <w:szCs w:val="18"/>
              </w:rPr>
              <w:t xml:space="preserve">月1日（含）以来（以合同签订时间为准）承接的类似业绩，每提供一份业绩的得2分，本项最高得10分。</w:t>
            </w:r>
            <w:r/>
          </w:p>
          <w:p>
            <w:pPr>
              <w:rPr>
                <w:rFonts w:hint="eastAsia" w:ascii="宋体" w:hAnsi="宋体" w:cs="宋体"/>
                <w:sz w:val="18"/>
                <w:szCs w:val="18"/>
              </w:rPr>
            </w:pPr>
            <w:r>
              <w:rPr>
                <w:rFonts w:hint="eastAsia" w:ascii="宋体" w:hAnsi="宋体" w:cs="宋体"/>
                <w:b/>
                <w:sz w:val="18"/>
                <w:szCs w:val="18"/>
              </w:rPr>
              <w:t xml:space="preserve">注:响应文件中需提供合同复印件并加盖供应商公章，未提供或提供不全不得分。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10</w:t>
            </w:r>
            <w:r/>
          </w:p>
        </w:tc>
      </w:tr>
      <w:tr>
        <w:trPr>
          <w:jc w:val="center"/>
          <w:trHeight w:val="1405"/>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投标单位具有在有效期内的质量管理体系认证证书、信息技术服务管理体系认证证书、信息安全管理体系认证证书的，每有1项得3分，最高得9分。</w:t>
            </w:r>
            <w:r/>
          </w:p>
          <w:p>
            <w:pPr>
              <w:rPr>
                <w:rFonts w:hint="eastAsia" w:ascii="宋体" w:hAnsi="宋体" w:cs="宋体"/>
                <w:sz w:val="18"/>
                <w:szCs w:val="18"/>
              </w:rPr>
            </w:pPr>
            <w:r>
              <w:rPr>
                <w:rFonts w:hint="eastAsia" w:ascii="宋体" w:hAnsi="宋体" w:cs="宋体"/>
                <w:b/>
                <w:bCs/>
                <w:sz w:val="18"/>
                <w:szCs w:val="18"/>
              </w:rPr>
              <w:t xml:space="preserve">注：响应文件中需提供有效证书复印件，能在国家认证认可监督管理委员会http://www.cnca.gov.cn/网站上查询到的，需提供状态显示有效的截图并加盖供应商公章，否则不得分。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9</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售后服务认证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投标单位具有在有效期内的售后服务完善程度认证证书十二星级及以上证书，得5分，十二星级以下得3分，本项最高得5分。</w:t>
            </w:r>
            <w:r/>
          </w:p>
          <w:p>
            <w:pPr>
              <w:rPr>
                <w:rFonts w:hint="eastAsia" w:ascii="宋体" w:hAnsi="宋体" w:cs="宋体"/>
                <w:sz w:val="18"/>
                <w:szCs w:val="18"/>
              </w:rPr>
            </w:pPr>
            <w:r>
              <w:rPr>
                <w:rFonts w:hint="eastAsia" w:ascii="宋体" w:hAnsi="宋体" w:cs="宋体"/>
                <w:b/>
                <w:bCs/>
                <w:sz w:val="18"/>
                <w:szCs w:val="18"/>
              </w:rPr>
              <w:t xml:space="preserve">注：响应文件中需提供有效证书复印件，能在国家认证认可监督管理委员会http://www.cnca.gov.cn/网站上查询到的，需提供状态显示有效的截图并加盖供应商公章，否则不得分。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5</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企业实力</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1.投标单位具有在有效期内的ITSS运维服务资质证书二级及以上的得3分，二级以下的得 1 分。</w:t>
            </w:r>
            <w:r/>
          </w:p>
          <w:p>
            <w:pPr>
              <w:rPr>
                <w:rFonts w:hint="eastAsia" w:ascii="宋体" w:hAnsi="宋体" w:cs="宋体"/>
                <w:sz w:val="18"/>
                <w:szCs w:val="18"/>
              </w:rPr>
            </w:pPr>
            <w:r>
              <w:rPr>
                <w:rFonts w:hint="eastAsia" w:ascii="宋体" w:hAnsi="宋体" w:cs="宋体"/>
                <w:sz w:val="18"/>
                <w:szCs w:val="18"/>
              </w:rPr>
              <w:t xml:space="preserve">2.投标单位具有在有效期内的CCRC信息安全服务资质认证-信息系统安全运维服务资质二级及以上的得3分，二级以下的得1分</w:t>
            </w:r>
            <w:r/>
          </w:p>
          <w:p>
            <w:pPr>
              <w:rPr>
                <w:rFonts w:hint="eastAsia" w:ascii="宋体" w:hAnsi="宋体" w:cs="宋体"/>
                <w:sz w:val="18"/>
                <w:szCs w:val="18"/>
              </w:rPr>
            </w:pPr>
            <w:r>
              <w:rPr>
                <w:rFonts w:hint="eastAsia" w:ascii="宋体" w:hAnsi="宋体" w:cs="宋体"/>
                <w:sz w:val="18"/>
                <w:szCs w:val="18"/>
              </w:rPr>
              <w:t xml:space="preserve">3.投标单位具有</w:t>
            </w:r>
            <w:bookmarkStart w:id="813" w:name="OLE_LINK1"/>
            <w:r>
              <w:rPr>
                <w:rFonts w:hint="eastAsia" w:ascii="宋体" w:hAnsi="宋体" w:cs="宋体"/>
                <w:sz w:val="18"/>
                <w:szCs w:val="18"/>
              </w:rPr>
              <w:t xml:space="preserve">在有效期内的CCRC信息安全服务资质认证-信息系统安全集成服务资质二级及以上的得3分，二级以下的得1分。</w:t>
            </w:r>
            <w:bookmarkEnd w:id="813"/>
            <w:r/>
            <w:r/>
          </w:p>
          <w:p>
            <w:pPr>
              <w:rPr>
                <w:rFonts w:hint="eastAsia" w:ascii="宋体" w:hAnsi="宋体" w:cs="宋体"/>
                <w:sz w:val="18"/>
                <w:szCs w:val="18"/>
              </w:rPr>
            </w:pPr>
            <w:r>
              <w:rPr>
                <w:rFonts w:hint="eastAsia" w:ascii="宋体" w:hAnsi="宋体" w:cs="宋体"/>
                <w:b/>
                <w:bCs/>
                <w:sz w:val="18"/>
                <w:szCs w:val="18"/>
              </w:rPr>
              <w:t xml:space="preserve">注:响应文件中需提供有效证书复印件，能在国家认证认可监督管理委员会http://www.cnca.gov.cn/网站上查询到的，需提供状态显示有效的截图并加盖供应商公章，否则不得分。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9</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人员配置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1、供应商需拟派本项目负责人1名，具有以下证书的每有一项得2分，本项最高得4分，不提供不得分。</w:t>
            </w:r>
            <w:r/>
          </w:p>
          <w:p>
            <w:pPr>
              <w:rPr>
                <w:rFonts w:hint="eastAsia" w:ascii="宋体" w:hAnsi="宋体" w:cs="宋体"/>
                <w:sz w:val="18"/>
                <w:szCs w:val="18"/>
              </w:rPr>
            </w:pPr>
            <w:r>
              <w:rPr>
                <w:rFonts w:hint="eastAsia" w:ascii="宋体" w:hAnsi="宋体" w:cs="宋体"/>
                <w:sz w:val="18"/>
                <w:szCs w:val="18"/>
              </w:rPr>
              <w:t xml:space="preserve">①高级及以上工程师（互联网与信息系统）职称证书，②系统集成项目管理工程师证书</w:t>
            </w:r>
            <w:r/>
          </w:p>
          <w:p>
            <w:pPr>
              <w:rPr>
                <w:rFonts w:hint="eastAsia" w:ascii="宋体" w:hAnsi="宋体" w:cs="宋体"/>
                <w:sz w:val="18"/>
                <w:szCs w:val="18"/>
              </w:rPr>
            </w:pPr>
            <w:r>
              <w:rPr>
                <w:rFonts w:hint="eastAsia" w:ascii="宋体" w:hAnsi="宋体" w:cs="宋体"/>
                <w:sz w:val="18"/>
                <w:szCs w:val="18"/>
              </w:rPr>
              <w:t xml:space="preserve">2、供应商拟派本项目安全负责人1名，具有以下证书的每有一项得1分，本项最高得3分，不提供不得分。</w:t>
            </w:r>
            <w:r/>
          </w:p>
          <w:p>
            <w:pPr>
              <w:rPr>
                <w:rFonts w:hint="eastAsia" w:ascii="宋体" w:hAnsi="宋体" w:cs="宋体"/>
                <w:sz w:val="18"/>
                <w:szCs w:val="18"/>
              </w:rPr>
            </w:pPr>
            <w:r>
              <w:rPr>
                <w:rFonts w:hint="eastAsia" w:ascii="宋体" w:hAnsi="宋体" w:cs="宋体"/>
                <w:sz w:val="18"/>
                <w:szCs w:val="18"/>
              </w:rPr>
              <w:t xml:space="preserve">①具有注册信息安全专业人员证书（CISP），②信息安全保障人员认证CCRC-CISAW证书，③网络安全能力认证（Ⅱ级及以上）-CCSC证书。</w:t>
            </w:r>
            <w:r/>
          </w:p>
          <w:p>
            <w:pPr>
              <w:rPr>
                <w:rFonts w:hint="eastAsia" w:ascii="宋体" w:hAnsi="宋体" w:cs="宋体"/>
                <w:sz w:val="18"/>
                <w:szCs w:val="18"/>
              </w:rPr>
            </w:pPr>
            <w:r>
              <w:rPr>
                <w:rFonts w:hint="eastAsia" w:ascii="宋体" w:hAnsi="宋体" w:cs="宋体"/>
                <w:b/>
                <w:bCs/>
                <w:sz w:val="18"/>
                <w:szCs w:val="18"/>
              </w:rPr>
              <w:t xml:space="preserve">注:</w:t>
            </w:r>
            <w:r>
              <w:rPr>
                <w:rFonts w:hint="eastAsia" w:ascii="宋体" w:hAnsi="宋体" w:cs="宋体"/>
                <w:b/>
                <w:bCs/>
                <w:sz w:val="18"/>
                <w:szCs w:val="18"/>
              </w:rPr>
              <w:t xml:space="preserve">响应文件中需提供以上有效证书复印件并加盖供应商公章，否则不得分。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7</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30</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运维管理方案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b/>
                <w:bCs/>
                <w:sz w:val="18"/>
                <w:szCs w:val="18"/>
              </w:rPr>
            </w:pPr>
            <w:r>
              <w:rPr>
                <w:rFonts w:hint="eastAsia" w:ascii="宋体" w:hAnsi="宋体" w:cs="宋体"/>
                <w:bCs/>
                <w:sz w:val="18"/>
                <w:szCs w:val="18"/>
              </w:rPr>
              <w:t xml:space="preserve">投标单位通过前期对项目的了解和调查，对本次维护范围内原基础建设部分(视频监控、数据中心云平台)出具视频监控及数据中心云平台运维方案，机房设备维保方案</w:t>
            </w:r>
            <w:r>
              <w:rPr>
                <w:rFonts w:hint="eastAsia" w:ascii="宋体" w:hAnsi="宋体" w:cs="宋体"/>
                <w:sz w:val="18"/>
                <w:szCs w:val="18"/>
              </w:rPr>
              <w:t xml:space="preserve">。视频监控及数据中心运维管理方案、数据中心网络拓扑图内容完整、详细、科学、全面、合理的，得6分；内容基本科学、全面、完整的，得4分；内容描述简单且不够科学、全面、完整的，得2分；内容描述较差，无操作性的，得1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6</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日常巡检方案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针对供应商提供的日常巡检方案内容，包括服务流程、关注点、具体内容等的合理性、有效性、针对性进行综合评分：</w:t>
            </w:r>
            <w:r/>
          </w:p>
          <w:p>
            <w:pPr>
              <w:rPr>
                <w:rFonts w:hint="eastAsia" w:ascii="宋体" w:hAnsi="宋体" w:cs="宋体"/>
                <w:sz w:val="18"/>
                <w:szCs w:val="18"/>
              </w:rPr>
            </w:pPr>
            <w:r>
              <w:rPr>
                <w:rFonts w:hint="eastAsia" w:ascii="宋体" w:hAnsi="宋体" w:cs="宋体"/>
                <w:sz w:val="18"/>
                <w:szCs w:val="18"/>
              </w:rPr>
              <w:t xml:space="preserve">日常巡检方案内容完整、详细、科学、全面、合理的，得6分；</w:t>
            </w:r>
            <w:r/>
          </w:p>
          <w:p>
            <w:pPr>
              <w:rPr>
                <w:rFonts w:hint="eastAsia" w:ascii="宋体" w:hAnsi="宋体" w:cs="宋体"/>
                <w:sz w:val="18"/>
                <w:szCs w:val="18"/>
              </w:rPr>
            </w:pPr>
            <w:r>
              <w:rPr>
                <w:rFonts w:hint="eastAsia" w:ascii="宋体" w:hAnsi="宋体" w:cs="宋体"/>
                <w:sz w:val="18"/>
                <w:szCs w:val="18"/>
              </w:rPr>
              <w:t xml:space="preserve">日常巡检方案内容基本科学、全面、完整的，得4分；</w:t>
            </w:r>
            <w:r/>
          </w:p>
          <w:p>
            <w:pPr>
              <w:rPr>
                <w:rFonts w:hint="eastAsia" w:ascii="宋体" w:hAnsi="宋体" w:cs="宋体"/>
                <w:sz w:val="18"/>
                <w:szCs w:val="18"/>
              </w:rPr>
            </w:pPr>
            <w:r>
              <w:rPr>
                <w:rFonts w:hint="eastAsia" w:ascii="宋体" w:hAnsi="宋体" w:cs="宋体"/>
                <w:sz w:val="18"/>
                <w:szCs w:val="18"/>
              </w:rPr>
              <w:t xml:space="preserve">日常巡检方案内容描述简单且不够科学全面、完整的，得2分；</w:t>
            </w:r>
            <w:r/>
          </w:p>
          <w:p>
            <w:pPr>
              <w:rPr>
                <w:rFonts w:hint="eastAsia" w:ascii="宋体" w:hAnsi="宋体" w:cs="宋体"/>
                <w:b/>
                <w:bCs/>
                <w:sz w:val="18"/>
                <w:szCs w:val="18"/>
              </w:rPr>
            </w:pPr>
            <w:r>
              <w:rPr>
                <w:rFonts w:hint="eastAsia" w:ascii="宋体" w:hAnsi="宋体" w:cs="宋体"/>
                <w:sz w:val="18"/>
                <w:szCs w:val="18"/>
              </w:rPr>
              <w:t xml:space="preserve">日常巡检方案内容描述较差，无操作性的，得1分；未提供的不得分。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6</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bCs/>
                <w:sz w:val="18"/>
                <w:szCs w:val="18"/>
              </w:rPr>
              <w:t xml:space="preserve">应急预案及处理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针对供应商提供的故障处置及应急保障方案内容，包括处置流程、应急预案、应急演练、保障措施、安全教育培训等的合理性、有效性、针对性进行综合评分：</w:t>
            </w:r>
            <w:r/>
          </w:p>
          <w:p>
            <w:pPr>
              <w:rPr>
                <w:rFonts w:hint="eastAsia" w:ascii="宋体" w:hAnsi="宋体" w:cs="宋体"/>
                <w:sz w:val="18"/>
                <w:szCs w:val="18"/>
              </w:rPr>
            </w:pPr>
            <w:r>
              <w:rPr>
                <w:rFonts w:hint="eastAsia" w:ascii="宋体" w:hAnsi="宋体" w:cs="宋体"/>
                <w:sz w:val="18"/>
                <w:szCs w:val="18"/>
              </w:rPr>
              <w:t xml:space="preserve">故障处置及应急保障方案内容完整、详细、科学、全面、合理的，得6分；</w:t>
            </w:r>
            <w:r/>
          </w:p>
          <w:p>
            <w:pPr>
              <w:rPr>
                <w:rFonts w:hint="eastAsia" w:ascii="宋体" w:hAnsi="宋体" w:cs="宋体"/>
                <w:sz w:val="18"/>
                <w:szCs w:val="18"/>
              </w:rPr>
            </w:pPr>
            <w:r>
              <w:rPr>
                <w:rFonts w:hint="eastAsia" w:ascii="宋体" w:hAnsi="宋体" w:cs="宋体"/>
                <w:sz w:val="18"/>
                <w:szCs w:val="18"/>
              </w:rPr>
              <w:t xml:space="preserve">服务团队管理方案内容基本科学、全面、完整的，得4分；</w:t>
            </w:r>
            <w:r/>
          </w:p>
          <w:p>
            <w:pPr>
              <w:rPr>
                <w:rFonts w:hint="eastAsia" w:ascii="宋体" w:hAnsi="宋体" w:cs="宋体"/>
                <w:sz w:val="18"/>
                <w:szCs w:val="18"/>
              </w:rPr>
            </w:pPr>
            <w:r>
              <w:rPr>
                <w:rFonts w:hint="eastAsia" w:ascii="宋体" w:hAnsi="宋体" w:cs="宋体"/>
                <w:sz w:val="18"/>
                <w:szCs w:val="18"/>
              </w:rPr>
              <w:t xml:space="preserve">服务团队管理方案内容描述简单且不够科学、全面、完整的，得2分；</w:t>
            </w:r>
            <w:r/>
          </w:p>
          <w:p>
            <w:pPr>
              <w:rPr>
                <w:rFonts w:hint="eastAsia" w:ascii="宋体" w:hAnsi="宋体" w:cs="宋体"/>
                <w:sz w:val="18"/>
                <w:szCs w:val="18"/>
              </w:rPr>
            </w:pPr>
            <w:r>
              <w:rPr>
                <w:rFonts w:hint="eastAsia" w:ascii="宋体" w:hAnsi="宋体" w:cs="宋体"/>
                <w:sz w:val="18"/>
                <w:szCs w:val="18"/>
              </w:rPr>
              <w:t xml:space="preserve">服务团队管理方案内容描述较差，无操作性的，得1分；未提供的不得分。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6</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服务质量方案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针对供应商提供的维护服务质量方案，包括服务质量内容和服务维护方案等的合理性、有效性、针对性进行综合评分：</w:t>
            </w:r>
            <w:r/>
          </w:p>
          <w:p>
            <w:pPr>
              <w:rPr>
                <w:rFonts w:hint="eastAsia" w:ascii="宋体" w:hAnsi="宋体" w:cs="宋体"/>
                <w:sz w:val="18"/>
                <w:szCs w:val="18"/>
              </w:rPr>
            </w:pPr>
            <w:r>
              <w:rPr>
                <w:rFonts w:hint="eastAsia" w:ascii="宋体" w:hAnsi="宋体" w:cs="宋体"/>
                <w:sz w:val="18"/>
                <w:szCs w:val="18"/>
              </w:rPr>
              <w:t xml:space="preserve">服务质量方案内容完整、详细、科学、全面、合理的，得6分；</w:t>
            </w:r>
            <w:r/>
          </w:p>
          <w:p>
            <w:pPr>
              <w:rPr>
                <w:rFonts w:hint="eastAsia" w:ascii="宋体" w:hAnsi="宋体" w:cs="宋体"/>
                <w:sz w:val="18"/>
                <w:szCs w:val="18"/>
              </w:rPr>
            </w:pPr>
            <w:r>
              <w:rPr>
                <w:rFonts w:hint="eastAsia" w:ascii="宋体" w:hAnsi="宋体" w:cs="宋体"/>
                <w:sz w:val="18"/>
                <w:szCs w:val="18"/>
              </w:rPr>
              <w:t xml:space="preserve">服务质量方案基本科学、全面、完整的，得4分；</w:t>
            </w:r>
            <w:r/>
          </w:p>
          <w:p>
            <w:pPr>
              <w:rPr>
                <w:rFonts w:hint="eastAsia" w:ascii="宋体" w:hAnsi="宋体" w:cs="宋体"/>
                <w:sz w:val="18"/>
                <w:szCs w:val="18"/>
              </w:rPr>
            </w:pPr>
            <w:r>
              <w:rPr>
                <w:rFonts w:hint="eastAsia" w:ascii="宋体" w:hAnsi="宋体" w:cs="宋体"/>
                <w:sz w:val="18"/>
                <w:szCs w:val="18"/>
              </w:rPr>
              <w:t xml:space="preserve">服务质量方案描述简单且不够科学、全面、完整的，得2分；</w:t>
            </w:r>
            <w:r/>
          </w:p>
          <w:p>
            <w:pPr>
              <w:rPr>
                <w:rFonts w:hint="eastAsia" w:ascii="宋体" w:hAnsi="宋体" w:cs="宋体"/>
                <w:sz w:val="18"/>
                <w:szCs w:val="18"/>
              </w:rPr>
            </w:pPr>
            <w:r>
              <w:rPr>
                <w:rFonts w:hint="eastAsia" w:ascii="宋体" w:hAnsi="宋体" w:cs="宋体"/>
                <w:sz w:val="18"/>
                <w:szCs w:val="18"/>
              </w:rPr>
              <w:t xml:space="preserve">服务质量方案描述较差，无操作性的，得1分；未提供的不得分。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6</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29"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4"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服务团队管理方案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81"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针对供应商提供的服务团队管理方案内容，包括组织结构、管理制度、验收交接方案、奖惩机制等的合理性、有效性、针对性进行综合评分：</w:t>
            </w:r>
            <w:r/>
          </w:p>
          <w:p>
            <w:pPr>
              <w:rPr>
                <w:rFonts w:hint="eastAsia" w:ascii="宋体" w:hAnsi="宋体" w:cs="宋体"/>
                <w:sz w:val="18"/>
                <w:szCs w:val="18"/>
              </w:rPr>
            </w:pPr>
            <w:r>
              <w:rPr>
                <w:rFonts w:hint="eastAsia" w:ascii="宋体" w:hAnsi="宋体" w:cs="宋体"/>
                <w:sz w:val="18"/>
                <w:szCs w:val="18"/>
              </w:rPr>
              <w:t xml:space="preserve">服务团队管理方案内容完整、详细、科学、全面、合理的，得6分；</w:t>
            </w:r>
            <w:r/>
          </w:p>
          <w:p>
            <w:pPr>
              <w:rPr>
                <w:rFonts w:hint="eastAsia" w:ascii="宋体" w:hAnsi="宋体" w:cs="宋体"/>
                <w:sz w:val="18"/>
                <w:szCs w:val="18"/>
              </w:rPr>
            </w:pPr>
            <w:r>
              <w:rPr>
                <w:rFonts w:hint="eastAsia" w:ascii="宋体" w:hAnsi="宋体" w:cs="宋体"/>
                <w:sz w:val="18"/>
                <w:szCs w:val="18"/>
              </w:rPr>
              <w:t xml:space="preserve">服务团队管理方案内容基本科学、全面、完整的，得4分；</w:t>
            </w:r>
            <w:r/>
          </w:p>
          <w:p>
            <w:pPr>
              <w:rPr>
                <w:rFonts w:hint="eastAsia" w:ascii="宋体" w:hAnsi="宋体" w:cs="宋体"/>
                <w:sz w:val="18"/>
                <w:szCs w:val="18"/>
              </w:rPr>
            </w:pPr>
            <w:r>
              <w:rPr>
                <w:rFonts w:hint="eastAsia" w:ascii="宋体" w:hAnsi="宋体" w:cs="宋体"/>
                <w:sz w:val="18"/>
                <w:szCs w:val="18"/>
              </w:rPr>
              <w:t xml:space="preserve">服务团队管理方案内容描述简单且不够科学、全面、完整的，得2分；</w:t>
            </w:r>
            <w:r/>
          </w:p>
          <w:p>
            <w:pPr>
              <w:rPr>
                <w:rFonts w:hint="eastAsia" w:ascii="宋体" w:hAnsi="宋体" w:cs="宋体"/>
                <w:sz w:val="18"/>
                <w:szCs w:val="18"/>
              </w:rPr>
            </w:pPr>
            <w:r>
              <w:rPr>
                <w:rFonts w:hint="eastAsia" w:ascii="宋体" w:hAnsi="宋体" w:cs="宋体"/>
                <w:sz w:val="18"/>
                <w:szCs w:val="18"/>
              </w:rPr>
              <w:t xml:space="preserve">服务团队管理方案内容描述较差，无操作性的，得1分；未提供的不得分。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5"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6</w:t>
            </w:r>
            <w:r/>
          </w:p>
        </w:tc>
      </w:tr>
      <w:tr>
        <w:trPr>
          <w:jc w:val="center"/>
          <w:trHeight w:val="482"/>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83"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总计</w:t>
            </w:r>
            <w:r/>
          </w:p>
        </w:tc>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100分</w:t>
            </w:r>
            <w:r/>
          </w:p>
        </w:tc>
      </w:tr>
    </w:tbl>
    <w:p>
      <w:pPr>
        <w:ind w:firstLine="482"/>
        <w:jc w:val="left"/>
        <w:spacing w:line="400" w:lineRule="exact"/>
        <w:rPr>
          <w:b/>
          <w:bCs/>
          <w:sz w:val="24"/>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14" w:name="_Toc139400578"/>
      <w:r>
        <w:rPr>
          <w:b/>
          <w:sz w:val="36"/>
          <w:szCs w:val="36"/>
        </w:rPr>
        <w:t xml:space="preserve">第五章   采购需求</w:t>
      </w:r>
      <w:bookmarkEnd w:id="814"/>
      <w:r/>
      <w:r/>
    </w:p>
    <w:p>
      <w:pPr>
        <w:pStyle w:val="1101"/>
        <w:contextualSpacing/>
        <w:ind w:left="482" w:firstLine="482"/>
        <w:spacing w:line="360" w:lineRule="auto"/>
        <w:rPr>
          <w:b/>
          <w:sz w:val="24"/>
        </w:rPr>
      </w:pPr>
      <w:r>
        <w:rPr>
          <w:b/>
          <w:sz w:val="24"/>
        </w:rPr>
        <w:t xml:space="preserve">一</w:t>
      </w:r>
      <w:r>
        <w:rPr>
          <w:rFonts w:hint="eastAsia"/>
          <w:b/>
          <w:sz w:val="24"/>
        </w:rPr>
        <w:t xml:space="preserve">、</w:t>
      </w:r>
      <w:r>
        <w:rPr>
          <w:b/>
          <w:sz w:val="24"/>
        </w:rPr>
        <w:t xml:space="preserve">采购标的</w:t>
      </w:r>
      <w:r/>
    </w:p>
    <w:p>
      <w:pPr>
        <w:ind w:firstLine="480"/>
        <w:spacing w:line="360" w:lineRule="auto"/>
        <w:rPr>
          <w:bCs/>
          <w:sz w:val="24"/>
        </w:rPr>
      </w:pPr>
      <w:r>
        <w:rPr>
          <w:rFonts w:hint="eastAsia"/>
          <w:bCs/>
          <w:sz w:val="24"/>
        </w:rPr>
        <w:t xml:space="preserve">（一）</w:t>
      </w:r>
      <w:r>
        <w:rPr>
          <w:bCs/>
          <w:sz w:val="24"/>
        </w:rPr>
        <w:t xml:space="preserve">采购标的</w:t>
      </w:r>
      <w:r>
        <w:rPr>
          <w:rFonts w:hint="eastAsia"/>
          <w:bCs/>
          <w:sz w:val="24"/>
        </w:rPr>
        <w:t xml:space="preserve">：武进国家高新区智慧园区信息化项目2026年度维护服务</w:t>
      </w:r>
      <w:r/>
    </w:p>
    <w:p>
      <w:pPr>
        <w:ind w:firstLine="480"/>
        <w:spacing w:line="360" w:lineRule="auto"/>
        <w:rPr>
          <w:b/>
          <w:sz w:val="24"/>
        </w:rPr>
      </w:pPr>
      <w:r>
        <w:rPr>
          <w:rFonts w:hint="eastAsia"/>
          <w:bCs/>
          <w:sz w:val="24"/>
        </w:rPr>
        <w:t xml:space="preserve">（二）采购清单：包含2012年至2025年期间智慧园区平台中多个质保期到期的项目共同构成。内容包含各类电子监控及智能交通设备，9所学校云桌面（共计部署641套胖终端、瘦终端及配套显示器、键盘鼠标、机房8台云服务器等设备）和智慧园区城市公共信息服务平台、协同办公系统、项目管理系统、统一门户等软件的维护年度服务以及为保证项目持续稳定运行所涉及的不定量清单</w:t>
      </w:r>
      <w:r>
        <w:rPr>
          <w:rFonts w:hint="eastAsia"/>
          <w:sz w:val="24"/>
        </w:rPr>
        <w:t xml:space="preserve">。</w:t>
      </w:r>
      <w:r/>
    </w:p>
    <w:p>
      <w:pPr>
        <w:contextualSpacing/>
        <w:spacing w:line="360" w:lineRule="auto"/>
        <w:rPr>
          <w:b/>
          <w:sz w:val="24"/>
        </w:rPr>
      </w:pPr>
      <w:r>
        <w:rPr>
          <w:rFonts w:hint="eastAsia"/>
          <w:b/>
          <w:sz w:val="24"/>
        </w:rPr>
        <w:t xml:space="preserve">（1）固定部分维护清单</w:t>
      </w:r>
      <w:r/>
    </w:p>
    <w:tbl>
      <w:tblPr>
        <w:tblStyle w:val="1079"/>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
        <w:gridCol w:w="5331"/>
        <w:gridCol w:w="1316"/>
        <w:gridCol w:w="1163"/>
        <w:gridCol w:w="1224"/>
      </w:tblGrid>
      <w:tr>
        <w:trPr>
          <w:cantSplit/>
          <w:jc w:val="center"/>
          <w:trHeight w:val="236"/>
        </w:trPr>
        <w:tc>
          <w:tcPr>
            <w:gridSpan w:val="5"/>
            <w:tcW w:w="9405" w:type="dxa"/>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sz w:val="18"/>
                <w:szCs w:val="18"/>
              </w:rPr>
              <w:t xml:space="preserve">固定部分维护清单一</w:t>
            </w:r>
            <w:r/>
          </w:p>
        </w:tc>
      </w:tr>
      <w:tr>
        <w:trPr>
          <w:cantSplit/>
          <w:jc w:val="center"/>
          <w:trHeight w:val="462"/>
        </w:trPr>
        <w:tc>
          <w:tcPr>
            <w:tcW w:w="371"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W w:w="5331"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工程名称</w:t>
            </w:r>
            <w:r/>
          </w:p>
        </w:tc>
        <w:tc>
          <w:tcPr>
            <w:tcW w:w="131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工程造价（元）</w:t>
            </w:r>
            <w:r/>
          </w:p>
        </w:tc>
        <w:tc>
          <w:tcPr>
            <w:tcW w:w="1163"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维护时长（个月）</w:t>
            </w:r>
            <w:r/>
          </w:p>
        </w:tc>
        <w:tc>
          <w:tcPr>
            <w:tcW w:w="1224"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备注</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武进高新区网络平台工程</w:t>
            </w:r>
            <w:r/>
          </w:p>
        </w:tc>
        <w:tc>
          <w:tcPr>
            <w:tcW w:w="1316" w:type="dxa"/>
            <w:vAlign w:val="center"/>
            <w:vMerge w:val="restart"/>
            <w:textDirection w:val="lrTb"/>
            <w:noWrap w:val="false"/>
          </w:tcPr>
          <w:p>
            <w:pPr>
              <w:jc w:val="center"/>
              <w:keepNext/>
              <w:rPr>
                <w:rFonts w:hint="eastAsia" w:ascii="宋体" w:hAnsi="宋体" w:cs="宋体"/>
                <w:sz w:val="18"/>
                <w:szCs w:val="18"/>
              </w:rPr>
            </w:pPr>
            <w:r>
              <w:rPr>
                <w:rFonts w:hint="eastAsia" w:ascii="宋体" w:hAnsi="宋体" w:cs="宋体"/>
                <w:sz w:val="18"/>
                <w:szCs w:val="18"/>
              </w:rPr>
              <w:t xml:space="preserve">30598024.41</w:t>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武进高新区电子警察系统工程（一期)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武进高新区GIS综合管理平台工程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武进高新区基础网络光缆建设工程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武进高新区基础网络电源建设工程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武进高新区电子警察系统工程(二期）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武进高新区综合指挥中心DID大屏工程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音视频系统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武进高新区网络平台机房配套工程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机房环境</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武进高新区2015年零星监控工程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清英外国语学校监控工程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武进高新区胜洲西路高清监控</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武进高新区2016年零星监控工程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清英外国语学校网络通讯设施采购项目</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长三角模具城车辆道闸系统与信息发布系统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武进高新区2017年零星监控工程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长三角模具城长三角模具城视频监控系统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武进高新区2018年零星监控工程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武进高新区综合警务服务站视频监控系统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武进高新区2019年零星监控工程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武进国家高新区重点路段违停抓拍工程（二期）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凤栖路沿线高清监控（电警卡口）监控设备采购及安装工程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23</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海湖路等道路沿线高清监控（电警卡口）监控设备采购及安装工程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武进国家高新区重点路段违停抓拍工程（三期）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南湖路（湖滨路-淹城路）高清视频监控系统工程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武进国家高新区交警中队辖区信号灯联网监控安装工程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武进国家高新区校园主干网建设和数据中心供电改造工程</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武进国家高新区视频综合平台升级工程项目</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武进国家高新区重点地段违停抓拍工程（四期）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高新区交警中队辖区信号灯联网监控安装工程（二期）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462"/>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31</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武进国家高新区产业园区基础设施提档升级一期项目沿线智能交通设备采购及安装工程（夏城路-新曲路）</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462"/>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武进高新区风栖路(武南路-龙跃路)、风翔路(龙潜路-龙翔路)、西湖路(武宜路-凤栖路)沿线智能交通设备采购及安装工程项目</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武进高新区违停系统改造项目采购及安装</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武进国家高新区重点路段违停抓拍工程(五期)</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武进高新区新城派出所网络搬迁改造项目</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36</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北区违停抓拍到期项目</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37</w:t>
            </w:r>
            <w:r/>
          </w:p>
        </w:tc>
        <w:tc>
          <w:tcPr>
            <w:tcW w:w="533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机房网络设备及安全设备维护</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2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r>
      <w:tr>
        <w:trPr>
          <w:cantSplit/>
          <w:jc w:val="center"/>
          <w:trHeight w:val="236"/>
        </w:trPr>
        <w:tc>
          <w:tcPr>
            <w:gridSpan w:val="5"/>
            <w:tcW w:w="9405" w:type="dxa"/>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sz w:val="18"/>
                <w:szCs w:val="18"/>
              </w:rPr>
              <w:t xml:space="preserve">固定部分维护清单二</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5331"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武进国家高新区智慧园区一期-数据中心云平台</w:t>
            </w:r>
            <w:r/>
          </w:p>
        </w:tc>
        <w:tc>
          <w:tcPr>
            <w:tcW w:w="1316" w:type="dxa"/>
            <w:vAlign w:val="center"/>
            <w:vMerge w:val="restart"/>
            <w:textDirection w:val="lrTb"/>
            <w:noWrap w:val="false"/>
          </w:tcPr>
          <w:p>
            <w:pPr>
              <w:jc w:val="center"/>
              <w:keepNext/>
              <w:rPr>
                <w:rFonts w:hint="eastAsia" w:ascii="宋体" w:hAnsi="宋体" w:cs="宋体"/>
                <w:sz w:val="18"/>
                <w:szCs w:val="18"/>
              </w:rPr>
            </w:pPr>
            <w:r>
              <w:rPr>
                <w:rFonts w:hint="eastAsia" w:ascii="宋体" w:hAnsi="宋体" w:cs="宋体"/>
                <w:b/>
                <w:bCs/>
                <w:sz w:val="18"/>
                <w:szCs w:val="18"/>
                <w:lang w:bidi="ar"/>
              </w:rPr>
              <w:t xml:space="preserve">19400131.50</w:t>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服务器系统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5331"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武进国家高新区智慧园区一期-视频云平台</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服务器系统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5331"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武进国家高新区智慧园区一期-监控及配套辅材</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5331"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武进国家高新区智慧园区三期-社区维护</w:t>
            </w:r>
            <w:r/>
          </w:p>
        </w:tc>
        <w:tc>
          <w:tcPr>
            <w:tcW w:w="1316" w:type="dxa"/>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1224" w:type="dxa"/>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jc w:val="center"/>
          <w:trHeight w:val="236"/>
        </w:trPr>
        <w:tc>
          <w:tcPr>
            <w:gridSpan w:val="5"/>
            <w:tcBorders>
              <w:bottom w:val="single" w:color="auto" w:sz="4" w:space="0"/>
            </w:tcBorders>
            <w:tcW w:w="9405" w:type="dxa"/>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sz w:val="18"/>
                <w:szCs w:val="18"/>
              </w:rPr>
              <w:t xml:space="preserve">固定部分维护清单三</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371"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auto" w:sz="4" w:space="0"/>
              <w:left w:val="single" w:color="auto" w:sz="4" w:space="0"/>
              <w:bottom w:val="single" w:color="auto" w:sz="4" w:space="0"/>
              <w:right w:val="single" w:color="auto" w:sz="4" w:space="0"/>
            </w:tcBorders>
            <w:tcW w:w="5331"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武进国家高新区9所学校云桌面采购</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Next/>
              <w:rPr>
                <w:rFonts w:hint="eastAsia" w:ascii="宋体" w:hAnsi="宋体" w:cs="宋体"/>
                <w:sz w:val="18"/>
                <w:szCs w:val="18"/>
              </w:rPr>
            </w:pPr>
            <w:r>
              <w:rPr>
                <w:rFonts w:hint="eastAsia" w:ascii="宋体" w:hAnsi="宋体" w:cs="宋体"/>
                <w:b/>
                <w:bCs/>
                <w:sz w:val="18"/>
                <w:szCs w:val="18"/>
                <w:lang w:bidi="ar"/>
              </w:rPr>
              <w:t xml:space="preserve">3256609.00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r>
    </w:tbl>
    <w:tbl>
      <w:tblPr>
        <w:tblStyle w:val="1079"/>
        <w:tblpPr w:horzAnchor="page" w:tblpX="1643" w:vertAnchor="text" w:tblpY="362" w:leftFromText="180" w:topFromText="0" w:rightFromText="180" w:bottomFromText="0"/>
        <w:tblW w:w="94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81"/>
        <w:gridCol w:w="766"/>
        <w:gridCol w:w="4560"/>
        <w:gridCol w:w="1311"/>
        <w:gridCol w:w="1255"/>
        <w:gridCol w:w="1158"/>
      </w:tblGrid>
      <w:tr>
        <w:trPr>
          <w:trHeight w:val="263"/>
        </w:trPr>
        <w:tc>
          <w:tcPr>
            <w:gridSpan w:val="6"/>
            <w:shd w:val="clear" w:color="auto" w:fill="auto"/>
            <w:tcBorders>
              <w:top w:val="single" w:color="000000" w:sz="8" w:space="0"/>
              <w:left w:val="single" w:color="000000" w:sz="8" w:space="0"/>
              <w:bottom w:val="none" w:color="000000" w:sz="4" w:space="0"/>
              <w:right w:val="single" w:color="000000" w:sz="8" w:space="0"/>
            </w:tcBorders>
            <w:tcW w:w="94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固定部分维护清单四</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运维系统</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工程造价（元）</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维护时长</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（个月）</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武进国家高新区小型建设工程和零星作业信息管理平台</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管理端运维：保障管理端现场评估、申请流程审批、文件归档等功能稳定运行。</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4965600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移动终端运维：优化管理端（APP）现场检查、照片上传、危险评估表填写等功能，提升移动端响应速度与操作便捷性，满足外勤监管需求。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数据对接运维：维护与智慧园区平台的统一身份认证对接、一张图系统的数据推送与接口调用，确保跨平台数据同步实时准确，保障地图展示、监控点位关联等功能正常。</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预警通知运维：定期检查后台任务及通知模块，维护短信推送机制，确保企业自查提醒、整改通知、信息预警等推送及时无误。</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数据安全与备份：建立常态化数据备份机制，定期对项目申请材料、审批记录、安全生产台账等核心数据进行备份与校验，防范数据丢失、泄露风险，保障数据完整性。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系统性能优化：监控服务器运行状态，及时清理冗余数据，优化数据库查询效率，解决系统卡顿、加载缓慢等问题，确保多用户并发操作时系统稳定运行。</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技术支持服务：为企业用户及管理端操作人员提供技术咨询与问题排查服务，针对系统使用、材料上传、报表导出等常见问题提供快速解决方案，保障用户顺畅使用。</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672"/>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科技申报审批系统</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科技类项目申报：（1）科</w:t>
            </w:r>
            <w:r>
              <w:rPr>
                <w:rFonts w:hint="eastAsia" w:ascii="宋体" w:hAnsi="宋体" w:eastAsia="宋体" w:cs="宋体"/>
                <w:i w:val="0"/>
                <w:iCs w:val="0"/>
                <w:color w:val="000000"/>
                <w:sz w:val="18"/>
                <w:szCs w:val="18"/>
                <w:u w:val="none"/>
                <w:lang w:val="en-US" w:eastAsia="zh-CN" w:bidi="ar"/>
              </w:rPr>
              <w:t xml:space="preserve">技类政策申报的准备，包括开放的科技类政策校验修改、申报附件确认、系统测试等；（2）政策咨询，开放申报端口后，在政策申报过程中针对企业的问题回复与处理；（3）申报统计，根据要求，对申报过程以及结果数据统计；（4）发明专利数据购买获取，每月从国家/省知识产权数据库购买获取武进高新区发明专利全量数据，含申请号、授权号、专利权人、申请日期、授权状态等，校验数据缺失、重复、格式错误等问题后，科技奖励申报开始前同步至区域科创数据系统；（5）发明专利数据加工，武进高新区专利数据的更新，包括是否转让处理、审核提示的处理等。</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人才类项目申报：（1）人才类政策申报的准备，包括开放的人才类政策校验修改、申报附件确认、系统测试等，下载模板的修改与上传；（2）人才备案数据导入，企业人才备案的数据校验数据重复 / 错误问题后导入系统，并向企业反馈导入结果；（3）历史数据整理，金梧桐、武进区历史数据表整理并导入；（4）人才类政策咨询，开放申报端口后，在政策申报过程中针对企业的问题回复，处理企业关于人才资格、备案要求、系统操作等咨询。</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运维：开展日常运行维护，定期巡检系统核心功能模块与底层资源状态；实施实时异常监控预警，快速定位处置系统异常；建立定期漏洞扫描机制，对排查出的漏洞分级分类处置并复测验证，同时通过专人专责、应急处置预案、定期运维复盘等保障机制，持续优化系统运维工作，及时消除安全隐患。</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政策调整与</w:t>
            </w:r>
            <w:r>
              <w:rPr>
                <w:rFonts w:hint="eastAsia" w:ascii="宋体" w:hAnsi="宋体" w:eastAsia="宋体" w:cs="宋体"/>
                <w:i w:val="0"/>
                <w:iCs w:val="0"/>
                <w:color w:val="000000"/>
                <w:sz w:val="18"/>
                <w:szCs w:val="18"/>
                <w:u w:val="none"/>
                <w:lang w:val="en-US" w:eastAsia="zh-CN" w:bidi="ar"/>
              </w:rPr>
              <w:t xml:space="preserve">变更专项运维：在运维周期内，若主管部门发布的新政策超出现有系统的配置支撑能力，为保障企业申报不受影响，按以下流程执行：（1）政策变更评估：收到新政策后，完成政策对系统功能影响的评估，明确需调整的模块（如表单字段、审核节点、数据校验规则等）；（2）功能调整实施：制定适配新政策的系统功能调整方案，完成功能开发、配置或流程优化，确保符合主管部门申报要求；（3）测试与验证：调整完成后 ，开展功能测试、数据兼容性测试，确保系统稳定运行；（4）用户同步：向企业及管理端同步新政策申报规则、系统操作指引，保障申报流程顺畅。</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统一门户</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单点登录：完成与第三方系统的对接，保障用户一次登录即可访问相关授权系统，提升操作效率。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用户管理：及时处理用户账号新增、修改、禁用、删除需求，保障用户账号安全合规。</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组织管理：根据园区组织架构调整，完成组织架构新增、修改、删除操作，确保架构信息准确。</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角色管理：新增或调整系统角色，合理配置角色菜单权限，适配不同岗位工作需求。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权限管理：根据用户角色与工作需要，新增、调整、分配权限，杜绝越权访问。</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系统导航：优化导航菜单，完成新增、修改、删除操作，确保菜单布局合理、访问便捷。</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信息展现：根据信息展示需求，新增、修改、删除信息展现内容与形式，提升信息传达效果。</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业务办理：优化业务办理相关功能，保障业务在线办理顺畅高效。</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待办事宜：及时清理无效待办任务，确保待办事宜列表准确，提升用户工作效率。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统计分析：支持导出各类统计报表，满足园区管理决策数据需求。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日志管理：统计各系统使用情况日志数据，为系统优化与管理提供数据支撑。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友情管理：及时替换更新友情链接，保障链接有效性与相关性。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协同办公系统</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个人办公：响应用户需求，完成签字单调整，保障签字流程顺畅。</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公文管理：根据园区公文规范调整，新增公文红头，确保公文格式合规。</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会议组织：及时处理会议室占用异常情况，手动释放闲置会议室资源，保障会议安排高效。</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综合管理：根据业务统计需求，调整汇总页列表字段、筛选字段，提升数据查询与统计效率。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人力资源管理：优化人员导出模板，调整人员排序规则，满足人力资源管理数据处理需求。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考勤管理：根据考勤制度调整，优化月度报表统计规则，确保考勤数据准确汇总。</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来信 / 来访接待管理：根据接待流程优化需求，调整流程节点，提升接待服务响应效率。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流程管理：及时响应审批流程调整需求，完成审批流程节点、办理人员调整，保障审批业务顺畅推进。</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信息发布：定期更新各类通知、公告等信息，确保信息及时传达。</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工作计划管理：支持用户完成工作计划内容更新，保障工作任务跟踪与推进。</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日程管理：允许用户实时更新日程内容，助力时间管理与工作协同。</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知识管理：鼓励用户上传、更新知识内容，构建完善的园区知识体系。</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档案管理：及时归档、更新各类档案内容，保障档案资料的完整性与可追溯性。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电子签章：完成与区里签章功能的对接，确保电子签章合法有效、使用便捷。</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费用及预算管理：根据财务工作需求，调整报表和签字单格式与内容，保障费用核算与预算管理规范。</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移动办公：优化选人组件，调整通讯录排序规则，同步 PC 端页面字段，提升移动办公体验。</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规建专题库</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管委会历年影像图：定期获取全域最新的航空影像数据，为城市规划、灾害监测和自然资源管理等业务提供最直观、真实的时空基底。</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总规和控规：是城市发展蓝图适应新阶段需求的动态调整过程，不仅优化了土地功能布局与开发强度，更通过公众参与和科学评估，引导城市向着更可持续、更宜居的方向有序生长。</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专项规划：是针对特定领域或系统的深度部署，是对总体规划的深化与落实</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概念规划：概念规划的更新是对城市长远发展理念与空间结构的前瞻性重塑。侧重于在区域新格局、发展新范式下，重新锚定城市的核心价值、战略方向与特色风貌，为后续各类规划提供创新性的思维框架和弹性引导。</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城市设计： 城市设计的更新，是对特定区域空间形态与场所品质的持续优化。它不仅关注建筑群体与公共空间的整体协调，更深入街道、景观、慢行系统等微观层面，通过精细化设计与管控，塑造更具活力、人性化与识别度的城市风貌。</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周边规划：着重于处理本区域与相邻地区在功能、交通、生态等方面的衔接与协同。</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在建项目红线：是根据土地出让、规划调整或实际建设需要，对具体开发地块的法定边界进行精确校核与修正的过程。</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拆迁红线图：是根据最新的项目建设或土地整理需要，对拟征收和拆除的房屋、构筑物及附属设施的范围边界进行重新核定与调整。</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道路：及时对变更道路零散更新，丰富一张图底图，并完成及时性底图更新。</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河道：跟踪河流变化，及时更新一张图，为河长制提供水环境专题作战底图</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桥梁：更新桥梁建设基础信息，补充桥梁建造年限，使用年限，通过信息化管控监控并实现桥梁及时维护。</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管线：对管线及时更新，辅助规划及相关部门全域综合通讯管线把控。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地理库建设</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电子地图：电子地图更新，不仅仅局限于道路的变化，部分还融入最新opi信息。</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行政区划：根据板块最新行政区划数据更新，并与实际执法网格相连，不仅是地图上的线条变更，更是区域规划与管理主要边界依据。</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现状路网：贴合武进高新区最新道路、管线等变化进行矢量化上图，更新最新路网，作为各专项作战底图及规划参考。</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在建区块：深入细节，精确上图在建区块范围边界，为规划区域及在建范围进行精准监控。</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规建一张图综合管理系统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维护一张图基础平台稳定正常运行，保障平台基础功能及图层叠加及切换，监控平台是否存在异常，并在12小时内完成恢复。</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项目管理系统</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招商项目信息管理：根据招商业务流程优化需求，调整拜访、接待模块功能，提升招商服务质量。</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项目进程管理：及时更新项目进程配置，确保项目进度跟踪准确、高效。</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项目监督与考核：完善项目监督与考核相关功能，保障考核流程规范、结果公正。</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项目档案资料管理：定期更新项目档案资料，确保资料完整反映项目全生命周期情况。</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科技招商：及时录入、更新科技招商项目信息，支撑科技招商工作推进。</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经发项目管理：动态更新经发项目相关数据，保障项目管理与跟踪精准。</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规建项目管理：同步规建项目进展信息，确保项目建设各环节数据实时更新。</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移动客户端：优化项目查询界面，提升查询便捷性与响应速度，满足移动端项目管理需求。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rFonts w:hint="eastAsia"/>
          <w:b/>
          <w:sz w:val="24"/>
          <w:szCs w:val="22"/>
        </w:rPr>
        <w:t xml:space="preserve">（2）未定量部分：更换设备项目清单</w:t>
      </w:r>
      <w:r/>
    </w:p>
    <w:tbl>
      <w:tblPr>
        <w:tblStyle w:val="1079"/>
        <w:tblpPr w:horzAnchor="page" w:tblpX="1623" w:vertAnchor="text" w:tblpY="1040" w:leftFromText="180" w:topFromText="0" w:rightFromText="180" w:bottomFromText="0"/>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714"/>
        <w:gridCol w:w="3816"/>
        <w:gridCol w:w="636"/>
        <w:gridCol w:w="756"/>
        <w:gridCol w:w="576"/>
        <w:gridCol w:w="938"/>
        <w:gridCol w:w="1028"/>
        <w:gridCol w:w="400"/>
      </w:tblGrid>
      <w:tr>
        <w:trPr>
          <w:tblHeader/>
        </w:trPr>
        <w:tc>
          <w:tcPr>
            <w:tcW w:w="419"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W w:w="1277"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产品名称</w:t>
            </w:r>
            <w:r/>
          </w:p>
        </w:tc>
        <w:tc>
          <w:tcPr>
            <w:tcW w:w="2977"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规格型号</w:t>
            </w:r>
            <w:r/>
          </w:p>
        </w:tc>
        <w:tc>
          <w:tcPr>
            <w:tcW w:w="884"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设备品牌</w:t>
            </w:r>
            <w:r/>
          </w:p>
        </w:tc>
        <w:tc>
          <w:tcPr>
            <w:tcW w:w="75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计量单位</w:t>
            </w:r>
            <w:r/>
          </w:p>
        </w:tc>
        <w:tc>
          <w:tcPr>
            <w:tcW w:w="577"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数量</w:t>
            </w:r>
            <w:r/>
          </w:p>
        </w:tc>
        <w:tc>
          <w:tcPr>
            <w:tcW w:w="946" w:type="dxa"/>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bCs/>
                <w:sz w:val="18"/>
                <w:szCs w:val="18"/>
                <w:lang w:bidi="ar"/>
              </w:rPr>
              <w:t xml:space="preserve">单价最高限价</w:t>
            </w:r>
            <w:r/>
          </w:p>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（元）</w:t>
            </w:r>
            <w:r/>
          </w:p>
        </w:tc>
        <w:tc>
          <w:tcPr>
            <w:tcW w:w="103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合价</w:t>
            </w:r>
            <w:r/>
          </w:p>
        </w:tc>
        <w:tc>
          <w:tcPr>
            <w:tcW w:w="409"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备注</w:t>
            </w:r>
            <w:r/>
          </w:p>
        </w:tc>
      </w:tr>
      <w:tr>
        <w:trPr/>
        <w:tc>
          <w:tcPr>
            <w:tcW w:w="419" w:type="dxa"/>
            <w:vAlign w:val="center"/>
            <w:textDirection w:val="lrTb"/>
            <w:noWrap w:val="false"/>
          </w:tcPr>
          <w:p>
            <w:pPr>
              <w:jc w:val="center"/>
              <w:keepNext/>
              <w:widowControl/>
              <w:rPr>
                <w:rFonts w:hint="eastAsia" w:ascii="宋体" w:hAnsi="宋体" w:cs="宋体"/>
                <w:b/>
                <w:bCs/>
                <w:sz w:val="20"/>
                <w:szCs w:val="20"/>
              </w:rPr>
            </w:pPr>
            <w:r>
              <w:rPr>
                <w:rFonts w:hint="eastAsia" w:ascii="宋体" w:hAnsi="宋体" w:cs="宋体"/>
                <w:b/>
                <w:bCs/>
                <w:sz w:val="20"/>
                <w:szCs w:val="20"/>
                <w:lang w:bidi="ar"/>
              </w:rPr>
              <w:t xml:space="preserve">一</w:t>
            </w:r>
            <w:r/>
          </w:p>
        </w:tc>
        <w:tc>
          <w:tcPr>
            <w:gridSpan w:val="8"/>
            <w:tcW w:w="8862" w:type="dxa"/>
            <w:vAlign w:val="center"/>
            <w:textDirection w:val="lrTb"/>
            <w:noWrap w:val="false"/>
          </w:tcPr>
          <w:p>
            <w:pPr>
              <w:jc w:val="center"/>
              <w:keepNext/>
              <w:widowControl/>
              <w:rPr>
                <w:rFonts w:hint="eastAsia" w:ascii="宋体" w:hAnsi="宋体" w:cs="宋体"/>
                <w:b/>
                <w:bCs/>
                <w:sz w:val="20"/>
                <w:szCs w:val="20"/>
              </w:rPr>
            </w:pPr>
            <w:r>
              <w:rPr>
                <w:rFonts w:hint="eastAsia" w:ascii="宋体" w:hAnsi="宋体" w:cs="宋体"/>
                <w:b/>
                <w:bCs/>
                <w:sz w:val="20"/>
                <w:szCs w:val="20"/>
                <w:lang w:bidi="ar"/>
              </w:rPr>
              <w:t xml:space="preserve">主要设备</w:t>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普通枪机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DH-IPC-HFW34GXDM-LED、DS-2CD224CV-SL</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全结构化球机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DH-SDT-5X425-4Z4-FA-D3E-2812、DS-2SK8C144YLMX-SLD/AR(25xF1)</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41000.00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双目球机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DH-SDT-7C14AI-4F-ZA-AF3E-0400、iDS-2SE7C144YLMW-SLD(32xF1)</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25000.00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人脸枪机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DH-IPC-HFW54GXK-ZYH-LED、DS-2CD7T47YLWV-LZSL/Q1</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20250.00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人脸半球</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DH-IPC-HDBW54GXE-ZYH、DS-2CD7D47YLWV-SLZS</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17250.00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400w全彩摄像机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DH-IPC-HFW34AIDM-LED、DS-2CD2T4QC-SL、DH-IPC-HFW34DKZM-AD</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36000.00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800万像素全结构化摄像机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DH-IPC-MFW888YL-ZCHH-E3、DS-2CD7A86YLFWD/SL-XZS/JM(1050/4)、DH-IPC-MFW888DKZLH-ZXR</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8000.00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900万AI生态一体化抓拍单元</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DH-CP902-XGB-L、iDS-TCV900-HEFL/SL/50</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16500.00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镜头</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OPT-110C50M-A</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2150.00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四合一生态补光灯</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DH-ITALF-300AG-F、CXBG-1-1-PS-A-3B-I(CXBG-2-H/2-MC-A-3B-I)</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三维万向节支架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三维万向节，可配套交通一体化抓拍单元、补光灯、雷达安装</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800.00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400万高清球机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DH-SD-6C3432-HNY-GB-AD2、DS-2DE6432YL-SLD</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4700.00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4700.00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w:t>
            </w:r>
            <w:r/>
          </w:p>
        </w:tc>
        <w:tc>
          <w:tcPr>
            <w:tcW w:w="1277"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8路硬盘录像机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DH-NVR4208-4KS3、DS-7608N-I3-V3(SL)</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1100.00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w:t>
            </w:r>
            <w:r/>
          </w:p>
        </w:tc>
        <w:tc>
          <w:tcPr>
            <w:tcW w:w="1277"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16路硬盘录像机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DH-NVR4416-4KS2/I、DS-7716N-I5-V3(SL)</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1277"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32路硬盘录像机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DH-NVR4832-4KS2/I、DS-8632N-I8-V4(SL)</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64路16盘位NVR</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DH-NVR-5064-4KS2、DS-8664N-I16-V4(SL)</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9800.00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9800.00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44倍高清违章取证球</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HIC6821I-IR、DS-2VS45YL-F8XYZH-SLD/LM</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海康、宇视</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12000.00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40倍高清违章取证球</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iDS-2VS435-F840、DS-2VS45YL-F8XYZH-SLD/LM</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11500.00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太阳能供电系统</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超A+单晶硅 实际功率:126W ；电压:18V 额定电流:7A 尺寸:1080*580*30mm，动力级钾电池容量:90AH；工作温度:-30°C~85°C 充放电次数:&gt;1500次 输出电压:9V-12.6V，自研MPPT控制器和保护板，；最大功率点跟踪;过充、过放、过流、外部短路等，热镀锌角铁 (镀锌层60微米)标准风场下8级</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400万全彩4G网络摄像机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400万4G双光人车警戒定焦枪型网络摄像机</w:t>
            </w:r>
            <w:r>
              <w:rPr>
                <w:rFonts w:hint="eastAsia" w:ascii="宋体" w:hAnsi="宋体" w:cs="宋体"/>
                <w:sz w:val="18"/>
                <w:szCs w:val="18"/>
                <w:lang w:bidi="ar"/>
              </w:rPr>
              <w:br/>
            </w:r>
            <w:r>
              <w:rPr>
                <w:rFonts w:hint="eastAsia" w:ascii="宋体" w:hAnsi="宋体" w:cs="宋体"/>
                <w:sz w:val="18"/>
                <w:szCs w:val="18"/>
                <w:lang w:bidi="ar"/>
              </w:rPr>
              <w:t xml:space="preserve">大华易智能系列摄像机采用星光方案，集成深度学习算法，实现人脸检测、周界防范功能，显著提高了视频内容分析的准确性。该系列完全防尘防水、防破坏，符合IP67、IK10（部分型号支持）国际标准。4G双光人脸警戒相机采用深度学习算法，支持人脸检测、通用行为分析、车辆检测；支持机动车抓拍及号牌识别；支持</w:t>
            </w:r>
            <w:r>
              <w:rPr>
                <w:rFonts w:hint="eastAsia" w:ascii="宋体" w:hAnsi="宋体" w:cs="宋体"/>
                <w:sz w:val="18"/>
                <w:szCs w:val="18"/>
                <w:lang w:bidi="ar"/>
              </w:rPr>
              <w:t xml:space="preserve">跟踪、优选及人脸属性提取；支持通过485接入温湿度和电量传感器，对环境进行数据监测，当超过设定值时进行报警提醒；支持智能编码和AI编码，能够减少存储压力，达到轻量化存储的目的；报警事件可设置联动声光告警，实现事中警戒、震慑；支持移动、电信、联通三家运营商，可满足电、网不通的场景需求。  内置GPU芯片，支持深度学习算法，有效提升检测准确率  支持车辆检测：支持机动车及非机动车抓拍及报警联动，支持机动车号牌识别  支持三种智能资源切换：通用行为分析、人脸检测、车辆检测  支持人脸检测：支持跟踪，支持优选，支持</w:t>
            </w:r>
            <w:r>
              <w:rPr>
                <w:rFonts w:hint="eastAsia" w:ascii="宋体" w:hAnsi="宋体" w:cs="宋体"/>
                <w:sz w:val="18"/>
                <w:szCs w:val="18"/>
                <w:lang w:bidi="ar"/>
              </w:rPr>
              <w:t xml:space="preserve">抓拍，支持上报最优的人脸抓图，支持人脸增强，人脸曝光，支持人脸属性提取，支持6种属性，8种表情  支持绊线入侵，区域入侵，快速移动，物品遗留，物品搬移，徘徊检测，人员聚集，停车检测  支持三码流功能，采用星光级低照度400万像素1/2.7英寸CMOS图像传感器，低照度效果好，图像清晰度高  最大可输出400万(2688×1520)@25fps  支持H.265编码，压缩比高，实现超低码流传输  内置高效暖光灯和红外补光灯，最大红外监控距离80米，最大暖光监控距离30米  支持走廊模式，宽动态，3D降噪，强光</w:t>
            </w:r>
            <w:r>
              <w:rPr>
                <w:rFonts w:hint="eastAsia" w:ascii="宋体" w:hAnsi="宋体" w:cs="宋体"/>
                <w:sz w:val="18"/>
                <w:szCs w:val="18"/>
                <w:lang w:bidi="ar"/>
              </w:rPr>
              <w:t xml:space="preserve">抑制，背光补偿，数字水印，适用不同监控环境  支持ROI，H.264/H.265，灵活编码，适用不同带宽和存储环境  支持报警2进2出，音频1进1出，内置MIC，内置扬声器，最大支持512G Micro SD卡  支持通过485接入温湿度传感器和电量传感器的超限报警功能  支持4G（移动联通电信）功能，方便安装联网  支持DC12V供电，支持12V电源返送，最大电流165mA，峰值电流700mA，方便工程安装  支持IP67防护等级  支持SMD 3.0适用于水库、社区、河道等有警戒需求且有线网络不便的场所</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4G摄像机流量</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全年流量包年</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年</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千兆光纤收发器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FTMC-1000E</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百兆光纤收发器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FTMC-100E</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对</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420.00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1260.00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百兆光纤网络交换机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FTMC-400E</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670.00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2010.00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千兆光纤网络交换机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FIM-38010</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7500.00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机架式光纤收发器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FIM-2U14E</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3300.00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机架式光纤收发器</w:t>
            </w:r>
            <w:r/>
          </w:p>
        </w:tc>
        <w:tc>
          <w:tcPr>
            <w:tcW w:w="2977" w:type="dxa"/>
            <w:vAlign w:val="center"/>
            <w:textDirection w:val="lrTb"/>
            <w:noWrap w:val="false"/>
          </w:tcPr>
          <w:p>
            <w:pPr>
              <w:jc w:val="left"/>
              <w:keepNext/>
              <w:rPr>
                <w:rFonts w:hint="eastAsia" w:ascii="宋体" w:hAnsi="宋体" w:cs="宋体"/>
                <w:sz w:val="18"/>
                <w:szCs w:val="18"/>
              </w:rPr>
            </w:pPr>
            <w:r>
              <w:rPr>
                <w:rFonts w:hint="eastAsia" w:ascii="宋体" w:hAnsi="宋体" w:cs="宋体"/>
                <w:sz w:val="18"/>
                <w:szCs w:val="18"/>
              </w:rPr>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8800.00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8800.00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全千兆工业交换机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FIM-38010</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2100.00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24口核心交换机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NBS5200-24SFP/8GT4XS</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锐捷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9500.00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24口核心交换机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S6520X-30QC-EI</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9500.00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4T硬盘</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ST4000VX015、WD42PURU-64</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希捷、海康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6600.00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6T硬盘</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ST6000VX008、ST6000HKVS002</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希捷、海康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26000.00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10T硬盘</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云平台硬盘 SAS接口 2.5英寸 服务器硬盘 12Gb/s 10000rpm万转</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希捷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一光一电百兆收发器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MIB12G-1E-1F-EN</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对</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3750.00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一光四电百兆交换机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MIB12G-4E-1F-EIR</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一光八电百兆交换机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MIB12G-8E-1F-EIR</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四光四电百兆二光千兆交换机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MIB12G-4E-4F-2G-MIB</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12500.00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24光百兆汇聚</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MNB5700-24F-4G-MIB</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30000.00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一光一电千兆收发器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MIB12G-1E-1GF-EN</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对</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一光四电千兆交换机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MIB12G-4E-1G-EIR</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5750.00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一光八电千兆交换机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MIB12G-8EG-1GF-EIR</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7000.00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八光十六电交换机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MNB5700-8E-16G-MIB</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20000.00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全千兆交换机</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MNB28G-24E-2G</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11000.00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千兆光纤模块</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千兆单模 10KM 单模光纤 1310nm LC接口</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7000.00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二</w:t>
            </w:r>
            <w:r/>
          </w:p>
        </w:tc>
        <w:tc>
          <w:tcPr>
            <w:gridSpan w:val="8"/>
            <w:tcW w:w="8862"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配套设备</w:t>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键盘鼠标</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配套云桌面使用、无线键盘鼠标</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罗技</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3000.00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显示器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IPS 屏，分辨率 1920 x 1080，23.8 寸节能办公显示器</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飞利浦</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720.00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18000.00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显示器主板维修</w:t>
            </w:r>
            <w:r/>
          </w:p>
        </w:tc>
        <w:tc>
          <w:tcPr>
            <w:tcW w:w="2977"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显示器主板维修</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3750.00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锐捷云学生机内存</w:t>
            </w:r>
            <w:r/>
          </w:p>
        </w:tc>
        <w:tc>
          <w:tcPr>
            <w:tcW w:w="2977"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2 GB</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4800.00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锐捷云学生机硬盘</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32 GB EMMC</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6750.00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锐捷云学生机主板</w:t>
            </w:r>
            <w:r/>
          </w:p>
        </w:tc>
        <w:tc>
          <w:tcPr>
            <w:tcW w:w="2977"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5 x USB2.0，1 x USB3.0、1 x HDMI、1 x 耳机插孔（3.5mm）、</w:t>
            </w:r>
            <w:r>
              <w:rPr>
                <w:rFonts w:ascii="宋体" w:hAnsi="宋体" w:cs="宋体"/>
                <w:sz w:val="18"/>
                <w:szCs w:val="18"/>
                <w:lang w:bidi="ar"/>
              </w:rPr>
              <w:br/>
            </w:r>
            <w:r>
              <w:rPr>
                <w:rFonts w:ascii="宋体" w:hAnsi="宋体" w:cs="宋体"/>
                <w:sz w:val="18"/>
                <w:szCs w:val="18"/>
                <w:lang w:bidi="ar"/>
              </w:rPr>
              <w:t xml:space="preserve">1 x 麦克风插孔（3.5mm） 、 1 x 10/100/1000M 自适应以</w:t>
            </w:r>
            <w:r>
              <w:rPr>
                <w:rFonts w:ascii="宋体" w:hAnsi="宋体" w:cs="宋体"/>
                <w:sz w:val="18"/>
                <w:szCs w:val="18"/>
                <w:lang w:bidi="ar"/>
              </w:rPr>
              <w:br/>
            </w:r>
            <w:r>
              <w:rPr>
                <w:rFonts w:ascii="宋体" w:hAnsi="宋体" w:cs="宋体"/>
                <w:sz w:val="18"/>
                <w:szCs w:val="18"/>
                <w:lang w:bidi="ar"/>
              </w:rPr>
              <w:t xml:space="preserve">太网口、显示支持、最大支持 1920*1080@60Hz</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10500.00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锐捷云办办公机内存</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容量：8GB、速率：5600MHz、端口类型：SODIMM、工作温</w:t>
            </w:r>
            <w:r>
              <w:rPr>
                <w:rFonts w:hint="eastAsia" w:ascii="宋体" w:hAnsi="宋体" w:cs="宋体"/>
                <w:sz w:val="18"/>
                <w:szCs w:val="18"/>
                <w:lang w:bidi="ar"/>
              </w:rPr>
              <w:br/>
            </w:r>
            <w:r>
              <w:rPr>
                <w:rFonts w:hint="eastAsia" w:ascii="宋体" w:hAnsi="宋体" w:cs="宋体"/>
                <w:sz w:val="18"/>
                <w:szCs w:val="18"/>
                <w:lang w:bidi="ar"/>
              </w:rPr>
              <w:t xml:space="preserve">度：0 °C～40 °C、存储温度：-40 °C~70 °C、工作湿度：</w:t>
            </w:r>
            <w:r>
              <w:rPr>
                <w:rFonts w:hint="eastAsia" w:ascii="宋体" w:hAnsi="宋体" w:cs="宋体"/>
                <w:sz w:val="18"/>
                <w:szCs w:val="18"/>
                <w:lang w:bidi="ar"/>
              </w:rPr>
              <w:br/>
            </w:r>
            <w:r>
              <w:rPr>
                <w:rFonts w:hint="eastAsia" w:ascii="宋体" w:hAnsi="宋体" w:cs="宋体"/>
                <w:sz w:val="18"/>
                <w:szCs w:val="18"/>
                <w:lang w:bidi="ar"/>
              </w:rPr>
              <w:t xml:space="preserve">10%~90%（无凝结） 、存储湿度：5%~90%（无凝结） 、工</w:t>
            </w:r>
            <w:r>
              <w:rPr>
                <w:rFonts w:hint="eastAsia" w:ascii="宋体" w:hAnsi="宋体" w:cs="宋体"/>
                <w:sz w:val="18"/>
                <w:szCs w:val="18"/>
                <w:lang w:bidi="ar"/>
              </w:rPr>
              <w:br/>
            </w:r>
            <w:r>
              <w:rPr>
                <w:rFonts w:hint="eastAsia" w:ascii="宋体" w:hAnsi="宋体" w:cs="宋体"/>
                <w:sz w:val="18"/>
                <w:szCs w:val="18"/>
                <w:lang w:bidi="ar"/>
              </w:rPr>
              <w:t xml:space="preserve">作海拔： ≤5000m</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12750.00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锐捷云办办公机硬盘</w:t>
            </w:r>
            <w:r/>
          </w:p>
        </w:tc>
        <w:tc>
          <w:tcPr>
            <w:tcW w:w="2977"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产品类型： 固态盘、容量：256GB、端口类型：M.2 NVME、</w:t>
            </w:r>
            <w:r>
              <w:rPr>
                <w:rFonts w:ascii="宋体" w:hAnsi="宋体" w:cs="宋体"/>
                <w:sz w:val="18"/>
                <w:szCs w:val="18"/>
                <w:lang w:bidi="ar"/>
              </w:rPr>
              <w:br/>
            </w:r>
            <w:r>
              <w:rPr>
                <w:rFonts w:ascii="宋体" w:hAnsi="宋体" w:cs="宋体"/>
                <w:sz w:val="18"/>
                <w:szCs w:val="18"/>
                <w:lang w:bidi="ar"/>
              </w:rPr>
              <w:t xml:space="preserve">工作温度：0 °C～40 °C、存储温度：0 °C～40 °C、工作</w:t>
            </w:r>
            <w:r>
              <w:rPr>
                <w:rFonts w:ascii="宋体" w:hAnsi="宋体" w:cs="宋体"/>
                <w:sz w:val="18"/>
                <w:szCs w:val="18"/>
                <w:lang w:bidi="ar"/>
              </w:rPr>
              <w:br/>
            </w:r>
            <w:r>
              <w:rPr>
                <w:rFonts w:ascii="宋体" w:hAnsi="宋体" w:cs="宋体"/>
                <w:sz w:val="18"/>
                <w:szCs w:val="18"/>
                <w:lang w:bidi="ar"/>
              </w:rPr>
              <w:t xml:space="preserve">湿度：10%~90%（无凝结）、存储湿度：5%~90%（无凝结）</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9750.00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锐捷云办办公机主板</w:t>
            </w:r>
            <w:r/>
          </w:p>
        </w:tc>
        <w:tc>
          <w:tcPr>
            <w:tcW w:w="2977"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支持扩展内存、支持扩展 2.5 寸硬盘、1920*1080@60Hz</w:t>
            </w:r>
            <w:r>
              <w:rPr>
                <w:rFonts w:ascii="宋体" w:hAnsi="宋体" w:cs="宋体"/>
                <w:sz w:val="18"/>
                <w:szCs w:val="18"/>
                <w:lang w:bidi="ar"/>
              </w:rPr>
              <w:br/>
            </w:r>
            <w:r>
              <w:rPr>
                <w:rFonts w:ascii="宋体" w:hAnsi="宋体" w:cs="宋体"/>
                <w:sz w:val="18"/>
                <w:szCs w:val="18"/>
                <w:lang w:bidi="ar"/>
              </w:rPr>
              <w:t xml:space="preserve">（VGA）/4096×2160@30Hz（HDMI）、2×USB3.0，6×USB2.0、</w:t>
            </w:r>
            <w:r>
              <w:rPr>
                <w:rFonts w:ascii="宋体" w:hAnsi="宋体" w:cs="宋体"/>
                <w:sz w:val="18"/>
                <w:szCs w:val="18"/>
                <w:lang w:bidi="ar"/>
              </w:rPr>
              <w:br/>
            </w:r>
            <w:r>
              <w:rPr>
                <w:rFonts w:ascii="宋体" w:hAnsi="宋体" w:cs="宋体"/>
                <w:sz w:val="18"/>
                <w:szCs w:val="18"/>
                <w:lang w:bidi="ar"/>
              </w:rPr>
              <w:t xml:space="preserve">1 ×3.5mm 耳机插孔、1 ×3.5mm 麦克风插孔、1 ×</w:t>
            </w:r>
            <w:r>
              <w:rPr>
                <w:rFonts w:ascii="宋体" w:hAnsi="宋体" w:cs="宋体"/>
                <w:sz w:val="18"/>
                <w:szCs w:val="18"/>
                <w:lang w:bidi="ar"/>
              </w:rPr>
              <w:br/>
            </w:r>
            <w:r>
              <w:rPr>
                <w:rFonts w:ascii="宋体" w:hAnsi="宋体" w:cs="宋体"/>
                <w:sz w:val="18"/>
                <w:szCs w:val="18"/>
                <w:lang w:bidi="ar"/>
              </w:rPr>
              <w:t xml:space="preserve">10M/100M/1000M 自适应以太网口、</w:t>
            </w:r>
            <w:r>
              <w:rPr>
                <w:rFonts w:ascii="宋体" w:hAnsi="宋体" w:cs="宋体"/>
                <w:sz w:val="18"/>
                <w:szCs w:val="18"/>
                <w:lang w:bidi="ar"/>
              </w:rPr>
              <w:br/>
            </w:r>
            <w:r>
              <w:rPr>
                <w:rFonts w:ascii="宋体" w:hAnsi="宋体" w:cs="宋体"/>
                <w:sz w:val="18"/>
                <w:szCs w:val="18"/>
                <w:lang w:bidi="ar"/>
              </w:rPr>
              <w:t xml:space="preserve">1×VGA 视频输出口/1×HDMI 视频输出口、1 ×DC 电源接</w:t>
            </w:r>
            <w:r>
              <w:rPr>
                <w:rFonts w:ascii="宋体" w:hAnsi="宋体" w:cs="宋体"/>
                <w:sz w:val="18"/>
                <w:szCs w:val="18"/>
                <w:lang w:bidi="ar"/>
              </w:rPr>
              <w:br/>
            </w:r>
            <w:r>
              <w:rPr>
                <w:rFonts w:ascii="宋体" w:hAnsi="宋体" w:cs="宋体"/>
                <w:sz w:val="18"/>
                <w:szCs w:val="18"/>
                <w:lang w:bidi="ar"/>
              </w:rPr>
              <w:t xml:space="preserve">口</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11000.00 </w:t>
            </w:r>
            <w:r/>
          </w:p>
        </w:tc>
        <w:tc>
          <w:tcPr>
            <w:tcW w:w="409"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1277"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 CPU</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Intel 处理器/双核四线程/3.7GHz</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8000.00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软件按次维护费用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在运维需求外，有功能开发，根据实际功能的工作量</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元/人·日</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276</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193200.00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摄像机电源</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DC12V2A</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1950.00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摄像机防水电源</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户外防水AC12V,3A</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2550.00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摄像机支架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满足相机使用环境定制或者成品</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球机安装支架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配合球机安装使用</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294.00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2940.00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三维万向节</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铝合金三维万向节</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660.00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室外防水箱</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500*400*300 双锁控系统、采用1.0不锈钢材质【304】</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880.00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4400.00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室外防水箱</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600*450*300 双锁控系统、采用1.0不锈钢材质【304】</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9250.00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室外落地箱</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1500*650*65 双锁控系统、采用1.0不锈钢材质【304】</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4700.00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23500.00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室外防水箱</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400*300*200，304不锈钢 ,厚度不低于0.8mm（含相关配件）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定制挑臂支架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长度1.5米-2米，整体热浸锌，喷塑</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固定钢带</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304不锈钢钢带</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43.65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436.50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3.5米监控立杆（含基础）</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3,5米  Φ140mm  3mm  热镀锌 挑臂60cm  双枪机位</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根</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热镀锌管（引上管）</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Φ50</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1600.00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道板修复</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普通道板修复、普通混凝土路面恢复；</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m2</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3600.00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室外光纤</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二十四芯 单模铠装</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24000.00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室外光纤</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十二芯 单模铠装</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6.50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19500.00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光纤熔接</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芯</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光纤尾纤</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FC接口 单模</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4400.00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光纤终端盒</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二进十二出 电信级</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6500.00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12芯光缆接头</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12芯接头盒</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12芯一体托盘</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12芯光缆测试</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24芯光缆测试</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4400.00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PE32增强管</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ø32（含开挖、恢复）</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4400.00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PE25增强管</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ø25（含开挖、恢复）</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340.00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PE50增强管</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双根PE50增强管，地埋敷设含开挖、土方回填夯实、弃土清运、（含开挖、恢复）。</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48.00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480.00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熔接包</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24芯电信级</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3700.00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24口光纤配线架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24口 ODF 电信级</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1455.00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7275.00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48口光纤配线架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48口 ODF 电信级</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8250.00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六类双绞线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国标、防水室外</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5.40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1080.00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超五类双绞线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国标</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580.00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阻燃波纹套管</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25mm  PP阻燃</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8.50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425.00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理线架</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600.00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网络跳线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1米</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根</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光纤跳线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SC/SC 接口单模 电信级 15米</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52.00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520.00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48</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电力电缆</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RVV3*1.5</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12.10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24200.00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49</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电力电缆</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RVV2*2.5</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9.80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19600.00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电力电缆</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RVV2*1.5</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4.50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9000.00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51</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拖线板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采用优质阻燃材质外壳、三孔国标五位带独立开关</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1650.00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52</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电源插头</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国标3孔插头</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53</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落地、抱杆箱接地线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BVR6</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4.50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450.00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线缆窖井砌筑</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含500*500*500盖板  及井圈；含窖井内土石方开挖（不区分开挖方式及土质）、砖及水泥砌筑；井内圈净尺寸不小于400*400；含土方清运、围挡、风镐及其他辅助工序；含井圈井盖安装。</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套</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1300.00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PDU可分配电源单元</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8位 PDU 带开关</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400.00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PVC管</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Φ25</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330.00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五孔五位拖线板</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五孔五位拖线板</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100.00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三</w:t>
            </w:r>
            <w:r/>
          </w:p>
        </w:tc>
        <w:tc>
          <w:tcPr>
            <w:gridSpan w:val="8"/>
            <w:tcW w:w="8862"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其他</w:t>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1277"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监控电费</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前端视频监控1个月电费</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点位</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17.50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525.00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1277"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监控点位迁移</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含道路开挖、电源线、网线、增强管、辅材</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点位</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780.00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1560.00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1277"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监控链路迁移</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含道路开挖、增强管、辅材</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点位</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380.00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辅助材料</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摄像机安装辅材，按每个摄像机每个点位计算</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294.00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294.00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点位校准</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武进公安按照技防基础设施数据治理要求，通过移动端和 PC 端相结合的方式，建成了点位校准APP，以基础数据现场采集、后端采集、人工审核三步走的方式，开展完整的资产属性数据全面治理，确保感知类资产基础属性</w:t>
            </w:r>
            <w:r>
              <w:rPr>
                <w:rFonts w:hint="eastAsia" w:ascii="宋体" w:hAnsi="宋体" w:cs="宋体"/>
                <w:sz w:val="18"/>
                <w:szCs w:val="18"/>
                <w:lang w:bidi="ar"/>
              </w:rPr>
              <w:t xml:space="preserve">准确、清晰资产前端数据治理层面，重点应用移动终端信息采集手段，对各类感知设施基础信息进行现场采集和核对：依托移动终端高精度经纬度采集能力，采集较为稳定和精确的前端经纬度；依托移动终端电子罗盘采集能力，现场采集不可转动视频类感知设备朝向方位角度，为上图标注和智能化图像分析提供基础支撑；现场同时采集设备外观、安装位置、安装承载物、设备类型、补光灯属性、杆件和机柜、取电方式等项目结构化信息，采集设备安装地点、安装位置、安装支架、立杆机柜、取电借网等项目的图像，采集安装环境全景图像和视频，满足长期管理的基础信息需求</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84.00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人工点工</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运营维护期间可能会产生不可预计的情况所产生的人工费用。</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240.00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720.00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9"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12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维护部门</w:t>
            </w:r>
            <w:r/>
          </w:p>
        </w:tc>
        <w:tc>
          <w:tcPr>
            <w:tcW w:w="2977"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高新区管委会、规建局、北区交警中队、滨湖公司、排水口用户、大学城夜排档、大学新村三社区、高新区交警中队、龚家社区、恒绿公司、机关幼儿园、津通工业园、南河社区、南湖家园、南夏墅城管中队、南夏墅街道、南夏墅派出所、南夏墅水利站、南苑社区、清英外国语学校、新城派出所、学府东苑、学府家苑、长三角模具城等</w:t>
            </w:r>
            <w:r/>
          </w:p>
        </w:tc>
        <w:tc>
          <w:tcPr>
            <w:tcW w:w="884"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94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1167.00 </w:t>
            </w:r>
            <w:r/>
          </w:p>
        </w:tc>
        <w:tc>
          <w:tcPr>
            <w:tcW w:w="1036"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lang w:bidi="ar"/>
              </w:rPr>
              <w:t xml:space="preserve">28008.00 </w:t>
            </w:r>
            <w:r/>
          </w:p>
        </w:tc>
        <w:tc>
          <w:tcPr>
            <w:tcW w:w="409"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bl>
    <w:p>
      <w:pPr>
        <w:pStyle w:val="1095"/>
        <w:ind w:firstLine="0"/>
        <w:spacing w:after="0"/>
        <w:rPr>
          <w:rFonts w:hint="eastAsia" w:hAnsi="宋体"/>
          <w:b/>
          <w:szCs w:val="21"/>
        </w:rPr>
      </w:pPr>
      <w:r>
        <w:rPr>
          <w:rFonts w:hint="eastAsia" w:hAnsi="宋体"/>
          <w:b/>
          <w:szCs w:val="21"/>
        </w:rPr>
        <w:t xml:space="preserve"> </w:t>
      </w:r>
      <w:r/>
    </w:p>
    <w:p>
      <w:pPr>
        <w:pStyle w:val="1095"/>
        <w:ind w:firstLine="0"/>
        <w:rPr>
          <w:rFonts w:hint="eastAsia" w:hAnsi="宋体"/>
          <w:b/>
          <w:szCs w:val="21"/>
        </w:rPr>
      </w:pPr>
      <w:r>
        <w:rPr>
          <w:rFonts w:hint="eastAsia" w:hAnsi="宋体"/>
          <w:b/>
          <w:szCs w:val="21"/>
        </w:rPr>
        <w:t xml:space="preserve">                                                                                                                                                                          </w:t>
      </w:r>
      <w:r>
        <w:rPr>
          <w:rFonts w:hint="eastAsia" w:hAnsi="宋体"/>
          <w:b/>
          <w:szCs w:val="21"/>
        </w:rPr>
        <w:t xml:space="preserve">                                                                                                                                                                                                                                                                </w:t>
      </w:r>
      <w:r/>
    </w:p>
    <w:p>
      <w:pPr>
        <w:pStyle w:val="1095"/>
        <w:ind w:firstLine="0"/>
        <w:rPr>
          <w:rFonts w:hint="eastAsia" w:hAnsi="宋体"/>
          <w:b/>
          <w:szCs w:val="21"/>
        </w:rPr>
      </w:pPr>
      <w:r>
        <w:rPr>
          <w:rFonts w:hint="eastAsia" w:hAnsi="宋体"/>
          <w:b/>
          <w:szCs w:val="21"/>
        </w:rPr>
        <w:t xml:space="preserve">注：1、因本项目（未定量部分）工作量的不确定，（未定量部分）清单表格中工作量仅为报价估算用，投标人中标后按照甲方认可后的方案完成更换设备服务后，以审定的实际更换工作量*最终清单报价表中的全费用综合单价结算（未定量部分）。</w:t>
      </w:r>
      <w:r/>
    </w:p>
    <w:p>
      <w:pPr>
        <w:pStyle w:val="1095"/>
        <w:ind w:firstLine="211"/>
        <w:spacing w:after="0" w:line="400" w:lineRule="exact"/>
        <w:rPr>
          <w:rFonts w:hint="eastAsia" w:ascii="宋体" w:hAnsi="宋体"/>
          <w:b/>
          <w:sz w:val="24"/>
        </w:rPr>
      </w:pPr>
      <w:r>
        <w:rPr>
          <w:rFonts w:hint="eastAsia" w:hAnsi="宋体"/>
          <w:b/>
          <w:szCs w:val="21"/>
        </w:rPr>
        <w:t xml:space="preserve">2、未定量部分供应商报价不得超过采购人清单最高限价单价，否则作无效标处理。</w:t>
      </w:r>
      <w:r/>
    </w:p>
    <w:p>
      <w:pPr>
        <w:pStyle w:val="1101"/>
        <w:contextualSpacing/>
        <w:ind w:firstLine="482"/>
        <w:spacing w:line="360" w:lineRule="auto"/>
        <w:rPr>
          <w:b/>
          <w:sz w:val="24"/>
        </w:rPr>
      </w:pPr>
      <w:r>
        <w:rPr>
          <w:b/>
          <w:sz w:val="24"/>
        </w:rPr>
        <w:t xml:space="preserve">二</w:t>
      </w:r>
      <w:r>
        <w:rPr>
          <w:rFonts w:hint="eastAsia"/>
          <w:b/>
          <w:sz w:val="24"/>
        </w:rPr>
        <w:t xml:space="preserve">、</w:t>
      </w:r>
      <w:r>
        <w:rPr>
          <w:b/>
          <w:sz w:val="24"/>
        </w:rPr>
        <w:t xml:space="preserve">商务要求</w:t>
      </w:r>
      <w:r/>
    </w:p>
    <w:p>
      <w:pPr>
        <w:contextualSpacing/>
        <w:ind w:firstLine="480"/>
        <w:spacing w:line="360" w:lineRule="auto"/>
        <w:rPr>
          <w:sz w:val="24"/>
        </w:rPr>
      </w:pPr>
      <w:r>
        <w:rPr>
          <w:rFonts w:hint="eastAsia"/>
          <w:bCs/>
          <w:sz w:val="24"/>
        </w:rPr>
        <w:t xml:space="preserve">（一）</w:t>
      </w:r>
      <w:r>
        <w:rPr>
          <w:sz w:val="24"/>
        </w:rPr>
        <w:t xml:space="preserve">交付（实施）的时间（期限）和地点（范围）</w:t>
      </w:r>
      <w:r/>
    </w:p>
    <w:p>
      <w:pPr>
        <w:contextualSpacing/>
        <w:ind w:firstLine="482"/>
        <w:spacing w:line="360" w:lineRule="auto"/>
        <w:rPr>
          <w:bCs/>
          <w:sz w:val="24"/>
        </w:rPr>
      </w:pPr>
      <w:r>
        <w:rPr>
          <w:rFonts w:hint="eastAsia"/>
          <w:bCs/>
          <w:sz w:val="24"/>
        </w:rPr>
        <w:t xml:space="preserve">1、合同服务期限：按各固定部分维护清单期限。</w:t>
      </w:r>
      <w:r/>
    </w:p>
    <w:p>
      <w:pPr>
        <w:contextualSpacing/>
        <w:ind w:firstLine="482"/>
        <w:spacing w:line="360" w:lineRule="auto"/>
        <w:rPr>
          <w:bCs/>
          <w:sz w:val="24"/>
        </w:rPr>
      </w:pPr>
      <w:r>
        <w:rPr>
          <w:rFonts w:hint="eastAsia"/>
          <w:bCs/>
          <w:sz w:val="24"/>
        </w:rPr>
        <w:t xml:space="preserve">2、服务地点：常州市武进区。</w:t>
      </w:r>
      <w:r/>
    </w:p>
    <w:p>
      <w:pPr>
        <w:ind w:firstLine="480"/>
        <w:jc w:val="left"/>
        <w:spacing w:line="360" w:lineRule="auto"/>
        <w:rPr>
          <w:rFonts w:hint="eastAsia" w:ascii="宋体" w:hAnsi="宋体"/>
          <w:sz w:val="24"/>
        </w:rPr>
      </w:pPr>
      <w:r>
        <w:rPr>
          <w:rFonts w:hint="eastAsia"/>
          <w:bCs/>
          <w:sz w:val="24"/>
        </w:rPr>
        <w:t xml:space="preserve">（二）</w:t>
      </w:r>
      <w:r>
        <w:rPr>
          <w:bCs/>
          <w:sz w:val="24"/>
        </w:rPr>
        <w:t xml:space="preserve">付款方式</w:t>
      </w:r>
      <w:r>
        <w:rPr>
          <w:rFonts w:hint="eastAsia"/>
          <w:bCs/>
          <w:sz w:val="24"/>
        </w:rPr>
        <w:t xml:space="preserve">：</w:t>
      </w:r>
      <w:r>
        <w:rPr>
          <w:rFonts w:hint="eastAsia" w:ascii="宋体" w:hAnsi="宋体"/>
          <w:sz w:val="24"/>
        </w:rPr>
        <w:t xml:space="preserve">合同签订之日起一个月内，甲方向乙方支付项目预付款，即合同价的10%，平台固定维护费用在维护服务结束后支付，未定量部分运营维护费按照甲方认可后的方案完成运维服务后，按审定运维工作量*未定量部分最终清单报价表中的全费用综合单价结算。</w:t>
      </w:r>
      <w:r/>
    </w:p>
    <w:p>
      <w:pPr>
        <w:ind w:firstLine="480"/>
        <w:jc w:val="left"/>
        <w:spacing w:line="360" w:lineRule="auto"/>
        <w:rPr>
          <w:rFonts w:hint="eastAsia" w:ascii="宋体" w:hAnsi="宋体"/>
          <w:sz w:val="24"/>
        </w:rPr>
      </w:pPr>
      <w:r>
        <w:rPr>
          <w:rFonts w:hint="eastAsia" w:ascii="宋体" w:hAnsi="宋体"/>
          <w:sz w:val="24"/>
        </w:rPr>
        <w:t xml:space="preserve">（三）运维要求</w:t>
      </w:r>
      <w:r/>
    </w:p>
    <w:p>
      <w:pPr>
        <w:ind w:firstLine="480"/>
        <w:jc w:val="left"/>
        <w:spacing w:line="360" w:lineRule="auto"/>
        <w:rPr>
          <w:rFonts w:hint="eastAsia" w:ascii="宋体" w:hAnsi="宋体"/>
          <w:sz w:val="24"/>
        </w:rPr>
      </w:pPr>
      <w:r>
        <w:rPr>
          <w:rFonts w:hint="eastAsia" w:ascii="宋体" w:hAnsi="宋体"/>
          <w:sz w:val="24"/>
        </w:rPr>
        <w:t xml:space="preserve">1、兼容性要求：</w:t>
      </w:r>
      <w:r/>
    </w:p>
    <w:p>
      <w:pPr>
        <w:ind w:firstLine="480"/>
        <w:jc w:val="left"/>
        <w:spacing w:line="360" w:lineRule="auto"/>
        <w:rPr>
          <w:rFonts w:hint="eastAsia" w:ascii="宋体" w:hAnsi="宋体"/>
          <w:sz w:val="24"/>
        </w:rPr>
      </w:pPr>
      <w:r>
        <w:rPr>
          <w:rFonts w:hint="eastAsia" w:ascii="宋体" w:hAnsi="宋体"/>
          <w:sz w:val="24"/>
        </w:rPr>
        <w:t xml:space="preserve">（1）本项目的高新区物联网设备应满足可以完全接入或管理所有高新区物联网现有各型号录像机、摄像机、终端服务器、嵌入式控制设备。</w:t>
      </w:r>
      <w:r/>
    </w:p>
    <w:p>
      <w:pPr>
        <w:ind w:firstLine="480"/>
        <w:jc w:val="left"/>
        <w:spacing w:line="360" w:lineRule="auto"/>
        <w:rPr>
          <w:rFonts w:hint="eastAsia" w:ascii="宋体" w:hAnsi="宋体"/>
          <w:sz w:val="24"/>
        </w:rPr>
      </w:pPr>
      <w:r>
        <w:rPr>
          <w:rFonts w:hint="eastAsia" w:ascii="宋体" w:hAnsi="宋体"/>
          <w:sz w:val="24"/>
        </w:rPr>
        <w:t xml:space="preserve">（2）本项目的公安网设备应满足可以完全接入或管理管理所有公安网网现有各型号录像机、摄像机、终端服务器、嵌入式控制设备。</w:t>
      </w:r>
      <w:r/>
    </w:p>
    <w:p>
      <w:pPr>
        <w:ind w:firstLine="480"/>
        <w:jc w:val="left"/>
        <w:spacing w:line="360" w:lineRule="auto"/>
        <w:rPr>
          <w:rFonts w:hint="eastAsia" w:ascii="宋体" w:hAnsi="宋体"/>
          <w:sz w:val="24"/>
        </w:rPr>
      </w:pPr>
      <w:r>
        <w:rPr>
          <w:rFonts w:hint="eastAsia" w:ascii="宋体" w:hAnsi="宋体"/>
          <w:sz w:val="24"/>
        </w:rPr>
        <w:t xml:space="preserve">（3）前端终端服务器无论利旧或新建均支持全部前端在用的各型号监控设备（不论何厂商）数据缓存、图像拼接、违法数据生成和图像数据转发功能。</w:t>
      </w:r>
      <w:r/>
    </w:p>
    <w:p>
      <w:pPr>
        <w:ind w:firstLine="480"/>
        <w:jc w:val="left"/>
        <w:spacing w:line="360" w:lineRule="auto"/>
        <w:rPr>
          <w:rFonts w:hint="eastAsia" w:ascii="宋体" w:hAnsi="宋体"/>
          <w:sz w:val="24"/>
        </w:rPr>
      </w:pPr>
      <w:r>
        <w:rPr>
          <w:rFonts w:hint="eastAsia" w:ascii="宋体" w:hAnsi="宋体"/>
          <w:sz w:val="24"/>
        </w:rPr>
        <w:t xml:space="preserve">（4）平台支持各厂商视频设备、人车物结构化抓拍或分析设备接入、转发和平台自身业务应用，各类视频数据接入均保证符合主流技术标准要求的时间和质量特性。</w:t>
      </w:r>
      <w:r/>
    </w:p>
    <w:p>
      <w:pPr>
        <w:ind w:firstLine="480"/>
        <w:jc w:val="left"/>
        <w:spacing w:line="360" w:lineRule="auto"/>
        <w:rPr>
          <w:rFonts w:hint="eastAsia" w:ascii="宋体" w:hAnsi="宋体"/>
          <w:sz w:val="24"/>
        </w:rPr>
      </w:pPr>
      <w:r>
        <w:rPr>
          <w:rFonts w:hint="eastAsia" w:ascii="宋体" w:hAnsi="宋体"/>
          <w:sz w:val="24"/>
        </w:rPr>
        <w:t xml:space="preserve">（5）本项目配套的电子政务外网平台、互联网平台、高新区物联网平台接入第三方数据应满足数据接入、清洗、存储和转发全流程稳定、高效的要求；同时支持项目建设单位提出的数据接入、清洗、存储和转发定制要求，在项目质保期内提供新增数据的接入、清洗、存储和转发需求，提供已接入数据调整、定制需求。</w:t>
      </w:r>
      <w:r/>
    </w:p>
    <w:p>
      <w:pPr>
        <w:contextualSpacing/>
        <w:ind w:firstLine="480"/>
        <w:spacing w:line="360" w:lineRule="auto"/>
        <w:rPr>
          <w:rFonts w:hint="eastAsia" w:ascii="宋体" w:hAnsi="宋体" w:cs="宋体"/>
          <w:bCs/>
          <w:sz w:val="24"/>
        </w:rPr>
      </w:pPr>
      <w:r>
        <w:rPr>
          <w:rFonts w:hint="eastAsia"/>
          <w:bCs/>
          <w:sz w:val="24"/>
        </w:rPr>
        <w:t xml:space="preserve">2、</w:t>
      </w:r>
      <w:r>
        <w:rPr>
          <w:rFonts w:hint="eastAsia" w:ascii="宋体" w:hAnsi="宋体" w:cs="宋体"/>
          <w:bCs/>
          <w:sz w:val="24"/>
        </w:rPr>
        <w:t xml:space="preserve">监控日常维护</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包括：监控线路维护、中心设备维护、摄像机维护等，确保整个系统的正常运行。所需要的人员费用（排查、维修、更换等维保人工）均由中标人负责</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（1）信号线路、供电线路的检测、故障排除、隐患排查。</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（2）所有接口、线路接口的焊点的检测、视频头的更换等。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（3）监控系统前端摄像机的维护、位置调整、设备维修及更换、故障排除等。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（4）监控主机及其他智能化设备检测、设备除尘、系统维护、设备维护、故障排除等。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（5）监控软件检测、软件升级、软件维护、数据备份、故障排除等。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（6）对于不能正常运行的老化性损坏设备及时更换，更换的设备由招标人提供，维护单位只负责安装与维护。</w:t>
      </w:r>
      <w:r/>
    </w:p>
    <w:p>
      <w:pPr>
        <w:ind w:firstLine="480"/>
        <w:jc w:val="left"/>
        <w:spacing w:line="360" w:lineRule="auto"/>
        <w:rPr>
          <w:rFonts w:hint="eastAsia" w:ascii="宋体" w:hAnsi="宋体" w:cs="宋体"/>
          <w:bCs/>
          <w:sz w:val="24"/>
        </w:rPr>
      </w:pPr>
      <w:r>
        <w:rPr>
          <w:rFonts w:hint="eastAsia" w:ascii="宋体" w:hAnsi="宋体" w:cs="宋体"/>
          <w:bCs/>
          <w:sz w:val="24"/>
        </w:rPr>
        <w:t xml:space="preserve">（7）所有设备做好基础信息采集、更新工作。</w:t>
      </w:r>
      <w:r/>
    </w:p>
    <w:p>
      <w:pPr>
        <w:ind w:firstLine="480"/>
        <w:jc w:val="left"/>
        <w:spacing w:line="360" w:lineRule="auto"/>
        <w:rPr>
          <w:rFonts w:hint="eastAsia" w:ascii="宋体" w:hAnsi="宋体" w:cs="宋体"/>
          <w:bCs/>
          <w:sz w:val="24"/>
        </w:rPr>
      </w:pPr>
      <w:r>
        <w:rPr>
          <w:rFonts w:hint="eastAsia" w:ascii="宋体" w:hAnsi="宋体" w:cs="宋体"/>
          <w:bCs/>
          <w:sz w:val="24"/>
        </w:rPr>
        <w:t xml:space="preserve">（8）对重大安保活动及其它特殊情况，提供实时技术保障，确保重大安保活动及其它特殊情况时设备的完好使用。</w:t>
      </w:r>
      <w:r/>
    </w:p>
    <w:p>
      <w:pPr>
        <w:ind w:firstLine="480"/>
        <w:jc w:val="left"/>
        <w:spacing w:line="360" w:lineRule="auto"/>
        <w:rPr>
          <w:rFonts w:hint="eastAsia" w:ascii="宋体" w:hAnsi="宋体" w:cs="宋体"/>
          <w:bCs/>
          <w:sz w:val="24"/>
        </w:rPr>
      </w:pPr>
      <w:r>
        <w:rPr>
          <w:rFonts w:hint="eastAsia" w:ascii="宋体" w:hAnsi="宋体" w:cs="宋体"/>
          <w:bCs/>
          <w:sz w:val="24"/>
        </w:rPr>
        <w:t xml:space="preserve">（9）网络设备：每半年检查交换机、路由器的固件版本，升级至稳定版本；测试冗余链路切换功能（如主备光纤链路）。</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（10）每季度打开机箱清理内部灰尘，检查内存条、硬盘接口是否松动；每年更换服务器电源风扇（避免老化导致散热不良）。对存储设备进行磁盘健康检测（SMART 检测）。</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11）损坏设备维修更换，必须征得甲方（或甲方指定使用方）同意并书面确定，其费用由甲方承担，审计结算：甲方要求的零星监控点位增加、市政拆迁、道路改造引起的迁移、改造费用、依照不定量清单价格审计结算。</w:t>
      </w:r>
      <w:r/>
    </w:p>
    <w:p>
      <w:pPr>
        <w:ind w:firstLine="480"/>
        <w:jc w:val="left"/>
        <w:spacing w:line="360" w:lineRule="auto"/>
        <w:rPr>
          <w:bCs/>
          <w:sz w:val="24"/>
        </w:rPr>
      </w:pPr>
      <w:r>
        <w:rPr>
          <w:rFonts w:hint="eastAsia" w:ascii="宋体" w:hAnsi="宋体" w:cs="宋体"/>
          <w:bCs/>
          <w:sz w:val="24"/>
        </w:rPr>
        <w:t xml:space="preserve">（12）发生火灾、肇事、道路施工及改造、停电、地震、特殊天气及不可抗力的第</w:t>
      </w:r>
      <w:r>
        <w:rPr>
          <w:rFonts w:hint="eastAsia"/>
          <w:bCs/>
          <w:sz w:val="24"/>
        </w:rPr>
        <w:t xml:space="preserve">三方原因导致设备损坏及线路损坏，更换费用由甲方承担。</w:t>
      </w:r>
      <w:r/>
    </w:p>
    <w:p>
      <w:pPr>
        <w:contextualSpacing/>
        <w:ind w:firstLine="480"/>
        <w:spacing w:line="360" w:lineRule="auto"/>
        <w:rPr>
          <w:bCs/>
          <w:sz w:val="24"/>
        </w:rPr>
      </w:pPr>
      <w:r>
        <w:rPr>
          <w:rFonts w:hint="eastAsia"/>
          <w:bCs/>
          <w:sz w:val="24"/>
        </w:rPr>
        <w:t xml:space="preserve">3、云桌面日常维护</w:t>
      </w:r>
      <w:r/>
    </w:p>
    <w:p>
      <w:pPr>
        <w:numPr>
          <w:ilvl w:val="0"/>
          <w:numId w:val="7"/>
        </w:numPr>
        <w:jc w:val="left"/>
        <w:spacing w:line="360" w:lineRule="auto"/>
        <w:rPr>
          <w:bCs/>
          <w:sz w:val="24"/>
        </w:rPr>
      </w:pPr>
      <w:r>
        <w:rPr>
          <w:rFonts w:hint="eastAsia"/>
          <w:bCs/>
          <w:sz w:val="24"/>
        </w:rPr>
        <w:t xml:space="preserve">故障受理：及时响应客户报修；</w:t>
      </w:r>
      <w:r/>
    </w:p>
    <w:p>
      <w:pPr>
        <w:numPr>
          <w:ilvl w:val="0"/>
          <w:numId w:val="7"/>
        </w:numPr>
        <w:jc w:val="left"/>
        <w:spacing w:line="360" w:lineRule="auto"/>
        <w:rPr>
          <w:bCs/>
          <w:sz w:val="24"/>
        </w:rPr>
      </w:pPr>
      <w:r>
        <w:rPr>
          <w:rFonts w:hint="eastAsia"/>
          <w:bCs/>
          <w:sz w:val="24"/>
        </w:rPr>
        <w:t xml:space="preserve">故障诊断：快速定位故障原因，判断故障类型（硬件故障、软件故障、网络故障等）。</w:t>
      </w:r>
      <w:r/>
    </w:p>
    <w:p>
      <w:pPr>
        <w:numPr>
          <w:ilvl w:val="0"/>
          <w:numId w:val="7"/>
        </w:numPr>
        <w:jc w:val="left"/>
        <w:spacing w:line="360" w:lineRule="auto"/>
        <w:rPr>
          <w:bCs/>
          <w:sz w:val="24"/>
        </w:rPr>
      </w:pPr>
      <w:r>
        <w:rPr>
          <w:rFonts w:hint="eastAsia"/>
          <w:bCs/>
          <w:sz w:val="24"/>
        </w:rPr>
        <w:t xml:space="preserve">故障处理：根据故障类型，采取相应的处理措施，例如重启服务、修复系统等，尽快恢复系统正常运行。</w:t>
      </w:r>
      <w:r/>
    </w:p>
    <w:p>
      <w:pPr>
        <w:numPr>
          <w:ilvl w:val="0"/>
          <w:numId w:val="7"/>
        </w:numPr>
        <w:jc w:val="left"/>
        <w:spacing w:line="360" w:lineRule="auto"/>
        <w:rPr>
          <w:bCs/>
          <w:sz w:val="24"/>
        </w:rPr>
      </w:pPr>
      <w:r>
        <w:rPr>
          <w:rFonts w:hint="eastAsia"/>
          <w:bCs/>
          <w:sz w:val="24"/>
        </w:rPr>
        <w:t xml:space="preserve">故障跟踪：跟踪故障处理进展，及时向客户反馈处理结果，并记录故障处理过程和解决方案。</w:t>
      </w:r>
      <w:r/>
    </w:p>
    <w:p>
      <w:pPr>
        <w:numPr>
          <w:ilvl w:val="0"/>
          <w:numId w:val="7"/>
        </w:numPr>
        <w:jc w:val="left"/>
        <w:spacing w:line="360" w:lineRule="auto"/>
        <w:rPr>
          <w:bCs/>
          <w:sz w:val="24"/>
        </w:rPr>
      </w:pPr>
      <w:r>
        <w:rPr>
          <w:rFonts w:hint="eastAsia"/>
          <w:bCs/>
          <w:sz w:val="24"/>
        </w:rPr>
        <w:t xml:space="preserve">故障预防：分析故障原因，总结经验教训，提出改进建议，防止类似故障再次发生。</w:t>
      </w:r>
      <w:r/>
    </w:p>
    <w:p>
      <w:pPr>
        <w:numPr>
          <w:ilvl w:val="0"/>
          <w:numId w:val="7"/>
        </w:numPr>
        <w:jc w:val="left"/>
        <w:spacing w:line="360" w:lineRule="auto"/>
        <w:rPr>
          <w:bCs/>
          <w:sz w:val="24"/>
        </w:rPr>
      </w:pPr>
      <w:r>
        <w:rPr>
          <w:rFonts w:hint="eastAsia"/>
          <w:bCs/>
          <w:sz w:val="24"/>
        </w:rPr>
        <w:t xml:space="preserve">巡检维护：每年寒暑假开学前对云电脑硬件设备、网络环境、系统软件等进行巡检，记录巡检结果；不定期对各学校电脑使用情况进行抽检，及时发现并解决隐患。</w:t>
      </w:r>
      <w:r/>
    </w:p>
    <w:p>
      <w:pPr>
        <w:numPr>
          <w:ilvl w:val="0"/>
          <w:numId w:val="7"/>
        </w:numPr>
        <w:jc w:val="left"/>
        <w:spacing w:line="360" w:lineRule="auto"/>
        <w:rPr>
          <w:bCs/>
          <w:sz w:val="24"/>
        </w:rPr>
      </w:pPr>
      <w:r>
        <w:rPr>
          <w:rFonts w:hint="eastAsia"/>
          <w:bCs/>
          <w:sz w:val="24"/>
        </w:rPr>
        <w:t xml:space="preserve">数据备份：对云电脑镜像及各学校终端IP分配数据进行备份；</w:t>
      </w:r>
      <w:r/>
    </w:p>
    <w:p>
      <w:pPr>
        <w:numPr>
          <w:ilvl w:val="0"/>
          <w:numId w:val="7"/>
        </w:numPr>
        <w:jc w:val="left"/>
        <w:spacing w:line="360" w:lineRule="auto"/>
        <w:rPr>
          <w:bCs/>
          <w:sz w:val="24"/>
        </w:rPr>
      </w:pPr>
      <w:r>
        <w:rPr>
          <w:rFonts w:hint="eastAsia"/>
          <w:bCs/>
          <w:sz w:val="24"/>
        </w:rPr>
        <w:t xml:space="preserve">软件更新：及时更新云电脑系统镜像内的软件、驱动程序、安全补丁；</w:t>
      </w:r>
      <w:r/>
    </w:p>
    <w:p>
      <w:pPr>
        <w:numPr>
          <w:ilvl w:val="0"/>
          <w:numId w:val="7"/>
        </w:numPr>
        <w:jc w:val="left"/>
        <w:spacing w:line="360" w:lineRule="auto"/>
        <w:rPr>
          <w:bCs/>
          <w:sz w:val="24"/>
        </w:rPr>
      </w:pPr>
      <w:r>
        <w:rPr>
          <w:rFonts w:hint="eastAsia"/>
          <w:bCs/>
          <w:sz w:val="24"/>
        </w:rPr>
        <w:t xml:space="preserve">用户管理：负责云电脑用户账号IP分配、密码重置、系统下发、软件管理等工作。</w:t>
      </w:r>
      <w:r/>
    </w:p>
    <w:p>
      <w:pPr>
        <w:numPr>
          <w:ilvl w:val="0"/>
          <w:numId w:val="7"/>
        </w:numPr>
        <w:jc w:val="left"/>
        <w:spacing w:line="360" w:lineRule="auto"/>
        <w:rPr>
          <w:bCs/>
          <w:sz w:val="24"/>
        </w:rPr>
      </w:pPr>
      <w:r>
        <w:rPr>
          <w:rFonts w:hint="eastAsia"/>
          <w:bCs/>
          <w:sz w:val="24"/>
        </w:rPr>
        <w:t xml:space="preserve">用户培训：为云电脑用户提供操作培训，解答用户疑问，帮助用户熟练掌握云电脑使用方法。</w:t>
      </w:r>
      <w:r/>
    </w:p>
    <w:p>
      <w:pPr>
        <w:numPr>
          <w:ilvl w:val="0"/>
          <w:numId w:val="7"/>
        </w:numPr>
        <w:jc w:val="left"/>
        <w:spacing w:line="360" w:lineRule="auto"/>
        <w:rPr>
          <w:bCs/>
          <w:sz w:val="24"/>
        </w:rPr>
      </w:pPr>
      <w:r>
        <w:rPr>
          <w:rFonts w:hint="eastAsia"/>
          <w:bCs/>
          <w:sz w:val="24"/>
        </w:rPr>
        <w:t xml:space="preserve">技术咨询：为客户提供云电脑相关技术咨询服务，解答客户技术问题，提供解决方案。</w:t>
      </w:r>
      <w:r/>
    </w:p>
    <w:p>
      <w:pPr>
        <w:numPr>
          <w:ilvl w:val="0"/>
          <w:numId w:val="7"/>
        </w:numPr>
        <w:jc w:val="left"/>
        <w:spacing w:line="360" w:lineRule="auto"/>
        <w:rPr>
          <w:bCs/>
          <w:sz w:val="24"/>
        </w:rPr>
      </w:pPr>
      <w:r>
        <w:rPr>
          <w:rFonts w:hint="eastAsia"/>
          <w:bCs/>
          <w:sz w:val="24"/>
        </w:rPr>
        <w:t xml:space="preserve">方案制定：根据客户需求，协助制定云电脑系统镜像的升级方案。</w:t>
      </w:r>
      <w:r/>
    </w:p>
    <w:p>
      <w:pPr>
        <w:numPr>
          <w:ilvl w:val="0"/>
          <w:numId w:val="7"/>
        </w:numPr>
        <w:jc w:val="left"/>
        <w:spacing w:line="360" w:lineRule="auto"/>
        <w:rPr>
          <w:bCs/>
          <w:sz w:val="24"/>
        </w:rPr>
      </w:pPr>
      <w:r>
        <w:rPr>
          <w:rFonts w:hint="eastAsia"/>
          <w:bCs/>
          <w:sz w:val="24"/>
        </w:rPr>
        <w:t xml:space="preserve">项目实施：参与云电脑系统相关项目的实施工作，例如系统部署、应用测试等。</w:t>
      </w:r>
      <w:r/>
    </w:p>
    <w:p>
      <w:pPr>
        <w:numPr>
          <w:ilvl w:val="0"/>
          <w:numId w:val="7"/>
        </w:numPr>
        <w:jc w:val="left"/>
        <w:spacing w:line="360" w:lineRule="auto"/>
        <w:rPr>
          <w:bCs/>
          <w:sz w:val="24"/>
        </w:rPr>
      </w:pPr>
      <w:r>
        <w:rPr>
          <w:rFonts w:hint="eastAsia"/>
          <w:bCs/>
          <w:sz w:val="24"/>
        </w:rPr>
        <w:t xml:space="preserve">每次维护需要提供台账，每月生成月台账。台账包含相关维护的内容以及客户确认签字等。</w:t>
      </w:r>
      <w:r/>
    </w:p>
    <w:p>
      <w:pPr>
        <w:contextualSpacing/>
        <w:ind w:firstLine="480"/>
        <w:spacing w:line="360" w:lineRule="auto"/>
        <w:rPr>
          <w:bCs/>
          <w:sz w:val="24"/>
        </w:rPr>
      </w:pPr>
      <w:r>
        <w:rPr>
          <w:rFonts w:hint="eastAsia"/>
          <w:bCs/>
          <w:sz w:val="24"/>
        </w:rPr>
        <w:t xml:space="preserve">4、软件日常维护</w:t>
      </w:r>
      <w:r/>
    </w:p>
    <w:p>
      <w:pPr>
        <w:numPr>
          <w:ilvl w:val="0"/>
          <w:numId w:val="8"/>
        </w:numPr>
        <w:jc w:val="left"/>
        <w:spacing w:line="360" w:lineRule="auto"/>
        <w:rPr>
          <w:bCs/>
          <w:sz w:val="24"/>
        </w:rPr>
      </w:pPr>
      <w:r>
        <w:rPr>
          <w:bCs/>
          <w:sz w:val="24"/>
        </w:rPr>
        <w:t xml:space="preserve">聚焦系统运行的硬件环境、基础软件及网络支撑，确保底层架构稳定可靠，为上层业务运行提供坚实基础。</w:t>
      </w:r>
      <w:r/>
    </w:p>
    <w:p>
      <w:pPr>
        <w:numPr>
          <w:ilvl w:val="0"/>
          <w:numId w:val="8"/>
        </w:numPr>
        <w:jc w:val="left"/>
        <w:spacing w:line="360" w:lineRule="auto"/>
        <w:rPr>
          <w:bCs/>
          <w:sz w:val="24"/>
        </w:rPr>
      </w:pPr>
      <w:r>
        <w:rPr>
          <w:bCs/>
          <w:sz w:val="24"/>
        </w:rPr>
        <w:t xml:space="preserve">定期开展设备巡检（每月1次），检查设备运行状态（如服务器CPU使用率、内存占用、硬盘占用率等），及时处理异常问题。</w:t>
      </w:r>
      <w:r/>
    </w:p>
    <w:p>
      <w:pPr>
        <w:numPr>
          <w:ilvl w:val="0"/>
          <w:numId w:val="8"/>
        </w:numPr>
        <w:jc w:val="left"/>
        <w:spacing w:line="360" w:lineRule="auto"/>
        <w:rPr>
          <w:bCs/>
          <w:sz w:val="24"/>
        </w:rPr>
      </w:pPr>
      <w:r>
        <w:rPr>
          <w:bCs/>
          <w:sz w:val="24"/>
        </w:rPr>
        <w:t xml:space="preserve">基础软件维护，负责系统运行依赖的操作系统（Windows Server、Linux等）、数据库系统（MySQL、Oracle等）、中间件（Tomcat、Nginx等）的维护。</w:t>
      </w:r>
      <w:r/>
    </w:p>
    <w:p>
      <w:pPr>
        <w:numPr>
          <w:ilvl w:val="0"/>
          <w:numId w:val="8"/>
        </w:numPr>
        <w:jc w:val="left"/>
        <w:spacing w:line="360" w:lineRule="auto"/>
        <w:rPr>
          <w:bCs/>
          <w:sz w:val="24"/>
        </w:rPr>
      </w:pPr>
      <w:r>
        <w:rPr>
          <w:bCs/>
          <w:sz w:val="24"/>
        </w:rPr>
        <w:t xml:space="preserve">定期进行基础软件的补丁更新、版本升级（每季度1次），修复软件漏洞；优化数据库配置（如索引优化、查询语句优化），提升数据读写效率。</w:t>
      </w:r>
      <w:r/>
    </w:p>
    <w:p>
      <w:pPr>
        <w:numPr>
          <w:ilvl w:val="0"/>
          <w:numId w:val="8"/>
        </w:numPr>
        <w:jc w:val="left"/>
        <w:spacing w:line="360" w:lineRule="auto"/>
        <w:rPr>
          <w:bCs/>
          <w:sz w:val="24"/>
        </w:rPr>
      </w:pPr>
      <w:r>
        <w:rPr>
          <w:bCs/>
          <w:sz w:val="24"/>
        </w:rPr>
        <w:t xml:space="preserve">建立软件运行监控机制，实时监测软件进程、资源占用情况，及时处理软件崩溃、死锁等问题。</w:t>
      </w:r>
      <w:r/>
    </w:p>
    <w:p>
      <w:pPr>
        <w:numPr>
          <w:ilvl w:val="0"/>
          <w:numId w:val="8"/>
        </w:numPr>
        <w:jc w:val="left"/>
        <w:spacing w:line="360" w:lineRule="auto"/>
        <w:rPr>
          <w:rFonts w:hint="eastAsia" w:ascii="宋体" w:hAnsi="宋体" w:cs="宋体"/>
          <w:bCs/>
          <w:sz w:val="24"/>
        </w:rPr>
      </w:pPr>
      <w:r>
        <w:rPr>
          <w:bCs/>
          <w:sz w:val="24"/>
        </w:rPr>
        <w:t xml:space="preserve">配置网络安全策略，限制非法IP访问，防范网络攻击；定期检查网络连接状态，处理网络中断、丢包等问题，保障系统网络环境安全可靠。</w:t>
      </w:r>
      <w:r/>
    </w:p>
    <w:p>
      <w:pPr>
        <w:numPr>
          <w:ilvl w:val="0"/>
          <w:numId w:val="8"/>
        </w:numPr>
        <w:jc w:val="left"/>
        <w:spacing w:line="360" w:lineRule="auto"/>
        <w:rPr>
          <w:rFonts w:hint="eastAsia" w:ascii="宋体" w:hAnsi="宋体" w:cs="宋体"/>
          <w:bCs/>
          <w:sz w:val="24"/>
        </w:rPr>
      </w:pPr>
      <w:r>
        <w:rPr>
          <w:rFonts w:hint="eastAsia"/>
          <w:bCs/>
          <w:sz w:val="24"/>
        </w:rPr>
        <w:t xml:space="preserve">每次维护需要提供台账，每月生成月台账。台账包含相关维护的内容以及客户确认签字等。</w:t>
      </w:r>
      <w:r/>
    </w:p>
    <w:p>
      <w:pPr>
        <w:ind w:left="420"/>
        <w:jc w:val="left"/>
        <w:spacing w:line="360" w:lineRule="auto"/>
        <w:rPr>
          <w:rFonts w:hint="eastAsia" w:ascii="宋体" w:hAnsi="宋体" w:cs="宋体"/>
          <w:bCs/>
          <w:sz w:val="24"/>
        </w:rPr>
      </w:pPr>
      <w:r>
        <w:rPr>
          <w:rFonts w:hint="eastAsia" w:ascii="宋体" w:hAnsi="宋体" w:cs="宋体"/>
          <w:bCs/>
          <w:sz w:val="24"/>
        </w:rPr>
        <w:t xml:space="preserve">（四）维护维修响应时间要求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1、定期维护：维护单位定期到现场对系统进行全面巡查检修，针对发现的问题及时解决处理。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日常维修：维护单位需7*24小时的维护服务。使用单位工作人员如发现系统性故障等影响系统正常运行的异常情况，及时通知维护单位进行维修，维护单位需在接到正式报修通知后的2小时内响应，维护单位应在4小时内派相关工程师到现场进行维修，确保在12小时内排除故障，系统恢复正常运行。</w:t>
      </w:r>
      <w:r/>
    </w:p>
    <w:p>
      <w:pPr>
        <w:ind w:firstLine="480"/>
        <w:jc w:val="left"/>
        <w:spacing w:line="360" w:lineRule="auto"/>
        <w:rPr>
          <w:rFonts w:hint="eastAsia" w:ascii="宋体" w:hAnsi="宋体" w:cs="宋体"/>
          <w:bCs/>
          <w:sz w:val="24"/>
        </w:rPr>
      </w:pPr>
      <w:r>
        <w:rPr>
          <w:rFonts w:hint="eastAsia" w:ascii="宋体" w:hAnsi="宋体" w:cs="宋体"/>
          <w:bCs/>
          <w:sz w:val="24"/>
        </w:rPr>
        <w:t xml:space="preserve">3、突发情况处理：紧急情况需要在接到通知后的15分钟内响应，维护单位应在1小时内确定方案，在2小时内派相关人员到现场进行维修，严重情况单位领导需要到现场协助解决。</w:t>
      </w:r>
      <w:r/>
    </w:p>
    <w:p>
      <w:pPr>
        <w:ind w:firstLine="480"/>
        <w:jc w:val="left"/>
        <w:spacing w:line="360" w:lineRule="auto"/>
        <w:rPr>
          <w:bCs/>
          <w:sz w:val="24"/>
        </w:rPr>
      </w:pPr>
      <w:r>
        <w:rPr>
          <w:rFonts w:hint="eastAsia" w:ascii="宋体" w:hAnsi="宋体" w:cs="宋体"/>
          <w:bCs/>
          <w:sz w:val="24"/>
        </w:rPr>
        <w:t xml:space="preserve">4、</w:t>
      </w:r>
      <w:r>
        <w:rPr>
          <w:rFonts w:hint="eastAsia"/>
          <w:bCs/>
          <w:sz w:val="24"/>
        </w:rPr>
        <w:t xml:space="preserve">本项目前端监控设施、视频（含实时视频和录像）、图像、数据、各后端平台、后端硬件系统、机房各分项系统修复率应达到以下要求：①维护人员发现故障后，工作时间内4小时到达现场，一般故障8小时修复。</w:t>
      </w:r>
      <w:r/>
    </w:p>
    <w:p>
      <w:pPr>
        <w:ind w:firstLine="480"/>
        <w:jc w:val="left"/>
        <w:spacing w:line="360" w:lineRule="auto"/>
        <w:rPr>
          <w:b/>
          <w:sz w:val="24"/>
        </w:rPr>
      </w:pPr>
      <w:r>
        <w:rPr>
          <w:rFonts w:hint="eastAsia" w:ascii="宋体" w:hAnsi="宋体" w:cs="宋体"/>
          <w:bCs/>
          <w:sz w:val="24"/>
        </w:rPr>
        <w:t xml:space="preserve">5、人员及设施基本要求：因本项目需与武进公安点睛平台对接，需为武进公安提供免费驻场服务。</w:t>
      </w:r>
      <w:r/>
    </w:p>
    <w:p>
      <w:pPr>
        <w:ind w:left="420"/>
        <w:jc w:val="left"/>
        <w:spacing w:line="360" w:lineRule="auto"/>
        <w:rPr>
          <w:rFonts w:hint="eastAsia" w:ascii="宋体" w:hAnsi="宋体" w:cs="宋体"/>
          <w:bCs/>
          <w:sz w:val="24"/>
        </w:rPr>
      </w:pPr>
      <w:r>
        <w:rPr>
          <w:rFonts w:hint="eastAsia" w:ascii="宋体" w:hAnsi="宋体" w:cs="宋体"/>
          <w:bCs/>
          <w:sz w:val="24"/>
        </w:rPr>
        <w:t xml:space="preserve">（五）设备完好率要求</w:t>
      </w:r>
      <w:r/>
    </w:p>
    <w:p>
      <w:pPr>
        <w:contextualSpacing/>
        <w:ind w:firstLine="480"/>
        <w:spacing w:line="360" w:lineRule="auto"/>
        <w:rPr>
          <w:bCs/>
          <w:sz w:val="24"/>
        </w:rPr>
      </w:pPr>
      <w:r>
        <w:rPr>
          <w:rFonts w:hint="eastAsia"/>
          <w:bCs/>
          <w:sz w:val="24"/>
        </w:rPr>
        <w:t xml:space="preserve"> （1）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同一设备存在任一故障均视为设备不完好。</w:t>
      </w:r>
      <w:r/>
    </w:p>
    <w:p>
      <w:pPr>
        <w:contextualSpacing/>
        <w:ind w:firstLine="480"/>
        <w:spacing w:line="360" w:lineRule="auto"/>
        <w:rPr>
          <w:bCs/>
          <w:sz w:val="24"/>
        </w:rPr>
      </w:pPr>
      <w:r>
        <w:rPr>
          <w:rFonts w:hint="eastAsia"/>
          <w:bCs/>
          <w:sz w:val="24"/>
        </w:rPr>
        <w:t xml:space="preserve">本项目监控设施视频（含实时视频和录像）和图像、数据完好率应达到以下要求：①日完好率应不低于98%（完好监控相机设备数/监控相机设备总数）；②周完好率应不低于97%（日完好率平均值）；③月完好率和年完好率应不低于95%（周完好率平均值）。设备完好率达不到要求，采购人每次可视情况扣缴中标供应商违约金，每次扣缴中标供应商违约金不超过2000元。如因：火灾、肇事、道路施工及改造、停电、地震、特殊天气及不可抗力的第三方原因不计入考核率。</w:t>
      </w:r>
      <w:r/>
    </w:p>
    <w:p>
      <w:pPr>
        <w:contextualSpacing/>
        <w:ind w:firstLine="480"/>
        <w:spacing w:line="360" w:lineRule="auto"/>
        <w:rPr>
          <w:bCs/>
          <w:sz w:val="24"/>
        </w:rPr>
      </w:pPr>
      <w:r>
        <w:rPr>
          <w:rFonts w:hint="eastAsia"/>
          <w:bCs/>
          <w:sz w:val="24"/>
        </w:rPr>
        <w:t xml:space="preserve">本项目后端各业务平台、机房各类硬件系统、机房环境动力系统完好状态应达到以下要求：各系统平台年度累计故障时间不超过48小时，单次故障时间不超过8小时，累计故障次数不超过10次。</w:t>
      </w:r>
      <w:r/>
    </w:p>
    <w:p>
      <w:pPr>
        <w:pStyle w:val="1095"/>
        <w:ind w:firstLine="482"/>
        <w:spacing w:after="0" w:line="400" w:lineRule="exact"/>
        <w:rPr>
          <w:b/>
          <w:sz w:val="36"/>
          <w:szCs w:val="36"/>
        </w:rPr>
      </w:pPr>
      <w:r>
        <w:rPr>
          <w:rFonts w:hint="eastAsia"/>
          <w:b/>
          <w:sz w:val="24"/>
          <w:szCs w:val="22"/>
        </w:rPr>
        <w:t xml:space="preserve">三、最高限价：</w:t>
      </w:r>
      <w:r>
        <w:rPr>
          <w:rFonts w:hint="eastAsia"/>
          <w:bCs/>
          <w:sz w:val="24"/>
          <w:szCs w:val="22"/>
        </w:rPr>
        <w:t xml:space="preserve">213万元，投标单位报价不得超过总的最高限价，其中未定量部分还需满足单价不得超过采购人清单最高限价单价，否则作无效标处理。</w:t>
      </w:r>
      <w:bookmarkStart w:id="815" w:name="_Toc139400579"/>
      <w:r>
        <w:rPr>
          <w:b/>
          <w:sz w:val="36"/>
          <w:szCs w:val="36"/>
        </w:rPr>
        <w:br w:type="page" w:clear="all"/>
      </w:r>
      <w:r/>
    </w:p>
    <w:p>
      <w:pPr>
        <w:jc w:val="center"/>
        <w:spacing w:line="360" w:lineRule="auto"/>
        <w:rPr>
          <w:b/>
          <w:sz w:val="36"/>
          <w:szCs w:val="36"/>
        </w:rPr>
        <w:outlineLvl w:val="0"/>
      </w:pPr>
      <w:r>
        <w:rPr>
          <w:b/>
          <w:sz w:val="36"/>
          <w:szCs w:val="36"/>
        </w:rPr>
        <w:t xml:space="preserve">第六章   拟签订的合同文本</w:t>
      </w:r>
      <w:bookmarkEnd w:id="815"/>
      <w:r/>
      <w:r/>
    </w:p>
    <w:p>
      <w:pPr>
        <w:pStyle w:val="1088"/>
        <w:rPr>
          <w:rFonts w:hint="eastAsia" w:ascii="楷体_GB2312" w:eastAsia="楷体_GB2312"/>
          <w:szCs w:val="20"/>
          <w:lang w:val="zh-CN"/>
        </w:rPr>
      </w:pPr>
      <w:r/>
      <w:bookmarkStart w:id="816" w:name="_Toc139400580"/>
      <w:r/>
      <w:bookmarkStart w:id="817" w:name="_Toc152045611"/>
      <w:r/>
      <w:bookmarkStart w:id="818" w:name="_Toc237251277"/>
      <w:r/>
      <w:bookmarkStart w:id="819" w:name="_Toc152042389"/>
      <w:r/>
      <w:bookmarkStart w:id="820" w:name="_Toc179632629"/>
      <w:r/>
      <w:bookmarkStart w:id="821" w:name="_Toc144974579"/>
      <w:r/>
      <w:r/>
    </w:p>
    <w:p>
      <w:pPr>
        <w:ind w:firstLine="480"/>
        <w:spacing w:line="360" w:lineRule="auto"/>
        <w:tabs>
          <w:tab w:val="left" w:pos="7185" w:leader="none"/>
        </w:tabs>
        <w:rPr>
          <w:rFonts w:hint="eastAsia" w:ascii="宋体" w:hAnsi="宋体"/>
          <w:sz w:val="24"/>
        </w:rPr>
      </w:pPr>
      <w:r>
        <w:rPr>
          <w:rFonts w:hint="eastAsia" w:ascii="楷体_GB2312" w:eastAsia="楷体_GB2312"/>
          <w:sz w:val="24"/>
          <w:szCs w:val="20"/>
          <w:lang w:val="zh-CN"/>
        </w:rPr>
        <w:t xml:space="preserve"> </w:t>
      </w:r>
      <w:r>
        <w:rPr>
          <w:rFonts w:hint="eastAsia" w:ascii="宋体" w:hAnsi="宋体"/>
          <w:sz w:val="24"/>
        </w:rPr>
        <w:t xml:space="preserve">甲方：武进高新技术产业开发区创新发展中心</w:t>
      </w:r>
      <w:r/>
    </w:p>
    <w:p>
      <w:pPr>
        <w:ind w:firstLine="720"/>
        <w:spacing w:line="360" w:lineRule="auto"/>
        <w:rPr>
          <w:rFonts w:hint="eastAsia" w:ascii="宋体" w:hAnsi="宋体"/>
          <w:sz w:val="24"/>
        </w:rPr>
      </w:pPr>
      <w:r>
        <w:rPr>
          <w:rFonts w:hint="eastAsia" w:ascii="宋体" w:hAnsi="宋体"/>
          <w:sz w:val="24"/>
        </w:rPr>
        <w:t xml:space="preserve">乙方： </w:t>
      </w:r>
      <w:r/>
    </w:p>
    <w:p>
      <w:pPr>
        <w:ind w:firstLine="480"/>
        <w:spacing w:line="360" w:lineRule="auto"/>
        <w:rPr>
          <w:rFonts w:hint="eastAsia" w:ascii="宋体" w:hAnsi="宋体"/>
          <w:sz w:val="24"/>
        </w:rPr>
      </w:pPr>
      <w:r>
        <w:rPr>
          <w:rFonts w:hint="eastAsia" w:ascii="宋体" w:hAnsi="宋体"/>
          <w:sz w:val="24"/>
        </w:rPr>
        <w:t xml:space="preserve">根据《中华人民共和国政府采购法》、《中华人民共和国民法典》及其他有关法律、行政法规，遵循平等、自愿、公平和诚实信用的原则，</w:t>
      </w:r>
      <w:r>
        <w:rPr>
          <w:rFonts w:hint="eastAsia" w:ascii="宋体" w:hAnsi="宋体"/>
          <w:sz w:val="24"/>
          <w:u w:val="single"/>
        </w:rPr>
        <w:t xml:space="preserve">武进高新技术产业开发区创新发展中心</w:t>
      </w:r>
      <w:r>
        <w:rPr>
          <w:rFonts w:hint="eastAsia" w:ascii="宋体" w:hAnsi="宋体"/>
          <w:sz w:val="24"/>
        </w:rPr>
        <w:t xml:space="preserve">（甲方）就</w:t>
      </w:r>
      <w:r>
        <w:rPr>
          <w:rFonts w:hint="eastAsia" w:ascii="宋体" w:hAnsi="宋体"/>
          <w:sz w:val="24"/>
          <w:u w:val="single"/>
        </w:rPr>
        <w:t xml:space="preserve">武进国家高新区智慧园区信息化项目2026年度维护服务</w:t>
      </w:r>
      <w:r>
        <w:rPr>
          <w:rFonts w:hint="eastAsia" w:ascii="宋体" w:hAnsi="宋体"/>
          <w:sz w:val="24"/>
        </w:rPr>
        <w:t xml:space="preserve">委托</w:t>
      </w:r>
      <w:r>
        <w:rPr>
          <w:rFonts w:hint="eastAsia" w:ascii="宋体" w:hAnsi="宋体"/>
          <w:sz w:val="24"/>
          <w:u w:val="single"/>
        </w:rPr>
        <w:t xml:space="preserve">        （</w:t>
      </w:r>
      <w:r>
        <w:rPr>
          <w:rFonts w:hint="eastAsia" w:ascii="宋体" w:hAnsi="宋体"/>
          <w:sz w:val="24"/>
        </w:rPr>
        <w:t xml:space="preserve">乙方）进行维护、零星设施安装和指定设施维修，双方协商一致，订立本合同。</w:t>
      </w:r>
      <w:r/>
    </w:p>
    <w:p>
      <w:pPr>
        <w:ind w:firstLine="562"/>
        <w:spacing w:line="360" w:lineRule="auto"/>
        <w:rPr>
          <w:rFonts w:hint="eastAsia" w:ascii="宋体" w:hAnsi="宋体"/>
          <w:b/>
          <w:sz w:val="28"/>
          <w:szCs w:val="28"/>
        </w:rPr>
      </w:pPr>
      <w:r>
        <w:rPr>
          <w:rFonts w:hint="eastAsia" w:ascii="宋体" w:hAnsi="宋体"/>
          <w:b/>
          <w:sz w:val="28"/>
          <w:szCs w:val="28"/>
        </w:rPr>
        <w:t xml:space="preserve">一、</w:t>
      </w:r>
      <w:r>
        <w:rPr>
          <w:rFonts w:ascii="宋体" w:hAnsi="宋体"/>
          <w:b/>
          <w:sz w:val="28"/>
          <w:szCs w:val="28"/>
        </w:rPr>
        <w:t xml:space="preserve">工程概况</w:t>
      </w:r>
      <w:r/>
    </w:p>
    <w:p>
      <w:pPr>
        <w:ind w:firstLine="480"/>
        <w:spacing w:line="360" w:lineRule="auto"/>
        <w:rPr>
          <w:rFonts w:hint="eastAsia" w:ascii="宋体" w:hAnsi="宋体"/>
          <w:sz w:val="24"/>
        </w:rPr>
      </w:pPr>
      <w:r>
        <w:rPr>
          <w:rFonts w:ascii="宋体" w:hAnsi="宋体"/>
          <w:sz w:val="24"/>
        </w:rPr>
        <w:t xml:space="preserve">工程名称：</w:t>
      </w:r>
      <w:r>
        <w:rPr>
          <w:rFonts w:hint="eastAsia" w:ascii="宋体" w:hAnsi="宋体"/>
          <w:sz w:val="24"/>
        </w:rPr>
        <w:t xml:space="preserve">武进国家高新区智慧园区信息化项目2026年度维护服务</w:t>
      </w:r>
      <w:r/>
    </w:p>
    <w:p>
      <w:pPr>
        <w:ind w:firstLine="480"/>
        <w:spacing w:line="360" w:lineRule="auto"/>
        <w:rPr>
          <w:rFonts w:hint="eastAsia" w:ascii="宋体" w:hAnsi="宋体"/>
          <w:sz w:val="24"/>
        </w:rPr>
      </w:pPr>
      <w:r>
        <w:rPr>
          <w:rFonts w:ascii="宋体" w:hAnsi="宋体"/>
          <w:sz w:val="24"/>
        </w:rPr>
        <w:t xml:space="preserve">工程地点：武进高新区</w:t>
      </w:r>
      <w:r>
        <w:rPr>
          <w:rFonts w:hint="eastAsia" w:ascii="宋体" w:hAnsi="宋体"/>
          <w:sz w:val="24"/>
        </w:rPr>
        <w:t xml:space="preserve">行政区域范围内</w:t>
      </w:r>
      <w:r/>
    </w:p>
    <w:p>
      <w:pPr>
        <w:ind w:firstLine="480"/>
        <w:spacing w:line="360" w:lineRule="auto"/>
        <w:rPr>
          <w:rFonts w:hint="eastAsia" w:ascii="宋体" w:hAnsi="宋体"/>
          <w:sz w:val="24"/>
        </w:rPr>
      </w:pPr>
      <w:r>
        <w:rPr>
          <w:rFonts w:ascii="宋体" w:hAnsi="宋体"/>
          <w:sz w:val="24"/>
        </w:rPr>
        <w:t xml:space="preserve">工程内容：</w:t>
      </w:r>
      <w:r>
        <w:rPr>
          <w:rFonts w:hint="eastAsia" w:ascii="宋体" w:hAnsi="宋体"/>
          <w:sz w:val="24"/>
        </w:rPr>
        <w:t xml:space="preserve">按照招标内容负责武进国家高新区智慧园区信息化项目2026年度维护服务。</w:t>
      </w:r>
      <w:r/>
    </w:p>
    <w:p>
      <w:pPr>
        <w:ind w:firstLine="562"/>
        <w:spacing w:line="360" w:lineRule="auto"/>
        <w:rPr>
          <w:rFonts w:hint="eastAsia" w:ascii="宋体" w:hAnsi="宋体"/>
          <w:b/>
          <w:sz w:val="28"/>
          <w:szCs w:val="28"/>
        </w:rPr>
      </w:pPr>
      <w:r>
        <w:rPr>
          <w:rFonts w:hint="eastAsia" w:ascii="宋体" w:hAnsi="宋体"/>
          <w:b/>
          <w:sz w:val="28"/>
          <w:szCs w:val="28"/>
        </w:rPr>
        <w:t xml:space="preserve">二、工期、价款与付款</w:t>
      </w:r>
      <w:r/>
    </w:p>
    <w:p>
      <w:pPr>
        <w:ind w:firstLine="480"/>
        <w:spacing w:line="360" w:lineRule="auto"/>
        <w:rPr>
          <w:rFonts w:hint="eastAsia" w:ascii="宋体" w:hAnsi="宋体"/>
          <w:sz w:val="24"/>
        </w:rPr>
      </w:pPr>
      <w:r>
        <w:rPr>
          <w:rFonts w:hint="eastAsia" w:ascii="宋体" w:hAnsi="宋体"/>
          <w:sz w:val="24"/>
        </w:rPr>
        <w:t xml:space="preserve">合同工期：根据各固定部分维护清单期限</w:t>
      </w:r>
      <w:r/>
    </w:p>
    <w:p>
      <w:pPr>
        <w:ind w:firstLine="480"/>
        <w:spacing w:line="360" w:lineRule="auto"/>
        <w:rPr>
          <w:rFonts w:hint="eastAsia" w:ascii="宋体" w:hAnsi="宋体"/>
          <w:sz w:val="24"/>
          <w:u w:val="single"/>
        </w:rPr>
      </w:pPr>
      <w:r>
        <w:rPr>
          <w:rFonts w:hint="eastAsia" w:ascii="宋体" w:hAnsi="宋体"/>
          <w:sz w:val="24"/>
        </w:rPr>
        <w:t xml:space="preserve">价    款：</w:t>
      </w:r>
      <w:r>
        <w:rPr>
          <w:rFonts w:hint="eastAsia" w:ascii="宋体" w:hAnsi="宋体"/>
          <w:sz w:val="24"/>
          <w:u w:val="single"/>
        </w:rPr>
        <w:t xml:space="preserve">固定部分维护费为人民币</w:t>
      </w:r>
      <w:r>
        <w:rPr>
          <w:rFonts w:ascii="宋体" w:hAnsi="宋体"/>
          <w:sz w:val="24"/>
          <w:u w:val="single"/>
        </w:rPr>
        <w:t xml:space="preserve">    </w:t>
      </w:r>
      <w:r>
        <w:rPr>
          <w:rFonts w:hint="eastAsia" w:ascii="宋体" w:hAnsi="宋体"/>
          <w:sz w:val="24"/>
          <w:u w:val="single"/>
        </w:rPr>
        <w:t xml:space="preserve"> （大写）</w:t>
      </w:r>
      <w:r>
        <w:rPr>
          <w:rFonts w:hint="eastAsia" w:ascii="宋体" w:hAnsi="宋体" w:cs="楷体"/>
          <w:sz w:val="24"/>
          <w:u w:val="single"/>
        </w:rPr>
        <w:t xml:space="preserve">（￥     元）；</w:t>
      </w:r>
      <w:r>
        <w:rPr>
          <w:rFonts w:hint="eastAsia" w:ascii="宋体" w:hAnsi="宋体"/>
          <w:sz w:val="24"/>
          <w:u w:val="single"/>
        </w:rPr>
        <w:t xml:space="preserve">未定量部分运营维护费按照甲方认可后的方案完成运维服务后，按审定运维工作量*未定量部分最终清单报价表中的全费用综合单价结算（单价报价表详见附件）</w:t>
      </w:r>
      <w:r/>
    </w:p>
    <w:p>
      <w:pPr>
        <w:spacing w:line="360" w:lineRule="auto"/>
        <w:rPr>
          <w:rFonts w:hint="eastAsia" w:ascii="宋体" w:hAnsi="宋体"/>
          <w:sz w:val="24"/>
        </w:rPr>
      </w:pPr>
      <w:r>
        <w:rPr>
          <w:rFonts w:hint="eastAsia" w:ascii="宋体" w:hAnsi="宋体"/>
          <w:sz w:val="24"/>
        </w:rPr>
        <w:t xml:space="preserve">日常维护设备如在设备、配件等在质保期内由乙方负责拆装并与生产厂家联系，进行质保，不计取任何费用；如设施设备过质保期，则按照市场价格（经审计审定）计取设备费用，拆装费用不计；如遇合同外零星项目，实施前由乙方根跟踪审计单位进行现场跟踪实施后在上报签证和结算。</w:t>
      </w:r>
      <w:r/>
    </w:p>
    <w:p>
      <w:pPr>
        <w:ind w:firstLine="480"/>
        <w:spacing w:line="360" w:lineRule="auto"/>
        <w:rPr>
          <w:rFonts w:hint="eastAsia" w:ascii="宋体" w:hAnsi="宋体"/>
          <w:sz w:val="24"/>
        </w:rPr>
      </w:pPr>
      <w:r>
        <w:rPr>
          <w:rFonts w:hint="eastAsia" w:ascii="宋体" w:hAnsi="宋体"/>
          <w:sz w:val="24"/>
        </w:rPr>
        <w:t xml:space="preserve">付款：合同签订之日起一个月内，甲方向乙方支付项目预付款，即合同价的10%，平台固定维护费用在维护服务结束后支付，未定量部分运营维护费按照甲方认可后的方案完成运维服务后，按审定运维工作量*未定量部分最终清单报价表中的全费用综合单价结算。</w:t>
      </w:r>
      <w:r/>
    </w:p>
    <w:p>
      <w:pPr>
        <w:ind w:right="210" w:firstLine="562"/>
        <w:jc w:val="left"/>
        <w:spacing w:line="360" w:lineRule="auto"/>
        <w:rPr>
          <w:rFonts w:hint="eastAsia" w:ascii="宋体" w:hAnsi="宋体"/>
          <w:b/>
          <w:bCs/>
          <w:sz w:val="28"/>
          <w:szCs w:val="28"/>
        </w:rPr>
      </w:pPr>
      <w:r>
        <w:rPr>
          <w:rFonts w:hint="eastAsia" w:ascii="宋体" w:hAnsi="宋体"/>
          <w:b/>
          <w:bCs/>
          <w:sz w:val="28"/>
          <w:szCs w:val="28"/>
        </w:rPr>
        <w:t xml:space="preserve">三、运维要求</w:t>
      </w:r>
      <w:r/>
    </w:p>
    <w:p>
      <w:pPr>
        <w:ind w:firstLine="482"/>
        <w:jc w:val="left"/>
        <w:spacing w:line="360" w:lineRule="auto"/>
        <w:rPr>
          <w:rFonts w:hint="eastAsia" w:ascii="宋体" w:hAnsi="宋体"/>
          <w:b/>
          <w:bCs/>
          <w:sz w:val="24"/>
        </w:rPr>
      </w:pPr>
      <w:r>
        <w:rPr>
          <w:rFonts w:hint="eastAsia" w:ascii="宋体" w:hAnsi="宋体"/>
          <w:b/>
          <w:bCs/>
          <w:sz w:val="24"/>
        </w:rPr>
        <w:t xml:space="preserve">1、兼容性要求：</w:t>
      </w:r>
      <w:r/>
    </w:p>
    <w:p>
      <w:pPr>
        <w:ind w:firstLine="480"/>
        <w:jc w:val="left"/>
        <w:spacing w:line="360" w:lineRule="auto"/>
        <w:rPr>
          <w:rFonts w:hint="eastAsia" w:ascii="宋体" w:hAnsi="宋体"/>
          <w:sz w:val="24"/>
        </w:rPr>
      </w:pPr>
      <w:r>
        <w:rPr>
          <w:rFonts w:hint="eastAsia" w:ascii="宋体" w:hAnsi="宋体"/>
          <w:sz w:val="24"/>
        </w:rPr>
        <w:t xml:space="preserve">（1）本项目的高新区物联网设备应满足可以完全接入或管理所有高新区物联网现有各型号录像机、摄像机、终端服务器、嵌入式控制设备。</w:t>
      </w:r>
      <w:r/>
    </w:p>
    <w:p>
      <w:pPr>
        <w:ind w:firstLine="480"/>
        <w:jc w:val="left"/>
        <w:spacing w:line="360" w:lineRule="auto"/>
        <w:rPr>
          <w:rFonts w:hint="eastAsia" w:ascii="宋体" w:hAnsi="宋体"/>
          <w:sz w:val="24"/>
        </w:rPr>
      </w:pPr>
      <w:r>
        <w:rPr>
          <w:rFonts w:hint="eastAsia" w:ascii="宋体" w:hAnsi="宋体"/>
          <w:sz w:val="24"/>
        </w:rPr>
        <w:t xml:space="preserve">（2）本项目的公安网设备应满足可以完全接入或管理管理所有公安网网现有各型号录像机、摄像机、终端服务器、嵌入式控制设备。</w:t>
      </w:r>
      <w:r/>
    </w:p>
    <w:p>
      <w:pPr>
        <w:ind w:firstLine="480"/>
        <w:jc w:val="left"/>
        <w:spacing w:line="360" w:lineRule="auto"/>
        <w:rPr>
          <w:rFonts w:hint="eastAsia" w:ascii="宋体" w:hAnsi="宋体"/>
          <w:sz w:val="24"/>
        </w:rPr>
      </w:pPr>
      <w:r>
        <w:rPr>
          <w:rFonts w:hint="eastAsia" w:ascii="宋体" w:hAnsi="宋体"/>
          <w:sz w:val="24"/>
        </w:rPr>
        <w:t xml:space="preserve">（3）前端终端服务器无论利旧或新建均支持全部前端在用的各型号监控设备（不论何厂商）数据缓存、图像拼接、违法数据生成和图像数据转发功能。</w:t>
      </w:r>
      <w:r/>
    </w:p>
    <w:p>
      <w:pPr>
        <w:ind w:firstLine="480"/>
        <w:jc w:val="left"/>
        <w:spacing w:line="360" w:lineRule="auto"/>
        <w:rPr>
          <w:rFonts w:hint="eastAsia" w:ascii="宋体" w:hAnsi="宋体"/>
          <w:sz w:val="24"/>
        </w:rPr>
      </w:pPr>
      <w:r>
        <w:rPr>
          <w:rFonts w:hint="eastAsia" w:ascii="宋体" w:hAnsi="宋体"/>
          <w:sz w:val="24"/>
        </w:rPr>
        <w:t xml:space="preserve">（4）平台支持各厂商视频设备、人车物结构化抓拍或分析设备接入、转发和平台自身业务应用，各类视频数据接入均保证符合主流技术标准要求的时间和质量特性。</w:t>
      </w:r>
      <w:r/>
    </w:p>
    <w:p>
      <w:pPr>
        <w:ind w:firstLine="480"/>
        <w:jc w:val="left"/>
        <w:spacing w:line="360" w:lineRule="auto"/>
        <w:rPr>
          <w:rFonts w:hint="eastAsia" w:ascii="宋体" w:hAnsi="宋体"/>
          <w:sz w:val="24"/>
        </w:rPr>
      </w:pPr>
      <w:r>
        <w:rPr>
          <w:rFonts w:hint="eastAsia" w:ascii="宋体" w:hAnsi="宋体"/>
          <w:sz w:val="24"/>
        </w:rPr>
        <w:t xml:space="preserve">（5）本项目配套的电子政务外网平台、互联网平台、高新区物联网平台接入第三方数据应满足数据接入、清洗、存储和转发全流程稳定、高效的要求；同时支持项目建设单位提出的数据接入、清洗、存储和转发定制要求，在项目质保期内提供新增数据的接入、清洗、存储和转发需求，提供已接入数据调整、定制需求。</w:t>
      </w:r>
      <w:r/>
    </w:p>
    <w:p>
      <w:pPr>
        <w:contextualSpacing/>
        <w:ind w:firstLine="482"/>
        <w:spacing w:line="360" w:lineRule="auto"/>
        <w:rPr>
          <w:rFonts w:hint="eastAsia" w:ascii="宋体" w:hAnsi="宋体" w:cs="宋体"/>
          <w:bCs/>
          <w:sz w:val="24"/>
        </w:rPr>
      </w:pPr>
      <w:r>
        <w:rPr>
          <w:rFonts w:hint="eastAsia"/>
          <w:b/>
          <w:sz w:val="24"/>
        </w:rPr>
        <w:t xml:space="preserve">2、</w:t>
      </w:r>
      <w:r>
        <w:rPr>
          <w:rFonts w:hint="eastAsia" w:ascii="宋体" w:hAnsi="宋体" w:cs="宋体"/>
          <w:b/>
          <w:sz w:val="24"/>
        </w:rPr>
        <w:t xml:space="preserve">监控日常维护</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包括：监控线路维护、中心设备维护、摄像机维护等，确保整个系统的正常运行。所需要的人员费用（排查、维修、更换等维保人工）均由中标人负责</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（1）信号线路、供电线路的检测、故障排除、隐患排查。</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（2）所有接口、线路接口的焊点的检测、视频头的更换等。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（3）监控系统前端摄像机的维护、位置调整、设备维修及更换、故障排除等。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（4）监控主机及其他智能化设备检测、设备除尘、系统维护、设备维护、故障排除等。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（5）监控软件检测、软件升级、软件维护、数据备份、故障排除等。</w:t>
      </w:r>
      <w:r/>
    </w:p>
    <w:p>
      <w:pPr>
        <w:ind w:firstLine="480"/>
        <w:jc w:val="left"/>
        <w:spacing w:line="360" w:lineRule="auto"/>
        <w:rPr>
          <w:rFonts w:hint="eastAsia" w:ascii="宋体" w:hAnsi="宋体" w:cs="宋体"/>
          <w:bCs/>
          <w:sz w:val="24"/>
        </w:rPr>
      </w:pPr>
      <w:r>
        <w:rPr>
          <w:rFonts w:hint="eastAsia" w:ascii="宋体" w:hAnsi="宋体" w:cs="宋体"/>
          <w:bCs/>
          <w:sz w:val="24"/>
        </w:rPr>
        <w:t xml:space="preserve">（6）对于不能正常运行的老化性损坏设备及时更换，更换的设备由招标人提供，维护单位只负责安装与维护。</w:t>
      </w:r>
      <w:r/>
    </w:p>
    <w:p>
      <w:pPr>
        <w:ind w:firstLine="480"/>
        <w:jc w:val="left"/>
        <w:spacing w:line="360" w:lineRule="auto"/>
        <w:rPr>
          <w:rFonts w:hint="eastAsia" w:ascii="宋体" w:hAnsi="宋体" w:cs="宋体"/>
          <w:bCs/>
          <w:sz w:val="24"/>
        </w:rPr>
      </w:pPr>
      <w:r>
        <w:rPr>
          <w:rFonts w:hint="eastAsia" w:ascii="宋体" w:hAnsi="宋体" w:cs="宋体"/>
          <w:bCs/>
          <w:sz w:val="24"/>
        </w:rPr>
        <w:t xml:space="preserve">（7）所有设备做好基础信息采集、更新工作。</w:t>
      </w:r>
      <w:r/>
    </w:p>
    <w:p>
      <w:pPr>
        <w:ind w:firstLine="480"/>
        <w:jc w:val="left"/>
        <w:spacing w:line="360" w:lineRule="auto"/>
        <w:rPr>
          <w:rFonts w:hint="eastAsia" w:ascii="宋体" w:hAnsi="宋体" w:cs="宋体"/>
          <w:bCs/>
          <w:sz w:val="24"/>
        </w:rPr>
      </w:pPr>
      <w:r>
        <w:rPr>
          <w:rFonts w:hint="eastAsia" w:ascii="宋体" w:hAnsi="宋体" w:cs="宋体"/>
          <w:bCs/>
          <w:sz w:val="24"/>
        </w:rPr>
        <w:t xml:space="preserve">（8）对重大安保活动及其它特殊情况，提供实时技术保障，确保重大安保活动及其它特殊情况时设备的完好使用。</w:t>
      </w:r>
      <w:r/>
    </w:p>
    <w:p>
      <w:pPr>
        <w:ind w:firstLine="480"/>
        <w:jc w:val="left"/>
        <w:spacing w:line="360" w:lineRule="auto"/>
        <w:rPr>
          <w:rFonts w:hint="eastAsia" w:ascii="宋体" w:hAnsi="宋体" w:cs="宋体"/>
          <w:bCs/>
          <w:sz w:val="24"/>
        </w:rPr>
      </w:pPr>
      <w:r>
        <w:rPr>
          <w:rFonts w:hint="eastAsia" w:ascii="宋体" w:hAnsi="宋体" w:cs="宋体"/>
          <w:bCs/>
          <w:sz w:val="24"/>
        </w:rPr>
        <w:t xml:space="preserve">（9）网络设备：每半年检查交换机、路由器的固件版本，升级至稳定版本；测试冗余链路切换功能（如主备光纤链路）。</w:t>
      </w:r>
      <w:r/>
    </w:p>
    <w:p>
      <w:pPr>
        <w:ind w:firstLine="480"/>
        <w:jc w:val="left"/>
        <w:spacing w:line="360" w:lineRule="auto"/>
        <w:rPr>
          <w:rFonts w:ascii="Segoe UI" w:hAnsi="Segoe UI" w:cs="Segoe UI"/>
          <w:sz w:val="24"/>
          <w:shd w:val="clear" w:color="auto" w:fill="ffffff"/>
        </w:rPr>
      </w:pPr>
      <w:r>
        <w:rPr>
          <w:rFonts w:hint="eastAsia" w:ascii="宋体" w:hAnsi="宋体" w:cs="宋体"/>
          <w:bCs/>
          <w:sz w:val="24"/>
        </w:rPr>
        <w:t xml:space="preserve">（10）每季度打开机箱清理内部灰尘，检查内存条、硬盘接口是否松动；每年更换服务器电源风扇（避免老化导致散热不良）。对存储</w:t>
      </w:r>
      <w:r>
        <w:rPr>
          <w:rFonts w:ascii="Segoe UI" w:hAnsi="Segoe UI" w:eastAsia="Segoe UI" w:cs="Segoe UI"/>
          <w:sz w:val="24"/>
          <w:shd w:val="clear" w:color="auto" w:fill="ffffff"/>
        </w:rPr>
        <w:t xml:space="preserve">设备进行磁盘健康检测（SMART 检测）</w:t>
      </w:r>
      <w:r>
        <w:rPr>
          <w:rFonts w:hint="eastAsia" w:ascii="Segoe UI" w:hAnsi="Segoe UI" w:cs="Segoe UI"/>
          <w:sz w:val="24"/>
          <w:shd w:val="clear" w:color="auto" w:fill="ffffff"/>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11）损坏设备维修更换，必须征得甲方（或甲方指定使用方）同意并书面确定，其费用由甲方承担，审计结算：甲方要求的零星监控点位增加、市政拆迁、道路改造引起的迁移、改造费用、依照不定量清单价格审计结算。</w:t>
      </w:r>
      <w:r/>
    </w:p>
    <w:p>
      <w:pPr>
        <w:ind w:firstLine="480"/>
        <w:jc w:val="left"/>
        <w:spacing w:line="360" w:lineRule="auto"/>
        <w:rPr>
          <w:bCs/>
          <w:sz w:val="24"/>
        </w:rPr>
      </w:pPr>
      <w:r>
        <w:rPr>
          <w:rFonts w:hint="eastAsia" w:ascii="宋体" w:hAnsi="宋体" w:cs="宋体"/>
          <w:bCs/>
          <w:sz w:val="24"/>
        </w:rPr>
        <w:t xml:space="preserve">（12）发生</w:t>
      </w:r>
      <w:r>
        <w:rPr>
          <w:rFonts w:hint="eastAsia"/>
          <w:bCs/>
          <w:sz w:val="24"/>
        </w:rPr>
        <w:t xml:space="preserve">火灾、肇事、道路施工及改造、停电、地震、特殊天气及不可抗力的第三方原因导致设备损坏及线路损坏，更换费用由甲方承担。</w:t>
      </w:r>
      <w:r/>
    </w:p>
    <w:p>
      <w:pPr>
        <w:contextualSpacing/>
        <w:ind w:firstLine="482"/>
        <w:spacing w:line="360" w:lineRule="auto"/>
        <w:rPr>
          <w:b/>
          <w:sz w:val="24"/>
        </w:rPr>
      </w:pPr>
      <w:r>
        <w:rPr>
          <w:rFonts w:hint="eastAsia"/>
          <w:b/>
          <w:sz w:val="24"/>
        </w:rPr>
        <w:t xml:space="preserve">3、云桌面日常维护</w:t>
      </w:r>
      <w:r/>
    </w:p>
    <w:p>
      <w:pPr>
        <w:ind w:left="630"/>
        <w:jc w:val="left"/>
        <w:spacing w:line="360" w:lineRule="auto"/>
        <w:rPr>
          <w:bCs/>
          <w:sz w:val="24"/>
        </w:rPr>
      </w:pPr>
      <w:r>
        <w:rPr>
          <w:rFonts w:hint="eastAsia"/>
          <w:bCs/>
          <w:sz w:val="24"/>
        </w:rPr>
        <w:t xml:space="preserve">（1）故障受理：及时响应客户报修；</w:t>
      </w:r>
      <w:r/>
    </w:p>
    <w:p>
      <w:pPr>
        <w:ind w:left="630"/>
        <w:jc w:val="left"/>
        <w:spacing w:line="360" w:lineRule="auto"/>
        <w:rPr>
          <w:bCs/>
          <w:sz w:val="24"/>
        </w:rPr>
      </w:pPr>
      <w:r>
        <w:rPr>
          <w:rFonts w:hint="eastAsia"/>
          <w:bCs/>
          <w:sz w:val="24"/>
        </w:rPr>
        <w:t xml:space="preserve">（2）故障诊断：快速定位故障原因，判断故障类型（硬件故障、软件故障、网络故障等）。</w:t>
      </w:r>
      <w:r/>
    </w:p>
    <w:p>
      <w:pPr>
        <w:ind w:left="630"/>
        <w:jc w:val="left"/>
        <w:spacing w:line="360" w:lineRule="auto"/>
        <w:rPr>
          <w:bCs/>
          <w:sz w:val="24"/>
        </w:rPr>
      </w:pPr>
      <w:r>
        <w:rPr>
          <w:rFonts w:hint="eastAsia"/>
          <w:bCs/>
          <w:sz w:val="24"/>
        </w:rPr>
        <w:t xml:space="preserve">（3）故障处理：根据故障类型，采取相应的处理措施，例如重启服务、修复系统等，尽快恢复系统正常运行。</w:t>
      </w:r>
      <w:r/>
    </w:p>
    <w:p>
      <w:pPr>
        <w:ind w:left="630"/>
        <w:jc w:val="left"/>
        <w:spacing w:line="360" w:lineRule="auto"/>
        <w:rPr>
          <w:bCs/>
          <w:sz w:val="24"/>
        </w:rPr>
      </w:pPr>
      <w:r>
        <w:rPr>
          <w:rFonts w:hint="eastAsia"/>
          <w:bCs/>
          <w:sz w:val="24"/>
        </w:rPr>
        <w:t xml:space="preserve">（4）故障跟踪：跟踪故障处理进展，及时向客户反馈处理结果，并记录故障处理过程和解决方案。</w:t>
      </w:r>
      <w:r/>
    </w:p>
    <w:p>
      <w:pPr>
        <w:ind w:left="630"/>
        <w:jc w:val="left"/>
        <w:spacing w:line="360" w:lineRule="auto"/>
        <w:rPr>
          <w:bCs/>
          <w:sz w:val="24"/>
        </w:rPr>
      </w:pPr>
      <w:r>
        <w:rPr>
          <w:rFonts w:hint="eastAsia"/>
          <w:bCs/>
          <w:sz w:val="24"/>
        </w:rPr>
        <w:t xml:space="preserve">（5）故障预防：分析故障原因，总结经验教训，提出改进建议，防止类似故障再次发生。</w:t>
      </w:r>
      <w:r/>
    </w:p>
    <w:p>
      <w:pPr>
        <w:ind w:left="630"/>
        <w:jc w:val="left"/>
        <w:spacing w:line="360" w:lineRule="auto"/>
        <w:rPr>
          <w:bCs/>
          <w:sz w:val="24"/>
        </w:rPr>
      </w:pPr>
      <w:r>
        <w:rPr>
          <w:rFonts w:hint="eastAsia"/>
          <w:bCs/>
          <w:sz w:val="24"/>
        </w:rPr>
        <w:t xml:space="preserve">（6）巡检维护：每年寒暑假开学前对云电脑硬件设备、网络环境、系统软件等进行巡检，记录巡检结果；不定期对各学校电脑使用情况进行抽检，及时发现并解决隐患。</w:t>
      </w:r>
      <w:r/>
    </w:p>
    <w:p>
      <w:pPr>
        <w:ind w:left="630"/>
        <w:jc w:val="left"/>
        <w:spacing w:line="360" w:lineRule="auto"/>
        <w:rPr>
          <w:bCs/>
          <w:sz w:val="24"/>
        </w:rPr>
      </w:pPr>
      <w:r>
        <w:rPr>
          <w:rFonts w:hint="eastAsia"/>
          <w:bCs/>
          <w:sz w:val="24"/>
        </w:rPr>
        <w:t xml:space="preserve">（7）数据备份：对云电脑镜像及各学校终端IP分配数据进行备份；</w:t>
      </w:r>
      <w:r/>
    </w:p>
    <w:p>
      <w:pPr>
        <w:ind w:left="630"/>
        <w:jc w:val="left"/>
        <w:spacing w:line="360" w:lineRule="auto"/>
        <w:rPr>
          <w:bCs/>
          <w:sz w:val="24"/>
        </w:rPr>
      </w:pPr>
      <w:r>
        <w:rPr>
          <w:rFonts w:hint="eastAsia"/>
          <w:bCs/>
          <w:sz w:val="24"/>
        </w:rPr>
        <w:t xml:space="preserve">（8）软件更新：及时更新云电脑系统镜像内的软件、驱动程序、安全补丁；</w:t>
      </w:r>
      <w:r/>
    </w:p>
    <w:p>
      <w:pPr>
        <w:ind w:left="630"/>
        <w:jc w:val="left"/>
        <w:spacing w:line="360" w:lineRule="auto"/>
        <w:rPr>
          <w:bCs/>
          <w:sz w:val="24"/>
        </w:rPr>
      </w:pPr>
      <w:r>
        <w:rPr>
          <w:rFonts w:hint="eastAsia"/>
          <w:bCs/>
          <w:sz w:val="24"/>
        </w:rPr>
        <w:t xml:space="preserve">（9）用户管理：负责云电脑用户账号IP分配、密码重置、系统下发、软件管理等工作。</w:t>
      </w:r>
      <w:r/>
    </w:p>
    <w:p>
      <w:pPr>
        <w:ind w:left="630"/>
        <w:jc w:val="left"/>
        <w:spacing w:line="360" w:lineRule="auto"/>
        <w:rPr>
          <w:bCs/>
          <w:sz w:val="24"/>
        </w:rPr>
      </w:pPr>
      <w:r>
        <w:rPr>
          <w:rFonts w:hint="eastAsia"/>
          <w:bCs/>
          <w:sz w:val="24"/>
        </w:rPr>
        <w:t xml:space="preserve">（10）用户培训：为云电脑用户提供操作培训，解答用户疑问，帮助用户熟练掌握云电脑使用方法。</w:t>
      </w:r>
      <w:r/>
    </w:p>
    <w:p>
      <w:pPr>
        <w:ind w:left="630"/>
        <w:jc w:val="left"/>
        <w:spacing w:line="360" w:lineRule="auto"/>
        <w:rPr>
          <w:bCs/>
          <w:sz w:val="24"/>
        </w:rPr>
      </w:pPr>
      <w:r>
        <w:rPr>
          <w:rFonts w:hint="eastAsia"/>
          <w:bCs/>
          <w:sz w:val="24"/>
        </w:rPr>
        <w:t xml:space="preserve">（11）技术咨询：为客户提供云电脑相关技术咨询服务，解答客户技术问题，提供解决方案。</w:t>
      </w:r>
      <w:r/>
    </w:p>
    <w:p>
      <w:pPr>
        <w:ind w:left="630"/>
        <w:jc w:val="left"/>
        <w:spacing w:line="360" w:lineRule="auto"/>
        <w:rPr>
          <w:bCs/>
          <w:sz w:val="24"/>
        </w:rPr>
      </w:pPr>
      <w:r>
        <w:rPr>
          <w:rFonts w:hint="eastAsia"/>
          <w:bCs/>
          <w:sz w:val="24"/>
        </w:rPr>
        <w:t xml:space="preserve">（12）方案制定：根据客户需求，协助制定云电脑系统镜像的升级方案。</w:t>
      </w:r>
      <w:r/>
    </w:p>
    <w:p>
      <w:pPr>
        <w:ind w:left="630"/>
        <w:jc w:val="left"/>
        <w:spacing w:line="360" w:lineRule="auto"/>
        <w:rPr>
          <w:bCs/>
          <w:sz w:val="24"/>
        </w:rPr>
      </w:pPr>
      <w:r>
        <w:rPr>
          <w:rFonts w:hint="eastAsia"/>
          <w:bCs/>
          <w:sz w:val="24"/>
        </w:rPr>
        <w:t xml:space="preserve">（13）项目实施：参与云电脑系统相关项目的实施工作，例如系统部署、应用测试等。</w:t>
      </w:r>
      <w:r/>
    </w:p>
    <w:p>
      <w:pPr>
        <w:ind w:left="630"/>
        <w:jc w:val="left"/>
        <w:spacing w:line="360" w:lineRule="auto"/>
        <w:rPr>
          <w:bCs/>
          <w:sz w:val="24"/>
        </w:rPr>
      </w:pPr>
      <w:r>
        <w:rPr>
          <w:rFonts w:hint="eastAsia"/>
          <w:bCs/>
          <w:sz w:val="24"/>
        </w:rPr>
        <w:t xml:space="preserve">（14）每次维护需要提供台账，每月生成月台账。台账包含相关维护的内容以及客户确认签字等。</w:t>
      </w:r>
      <w:r/>
    </w:p>
    <w:p>
      <w:pPr>
        <w:contextualSpacing/>
        <w:ind w:firstLine="482"/>
        <w:spacing w:line="360" w:lineRule="auto"/>
        <w:rPr>
          <w:b/>
          <w:sz w:val="24"/>
        </w:rPr>
      </w:pPr>
      <w:r>
        <w:rPr>
          <w:rFonts w:hint="eastAsia"/>
          <w:b/>
          <w:sz w:val="24"/>
        </w:rPr>
        <w:t xml:space="preserve">4、软件日常维护</w:t>
      </w:r>
      <w:r/>
    </w:p>
    <w:p>
      <w:pPr>
        <w:ind w:left="420"/>
        <w:jc w:val="left"/>
        <w:spacing w:line="360" w:lineRule="auto"/>
        <w:rPr>
          <w:bCs/>
          <w:sz w:val="24"/>
        </w:rPr>
      </w:pPr>
      <w:r>
        <w:rPr>
          <w:rFonts w:hint="eastAsia"/>
          <w:bCs/>
          <w:sz w:val="24"/>
        </w:rPr>
        <w:t xml:space="preserve">（1）</w:t>
      </w:r>
      <w:r>
        <w:rPr>
          <w:bCs/>
          <w:sz w:val="24"/>
        </w:rPr>
        <w:t xml:space="preserve">聚焦系统运行的硬件环境、基础软件及网络支撑，确保底层架构稳定可靠，为上层业务运行提供坚实基础。</w:t>
      </w:r>
      <w:r/>
    </w:p>
    <w:p>
      <w:pPr>
        <w:ind w:left="420"/>
        <w:jc w:val="left"/>
        <w:spacing w:line="360" w:lineRule="auto"/>
        <w:rPr>
          <w:bCs/>
          <w:sz w:val="24"/>
        </w:rPr>
      </w:pPr>
      <w:r>
        <w:rPr>
          <w:rFonts w:hint="eastAsia"/>
          <w:bCs/>
          <w:sz w:val="24"/>
        </w:rPr>
        <w:t xml:space="preserve">（2）</w:t>
      </w:r>
      <w:r>
        <w:rPr>
          <w:bCs/>
          <w:sz w:val="24"/>
        </w:rPr>
        <w:t xml:space="preserve">定期开展设备巡检（每月1次），检查设备运行状态（如服务器CPU使用率、内存占用、硬盘占用率等），及时处理异常问题。</w:t>
      </w:r>
      <w:r/>
    </w:p>
    <w:p>
      <w:pPr>
        <w:ind w:left="420"/>
        <w:jc w:val="left"/>
        <w:spacing w:line="360" w:lineRule="auto"/>
        <w:rPr>
          <w:bCs/>
          <w:sz w:val="24"/>
        </w:rPr>
      </w:pPr>
      <w:r>
        <w:rPr>
          <w:rFonts w:hint="eastAsia"/>
          <w:bCs/>
          <w:sz w:val="24"/>
        </w:rPr>
        <w:t xml:space="preserve">（3）</w:t>
      </w:r>
      <w:r>
        <w:rPr>
          <w:bCs/>
          <w:sz w:val="24"/>
        </w:rPr>
        <w:t xml:space="preserve">基础软件维护，负责系统运行依赖的操作系统（Windows Server、Linux等）、数据库系统（MySQL、Oracle等）、中间件（Tomcat、Nginx等）的维护。</w:t>
      </w:r>
      <w:r/>
    </w:p>
    <w:p>
      <w:pPr>
        <w:ind w:left="420"/>
        <w:jc w:val="left"/>
        <w:spacing w:line="360" w:lineRule="auto"/>
        <w:rPr>
          <w:bCs/>
          <w:sz w:val="24"/>
        </w:rPr>
      </w:pPr>
      <w:r>
        <w:rPr>
          <w:rFonts w:hint="eastAsia"/>
          <w:bCs/>
          <w:sz w:val="24"/>
        </w:rPr>
        <w:t xml:space="preserve">（4）</w:t>
      </w:r>
      <w:r>
        <w:rPr>
          <w:bCs/>
          <w:sz w:val="24"/>
        </w:rPr>
        <w:t xml:space="preserve">定期进行基础软件的补丁更新、版本升级（每季度1次），修复软件漏洞；优化数据库配置（如索引优化、查询语句优化），提升数据读写效率。</w:t>
      </w:r>
      <w:r/>
    </w:p>
    <w:p>
      <w:pPr>
        <w:ind w:left="420"/>
        <w:jc w:val="left"/>
        <w:spacing w:line="360" w:lineRule="auto"/>
        <w:rPr>
          <w:bCs/>
          <w:sz w:val="24"/>
        </w:rPr>
      </w:pPr>
      <w:r>
        <w:rPr>
          <w:rFonts w:hint="eastAsia"/>
          <w:bCs/>
          <w:sz w:val="24"/>
        </w:rPr>
        <w:t xml:space="preserve">（5）</w:t>
      </w:r>
      <w:r>
        <w:rPr>
          <w:bCs/>
          <w:sz w:val="24"/>
        </w:rPr>
        <w:t xml:space="preserve">建立软件运行监控机制，实时监测软件进程、资源占用情况，及时处理软件崩溃、死锁等问题。</w:t>
      </w:r>
      <w:r/>
    </w:p>
    <w:p>
      <w:pPr>
        <w:ind w:left="420"/>
        <w:jc w:val="left"/>
        <w:spacing w:line="360" w:lineRule="auto"/>
        <w:rPr>
          <w:rFonts w:hint="eastAsia" w:ascii="宋体" w:hAnsi="宋体" w:cs="宋体"/>
          <w:bCs/>
          <w:sz w:val="24"/>
        </w:rPr>
      </w:pPr>
      <w:r>
        <w:rPr>
          <w:rFonts w:hint="eastAsia"/>
          <w:bCs/>
          <w:sz w:val="24"/>
        </w:rPr>
        <w:t xml:space="preserve">（6）</w:t>
      </w:r>
      <w:r>
        <w:rPr>
          <w:bCs/>
          <w:sz w:val="24"/>
        </w:rPr>
        <w:t xml:space="preserve">配置网络安全策略，限制非法IP访问，防范网络攻击；定期检查网络连接状态，处理网络中断、丢包等问题，保障系统网络环境安全可靠。</w:t>
      </w:r>
      <w:r/>
    </w:p>
    <w:p>
      <w:pPr>
        <w:ind w:left="420"/>
        <w:jc w:val="left"/>
        <w:spacing w:line="360" w:lineRule="auto"/>
        <w:rPr>
          <w:rFonts w:hint="eastAsia" w:ascii="宋体" w:hAnsi="宋体" w:cs="宋体"/>
          <w:bCs/>
          <w:sz w:val="24"/>
        </w:rPr>
      </w:pPr>
      <w:r>
        <w:rPr>
          <w:rFonts w:hint="eastAsia"/>
          <w:bCs/>
          <w:sz w:val="24"/>
        </w:rPr>
        <w:t xml:space="preserve">（7）每次维护需要提供台账，每月生成月台账。台账包含相关维护的内容以及客户确认签字等。</w:t>
      </w:r>
      <w:r/>
    </w:p>
    <w:p>
      <w:pPr>
        <w:ind w:right="210" w:firstLine="562"/>
        <w:jc w:val="left"/>
        <w:spacing w:line="360" w:lineRule="auto"/>
        <w:rPr>
          <w:rFonts w:hint="eastAsia" w:ascii="宋体" w:hAnsi="宋体"/>
          <w:b/>
          <w:bCs/>
          <w:sz w:val="28"/>
          <w:szCs w:val="28"/>
        </w:rPr>
      </w:pPr>
      <w:r>
        <w:rPr>
          <w:rFonts w:hint="eastAsia" w:ascii="宋体" w:hAnsi="宋体"/>
          <w:b/>
          <w:bCs/>
          <w:sz w:val="28"/>
          <w:szCs w:val="28"/>
        </w:rPr>
        <w:t xml:space="preserve">四、维护维修响应时间要求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1、定期维护：维护单位定期到现场对系统进行全面巡查检修，针对发现的问题及时解决处理。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日常维修：维护单位需7*24小时的维护服务。使用单位工作人员如发现系统性故障等影响系统正常运行的异常情况，及时通知维护单位进行维修，维护单位需在接到正式报修通知后的2小时内响应，维护单位应在4小时内派相关工程师到现场进行维修，确保在12小时内排除故障，系统恢复正常运行。</w:t>
      </w:r>
      <w:r/>
    </w:p>
    <w:p>
      <w:pPr>
        <w:ind w:firstLine="480"/>
        <w:jc w:val="left"/>
        <w:spacing w:line="360" w:lineRule="auto"/>
        <w:rPr>
          <w:rFonts w:hint="eastAsia" w:ascii="宋体" w:hAnsi="宋体" w:cs="宋体"/>
          <w:bCs/>
          <w:sz w:val="24"/>
        </w:rPr>
      </w:pPr>
      <w:r>
        <w:rPr>
          <w:rFonts w:hint="eastAsia" w:ascii="宋体" w:hAnsi="宋体" w:cs="宋体"/>
          <w:bCs/>
          <w:sz w:val="24"/>
        </w:rPr>
        <w:t xml:space="preserve">3、突发情况处理：紧急情况需要在接到通知后的15分钟内响应，维护单位应在1小时内确定方案，在2小时内派相关人员到现场进行维修，严重情况单位领导需要到现场协助解决。</w:t>
      </w:r>
      <w:r/>
    </w:p>
    <w:p>
      <w:pPr>
        <w:ind w:firstLine="480"/>
        <w:jc w:val="left"/>
        <w:spacing w:line="360" w:lineRule="auto"/>
        <w:rPr>
          <w:bCs/>
          <w:sz w:val="24"/>
        </w:rPr>
      </w:pPr>
      <w:r>
        <w:rPr>
          <w:rFonts w:hint="eastAsia" w:ascii="宋体" w:hAnsi="宋体" w:cs="宋体"/>
          <w:bCs/>
          <w:sz w:val="24"/>
        </w:rPr>
        <w:t xml:space="preserve">4、</w:t>
      </w:r>
      <w:r>
        <w:rPr>
          <w:rFonts w:hint="eastAsia"/>
          <w:bCs/>
          <w:sz w:val="24"/>
        </w:rPr>
        <w:t xml:space="preserve">本项目前端监控设施、视频（含实时视频和录像）、图像、数据、各后端平台、后端硬件系统、机房各分项系统修复率应达到以下要求：①维护人员发现故障后，工作时间内4小时到达现场，一般故障8小时修复。</w:t>
      </w:r>
      <w:r/>
    </w:p>
    <w:p>
      <w:pPr>
        <w:ind w:firstLine="480"/>
        <w:jc w:val="left"/>
        <w:spacing w:line="360" w:lineRule="auto"/>
        <w:rPr>
          <w:rFonts w:hint="eastAsia" w:ascii="宋体" w:hAnsi="宋体" w:cs="宋体"/>
          <w:bCs/>
          <w:sz w:val="24"/>
        </w:rPr>
      </w:pPr>
      <w:r>
        <w:rPr>
          <w:rFonts w:hint="eastAsia" w:ascii="宋体" w:hAnsi="宋体" w:cs="宋体"/>
          <w:bCs/>
          <w:sz w:val="24"/>
        </w:rPr>
        <w:t xml:space="preserve">5、人员及设施基本要求：因本项目需与武进公安点睛平台对接，需为武进公安提供免费驻场服务。</w:t>
      </w:r>
      <w:r/>
    </w:p>
    <w:p>
      <w:pPr>
        <w:ind w:firstLine="480"/>
        <w:jc w:val="left"/>
        <w:spacing w:line="360" w:lineRule="auto"/>
        <w:rPr>
          <w:bCs/>
          <w:sz w:val="24"/>
        </w:rPr>
      </w:pPr>
      <w:r>
        <w:rPr>
          <w:bCs/>
          <w:sz w:val="24"/>
        </w:rPr>
      </w:r>
      <w:r/>
    </w:p>
    <w:p>
      <w:pPr>
        <w:ind w:right="210" w:firstLine="562"/>
        <w:jc w:val="left"/>
        <w:spacing w:line="360" w:lineRule="auto"/>
        <w:rPr>
          <w:rFonts w:hint="eastAsia" w:ascii="宋体" w:hAnsi="宋体"/>
          <w:b/>
          <w:bCs/>
          <w:sz w:val="28"/>
          <w:szCs w:val="28"/>
        </w:rPr>
      </w:pPr>
      <w:r>
        <w:rPr>
          <w:rFonts w:hint="eastAsia" w:ascii="宋体" w:hAnsi="宋体"/>
          <w:b/>
          <w:bCs/>
          <w:sz w:val="28"/>
          <w:szCs w:val="28"/>
        </w:rPr>
        <w:t xml:space="preserve">五、设备完好率要求</w:t>
      </w:r>
      <w:r/>
    </w:p>
    <w:p>
      <w:pPr>
        <w:contextualSpacing/>
        <w:ind w:firstLine="480"/>
        <w:spacing w:line="360" w:lineRule="auto"/>
        <w:rPr>
          <w:bCs/>
          <w:sz w:val="24"/>
        </w:rPr>
      </w:pPr>
      <w:r>
        <w:rPr>
          <w:rFonts w:hint="eastAsia"/>
          <w:bCs/>
          <w:sz w:val="24"/>
        </w:rPr>
        <w:t xml:space="preserve"> （1）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同一设备存在任一故障均视为设备不完好。</w:t>
      </w:r>
      <w:r/>
    </w:p>
    <w:p>
      <w:pPr>
        <w:contextualSpacing/>
        <w:ind w:firstLine="480"/>
        <w:spacing w:line="360" w:lineRule="auto"/>
        <w:rPr>
          <w:bCs/>
          <w:sz w:val="24"/>
        </w:rPr>
      </w:pPr>
      <w:r>
        <w:rPr>
          <w:rFonts w:hint="eastAsia"/>
          <w:bCs/>
          <w:sz w:val="24"/>
        </w:rPr>
        <w:t xml:space="preserve">（2）本项目监控设施视频（含实时视频和录像）和图像、数据完好率应达到以下要求：①日完好率应不低于98%（完好监控相机设备数/监控相机设备总数）；②周完好率应不低于97%（日完好率平均值）；③月完好率和年完好率应不低于95%（周完好率平均值）。设备完好率达不到要求，采购人每次可视情况扣缴中标供应商违约金，每次扣缴中标供应商违约金不超过2000元。如因：火灾、肇事、道路施工及改造、停电、地震、特殊天气及不可抗力的第三方原因不计入考核率。</w:t>
      </w:r>
      <w:r/>
    </w:p>
    <w:p>
      <w:pPr>
        <w:contextualSpacing/>
        <w:ind w:firstLine="480"/>
        <w:spacing w:line="360" w:lineRule="auto"/>
        <w:rPr>
          <w:bCs/>
          <w:sz w:val="24"/>
        </w:rPr>
      </w:pPr>
      <w:r>
        <w:rPr>
          <w:rFonts w:hint="eastAsia"/>
          <w:bCs/>
          <w:sz w:val="24"/>
        </w:rPr>
        <w:t xml:space="preserve">（3）本项目后端各业务平台、机房各类硬件系统、机房环境动力系统完好状态应达到以下要求：各系统平台年度累计故障时间不超过48小时，单次故障时间不超过8小时，累计故障次数不超过10次。</w:t>
      </w:r>
      <w:r/>
    </w:p>
    <w:p>
      <w:pPr>
        <w:ind w:firstLine="562"/>
        <w:spacing w:line="450" w:lineRule="exact"/>
        <w:rPr>
          <w:rFonts w:hint="eastAsia" w:ascii="宋体" w:hAnsi="宋体"/>
          <w:b/>
          <w:sz w:val="28"/>
          <w:szCs w:val="28"/>
        </w:rPr>
      </w:pPr>
      <w:r>
        <w:rPr>
          <w:rFonts w:hint="eastAsia" w:ascii="宋体" w:hAnsi="宋体"/>
          <w:b/>
          <w:sz w:val="28"/>
          <w:szCs w:val="28"/>
        </w:rPr>
        <w:t xml:space="preserve">四、 甲方权利与义务</w:t>
      </w:r>
      <w:r/>
    </w:p>
    <w:p>
      <w:pPr>
        <w:ind w:firstLine="480"/>
        <w:spacing w:line="450" w:lineRule="exact"/>
        <w:rPr>
          <w:rFonts w:hint="eastAsia" w:ascii="宋体" w:hAnsi="宋体"/>
          <w:sz w:val="24"/>
        </w:rPr>
      </w:pPr>
      <w:r>
        <w:rPr>
          <w:rFonts w:hint="eastAsia" w:ascii="宋体" w:hAnsi="宋体"/>
          <w:sz w:val="24"/>
        </w:rPr>
        <w:t xml:space="preserve">1、甲方编制信息平台维护考核管理要求，并按照要求对乙方的维护工作进行考核，零星项目甲方应书面委派工作内容给乙方。 </w:t>
      </w:r>
      <w:r/>
    </w:p>
    <w:p>
      <w:pPr>
        <w:ind w:firstLine="480"/>
        <w:spacing w:line="450" w:lineRule="exact"/>
        <w:rPr>
          <w:rFonts w:hint="eastAsia" w:ascii="宋体" w:hAnsi="宋体"/>
          <w:sz w:val="24"/>
        </w:rPr>
      </w:pPr>
      <w:r>
        <w:rPr>
          <w:rFonts w:hint="eastAsia" w:ascii="宋体" w:hAnsi="宋体"/>
          <w:sz w:val="24"/>
        </w:rPr>
        <w:t xml:space="preserve">2、甲方负责指定相关人员协助乙方开展实施前的准备工作。</w:t>
      </w:r>
      <w:r/>
    </w:p>
    <w:p>
      <w:pPr>
        <w:ind w:firstLine="480"/>
        <w:spacing w:line="450" w:lineRule="exact"/>
        <w:rPr>
          <w:rFonts w:hint="eastAsia" w:ascii="宋体" w:hAnsi="宋体"/>
          <w:sz w:val="24"/>
        </w:rPr>
      </w:pPr>
      <w:r>
        <w:rPr>
          <w:rFonts w:hint="eastAsia" w:ascii="宋体" w:hAnsi="宋体"/>
          <w:sz w:val="24"/>
        </w:rPr>
        <w:t xml:space="preserve">3、检查监督乙方工作的实施以及制度的执行情况，并将日常检查中发现的设备缺陷及异常情况作详尽纪录，及时告知乙方。</w:t>
      </w:r>
      <w:r/>
    </w:p>
    <w:p>
      <w:pPr>
        <w:ind w:firstLine="480"/>
        <w:spacing w:line="450" w:lineRule="exact"/>
        <w:rPr>
          <w:rFonts w:hint="eastAsia" w:ascii="宋体" w:hAnsi="宋体"/>
          <w:sz w:val="24"/>
        </w:rPr>
      </w:pPr>
      <w:r>
        <w:rPr>
          <w:rFonts w:hint="eastAsia" w:ascii="宋体" w:hAnsi="宋体"/>
          <w:sz w:val="24"/>
        </w:rPr>
        <w:t xml:space="preserve">4、检查跟踪乙方服务质量，遇有不合格服务应及时进行纠正和处罚，给甲方造成不良影响及后果，使甲方工作陷入被动的，甲方有权要求乙方在两日内调换甲方认为达不到工作要求的工程人员。</w:t>
      </w:r>
      <w:r/>
    </w:p>
    <w:p>
      <w:pPr>
        <w:ind w:firstLine="480"/>
        <w:spacing w:line="450" w:lineRule="exact"/>
        <w:rPr>
          <w:rFonts w:hint="eastAsia" w:ascii="宋体" w:hAnsi="宋体"/>
          <w:sz w:val="24"/>
        </w:rPr>
      </w:pPr>
      <w:r>
        <w:rPr>
          <w:rFonts w:hint="eastAsia" w:ascii="宋体" w:hAnsi="宋体"/>
          <w:sz w:val="24"/>
        </w:rPr>
        <w:t xml:space="preserve">5、对乙方例行的设备、设施实施的维修、保养工作以及大修工作，甲方负责派专管人员验收并作记录。</w:t>
      </w:r>
      <w:r/>
    </w:p>
    <w:p>
      <w:pPr>
        <w:ind w:firstLine="480"/>
        <w:spacing w:line="450" w:lineRule="exact"/>
        <w:rPr>
          <w:rFonts w:hint="eastAsia" w:ascii="宋体" w:hAnsi="宋体"/>
          <w:sz w:val="24"/>
        </w:rPr>
      </w:pPr>
      <w:r>
        <w:rPr>
          <w:rFonts w:hint="eastAsia" w:ascii="宋体" w:hAnsi="宋体"/>
          <w:sz w:val="24"/>
        </w:rPr>
        <w:t xml:space="preserve">6、按本合同中规定的付款方式、金额、时间按时支付工程款。</w:t>
      </w:r>
      <w:r/>
    </w:p>
    <w:p>
      <w:pPr>
        <w:ind w:firstLine="480"/>
        <w:spacing w:line="450" w:lineRule="exact"/>
        <w:rPr>
          <w:rFonts w:hint="eastAsia" w:ascii="宋体" w:hAnsi="宋体"/>
          <w:sz w:val="24"/>
        </w:rPr>
      </w:pPr>
      <w:r>
        <w:rPr>
          <w:rFonts w:hint="eastAsia" w:ascii="宋体" w:hAnsi="宋体"/>
          <w:sz w:val="24"/>
        </w:rPr>
        <w:t xml:space="preserve">7、协调、处理本合同生效前发生的工程遗留问题，如牵扯费用问题双方协商解决。</w:t>
      </w:r>
      <w:r/>
    </w:p>
    <w:p>
      <w:pPr>
        <w:ind w:firstLine="562"/>
        <w:spacing w:line="450" w:lineRule="exact"/>
        <w:rPr>
          <w:rFonts w:hint="eastAsia" w:ascii="宋体" w:hAnsi="宋体"/>
          <w:b/>
          <w:sz w:val="28"/>
          <w:szCs w:val="28"/>
        </w:rPr>
      </w:pPr>
      <w:r>
        <w:rPr>
          <w:rFonts w:hint="eastAsia" w:ascii="宋体" w:hAnsi="宋体"/>
          <w:b/>
          <w:sz w:val="28"/>
          <w:szCs w:val="28"/>
        </w:rPr>
        <w:t xml:space="preserve">五、 乙方权利与义务</w:t>
      </w:r>
      <w:r/>
    </w:p>
    <w:p>
      <w:pPr>
        <w:ind w:firstLine="480"/>
        <w:spacing w:line="450" w:lineRule="exact"/>
        <w:rPr>
          <w:rFonts w:hint="eastAsia" w:ascii="宋体" w:hAnsi="宋体"/>
          <w:sz w:val="24"/>
        </w:rPr>
      </w:pPr>
      <w:r>
        <w:rPr>
          <w:rFonts w:hint="eastAsia" w:ascii="宋体" w:hAnsi="宋体"/>
          <w:sz w:val="24"/>
        </w:rPr>
        <w:t xml:space="preserve">1、乙方应热心周到为甲方服务（包括监控信息平台用户），对在质保期内的项目，出现问题需在2个工作日内解决，应立足长效管理目标编制标准化施工流程，并不断完善提升。 </w:t>
      </w:r>
      <w:r/>
    </w:p>
    <w:p>
      <w:pPr>
        <w:ind w:firstLine="480"/>
        <w:spacing w:line="450" w:lineRule="exact"/>
        <w:rPr>
          <w:rFonts w:hint="eastAsia" w:ascii="宋体" w:hAnsi="宋体"/>
          <w:sz w:val="24"/>
        </w:rPr>
      </w:pPr>
      <w:r>
        <w:rPr>
          <w:rFonts w:hint="eastAsia" w:ascii="宋体" w:hAnsi="宋体"/>
          <w:sz w:val="24"/>
        </w:rPr>
        <w:t xml:space="preserve">2、乙方保证采取有效的安全保障措施，预防高空作业、挖沟、机械设备使用及电力使用中的人员安全。如发生人员伤亡事故，由乙方负责并承担一切费用。</w:t>
      </w:r>
      <w:r/>
    </w:p>
    <w:p>
      <w:pPr>
        <w:ind w:firstLine="480"/>
        <w:spacing w:line="450" w:lineRule="exact"/>
        <w:rPr>
          <w:rFonts w:hint="eastAsia" w:ascii="宋体" w:hAnsi="宋体"/>
          <w:sz w:val="24"/>
        </w:rPr>
      </w:pPr>
      <w:r>
        <w:rPr>
          <w:rFonts w:hint="eastAsia" w:ascii="宋体" w:hAnsi="宋体"/>
          <w:sz w:val="24"/>
        </w:rPr>
        <w:t xml:space="preserve">3、应针对不同设施设备类型，编制本设施设备的维修养护计划及方案，经双方议定后由乙方组织实施。如设备需要维修、更换或设备改造，乙方应以书面报告通知甲方，申请经费。</w:t>
      </w:r>
      <w:r/>
    </w:p>
    <w:p>
      <w:pPr>
        <w:ind w:firstLine="480"/>
        <w:spacing w:line="450" w:lineRule="exact"/>
        <w:rPr>
          <w:rFonts w:hint="eastAsia" w:ascii="宋体" w:hAnsi="宋体"/>
          <w:sz w:val="24"/>
        </w:rPr>
      </w:pPr>
      <w:r>
        <w:rPr>
          <w:rFonts w:hint="eastAsia" w:ascii="宋体" w:hAnsi="宋体"/>
          <w:sz w:val="24"/>
        </w:rPr>
        <w:t xml:space="preserve">4、有完整详细的设备台帐，运行记录，检查记录，维修纪录，保养纪录。整理、收集与平台有关的所有档案资料，按照甲方的管理要求入档保存。</w:t>
      </w:r>
      <w:r/>
    </w:p>
    <w:p>
      <w:pPr>
        <w:ind w:firstLine="480"/>
        <w:spacing w:line="450" w:lineRule="exact"/>
        <w:rPr>
          <w:rFonts w:hint="eastAsia" w:ascii="宋体" w:hAnsi="宋体"/>
          <w:sz w:val="24"/>
        </w:rPr>
      </w:pPr>
      <w:r>
        <w:rPr>
          <w:rFonts w:hint="eastAsia" w:ascii="宋体" w:hAnsi="宋体"/>
          <w:sz w:val="24"/>
        </w:rPr>
        <w:t xml:space="preserve">5、乙方在管理范围内发现的不安全隐患提出书面整改意见，甲方应认真研究解决并书面形式回复，甲方未采取有效措施造成的事故以及经济损失，乙方不承担责任。</w:t>
      </w:r>
      <w:r/>
    </w:p>
    <w:p>
      <w:pPr>
        <w:ind w:firstLine="480"/>
        <w:spacing w:line="450" w:lineRule="exact"/>
        <w:rPr>
          <w:rFonts w:hint="eastAsia" w:ascii="宋体" w:hAnsi="宋体"/>
          <w:sz w:val="24"/>
        </w:rPr>
      </w:pPr>
      <w:r>
        <w:rPr>
          <w:rFonts w:hint="eastAsia" w:ascii="宋体" w:hAnsi="宋体"/>
          <w:sz w:val="24"/>
        </w:rPr>
        <w:t xml:space="preserve">6、报修工作因乙方长时间不能解决造成的后果，及因乙方人员工作失职、失误造成甲方本项目设备、财产损失，由乙方负责。</w:t>
      </w:r>
      <w:r/>
    </w:p>
    <w:p>
      <w:pPr>
        <w:ind w:firstLine="480"/>
        <w:spacing w:line="450" w:lineRule="exact"/>
        <w:rPr>
          <w:rFonts w:hint="eastAsia" w:ascii="宋体" w:hAnsi="宋体"/>
          <w:sz w:val="24"/>
        </w:rPr>
      </w:pPr>
      <w:r>
        <w:rPr>
          <w:rFonts w:hint="eastAsia" w:ascii="宋体" w:hAnsi="宋体"/>
          <w:sz w:val="24"/>
        </w:rPr>
        <w:t xml:space="preserve">7、本合同终止时，乙方必须向甲方移交本项目管理的全部档案资料。</w:t>
      </w:r>
      <w:r/>
    </w:p>
    <w:p>
      <w:pPr>
        <w:ind w:firstLine="480"/>
        <w:spacing w:line="450" w:lineRule="exact"/>
        <w:rPr>
          <w:rFonts w:hint="eastAsia" w:ascii="宋体" w:hAnsi="宋体"/>
          <w:sz w:val="24"/>
        </w:rPr>
      </w:pPr>
      <w:r>
        <w:rPr>
          <w:rFonts w:hint="eastAsia" w:ascii="宋体" w:hAnsi="宋体"/>
          <w:sz w:val="24"/>
        </w:rPr>
        <w:t xml:space="preserve">8、本项目涉及多个部门的使用，应严格对综合平台的账号和密码进行管理，不得泄露数据中心、信息平台相关的任何内容，如擅自违反造成损失或负面影响，由乙方承担全部责任。</w:t>
      </w:r>
      <w:r/>
    </w:p>
    <w:p>
      <w:pPr>
        <w:ind w:firstLine="480"/>
        <w:spacing w:line="450" w:lineRule="exact"/>
        <w:rPr>
          <w:rFonts w:hint="eastAsia" w:ascii="宋体" w:hAnsi="宋体"/>
          <w:sz w:val="24"/>
        </w:rPr>
      </w:pPr>
      <w:r>
        <w:rPr>
          <w:rFonts w:hint="eastAsia" w:ascii="宋体" w:hAnsi="宋体"/>
          <w:sz w:val="24"/>
        </w:rPr>
        <w:t xml:space="preserve">9、数据中心、信息平台应乙方应制定对设备故障及重大事件有完善的应急方案和现场处理措施。</w:t>
      </w:r>
      <w:r/>
    </w:p>
    <w:p>
      <w:pPr>
        <w:ind w:firstLine="562"/>
        <w:spacing w:line="450" w:lineRule="exact"/>
        <w:rPr>
          <w:rFonts w:hint="eastAsia" w:ascii="宋体" w:hAnsi="宋体"/>
          <w:b/>
          <w:sz w:val="28"/>
          <w:szCs w:val="28"/>
        </w:rPr>
      </w:pPr>
      <w:r>
        <w:rPr>
          <w:rFonts w:hint="eastAsia" w:ascii="宋体" w:hAnsi="宋体"/>
          <w:b/>
          <w:sz w:val="28"/>
          <w:szCs w:val="28"/>
        </w:rPr>
        <w:t xml:space="preserve">六、违约责任 </w:t>
      </w:r>
      <w:r/>
    </w:p>
    <w:p>
      <w:pPr>
        <w:ind w:firstLine="480"/>
        <w:spacing w:line="450" w:lineRule="exact"/>
        <w:rPr>
          <w:rFonts w:hint="eastAsia" w:ascii="宋体" w:hAnsi="宋体"/>
          <w:sz w:val="24"/>
        </w:rPr>
      </w:pPr>
      <w:r>
        <w:rPr>
          <w:rFonts w:hint="eastAsia" w:ascii="宋体" w:hAnsi="宋体"/>
          <w:sz w:val="24"/>
        </w:rPr>
        <w:t xml:space="preserve">1、甲方违约责任</w:t>
      </w:r>
      <w:r/>
    </w:p>
    <w:p>
      <w:pPr>
        <w:ind w:firstLine="480"/>
        <w:spacing w:line="450" w:lineRule="exact"/>
        <w:rPr>
          <w:rFonts w:hint="eastAsia" w:ascii="宋体" w:hAnsi="宋体"/>
          <w:sz w:val="24"/>
        </w:rPr>
      </w:pPr>
      <w:r>
        <w:rPr>
          <w:rFonts w:hint="eastAsia" w:ascii="宋体" w:hAnsi="宋体"/>
          <w:sz w:val="24"/>
        </w:rPr>
        <w:t xml:space="preserve">（1）在合同生效后，甲方无正当理由要求取消或解除合同的，应向乙方偿付合同总价款的5%作为违约金，违约金不足以补偿损失的，乙方有权要求甲方补足。</w:t>
      </w:r>
      <w:r/>
    </w:p>
    <w:p>
      <w:pPr>
        <w:ind w:firstLine="480"/>
        <w:spacing w:line="450" w:lineRule="exact"/>
        <w:rPr>
          <w:rFonts w:hint="eastAsia" w:ascii="宋体" w:hAnsi="宋体"/>
          <w:sz w:val="24"/>
        </w:rPr>
      </w:pPr>
      <w:r>
        <w:rPr>
          <w:rFonts w:hint="eastAsia" w:ascii="宋体" w:hAnsi="宋体"/>
          <w:sz w:val="24"/>
        </w:rPr>
        <w:t xml:space="preserve">（2）在合同生效后，甲方应按本合同的约定及时向乙方支付合同所述款项。如违约，乙方保留追究相关赔偿的权力。</w:t>
      </w:r>
      <w:r/>
    </w:p>
    <w:p>
      <w:pPr>
        <w:ind w:firstLine="480"/>
        <w:spacing w:line="450" w:lineRule="exact"/>
        <w:rPr>
          <w:rFonts w:hint="eastAsia" w:ascii="宋体" w:hAnsi="宋体"/>
          <w:sz w:val="24"/>
        </w:rPr>
      </w:pPr>
      <w:r>
        <w:rPr>
          <w:rFonts w:hint="eastAsia" w:ascii="宋体" w:hAnsi="宋体"/>
          <w:sz w:val="24"/>
        </w:rPr>
        <w:t xml:space="preserve">（3）甲方违反合同规定，拒绝接收乙方交付的项目的，应当承担乙方由此造成的一切损失。</w:t>
      </w:r>
      <w:r/>
    </w:p>
    <w:p>
      <w:pPr>
        <w:ind w:firstLine="480"/>
        <w:spacing w:line="450" w:lineRule="exact"/>
        <w:rPr>
          <w:rFonts w:hint="eastAsia" w:ascii="宋体" w:hAnsi="宋体"/>
          <w:sz w:val="24"/>
        </w:rPr>
      </w:pPr>
      <w:r>
        <w:rPr>
          <w:rFonts w:hint="eastAsia" w:ascii="宋体" w:hAnsi="宋体"/>
          <w:sz w:val="24"/>
        </w:rPr>
        <w:t xml:space="preserve">2、乙方违约责任</w:t>
      </w:r>
      <w:r/>
    </w:p>
    <w:p>
      <w:pPr>
        <w:ind w:firstLine="480"/>
        <w:spacing w:line="450" w:lineRule="exact"/>
        <w:rPr>
          <w:rFonts w:hint="eastAsia" w:ascii="宋体" w:hAnsi="宋体"/>
          <w:sz w:val="24"/>
        </w:rPr>
      </w:pPr>
      <w:r>
        <w:rPr>
          <w:rFonts w:hint="eastAsia" w:ascii="宋体" w:hAnsi="宋体"/>
          <w:sz w:val="24"/>
        </w:rPr>
        <w:t xml:space="preserve">（1）在本合同生效后，乙方无理由要求终止本合同或解除合同的，应向甲方偿付合同总价款的10%作为违约金，违约金不足以补偿损失的，甲方有权要求乙方补足。</w:t>
      </w:r>
      <w:r/>
    </w:p>
    <w:p>
      <w:pPr>
        <w:ind w:firstLine="480"/>
        <w:spacing w:line="450" w:lineRule="exact"/>
        <w:rPr>
          <w:rFonts w:hint="eastAsia" w:ascii="宋体" w:hAnsi="宋体"/>
          <w:sz w:val="24"/>
        </w:rPr>
      </w:pPr>
      <w:r>
        <w:rPr>
          <w:rFonts w:hint="eastAsia" w:ascii="宋体" w:hAnsi="宋体"/>
          <w:sz w:val="24"/>
        </w:rPr>
        <w:t xml:space="preserve">（2）乙方提供的产品不符合本合同要求的，甲方有权拒绝接收，同时要求乙方提供本合同约定的产品，由此产生的损失全部由乙方承担。</w:t>
      </w:r>
      <w:r/>
    </w:p>
    <w:p>
      <w:pPr>
        <w:ind w:firstLine="480"/>
        <w:spacing w:line="450" w:lineRule="exact"/>
        <w:rPr>
          <w:rFonts w:hint="eastAsia" w:ascii="宋体" w:hAnsi="宋体"/>
          <w:sz w:val="24"/>
        </w:rPr>
      </w:pPr>
      <w:r>
        <w:rPr>
          <w:rFonts w:hint="eastAsia" w:ascii="宋体" w:hAnsi="宋体"/>
          <w:sz w:val="24"/>
        </w:rPr>
        <w:t xml:space="preserve">（3）无正当理由而未能根据本合同规定开工；或在接到甲方关于工期加快的通知后的15天内无正当理由未能采取措施加快进行本项目或其关键部分的项目实施。应向甲方偿付合同总价款的5%作为违约金，违约金不足以补偿损失的，甲方有权要求乙方补足。</w:t>
      </w:r>
      <w:r/>
    </w:p>
    <w:p>
      <w:pPr>
        <w:ind w:firstLine="480"/>
        <w:spacing w:line="450" w:lineRule="exact"/>
        <w:rPr>
          <w:rFonts w:hint="eastAsia" w:ascii="宋体" w:hAnsi="宋体"/>
          <w:sz w:val="24"/>
        </w:rPr>
      </w:pPr>
      <w:r>
        <w:rPr>
          <w:rFonts w:hint="eastAsia" w:ascii="宋体" w:hAnsi="宋体"/>
          <w:sz w:val="24"/>
        </w:rPr>
        <w:t xml:space="preserve">（4）本项目竣工验收质量检验评定达不到本合同约定的；如可修复，乙方应及时予以修复；如属无法修复的，甲方不但有权停止支付该项目的投资款，并由乙方赔偿一切经济损失。</w:t>
      </w:r>
      <w:r/>
    </w:p>
    <w:p>
      <w:pPr>
        <w:ind w:firstLine="480"/>
        <w:spacing w:line="450" w:lineRule="exact"/>
        <w:rPr>
          <w:rFonts w:hint="eastAsia" w:ascii="宋体" w:hAnsi="宋体"/>
          <w:sz w:val="24"/>
        </w:rPr>
      </w:pPr>
      <w:r>
        <w:rPr>
          <w:rFonts w:hint="eastAsia" w:ascii="宋体" w:hAnsi="宋体"/>
          <w:sz w:val="24"/>
        </w:rPr>
        <w:t xml:space="preserve">（5）若因乙方责任影响进度或交付不合格从而影响甲方按期正常使用的，每延期壹天，乙方应向甲方支付壹万元人民币作为违约金，总额最高不超过本合同总价的5％，同时甲方有权解除合同。</w:t>
      </w:r>
      <w:r/>
    </w:p>
    <w:p>
      <w:pPr>
        <w:ind w:firstLine="480"/>
        <w:spacing w:line="450" w:lineRule="exact"/>
        <w:rPr>
          <w:rFonts w:hint="eastAsia" w:ascii="宋体" w:hAnsi="宋体"/>
          <w:sz w:val="24"/>
        </w:rPr>
      </w:pPr>
      <w:r>
        <w:rPr>
          <w:rFonts w:hint="eastAsia" w:ascii="宋体" w:hAnsi="宋体"/>
          <w:sz w:val="24"/>
        </w:rPr>
        <w:t xml:space="preserve">（6）若乙方在项目实施过程中的质量及进度严重不符合甲方要求，并经甲方书面警告无效的，则甲方有权解除本合同，无条件收回本项目全部或部分项目，另行委托项目实施，由此引起的一切费用均由乙方承担。并向甲方偿付合同总价款的2%作为违约金。</w:t>
      </w:r>
      <w:r/>
    </w:p>
    <w:p>
      <w:pPr>
        <w:ind w:firstLine="480"/>
        <w:spacing w:line="450" w:lineRule="exact"/>
        <w:rPr>
          <w:rFonts w:hint="eastAsia" w:ascii="宋体" w:hAnsi="宋体"/>
          <w:sz w:val="24"/>
        </w:rPr>
      </w:pPr>
      <w:r>
        <w:rPr>
          <w:rFonts w:hint="eastAsia" w:ascii="宋体" w:hAnsi="宋体"/>
          <w:sz w:val="24"/>
        </w:rPr>
        <w:t xml:space="preserve">（7）乙方在维保期内不履行本合同约定义务的，则甲方在向乙方发出书面通知的14天内仍未纠正完毕的，甲方可要求乙方承担违约责任。甲方同时有权委托第三方纠正，纠正的一切损失由乙方承担，损失计算按甲方与第三方签订的合同为准。</w:t>
      </w:r>
      <w:r/>
    </w:p>
    <w:p>
      <w:pPr>
        <w:ind w:firstLine="480"/>
        <w:spacing w:line="450" w:lineRule="exact"/>
        <w:rPr>
          <w:rFonts w:hint="eastAsia" w:ascii="宋体" w:hAnsi="宋体"/>
          <w:sz w:val="24"/>
        </w:rPr>
      </w:pPr>
      <w:r>
        <w:rPr>
          <w:rFonts w:hint="eastAsia" w:ascii="宋体" w:hAnsi="宋体"/>
          <w:sz w:val="24"/>
        </w:rPr>
        <w:t xml:space="preserve">（8）乙方未按规定和承诺提供驻场服务、售后服务的，应向甲方支付不超过合同总价款5％的违约金。</w:t>
      </w:r>
      <w:r/>
    </w:p>
    <w:p>
      <w:pPr>
        <w:ind w:firstLine="480"/>
        <w:spacing w:line="450" w:lineRule="exact"/>
        <w:rPr>
          <w:rFonts w:hint="eastAsia" w:ascii="宋体" w:hAnsi="宋体"/>
          <w:sz w:val="24"/>
        </w:rPr>
      </w:pPr>
      <w:r>
        <w:rPr>
          <w:rFonts w:hint="eastAsia" w:ascii="宋体" w:hAnsi="宋体"/>
          <w:sz w:val="24"/>
        </w:rPr>
        <w:t xml:space="preserve">（9）若因乙方原因中途退场的，视为乙方违约。甲方有权要求乙方承担不超过本合同总价的5％违约金或赔偿损失的同时还有权随即接管所有项目，并对乙方已完成的部分不作任何补偿。</w:t>
      </w:r>
      <w:r/>
    </w:p>
    <w:p>
      <w:pPr>
        <w:ind w:firstLine="480"/>
        <w:spacing w:line="450" w:lineRule="exact"/>
        <w:rPr>
          <w:rFonts w:hint="eastAsia" w:ascii="宋体" w:hAnsi="宋体"/>
          <w:sz w:val="24"/>
        </w:rPr>
      </w:pPr>
      <w:r>
        <w:rPr>
          <w:rFonts w:hint="eastAsia" w:ascii="宋体" w:hAnsi="宋体"/>
          <w:sz w:val="24"/>
        </w:rPr>
        <w:t xml:space="preserve">（10）现场项目组成员如不符合投标文件人员构架及履职情况，应向甲方支付不超过合同总价款5％的违约金。</w:t>
      </w:r>
      <w:r/>
    </w:p>
    <w:p>
      <w:pPr>
        <w:ind w:firstLine="480"/>
        <w:spacing w:line="450" w:lineRule="exact"/>
        <w:rPr>
          <w:rFonts w:hint="eastAsia" w:ascii="宋体" w:hAnsi="宋体"/>
          <w:sz w:val="24"/>
        </w:rPr>
      </w:pPr>
      <w:r>
        <w:rPr>
          <w:rFonts w:hint="eastAsia" w:ascii="宋体" w:hAnsi="宋体"/>
          <w:sz w:val="24"/>
        </w:rPr>
        <w:t xml:space="preserve">（11）乙方实质性违反本合同条款任何一条约定的，均视为违约。</w:t>
      </w:r>
      <w:r/>
    </w:p>
    <w:p>
      <w:pPr>
        <w:ind w:firstLine="480"/>
        <w:spacing w:line="450" w:lineRule="exact"/>
        <w:rPr>
          <w:rFonts w:hint="eastAsia" w:ascii="宋体" w:hAnsi="宋体"/>
          <w:sz w:val="24"/>
        </w:rPr>
      </w:pPr>
      <w:r>
        <w:rPr>
          <w:rFonts w:hint="eastAsia" w:ascii="宋体" w:hAnsi="宋体"/>
          <w:sz w:val="24"/>
        </w:rPr>
        <w:t xml:space="preserve">（12）违约方承担违约责任并不影响其合同项下的义务(合同解除的除外)</w:t>
      </w:r>
      <w:r/>
    </w:p>
    <w:p>
      <w:pPr>
        <w:ind w:firstLine="562"/>
        <w:spacing w:line="450" w:lineRule="exact"/>
        <w:rPr>
          <w:rFonts w:hint="eastAsia" w:ascii="宋体" w:hAnsi="宋体"/>
          <w:b/>
          <w:sz w:val="28"/>
          <w:szCs w:val="28"/>
        </w:rPr>
      </w:pPr>
      <w:r>
        <w:rPr>
          <w:rFonts w:hint="eastAsia" w:ascii="宋体" w:hAnsi="宋体"/>
          <w:b/>
          <w:sz w:val="28"/>
          <w:szCs w:val="28"/>
        </w:rPr>
        <w:t xml:space="preserve">七、争议的解决</w:t>
      </w:r>
      <w:r/>
    </w:p>
    <w:p>
      <w:pPr>
        <w:ind w:firstLine="480"/>
        <w:spacing w:line="450" w:lineRule="exact"/>
        <w:rPr>
          <w:rFonts w:hint="eastAsia" w:ascii="宋体" w:hAnsi="宋体"/>
          <w:sz w:val="24"/>
        </w:rPr>
      </w:pPr>
      <w:r>
        <w:rPr>
          <w:rFonts w:hint="eastAsia" w:ascii="宋体" w:hAnsi="宋体"/>
          <w:sz w:val="24"/>
        </w:rPr>
        <w:t xml:space="preserve">1、争议的解决程序：甲、乙双方协商解决，如有必要可以向有管辖权的人民法院提起诉讼。</w:t>
      </w:r>
      <w:r/>
    </w:p>
    <w:p>
      <w:pPr>
        <w:ind w:firstLine="480"/>
        <w:spacing w:line="450" w:lineRule="exact"/>
        <w:rPr>
          <w:rFonts w:hint="eastAsia" w:ascii="宋体" w:hAnsi="宋体"/>
          <w:sz w:val="24"/>
        </w:rPr>
      </w:pPr>
      <w:r>
        <w:rPr>
          <w:rFonts w:hint="eastAsia" w:ascii="宋体" w:hAnsi="宋体"/>
          <w:sz w:val="24"/>
        </w:rPr>
        <w:t xml:space="preserve">2、争议解决方式：协商、调解、诉讼解决。</w:t>
      </w:r>
      <w:r/>
    </w:p>
    <w:p>
      <w:pPr>
        <w:ind w:firstLine="562"/>
        <w:spacing w:line="450" w:lineRule="exact"/>
        <w:rPr>
          <w:rFonts w:hint="eastAsia" w:ascii="宋体" w:hAnsi="宋体"/>
          <w:b/>
          <w:sz w:val="28"/>
          <w:szCs w:val="28"/>
        </w:rPr>
      </w:pPr>
      <w:r>
        <w:rPr>
          <w:rFonts w:hint="eastAsia" w:ascii="宋体" w:hAnsi="宋体"/>
          <w:b/>
          <w:sz w:val="28"/>
          <w:szCs w:val="28"/>
        </w:rPr>
        <w:t xml:space="preserve">七、其他</w:t>
      </w:r>
      <w:r/>
    </w:p>
    <w:p>
      <w:pPr>
        <w:ind w:firstLine="480"/>
        <w:spacing w:line="450" w:lineRule="exact"/>
        <w:rPr>
          <w:rFonts w:hint="eastAsia" w:ascii="宋体" w:hAnsi="宋体"/>
          <w:sz w:val="24"/>
        </w:rPr>
      </w:pPr>
      <w:r>
        <w:rPr>
          <w:rFonts w:hint="eastAsia" w:ascii="宋体" w:hAnsi="宋体"/>
          <w:sz w:val="24"/>
        </w:rPr>
        <w:t xml:space="preserve">1、本合同期满自然终止，如需续签由双方另行协商确定。</w:t>
      </w:r>
      <w:r/>
    </w:p>
    <w:p>
      <w:pPr>
        <w:ind w:firstLine="480"/>
        <w:spacing w:line="450" w:lineRule="exact"/>
        <w:rPr>
          <w:rFonts w:hint="eastAsia" w:ascii="宋体" w:hAnsi="宋体"/>
          <w:sz w:val="24"/>
        </w:rPr>
      </w:pPr>
      <w:r>
        <w:rPr>
          <w:rFonts w:hint="eastAsia" w:ascii="宋体" w:hAnsi="宋体"/>
          <w:sz w:val="24"/>
        </w:rPr>
        <w:t xml:space="preserve">2、本合同的订立、履行和解释，应遵照中华人民共和国法律、法规及其他有关规定，并应遵守行业惯例。</w:t>
      </w:r>
      <w:r/>
    </w:p>
    <w:p>
      <w:pPr>
        <w:ind w:firstLine="480"/>
        <w:spacing w:line="450" w:lineRule="exact"/>
        <w:rPr>
          <w:rFonts w:hint="eastAsia" w:ascii="宋体" w:hAnsi="宋体"/>
          <w:sz w:val="24"/>
        </w:rPr>
      </w:pPr>
      <w:r>
        <w:rPr>
          <w:rFonts w:hint="eastAsia" w:ascii="宋体" w:hAnsi="宋体"/>
          <w:sz w:val="24"/>
        </w:rPr>
        <w:t xml:space="preserve">3、甲、乙双方用邮件、短信、电话、传真等发送通知时，凡涉及各方权利、义务的，应随之以书面信件通过特快专递通知对方。</w:t>
      </w:r>
      <w:r/>
    </w:p>
    <w:p>
      <w:pPr>
        <w:ind w:firstLine="480"/>
        <w:spacing w:line="450" w:lineRule="exact"/>
        <w:rPr>
          <w:rFonts w:hint="eastAsia" w:ascii="宋体" w:hAnsi="宋体"/>
          <w:sz w:val="24"/>
        </w:rPr>
      </w:pPr>
      <w:r>
        <w:rPr>
          <w:rFonts w:hint="eastAsia" w:ascii="宋体" w:hAnsi="宋体"/>
          <w:sz w:val="24"/>
        </w:rPr>
        <w:t xml:space="preserve">4、本合同自双方授权代表签署盖章(含骑缝章)之日起生效。合同文本共四页一式四份，具有同等法律效力，双方各执二份。</w:t>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0"/>
        <w:gridCol w:w="4400"/>
      </w:tblGrid>
      <w:tr>
        <w:trPr>
          <w:jc w:val="center"/>
          <w:trHeight w:val="1105"/>
        </w:trPr>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甲方：</w:t>
            </w:r>
            <w:r>
              <w:rPr>
                <w:rFonts w:hint="eastAsia" w:ascii="宋体" w:hAnsi="宋体"/>
                <w:sz w:val="24"/>
              </w:rPr>
              <w:t xml:space="preserve">武进高新技术产业开发区创新发展中心</w:t>
            </w:r>
            <w:r/>
          </w:p>
        </w:tc>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乙方：</w:t>
            </w:r>
            <w:r/>
          </w:p>
        </w:tc>
      </w:tr>
      <w:tr>
        <w:trPr>
          <w:jc w:val="center"/>
          <w:trHeight w:val="2199"/>
        </w:trPr>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授权代表：</w:t>
            </w:r>
            <w:r/>
          </w:p>
          <w:p>
            <w:pPr>
              <w:spacing w:line="450" w:lineRule="exact"/>
              <w:rPr>
                <w:rFonts w:hint="eastAsia" w:ascii="宋体" w:hAnsi="宋体"/>
                <w:sz w:val="24"/>
              </w:rPr>
            </w:pPr>
            <w:r>
              <w:rPr>
                <w:rFonts w:hint="eastAsia" w:ascii="宋体" w:hAnsi="宋体"/>
                <w:sz w:val="24"/>
              </w:rPr>
            </w:r>
            <w:r/>
          </w:p>
          <w:p>
            <w:pPr>
              <w:spacing w:line="450" w:lineRule="exact"/>
              <w:rPr>
                <w:rFonts w:hint="eastAsia" w:ascii="宋体" w:hAnsi="宋体"/>
                <w:sz w:val="24"/>
              </w:rPr>
            </w:pPr>
            <w:r>
              <w:rPr>
                <w:rFonts w:hint="eastAsia" w:ascii="宋体" w:hAnsi="宋体"/>
                <w:sz w:val="24"/>
              </w:rPr>
            </w:r>
            <w:r/>
          </w:p>
          <w:p>
            <w:pPr>
              <w:jc w:val="right"/>
              <w:spacing w:line="450" w:lineRule="exact"/>
              <w:rPr>
                <w:rFonts w:hint="eastAsia" w:ascii="宋体" w:hAnsi="宋体"/>
                <w:szCs w:val="20"/>
              </w:rPr>
            </w:pPr>
            <w:r>
              <w:rPr>
                <w:rFonts w:hint="eastAsia" w:ascii="宋体" w:hAnsi="宋体"/>
                <w:sz w:val="24"/>
              </w:rPr>
              <w:t xml:space="preserve">（签字盖章）</w:t>
            </w:r>
            <w:r/>
          </w:p>
        </w:tc>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授权代表：</w:t>
            </w:r>
            <w:r/>
          </w:p>
          <w:p>
            <w:pPr>
              <w:spacing w:line="450" w:lineRule="exact"/>
              <w:rPr>
                <w:rFonts w:hint="eastAsia" w:ascii="宋体" w:hAnsi="宋体"/>
                <w:sz w:val="24"/>
              </w:rPr>
            </w:pPr>
            <w:r>
              <w:rPr>
                <w:rFonts w:hint="eastAsia" w:ascii="宋体" w:hAnsi="宋体"/>
                <w:sz w:val="24"/>
              </w:rPr>
            </w:r>
            <w:r/>
          </w:p>
          <w:p>
            <w:pPr>
              <w:spacing w:line="450" w:lineRule="exact"/>
              <w:rPr>
                <w:rFonts w:hint="eastAsia" w:ascii="宋体" w:hAnsi="宋体"/>
                <w:sz w:val="24"/>
              </w:rPr>
            </w:pPr>
            <w:r>
              <w:rPr>
                <w:rFonts w:hint="eastAsia" w:ascii="宋体" w:hAnsi="宋体"/>
                <w:sz w:val="24"/>
              </w:rPr>
            </w:r>
            <w:r/>
          </w:p>
          <w:p>
            <w:pPr>
              <w:jc w:val="right"/>
              <w:spacing w:line="450" w:lineRule="exact"/>
              <w:rPr>
                <w:rFonts w:hint="eastAsia" w:ascii="宋体" w:hAnsi="宋体"/>
                <w:szCs w:val="20"/>
              </w:rPr>
            </w:pPr>
            <w:r>
              <w:rPr>
                <w:rFonts w:hint="eastAsia" w:ascii="宋体" w:hAnsi="宋体"/>
                <w:sz w:val="24"/>
              </w:rPr>
              <w:t xml:space="preserve">（签字盖章）</w:t>
            </w:r>
            <w:r/>
          </w:p>
        </w:tc>
      </w:tr>
      <w:tr>
        <w:trPr>
          <w:jc w:val="center"/>
          <w:trHeight w:val="559"/>
        </w:trPr>
        <w:tc>
          <w:tcPr>
            <w:tcW w:w="4400" w:type="dxa"/>
            <w:vAlign w:val="center"/>
            <w:textDirection w:val="lrTb"/>
            <w:noWrap w:val="false"/>
          </w:tcPr>
          <w:p>
            <w:pPr>
              <w:spacing w:line="450" w:lineRule="exact"/>
              <w:widowControl/>
              <w:rPr>
                <w:rFonts w:hint="eastAsia" w:ascii="宋体" w:hAnsi="宋体"/>
                <w:sz w:val="24"/>
              </w:rPr>
            </w:pPr>
            <w:r>
              <w:rPr>
                <w:rFonts w:hint="eastAsia" w:ascii="宋体" w:hAnsi="宋体"/>
                <w:sz w:val="24"/>
              </w:rPr>
              <w:t xml:space="preserve">地址：</w:t>
            </w:r>
            <w:r/>
          </w:p>
        </w:tc>
        <w:tc>
          <w:tcPr>
            <w:tcW w:w="4400" w:type="dxa"/>
            <w:vAlign w:val="center"/>
            <w:textDirection w:val="lrTb"/>
            <w:noWrap w:val="false"/>
          </w:tcPr>
          <w:p>
            <w:pPr>
              <w:spacing w:line="450" w:lineRule="exact"/>
              <w:widowControl/>
              <w:rPr>
                <w:rFonts w:hint="eastAsia" w:ascii="宋体" w:hAnsi="宋体"/>
                <w:sz w:val="24"/>
              </w:rPr>
            </w:pPr>
            <w:r>
              <w:rPr>
                <w:rFonts w:hint="eastAsia" w:ascii="宋体" w:hAnsi="宋体"/>
                <w:sz w:val="24"/>
              </w:rPr>
              <w:t xml:space="preserve">地址：</w:t>
            </w:r>
            <w:r/>
          </w:p>
        </w:tc>
      </w:tr>
      <w:tr>
        <w:trPr>
          <w:jc w:val="center"/>
          <w:trHeight w:val="559"/>
        </w:trPr>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电话</w:t>
            </w:r>
            <w:r/>
          </w:p>
        </w:tc>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电话</w:t>
            </w:r>
            <w:r/>
          </w:p>
        </w:tc>
      </w:tr>
      <w:tr>
        <w:trPr>
          <w:jc w:val="center"/>
          <w:trHeight w:val="571"/>
        </w:trPr>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日期：</w:t>
            </w:r>
            <w:r/>
          </w:p>
        </w:tc>
        <w:tc>
          <w:tcPr>
            <w:tcW w:w="4400" w:type="dxa"/>
            <w:vAlign w:val="center"/>
            <w:textDirection w:val="lrTb"/>
            <w:noWrap w:val="false"/>
          </w:tcPr>
          <w:p>
            <w:pPr>
              <w:spacing w:line="450" w:lineRule="exact"/>
              <w:rPr>
                <w:rFonts w:hint="eastAsia" w:ascii="宋体" w:hAnsi="宋体"/>
                <w:sz w:val="24"/>
              </w:rPr>
            </w:pPr>
            <w:r>
              <w:rPr>
                <w:rFonts w:hint="eastAsia" w:ascii="宋体" w:hAnsi="宋体"/>
                <w:sz w:val="24"/>
              </w:rPr>
              <w:t xml:space="preserve">日期：</w:t>
            </w:r>
            <w:r/>
          </w:p>
        </w:tc>
      </w:tr>
    </w:tbl>
    <w:p>
      <w:pPr>
        <w:spacing w:line="450" w:lineRule="exact"/>
        <w:rPr>
          <w:rFonts w:hint="eastAsia" w:ascii="宋体" w:hAnsi="宋体"/>
          <w:szCs w:val="20"/>
        </w:rPr>
      </w:pPr>
      <w:r>
        <w:rPr>
          <w:rFonts w:hint="eastAsia" w:ascii="宋体" w:hAnsi="宋体"/>
          <w:szCs w:val="20"/>
        </w:rPr>
      </w:r>
      <w:r/>
    </w:p>
    <w:p>
      <w:pPr>
        <w:spacing w:line="450" w:lineRule="exact"/>
        <w:rPr>
          <w:rFonts w:hint="eastAsia" w:ascii="宋体" w:hAnsi="宋体" w:cs="楷体"/>
          <w:sz w:val="24"/>
        </w:rPr>
      </w:pPr>
      <w:r>
        <w:rPr>
          <w:rFonts w:hint="eastAsia" w:ascii="宋体" w:hAnsi="宋体" w:cs="楷体"/>
          <w:sz w:val="24"/>
        </w:rPr>
        <w:t xml:space="preserve">★.备注：甲乙双方必须以本格式文本拟订合同。</w:t>
      </w:r>
      <w:r/>
    </w:p>
    <w:p>
      <w:pPr>
        <w:rPr>
          <w:rFonts w:hint="eastAsia" w:ascii="宋体" w:hAnsi="宋体"/>
          <w:b/>
          <w:szCs w:val="21"/>
        </w:rPr>
      </w:pPr>
      <w:r>
        <w:rPr>
          <w:rFonts w:ascii="宋体" w:hAnsi="宋体"/>
          <w:b/>
          <w:szCs w:val="21"/>
        </w:rPr>
        <w:br w:type="page" w:clear="all"/>
      </w:r>
      <w:r/>
    </w:p>
    <w:p>
      <w:pPr>
        <w:pStyle w:val="1095"/>
        <w:ind w:firstLine="210"/>
      </w:pPr>
      <w:r/>
      <w:r/>
    </w:p>
    <w:p>
      <w:pPr>
        <w:jc w:val="center"/>
        <w:spacing w:line="360" w:lineRule="auto"/>
        <w:rPr>
          <w:b/>
          <w:sz w:val="36"/>
          <w:szCs w:val="36"/>
        </w:rPr>
        <w:outlineLvl w:val="0"/>
      </w:pPr>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投标文件的组成及提交须知</w:t>
      </w:r>
      <w:bookmarkEnd w:id="816"/>
      <w:r/>
      <w:r/>
    </w:p>
    <w:tbl>
      <w:tblPr>
        <w:tblStyle w:val="1079"/>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szCs w:val="21"/>
              </w:rPr>
            </w:pPr>
            <w:r/>
            <w:bookmarkStart w:id="822" w:name="_Toc86202633"/>
            <w:r>
              <w:rPr>
                <w:rFonts w:hint="eastAsia" w:ascii="宋体" w:hAnsi="宋体" w:cs="宋体"/>
                <w:b/>
                <w:szCs w:val="21"/>
                <w:lang w:bidi="ar"/>
              </w:rPr>
              <w:t xml:space="preserve">名称</w:t>
            </w:r>
            <w:bookmarkEnd w:id="822"/>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落实政府采购政策需满足的资格条件（详见第一章“</w:t>
            </w:r>
            <w:r>
              <w:rPr>
                <w:rFonts w:hint="eastAsia" w:ascii="宋体" w:hAnsi="宋体" w:cs="宋体"/>
                <w:szCs w:val="21"/>
              </w:rPr>
              <w:t xml:space="preserve">投标</w:t>
            </w:r>
            <w:r>
              <w:rPr>
                <w:rFonts w:ascii="宋体" w:hAnsi="宋体" w:cs="宋体"/>
                <w:szCs w:val="21"/>
              </w:rPr>
              <w:t xml:space="preserve">邀请”）：如采购公告中明确专门面向中小/小微企业采购，须按要求提供中小企业声明函</w:t>
            </w:r>
            <w:r>
              <w:rPr>
                <w:rFonts w:hint="eastAsia" w:ascii="宋体" w:hAnsi="宋体" w:cs="宋体"/>
                <w:szCs w:val="21"/>
              </w:rPr>
              <w:t xml:space="preserve">；如不专门面向可不提供。</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资格审查”—“资格性检查要求”）</w:t>
            </w:r>
            <w:r/>
          </w:p>
        </w:tc>
      </w:tr>
      <w:tr>
        <w:trPr>
          <w:trHeight w:val="28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*投标分项报价表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采用综合评分法的项目，每项评分材料按第四章“评审标准”评分细则中对应评分项目（或数字编号）分别上传。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23" w:name="_Toc139400581"/>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23"/>
            <w:r/>
            <w:r/>
          </w:p>
          <w:p>
            <w:pPr>
              <w:jc w:val="left"/>
              <w:keepNext/>
              <w:spacing w:line="480" w:lineRule="exact"/>
              <w:rPr>
                <w:rFonts w:hint="eastAsia" w:ascii="宋体" w:hAnsi="宋体" w:cs="宋体"/>
                <w:b/>
                <w:bCs/>
                <w:szCs w:val="21"/>
                <w:u w:val="single"/>
                <w:lang w:bidi="ar"/>
              </w:rPr>
              <w:outlineLvl w:val="0"/>
            </w:pPr>
            <w:r/>
            <w:bookmarkStart w:id="824" w:name="_Toc139400582"/>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24"/>
            <w:r/>
            <w:r/>
          </w:p>
          <w:p>
            <w:pPr>
              <w:jc w:val="left"/>
              <w:keepNext/>
              <w:spacing w:line="480" w:lineRule="exact"/>
              <w:rPr>
                <w:rFonts w:hint="eastAsia" w:ascii="宋体" w:hAnsi="宋体" w:cs="宋体"/>
                <w:b/>
                <w:bCs/>
                <w:szCs w:val="21"/>
                <w:u w:val="single"/>
                <w:lang w:bidi="ar"/>
              </w:rPr>
              <w:outlineLvl w:val="0"/>
            </w:pPr>
            <w:r/>
            <w:bookmarkStart w:id="825" w:name="_Toc139400583"/>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25"/>
            <w:r/>
            <w:r/>
          </w:p>
          <w:p>
            <w:pPr>
              <w:jc w:val="left"/>
              <w:keepNext/>
              <w:spacing w:line="480" w:lineRule="exact"/>
              <w:rPr>
                <w:rFonts w:hint="eastAsia" w:ascii="宋体" w:hAnsi="宋体" w:cs="宋体"/>
                <w:b/>
                <w:bCs/>
                <w:szCs w:val="21"/>
                <w:u w:val="single"/>
                <w:lang w:bidi="ar"/>
              </w:rPr>
              <w:outlineLvl w:val="0"/>
            </w:pPr>
            <w:r/>
            <w:bookmarkStart w:id="826" w:name="_Toc139400584"/>
            <w:r>
              <w:rPr>
                <w:rFonts w:hint="eastAsia" w:ascii="宋体" w:hAnsi="宋体" w:cs="宋体"/>
                <w:b/>
                <w:bCs/>
                <w:szCs w:val="21"/>
                <w:u w:val="single"/>
                <w:lang w:bidi="ar"/>
              </w:rPr>
              <w:t xml:space="preserve">4.投标文件应按照招标文件要求的格式填写，无相应内容填写可填写“无”等明确的回答。</w:t>
            </w:r>
            <w:bookmarkEnd w:id="826"/>
            <w:r/>
            <w:r/>
          </w:p>
          <w:p>
            <w:pPr>
              <w:jc w:val="left"/>
              <w:keepNext/>
              <w:spacing w:line="480" w:lineRule="exact"/>
              <w:rPr>
                <w:rFonts w:hint="eastAsia" w:ascii="宋体" w:hAnsi="宋体" w:cs="宋体"/>
                <w:b/>
                <w:szCs w:val="21"/>
              </w:rPr>
              <w:outlineLvl w:val="0"/>
            </w:pPr>
            <w:r/>
            <w:bookmarkStart w:id="827"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27"/>
            <w:r/>
            <w:bookmarkEnd w:id="817"/>
            <w:r/>
            <w:bookmarkEnd w:id="818"/>
            <w:r/>
            <w:bookmarkEnd w:id="819"/>
            <w:r/>
            <w:bookmarkEnd w:id="820"/>
            <w:r/>
            <w:bookmarkEnd w:id="821"/>
            <w:r/>
            <w:r/>
          </w:p>
        </w:tc>
      </w:tr>
    </w:tbl>
    <w:p>
      <w:pPr>
        <w:jc w:val="center"/>
        <w:spacing w:line="360" w:lineRule="auto"/>
        <w:rPr>
          <w:b/>
          <w:sz w:val="36"/>
          <w:szCs w:val="36"/>
        </w:rPr>
        <w:outlineLvl w:val="0"/>
      </w:pPr>
      <w:r>
        <w:rPr>
          <w:b/>
          <w:sz w:val="36"/>
          <w:szCs w:val="36"/>
        </w:rPr>
        <w:br w:type="page" w:clear="all"/>
      </w:r>
      <w:bookmarkStart w:id="828" w:name="_Toc139400586"/>
      <w:r>
        <w:rPr>
          <w:b/>
          <w:sz w:val="36"/>
          <w:szCs w:val="36"/>
        </w:rPr>
        <w:t xml:space="preserve">第</w:t>
      </w:r>
      <w:r>
        <w:rPr>
          <w:rFonts w:hint="eastAsia"/>
          <w:b/>
          <w:sz w:val="36"/>
          <w:szCs w:val="36"/>
        </w:rPr>
        <w:t xml:space="preserve">八</w:t>
      </w:r>
      <w:r>
        <w:rPr>
          <w:b/>
          <w:sz w:val="36"/>
          <w:szCs w:val="36"/>
        </w:rPr>
        <w:t xml:space="preserve">章   投标文件格式</w:t>
      </w:r>
      <w:bookmarkEnd w:id="828"/>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outlineLvl w:val="0"/>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7"/>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084"/>
      </w:pPr>
      <w:r/>
      <w:r/>
    </w:p>
    <w:p>
      <w:pPr>
        <w:pStyle w:val="1084"/>
        <w:ind w:firstLine="0"/>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p>
    <w:p>
      <w:pPr>
        <w:pStyle w:val="1084"/>
      </w:pPr>
      <w:r/>
      <w:r/>
    </w:p>
    <w:p>
      <w:pPr>
        <w:pStyle w:val="1084"/>
      </w:pPr>
      <w:r/>
      <w:r/>
    </w:p>
    <w:p>
      <w:pPr>
        <w:pStyle w:val="1077"/>
        <w:rPr>
          <w:rFonts w:ascii="Times New Roman"/>
          <w:b w:val="0"/>
          <w:u w:val="none"/>
        </w:rPr>
      </w:pPr>
      <w:r>
        <w:rPr>
          <w:rFonts w:ascii="Times New Roman"/>
          <w:b w:val="0"/>
          <w:u w:val="none"/>
        </w:rPr>
      </w:r>
      <w:r/>
    </w:p>
    <w:p>
      <w:pPr>
        <w:pStyle w:val="1084"/>
        <w:rPr>
          <w:rFonts w:ascii="Times New Roman"/>
          <w:b/>
        </w:rPr>
      </w:pPr>
      <w:r>
        <w:rPr>
          <w:rFonts w:ascii="Times New Roman"/>
          <w:b/>
        </w:rPr>
      </w:r>
      <w:r/>
    </w:p>
    <w:p>
      <w:pPr>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95"/>
        <w:ind w:firstLine="211"/>
        <w:rPr>
          <w:b/>
        </w:rPr>
      </w:pPr>
      <w:r>
        <w:rPr>
          <w:b/>
        </w:rPr>
      </w:r>
      <w:r/>
    </w:p>
    <w:p>
      <w:pPr>
        <w:pStyle w:val="1077"/>
        <w:rPr>
          <w:rFonts w:ascii="Times New Roman"/>
          <w:b w:val="0"/>
          <w:u w:val="none"/>
        </w:rPr>
      </w:pPr>
      <w:r>
        <w:rPr>
          <w:rFonts w:ascii="Times New Roman"/>
          <w:b w:val="0"/>
          <w:u w:val="none"/>
        </w:rPr>
      </w:r>
      <w:r/>
    </w:p>
    <w:p>
      <w:pPr>
        <w:spacing w:line="360" w:lineRule="auto"/>
        <w:rPr>
          <w:sz w:val="24"/>
        </w:rPr>
        <w:outlineLvl w:val="2"/>
      </w:pPr>
      <w:r>
        <w:rPr>
          <w:rFonts w:hint="eastAsia"/>
          <w:sz w:val="24"/>
        </w:rPr>
        <w:t xml:space="preserve">1-2</w:t>
      </w:r>
      <w:r>
        <w:rPr>
          <w:sz w:val="24"/>
        </w:rPr>
        <w:t xml:space="preserve">  </w:t>
      </w:r>
      <w:r>
        <w:rPr>
          <w:rFonts w:hint="eastAsia"/>
          <w:sz w:val="24"/>
        </w:rPr>
        <w:t xml:space="preserve">法定代表人资格证明书或授权委托书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88"/>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7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投标人为自然人或开评标评审的现场代表为法定代表人的情形，可不提供本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pStyle w:val="1102"/>
        <w:jc w:val="center"/>
        <w:spacing w:line="360" w:lineRule="exact"/>
        <w:rPr>
          <w:rFonts w:hint="eastAsia" w:cs="宋体"/>
          <w:b/>
          <w:sz w:val="28"/>
          <w:szCs w:val="28"/>
        </w:rPr>
        <w:outlineLvl w:val="1"/>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w:t>
      </w:r>
      <w:r>
        <w:rPr>
          <w:rFonts w:hint="eastAsia" w:ascii="宋体" w:hAnsi="宋体"/>
          <w:sz w:val="24"/>
          <w:szCs w:val="20"/>
        </w:rPr>
        <w:t xml:space="preserve">投标单位</w:t>
      </w:r>
      <w:r>
        <w:rPr>
          <w:rFonts w:hint="eastAsia" w:ascii="宋体" w:hAnsi="宋体" w:cs="宋体"/>
          <w:sz w:val="24"/>
        </w:rPr>
        <w:t xml:space="preserve">名称）的法定代表人，现授权委托__________________（被授权人的姓名、职务）为本次投标中我单位的合法代理人，全权负责参加本次项目的投标、签订合约以及与之相关的各项工作。本</w:t>
      </w:r>
      <w:r>
        <w:rPr>
          <w:rFonts w:hint="eastAsia" w:ascii="宋体" w:hAnsi="宋体"/>
          <w:sz w:val="24"/>
          <w:szCs w:val="20"/>
        </w:rPr>
        <w:t xml:space="preserve">投标单位</w:t>
      </w:r>
      <w:r>
        <w:rPr>
          <w:rFonts w:hint="eastAsia" w:ascii="宋体" w:hAnsi="宋体" w:cs="宋体"/>
          <w:sz w:val="24"/>
        </w:rPr>
        <w:t xml:space="preserve">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sz w:val="24"/>
          <w:szCs w:val="20"/>
        </w:rPr>
        <w:t xml:space="preserve">投标人</w:t>
      </w:r>
      <w:r>
        <w:rPr>
          <w:rFonts w:hint="eastAsia" w:ascii="宋体" w:hAnsi="宋体" w:cs="宋体"/>
          <w:szCs w:val="21"/>
        </w:rPr>
        <w:t xml:space="preserve">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1.法定代表人参加投标时，需附本人身份证原件扫描件。</w:t>
      </w:r>
      <w:r/>
    </w:p>
    <w:p>
      <w:pPr>
        <w:rPr>
          <w:sz w:val="24"/>
        </w:rPr>
      </w:pPr>
      <w:r>
        <w:rPr>
          <w:rFonts w:hint="eastAsia" w:ascii="宋体" w:hAnsi="宋体" w:cs="宋体"/>
          <w:szCs w:val="21"/>
        </w:rPr>
        <w:t xml:space="preserve">2.委托代理人参加投标时，需附授权委托书和本人身份证原件扫描件。</w:t>
      </w:r>
      <w:r/>
    </w:p>
    <w:p>
      <w:pPr>
        <w:pStyle w:val="1077"/>
        <w:rPr>
          <w:rFonts w:ascii="Times New Roman"/>
          <w:b w:val="0"/>
          <w:bCs/>
          <w:u w:val="none"/>
        </w:rPr>
      </w:pPr>
      <w:r>
        <w:br w:type="page" w:clear="all"/>
      </w:r>
      <w:r>
        <w:rPr>
          <w:rFonts w:ascii="Times New Roman"/>
          <w:b w:val="0"/>
          <w:u w:val="none"/>
        </w:rPr>
        <w:t xml:space="preserve">1-</w:t>
      </w:r>
      <w:r>
        <w:rPr>
          <w:rFonts w:hint="eastAsia" w:ascii="Times New Roman"/>
          <w:b w:val="0"/>
          <w:u w:val="none"/>
        </w:rPr>
        <w:t xml:space="preserve">3</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outlineLvl w:val="1"/>
      </w:pPr>
      <w:r>
        <w:rPr>
          <w:rFonts w:hint="eastAsia" w:ascii="宋体" w:hAnsi="宋体" w:cs="宋体"/>
          <w:b/>
          <w:sz w:val="28"/>
          <w:szCs w:val="28"/>
        </w:rPr>
        <w:t xml:space="preserve">投标人资格声明函</w:t>
      </w:r>
      <w:r/>
    </w:p>
    <w:p>
      <w:pPr>
        <w:pStyle w:val="1084"/>
        <w:ind w:firstLine="480"/>
        <w:spacing w:line="460" w:lineRule="exact"/>
      </w:pPr>
      <w:r/>
      <w:r/>
    </w:p>
    <w:p>
      <w:pPr>
        <w:pStyle w:val="1084"/>
        <w:ind w:firstLine="480"/>
        <w:spacing w:line="460" w:lineRule="exact"/>
      </w:pPr>
      <w:r>
        <w:rPr>
          <w:rFonts w:hint="eastAsia"/>
        </w:rPr>
        <w:t xml:space="preserve">致：江苏晟泽工程造价咨询有限公司</w:t>
      </w:r>
      <w:r/>
    </w:p>
    <w:p>
      <w:pPr>
        <w:pStyle w:val="1084"/>
        <w:ind w:firstLine="960"/>
        <w:spacing w:line="460" w:lineRule="exact"/>
        <w:rPr>
          <w:u w:val="single"/>
        </w:rPr>
      </w:pPr>
      <w:r>
        <w:rPr>
          <w:rFonts w:hint="eastAsia"/>
          <w:u w:val="single"/>
        </w:rPr>
        <w:t xml:space="preserve">（采购人名称）</w:t>
      </w:r>
      <w:r/>
    </w:p>
    <w:p>
      <w:pPr>
        <w:pStyle w:val="1084"/>
        <w:ind w:firstLine="480"/>
        <w:spacing w:line="460" w:lineRule="exact"/>
      </w:pPr>
      <w:r/>
      <w:r/>
    </w:p>
    <w:p>
      <w:pPr>
        <w:pStyle w:val="1084"/>
        <w:ind w:firstLine="480"/>
        <w:spacing w:line="460" w:lineRule="exact"/>
      </w:pPr>
      <w:r>
        <w:rPr>
          <w:rFonts w:hint="eastAsia"/>
        </w:rPr>
        <w:t xml:space="preserve">按照《中华人民共和国政府采购法》第二十二条和招标文件的规定，我单位郑重声明如下：</w:t>
      </w:r>
      <w:r/>
    </w:p>
    <w:p>
      <w:pPr>
        <w:pStyle w:val="108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84"/>
        <w:ind w:firstLine="480"/>
        <w:spacing w:line="460" w:lineRule="exact"/>
      </w:pPr>
      <w:r>
        <w:rPr>
          <w:rFonts w:hint="eastAsia"/>
        </w:rPr>
        <w:t xml:space="preserve">二、我单位具有良好的商业信誉（指投标人经营状况良好，无本资格声明第十条情形）和健全的财务会计制度。</w:t>
      </w:r>
      <w:r/>
    </w:p>
    <w:p>
      <w:pPr>
        <w:pStyle w:val="1084"/>
        <w:ind w:firstLine="480"/>
        <w:spacing w:line="460" w:lineRule="exact"/>
      </w:pPr>
      <w:r>
        <w:rPr>
          <w:rFonts w:hint="eastAsia"/>
        </w:rPr>
        <w:t xml:space="preserve">三、我单位依法进行纳税和社会保险申报并实际履行了义务。</w:t>
      </w:r>
      <w:r/>
    </w:p>
    <w:p>
      <w:pPr>
        <w:pStyle w:val="108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84"/>
        <w:ind w:firstLine="480"/>
        <w:spacing w:line="460" w:lineRule="exact"/>
      </w:pPr>
      <w:r>
        <w:rPr>
          <w:rFonts w:hint="eastAsia"/>
        </w:rPr>
        <w:t xml:space="preserve">主要设备有：</w:t>
      </w:r>
      <w:r>
        <w:rPr>
          <w:u w:val="single"/>
        </w:rPr>
        <w:t xml:space="preserve">            </w:t>
      </w:r>
      <w:r/>
    </w:p>
    <w:p>
      <w:pPr>
        <w:pStyle w:val="1084"/>
        <w:ind w:firstLine="480"/>
        <w:spacing w:line="460" w:lineRule="exact"/>
      </w:pPr>
      <w:r>
        <w:rPr>
          <w:rFonts w:hint="eastAsia"/>
        </w:rPr>
        <w:t xml:space="preserve">主要专业技术能力有</w:t>
      </w:r>
      <w:r>
        <w:rPr>
          <w:rFonts w:hint="eastAsia"/>
          <w:u w:val="single"/>
        </w:rPr>
        <w:t xml:space="preserve">                 </w:t>
      </w:r>
      <w:r/>
    </w:p>
    <w:p>
      <w:pPr>
        <w:pStyle w:val="108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4"/>
        <w:ind w:firstLine="480"/>
        <w:spacing w:line="460" w:lineRule="exact"/>
      </w:pPr>
      <w:r>
        <w:rPr>
          <w:rFonts w:hint="eastAsia"/>
        </w:rPr>
        <w:t xml:space="preserve">六、我单位具备法律、行政法规规定的其他条件。</w:t>
      </w:r>
      <w:r/>
    </w:p>
    <w:p>
      <w:pPr>
        <w:pStyle w:val="108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8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8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8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8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84"/>
        <w:ind w:firstLine="480"/>
        <w:spacing w:line="460" w:lineRule="exact"/>
      </w:pPr>
      <w:r>
        <w:rPr>
          <w:rFonts w:hint="eastAsia"/>
        </w:rPr>
        <w:t xml:space="preserve">九、</w:t>
      </w:r>
      <w:r>
        <w:t xml:space="preserve">我单位无以下不良信用记录情形：</w:t>
      </w:r>
      <w:r/>
    </w:p>
    <w:p>
      <w:pPr>
        <w:pStyle w:val="1084"/>
        <w:ind w:firstLine="480"/>
        <w:spacing w:line="460" w:lineRule="exact"/>
      </w:pPr>
      <w:r>
        <w:t xml:space="preserve">1</w:t>
      </w:r>
      <w:r>
        <w:rPr>
          <w:rFonts w:hint="eastAsia"/>
        </w:rPr>
        <w:t xml:space="preserve">、在“信用中国”网站被列入失信被执行人和重大税收违法案件当事人名单；</w:t>
      </w:r>
      <w:r/>
    </w:p>
    <w:p>
      <w:pPr>
        <w:pStyle w:val="1084"/>
        <w:ind w:firstLine="480"/>
        <w:spacing w:line="460" w:lineRule="exact"/>
      </w:pPr>
      <w:r>
        <w:t xml:space="preserve">2</w:t>
      </w:r>
      <w:r>
        <w:rPr>
          <w:rFonts w:hint="eastAsia"/>
        </w:rPr>
        <w:t xml:space="preserve">、在“中国政府采购网”网站被列入政府采购严重违法失信行为记录名单；</w:t>
      </w:r>
      <w:r/>
    </w:p>
    <w:p>
      <w:pPr>
        <w:pStyle w:val="1084"/>
        <w:ind w:firstLine="480"/>
        <w:spacing w:line="460" w:lineRule="exact"/>
      </w:pPr>
      <w:r>
        <w:t xml:space="preserve">3</w:t>
      </w:r>
      <w:r>
        <w:rPr>
          <w:rFonts w:hint="eastAsia"/>
        </w:rPr>
        <w:t xml:space="preserve">、</w:t>
      </w:r>
      <w:r>
        <w:t xml:space="preserve">不符合《政府采购法》第二十二条规定的条件。</w:t>
      </w:r>
      <w:r/>
    </w:p>
    <w:p>
      <w:pPr>
        <w:pStyle w:val="1084"/>
        <w:ind w:firstLine="480"/>
        <w:spacing w:line="460" w:lineRule="exact"/>
      </w:pPr>
      <w:r/>
      <w:r/>
    </w:p>
    <w:p>
      <w:pPr>
        <w:pStyle w:val="108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84"/>
        <w:ind w:firstLine="480"/>
        <w:spacing w:line="460" w:lineRule="exact"/>
      </w:pPr>
      <w:r/>
      <w:r/>
    </w:p>
    <w:p>
      <w:pPr>
        <w:pStyle w:val="1084"/>
        <w:ind w:firstLine="480"/>
        <w:spacing w:line="460" w:lineRule="exact"/>
      </w:pPr>
      <w:r/>
      <w:r/>
    </w:p>
    <w:p>
      <w:pPr>
        <w:pStyle w:val="1084"/>
        <w:ind w:firstLine="480"/>
        <w:spacing w:line="460" w:lineRule="exact"/>
      </w:pPr>
      <w:r>
        <w:rPr>
          <w:rFonts w:hint="eastAsia"/>
        </w:rPr>
        <w:t xml:space="preserve">                                            投标人：（加盖公章）</w:t>
      </w:r>
      <w:r/>
    </w:p>
    <w:p>
      <w:pPr>
        <w:pStyle w:val="1084"/>
        <w:ind w:firstLine="480"/>
        <w:spacing w:line="460" w:lineRule="exact"/>
      </w:pPr>
      <w:r>
        <w:rPr>
          <w:rFonts w:hint="eastAsia"/>
        </w:rPr>
        <w:t xml:space="preserve">                                        法定代表人（或单位负责人）签字或盖章：</w:t>
      </w:r>
      <w:r/>
    </w:p>
    <w:p>
      <w:pPr>
        <w:pStyle w:val="1084"/>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ascii="宋体" w:hAnsi="宋体"/>
          <w:sz w:val="24"/>
          <w:szCs w:val="20"/>
        </w:rPr>
        <w:t xml:space="preserve">投标人</w:t>
      </w:r>
      <w:r>
        <w:rPr>
          <w:rFonts w:hint="eastAsia"/>
          <w:sz w:val="24"/>
        </w:rPr>
        <w:t xml:space="preserve">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3"/>
          <w:footerReference w:type="even"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left"/>
        <w:keepLines/>
        <w:keepNext/>
        <w:spacing w:before="120" w:line="300" w:lineRule="auto"/>
        <w:rPr>
          <w:b/>
          <w:spacing w:val="20"/>
          <w:sz w:val="24"/>
        </w:rPr>
        <w:outlineLvl w:val="1"/>
      </w:pPr>
      <w:r>
        <w:rPr>
          <w:b/>
          <w:spacing w:val="20"/>
          <w:sz w:val="24"/>
        </w:rPr>
      </w:r>
      <w:r/>
    </w:p>
    <w:p>
      <w:pPr>
        <w:spacing w:line="360" w:lineRule="auto"/>
        <w:rPr>
          <w:sz w:val="24"/>
        </w:rPr>
        <w:outlineLvl w:val="2"/>
      </w:pPr>
      <w:r>
        <w:rPr>
          <w:rFonts w:hint="eastAsia"/>
          <w:sz w:val="24"/>
        </w:rPr>
        <w:t xml:space="preserve">1-4  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03"/>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keepLines/>
        <w:keepNext/>
        <w:spacing w:before="120" w:line="300" w:lineRule="auto"/>
        <w:rPr>
          <w:b/>
          <w:spacing w:val="20"/>
          <w:sz w:val="24"/>
        </w:rPr>
        <w:outlineLvl w:val="1"/>
      </w:pPr>
      <w:r>
        <w:br w:type="page" w:clear="all"/>
      </w:r>
      <w:r>
        <w:rPr>
          <w:b/>
          <w:spacing w:val="20"/>
          <w:sz w:val="24"/>
        </w:rPr>
        <w:t xml:space="preserve">二、商务技术文件格式</w:t>
      </w:r>
      <w:bookmarkStart w:id="829" w:name="_Toc226965746"/>
      <w:r/>
      <w:bookmarkStart w:id="830" w:name="_Toc150774761"/>
      <w:r/>
      <w:bookmarkStart w:id="831" w:name="_Toc142311058"/>
      <w:r/>
      <w:bookmarkStart w:id="832" w:name="_Toc480942349"/>
      <w:r/>
      <w:bookmarkStart w:id="833" w:name="_Toc226337252"/>
      <w:r/>
      <w:bookmarkStart w:id="834" w:name="_Toc195842921"/>
      <w:r/>
      <w:bookmarkStart w:id="835" w:name="_Toc150480794"/>
      <w:r/>
      <w:bookmarkStart w:id="836" w:name="_Toc127151556"/>
      <w:r/>
      <w:bookmarkStart w:id="837" w:name="_Toc226965829"/>
      <w:r/>
      <w:bookmarkStart w:id="838" w:name="_Toc226309800"/>
      <w:r/>
      <w:bookmarkStart w:id="839" w:name="_Ref467988698"/>
      <w:r/>
      <w:bookmarkStart w:id="840" w:name="_Toc520356217"/>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江苏晟泽工程造价咨询有限公司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szCs w:val="20"/>
        </w:rPr>
      </w:pPr>
      <w:r/>
      <w:bookmarkStart w:id="841" w:name="_Hlt520355938"/>
      <w:r/>
      <w:bookmarkEnd w:id="841"/>
      <w:r/>
      <w:bookmarkStart w:id="842" w:name="_Hlt520356243"/>
      <w:r/>
      <w:bookmarkEnd w:id="842"/>
      <w:r>
        <w:rPr>
          <w:sz w:val="24"/>
        </w:rPr>
        <w:br w:type="page" w:clear="all"/>
      </w:r>
      <w:bookmarkStart w:id="843" w:name="_Hlt520274407"/>
      <w:r/>
      <w:bookmarkEnd w:id="843"/>
      <w:r/>
      <w:bookmarkStart w:id="844" w:name="_Hlt520274065"/>
      <w:r/>
      <w:bookmarkEnd w:id="844"/>
      <w:r/>
      <w:bookmarkStart w:id="845" w:name="_Hlt520274393"/>
      <w:r/>
      <w:bookmarkEnd w:id="845"/>
      <w:r/>
      <w:bookmarkStart w:id="846" w:name="_Hlt520273711"/>
      <w:r/>
      <w:bookmarkEnd w:id="846"/>
      <w:r/>
      <w:bookmarkStart w:id="847" w:name="_Hlt520343392"/>
      <w:r/>
      <w:bookmarkEnd w:id="847"/>
      <w:r/>
      <w:bookmarkStart w:id="848" w:name="_Hlt520274121"/>
      <w:r/>
      <w:bookmarkEnd w:id="848"/>
      <w:r/>
      <w:bookmarkStart w:id="849" w:name="_Hlt520350918"/>
      <w:r/>
      <w:bookmarkEnd w:id="849"/>
      <w:r/>
      <w:bookmarkStart w:id="850" w:name="_Hlt520271212"/>
      <w:r/>
      <w:bookmarkEnd w:id="850"/>
      <w:r/>
      <w:bookmarkStart w:id="851" w:name="_Hlt520343000"/>
      <w:r/>
      <w:bookmarkEnd w:id="851"/>
      <w:r/>
      <w:bookmarkStart w:id="852" w:name="_Hlt520355504"/>
      <w:r/>
      <w:bookmarkEnd w:id="852"/>
      <w:r/>
      <w:bookmarkStart w:id="853" w:name="_Toc265228395"/>
      <w:r/>
      <w:bookmarkStart w:id="854" w:name="_Toc305158899"/>
      <w:r/>
      <w:bookmarkStart w:id="855" w:name="_Toc226309801"/>
      <w:r/>
      <w:bookmarkStart w:id="856" w:name="_Toc226965747"/>
      <w:r/>
      <w:bookmarkStart w:id="857" w:name="_Toc520356218"/>
      <w:r/>
      <w:bookmarkStart w:id="858" w:name="_Toc150480795"/>
      <w:r/>
      <w:bookmarkStart w:id="859" w:name="_Toc226337253"/>
      <w:r/>
      <w:bookmarkStart w:id="860" w:name="_Ref467988705"/>
      <w:r/>
      <w:bookmarkStart w:id="861" w:name="_Toc264969247"/>
      <w:r/>
      <w:bookmarkStart w:id="862" w:name="_Toc226965830"/>
      <w:r/>
      <w:bookmarkStart w:id="863" w:name="_Toc305158825"/>
      <w:r/>
      <w:bookmarkStart w:id="864" w:name="_Toc142311059"/>
      <w:r/>
      <w:bookmarkStart w:id="865" w:name="_Toc480942350"/>
      <w:r/>
      <w:bookmarkStart w:id="866" w:name="_Toc150774762"/>
      <w:r/>
      <w:bookmarkStart w:id="867" w:name="_Toc127151557"/>
      <w:r/>
      <w:bookmarkStart w:id="868" w:name="_Toc195842922"/>
      <w:r/>
      <w:r/>
    </w:p>
    <w:p>
      <w:pPr>
        <w:spacing w:line="360" w:lineRule="auto"/>
        <w:rPr>
          <w:sz w:val="24"/>
          <w:szCs w:val="20"/>
        </w:rPr>
        <w:outlineLvl w:val="2"/>
      </w:pPr>
      <w:r>
        <w:rPr>
          <w:rFonts w:hint="eastAsia"/>
          <w:sz w:val="24"/>
          <w:szCs w:val="20"/>
        </w:rPr>
        <w:t xml:space="preserve">2</w:t>
      </w:r>
      <w:r>
        <w:rPr>
          <w:sz w:val="24"/>
          <w:szCs w:val="20"/>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sz w:val="24"/>
          <w:szCs w:val="20"/>
        </w:rPr>
        <w:t xml:space="preserve">（实质性格式）</w:t>
      </w:r>
      <w:r/>
    </w:p>
    <w:p>
      <w:pPr>
        <w:pStyle w:val="1104"/>
        <w:jc w:val="center"/>
        <w:rPr>
          <w:rFonts w:hint="eastAsia" w:hAnsi="宋体"/>
          <w:color w:val="auto"/>
        </w:rPr>
      </w:pPr>
      <w:r>
        <w:rPr>
          <w:color w:val="auto"/>
        </w:rPr>
        <w:t xml:space="preserve">以苏采云客户端提示流程编制提交开标一览表，开标一览表格式以投标工具中的为准。</w:t>
      </w:r>
      <w:r/>
    </w:p>
    <w:p>
      <w:pPr>
        <w:pStyle w:val="1104"/>
        <w:rPr>
          <w:rFonts w:hint="eastAsia" w:hAnsi="宋体"/>
          <w:color w:val="auto"/>
        </w:rPr>
      </w:pPr>
      <w:r>
        <w:rPr>
          <w:rFonts w:hint="eastAsia" w:hAnsi="宋体"/>
          <w:color w:val="auto"/>
        </w:rPr>
      </w:r>
      <w:r/>
    </w:p>
    <w:p>
      <w:pPr>
        <w:spacing w:before="25" w:after="25" w:line="360" w:lineRule="auto"/>
        <w:rPr>
          <w:sz w:val="24"/>
          <w:szCs w:val="20"/>
        </w:rPr>
      </w:pPr>
      <w:r>
        <w:rPr>
          <w:sz w:val="24"/>
          <w:szCs w:val="20"/>
        </w:rPr>
      </w:r>
      <w:r/>
    </w:p>
    <w:p>
      <w:pPr>
        <w:spacing w:line="360" w:lineRule="auto"/>
        <w:rPr>
          <w:rFonts w:hint="eastAsia" w:ascii="宋体" w:hAnsi="宋体"/>
          <w:sz w:val="24"/>
        </w:rPr>
        <w:outlineLvl w:val="2"/>
      </w:pPr>
      <w:r>
        <w:rPr>
          <w:sz w:val="24"/>
          <w:szCs w:val="20"/>
        </w:rPr>
        <w:br w:type="page" w:clear="all"/>
      </w:r>
      <w:bookmarkStart w:id="869" w:name="_Toc305158904"/>
      <w:r/>
      <w:bookmarkStart w:id="870" w:name="_Toc142311062"/>
      <w:r/>
      <w:bookmarkStart w:id="871" w:name="_Toc150774765"/>
      <w:r/>
      <w:bookmarkStart w:id="872" w:name="_Toc150480798"/>
      <w:r/>
      <w:bookmarkStart w:id="873" w:name="_Toc226337258"/>
      <w:r/>
      <w:bookmarkStart w:id="874" w:name="_Toc265228400"/>
      <w:r/>
      <w:bookmarkStart w:id="875" w:name="_Toc195842927"/>
      <w:r/>
      <w:bookmarkStart w:id="876" w:name="_Toc226965752"/>
      <w:r/>
      <w:bookmarkStart w:id="877" w:name="_Toc226965835"/>
      <w:r/>
      <w:bookmarkStart w:id="878" w:name="_Toc305158830"/>
      <w:r/>
      <w:bookmarkStart w:id="879" w:name="_Toc264969252"/>
      <w:r/>
      <w:bookmarkStart w:id="880" w:name="_Toc127151562"/>
      <w:r/>
      <w:bookmarkStart w:id="881" w:name="_Toc226309806"/>
      <w:r/>
      <w:bookmarkStart w:id="882" w:name="_Toc150480797"/>
      <w:r/>
      <w:bookmarkStart w:id="883" w:name="_Toc226965834"/>
      <w:r/>
      <w:bookmarkStart w:id="884" w:name="_Toc226337257"/>
      <w:r/>
      <w:bookmarkStart w:id="885" w:name="_Toc305158903"/>
      <w:r/>
      <w:bookmarkStart w:id="886" w:name="_Toc264969251"/>
      <w:r/>
      <w:bookmarkStart w:id="887" w:name="_Toc150774764"/>
      <w:r/>
      <w:bookmarkStart w:id="888" w:name="_Toc226309805"/>
      <w:r/>
      <w:bookmarkStart w:id="889" w:name="_Toc305158829"/>
      <w:r/>
      <w:bookmarkStart w:id="890" w:name="_Toc195842926"/>
      <w:r/>
      <w:bookmarkStart w:id="891" w:name="_Toc265228399"/>
      <w:r/>
      <w:bookmarkStart w:id="892" w:name="_Toc142311061"/>
      <w:r/>
      <w:bookmarkStart w:id="893" w:name="_Toc127151561"/>
      <w:r/>
      <w:bookmarkStart w:id="894" w:name="_Toc226965751"/>
      <w:r/>
      <w:r/>
    </w:p>
    <w:p>
      <w:pPr>
        <w:spacing w:line="360" w:lineRule="auto"/>
        <w:rPr>
          <w:sz w:val="24"/>
          <w:szCs w:val="20"/>
        </w:rPr>
        <w:outlineLvl w:val="2"/>
      </w:pPr>
      <w:r>
        <w:rPr>
          <w:rFonts w:hint="eastAsia"/>
          <w:sz w:val="24"/>
          <w:szCs w:val="20"/>
        </w:rPr>
        <w:t xml:space="preserve">3</w:t>
      </w:r>
      <w:r>
        <w:rPr>
          <w:sz w:val="24"/>
          <w:szCs w:val="20"/>
        </w:rPr>
        <w:t xml:space="preserve">  投标分项报价表（实质性格式）</w:t>
      </w:r>
      <w:r/>
    </w:p>
    <w:p>
      <w:pPr>
        <w:contextualSpacing/>
        <w:spacing w:line="360" w:lineRule="auto"/>
        <w:rPr>
          <w:b/>
          <w:sz w:val="24"/>
        </w:rPr>
      </w:pPr>
      <w:r>
        <w:rPr>
          <w:rFonts w:hint="eastAsia"/>
          <w:b/>
          <w:sz w:val="24"/>
        </w:rPr>
        <w:t xml:space="preserve">固定部分维护清单</w:t>
      </w:r>
      <w:r/>
    </w:p>
    <w:tbl>
      <w:tblPr>
        <w:tblStyle w:val="1079"/>
        <w:tblpPr w:horzAnchor="page" w:tblpX="1725" w:vertAnchor="text" w:tblpY="915"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7"/>
        <w:gridCol w:w="3906"/>
        <w:gridCol w:w="1214"/>
        <w:gridCol w:w="1874"/>
        <w:gridCol w:w="740"/>
        <w:gridCol w:w="1150"/>
      </w:tblGrid>
      <w:tr>
        <w:trPr>
          <w:cantSplit/>
          <w:trHeight w:val="236"/>
        </w:trPr>
        <w:tc>
          <w:tcPr>
            <w:gridSpan w:val="6"/>
            <w:tcW w:w="5000" w:type="pct"/>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sz w:val="18"/>
                <w:szCs w:val="18"/>
              </w:rPr>
              <w:t xml:space="preserve">固定部分维护清单一</w:t>
            </w:r>
            <w:r/>
          </w:p>
        </w:tc>
      </w:tr>
      <w:tr>
        <w:trPr>
          <w:cantSplit/>
          <w:trHeight w:val="462"/>
        </w:trPr>
        <w:tc>
          <w:tcPr>
            <w:tcW w:w="213" w:type="pct"/>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W w:w="2104" w:type="pct"/>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工程名称</w:t>
            </w:r>
            <w:r/>
          </w:p>
        </w:tc>
        <w:tc>
          <w:tcPr>
            <w:tcW w:w="654" w:type="pct"/>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工程造价（元）</w:t>
            </w:r>
            <w:r/>
          </w:p>
        </w:tc>
        <w:tc>
          <w:tcPr>
            <w:tcW w:w="1010" w:type="pct"/>
            <w:vAlign w:val="center"/>
            <w:textDirection w:val="lrTb"/>
            <w:noWrap w:val="false"/>
          </w:tcPr>
          <w:p>
            <w:pPr>
              <w:jc w:val="center"/>
              <w:keepNext/>
              <w:widowControl/>
              <w:rPr>
                <w:rFonts w:hint="default" w:ascii="宋体" w:hAnsi="宋体" w:eastAsia="宋体" w:cs="宋体"/>
                <w:b/>
                <w:bCs/>
                <w:sz w:val="18"/>
                <w:szCs w:val="18"/>
                <w:lang w:val="en-US" w:eastAsia="zh-CN" w:bidi="ar"/>
              </w:rPr>
            </w:pPr>
            <w:r>
              <w:rPr>
                <w:rFonts w:hint="eastAsia" w:ascii="宋体" w:hAnsi="宋体" w:cs="宋体"/>
                <w:b/>
                <w:bCs/>
                <w:sz w:val="18"/>
                <w:szCs w:val="18"/>
                <w:lang w:val="en-US" w:eastAsia="zh-CN" w:bidi="ar"/>
              </w:rPr>
              <w:t xml:space="preserve">维护费用（元）</w:t>
            </w:r>
            <w:r/>
          </w:p>
        </w:tc>
        <w:tc>
          <w:tcPr>
            <w:tcW w:w="399" w:type="pct"/>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维护时长（个月）</w:t>
            </w:r>
            <w:r/>
          </w:p>
        </w:tc>
        <w:tc>
          <w:tcPr>
            <w:tcW w:w="617" w:type="pct"/>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备注</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武进高新区网络平台工程</w:t>
            </w:r>
            <w:r/>
          </w:p>
        </w:tc>
        <w:tc>
          <w:tcPr>
            <w:tcW w:w="654" w:type="pct"/>
            <w:vAlign w:val="center"/>
            <w:vMerge w:val="restart"/>
            <w:textDirection w:val="lrTb"/>
            <w:noWrap w:val="false"/>
          </w:tcPr>
          <w:p>
            <w:pPr>
              <w:jc w:val="center"/>
              <w:keepNext/>
              <w:rPr>
                <w:rFonts w:hint="eastAsia" w:ascii="宋体" w:hAnsi="宋体" w:cs="宋体"/>
                <w:sz w:val="18"/>
                <w:szCs w:val="18"/>
              </w:rPr>
            </w:pPr>
            <w:r>
              <w:rPr>
                <w:rFonts w:hint="eastAsia" w:ascii="宋体" w:hAnsi="宋体" w:cs="宋体"/>
                <w:sz w:val="18"/>
                <w:szCs w:val="18"/>
              </w:rPr>
              <w:t xml:space="preserve">30598024.41</w:t>
            </w:r>
            <w:r/>
          </w:p>
        </w:tc>
        <w:tc>
          <w:tcPr>
            <w:tcW w:w="1010" w:type="pct"/>
            <w:vAlign w:val="center"/>
            <w:vMerge w:val="restart"/>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武进高新区电子警察系统工程（一期)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武进高新区GIS综合管理平台工程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武进高新区基础网络光缆建设工程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武进高新区基础网络电源建设工程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武进高新区电子警察系统工程(二期）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武进高新区综合指挥中心DID大屏工程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音视频系统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武进高新区网络平台机房配套工程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机房环境</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武进高新区2015年零星监控工程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清英外国语学校监控工程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武进高新区胜洲西路高清监控</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武进高新区2016年零星监控工程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清英外国语学校网络通讯设施采购项目</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长三角模具城车辆道闸系统与信息发布系统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武进高新区2017年零星监控工程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长三角模具城长三角模具城视频监控系统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武进高新区2018年零星监控工程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武进高新区综合警务服务站视频监控系统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武进高新区2019年零星监控工程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武进国家高新区重点路段违停抓拍工程（二期）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凤栖路沿线高清监控（电警卡口）监控设备采购及安装工程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23</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海湖路等道路沿线高清监控（电警卡口）监控设备采购及安装工程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武进国家高新区重点路段违停抓拍工程（三期）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南湖路（湖滨路-淹城路）高清视频监控系统工程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武进国家高新区交警中队辖区信号灯联网监控安装工程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武进国家高新区校园主干网建设和数据中心供电改造工程</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武进国家高新区视频综合平台升级工程项目</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武进国家高新区重点地段违停抓拍工程（四期）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高新区交警中队辖区信号灯联网监控安装工程（二期）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462"/>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31</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武进国家高新区产业园区基础设施提档升级一期项目沿线智能交通设备采购及安装工程（夏城路-新曲路）</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462"/>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武进高新区风栖路(武南路-龙跃路)、风翔路(龙潜路-龙翔路)、西湖路(武宜路-凤栖路)沿线智能交通设备采购及安装工程项目</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武进高新区违停系统改造项目采购及安装</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武进国家高新区重点路段违停抓拍工程(五期)</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武进高新区新城派出所网络搬迁改造项目</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36</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北区违停抓拍到期项目</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37</w:t>
            </w:r>
            <w:r/>
          </w:p>
        </w:tc>
        <w:tc>
          <w:tcPr>
            <w:tcW w:w="2104"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机房网络设备及安全设备维护</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617"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r>
      <w:tr>
        <w:trPr>
          <w:cantSplit/>
          <w:trHeight w:val="236"/>
        </w:trPr>
        <w:tc>
          <w:tcPr>
            <w:gridSpan w:val="6"/>
            <w:tcW w:w="5000" w:type="pct"/>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sz w:val="18"/>
                <w:szCs w:val="18"/>
              </w:rPr>
              <w:t xml:space="preserve">固定部分维护清单二</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序号</w:t>
            </w:r>
            <w:r/>
          </w:p>
        </w:tc>
        <w:tc>
          <w:tcPr>
            <w:tcW w:w="2104" w:type="pct"/>
            <w:vAlign w:val="center"/>
            <w:textDirection w:val="lrTb"/>
            <w:noWrap/>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工程名称</w:t>
            </w:r>
            <w:r/>
          </w:p>
        </w:tc>
        <w:tc>
          <w:tcPr>
            <w:tcW w:w="654" w:type="pct"/>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bCs/>
                <w:sz w:val="18"/>
                <w:szCs w:val="18"/>
                <w:lang w:bidi="ar"/>
              </w:rPr>
              <w:t xml:space="preserve">工程造价（元）</w:t>
            </w:r>
            <w:r/>
          </w:p>
        </w:tc>
        <w:tc>
          <w:tcPr>
            <w:tcW w:w="1010"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val="en-US" w:eastAsia="zh-CN" w:bidi="ar"/>
              </w:rPr>
              <w:t xml:space="preserve">维护费用（元）</w:t>
            </w:r>
            <w:r/>
          </w:p>
        </w:tc>
        <w:tc>
          <w:tcPr>
            <w:tcW w:w="399"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维护时长（个月）</w:t>
            </w:r>
            <w:r/>
          </w:p>
        </w:tc>
        <w:tc>
          <w:tcPr>
            <w:tcW w:w="617" w:type="pct"/>
            <w:vAlign w:val="center"/>
            <w:textDirection w:val="lrTb"/>
            <w:noWrap/>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备注</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2104"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武进国家高新区智慧园区一期-数据中心云平台</w:t>
            </w:r>
            <w:r/>
          </w:p>
        </w:tc>
        <w:tc>
          <w:tcPr>
            <w:tcW w:w="654" w:type="pct"/>
            <w:vAlign w:val="center"/>
            <w:vMerge w:val="restart"/>
            <w:textDirection w:val="lrTb"/>
            <w:noWrap w:val="false"/>
          </w:tcPr>
          <w:p>
            <w:pPr>
              <w:jc w:val="center"/>
              <w:keepNext/>
              <w:rPr>
                <w:rFonts w:hint="eastAsia" w:ascii="宋体" w:hAnsi="宋体" w:cs="宋体"/>
                <w:sz w:val="18"/>
                <w:szCs w:val="18"/>
              </w:rPr>
            </w:pPr>
            <w:r>
              <w:rPr>
                <w:rFonts w:hint="eastAsia" w:ascii="宋体" w:hAnsi="宋体" w:cs="宋体"/>
                <w:b/>
                <w:bCs/>
                <w:sz w:val="18"/>
                <w:szCs w:val="18"/>
                <w:lang w:bidi="ar"/>
              </w:rPr>
              <w:t xml:space="preserve">19400131.50</w:t>
            </w:r>
            <w:r/>
          </w:p>
        </w:tc>
        <w:tc>
          <w:tcPr>
            <w:tcW w:w="1010" w:type="pct"/>
            <w:vAlign w:val="center"/>
            <w:vMerge w:val="restart"/>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服务器系统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2104"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武进国家高新区智慧园区一期-视频云平台</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服务器系统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2104"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武进国家高新区智慧园区一期-监控及配套辅材</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2104"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武进国家高新区智慧园区三期-社区维护</w:t>
            </w:r>
            <w:r/>
          </w:p>
        </w:tc>
        <w:tc>
          <w:tcPr>
            <w:tcW w:w="654" w:type="pct"/>
            <w:vAlign w:val="center"/>
            <w:vMerge w:val="continue"/>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c>
          <w:tcPr>
            <w:tcW w:w="1010" w:type="pct"/>
            <w:vAlign w:val="center"/>
            <w:vMerge w:val="continue"/>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617" w:type="pct"/>
            <w:vAlign w:val="center"/>
            <w:textDirection w:val="lrTb"/>
            <w:noWrap/>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监控系统</w:t>
            </w:r>
            <w:r/>
          </w:p>
        </w:tc>
      </w:tr>
      <w:tr>
        <w:trPr>
          <w:cantSplit/>
          <w:trHeight w:val="236"/>
        </w:trPr>
        <w:tc>
          <w:tcPr>
            <w:gridSpan w:val="6"/>
            <w:tcBorders>
              <w:bottom w:val="single" w:color="auto" w:sz="4" w:space="0"/>
            </w:tcBorders>
            <w:tcW w:w="5000" w:type="pct"/>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sz w:val="18"/>
                <w:szCs w:val="18"/>
              </w:rPr>
              <w:t xml:space="preserve">固定部分维护清单三</w:t>
            </w:r>
            <w:r/>
          </w:p>
        </w:tc>
      </w:tr>
      <w:tr>
        <w:trPr>
          <w:cantSplit/>
          <w:trHeight w:val="90"/>
        </w:trPr>
        <w:tc>
          <w:tcPr>
            <w:tcBorders>
              <w:top w:val="single" w:color="auto" w:sz="4" w:space="0"/>
              <w:left w:val="single" w:color="auto" w:sz="4" w:space="0"/>
              <w:bottom w:val="single" w:color="auto" w:sz="4" w:space="0"/>
              <w:right w:val="single" w:color="auto" w:sz="4" w:space="0"/>
            </w:tcBorders>
            <w:tcW w:w="213"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序号</w:t>
            </w:r>
            <w:r/>
          </w:p>
        </w:tc>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工程名称</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bCs/>
                <w:sz w:val="18"/>
                <w:szCs w:val="18"/>
                <w:lang w:bidi="ar"/>
              </w:rPr>
              <w:t xml:space="preserve">工程造价（元）</w:t>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val="en-US" w:eastAsia="zh-CN" w:bidi="ar"/>
              </w:rPr>
              <w:t xml:space="preserve">维护费用（元）</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b/>
                <w:bCs/>
                <w:sz w:val="18"/>
                <w:szCs w:val="18"/>
                <w:lang w:bidi="ar"/>
              </w:rPr>
              <w:t xml:space="preserve">维护时长（个月）</w:t>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b/>
                <w:bCs/>
                <w:sz w:val="18"/>
                <w:szCs w:val="18"/>
                <w:lang w:bidi="ar"/>
              </w:rPr>
              <w:t xml:space="preserve">备注</w:t>
            </w:r>
            <w:r/>
          </w:p>
        </w:tc>
      </w:tr>
      <w:tr>
        <w:trPr>
          <w:cantSplit/>
          <w:trHeight w:val="90"/>
        </w:trPr>
        <w:tc>
          <w:tcPr>
            <w:tcBorders>
              <w:top w:val="single" w:color="auto" w:sz="4" w:space="0"/>
              <w:left w:val="single" w:color="auto" w:sz="4" w:space="0"/>
              <w:bottom w:val="single" w:color="auto" w:sz="4" w:space="0"/>
              <w:right w:val="single" w:color="auto" w:sz="4" w:space="0"/>
            </w:tcBorders>
            <w:tcW w:w="213"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武进国家高新区9所学校云桌面采购</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keepNext/>
              <w:rPr>
                <w:rFonts w:hint="eastAsia" w:ascii="宋体" w:hAnsi="宋体" w:cs="宋体"/>
                <w:sz w:val="18"/>
                <w:szCs w:val="18"/>
              </w:rPr>
            </w:pPr>
            <w:r>
              <w:rPr>
                <w:rFonts w:hint="eastAsia" w:ascii="宋体" w:hAnsi="宋体" w:cs="宋体"/>
                <w:b/>
                <w:bCs/>
                <w:sz w:val="18"/>
                <w:szCs w:val="18"/>
                <w:lang w:bidi="ar"/>
              </w:rPr>
              <w:t xml:space="preserve">3256609.00</w:t>
            </w:r>
            <w:r/>
          </w:p>
        </w:tc>
        <w:tc>
          <w:tcPr>
            <w:tcBorders>
              <w:top w:val="single" w:color="auto" w:sz="4" w:space="0"/>
              <w:left w:val="single" w:color="auto" w:sz="4" w:space="0"/>
              <w:bottom w:val="single" w:color="auto" w:sz="4" w:space="0"/>
              <w:right w:val="single" w:color="auto" w:sz="4" w:space="0"/>
            </w:tcBorders>
            <w:tcW w:w="1010" w:type="pct"/>
            <w:vAlign w:val="center"/>
            <w:textDirection w:val="lrTb"/>
            <w:noWrap w:val="false"/>
          </w:tcPr>
          <w:p>
            <w:pPr>
              <w:jc w:val="center"/>
              <w:keepNext/>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auto" w:sz="4" w:space="0"/>
              <w:left w:val="single" w:color="auto" w:sz="4" w:space="0"/>
              <w:bottom w:val="single" w:color="auto" w:sz="4" w:space="0"/>
              <w:right w:val="single" w:color="auto" w:sz="4" w:space="0"/>
            </w:tcBorders>
            <w:tcW w:w="617" w:type="pct"/>
            <w:vAlign w:val="center"/>
            <w:textDirection w:val="lrTb"/>
            <w:noWrap w:val="false"/>
          </w:tcPr>
          <w:p>
            <w:pPr>
              <w:jc w:val="center"/>
              <w:keepNext/>
              <w:rPr>
                <w:rFonts w:hint="eastAsia" w:ascii="宋体" w:hAnsi="宋体" w:cs="宋体"/>
                <w:sz w:val="18"/>
                <w:szCs w:val="18"/>
              </w:rPr>
            </w:pPr>
            <w:r>
              <w:rPr>
                <w:rFonts w:hint="eastAsia" w:ascii="宋体" w:hAnsi="宋体" w:cs="宋体"/>
                <w:sz w:val="18"/>
                <w:szCs w:val="18"/>
              </w:rPr>
            </w:r>
            <w:r/>
          </w:p>
        </w:tc>
      </w:tr>
    </w:tbl>
    <w:tbl>
      <w:tblPr>
        <w:tblStyle w:val="1079"/>
        <w:tblpPr w:horzAnchor="page" w:tblpX="1720" w:vertAnchor="text" w:tblpY="362" w:leftFromText="180" w:topFromText="0" w:rightFromText="180" w:bottomFromText="0"/>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7"/>
        <w:gridCol w:w="683"/>
        <w:gridCol w:w="3456"/>
        <w:gridCol w:w="1456"/>
        <w:gridCol w:w="1593"/>
        <w:gridCol w:w="1106"/>
        <w:gridCol w:w="584"/>
      </w:tblGrid>
      <w:tr>
        <w:trPr>
          <w:trHeight w:val="263"/>
        </w:trPr>
        <w:tc>
          <w:tcPr>
            <w:gridSpan w:val="7"/>
            <w:shd w:val="clear" w:color="auto" w:fill="auto"/>
            <w:tcBorders>
              <w:top w:val="single" w:color="000000" w:sz="8" w:space="0"/>
              <w:left w:val="single" w:color="000000" w:sz="8" w:space="0"/>
              <w:bottom w:val="none" w:color="000000" w:sz="4" w:space="0"/>
              <w:right w:val="single" w:color="000000" w:sz="8"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固定部分维护清单四</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运维系统</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工程造价（元）</w:t>
            </w:r>
            <w:r/>
          </w:p>
        </w:tc>
        <w:tc>
          <w:tcPr>
            <w:shd w:val="clear" w:color="auto" w:fill="auto"/>
            <w:tcBorders>
              <w:top w:val="single" w:color="000000" w:sz="4" w:space="0"/>
              <w:left w:val="single" w:color="000000" w:sz="4" w:space="0"/>
              <w:right w:val="single" w:color="000000" w:sz="4" w:space="0"/>
            </w:tcBorders>
            <w:tcW w:w="85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cs="宋体"/>
                <w:b/>
                <w:bCs/>
                <w:sz w:val="18"/>
                <w:szCs w:val="18"/>
                <w:lang w:val="en-US" w:eastAsia="zh-CN" w:bidi="ar"/>
              </w:rPr>
              <w:t xml:space="preserve">维护费用（元）</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维护时长</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left w:val="single" w:color="000000" w:sz="4" w:space="0"/>
              <w:bottom w:val="single" w:color="000000" w:sz="4" w:space="0"/>
              <w:right w:val="single" w:color="000000" w:sz="4" w:space="0"/>
            </w:tcBorders>
            <w:tcW w:w="859"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（个月）</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武进国家高新区小型建设工程和零星作业信息管理平台</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管理端运维：保障管理端现场评估、申请流程审批、文件归档等功能稳定运行。</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4965600</w:t>
            </w:r>
            <w:r/>
          </w:p>
        </w:tc>
        <w:tc>
          <w:tcPr>
            <w:shd w:val="clear" w:color="auto" w:fill="auto"/>
            <w:tcBorders>
              <w:top w:val="single" w:color="000000" w:sz="4" w:space="0"/>
              <w:left w:val="single" w:color="000000" w:sz="4" w:space="0"/>
              <w:right w:val="single" w:color="000000" w:sz="4" w:space="0"/>
            </w:tcBorders>
            <w:tcW w:w="85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移动终端运维：优化管理端（APP）现场检查、照片上传、危险评估表填写等功能，提升移动端响应速度与操作便捷性，满足外勤监管需求。</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数据对接运维：维护与智慧园区平台的统一身份认证对接、一张图系统的数据推送与接口调用，确保跨平台数据同步实时准确，保障地图展示、监控点位关联等功能正常。</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预警通知运维：定期检查后台任务及通知模块，维护短信推送机制，确保企业自查提醒、整改通知、信息预警等推送及时无误。</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数据安全与备份：建立常态化数据备份机制，定期对项目申请材料、审批记录、安全生产台账等核心数据进行备份与校验，防范数据丢失、泄露风险，保障数据完整性。</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系统性能优化：监控服务器运行状态，及时清理冗余数据，优化数据库查询效率，解决系统卡顿、加载缓慢等问题，确保多用户并发操作时系统稳定运行。</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技术支持服务：为企业用户及管理端操作人员提供技术咨询与问题排查服务，针对系统使用、材料上传、报表导出等常见问题提供快速解决方案，保障用户顺畅使用。</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672"/>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科技申报审批系统</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科技类项目申报：（1）科</w:t>
            </w:r>
            <w:r>
              <w:rPr>
                <w:rFonts w:hint="eastAsia" w:ascii="宋体" w:hAnsi="宋体" w:eastAsia="宋体" w:cs="宋体"/>
                <w:i w:val="0"/>
                <w:iCs w:val="0"/>
                <w:color w:val="000000"/>
                <w:sz w:val="18"/>
                <w:szCs w:val="18"/>
                <w:u w:val="none"/>
                <w:lang w:val="en-US" w:eastAsia="zh-CN" w:bidi="ar"/>
              </w:rPr>
              <w:t xml:space="preserve">技类政策申报的准备，包括开放的科技类政策校验修改、申报附件确认、系统测试等；（2）政策咨询，开放申报端口后，在政策申报过程中针对企业的问题回复与处理；（3）申报统计，根据要求，对申报过程以及结果数据统计；（4）发明专利数据购买获取，每月从国家/省知识产权数据库购买获取武进高新区发明专利全量数据，含申请号、授权号、专利权人、申请日期、授权状态等，校验数据缺失、重复、格式错误等问题后，科技奖励申报开始前同步至区域科创数据系统；（5）发明专利数据加工，武进高新区专利数据的更新，包括是否转让处理、审核提示的处理等。</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8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人才类项目申报：（1）人才类政策申报的准备，包括开放的人才类政策校验修改、申报附件确认、系统测试等，下载模板的修改与上传；（2）人才备案数据导入，企业人才备案的数据校验数据重复 / 错误问题后导入系统，并向企业反馈导入结果；（3）历史数据整理，金梧桐、武进区历史数据表整理并导入；（4）人才类政策咨询，开放申报端口后，在政策申报过程中针对企业的问题回复，处理企业关于人才资格、备案要求、系统操作等咨询。</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常运维：开展日常运行维护，定期巡检系统核心功能模块与底层资源状态；实施实时异常监控预警，快速定位处置系统异常；建立定期漏洞扫描机制，对排查出的漏洞分级分类处置并复测验证，同时通过专人专责、应急处置预案、定期运维复盘等保障机制，持续优化系统运维工作，及时消除安全隐患。</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政策调整与</w:t>
            </w:r>
            <w:r>
              <w:rPr>
                <w:rFonts w:hint="eastAsia" w:ascii="宋体" w:hAnsi="宋体" w:eastAsia="宋体" w:cs="宋体"/>
                <w:i w:val="0"/>
                <w:iCs w:val="0"/>
                <w:color w:val="000000"/>
                <w:sz w:val="18"/>
                <w:szCs w:val="18"/>
                <w:u w:val="none"/>
                <w:lang w:val="en-US" w:eastAsia="zh-CN" w:bidi="ar"/>
              </w:rPr>
              <w:t xml:space="preserve">变更专项运维：在运维周期内，若主管部门发布的新政策超出现有系统的配置支撑能力，为保障企业申报不受影响，按以下流程执行：（1）政策变更评估：收到新政策后，完成政策对系统功能影响的评估，明确需调整的模块（如表单字段、审核节点、数据校验规则等）；（2）功能调整实施：制定适配新政策的系统功能调整方案，完成功能开发、配置或流程优化，确保符合主管部门申报要求；（3）测试与验证：调整完成后 ，开展功能测试、数据兼容性测试，确保系统稳定运行；（4）用户同步：向企业及管理端同步新政策申报规则、系统操作指引，保障申报流程顺畅。</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统一门户</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单点登录：完成与第三方系统的对接，保障用户一次登录即可访问相关授权系统，提升操作效率。</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用户管理：及时处理用户账号新增、修改、禁用、删除需求，保障用户账号安全合规。</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组织管理：根据园区组织架构调整，完成组织架构新增、修改、删除操作，确保架构信息准确。</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角色管理：新增或调整系统角色，合理配置角色菜单权限，适配不同岗位工作需求。</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权限管理：根据用户角色与工作需要，新增、调整、分配权限，杜绝越权访问。</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系统导航：优化导航菜单，完成新增、修改、删除操作，确保菜单布局合理、访问便捷。</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信息展现：根据信息展示需求，新增、修改、删除信息展现内容与形式，提升信息传达效果。</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业务办理：优化业务办理相关功能，保障业务在线办理顺畅高效。</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待办事宜：及时清理无效待办任务，确保待办事宜列表准确，提升用户工作效率。</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统计分析：支持导出各类统计报表，满足园区管理决策数据需求。</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日志管理：统计各系统使用情况日志数据，为系统优化与管理提供数据支撑。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友情管理：及时替换更新友情链接，保障链接有效性与相关性。</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协同办公系统</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个人办公：响应用户需求，完成签字单调整，保障签字流程顺畅。</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公文管理：根据园区公文规范调整，新增公文红头，确保公文格式合规。</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会议组织：及时处理会议室占用异常情况，手动释放闲置会议室资源，保障会议安排高效。</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综合管理：根据业务统计需求，调整汇总页列表字段、筛选字段，提升数据查询与统计效率。</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人力资源管理：优化人员导出模板，调整人员排序规则，满足人力资源管理数据处理需求。</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考勤管理：根据考勤制度调整，优化月度报表统计规则，确保考勤数据准确汇总。</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来信 / 来访接待管理：根据接待流程优化需求，调整流程节点，提升接待服务响应效率。</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流程管理：及时响应审批流程调整需求，完成审批流程节点、办理人员调整，保障审批业务顺畅推进。</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信息发布：定期更新各类通知、公告等信息，确保信息及时传达。</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工作计划管理：支持用户完成工作计划内容更新，保障工作任务跟踪与推进。</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9"/>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日程管理：允许用户实时更新日程内容，助力时间管理与工作协同。</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知识管理：鼓励用户上传、更新知识内容，构建完善的园区知识体系。</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档案管理：及时归档、更新各类档案内容，保障档案资料的完整性与可追溯性。</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电子签章：完成与区里签章功能的对接，确保电子签章合法有效、使用便捷。</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费用及预算管理：根据财务工作需求，调整报表和签字单格式与内容，保障费用核算与预算管理规范。</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移动办公：优化选人组件，调整通讯录排序规则，同步 PC 端页面字段，提升移动办公体验。</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规建专题库</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管委会历年影像图：定期获取全域最新的航空影像数据，为城市规划、灾害监测和自然资源管理等业务提供最直观、真实的时空基底。</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总规和控规：是城市发展蓝图适应新阶段需求的动态调整过程，不仅优化了土地功能布局与开发强度，更通过公众参与和科学评估，引导城市向着更可持续、更宜居的方向有序生长。</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专项规划：是针对特定领域或系统的深度部署，是对总体规划的深化与落实</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概念规划：概念规划的更新是对城市长远发展理念与空间结构的前瞻性重塑。侧重于在区域新格局、发展新范式下，重新锚定城市的核心价值、战略方向与特色风貌，为后续各类规划提供创新性的思维框架和弹性引导。</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城市设计： 城市设计的更新，是对特定区域空间形态与场所品质的持续优化。它不仅关注建筑群体与公共空间的整体协调，更深入街道、景观、慢行系统等微观层面，通过精细化设计与管控，塑造更具活力、人性化与识别度的城市风貌。</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周边规划：着重于处理本区域与相邻地区在功能、交通、生态等方面的衔接与协同。</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在建项目红线：是根据土地出让、规划调整或实际建设需要，对具体开发地块的法定边界进行精确校核与修正的过程。</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拆迁红线图：是根据最新的项目建设或土地整理需要，对拟征收和拆除的房屋、构筑物及附属设施的范围边界进行重新核定与调整。</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道路：及时对变更道路零散更新，丰富一张图底图，并完成及时性底图更新。</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河道：跟踪河流变化，及时更新一张图，为河长制提供水环境专题作战底图</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桥梁：更新桥梁建设基础信息，补充桥梁建造年限，使用年限，通过信息化管控监控并实现桥梁及时维护。</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管线：对管线及时更新，辅助规划及相关部门全域综合通讯管线把控。</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地理库建设</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电子地图：电子地图更新，不仅仅局限于道路的变化，部分还融入最新opi信息。</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行政区划：根据板块最新行政区划数据更新，并与实际执法网格相连，不仅是地图上的线条变更，更是区域规划与管理主要边界依据。</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现状路网：贴合武进高新区最新道路、管线等变化进行矢量化上图，更新最新路网，作为各专项作战底图及规划参考。</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在建区块：深入细节，精确上图在建区块范围边界，为规划区域及在建范围进行精准监控。</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规建一张图综合管理系统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维护一张图基础平台稳定正常运行，保障平台基础功能及图层叠加及切换，监控平台是否存在异常，并在12小时内完成恢复。</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项目管理系统</w:t>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招商项目信息管理：根据招商业务流程优化需求，调整拜访、接待模块功能，提升招商服务质量。</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项目进程管理：及时更新项目进程配置，确保项目进度跟踪准确、高效。</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项目监督与考核：完善项目监督与考核相关功能，保障考核流程规范、结果公正。</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项目档案资料管理：定期更新项目档案资料，确保资料完整反映项目全生命周期情况。</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科技招商：及时录入、更新科技招商项目信息，支撑科技招商工作推进。</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经发项目管理：动态更新经发项目相关数据，保障项目管理与跟踪精准。</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规建项目管理：同步规建项目进展信息，确保项目建设各环节数据实时更新。</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214"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移动客户端：优化项目查询界面，提升查询便捷性与响应速度，满足移动端项目管理需求。</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right w:val="single" w:color="000000" w:sz="4" w:space="0"/>
            </w:tcBorders>
            <w:tcW w:w="859"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48"/>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rPr>
                <w:rFonts w:hint="default" w:ascii="宋体" w:hAnsi="宋体" w:eastAsia="宋体" w:cs="宋体"/>
                <w:i w:val="0"/>
                <w:iCs w:val="0"/>
                <w:color w:val="000000"/>
                <w:sz w:val="22"/>
                <w:szCs w:val="22"/>
                <w:u w:val="none"/>
                <w:lang w:val="en-US" w:eastAsia="zh-CN"/>
              </w:rPr>
            </w:pPr>
            <w:r>
              <w:rPr>
                <w:rFonts w:hint="eastAsia" w:ascii="宋体" w:hAnsi="宋体" w:cs="宋体"/>
                <w:b/>
                <w:bCs/>
                <w:i w:val="0"/>
                <w:iCs w:val="0"/>
                <w:color w:val="000000"/>
                <w:sz w:val="22"/>
                <w:szCs w:val="22"/>
                <w:u w:val="none"/>
                <w:lang w:val="en-US" w:eastAsia="zh-CN"/>
              </w:rPr>
              <w:t xml:space="preserve">固定部分维护费用(一)+（二）+（三）+（四）：              元</w:t>
            </w:r>
            <w:r/>
          </w:p>
        </w:tc>
      </w:tr>
    </w:tbl>
    <w:p>
      <w:pPr>
        <w:pStyle w:val="1095"/>
        <w:ind w:firstLine="0"/>
        <w:rPr>
          <w:b/>
          <w:sz w:val="24"/>
          <w:szCs w:val="22"/>
        </w:rPr>
      </w:pPr>
      <w:r>
        <w:rPr>
          <w:b/>
          <w:sz w:val="24"/>
          <w:szCs w:val="22"/>
        </w:rPr>
      </w:r>
      <w:r/>
    </w:p>
    <w:p>
      <w:pPr>
        <w:pStyle w:val="1095"/>
        <w:ind w:firstLine="0"/>
        <w:rPr>
          <w:b/>
          <w:sz w:val="24"/>
          <w:szCs w:val="22"/>
        </w:rPr>
      </w:pPr>
      <w:r>
        <w:rPr>
          <w:b/>
          <w:sz w:val="24"/>
          <w:szCs w:val="22"/>
        </w:rPr>
      </w:r>
      <w:r/>
    </w:p>
    <w:p>
      <w:pPr>
        <w:pStyle w:val="1095"/>
        <w:ind w:firstLine="0"/>
        <w:rPr>
          <w:b/>
          <w:sz w:val="24"/>
          <w:szCs w:val="22"/>
        </w:rPr>
      </w:pPr>
      <w:r>
        <w:rPr>
          <w:rFonts w:hint="eastAsia"/>
          <w:b/>
          <w:sz w:val="24"/>
          <w:szCs w:val="22"/>
        </w:rPr>
        <w:t xml:space="preserve">（2）未定量部分：更换设备项目清单</w:t>
      </w:r>
      <w:r/>
    </w:p>
    <w:tbl>
      <w:tblPr>
        <w:tblStyle w:val="1079"/>
        <w:tblpPr w:horzAnchor="page" w:tblpX="1623" w:vertAnchor="text" w:tblpY="1040" w:leftFromText="180" w:topFromText="0" w:rightFromText="180" w:bottomFromText="0"/>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714"/>
        <w:gridCol w:w="3816"/>
        <w:gridCol w:w="636"/>
        <w:gridCol w:w="756"/>
        <w:gridCol w:w="576"/>
        <w:gridCol w:w="938"/>
        <w:gridCol w:w="1028"/>
        <w:gridCol w:w="400"/>
      </w:tblGrid>
      <w:tr>
        <w:trPr>
          <w:tblHeader/>
        </w:trPr>
        <w:tc>
          <w:tcPr>
            <w:tcW w:w="417"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W w:w="714"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产品名称</w:t>
            </w:r>
            <w:r/>
          </w:p>
        </w:tc>
        <w:tc>
          <w:tcPr>
            <w:tcW w:w="381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规格型号</w:t>
            </w:r>
            <w:r/>
          </w:p>
        </w:tc>
        <w:tc>
          <w:tcPr>
            <w:tcW w:w="63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设备品牌</w:t>
            </w:r>
            <w:r/>
          </w:p>
        </w:tc>
        <w:tc>
          <w:tcPr>
            <w:tcW w:w="75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计量单位</w:t>
            </w:r>
            <w:r/>
          </w:p>
        </w:tc>
        <w:tc>
          <w:tcPr>
            <w:tcW w:w="576"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数量</w:t>
            </w:r>
            <w:r/>
          </w:p>
        </w:tc>
        <w:tc>
          <w:tcPr>
            <w:tcW w:w="938" w:type="dxa"/>
            <w:vAlign w:val="center"/>
            <w:textDirection w:val="lrTb"/>
            <w:noWrap w:val="false"/>
          </w:tcPr>
          <w:p>
            <w:pPr>
              <w:jc w:val="center"/>
              <w:keepNext/>
              <w:widowControl/>
              <w:rPr>
                <w:rFonts w:hint="eastAsia" w:ascii="宋体" w:hAnsi="宋体" w:cs="宋体"/>
                <w:b/>
                <w:bCs/>
                <w:sz w:val="18"/>
                <w:szCs w:val="18"/>
                <w:lang w:bidi="ar"/>
              </w:rPr>
            </w:pPr>
            <w:r>
              <w:rPr>
                <w:rFonts w:hint="eastAsia" w:ascii="宋体" w:hAnsi="宋体" w:cs="宋体"/>
                <w:b/>
                <w:bCs/>
                <w:sz w:val="18"/>
                <w:szCs w:val="18"/>
                <w:lang w:val="en-US" w:eastAsia="zh-CN" w:bidi="ar"/>
              </w:rPr>
              <w:t xml:space="preserve">投标单</w:t>
            </w:r>
            <w:r>
              <w:rPr>
                <w:rFonts w:hint="eastAsia" w:ascii="宋体" w:hAnsi="宋体" w:cs="宋体"/>
                <w:b/>
                <w:bCs/>
                <w:sz w:val="18"/>
                <w:szCs w:val="18"/>
                <w:lang w:bidi="ar"/>
              </w:rPr>
              <w:t xml:space="preserve">价</w:t>
            </w:r>
            <w:r/>
          </w:p>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（元）</w:t>
            </w:r>
            <w:r/>
          </w:p>
        </w:tc>
        <w:tc>
          <w:tcPr>
            <w:tcW w:w="1028"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合价</w:t>
            </w:r>
            <w:r/>
          </w:p>
        </w:tc>
        <w:tc>
          <w:tcPr>
            <w:tcW w:w="400"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备注</w:t>
            </w:r>
            <w:r/>
          </w:p>
        </w:tc>
      </w:tr>
      <w:tr>
        <w:trPr/>
        <w:tc>
          <w:tcPr>
            <w:tcW w:w="417" w:type="dxa"/>
            <w:vAlign w:val="center"/>
            <w:textDirection w:val="lrTb"/>
            <w:noWrap w:val="false"/>
          </w:tcPr>
          <w:p>
            <w:pPr>
              <w:jc w:val="center"/>
              <w:keepNext/>
              <w:widowControl/>
              <w:rPr>
                <w:rFonts w:hint="eastAsia" w:ascii="宋体" w:hAnsi="宋体" w:cs="宋体"/>
                <w:b/>
                <w:bCs/>
                <w:sz w:val="20"/>
                <w:szCs w:val="20"/>
              </w:rPr>
            </w:pPr>
            <w:r>
              <w:rPr>
                <w:rFonts w:hint="eastAsia" w:ascii="宋体" w:hAnsi="宋体" w:cs="宋体"/>
                <w:b/>
                <w:bCs/>
                <w:sz w:val="20"/>
                <w:szCs w:val="20"/>
                <w:lang w:bidi="ar"/>
              </w:rPr>
              <w:t xml:space="preserve">一</w:t>
            </w:r>
            <w:r/>
          </w:p>
        </w:tc>
        <w:tc>
          <w:tcPr>
            <w:gridSpan w:val="8"/>
            <w:tcW w:w="8864" w:type="dxa"/>
            <w:vAlign w:val="center"/>
            <w:textDirection w:val="lrTb"/>
            <w:noWrap w:val="false"/>
          </w:tcPr>
          <w:p>
            <w:pPr>
              <w:jc w:val="center"/>
              <w:keepNext/>
              <w:widowControl/>
              <w:rPr>
                <w:rFonts w:hint="eastAsia" w:ascii="宋体" w:hAnsi="宋体" w:cs="宋体"/>
                <w:b/>
                <w:bCs/>
                <w:sz w:val="20"/>
                <w:szCs w:val="20"/>
              </w:rPr>
            </w:pPr>
            <w:r>
              <w:rPr>
                <w:rFonts w:hint="eastAsia" w:ascii="宋体" w:hAnsi="宋体" w:cs="宋体"/>
                <w:b/>
                <w:bCs/>
                <w:sz w:val="20"/>
                <w:szCs w:val="20"/>
                <w:lang w:bidi="ar"/>
              </w:rPr>
              <w:t xml:space="preserve">主要设备</w:t>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普通枪机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DH-IPC-HFW34GXDM-LED、DS-2CD224CV-SL</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全结构化球机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DH-SDT-5X425-4Z4-FA-D3E-2812、DS-2SK8C144YLMX-SLD/AR(25xF1)</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双目球机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DH-SDT-7C14AI-4F-ZA-AF3E-0400、iDS-2SE7C144YLMW-SLD(32xF1)</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人脸枪机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DH-IPC-HFW54GXK-ZYH-LED、DS-2CD7T47YLWV-LZSL/Q1</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人脸半球</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DH-IPC-HDBW54GXE-ZYH、DS-2CD7D47YLWV-SLZS</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400w全彩摄像机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DH-IPC-HFW34AIDM-LED、DS-2CD2T4QC-SL、DH-IPC-HFW34DKZM-AD</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800万像素全结构化摄像机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DH-IPC-MFW888YL-ZCHH-E3、DS-2CD7A86YLFWD/SL-XZS/JM(1050/4)、DH-IPC-MFW888DKZLH-ZXR</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900万AI生态一体化抓拍单元</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DH-CP902-XGB-L、iDS-TCV900-HEFL/SL/50</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镜头</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OPT-110C50M-A</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四合一生态补光灯</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DH-ITALF-300AG-F、CXBG-1-1-PS-A-3B-I(CXBG-2-H/2-MC-A-3B-I)</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三维万向节支架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三维万向节，可配套交通一体化抓拍单元、补光灯、雷达安装</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400万高清球机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DH-SD-6C3432-HNY-GB-AD2、DS-2DE6432YL-SLD</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w:t>
            </w:r>
            <w:r/>
          </w:p>
        </w:tc>
        <w:tc>
          <w:tcPr>
            <w:tcW w:w="714"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8路硬盘录像机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DH-NVR4208-4KS3、DS-7608N-I3-V3(SL)</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w:t>
            </w:r>
            <w:r/>
          </w:p>
        </w:tc>
        <w:tc>
          <w:tcPr>
            <w:tcW w:w="714"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16路硬盘录像机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DH-NVR4416-4KS2/I、DS-7716N-I5-V3(SL)</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714"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32路硬盘录像机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DH-NVR4832-4KS2/I、DS-8632N-I8-V4(SL)</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64路16盘位NVR</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DH-NVR-5064-4KS2、DS-8664N-I16-V4(SL)</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44倍高清违章取证球</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HIC6821I-IR、DS-2VS45YL-F8XYZH-SLD/LM</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海康、宇视</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40倍高清违章取证球</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iDS-2VS435-F840、DS-2VS45YL-F8XYZH-SLD/LM</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太阳能供电系统</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超A+单晶硅 实际功率:126W ；电压:18V 额定电流:7A 尺寸:1080*580*30mm，动力级钾电池容量:90AH；工作温度:-30°C~85°C 充放电次数:&gt;1500次 输出电压:9V-12.6V，自研MPPT控制器和保护板，；最大功率点跟踪;过充、过放、过流、外部短路等，热镀锌角铁 (镀锌层60微米)标准风场下8级</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400万全彩4G网络摄像机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400万4G双光人车警戒定焦枪型网络摄像机</w:t>
            </w:r>
            <w:r>
              <w:rPr>
                <w:rFonts w:hint="eastAsia" w:ascii="宋体" w:hAnsi="宋体" w:cs="宋体"/>
                <w:sz w:val="18"/>
                <w:szCs w:val="18"/>
                <w:lang w:bidi="ar"/>
              </w:rPr>
              <w:br/>
            </w:r>
            <w:r>
              <w:rPr>
                <w:rFonts w:hint="eastAsia" w:ascii="宋体" w:hAnsi="宋体" w:cs="宋体"/>
                <w:sz w:val="18"/>
                <w:szCs w:val="18"/>
                <w:lang w:bidi="ar"/>
              </w:rPr>
              <w:t xml:space="preserve">大华易智能系列摄像机采用星光方案，集成深度学习算法，实现人脸检测、周界防范功能，显著提高了视频内容分析的准确性。该系列完全防尘防水、防破坏，符合IP67、IK10（部分型号支持）国际标准。4G双光人脸警戒相机采用深度学习算法，支持人脸检测、通用行为分析、车辆检测；支持机动车抓拍及号牌识别；支持</w:t>
            </w:r>
            <w:r>
              <w:rPr>
                <w:rFonts w:hint="eastAsia" w:ascii="宋体" w:hAnsi="宋体" w:cs="宋体"/>
                <w:sz w:val="18"/>
                <w:szCs w:val="18"/>
                <w:lang w:bidi="ar"/>
              </w:rPr>
              <w:t xml:space="preserve">跟踪、优选及人脸属性提取；支持通过485接入温湿度和电量传感器，对环境进行数据监测，当超过设定值时进行报警提醒；支持智能编码和AI编码，能够减少存储压力，达到轻量化存储的目的；报警事件可设置联动声光告警，实现事中警戒、震慑；支持移动、电信、联通三家运营商，可满足电、网不通的场景需求。  内置GPU芯片，支持深度学习算法，有效提升检测准确率  支持车辆检测：支持机动车及非机动车抓拍及报警联动，支持机动车号牌识别  支持三种智能资源切换：通用行为分析、人脸检测、车辆检测  支持人脸检测：支持跟踪，支持优选，支持</w:t>
            </w:r>
            <w:r>
              <w:rPr>
                <w:rFonts w:hint="eastAsia" w:ascii="宋体" w:hAnsi="宋体" w:cs="宋体"/>
                <w:sz w:val="18"/>
                <w:szCs w:val="18"/>
                <w:lang w:bidi="ar"/>
              </w:rPr>
              <w:t xml:space="preserve">抓拍，支持上报最优的人脸抓图，支持人脸增强，人脸曝光，支持人脸属性提取，支持6种属性，8种表情  支持绊线入侵，区域入侵，快速移动，物品遗留，物品搬移，徘徊检测，人员聚集，停车检测  支持三码流功能，采用星光级低照度400万像素1/2.7英寸CMOS图像传感器，低照度效果好，图像清晰度高  最大可输出400万(2688×1520)@25fps  支持H.265编码，压缩比高，实现超低码流传输  内置高效暖光灯和红外补光灯，最大红外监控距离80米，最大暖光监控距离30米  支持走廊模式，宽动态，3D降噪，强光</w:t>
            </w:r>
            <w:r>
              <w:rPr>
                <w:rFonts w:hint="eastAsia" w:ascii="宋体" w:hAnsi="宋体" w:cs="宋体"/>
                <w:sz w:val="18"/>
                <w:szCs w:val="18"/>
                <w:lang w:bidi="ar"/>
              </w:rPr>
              <w:t xml:space="preserve">抑制，背光补偿，数字水印，适用不同监控环境  支持ROI，H.264/H.265，灵活编码，适用不同带宽和存储环境  支持报警2进2出，音频1进1出，内置MIC，内置扬声器，最大支持512G Micro SD卡  支持通过485接入温湿度传感器和电量传感器的超限报警功能  支持4G（移动联通电信）功能，方便安装联网  支持DC12V供电，支持12V电源返送，最大电流165mA，峰值电流700mA，方便工程安装  支持IP67防护等级  支持SMD 3.0适用于水库、社区、河道等有警戒需求且有线网络不便的场所</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大华</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4G摄像机流量</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全年流量包年</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年</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千兆光纤收发器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FTMC-1000E</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百兆光纤收发器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FTMC-100E</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对</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百兆光纤网络交换机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FTMC-400E</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千兆光纤网络交换机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FIM-38010</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机架式光纤收发器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FIM-2U14E</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机架式光纤收发器</w:t>
            </w:r>
            <w:r/>
          </w:p>
        </w:tc>
        <w:tc>
          <w:tcPr>
            <w:tcW w:w="3816" w:type="dxa"/>
            <w:vAlign w:val="center"/>
            <w:textDirection w:val="lrTb"/>
            <w:noWrap w:val="false"/>
          </w:tcPr>
          <w:p>
            <w:pPr>
              <w:jc w:val="left"/>
              <w:keepNext/>
              <w:rPr>
                <w:rFonts w:hint="eastAsia" w:ascii="宋体" w:hAnsi="宋体" w:cs="宋体"/>
                <w:sz w:val="18"/>
                <w:szCs w:val="18"/>
              </w:rPr>
            </w:pPr>
            <w:r>
              <w:rPr>
                <w:rFonts w:hint="eastAsia" w:ascii="宋体" w:hAnsi="宋体" w:cs="宋体"/>
                <w:sz w:val="18"/>
                <w:szCs w:val="18"/>
              </w:rPr>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全千兆工业交换机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FIM-38010</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华龙</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24口核心交换机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NBS5200-24SFP/8GT4XS</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锐捷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24口核心交换机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S6520X-30QC-EI</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华三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4T硬盘</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ST4000VX015、WD42PURU-64</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希捷、海康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6T硬盘</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ST6000VX008、ST6000HKVS002</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希捷、海康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10T硬盘</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云平台硬盘 SAS接口 2.5英寸 服务器硬盘 12Gb/s 10000rpm万转</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希捷</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一光一电百兆收发器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MIB12G-1E-1F-EN</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对</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一光四电百兆交换机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MIB12G-4E-1F-EIR</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一光八电百兆交换机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MIB12G-8E-1F-EIR</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四光四电百兆二光千兆交换机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MIB12G-4E-4F-2G-MIB</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24光百兆汇聚</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MNB5700-24F-4G-MIB</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一光一电千兆收发器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MIB12G-1E-1GF-EN</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对</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一光四电千兆交换机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MIB12G-4E-1G-EIR</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一光八电千兆交换机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MIB12G-8EG-1GF-EIR</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八光十六电交换机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MNB5700-8E-16G-MIB</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全千兆交换机</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MNB28G-24E-2G</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千兆光纤模块</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千兆单模 10KM 单模光纤 1310nm LC接口</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恒信和安</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二</w:t>
            </w:r>
            <w:r/>
          </w:p>
        </w:tc>
        <w:tc>
          <w:tcPr>
            <w:gridSpan w:val="8"/>
            <w:tcW w:w="8864"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配套设备</w:t>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键盘鼠标</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配套云桌面使用、无线键盘鼠标</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罗技</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显示器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IPS 屏，分辨率 1920 x 1080，23.8 寸节能办公显示器</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飞利浦</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显示器主板维修</w:t>
            </w:r>
            <w:r/>
          </w:p>
        </w:tc>
        <w:tc>
          <w:tcPr>
            <w:tcW w:w="3816"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显示器主板维修</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锐捷云学生机内存</w:t>
            </w:r>
            <w:r/>
          </w:p>
        </w:tc>
        <w:tc>
          <w:tcPr>
            <w:tcW w:w="3816"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2 GB</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锐捷云学生机硬盘</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32 GB EMMC</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锐捷云学生机主板</w:t>
            </w:r>
            <w:r/>
          </w:p>
        </w:tc>
        <w:tc>
          <w:tcPr>
            <w:tcW w:w="3816"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5 x USB2.0，1 x USB3.0、1 x HDMI、1 x 耳机插孔（3.5mm）、</w:t>
            </w:r>
            <w:r>
              <w:rPr>
                <w:rFonts w:ascii="宋体" w:hAnsi="宋体" w:cs="宋体"/>
                <w:sz w:val="18"/>
                <w:szCs w:val="18"/>
                <w:lang w:bidi="ar"/>
              </w:rPr>
              <w:br/>
            </w:r>
            <w:r>
              <w:rPr>
                <w:rFonts w:ascii="宋体" w:hAnsi="宋体" w:cs="宋体"/>
                <w:sz w:val="18"/>
                <w:szCs w:val="18"/>
                <w:lang w:bidi="ar"/>
              </w:rPr>
              <w:t xml:space="preserve">1 x 麦克风插孔（3.5mm） 、 1 x 10/100/1000M 自适应以</w:t>
            </w:r>
            <w:r>
              <w:rPr>
                <w:rFonts w:ascii="宋体" w:hAnsi="宋体" w:cs="宋体"/>
                <w:sz w:val="18"/>
                <w:szCs w:val="18"/>
                <w:lang w:bidi="ar"/>
              </w:rPr>
              <w:br/>
            </w:r>
            <w:r>
              <w:rPr>
                <w:rFonts w:ascii="宋体" w:hAnsi="宋体" w:cs="宋体"/>
                <w:sz w:val="18"/>
                <w:szCs w:val="18"/>
                <w:lang w:bidi="ar"/>
              </w:rPr>
              <w:t xml:space="preserve">太网口、显示支持、最大支持 1920*1080@60Hz</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锐捷云办办公机内存</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容量：8GB、速率：5600MHz、端口类型：SODIMM、工作温</w:t>
            </w:r>
            <w:r>
              <w:rPr>
                <w:rFonts w:hint="eastAsia" w:ascii="宋体" w:hAnsi="宋体" w:cs="宋体"/>
                <w:sz w:val="18"/>
                <w:szCs w:val="18"/>
                <w:lang w:bidi="ar"/>
              </w:rPr>
              <w:br/>
            </w:r>
            <w:r>
              <w:rPr>
                <w:rFonts w:hint="eastAsia" w:ascii="宋体" w:hAnsi="宋体" w:cs="宋体"/>
                <w:sz w:val="18"/>
                <w:szCs w:val="18"/>
                <w:lang w:bidi="ar"/>
              </w:rPr>
              <w:t xml:space="preserve">度：0 °C～40 °C、存储温度：-40 °C~70 °C、工作湿度：</w:t>
            </w:r>
            <w:r>
              <w:rPr>
                <w:rFonts w:hint="eastAsia" w:ascii="宋体" w:hAnsi="宋体" w:cs="宋体"/>
                <w:sz w:val="18"/>
                <w:szCs w:val="18"/>
                <w:lang w:bidi="ar"/>
              </w:rPr>
              <w:br/>
            </w:r>
            <w:r>
              <w:rPr>
                <w:rFonts w:hint="eastAsia" w:ascii="宋体" w:hAnsi="宋体" w:cs="宋体"/>
                <w:sz w:val="18"/>
                <w:szCs w:val="18"/>
                <w:lang w:bidi="ar"/>
              </w:rPr>
              <w:t xml:space="preserve">10%~90%（无凝结） 、存储湿度：5%~90%（无凝结） 、工</w:t>
            </w:r>
            <w:r>
              <w:rPr>
                <w:rFonts w:hint="eastAsia" w:ascii="宋体" w:hAnsi="宋体" w:cs="宋体"/>
                <w:sz w:val="18"/>
                <w:szCs w:val="18"/>
                <w:lang w:bidi="ar"/>
              </w:rPr>
              <w:br/>
            </w:r>
            <w:r>
              <w:rPr>
                <w:rFonts w:hint="eastAsia" w:ascii="宋体" w:hAnsi="宋体" w:cs="宋体"/>
                <w:sz w:val="18"/>
                <w:szCs w:val="18"/>
                <w:lang w:bidi="ar"/>
              </w:rPr>
              <w:t xml:space="preserve">作海拔： ≤5000m</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8</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锐捷云办办公机硬盘</w:t>
            </w:r>
            <w:r/>
          </w:p>
        </w:tc>
        <w:tc>
          <w:tcPr>
            <w:tcW w:w="3816"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产品类型： 固态盘、容量：256GB、端口类型：M.2 NVME、</w:t>
            </w:r>
            <w:r>
              <w:rPr>
                <w:rFonts w:ascii="宋体" w:hAnsi="宋体" w:cs="宋体"/>
                <w:sz w:val="18"/>
                <w:szCs w:val="18"/>
                <w:lang w:bidi="ar"/>
              </w:rPr>
              <w:br/>
            </w:r>
            <w:r>
              <w:rPr>
                <w:rFonts w:ascii="宋体" w:hAnsi="宋体" w:cs="宋体"/>
                <w:sz w:val="18"/>
                <w:szCs w:val="18"/>
                <w:lang w:bidi="ar"/>
              </w:rPr>
              <w:t xml:space="preserve">工作温度：0 °C～40 °C、存储温度：0 °C～40 °C、工作</w:t>
            </w:r>
            <w:r>
              <w:rPr>
                <w:rFonts w:ascii="宋体" w:hAnsi="宋体" w:cs="宋体"/>
                <w:sz w:val="18"/>
                <w:szCs w:val="18"/>
                <w:lang w:bidi="ar"/>
              </w:rPr>
              <w:br/>
            </w:r>
            <w:r>
              <w:rPr>
                <w:rFonts w:ascii="宋体" w:hAnsi="宋体" w:cs="宋体"/>
                <w:sz w:val="18"/>
                <w:szCs w:val="18"/>
                <w:lang w:bidi="ar"/>
              </w:rPr>
              <w:t xml:space="preserve">湿度：10%~90%（无凝结）、存储湿度：5%~90%（无凝结）</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9</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锐捷云办办公机主板</w:t>
            </w:r>
            <w:r/>
          </w:p>
        </w:tc>
        <w:tc>
          <w:tcPr>
            <w:tcW w:w="3816" w:type="dxa"/>
            <w:vAlign w:val="center"/>
            <w:textDirection w:val="lrTb"/>
            <w:noWrap w:val="false"/>
          </w:tcPr>
          <w:p>
            <w:pPr>
              <w:jc w:val="left"/>
              <w:keepNext/>
              <w:widowControl/>
              <w:rPr>
                <w:rFonts w:hint="eastAsia" w:ascii="宋体" w:hAnsi="宋体" w:cs="宋体"/>
                <w:sz w:val="18"/>
                <w:szCs w:val="18"/>
              </w:rPr>
            </w:pPr>
            <w:r>
              <w:rPr>
                <w:rFonts w:ascii="宋体" w:hAnsi="宋体" w:cs="宋体"/>
                <w:sz w:val="18"/>
                <w:szCs w:val="18"/>
                <w:lang w:bidi="ar"/>
              </w:rPr>
              <w:t xml:space="preserve">支持扩展内存、支持扩展 2.5 寸硬盘、1920*1080@60Hz</w:t>
            </w:r>
            <w:r>
              <w:rPr>
                <w:rFonts w:ascii="宋体" w:hAnsi="宋体" w:cs="宋体"/>
                <w:sz w:val="18"/>
                <w:szCs w:val="18"/>
                <w:lang w:bidi="ar"/>
              </w:rPr>
              <w:br/>
            </w:r>
            <w:r>
              <w:rPr>
                <w:rFonts w:ascii="宋体" w:hAnsi="宋体" w:cs="宋体"/>
                <w:sz w:val="18"/>
                <w:szCs w:val="18"/>
                <w:lang w:bidi="ar"/>
              </w:rPr>
              <w:t xml:space="preserve">（VGA）/4096×2160@30Hz（HDMI）、2×USB3.0，6×USB2.0、</w:t>
            </w:r>
            <w:r>
              <w:rPr>
                <w:rFonts w:ascii="宋体" w:hAnsi="宋体" w:cs="宋体"/>
                <w:sz w:val="18"/>
                <w:szCs w:val="18"/>
                <w:lang w:bidi="ar"/>
              </w:rPr>
              <w:br/>
            </w:r>
            <w:r>
              <w:rPr>
                <w:rFonts w:ascii="宋体" w:hAnsi="宋体" w:cs="宋体"/>
                <w:sz w:val="18"/>
                <w:szCs w:val="18"/>
                <w:lang w:bidi="ar"/>
              </w:rPr>
              <w:t xml:space="preserve">1 ×3.5mm 耳机插孔、1 ×3.5mm 麦克风插孔、1 ×</w:t>
            </w:r>
            <w:r>
              <w:rPr>
                <w:rFonts w:ascii="宋体" w:hAnsi="宋体" w:cs="宋体"/>
                <w:sz w:val="18"/>
                <w:szCs w:val="18"/>
                <w:lang w:bidi="ar"/>
              </w:rPr>
              <w:br/>
            </w:r>
            <w:r>
              <w:rPr>
                <w:rFonts w:ascii="宋体" w:hAnsi="宋体" w:cs="宋体"/>
                <w:sz w:val="18"/>
                <w:szCs w:val="18"/>
                <w:lang w:bidi="ar"/>
              </w:rPr>
              <w:t xml:space="preserve">10M/100M/1000M 自适应以太网口、</w:t>
            </w:r>
            <w:r>
              <w:rPr>
                <w:rFonts w:ascii="宋体" w:hAnsi="宋体" w:cs="宋体"/>
                <w:sz w:val="18"/>
                <w:szCs w:val="18"/>
                <w:lang w:bidi="ar"/>
              </w:rPr>
              <w:br/>
            </w:r>
            <w:r>
              <w:rPr>
                <w:rFonts w:ascii="宋体" w:hAnsi="宋体" w:cs="宋体"/>
                <w:sz w:val="18"/>
                <w:szCs w:val="18"/>
                <w:lang w:bidi="ar"/>
              </w:rPr>
              <w:t xml:space="preserve">1×VGA 视频输出口/1×HDMI 视频输出口、1 ×DC 电源接</w:t>
            </w:r>
            <w:r>
              <w:rPr>
                <w:rFonts w:ascii="宋体" w:hAnsi="宋体" w:cs="宋体"/>
                <w:sz w:val="18"/>
                <w:szCs w:val="18"/>
                <w:lang w:bidi="ar"/>
              </w:rPr>
              <w:br/>
            </w:r>
            <w:r>
              <w:rPr>
                <w:rFonts w:ascii="宋体" w:hAnsi="宋体" w:cs="宋体"/>
                <w:sz w:val="18"/>
                <w:szCs w:val="18"/>
                <w:lang w:bidi="ar"/>
              </w:rPr>
              <w:t xml:space="preserve">口</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b/>
                <w:bCs/>
                <w:sz w:val="18"/>
                <w:szCs w:val="18"/>
              </w:rPr>
            </w:pPr>
            <w:r>
              <w:rPr>
                <w:rFonts w:hint="eastAsia" w:ascii="宋体" w:hAnsi="宋体" w:cs="宋体"/>
                <w:b/>
                <w:bCs/>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714" w:type="dxa"/>
            <w:vAlign w:val="center"/>
            <w:textDirection w:val="lrTb"/>
            <w:noWrap w:val="false"/>
          </w:tcPr>
          <w:p>
            <w:pPr>
              <w:jc w:val="center"/>
              <w:keepNext/>
              <w:widowControl/>
              <w:rPr>
                <w:rFonts w:hint="eastAsia" w:ascii="宋体" w:hAnsi="宋体" w:cs="宋体"/>
                <w:sz w:val="18"/>
                <w:szCs w:val="18"/>
              </w:rPr>
            </w:pPr>
            <w:r>
              <w:rPr>
                <w:rFonts w:ascii="宋体" w:hAnsi="宋体" w:cs="宋体"/>
                <w:sz w:val="18"/>
                <w:szCs w:val="18"/>
                <w:lang w:bidi="ar"/>
              </w:rPr>
              <w:t xml:space="preserve">锐捷云办办公机 CPU</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Intel 处理器/双核四线程/3.7GHz</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软件按次维护费用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在运维需求外，有功能开发，根据实际功能的工作量</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元/人·日</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276</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摄像机电源</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DC12V2A</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摄像机防水电源</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户外防水AC12V,3A</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摄像机支架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满足相机使用环境定制或者成品</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球机安装支架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配合球机安装使用</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三维万向节</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铝合金三维万向节</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室外防水箱</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500*400*300 双锁控系统、采用1.0不锈钢材质【304】</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室外防水箱</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600*450*300 双锁控系统、采用1.0不锈钢材质【304】</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室外落地箱</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1500*650*65 双锁控系统、采用1.0不锈钢材质【304】</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室外防水箱</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400*300*200，304不锈钢 ,厚度不低于0.8mm（含相关配件）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定制挑臂支架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长度1.5米-2米，整体热浸锌，喷塑</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固定钢带</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304不锈钢钢带</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3.5米监控立杆（含基础）</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3,5米  Φ140mm  3mm  热镀锌 挑臂60cm  双枪机位</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根</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热镀锌管（引上管）</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Φ50</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道板修复</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普通道板修复、普通混凝土路面恢复；</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m2</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室外光纤</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二十四芯 单模铠装</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室外光纤</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十二芯 单模铠装</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光纤熔接</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芯</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光纤尾纤</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FC接口 单模</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光纤终端盒</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二进十二出 电信级</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12芯光缆接头</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12芯接头盒</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12芯一体托盘</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12芯光缆测试</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24芯光缆测试</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PE32增强管</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ø32（含开挖、恢复）</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PE25增强管</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ø25（含开挖、恢复）</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PE50增强管</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双根PE50增强管，地埋敷设含开挖、土方回填夯实、弃土清运、（含开挖、恢复）。</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熔接包</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24芯电信级</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24口光纤配线架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24口 ODF 电信级</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48口光纤配线架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48口 ODF 电信级</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六类双绞线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国标、防水室外</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超五类双绞线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国标</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阻燃波纹套管</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25mm  PP阻燃</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理线架</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网络跳线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1米</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根</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光纤跳线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SC/SC 接口单模 电信级 15米</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条</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48</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电力电缆</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RVV3*1.5</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49</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电力电缆</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RVV2*2.5</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电力电缆</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RVV2*1.5</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2000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51</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拖线板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采用优质阻燃材质外壳、三孔国标五位带独立开关</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52</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电源插头</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国标3孔插头</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53</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落地、抱杆箱接地线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BVR6</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线缆窖井砌筑</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含500*500*500盖板  及井圈；含窖井内土石方开挖（不区分开挖方式及土质）、砖及水泥砌筑；井内圈净尺寸不小于400*400；含土方清运、围挡、风镐及其他辅助工序；含井圈井盖安装。</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套</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PDU可分配电源单元</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8位 PDU 带开关</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台</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PVC管</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Φ25</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100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五孔五位拖线板</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五孔五位拖线板</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国产</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米</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三</w:t>
            </w:r>
            <w:r/>
          </w:p>
        </w:tc>
        <w:tc>
          <w:tcPr>
            <w:gridSpan w:val="8"/>
            <w:tcW w:w="8864" w:type="dxa"/>
            <w:vAlign w:val="center"/>
            <w:textDirection w:val="lrTb"/>
            <w:noWrap w:val="false"/>
          </w:tcPr>
          <w:p>
            <w:pPr>
              <w:jc w:val="center"/>
              <w:keepNext/>
              <w:widowControl/>
              <w:rPr>
                <w:rFonts w:hint="eastAsia" w:ascii="宋体" w:hAnsi="宋体" w:cs="宋体"/>
                <w:b/>
                <w:bCs/>
                <w:sz w:val="18"/>
                <w:szCs w:val="18"/>
              </w:rPr>
            </w:pPr>
            <w:r>
              <w:rPr>
                <w:rFonts w:hint="eastAsia" w:ascii="宋体" w:hAnsi="宋体" w:cs="宋体"/>
                <w:b/>
                <w:bCs/>
                <w:sz w:val="18"/>
                <w:szCs w:val="18"/>
                <w:lang w:bidi="ar"/>
              </w:rPr>
              <w:t xml:space="preserve">其他</w:t>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714"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监控电费</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前端视频监控1个月电费</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点位</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30</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714"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监控点位迁移</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含道路开挖、电源线、网线、增强管、辅材</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点位</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714" w:type="dxa"/>
            <w:vAlign w:val="center"/>
            <w:textDirection w:val="lrTb"/>
            <w:noWrap w:val="false"/>
          </w:tcPr>
          <w:p>
            <w:pPr>
              <w:jc w:val="center"/>
              <w:keepNext/>
              <w:widowControl/>
              <w:rPr>
                <w:rFonts w:hint="eastAsia" w:ascii="宋体" w:hAnsi="宋体" w:cs="宋体"/>
                <w:sz w:val="18"/>
                <w:szCs w:val="20"/>
              </w:rPr>
            </w:pPr>
            <w:r>
              <w:rPr>
                <w:rFonts w:hint="eastAsia" w:ascii="宋体" w:hAnsi="宋体" w:cs="宋体"/>
                <w:sz w:val="18"/>
                <w:szCs w:val="20"/>
                <w:lang w:bidi="ar"/>
              </w:rPr>
              <w:t xml:space="preserve">监控链路迁移</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含道路开挖、增强管、辅材</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点位</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4</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辅助材料</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摄像机安装辅材，按每个摄像机每个点位计算</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1</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5</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点位校准</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武进公安按照技防基础设施数据治理要求，通过移动端和 PC 端相结合的方式，建成了点位校准APP，以基础数据现场采集、后端采集、人工审核三步走的方式，开展完整的资产属性数据全面治理，确保感知类资产基础属性</w:t>
            </w:r>
            <w:r>
              <w:rPr>
                <w:rFonts w:hint="eastAsia" w:ascii="宋体" w:hAnsi="宋体" w:cs="宋体"/>
                <w:sz w:val="18"/>
                <w:szCs w:val="18"/>
                <w:lang w:bidi="ar"/>
              </w:rPr>
              <w:t xml:space="preserve">准确、清晰资产前端数据治理层面，重点应用移动终端信息采集手段，对各类感知设施基础信息进行现场采集和核对：依托移动终端高精度经纬度采集能力，采集较为稳定和精确的前端经纬度；依托移动终端电子罗盘采集能力，现场采集不可转动视频类感知设备朝向方位角度，为上图标注和智能化图像分析提供基础支撑；现场同时采集设备外观、安装位置、安装承载物、设备类型、补光灯属性、杆件和机柜、取电方式等项目结构化信息，采集设备安装地点、安装位置、安装支架、立杆机柜、取电借网等项目的图像，采集安装环境全景图像和视频，满足长期管理的基础信息需求</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6</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人工点工</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运营维护期间可能会产生不可预计的情况所产生的人工费用。</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3</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tcW w:w="417"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7</w:t>
            </w:r>
            <w:r/>
          </w:p>
        </w:tc>
        <w:tc>
          <w:tcPr>
            <w:tcW w:w="714"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维护部门</w:t>
            </w:r>
            <w:r/>
          </w:p>
        </w:tc>
        <w:tc>
          <w:tcPr>
            <w:tcW w:w="381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高新区管委会、规建局、北区交警中队、滨湖公司、排水口用户、大学城夜排档、大学新村三社区、高新区交警中队、龚家社区、恒绿公司、机关幼儿园、津通工业园、南河社区、南湖家园、南夏墅城管中队、南夏墅街道、南夏墅派出所、南夏墅水利站、南苑社区、清英外国语学校、新城派出所、学府东苑、学府家苑、长三角模具城等</w:t>
            </w:r>
            <w:r/>
          </w:p>
        </w:tc>
        <w:tc>
          <w:tcPr>
            <w:tcW w:w="63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定制</w:t>
            </w:r>
            <w:r/>
          </w:p>
        </w:tc>
        <w:tc>
          <w:tcPr>
            <w:tcW w:w="756" w:type="dxa"/>
            <w:vAlign w:val="center"/>
            <w:textDirection w:val="lrTb"/>
            <w:noWrap w:val="false"/>
          </w:tcPr>
          <w:p>
            <w:pPr>
              <w:jc w:val="left"/>
              <w:keepNext/>
              <w:widowControl/>
              <w:rPr>
                <w:rFonts w:hint="eastAsia" w:ascii="宋体" w:hAnsi="宋体" w:cs="宋体"/>
                <w:sz w:val="18"/>
                <w:szCs w:val="18"/>
              </w:rPr>
            </w:pPr>
            <w:r>
              <w:rPr>
                <w:rFonts w:hint="eastAsia" w:ascii="宋体" w:hAnsi="宋体" w:cs="宋体"/>
                <w:sz w:val="18"/>
                <w:szCs w:val="18"/>
                <w:lang w:bidi="ar"/>
              </w:rPr>
              <w:t xml:space="preserve">个</w:t>
            </w:r>
            <w:r/>
          </w:p>
        </w:tc>
        <w:tc>
          <w:tcPr>
            <w:tcW w:w="576"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lang w:bidi="ar"/>
              </w:rPr>
              <w:t xml:space="preserve">24</w:t>
            </w:r>
            <w:r/>
          </w:p>
        </w:tc>
        <w:tc>
          <w:tcPr>
            <w:tcW w:w="938" w:type="dxa"/>
            <w:vAlign w:val="center"/>
            <w:textDirection w:val="lrTb"/>
            <w:noWrap w:val="false"/>
          </w:tcPr>
          <w:p>
            <w:pPr>
              <w:jc w:val="center"/>
              <w:keepNext/>
              <w:widowControl/>
              <w:rPr>
                <w:rFonts w:hint="eastAsia" w:ascii="宋体" w:hAnsi="宋体" w:cs="宋体"/>
                <w:sz w:val="18"/>
                <w:szCs w:val="18"/>
              </w:rPr>
            </w:pPr>
            <w:r>
              <w:rPr>
                <w:rFonts w:hint="eastAsia" w:ascii="宋体" w:hAnsi="宋体" w:cs="宋体"/>
                <w:sz w:val="18"/>
                <w:szCs w:val="18"/>
              </w:rPr>
            </w:r>
            <w:r/>
          </w:p>
        </w:tc>
        <w:tc>
          <w:tcPr>
            <w:tcW w:w="1028" w:type="dxa"/>
            <w:vAlign w:val="center"/>
            <w:textDirection w:val="lrTb"/>
            <w:noWrap w:val="false"/>
          </w:tcPr>
          <w:p>
            <w:pPr>
              <w:jc w:val="right"/>
              <w:keepNext/>
              <w:widowControl/>
              <w:rPr>
                <w:rFonts w:hint="eastAsia" w:ascii="宋体" w:hAnsi="宋体" w:cs="宋体"/>
                <w:sz w:val="18"/>
                <w:szCs w:val="18"/>
              </w:rPr>
            </w:pPr>
            <w:r>
              <w:rPr>
                <w:rFonts w:hint="eastAsia" w:ascii="宋体" w:hAnsi="宋体" w:cs="宋体"/>
                <w:sz w:val="18"/>
                <w:szCs w:val="18"/>
              </w:rPr>
            </w:r>
            <w:r/>
          </w:p>
        </w:tc>
        <w:tc>
          <w:tcPr>
            <w:tcW w:w="400" w:type="dxa"/>
            <w:vAlign w:val="center"/>
            <w:textDirection w:val="lrTb"/>
            <w:noWrap w:val="false"/>
          </w:tcPr>
          <w:p>
            <w:pPr>
              <w:jc w:val="right"/>
              <w:keepNext/>
              <w:rPr>
                <w:rFonts w:hint="eastAsia" w:ascii="宋体" w:hAnsi="宋体" w:cs="宋体"/>
                <w:sz w:val="18"/>
                <w:szCs w:val="18"/>
              </w:rPr>
            </w:pPr>
            <w:r>
              <w:rPr>
                <w:rFonts w:hint="eastAsia" w:ascii="宋体" w:hAnsi="宋体" w:cs="宋体"/>
                <w:sz w:val="18"/>
                <w:szCs w:val="18"/>
              </w:rPr>
            </w:r>
            <w:r/>
          </w:p>
        </w:tc>
      </w:tr>
      <w:tr>
        <w:trPr/>
        <w:tc>
          <w:tcPr>
            <w:gridSpan w:val="9"/>
            <w:tcW w:w="9281" w:type="dxa"/>
            <w:vAlign w:val="center"/>
            <w:textDirection w:val="lrTb"/>
            <w:noWrap w:val="false"/>
          </w:tcPr>
          <w:p>
            <w:pPr>
              <w:jc w:val="left"/>
              <w:keepNext/>
              <w:tabs>
                <w:tab w:val="left" w:pos="1437" w:leader="none"/>
              </w:tabs>
              <w:rPr>
                <w:rFonts w:hint="eastAsia" w:ascii="宋体" w:hAnsi="宋体" w:eastAsia="宋体" w:cs="宋体"/>
                <w:sz w:val="18"/>
                <w:szCs w:val="18"/>
                <w:lang w:eastAsia="zh-CN"/>
              </w:rPr>
            </w:pPr>
            <w:r>
              <w:rPr>
                <w:rFonts w:hint="eastAsia" w:ascii="宋体" w:hAnsi="宋体" w:eastAsia="宋体" w:cs="宋体"/>
                <w:b/>
                <w:bCs/>
                <w:i w:val="0"/>
                <w:iCs w:val="0"/>
                <w:color w:val="auto"/>
                <w:sz w:val="22"/>
                <w:szCs w:val="22"/>
                <w:u w:val="none"/>
                <w:lang w:val="en-US" w:eastAsia="zh-CN"/>
              </w:rPr>
              <w:t xml:space="preserve">未定量部分合计（一+二+三）：               元</w:t>
            </w:r>
            <w:r/>
          </w:p>
        </w:tc>
      </w:tr>
    </w:tbl>
    <w:p>
      <w:pPr>
        <w:pStyle w:val="1095"/>
        <w:ind w:firstLine="0"/>
        <w:spacing w:after="0"/>
        <w:rPr>
          <w:rFonts w:hint="eastAsia" w:hAnsi="宋体"/>
          <w:b/>
          <w:szCs w:val="21"/>
        </w:rPr>
      </w:pPr>
      <w:r>
        <w:rPr>
          <w:rFonts w:hint="eastAsia" w:hAnsi="宋体"/>
          <w:b/>
          <w:szCs w:val="21"/>
        </w:rPr>
        <w:t xml:space="preserve">                                                                                                                                                                           </w:t>
      </w:r>
      <w:r>
        <w:rPr>
          <w:rFonts w:hint="eastAsia" w:hAnsi="宋体"/>
          <w:b/>
          <w:szCs w:val="21"/>
        </w:rPr>
        <w:t xml:space="preserve">                                                                                                                                                                                                                                                                </w:t>
      </w:r>
      <w:r/>
    </w:p>
    <w:p>
      <w:pPr>
        <w:pStyle w:val="1095"/>
        <w:ind w:firstLine="0"/>
        <w:rPr>
          <w:rFonts w:hint="eastAsia" w:hAnsi="宋体"/>
          <w:b/>
          <w:szCs w:val="21"/>
        </w:rPr>
      </w:pPr>
      <w:r>
        <w:rPr>
          <w:rFonts w:hint="eastAsia" w:hAnsi="宋体"/>
          <w:b/>
          <w:szCs w:val="21"/>
        </w:rPr>
        <w:t xml:space="preserve">注：1、因本项目（未定量部分）工作量的不确定，（未定量部分）清单表格中工作量仅为报价估算用，投标人中标后按照甲方认可后的方案完成更换设备服务后，以审定的实际更换工作量*最终清单报价表中的全费用综合单价结算（未定量部分）。</w:t>
      </w:r>
      <w:r/>
    </w:p>
    <w:p>
      <w:pPr>
        <w:pStyle w:val="1095"/>
        <w:ind w:firstLine="211"/>
        <w:spacing w:after="0" w:line="400" w:lineRule="exact"/>
        <w:rPr>
          <w:rFonts w:hint="eastAsia" w:ascii="宋体" w:hAnsi="宋体"/>
          <w:b/>
          <w:sz w:val="24"/>
        </w:rPr>
      </w:pPr>
      <w:r>
        <w:rPr>
          <w:rFonts w:hint="eastAsia" w:hAnsi="宋体"/>
          <w:b/>
          <w:szCs w:val="21"/>
        </w:rPr>
        <w:t xml:space="preserve">2、未定量部分供应商报价不得超过采购人清单最高限价单价，否则作无效标处理。</w:t>
      </w:r>
      <w:r/>
    </w:p>
    <w:p>
      <w:pPr>
        <w:rPr>
          <w:rFonts w:hint="eastAsia" w:ascii="宋体" w:hAnsi="宋体"/>
        </w:rPr>
      </w:pPr>
      <w:r>
        <w:rPr>
          <w:rFonts w:hint="eastAsia" w:ascii="宋体" w:hAnsi="宋体"/>
        </w:rPr>
      </w:r>
      <w:r/>
    </w:p>
    <w:p>
      <w:pPr>
        <w:jc w:val="left"/>
        <w:widowControl/>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rFonts w:hint="eastAsia" w:ascii="宋体" w:hAnsi="宋体"/>
          <w:sz w:val="24"/>
          <w:lang w:val="zh-CN"/>
        </w:rPr>
      </w:pPr>
      <w:r>
        <w:rPr>
          <w:sz w:val="24"/>
          <w:szCs w:val="20"/>
        </w:rPr>
        <w:t xml:space="preserve">日期：_____年______月______日  </w:t>
      </w:r>
      <w:r/>
    </w:p>
    <w:p>
      <w:pPr>
        <w:jc w:val="left"/>
        <w:widowControl/>
        <w:rPr>
          <w:rFonts w:hint="eastAsia" w:ascii="宋体" w:hAnsi="宋体"/>
          <w:sz w:val="24"/>
        </w:rPr>
      </w:pPr>
      <w:r/>
      <w:bookmarkStart w:id="895" w:name="_Toc226309803"/>
      <w:r/>
      <w:bookmarkStart w:id="896" w:name="_Toc305158827"/>
      <w:r/>
      <w:bookmarkStart w:id="897" w:name="_Toc226965749"/>
      <w:r/>
      <w:bookmarkStart w:id="898" w:name="_Toc305158901"/>
      <w:r/>
      <w:bookmarkStart w:id="899" w:name="_Toc226337255"/>
      <w:r/>
      <w:bookmarkStart w:id="900" w:name="_Toc195842924"/>
      <w:r/>
      <w:bookmarkStart w:id="901" w:name="_Toc150480796"/>
      <w:r/>
      <w:bookmarkStart w:id="902" w:name="_Toc265228397"/>
      <w:r/>
      <w:bookmarkStart w:id="903" w:name="_Toc264969249"/>
      <w:r/>
      <w:bookmarkStart w:id="904" w:name="_Toc142311060"/>
      <w:r/>
      <w:bookmarkStart w:id="905" w:name="_Toc127151558"/>
      <w:r/>
      <w:bookmarkStart w:id="906" w:name="_Toc226965832"/>
      <w:r/>
      <w:bookmarkStart w:id="907" w:name="_Toc150774763"/>
      <w:r>
        <w:rPr>
          <w:rFonts w:ascii="宋体" w:hAnsi="宋体"/>
          <w:sz w:val="24"/>
        </w:rPr>
        <w:br w:type="page" w:clear="all"/>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Start w:id="911" w:name="_GoBack"/>
      <w:r/>
      <w:bookmarkEnd w:id="911"/>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
    </w:p>
    <w:p>
      <w:pPr>
        <w:spacing w:line="360" w:lineRule="auto"/>
        <w:rPr>
          <w:sz w:val="24"/>
          <w:szCs w:val="20"/>
        </w:rPr>
        <w:outlineLvl w:val="2"/>
      </w:pPr>
      <w:r>
        <w:rPr>
          <w:rFonts w:hint="eastAsia"/>
          <w:sz w:val="24"/>
          <w:szCs w:val="20"/>
        </w:rPr>
        <w:t xml:space="preserve">4</w:t>
      </w:r>
      <w:r>
        <w:rPr>
          <w:sz w:val="24"/>
          <w:szCs w:val="20"/>
        </w:rPr>
        <w:t xml:space="preserve">  </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p>
    <w:tbl>
      <w:tblPr>
        <w:tblStyle w:val="1079"/>
        <w:tblpPr w:horzAnchor="page" w:tblpX="1513" w:vertAnchor="text" w:tblpY="471"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pStyle w:val="1095"/>
        <w:ind w:firstLine="240"/>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szCs w:val="20"/>
        </w:rPr>
      </w:pPr>
      <w:r>
        <w:rPr>
          <w:sz w:val="24"/>
          <w:szCs w:val="20"/>
        </w:rPr>
        <w:t xml:space="preserve">日期：_____年______月______日   </w:t>
      </w:r>
      <w:r/>
    </w:p>
    <w:p>
      <w:pPr>
        <w:spacing w:before="25" w:after="25" w:line="360" w:lineRule="auto"/>
        <w:rPr>
          <w:sz w:val="24"/>
          <w:szCs w:val="20"/>
        </w:rPr>
      </w:pPr>
      <w:r>
        <w:rPr>
          <w:sz w:val="24"/>
          <w:szCs w:val="20"/>
        </w:rPr>
      </w:r>
      <w:r/>
    </w:p>
    <w:p>
      <w:pPr>
        <w:spacing w:line="360" w:lineRule="auto"/>
        <w:rPr>
          <w:sz w:val="24"/>
          <w:szCs w:val="20"/>
        </w:rPr>
        <w:outlineLvl w:val="2"/>
      </w:pPr>
      <w:r>
        <w:rPr>
          <w:rFonts w:hint="eastAsia"/>
          <w:sz w:val="24"/>
          <w:szCs w:val="20"/>
        </w:rPr>
        <w:t xml:space="preserve">5</w:t>
      </w:r>
      <w:r>
        <w:rPr>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098"/>
          <w:color w:val="auto"/>
          <w:sz w:val="24"/>
        </w:rPr>
        <w:t xml:space="preserve">http://202.106.120.146/baosong/appweb/orgScale.html</w:t>
      </w:r>
      <w:r>
        <w:rPr>
          <w:rStyle w:val="1098"/>
          <w:color w:val="auto"/>
          <w:sz w:val="24"/>
        </w:rPr>
        <w:fldChar w:fldCharType="end"/>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ind w:firstLine="1928"/>
        <w:spacing w:line="360" w:lineRule="auto"/>
        <w:widowControl/>
        <w:rPr>
          <w:rFonts w:hint="eastAsia" w:ascii="宋体" w:hAnsi="宋体" w:cs="楷体"/>
          <w:b/>
          <w:sz w:val="32"/>
          <w:szCs w:val="32"/>
        </w:rPr>
        <w:outlineLvl w:val="0"/>
      </w:pPr>
      <w:r>
        <w:rPr>
          <w:b/>
          <w:bCs/>
          <w:sz w:val="24"/>
        </w:rPr>
        <w:br w:type="page" w:clear="all"/>
      </w:r>
      <w:r>
        <w:rPr>
          <w:rFonts w:hint="eastAsia"/>
          <w:b/>
          <w:bCs/>
          <w:sz w:val="24"/>
        </w:rPr>
        <w:t xml:space="preserve">         </w:t>
      </w: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05"/>
        <w:ind w:firstLine="480"/>
        <w:spacing w:line="440" w:lineRule="exact"/>
        <w:rPr>
          <w:rFonts w:hint="eastAsia" w:hAnsi="宋体" w:cs="楷体"/>
          <w:sz w:val="24"/>
          <w:szCs w:val="24"/>
        </w:rPr>
      </w:pPr>
      <w:r>
        <w:rPr>
          <w:rFonts w:hint="eastAsia" w:hAnsi="宋体" w:cs="楷体"/>
          <w:sz w:val="24"/>
          <w:szCs w:val="24"/>
        </w:rPr>
        <w:t xml:space="preserve">1、</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5"/>
        <w:ind w:firstLine="480"/>
        <w:spacing w:line="440" w:lineRule="exact"/>
        <w:rPr>
          <w:rFonts w:hint="eastAsia" w:hAnsi="宋体" w:cs="楷体"/>
          <w:sz w:val="24"/>
          <w:szCs w:val="24"/>
        </w:rPr>
      </w:pPr>
      <w:r>
        <w:rPr>
          <w:rFonts w:hint="eastAsia" w:hAnsi="宋体" w:cs="楷体"/>
          <w:sz w:val="24"/>
          <w:szCs w:val="24"/>
        </w:rPr>
        <w:t xml:space="preserve">2、</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5"/>
        <w:ind w:firstLine="480"/>
        <w:spacing w:line="440" w:lineRule="exact"/>
        <w:rPr>
          <w:rFonts w:hint="eastAsia" w:hAnsi="宋体" w:cs="楷体"/>
          <w:sz w:val="24"/>
          <w:szCs w:val="24"/>
        </w:rPr>
      </w:pPr>
      <w:r>
        <w:rPr>
          <w:rFonts w:hint="eastAsia" w:hAnsi="宋体" w:cs="楷体"/>
          <w:sz w:val="24"/>
          <w:szCs w:val="24"/>
        </w:rPr>
        <w:t xml:space="preserve">……</w:t>
      </w:r>
      <w:r/>
    </w:p>
    <w:p>
      <w:pPr>
        <w:pStyle w:val="1105"/>
        <w:ind w:firstLine="480"/>
        <w:spacing w:line="440" w:lineRule="exact"/>
        <w:rPr>
          <w:rFonts w:hint="eastAsia" w:hAnsi="宋体" w:cs="楷体"/>
          <w:sz w:val="24"/>
          <w:szCs w:val="24"/>
        </w:rPr>
      </w:pPr>
      <w:r>
        <w:rPr>
          <w:rFonts w:hint="eastAsia" w:hAnsi="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t xml:space="preserve">企业名称(盖章)：</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1088"/>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05"/>
        <w:ind w:firstLine="480"/>
        <w:rPr>
          <w:rFonts w:hint="eastAsia" w:hAnsi="宋体" w:cs="楷体"/>
          <w:sz w:val="24"/>
          <w:szCs w:val="24"/>
        </w:rPr>
      </w:pPr>
      <w:r>
        <w:rPr>
          <w:rFonts w:hint="eastAsia" w:hAnsi="宋体" w:cs="楷体"/>
          <w:sz w:val="24"/>
          <w:szCs w:val="24"/>
        </w:rPr>
        <w:t xml:space="preserve">2、中小企业划型标准规定参考《工信部联企业[2011]300号》</w:t>
      </w:r>
      <w:r/>
    </w:p>
    <w:p>
      <w:pPr>
        <w:jc w:val="left"/>
        <w:widowControl/>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outlineLvl w:val="0"/>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107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outlineLvl w:val="0"/>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firstLine="504"/>
        <w:spacing w:line="588" w:lineRule="exact"/>
        <w:rPr>
          <w:spacing w:val="6"/>
          <w:sz w:val="24"/>
        </w:rPr>
      </w:pPr>
      <w:r>
        <w:rPr>
          <w:spacing w:val="6"/>
          <w:sz w:val="24"/>
        </w:rPr>
      </w:r>
      <w:r/>
    </w:p>
    <w:p>
      <w:pPr>
        <w:rPr>
          <w:sz w:val="24"/>
          <w:szCs w:val="20"/>
        </w:rPr>
      </w:pPr>
      <w:r>
        <w:rPr>
          <w:sz w:val="24"/>
          <w:szCs w:val="20"/>
        </w:rPr>
        <w:br w:type="page" w:clear="all"/>
      </w:r>
      <w:r/>
    </w:p>
    <w:p>
      <w:pPr>
        <w:rPr>
          <w:sz w:val="24"/>
          <w:szCs w:val="20"/>
        </w:rPr>
      </w:pPr>
      <w:r>
        <w:rPr>
          <w:sz w:val="24"/>
          <w:szCs w:val="20"/>
        </w:rPr>
      </w:r>
      <w:r/>
    </w:p>
    <w:p>
      <w:pPr>
        <w:spacing w:line="360" w:lineRule="auto"/>
        <w:rPr>
          <w:sz w:val="24"/>
          <w:szCs w:val="20"/>
        </w:rPr>
        <w:outlineLvl w:val="0"/>
      </w:pPr>
      <w:r>
        <w:rPr>
          <w:rFonts w:hint="eastAsia"/>
          <w:sz w:val="24"/>
          <w:szCs w:val="20"/>
        </w:rPr>
        <w:t xml:space="preserve">6 </w:t>
      </w:r>
      <w:r>
        <w:rPr>
          <w:sz w:val="24"/>
          <w:szCs w:val="20"/>
        </w:rPr>
        <w:t xml:space="preserve"> </w:t>
      </w:r>
      <w:bookmarkStart w:id="908" w:name="_Hlk139402032"/>
      <w:r>
        <w:rPr>
          <w:rFonts w:hint="eastAsia"/>
          <w:sz w:val="24"/>
          <w:szCs w:val="20"/>
        </w:rPr>
        <w:t xml:space="preserve">项目实施方案</w:t>
      </w:r>
      <w:r/>
    </w:p>
    <w:p>
      <w:pPr>
        <w:ind w:firstLine="480"/>
        <w:spacing w:line="560" w:lineRule="exact"/>
        <w:rPr>
          <w:sz w:val="24"/>
          <w:szCs w:val="20"/>
        </w:rPr>
      </w:pPr>
      <w:r>
        <w:rPr>
          <w:rFonts w:hint="eastAsia"/>
          <w:sz w:val="24"/>
          <w:szCs w:val="20"/>
        </w:rPr>
        <w:t xml:space="preserve">（详见“第四章 评标程序、评标方法和评标标准”—“评标标准”—“主观分”中明确内容）</w:t>
      </w:r>
      <w:bookmarkEnd w:id="908"/>
      <w:r/>
      <w:r/>
    </w:p>
    <w:p>
      <w:pPr>
        <w:ind w:firstLine="480"/>
        <w:spacing w:line="560" w:lineRule="exact"/>
        <w:rPr>
          <w:sz w:val="24"/>
          <w:szCs w:val="20"/>
        </w:rPr>
      </w:pPr>
      <w:r>
        <w:rPr>
          <w:sz w:val="24"/>
          <w:szCs w:val="20"/>
        </w:rPr>
      </w:r>
      <w:r/>
    </w:p>
    <w:p>
      <w:pPr>
        <w:spacing w:line="360" w:lineRule="auto"/>
        <w:rPr>
          <w:sz w:val="24"/>
          <w:szCs w:val="20"/>
        </w:rPr>
        <w:outlineLvl w:val="0"/>
      </w:pPr>
      <w:r>
        <w:rPr>
          <w:sz w:val="24"/>
          <w:szCs w:val="20"/>
        </w:rPr>
        <w:br w:type="page" w:clear="all"/>
      </w:r>
      <w:r>
        <w:rPr>
          <w:rFonts w:hint="eastAsia"/>
          <w:sz w:val="24"/>
          <w:szCs w:val="20"/>
        </w:rPr>
        <w:t xml:space="preserve">7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2"/>
        </w:rPr>
      </w:pPr>
      <w:r>
        <w:rPr>
          <w:sz w:val="22"/>
        </w:rPr>
        <w:br w:type="page" w:clear="all"/>
      </w:r>
      <w:bookmarkStart w:id="909" w:name="_Toc288738397"/>
      <w:r/>
      <w:bookmarkStart w:id="910" w:name="_Toc288738839"/>
      <w:r/>
      <w:r/>
    </w:p>
    <w:p>
      <w:pPr>
        <w:spacing w:line="360" w:lineRule="auto"/>
        <w:rPr>
          <w:sz w:val="24"/>
          <w:szCs w:val="20"/>
        </w:rPr>
        <w:outlineLvl w:val="0"/>
      </w:pPr>
      <w:r>
        <w:rPr>
          <w:rFonts w:hint="eastAsia"/>
          <w:sz w:val="24"/>
          <w:szCs w:val="20"/>
        </w:rPr>
        <w:t xml:space="preserve">8  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09"/>
      <w:r/>
      <w:bookmarkEnd w:id="910"/>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rFonts w:hint="eastAsia"/>
          <w:sz w:val="24"/>
          <w:szCs w:val="20"/>
        </w:rPr>
        <w:t xml:space="preserve">9 基本服务承诺书</w:t>
      </w:r>
      <w:r/>
    </w:p>
    <w:p>
      <w:pPr>
        <w:ind w:firstLine="2529"/>
        <w:spacing w:line="400" w:lineRule="exact"/>
        <w:rPr>
          <w:rFonts w:hint="eastAsia" w:ascii="宋体" w:hAnsi="宋体"/>
          <w:b/>
          <w:spacing w:val="20"/>
          <w:sz w:val="32"/>
          <w:szCs w:val="32"/>
        </w:rPr>
        <w:outlineLvl w:val="1"/>
      </w:pPr>
      <w:r>
        <w:rPr>
          <w:rFonts w:hint="eastAsia" w:ascii="宋体" w:hAnsi="宋体"/>
          <w:b/>
          <w:spacing w:val="20"/>
          <w:sz w:val="32"/>
          <w:szCs w:val="32"/>
        </w:rPr>
        <w:t xml:space="preserve">基本服务承诺书 </w:t>
      </w:r>
      <w:r>
        <w:rPr>
          <w:rFonts w:ascii="宋体" w:hAnsi="宋体"/>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9"/>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我单位确保按中标结果确定价格并及时提供招标文件需求内容。</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104"/>
        <w:rPr>
          <w:rFonts w:hint="eastAsia" w:hAnsi="宋体"/>
          <w:color w:val="auto"/>
        </w:rPr>
      </w:pPr>
      <w:r>
        <w:rPr>
          <w:rFonts w:hint="eastAsia" w:hAnsi="宋体"/>
          <w:color w:val="auto"/>
        </w:rPr>
      </w:r>
      <w:r/>
    </w:p>
    <w:p>
      <w:pPr>
        <w:ind w:firstLine="4320"/>
        <w:spacing w:line="400" w:lineRule="exact"/>
        <w:rPr>
          <w:rFonts w:hint="eastAsia" w:ascii="宋体" w:hAnsi="宋体"/>
          <w:bCs/>
          <w:sz w:val="24"/>
        </w:rPr>
      </w:pPr>
      <w:r>
        <w:rPr>
          <w:rFonts w:hint="eastAsia" w:ascii="宋体" w:hAnsi="宋体"/>
          <w:bCs/>
          <w:sz w:val="24"/>
        </w:rPr>
        <w:t xml:space="preserve">投标单位（盖章）：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br w:type="page" w:clear="all"/>
      </w:r>
      <w:r>
        <w:rPr>
          <w:rFonts w:hint="eastAsia"/>
          <w:sz w:val="24"/>
          <w:szCs w:val="20"/>
        </w:rPr>
        <w:t xml:space="preserve">10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sectPr>
      <w:headerReference w:type="even" r:id="rId14"/>
      <w:headerReference w:type="first" r:id="rId15"/>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Segoe UI Symbol">
    <w:panose1 w:val="020B0502040204020203"/>
  </w:font>
  <w:font w:name="等线">
    <w:panose1 w:val="02010600030101010101"/>
  </w:font>
  <w:font w:name="Wingdings">
    <w:panose1 w:val="05000000000000000000"/>
  </w:font>
  <w:font w:name="Cambria">
    <w:panose1 w:val="02040503050406030204"/>
  </w:font>
  <w:font w:name="CESI黑体-GB2312">
    <w:panose1 w:val="020B0503020202020204"/>
  </w:font>
  <w:font w:name="Adobe 仿宋 Std R">
    <w:panose1 w:val="020B0503020202020204"/>
  </w:font>
  <w:font w:name="楷体">
    <w:panose1 w:val="02010609060101010101"/>
  </w:font>
  <w:font w:name="Symbol">
    <w:panose1 w:val="05050102010706020507"/>
  </w:font>
  <w:font w:name="Calibri">
    <w:panose1 w:val="020F0502020204030204"/>
  </w:font>
  <w:font w:name="Courier New">
    <w:panose1 w:val="02070309020205020404"/>
  </w:font>
  <w:font w:name="方正仿宋简体">
    <w:panose1 w:val="020B050302020202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right="360"/>
      <w:rPr>
        <w:rStyle w:val="1097"/>
      </w:rPr>
      <w:framePr w:wrap="around" w:vAnchor="text" w:hAnchor="margin" w:y="1"/>
    </w:pPr>
    <w:r/>
    <w:r/>
  </w:p>
  <w:p>
    <w:pPr>
      <w:pStyle w:val="1090"/>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36</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70</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097"/>
      </w:rPr>
      <w:framePr w:wrap="around" w:vAnchor="text" w:hAnchor="margin" w:xAlign="right" w:y="1"/>
    </w:pPr>
    <w:r>
      <w:rPr>
        <w:rStyle w:val="1097"/>
      </w:rPr>
      <w:fldChar w:fldCharType="begin"/>
    </w:r>
    <w:r>
      <w:rPr>
        <w:rStyle w:val="1097"/>
      </w:rPr>
      <w:instrText xml:space="preserve">PAGE  </w:instrText>
    </w:r>
    <w:r>
      <w:rPr>
        <w:rStyle w:val="1097"/>
      </w:rPr>
      <w:fldChar w:fldCharType="end"/>
    </w:r>
    <w:r/>
  </w:p>
  <w:p>
    <w:pPr>
      <w:pStyle w:val="109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097"/>
      </w:rPr>
      <w:framePr w:wrap="around" w:vAnchor="text" w:hAnchor="margin" w:xAlign="center" w:y="1"/>
    </w:pPr>
    <w:r>
      <w:fldChar w:fldCharType="begin"/>
    </w:r>
    <w:r>
      <w:rPr>
        <w:rStyle w:val="1097"/>
      </w:rPr>
      <w:instrText xml:space="preserve"> PAGE </w:instrText>
    </w:r>
    <w:r>
      <w:fldChar w:fldCharType="separate"/>
    </w:r>
    <w:r>
      <w:rPr>
        <w:rStyle w:val="1097"/>
      </w:rPr>
      <w:t xml:space="preserve">- 38 -</w:t>
    </w:r>
    <w:r>
      <w:fldChar w:fldCharType="end"/>
    </w:r>
    <w:r/>
  </w:p>
  <w:p>
    <w:pPr>
      <w:pStyle w:val="1090"/>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097"/>
      </w:rPr>
      <w:framePr w:wrap="around" w:vAnchor="text" w:hAnchor="margin" w:xAlign="right" w:y="1"/>
    </w:pPr>
    <w:r>
      <w:rPr>
        <w:rStyle w:val="1097"/>
      </w:rPr>
      <w:fldChar w:fldCharType="begin"/>
    </w:r>
    <w:r>
      <w:rPr>
        <w:rStyle w:val="1097"/>
      </w:rPr>
      <w:instrText xml:space="preserve">PAGE  </w:instrText>
    </w:r>
    <w:r>
      <w:rPr>
        <w:rStyle w:val="1097"/>
      </w:rPr>
      <w:fldChar w:fldCharType="end"/>
    </w:r>
    <w:r/>
  </w:p>
  <w:p>
    <w:pPr>
      <w:pStyle w:val="1090"/>
      <w:ind w:right="360"/>
    </w:pPr>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Pr>
        <w:rFonts w:hint="eastAsia"/>
      </w:rPr>
      <w:t xml:space="preserve">江苏晟泽工程造价咨询有限公司公开招标文件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1"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OGO"/>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13970"/>
              <wp:wrapNone/>
              <wp:docPr id="2" name="图片 10" descr="公司名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公司名称"/>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江苏晟泽工程造价咨询有限公司公开招标文件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p>
    <w:r/>
    <w:r/>
  </w:p>
  <w:p>
    <w:r/>
    <w:r/>
  </w:p>
  <w:p>
    <w:r/>
    <w:r/>
  </w:p>
  <w:p>
    <w:r/>
    <w:r/>
  </w:p>
  <w:p>
    <w:r/>
    <w:r/>
  </w:p>
  <w:p>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5"/>
  </w:num>
  <w:num w:numId="3">
    <w:abstractNumId w:val="2"/>
  </w:num>
  <w:num w:numId="4">
    <w:abstractNumId w:val="6"/>
  </w:num>
  <w:num w:numId="5">
    <w:abstractNumId w:val="4"/>
  </w:num>
  <w:num w:numId="6">
    <w:abstractNumId w:val="8"/>
  </w:num>
  <w:num w:numId="7">
    <w:abstractNumId w:val="7"/>
  </w:num>
  <w:num w:numId="8">
    <w:abstractNumId w:val="1"/>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name w:val="Heading 1"/>
    <w:basedOn w:val="1075"/>
    <w:next w:val="1075"/>
    <w:link w:val="907"/>
    <w:uiPriority w:val="9"/>
    <w:qFormat/>
    <w:pPr>
      <w:keepLines/>
      <w:keepNext/>
      <w:spacing w:before="480" w:after="200"/>
      <w:outlineLvl w:val="0"/>
    </w:pPr>
    <w:rPr>
      <w:rFonts w:ascii="Arial" w:hAnsi="Arial" w:eastAsia="Arial" w:cs="Arial"/>
      <w:sz w:val="40"/>
      <w:szCs w:val="40"/>
    </w:rPr>
  </w:style>
  <w:style w:type="character" w:styleId="907">
    <w:name w:val="Heading 1 Char"/>
    <w:basedOn w:val="1078"/>
    <w:link w:val="906"/>
    <w:uiPriority w:val="9"/>
    <w:rPr>
      <w:rFonts w:ascii="Arial" w:hAnsi="Arial" w:eastAsia="Arial" w:cs="Arial"/>
      <w:sz w:val="40"/>
      <w:szCs w:val="40"/>
    </w:rPr>
  </w:style>
  <w:style w:type="character" w:styleId="908">
    <w:name w:val="Heading 2 Char"/>
    <w:basedOn w:val="1078"/>
    <w:link w:val="1076"/>
    <w:uiPriority w:val="9"/>
    <w:rPr>
      <w:rFonts w:ascii="Arial" w:hAnsi="Arial" w:eastAsia="Arial" w:cs="Arial"/>
      <w:sz w:val="34"/>
    </w:rPr>
  </w:style>
  <w:style w:type="character" w:styleId="909">
    <w:name w:val="Heading 3 Char"/>
    <w:basedOn w:val="1078"/>
    <w:link w:val="1077"/>
    <w:uiPriority w:val="9"/>
    <w:rPr>
      <w:rFonts w:ascii="Arial" w:hAnsi="Arial" w:eastAsia="Arial" w:cs="Arial"/>
      <w:sz w:val="30"/>
      <w:szCs w:val="30"/>
    </w:rPr>
  </w:style>
  <w:style w:type="paragraph" w:styleId="910">
    <w:name w:val="Heading 4"/>
    <w:basedOn w:val="1075"/>
    <w:next w:val="1075"/>
    <w:link w:val="911"/>
    <w:uiPriority w:val="9"/>
    <w:unhideWhenUsed/>
    <w:qFormat/>
    <w:pPr>
      <w:keepLines/>
      <w:keepNext/>
      <w:spacing w:before="320" w:after="200"/>
      <w:outlineLvl w:val="3"/>
    </w:pPr>
    <w:rPr>
      <w:rFonts w:ascii="Arial" w:hAnsi="Arial" w:eastAsia="Arial" w:cs="Arial"/>
      <w:b/>
      <w:bCs/>
      <w:sz w:val="26"/>
      <w:szCs w:val="26"/>
    </w:rPr>
  </w:style>
  <w:style w:type="character" w:styleId="911">
    <w:name w:val="Heading 4 Char"/>
    <w:basedOn w:val="1078"/>
    <w:link w:val="910"/>
    <w:uiPriority w:val="9"/>
    <w:rPr>
      <w:rFonts w:ascii="Arial" w:hAnsi="Arial" w:eastAsia="Arial" w:cs="Arial"/>
      <w:b/>
      <w:bCs/>
      <w:sz w:val="26"/>
      <w:szCs w:val="26"/>
    </w:rPr>
  </w:style>
  <w:style w:type="paragraph" w:styleId="912">
    <w:name w:val="Heading 5"/>
    <w:basedOn w:val="1075"/>
    <w:next w:val="1075"/>
    <w:link w:val="913"/>
    <w:uiPriority w:val="9"/>
    <w:unhideWhenUsed/>
    <w:qFormat/>
    <w:pPr>
      <w:keepLines/>
      <w:keepNext/>
      <w:spacing w:before="320" w:after="200"/>
      <w:outlineLvl w:val="4"/>
    </w:pPr>
    <w:rPr>
      <w:rFonts w:ascii="Arial" w:hAnsi="Arial" w:eastAsia="Arial" w:cs="Arial"/>
      <w:b/>
      <w:bCs/>
      <w:sz w:val="24"/>
      <w:szCs w:val="24"/>
    </w:rPr>
  </w:style>
  <w:style w:type="character" w:styleId="913">
    <w:name w:val="Heading 5 Char"/>
    <w:basedOn w:val="1078"/>
    <w:link w:val="912"/>
    <w:uiPriority w:val="9"/>
    <w:rPr>
      <w:rFonts w:ascii="Arial" w:hAnsi="Arial" w:eastAsia="Arial" w:cs="Arial"/>
      <w:b/>
      <w:bCs/>
      <w:sz w:val="24"/>
      <w:szCs w:val="24"/>
    </w:rPr>
  </w:style>
  <w:style w:type="paragraph" w:styleId="914">
    <w:name w:val="Heading 6"/>
    <w:basedOn w:val="1075"/>
    <w:next w:val="1075"/>
    <w:link w:val="915"/>
    <w:uiPriority w:val="9"/>
    <w:unhideWhenUsed/>
    <w:qFormat/>
    <w:pPr>
      <w:keepLines/>
      <w:keepNext/>
      <w:spacing w:before="320" w:after="200"/>
      <w:outlineLvl w:val="5"/>
    </w:pPr>
    <w:rPr>
      <w:rFonts w:ascii="Arial" w:hAnsi="Arial" w:eastAsia="Arial" w:cs="Arial"/>
      <w:b/>
      <w:bCs/>
      <w:sz w:val="22"/>
      <w:szCs w:val="22"/>
    </w:rPr>
  </w:style>
  <w:style w:type="character" w:styleId="915">
    <w:name w:val="Heading 6 Char"/>
    <w:basedOn w:val="1078"/>
    <w:link w:val="914"/>
    <w:uiPriority w:val="9"/>
    <w:rPr>
      <w:rFonts w:ascii="Arial" w:hAnsi="Arial" w:eastAsia="Arial" w:cs="Arial"/>
      <w:b/>
      <w:bCs/>
      <w:sz w:val="22"/>
      <w:szCs w:val="22"/>
    </w:rPr>
  </w:style>
  <w:style w:type="paragraph" w:styleId="916">
    <w:name w:val="Heading 7"/>
    <w:basedOn w:val="1075"/>
    <w:next w:val="1075"/>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name w:val="Heading 7 Char"/>
    <w:basedOn w:val="1078"/>
    <w:link w:val="916"/>
    <w:uiPriority w:val="9"/>
    <w:rPr>
      <w:rFonts w:ascii="Arial" w:hAnsi="Arial" w:eastAsia="Arial" w:cs="Arial"/>
      <w:b/>
      <w:bCs/>
      <w:i/>
      <w:iCs/>
      <w:sz w:val="22"/>
      <w:szCs w:val="22"/>
    </w:rPr>
  </w:style>
  <w:style w:type="paragraph" w:styleId="918">
    <w:name w:val="Heading 8"/>
    <w:basedOn w:val="1075"/>
    <w:next w:val="1075"/>
    <w:link w:val="919"/>
    <w:uiPriority w:val="9"/>
    <w:unhideWhenUsed/>
    <w:qFormat/>
    <w:pPr>
      <w:keepLines/>
      <w:keepNext/>
      <w:spacing w:before="320" w:after="200"/>
      <w:outlineLvl w:val="7"/>
    </w:pPr>
    <w:rPr>
      <w:rFonts w:ascii="Arial" w:hAnsi="Arial" w:eastAsia="Arial" w:cs="Arial"/>
      <w:i/>
      <w:iCs/>
      <w:sz w:val="22"/>
      <w:szCs w:val="22"/>
    </w:rPr>
  </w:style>
  <w:style w:type="character" w:styleId="919">
    <w:name w:val="Heading 8 Char"/>
    <w:basedOn w:val="1078"/>
    <w:link w:val="918"/>
    <w:uiPriority w:val="9"/>
    <w:rPr>
      <w:rFonts w:ascii="Arial" w:hAnsi="Arial" w:eastAsia="Arial" w:cs="Arial"/>
      <w:i/>
      <w:iCs/>
      <w:sz w:val="22"/>
      <w:szCs w:val="22"/>
    </w:rPr>
  </w:style>
  <w:style w:type="paragraph" w:styleId="920">
    <w:name w:val="Heading 9"/>
    <w:basedOn w:val="1075"/>
    <w:next w:val="1075"/>
    <w:link w:val="921"/>
    <w:uiPriority w:val="9"/>
    <w:unhideWhenUsed/>
    <w:qFormat/>
    <w:pPr>
      <w:keepLines/>
      <w:keepNext/>
      <w:spacing w:before="320" w:after="200"/>
      <w:outlineLvl w:val="8"/>
    </w:pPr>
    <w:rPr>
      <w:rFonts w:ascii="Arial" w:hAnsi="Arial" w:eastAsia="Arial" w:cs="Arial"/>
      <w:i/>
      <w:iCs/>
      <w:sz w:val="21"/>
      <w:szCs w:val="21"/>
    </w:rPr>
  </w:style>
  <w:style w:type="character" w:styleId="921">
    <w:name w:val="Heading 9 Char"/>
    <w:basedOn w:val="1078"/>
    <w:link w:val="920"/>
    <w:uiPriority w:val="9"/>
    <w:rPr>
      <w:rFonts w:ascii="Arial" w:hAnsi="Arial" w:eastAsia="Arial" w:cs="Arial"/>
      <w:i/>
      <w:iCs/>
      <w:sz w:val="21"/>
      <w:szCs w:val="21"/>
    </w:rPr>
  </w:style>
  <w:style w:type="paragraph" w:styleId="922">
    <w:name w:val="No Spacing"/>
    <w:uiPriority w:val="1"/>
    <w:qFormat/>
    <w:pPr>
      <w:spacing w:before="0" w:after="0" w:line="240" w:lineRule="auto"/>
    </w:pPr>
  </w:style>
  <w:style w:type="paragraph" w:styleId="923">
    <w:name w:val="Title"/>
    <w:basedOn w:val="1075"/>
    <w:next w:val="1075"/>
    <w:link w:val="924"/>
    <w:uiPriority w:val="10"/>
    <w:qFormat/>
    <w:pPr>
      <w:contextualSpacing/>
      <w:spacing w:before="300" w:after="200"/>
    </w:pPr>
    <w:rPr>
      <w:sz w:val="48"/>
      <w:szCs w:val="48"/>
    </w:rPr>
  </w:style>
  <w:style w:type="character" w:styleId="924">
    <w:name w:val="Title Char"/>
    <w:basedOn w:val="1078"/>
    <w:link w:val="923"/>
    <w:uiPriority w:val="10"/>
    <w:rPr>
      <w:sz w:val="48"/>
      <w:szCs w:val="48"/>
    </w:rPr>
  </w:style>
  <w:style w:type="paragraph" w:styleId="925">
    <w:name w:val="Subtitle"/>
    <w:basedOn w:val="1075"/>
    <w:next w:val="1075"/>
    <w:link w:val="926"/>
    <w:uiPriority w:val="11"/>
    <w:qFormat/>
    <w:pPr>
      <w:spacing w:before="200" w:after="200"/>
    </w:pPr>
    <w:rPr>
      <w:sz w:val="24"/>
      <w:szCs w:val="24"/>
    </w:rPr>
  </w:style>
  <w:style w:type="character" w:styleId="926">
    <w:name w:val="Subtitle Char"/>
    <w:basedOn w:val="1078"/>
    <w:link w:val="925"/>
    <w:uiPriority w:val="11"/>
    <w:rPr>
      <w:sz w:val="24"/>
      <w:szCs w:val="24"/>
    </w:rPr>
  </w:style>
  <w:style w:type="paragraph" w:styleId="927">
    <w:name w:val="Quote"/>
    <w:basedOn w:val="1075"/>
    <w:next w:val="1075"/>
    <w:link w:val="928"/>
    <w:uiPriority w:val="29"/>
    <w:qFormat/>
    <w:pPr>
      <w:ind w:left="720" w:right="720"/>
    </w:pPr>
    <w:rPr>
      <w:i/>
    </w:rPr>
  </w:style>
  <w:style w:type="character" w:styleId="928">
    <w:name w:val="Quote Char"/>
    <w:link w:val="927"/>
    <w:uiPriority w:val="29"/>
    <w:rPr>
      <w:i/>
    </w:rPr>
  </w:style>
  <w:style w:type="paragraph" w:styleId="929">
    <w:name w:val="Intense Quote"/>
    <w:basedOn w:val="1075"/>
    <w:next w:val="1075"/>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name w:val="Intense Quote Char"/>
    <w:link w:val="929"/>
    <w:uiPriority w:val="30"/>
    <w:rPr>
      <w:i/>
    </w:rPr>
  </w:style>
  <w:style w:type="character" w:styleId="931">
    <w:name w:val="Header Char"/>
    <w:basedOn w:val="1078"/>
    <w:link w:val="1091"/>
    <w:uiPriority w:val="99"/>
  </w:style>
  <w:style w:type="character" w:styleId="932">
    <w:name w:val="Footer Char"/>
    <w:basedOn w:val="1078"/>
    <w:link w:val="1090"/>
    <w:uiPriority w:val="99"/>
  </w:style>
  <w:style w:type="paragraph" w:styleId="933">
    <w:name w:val="Caption"/>
    <w:basedOn w:val="1075"/>
    <w:next w:val="1075"/>
    <w:uiPriority w:val="35"/>
    <w:semiHidden/>
    <w:unhideWhenUsed/>
    <w:qFormat/>
    <w:pPr>
      <w:spacing w:line="276" w:lineRule="auto"/>
    </w:pPr>
    <w:rPr>
      <w:b/>
      <w:bCs/>
      <w:color w:val="4f81bd" w:themeColor="accent1"/>
      <w:sz w:val="18"/>
      <w:szCs w:val="18"/>
    </w:rPr>
  </w:style>
  <w:style w:type="character" w:styleId="934">
    <w:name w:val="Caption Char"/>
    <w:basedOn w:val="933"/>
    <w:link w:val="1090"/>
    <w:uiPriority w:val="99"/>
  </w:style>
  <w:style w:type="table" w:styleId="935">
    <w:name w:val="Table Grid Light"/>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basedOn w:val="10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basedOn w:val="10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basedOn w:val="10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basedOn w:val="10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basedOn w:val="10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basedOn w:val="10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basedOn w:val="10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basedOn w:val="10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basedOn w:val="10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1">
    <w:name w:val="Grid Table 5 Dark - Accent 2"/>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2">
    <w:name w:val="Grid Table 5 Dark - Accent 3"/>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3">
    <w:name w:val="Grid Table 5 Dark- Accent 4"/>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4">
    <w:name w:val="Grid Table 5 Dark - Accent 5"/>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5">
    <w:name w:val="Grid Table 5 Dark - Accent 6"/>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6">
    <w:name w:val="Grid Table 6 Colorful"/>
    <w:basedOn w:val="10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basedOn w:val="10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basedOn w:val="10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basedOn w:val="10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2">
    <w:name w:val="Grid Table 6 Colorful - Accent 6"/>
    <w:basedOn w:val="10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3">
    <w:name w:val="Grid Table 7 Colorful"/>
    <w:basedOn w:val="10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basedOn w:val="10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basedOn w:val="10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basedOn w:val="10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basedOn w:val="10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basedOn w:val="10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basedOn w:val="10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basedOn w:val="10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basedOn w:val="10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basedOn w:val="10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basedOn w:val="10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basedOn w:val="10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basedOn w:val="10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basedOn w:val="10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basedOn w:val="10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basedOn w:val="10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basedOn w:val="10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basedOn w:val="10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basedOn w:val="10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basedOn w:val="10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basedOn w:val="10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basedOn w:val="10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6">
    <w:name w:val="List Table 3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7">
    <w:name w:val="List Table 3 - Accent 3"/>
    <w:basedOn w:val="10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8">
    <w:name w:val="List Table 3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9">
    <w:name w:val="List Table 3 - Accent 5"/>
    <w:basedOn w:val="10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0">
    <w:name w:val="List Table 3 - Accent 6"/>
    <w:basedOn w:val="10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1">
    <w:name w:val="List Table 4"/>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basedOn w:val="10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3">
    <w:name w:val="List Table 4 - Accent 2"/>
    <w:basedOn w:val="10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4">
    <w:name w:val="List Table 4 - Accent 3"/>
    <w:basedOn w:val="10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5">
    <w:name w:val="List Table 4 - Accent 4"/>
    <w:basedOn w:val="10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6">
    <w:name w:val="List Table 4 - Accent 5"/>
    <w:basedOn w:val="10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7">
    <w:name w:val="List Table 4 - Accent 6"/>
    <w:basedOn w:val="10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8">
    <w:name w:val="List Table 5 Dark"/>
    <w:basedOn w:val="10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basedOn w:val="10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basedOn w:val="10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basedOn w:val="10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basedOn w:val="10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basedOn w:val="10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basedOn w:val="10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basedOn w:val="10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basedOn w:val="10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7">
    <w:name w:val="List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8">
    <w:name w:val="List Table 6 Colorful - Accent 3"/>
    <w:basedOn w:val="10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9">
    <w:name w:val="List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0">
    <w:name w:val="List Table 6 Colorful - Accent 5"/>
    <w:basedOn w:val="10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1">
    <w:name w:val="List Table 6 Colorful - Accent 6"/>
    <w:basedOn w:val="10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2">
    <w:name w:val="List Table 7 Colorful"/>
    <w:basedOn w:val="10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basedOn w:val="10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4">
    <w:name w:val="List Table 7 Colorful - Accent 2"/>
    <w:basedOn w:val="10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5">
    <w:name w:val="List Table 7 Colorful - Accent 3"/>
    <w:basedOn w:val="10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6">
    <w:name w:val="List Table 7 Colorful - Accent 4"/>
    <w:basedOn w:val="10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7">
    <w:name w:val="List Table 7 Colorful - Accent 5"/>
    <w:basedOn w:val="10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8">
    <w:name w:val="List Table 7 Colorful - Accent 6"/>
    <w:basedOn w:val="10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9">
    <w:name w:val="Lined - Accent"/>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1">
    <w:name w:val="Lined - Accent 2"/>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2">
    <w:name w:val="Lined - Accent 3"/>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3">
    <w:name w:val="Lined - Accent 4"/>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4">
    <w:name w:val="Lined - Accent 5"/>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5">
    <w:name w:val="Lined - Accent 6"/>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6">
    <w:name w:val="Bordered &amp; Lined - Accent"/>
    <w:basedOn w:val="10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basedOn w:val="10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8">
    <w:name w:val="Bordered &amp; Lined - Accent 2"/>
    <w:basedOn w:val="10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9">
    <w:name w:val="Bordered &amp; Lined - Accent 3"/>
    <w:basedOn w:val="10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0">
    <w:name w:val="Bordered &amp; Lined - Accent 4"/>
    <w:basedOn w:val="10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1">
    <w:name w:val="Bordered &amp; Lined - Accent 5"/>
    <w:basedOn w:val="10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2">
    <w:name w:val="Bordered &amp; Lined - Accent 6"/>
    <w:basedOn w:val="10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3">
    <w:name w:val="Bordered"/>
    <w:basedOn w:val="10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0">
    <w:name w:val="footnote text"/>
    <w:basedOn w:val="1075"/>
    <w:link w:val="1061"/>
    <w:uiPriority w:val="99"/>
    <w:semiHidden/>
    <w:unhideWhenUsed/>
    <w:pPr>
      <w:spacing w:after="40" w:line="240" w:lineRule="auto"/>
    </w:pPr>
    <w:rPr>
      <w:sz w:val="18"/>
    </w:rPr>
  </w:style>
  <w:style w:type="character" w:styleId="1061">
    <w:name w:val="Footnote Text Char"/>
    <w:link w:val="1060"/>
    <w:uiPriority w:val="99"/>
    <w:rPr>
      <w:sz w:val="18"/>
    </w:rPr>
  </w:style>
  <w:style w:type="character" w:styleId="1062">
    <w:name w:val="footnote reference"/>
    <w:basedOn w:val="1078"/>
    <w:uiPriority w:val="99"/>
    <w:unhideWhenUsed/>
    <w:rPr>
      <w:vertAlign w:val="superscript"/>
    </w:rPr>
  </w:style>
  <w:style w:type="paragraph" w:styleId="1063">
    <w:name w:val="endnote text"/>
    <w:basedOn w:val="1075"/>
    <w:link w:val="1064"/>
    <w:uiPriority w:val="99"/>
    <w:semiHidden/>
    <w:unhideWhenUsed/>
    <w:pPr>
      <w:spacing w:after="0" w:line="240" w:lineRule="auto"/>
    </w:pPr>
    <w:rPr>
      <w:sz w:val="20"/>
    </w:rPr>
  </w:style>
  <w:style w:type="character" w:styleId="1064">
    <w:name w:val="Endnote Text Char"/>
    <w:link w:val="1063"/>
    <w:uiPriority w:val="99"/>
    <w:rPr>
      <w:sz w:val="20"/>
    </w:rPr>
  </w:style>
  <w:style w:type="character" w:styleId="1065">
    <w:name w:val="endnote reference"/>
    <w:basedOn w:val="1078"/>
    <w:uiPriority w:val="99"/>
    <w:semiHidden/>
    <w:unhideWhenUsed/>
    <w:rPr>
      <w:vertAlign w:val="superscript"/>
    </w:rPr>
  </w:style>
  <w:style w:type="paragraph" w:styleId="1066">
    <w:name w:val="toc 2"/>
    <w:basedOn w:val="1075"/>
    <w:next w:val="1075"/>
    <w:uiPriority w:val="39"/>
    <w:unhideWhenUsed/>
    <w:pPr>
      <w:ind w:left="283" w:right="0" w:firstLine="0"/>
      <w:spacing w:after="57"/>
    </w:pPr>
  </w:style>
  <w:style w:type="paragraph" w:styleId="1067">
    <w:name w:val="toc 3"/>
    <w:basedOn w:val="1075"/>
    <w:next w:val="1075"/>
    <w:uiPriority w:val="39"/>
    <w:unhideWhenUsed/>
    <w:pPr>
      <w:ind w:left="567"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next w:val="1080"/>
    <w:uiPriority w:val="0"/>
    <w:qFormat/>
    <w:pPr>
      <w:jc w:val="both"/>
      <w:widowControl w:val="off"/>
    </w:pPr>
    <w:rPr>
      <w:rFonts w:ascii="Times New Roman" w:hAnsi="Times New Roman" w:eastAsia="宋体" w:cs="Times New Roman"/>
      <w:sz w:val="21"/>
      <w:szCs w:val="24"/>
      <w:lang w:val="en-US" w:eastAsia="zh-CN" w:bidi="ar-SA"/>
    </w:rPr>
  </w:style>
  <w:style w:type="paragraph" w:styleId="1076">
    <w:name w:val="Heading 2"/>
    <w:basedOn w:val="1075"/>
    <w:next w:val="1075"/>
    <w:uiPriority w:val="0"/>
    <w:qFormat/>
    <w:pPr>
      <w:jc w:val="center"/>
      <w:keepLines/>
      <w:keepNext/>
      <w:spacing w:before="120" w:line="300" w:lineRule="auto"/>
      <w:outlineLvl w:val="1"/>
    </w:pPr>
    <w:rPr>
      <w:rFonts w:ascii="Arial" w:hAnsi="Arial" w:eastAsia="黑体"/>
      <w:b/>
      <w:sz w:val="30"/>
      <w:szCs w:val="20"/>
    </w:rPr>
  </w:style>
  <w:style w:type="paragraph" w:styleId="1077">
    <w:name w:val="Heading 3"/>
    <w:basedOn w:val="1075"/>
    <w:next w:val="1075"/>
    <w:uiPriority w:val="0"/>
    <w:qFormat/>
    <w:pPr>
      <w:jc w:val="left"/>
      <w:keepLines/>
      <w:keepNext/>
      <w:spacing w:before="360" w:after="120"/>
      <w:outlineLvl w:val="2"/>
    </w:pPr>
    <w:rPr>
      <w:rFonts w:ascii="宋体"/>
      <w:b/>
      <w:sz w:val="24"/>
      <w:szCs w:val="20"/>
      <w:u w:val="single"/>
    </w:rPr>
  </w:style>
  <w:style w:type="character" w:styleId="1078" w:default="1">
    <w:name w:val="Default Paragraph Font"/>
    <w:uiPriority w:val="1"/>
    <w:semiHidden/>
    <w:unhideWhenUsed/>
  </w:style>
  <w:style w:type="table" w:styleId="1079" w:default="1">
    <w:name w:val="Normal Table"/>
    <w:uiPriority w:val="99"/>
    <w:semiHidden/>
    <w:unhideWhenUsed/>
    <w:qFormat/>
    <w:tblPr>
      <w:tblCellMar>
        <w:left w:w="108" w:type="dxa"/>
        <w:top w:w="0" w:type="dxa"/>
        <w:right w:w="108" w:type="dxa"/>
        <w:bottom w:w="0" w:type="dxa"/>
      </w:tblCellMar>
    </w:tblPr>
  </w:style>
  <w:style w:type="paragraph" w:styleId="1080">
    <w:name w:val="Body Text First Indent 2"/>
    <w:basedOn w:val="1081"/>
    <w:uiPriority w:val="99"/>
    <w:qFormat/>
    <w:pPr>
      <w:ind w:left="420" w:firstLine="420"/>
      <w:spacing w:after="120" w:line="240" w:lineRule="auto"/>
    </w:pPr>
  </w:style>
  <w:style w:type="paragraph" w:styleId="1081">
    <w:name w:val="Body Text Indent"/>
    <w:basedOn w:val="1075"/>
    <w:next w:val="1075"/>
    <w:uiPriority w:val="0"/>
    <w:qFormat/>
    <w:pPr>
      <w:ind w:left="570"/>
      <w:spacing w:line="520" w:lineRule="exact"/>
    </w:pPr>
    <w:rPr>
      <w:rFonts w:ascii="方正仿宋简体" w:hAnsi="创艺简仿宋" w:eastAsia="方正仿宋简体"/>
      <w:sz w:val="24"/>
      <w:szCs w:val="20"/>
    </w:rPr>
  </w:style>
  <w:style w:type="paragraph" w:styleId="1082">
    <w:name w:val="table of authorities"/>
    <w:basedOn w:val="1075"/>
    <w:next w:val="1075"/>
    <w:uiPriority w:val="99"/>
    <w:unhideWhenUsed/>
    <w:qFormat/>
    <w:pPr>
      <w:ind w:left="420"/>
    </w:pPr>
  </w:style>
  <w:style w:type="paragraph" w:styleId="1083">
    <w:name w:val="E-mail Signature"/>
    <w:basedOn w:val="1075"/>
    <w:next w:val="1075"/>
    <w:uiPriority w:val="0"/>
    <w:qFormat/>
  </w:style>
  <w:style w:type="paragraph" w:styleId="1084">
    <w:name w:val="Normal Indent"/>
    <w:basedOn w:val="1075"/>
    <w:next w:val="1075"/>
    <w:uiPriority w:val="0"/>
    <w:qFormat/>
    <w:pPr>
      <w:ind w:firstLine="420"/>
      <w:jc w:val="left"/>
    </w:pPr>
    <w:rPr>
      <w:rFonts w:ascii="宋体"/>
      <w:sz w:val="24"/>
    </w:rPr>
  </w:style>
  <w:style w:type="paragraph" w:styleId="1085">
    <w:name w:val="annotation text"/>
    <w:basedOn w:val="1075"/>
    <w:uiPriority w:val="0"/>
    <w:qFormat/>
    <w:pPr>
      <w:jc w:val="left"/>
    </w:pPr>
  </w:style>
  <w:style w:type="paragraph" w:styleId="1086">
    <w:name w:val="Closing"/>
    <w:basedOn w:val="1075"/>
    <w:next w:val="1087"/>
    <w:uiPriority w:val="0"/>
    <w:qFormat/>
    <w:pPr>
      <w:ind w:left="100"/>
    </w:pPr>
  </w:style>
  <w:style w:type="paragraph" w:styleId="1087" w:customStyle="1">
    <w:name w:val="Char Char1 Char Char Char Char Char Char Char Char Char Char Char Char Char Char Char Char Char Char"/>
    <w:basedOn w:val="1075"/>
    <w:next w:val="1083"/>
    <w:uiPriority w:val="0"/>
    <w:qFormat/>
    <w:pPr>
      <w:spacing w:after="160" w:line="240" w:lineRule="exact"/>
      <w:widowControl/>
    </w:pPr>
    <w:rPr>
      <w:rFonts w:ascii="宋体" w:hAnsi="宋体" w:eastAsia="Times New Roman"/>
      <w:sz w:val="20"/>
    </w:rPr>
  </w:style>
  <w:style w:type="paragraph" w:styleId="1088">
    <w:name w:val="Body Text"/>
    <w:basedOn w:val="1075"/>
    <w:next w:val="1086"/>
    <w:uiPriority w:val="99"/>
    <w:qFormat/>
    <w:pPr>
      <w:spacing w:before="120" w:line="22" w:lineRule="atLeast"/>
      <w:tabs>
        <w:tab w:val="left" w:pos="567" w:leader="none"/>
      </w:tabs>
    </w:pPr>
    <w:rPr>
      <w:rFonts w:ascii="宋体" w:hAnsi="宋体"/>
      <w:sz w:val="24"/>
    </w:rPr>
  </w:style>
  <w:style w:type="paragraph" w:styleId="1089">
    <w:name w:val="Plain Text"/>
    <w:basedOn w:val="1075"/>
    <w:next w:val="1084"/>
    <w:uiPriority w:val="99"/>
    <w:qFormat/>
    <w:rPr>
      <w:rFonts w:hint="eastAsia" w:ascii="宋体" w:hAnsi="Courier New"/>
      <w:szCs w:val="20"/>
    </w:rPr>
  </w:style>
  <w:style w:type="paragraph" w:styleId="1090">
    <w:name w:val="Footer"/>
    <w:basedOn w:val="1075"/>
    <w:uiPriority w:val="99"/>
    <w:qFormat/>
    <w:pPr>
      <w:jc w:val="left"/>
      <w:tabs>
        <w:tab w:val="center" w:pos="4153" w:leader="none"/>
        <w:tab w:val="right" w:pos="8306" w:leader="none"/>
      </w:tabs>
    </w:pPr>
    <w:rPr>
      <w:rFonts w:ascii="宋体"/>
      <w:sz w:val="18"/>
      <w:szCs w:val="20"/>
    </w:rPr>
  </w:style>
  <w:style w:type="paragraph" w:styleId="1091">
    <w:name w:val="Header"/>
    <w:basedOn w:val="1075"/>
    <w:uiPriority w:val="0"/>
    <w:qFormat/>
    <w:pPr>
      <w:jc w:val="center"/>
      <w:tabs>
        <w:tab w:val="center" w:pos="4153" w:leader="none"/>
        <w:tab w:val="right" w:pos="8306" w:leader="none"/>
      </w:tabs>
      <w:pBdr>
        <w:bottom w:val="single" w:color="auto" w:sz="6" w:space="1"/>
      </w:pBdr>
    </w:pPr>
    <w:rPr>
      <w:sz w:val="18"/>
      <w:szCs w:val="18"/>
    </w:rPr>
  </w:style>
  <w:style w:type="paragraph" w:styleId="1092">
    <w:name w:val="toc 1"/>
    <w:basedOn w:val="1075"/>
    <w:next w:val="1075"/>
    <w:uiPriority w:val="39"/>
    <w:qFormat/>
    <w:pPr>
      <w:spacing w:line="300" w:lineRule="auto"/>
      <w:tabs>
        <w:tab w:val="left" w:pos="1050" w:leader="none"/>
        <w:tab w:val="right" w:pos="8937" w:leader="dot"/>
      </w:tabs>
    </w:pPr>
    <w:rPr>
      <w:rFonts w:ascii="宋体" w:hAnsi="宋体"/>
      <w:b/>
      <w:sz w:val="24"/>
    </w:rPr>
  </w:style>
  <w:style w:type="paragraph" w:styleId="1093">
    <w:name w:val="toc 4"/>
    <w:basedOn w:val="1075"/>
    <w:next w:val="1075"/>
    <w:uiPriority w:val="0"/>
    <w:qFormat/>
    <w:pPr>
      <w:ind w:left="1260"/>
    </w:pPr>
  </w:style>
  <w:style w:type="paragraph" w:styleId="1094">
    <w:name w:val="Normal (Web)"/>
    <w:basedOn w:val="1075"/>
    <w:uiPriority w:val="0"/>
    <w:qFormat/>
    <w:pPr>
      <w:jc w:val="left"/>
      <w:spacing w:beforeAutospacing="1" w:afterAutospacing="1"/>
    </w:pPr>
    <w:rPr>
      <w:sz w:val="24"/>
    </w:rPr>
  </w:style>
  <w:style w:type="paragraph" w:styleId="1095">
    <w:name w:val="Body Text First Indent"/>
    <w:basedOn w:val="1088"/>
    <w:uiPriority w:val="99"/>
    <w:qFormat/>
    <w:pPr>
      <w:ind w:firstLine="420"/>
      <w:spacing w:before="0" w:after="120" w:line="240" w:lineRule="auto"/>
    </w:pPr>
    <w:rPr>
      <w:rFonts w:ascii="Times New Roman" w:hAnsi="Times New Roman"/>
      <w:sz w:val="21"/>
      <w:szCs w:val="20"/>
    </w:rPr>
  </w:style>
  <w:style w:type="table" w:styleId="1096">
    <w:name w:val="Table Grid"/>
    <w:basedOn w:val="107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7">
    <w:name w:val="page number"/>
    <w:uiPriority w:val="0"/>
    <w:qFormat/>
  </w:style>
  <w:style w:type="character" w:styleId="1098">
    <w:name w:val="Hyperlink"/>
    <w:uiPriority w:val="99"/>
    <w:qFormat/>
    <w:rPr>
      <w:color w:val="0000ff"/>
      <w:u w:val="single"/>
    </w:rPr>
  </w:style>
  <w:style w:type="character" w:styleId="1099">
    <w:name w:val="annotation reference"/>
    <w:basedOn w:val="1078"/>
    <w:uiPriority w:val="0"/>
    <w:qFormat/>
    <w:rPr>
      <w:sz w:val="21"/>
      <w:szCs w:val="21"/>
    </w:rPr>
  </w:style>
  <w:style w:type="paragraph" w:styleId="1100" w:customStyle="1">
    <w:name w:val="正文文本1"/>
    <w:basedOn w:val="1075"/>
    <w:next w:val="1075"/>
    <w:uiPriority w:val="0"/>
    <w:qFormat/>
    <w:pPr>
      <w:spacing w:before="120" w:line="22" w:lineRule="atLeast"/>
      <w:tabs>
        <w:tab w:val="left" w:pos="567" w:leader="none"/>
      </w:tabs>
    </w:pPr>
    <w:rPr>
      <w:rFonts w:ascii="宋体" w:hAnsi="宋体"/>
      <w:sz w:val="24"/>
    </w:rPr>
  </w:style>
  <w:style w:type="paragraph" w:styleId="1101">
    <w:name w:val="List Paragraph"/>
    <w:basedOn w:val="1075"/>
    <w:uiPriority w:val="99"/>
    <w:qFormat/>
    <w:pPr>
      <w:ind w:firstLine="420"/>
    </w:pPr>
    <w:rPr>
      <w:rFonts w:ascii="Calibri" w:hAnsi="Calibri"/>
      <w:szCs w:val="22"/>
    </w:rPr>
  </w:style>
  <w:style w:type="paragraph" w:styleId="1102" w:customStyle="1">
    <w:name w:val="纯文本1"/>
    <w:next w:val="1093"/>
    <w:uiPriority w:val="0"/>
    <w:qFormat/>
    <w:pPr>
      <w:jc w:val="both"/>
      <w:widowControl w:val="off"/>
    </w:pPr>
    <w:rPr>
      <w:rFonts w:ascii="宋体" w:hAnsi="宋体" w:eastAsia="宋体" w:cs="Times New Roman"/>
      <w:sz w:val="26"/>
      <w:lang w:val="en-US" w:eastAsia="zh-CN" w:bidi="ar-SA"/>
    </w:rPr>
  </w:style>
  <w:style w:type="paragraph" w:styleId="1103" w:customStyle="1">
    <w:name w:val="成文日期"/>
    <w:basedOn w:val="1075"/>
    <w:uiPriority w:val="0"/>
    <w:qFormat/>
    <w:pPr>
      <w:ind w:right="400" w:firstLine="200"/>
      <w:jc w:val="right"/>
      <w:spacing w:line="570" w:lineRule="exact"/>
    </w:pPr>
    <w:rPr>
      <w:rFonts w:ascii="仿宋_GB2312" w:eastAsia="仿宋_GB2312"/>
      <w:sz w:val="32"/>
      <w:szCs w:val="20"/>
    </w:rPr>
  </w:style>
  <w:style w:type="paragraph" w:styleId="1104"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05" w:customStyle="1">
    <w:name w:val="正文1"/>
    <w:basedOn w:val="1075"/>
    <w:uiPriority w:val="0"/>
    <w:qFormat/>
    <w:pPr>
      <w:contextualSpacing/>
      <w:ind w:firstLine="200"/>
      <w:jc w:val="left"/>
      <w:spacing w:before="120" w:after="120"/>
      <w:widowControl/>
    </w:pPr>
    <w:rPr>
      <w:rFonts w:ascii="Calibri" w:hAnsi="Calibri" w:eastAsia="Adobe 仿宋 Std R"/>
      <w:sz w:val="20"/>
      <w:szCs w:val="21"/>
    </w:rPr>
  </w:style>
  <w:style w:type="character" w:styleId="1106" w:customStyle="1">
    <w:name w:val="font41"/>
    <w:basedOn w:val="1078"/>
    <w:uiPriority w:val="0"/>
    <w:qFormat/>
    <w:rPr>
      <w:rFonts w:hint="default" w:ascii="Calibri" w:hAnsi="Calibri" w:cs="Calibri"/>
      <w:color w:val="000000"/>
      <w:sz w:val="20"/>
      <w:szCs w:val="20"/>
      <w:u w:val="none"/>
    </w:rPr>
  </w:style>
  <w:style w:type="character" w:styleId="1107" w:customStyle="1">
    <w:name w:val="font31"/>
    <w:basedOn w:val="1078"/>
    <w:uiPriority w:val="0"/>
    <w:qFormat/>
    <w:rPr>
      <w:rFonts w:hint="eastAsia" w:ascii="宋体" w:hAnsi="宋体" w:eastAsia="宋体" w:cs="宋体"/>
      <w:color w:val="000000"/>
      <w:sz w:val="20"/>
      <w:szCs w:val="20"/>
      <w:u w:val="none"/>
    </w:rPr>
  </w:style>
  <w:style w:type="character" w:styleId="1108" w:customStyle="1">
    <w:name w:val="font61"/>
    <w:basedOn w:val="1078"/>
    <w:uiPriority w:val="0"/>
    <w:qFormat/>
    <w:rPr>
      <w:rFonts w:hint="default" w:ascii="Calibri" w:hAnsi="Calibri" w:cs="Calibri"/>
      <w:color w:val="000000"/>
      <w:sz w:val="20"/>
      <w:szCs w:val="20"/>
      <w:u w:val="none"/>
    </w:rPr>
  </w:style>
  <w:style w:type="character" w:styleId="1109" w:customStyle="1">
    <w:name w:val="font51"/>
    <w:basedOn w:val="1078"/>
    <w:uiPriority w:val="0"/>
    <w:qFormat/>
    <w:rPr>
      <w:rFonts w:hint="eastAsia" w:ascii="宋体" w:hAnsi="宋体" w:eastAsia="宋体" w:cs="宋体"/>
      <w:color w:val="000000"/>
      <w:sz w:val="20"/>
      <w:szCs w:val="20"/>
      <w:u w:val="none"/>
    </w:rPr>
  </w:style>
  <w:style w:type="character" w:styleId="1110" w:customStyle="1">
    <w:name w:val="font21"/>
    <w:basedOn w:val="1078"/>
    <w:uiPriority w:val="0"/>
    <w:qFormat/>
    <w:rPr>
      <w:rFonts w:ascii="Arial" w:hAnsi="Arial" w:cs="Arial"/>
      <w:color w:val="000000"/>
      <w:sz w:val="20"/>
      <w:szCs w:val="20"/>
      <w:u w:val="none"/>
    </w:rPr>
  </w:style>
  <w:style w:type="character" w:styleId="1111" w:customStyle="1">
    <w:name w:val="font71"/>
    <w:basedOn w:val="1078"/>
    <w:uiPriority w:val="0"/>
    <w:qFormat/>
    <w:rPr>
      <w:rFonts w:ascii="Arial" w:hAnsi="Arial" w:cs="Arial"/>
      <w:color w:val="000000"/>
      <w:sz w:val="20"/>
      <w:szCs w:val="20"/>
      <w:u w:val="none"/>
    </w:rPr>
  </w:style>
  <w:style w:type="table" w:styleId="1112" w:customStyle="1">
    <w:name w:val="网格型1"/>
    <w:basedOn w:val="107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3" w:customStyle="1">
    <w:name w:val="Table Paragraph"/>
    <w:basedOn w:val="1075"/>
    <w:uiPriority w:val="1"/>
    <w:qFormat/>
    <w:pPr>
      <w:jc w:val="left"/>
    </w:pPr>
    <w:rPr>
      <w:sz w:val="24"/>
    </w:rPr>
  </w:style>
  <w:style w:type="paragraph" w:styleId="1114" w:customStyle="1">
    <w:name w:val="段"/>
    <w:basedOn w:val="1075"/>
    <w:next w:val="1075"/>
    <w:uiPriority w:val="0"/>
    <w:qFormat/>
    <w:pPr>
      <w:ind w:firstLine="425"/>
    </w:pPr>
    <w:rPr>
      <w:rFonts w:ascii="宋体"/>
    </w:rPr>
  </w:style>
  <w:style w:type="character" w:styleId="1115" w:customStyle="1">
    <w:name w:val="font81"/>
    <w:basedOn w:val="1078"/>
    <w:uiPriority w:val="0"/>
    <w:qFormat/>
    <w:rPr>
      <w:rFonts w:ascii="宋体" w:hAnsi="宋体" w:eastAsia="宋体" w:cs="宋体"/>
      <w:color w:val="000000"/>
      <w:sz w:val="18"/>
      <w:szCs w:val="18"/>
      <w:u w:val="none"/>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丁洋杰</cp:lastModifiedBy>
  <cp:revision>4</cp:revision>
  <dcterms:created xsi:type="dcterms:W3CDTF">2026-03-20T07:48:00Z</dcterms:created>
  <dcterms:modified xsi:type="dcterms:W3CDTF">2026-04-08T01:47:23Z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952BBEDB27C6487DA3D6CD773ED81B19_13</vt:lpwstr>
  </property>
  <property fmtid="{D5CDD505-2E9C-101B-9397-08002B2CF9AE}" pid="4" name="KSOTemplateDocerSaveRecord">
    <vt:lpwstr>eyJoZGlkIjoiYTU3MjAzOGI1ZWM1NjI3YTE0MjIzZDIwNTMwM2NhZjEiLCJ1c2VySWQiOiI2MjE5MjA5MDUifQ==</vt:lpwstr>
  </property>
</Properties>
</file>