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84"/>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p>
    <w:p>
      <w:pPr>
        <w:pStyle w:val="884"/>
        <w:ind w:firstLine="960"/>
        <w:jc w:val="left"/>
        <w:spacing w:before="120" w:after="120" w:line="6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84"/>
        <w:ind w:firstLine="960"/>
        <w:jc w:val="left"/>
        <w:spacing w:before="120" w:after="120" w:line="6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pStyle w:val="884"/>
        <w:ind w:firstLine="960"/>
        <w:jc w:val="left"/>
        <w:spacing w:before="120" w:after="120"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rPr>
        <w:t xml:space="preserve">江苏省质检院业务系统国产化改造</w:t>
      </w:r>
      <w:r>
        <w:rPr>
          <w:rFonts w:ascii="方正黑体_GBK" w:hAnsi="方正黑体_GBK" w:eastAsia="方正黑体_GBK" w:cs="方正黑体_GBK"/>
          <w:sz w:val="32"/>
          <w:szCs w:val="32"/>
        </w:rPr>
      </w:r>
      <w:r/>
    </w:p>
    <w:p>
      <w:pPr>
        <w:pStyle w:val="884"/>
        <w:ind w:firstLine="960"/>
        <w:jc w:val="left"/>
        <w:spacing w:before="120" w:after="120" w:line="660" w:lineRule="exact"/>
        <w:rPr>
          <w:rFonts w:ascii="Arial" w:hAnsi="Arial"/>
          <w:b/>
          <w:bCs/>
          <w:sz w:val="32"/>
          <w:szCs w:val="24"/>
        </w:rPr>
      </w:pPr>
      <w:r>
        <w:rPr>
          <w:rFonts w:hint="eastAsia" w:ascii="方正黑体_GBK" w:hAnsi="方正黑体_GBK" w:eastAsia="方正黑体_GBK" w:cs="方正黑体_GBK"/>
          <w:sz w:val="32"/>
          <w:szCs w:val="32"/>
        </w:rPr>
        <w:t xml:space="preserve">采购编号：</w:t>
      </w:r>
      <w:r>
        <w:rPr>
          <w:rFonts w:ascii="Times New Roman" w:hAnsi="Times New Roman" w:eastAsia="方正黑体_GBK"/>
          <w:sz w:val="32"/>
          <w:szCs w:val="32"/>
        </w:rPr>
        <w:t xml:space="preserve">JSZC-320000-SCZX-C2026-0177</w:t>
      </w:r>
      <w:r>
        <w:rPr>
          <w:rFonts w:ascii="Times New Roman" w:hAnsi="Times New Roman" w:eastAsia="方正黑体_GBK"/>
          <w:sz w:val="32"/>
          <w:szCs w:val="32"/>
        </w:rPr>
        <w:t xml:space="preserve">  </w:t>
      </w:r>
      <w:r>
        <w:rPr>
          <w:rFonts w:ascii="Arial" w:hAnsi="Arial"/>
          <w:b/>
          <w:bCs/>
          <w:sz w:val="32"/>
          <w:szCs w:val="24"/>
        </w:rPr>
        <w:t xml:space="preserve">            </w:t>
      </w:r>
      <w:r/>
    </w:p>
    <w:p>
      <w:pPr>
        <w:pStyle w:val="884"/>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center"/>
        <w:spacing w:before="120" w:after="120" w:line="660" w:lineRule="exact"/>
        <w:rPr>
          <w:rFonts w:hint="eastAsia" w:ascii="宋体" w:hAnsi="宋体"/>
          <w:sz w:val="24"/>
          <w:szCs w:val="24"/>
        </w:rPr>
      </w:pPr>
      <w:r>
        <w:rPr>
          <w:rFonts w:hint="eastAsia" w:ascii="宋体" w:hAnsi="宋体"/>
          <w:sz w:val="24"/>
          <w:szCs w:val="24"/>
        </w:rPr>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left"/>
        <w:spacing w:line="360" w:lineRule="auto"/>
        <w:rPr>
          <w:rFonts w:hint="eastAsia" w:ascii="宋体" w:hAnsi="宋体"/>
          <w:sz w:val="24"/>
          <w:szCs w:val="24"/>
        </w:rPr>
      </w:pPr>
      <w:r>
        <w:rPr>
          <w:rFonts w:hint="eastAsia" w:ascii="宋体" w:hAnsi="宋体"/>
          <w:sz w:val="24"/>
          <w:szCs w:val="24"/>
        </w:rPr>
      </w:r>
      <w:r/>
    </w:p>
    <w:p>
      <w:pPr>
        <w:pStyle w:val="88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江苏省政府采购中心</w:t>
      </w:r>
      <w:r/>
    </w:p>
    <w:p>
      <w:pPr>
        <w:pStyle w:val="88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2026</w:t>
      </w:r>
      <w:r>
        <w:rPr>
          <w:rFonts w:hint="eastAsia" w:ascii="方正黑体_GBK" w:hAnsi="方正黑体_GBK" w:eastAsia="方正黑体_GBK" w:cs="方正黑体_GBK"/>
          <w:sz w:val="32"/>
          <w:szCs w:val="24"/>
        </w:rPr>
        <w:t xml:space="preserve">年</w:t>
      </w:r>
      <w:r>
        <w:rPr>
          <w:rFonts w:hint="eastAsia" w:ascii="方正黑体_GBK" w:hAnsi="方正黑体_GBK" w:eastAsia="方正黑体_GBK" w:cs="方正黑体_GBK"/>
          <w:sz w:val="32"/>
          <w:szCs w:val="24"/>
        </w:rPr>
        <w:t xml:space="preserve">5</w:t>
      </w:r>
      <w:r>
        <w:rPr>
          <w:rFonts w:hint="eastAsia" w:ascii="方正黑体_GBK" w:hAnsi="方正黑体_GBK" w:eastAsia="方正黑体_GBK" w:cs="方正黑体_GBK"/>
          <w:sz w:val="32"/>
          <w:szCs w:val="24"/>
        </w:rPr>
        <w:t xml:space="preserve">月</w:t>
      </w:r>
      <w:r/>
    </w:p>
    <w:p>
      <w:pPr>
        <w:pStyle w:val="88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84"/>
        <w:jc w:val="center"/>
        <w:spacing w:before="120" w:after="120" w:line="360" w:lineRule="auto"/>
        <w:rPr>
          <w:rFonts w:hint="eastAsia" w:ascii="Arial" w:hAnsi="Arial"/>
          <w:sz w:val="24"/>
          <w:szCs w:val="24"/>
        </w:rPr>
      </w:pPr>
      <w:r>
        <w:rPr>
          <w:rFonts w:hint="eastAsia" w:ascii="Arial" w:hAnsi="Arial"/>
          <w:sz w:val="24"/>
          <w:szCs w:val="24"/>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方正黑体_GBK" w:hAnsi="方正黑体_GBK" w:eastAsia="方正黑体_GBK" w:cs="方正黑体_GBK"/>
          <w:bCs/>
          <w:sz w:val="32"/>
          <w:szCs w:val="32"/>
        </w:rPr>
        <w:t xml:space="preserve">总  目  录</w:t>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第一章 磋商邀请…………………………………… </w:t>
      </w:r>
      <w:r>
        <w:rPr>
          <w:rFonts w:hint="eastAsia" w:ascii="方正黑体_GBK" w:hAnsi="方正黑体_GBK" w:eastAsia="方正黑体_GBK" w:cs="方正黑体_GBK"/>
          <w:bCs/>
          <w:sz w:val="32"/>
          <w:szCs w:val="32"/>
        </w:rPr>
        <w:t xml:space="preserve">3</w:t>
      </w: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第二章 供应商须知………………………………… </w:t>
      </w:r>
      <w:r>
        <w:rPr>
          <w:rFonts w:hint="eastAsia" w:ascii="方正黑体_GBK" w:hAnsi="方正黑体_GBK" w:eastAsia="方正黑体_GBK" w:cs="方正黑体_GBK"/>
          <w:bCs/>
          <w:sz w:val="32"/>
          <w:szCs w:val="32"/>
        </w:rPr>
        <w:t xml:space="preserve">6</w:t>
      </w: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合同文本……………………………………</w:t>
      </w:r>
      <w:r>
        <w:rPr>
          <w:rFonts w:hint="eastAsia" w:ascii="方正黑体_GBK" w:hAnsi="方正黑体_GBK" w:eastAsia="方正黑体_GBK" w:cs="方正黑体_GBK"/>
          <w:bCs/>
          <w:sz w:val="32"/>
          <w:szCs w:val="32"/>
        </w:rPr>
        <w:t xml:space="preserve">18</w:t>
      </w: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第四章 采购需求……………………………………</w:t>
      </w:r>
      <w:r>
        <w:rPr>
          <w:rFonts w:hint="eastAsia" w:ascii="方正黑体_GBK" w:hAnsi="方正黑体_GBK" w:eastAsia="方正黑体_GBK" w:cs="方正黑体_GBK"/>
          <w:bCs/>
          <w:sz w:val="32"/>
          <w:szCs w:val="32"/>
        </w:rPr>
        <w:t xml:space="preserve">23</w:t>
      </w: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第五章 评审方法与评审标准………………………</w:t>
      </w:r>
      <w:r>
        <w:rPr>
          <w:rFonts w:hint="eastAsia" w:ascii="方正黑体_GBK" w:hAnsi="方正黑体_GBK" w:eastAsia="方正黑体_GBK" w:cs="方正黑体_GBK"/>
          <w:bCs/>
          <w:sz w:val="32"/>
          <w:szCs w:val="32"/>
        </w:rPr>
        <w:t xml:space="preserve">35</w:t>
      </w:r>
      <w:r>
        <w:rPr>
          <w:rFonts w:hint="eastAsia" w:ascii="方正黑体_GBK" w:hAnsi="方正黑体_GBK" w:eastAsia="方正黑体_GBK" w:cs="方正黑体_GBK"/>
          <w:bCs/>
          <w:sz w:val="32"/>
          <w:szCs w:val="32"/>
        </w:rPr>
      </w:r>
      <w:r/>
    </w:p>
    <w:p>
      <w:pPr>
        <w:pStyle w:val="88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第六章 响应文件格式………………………………</w:t>
      </w:r>
      <w:r>
        <w:rPr>
          <w:rFonts w:hint="eastAsia" w:ascii="方正黑体_GBK" w:hAnsi="方正黑体_GBK" w:eastAsia="方正黑体_GBK" w:cs="方正黑体_GBK"/>
          <w:bCs/>
          <w:sz w:val="32"/>
          <w:szCs w:val="32"/>
        </w:rPr>
        <w:t xml:space="preserve">41</w:t>
      </w:r>
      <w:r>
        <w:rPr>
          <w:rFonts w:hint="eastAsia" w:ascii="方正黑体_GBK" w:hAnsi="方正黑体_GBK" w:eastAsia="方正黑体_GBK" w:cs="方正黑体_GBK"/>
          <w:bCs/>
          <w:sz w:val="32"/>
          <w:szCs w:val="32"/>
        </w:rPr>
      </w:r>
      <w:r/>
    </w:p>
    <w:p>
      <w:pPr>
        <w:pStyle w:val="884"/>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jc w:val="center"/>
        <w:keepNext/>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r/>
    </w:p>
    <w:p>
      <w:pPr>
        <w:pStyle w:val="884"/>
        <w:jc w:val="center"/>
        <w:keepNext/>
        <w:spacing w:line="660" w:lineRule="exact"/>
        <w:rPr>
          <w:rFonts w:hint="eastAsia" w:ascii="方正黑体_GBK" w:hAnsi="方正黑体_GBK" w:eastAsia="方正黑体_GBK" w:cs="方正黑体_GBK"/>
          <w:sz w:val="32"/>
          <w:szCs w:val="32"/>
          <w:highlight w:val="none"/>
        </w:rPr>
        <w:outlineLvl w:val="0"/>
      </w:pPr>
      <w:r/>
      <w:bookmarkEnd w:id="0"/>
      <w:r>
        <w:rPr>
          <w:rFonts w:hint="eastAsia" w:ascii="方正黑体_GBK" w:hAnsi="方正黑体_GBK" w:eastAsia="方正黑体_GBK" w:cs="方正黑体_GBK"/>
          <w:sz w:val="32"/>
          <w:szCs w:val="32"/>
        </w:rPr>
        <w:t xml:space="preserve">第一章  磋商邀请</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受</w:t>
      </w:r>
      <w:r>
        <w:rPr>
          <w:rFonts w:hint="eastAsia" w:ascii="宋体" w:hAnsi="宋体" w:cs="方正仿宋_GBK"/>
          <w:sz w:val="24"/>
          <w:szCs w:val="24"/>
        </w:rPr>
        <w:t xml:space="preserve">江苏省产品质量监督检验研究院</w:t>
      </w:r>
      <w:r>
        <w:rPr>
          <w:rFonts w:hint="eastAsia" w:ascii="宋体" w:hAnsi="宋体" w:cs="方正仿宋_GBK"/>
          <w:sz w:val="24"/>
          <w:szCs w:val="24"/>
        </w:rPr>
        <w:t xml:space="preserve">的委托，江苏省政府采购中心就</w:t>
      </w:r>
      <w:r>
        <w:rPr>
          <w:rFonts w:hint="eastAsia" w:ascii="宋体" w:hAnsi="宋体" w:cs="方正仿宋_GBK"/>
          <w:sz w:val="24"/>
          <w:szCs w:val="24"/>
        </w:rPr>
        <w:t xml:space="preserve">江苏省质检院业务系统国产化改造</w:t>
      </w:r>
      <w:r>
        <w:rPr>
          <w:rFonts w:hint="eastAsia" w:ascii="宋体" w:hAnsi="宋体" w:cs="方正仿宋_GBK"/>
          <w:sz w:val="24"/>
          <w:szCs w:val="24"/>
        </w:rPr>
        <w:t xml:space="preserve">(</w:t>
      </w:r>
      <w:r>
        <w:rPr>
          <w:rFonts w:ascii="宋体" w:hAnsi="宋体" w:cs="方正仿宋_GBK"/>
          <w:sz w:val="24"/>
          <w:szCs w:val="24"/>
        </w:rPr>
        <w:t xml:space="preserve">JSZC-320000-SCZX-C2026-0177</w:t>
      </w:r>
      <w:r>
        <w:rPr>
          <w:rFonts w:hint="eastAsia" w:ascii="宋体" w:hAnsi="宋体" w:cs="方正仿宋_GBK"/>
          <w:sz w:val="24"/>
          <w:szCs w:val="24"/>
        </w:rPr>
        <w:t xml:space="preserve">)项目进行竞争性磋商采购，欢迎符合条件的供应商参加磋商。</w:t>
      </w:r>
      <w:r/>
    </w:p>
    <w:p>
      <w:pPr>
        <w:pStyle w:val="884"/>
        <w:ind w:firstLine="480"/>
        <w:spacing w:line="440" w:lineRule="exact"/>
        <w:rPr>
          <w:rFonts w:hint="eastAsia" w:ascii="宋体" w:hAnsi="宋体"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方正仿宋_GBK"/>
          <w:sz w:val="24"/>
          <w:szCs w:val="24"/>
        </w:rPr>
        <w:t xml:space="preserve">项目概况</w:t>
      </w:r>
      <w:r/>
    </w:p>
    <w:p>
      <w:pPr>
        <w:pStyle w:val="884"/>
        <w:ind w:firstLine="480"/>
        <w:spacing w:line="440" w:lineRule="exact"/>
        <w:rPr>
          <w:rFonts w:hint="eastAsia" w:ascii="宋体" w:hAnsi="宋体"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方正仿宋_GBK"/>
          <w:sz w:val="24"/>
          <w:szCs w:val="24"/>
          <w:u w:val="single"/>
        </w:rPr>
        <w:t xml:space="preserve"> </w:t>
      </w:r>
      <w:r>
        <w:rPr>
          <w:rFonts w:hint="eastAsia" w:ascii="宋体" w:hAnsi="宋体" w:cs="方正仿宋_GBK"/>
          <w:sz w:val="24"/>
          <w:szCs w:val="24"/>
          <w:u w:val="single"/>
        </w:rPr>
        <w:t xml:space="preserve">江苏省质检院业务系统国产化改造</w:t>
      </w:r>
      <w:r>
        <w:rPr>
          <w:rFonts w:hint="eastAsia" w:ascii="宋体" w:hAnsi="宋体" w:cs="方正仿宋_GBK"/>
          <w:sz w:val="24"/>
          <w:szCs w:val="24"/>
        </w:rPr>
        <w:t xml:space="preserve">竞争性磋商项目的潜在供应商可在</w:t>
      </w:r>
      <w:r>
        <w:rPr>
          <w:rFonts w:hint="eastAsia" w:ascii="宋体" w:hAnsi="宋体" w:cs="方正仿宋_GBK"/>
          <w:sz w:val="24"/>
          <w:szCs w:val="24"/>
          <w:u w:val="single"/>
        </w:rPr>
        <w:t xml:space="preserve">“江苏政府采购网”自行免费下载</w:t>
      </w:r>
      <w:r>
        <w:rPr>
          <w:rFonts w:hint="eastAsia" w:ascii="宋体" w:hAnsi="宋体" w:cs="方正仿宋_GBK"/>
          <w:sz w:val="24"/>
          <w:szCs w:val="24"/>
        </w:rPr>
        <w:t xml:space="preserve">磋商文件，并于</w:t>
      </w:r>
      <w:r>
        <w:rPr>
          <w:rFonts w:hint="eastAsia" w:ascii="宋体" w:hAnsi="宋体"/>
          <w:sz w:val="24"/>
          <w:szCs w:val="24"/>
        </w:rPr>
        <w:t xml:space="preserve">2026</w:t>
      </w:r>
      <w:r>
        <w:rPr>
          <w:rFonts w:hint="eastAsia" w:ascii="宋体" w:hAnsi="宋体" w:cs="方正仿宋_GBK"/>
          <w:bCs/>
          <w:sz w:val="24"/>
          <w:szCs w:val="24"/>
        </w:rPr>
        <w:t xml:space="preserve">年</w:t>
      </w:r>
      <w:r>
        <w:rPr>
          <w:rFonts w:hint="eastAsia" w:ascii="宋体" w:hAnsi="宋体"/>
          <w:sz w:val="24"/>
          <w:szCs w:val="24"/>
        </w:rPr>
        <w:t xml:space="preserve">5</w:t>
      </w:r>
      <w:r>
        <w:rPr>
          <w:rFonts w:hint="eastAsia" w:ascii="宋体" w:hAnsi="宋体" w:cs="方正仿宋_GBK"/>
          <w:bCs/>
          <w:sz w:val="24"/>
          <w:szCs w:val="24"/>
        </w:rPr>
        <w:t xml:space="preserve">月</w:t>
      </w:r>
      <w:r>
        <w:rPr>
          <w:rFonts w:hint="eastAsia" w:ascii="宋体" w:hAnsi="宋体"/>
          <w:sz w:val="24"/>
          <w:szCs w:val="24"/>
        </w:rPr>
        <w:t xml:space="preserve">25</w:t>
      </w:r>
      <w:r>
        <w:rPr>
          <w:rFonts w:hint="eastAsia" w:ascii="宋体" w:hAnsi="宋体" w:cs="方正仿宋_GBK"/>
          <w:bCs/>
          <w:sz w:val="24"/>
          <w:szCs w:val="24"/>
        </w:rPr>
        <w:t xml:space="preserve">日</w:t>
      </w:r>
      <w:r>
        <w:rPr>
          <w:rFonts w:hint="eastAsia" w:ascii="宋体" w:hAnsi="宋体"/>
          <w:sz w:val="24"/>
          <w:szCs w:val="24"/>
        </w:rPr>
        <w:t xml:space="preserve">14</w:t>
      </w:r>
      <w:r>
        <w:rPr>
          <w:rFonts w:hint="eastAsia" w:ascii="宋体" w:hAnsi="宋体" w:cs="方正仿宋_GBK"/>
          <w:bCs/>
          <w:sz w:val="24"/>
          <w:szCs w:val="24"/>
        </w:rPr>
        <w:t xml:space="preserve">时</w:t>
      </w:r>
      <w:r>
        <w:rPr>
          <w:rFonts w:hint="eastAsia" w:ascii="宋体" w:hAnsi="宋体" w:cs="方正仿宋_GBK"/>
          <w:bCs/>
          <w:sz w:val="24"/>
          <w:szCs w:val="24"/>
        </w:rPr>
        <w:t xml:space="preserve">30</w:t>
      </w:r>
      <w:r>
        <w:rPr>
          <w:rFonts w:hint="eastAsia" w:ascii="宋体" w:hAnsi="宋体" w:cs="方正仿宋_GBK"/>
          <w:bCs/>
          <w:sz w:val="24"/>
          <w:szCs w:val="24"/>
        </w:rPr>
        <w:t xml:space="preserve">分（北京时间）前递交响应文件</w:t>
      </w:r>
      <w:r>
        <w:rPr>
          <w:rFonts w:hint="eastAsia" w:ascii="宋体" w:hAnsi="宋体" w:cs="方正仿宋_GBK"/>
          <w:sz w:val="24"/>
          <w:szCs w:val="24"/>
        </w:rPr>
        <w:t xml:space="preserve">。</w:t>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32"/>
          <w:szCs w:val="32"/>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1.采购编号：</w:t>
      </w:r>
      <w:r>
        <w:rPr>
          <w:rFonts w:ascii="宋体" w:hAnsi="宋体"/>
          <w:sz w:val="24"/>
          <w:szCs w:val="24"/>
        </w:rPr>
        <w:t xml:space="preserve">JSZC-320000-SCZX-C2026-0177</w:t>
      </w:r>
      <w:r>
        <w:rPr>
          <w:rFonts w:hint="eastAsia" w:ascii="宋体" w:hAnsi="宋体"/>
          <w:sz w:val="24"/>
          <w:szCs w:val="24"/>
        </w:rPr>
        <w:t xml:space="preserve"> </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2.项目名称：</w:t>
      </w:r>
      <w:r>
        <w:rPr>
          <w:rFonts w:hint="eastAsia" w:ascii="宋体" w:hAnsi="宋体"/>
          <w:sz w:val="24"/>
          <w:szCs w:val="24"/>
        </w:rPr>
        <w:t xml:space="preserve">江苏省质检院业务系统国产化改造</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bookmarkEnd w:id="11"/>
      <w:r>
        <w:rPr>
          <w:rFonts w:hint="eastAsia" w:ascii="宋体" w:hAnsi="宋体" w:cs="方正仿宋_GBK"/>
          <w:sz w:val="24"/>
          <w:szCs w:val="24"/>
        </w:rPr>
        <w:t xml:space="preserve">3.预算金额</w:t>
      </w:r>
      <w:r>
        <w:rPr>
          <w:rFonts w:hint="eastAsia" w:ascii="宋体" w:hAnsi="宋体" w:cs="方正仿宋_GBK"/>
          <w:sz w:val="24"/>
          <w:szCs w:val="24"/>
        </w:rPr>
        <w:t xml:space="preserve">：76万元</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4.最高限价</w:t>
      </w:r>
      <w:r>
        <w:rPr>
          <w:rFonts w:hint="eastAsia" w:ascii="宋体" w:hAnsi="宋体" w:cs="方正仿宋_GBK"/>
          <w:sz w:val="24"/>
          <w:szCs w:val="24"/>
        </w:rPr>
        <w:t xml:space="preserve">：76万元</w:t>
      </w:r>
      <w:r>
        <w:rPr>
          <w:rFonts w:hint="eastAsia" w:ascii="宋体" w:hAnsi="宋体" w:cs="方正仿宋_GBK"/>
          <w:sz w:val="24"/>
          <w:szCs w:val="24"/>
        </w:rPr>
      </w:r>
      <w:r/>
    </w:p>
    <w:p>
      <w:pPr>
        <w:pStyle w:val="884"/>
        <w:ind w:firstLine="480"/>
        <w:spacing w:line="440" w:lineRule="exact"/>
        <w:rPr>
          <w:rFonts w:ascii="宋体" w:hAnsi="宋体"/>
          <w:sz w:val="24"/>
          <w:szCs w:val="24"/>
          <w:u w:val="single"/>
        </w:rPr>
      </w:pPr>
      <w:r>
        <w:rPr>
          <w:rFonts w:hint="eastAsia" w:ascii="宋体" w:hAnsi="宋体" w:cs="方正仿宋_GBK"/>
          <w:sz w:val="24"/>
          <w:szCs w:val="24"/>
        </w:rPr>
        <w:t xml:space="preserve">5.采购需求（简介）：</w:t>
      </w:r>
      <w:r>
        <w:rPr>
          <w:rFonts w:hint="eastAsia" w:ascii="宋体" w:hAnsi="宋体"/>
          <w:color w:val="000000"/>
          <w:sz w:val="24"/>
          <w:szCs w:val="24"/>
        </w:rPr>
        <w:t xml:space="preserve">本项目计划对现有检验业务系统开展国产化改造，改造后的系统应完整保留原有的历史数据和各项功能，同时满足对信息系统国产化方面的要求。</w:t>
      </w:r>
      <w:r>
        <w:rPr>
          <w:rFonts w:hint="eastAsia" w:ascii="宋体" w:hAnsi="宋体" w:cs="方正仿宋_GBK"/>
          <w:sz w:val="24"/>
          <w:szCs w:val="24"/>
        </w:rPr>
        <w:t xml:space="preserve">（详细内容见本磋商文件第四章）</w:t>
      </w:r>
      <w:r>
        <w:rPr>
          <w:rFonts w:ascii="宋体" w:hAnsi="宋体"/>
          <w:sz w:val="24"/>
          <w:szCs w:val="24"/>
          <w:u w:val="single"/>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6.合同履行期限：</w:t>
      </w:r>
      <w:r>
        <w:rPr>
          <w:rFonts w:hint="eastAsia" w:ascii="宋体" w:hAnsi="宋体"/>
          <w:sz w:val="24"/>
          <w:szCs w:val="24"/>
        </w:rPr>
        <w:t xml:space="preserve">合同签订后</w:t>
      </w:r>
      <w:r>
        <w:rPr>
          <w:rFonts w:hint="eastAsia" w:ascii="宋体" w:hAnsi="宋体"/>
          <w:color w:val="000000"/>
          <w:sz w:val="24"/>
          <w:szCs w:val="24"/>
        </w:rPr>
        <w:t xml:space="preserve">180天内</w:t>
      </w:r>
      <w:r>
        <w:rPr>
          <w:rFonts w:hint="eastAsia" w:ascii="宋体" w:hAnsi="宋体" w:cs="方正仿宋_GBK"/>
          <w:sz w:val="24"/>
          <w:szCs w:val="24"/>
        </w:rPr>
      </w:r>
      <w:r/>
    </w:p>
    <w:p>
      <w:pPr>
        <w:pStyle w:val="884"/>
        <w:ind w:firstLine="498"/>
        <w:keepLines/>
        <w:keepNext/>
        <w:spacing w:before="156" w:after="156" w:line="440" w:lineRule="exact"/>
        <w:rPr>
          <w:rFonts w:ascii="Times New Roman" w:hAnsi="Times New Roman"/>
          <w:b/>
          <w:bCs/>
          <w:sz w:val="32"/>
          <w:szCs w:val="32"/>
        </w:rPr>
        <w:outlineLvl w:val="2"/>
      </w:pPr>
      <w:r/>
      <w:bookmarkStart w:id="12" w:name="_Toc35393622"/>
      <w:r/>
      <w:bookmarkStart w:id="13" w:name="_Toc28359080"/>
      <w:r/>
      <w:bookmarkStart w:id="14" w:name="_Toc38985264"/>
      <w:r/>
      <w:bookmarkStart w:id="15" w:name="_Toc35393791"/>
      <w:r/>
      <w:bookmarkStart w:id="16" w:name="_Toc28359003"/>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84"/>
        <w:ind w:firstLine="480"/>
        <w:spacing w:line="440" w:lineRule="exact"/>
        <w:rPr>
          <w:rFonts w:hint="eastAsia" w:ascii="宋体" w:hAnsi="宋体" w:cs="方正楷体_GBK"/>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cs="方正楷体_GBK"/>
          <w:sz w:val="24"/>
          <w:szCs w:val="24"/>
        </w:rPr>
        <w:t xml:space="preserve">（一）通用资格要求</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1.满足《中华人民共和国政府采购法》第二十二条规定，并提供下列材料：</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1.1 法人或者其他组织的营业执照等证明文件，自然人的身份证明；</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1.2</w:t>
      </w:r>
      <w:r>
        <w:rPr>
          <w:rFonts w:hint="eastAsia" w:ascii="宋体" w:hAnsi="宋体" w:cs="方正仿宋_GBK"/>
          <w:sz w:val="24"/>
          <w:szCs w:val="24"/>
        </w:rPr>
        <w:t xml:space="preserve"> 2024或2025</w:t>
      </w:r>
      <w:r>
        <w:rPr>
          <w:rFonts w:hint="eastAsia" w:ascii="宋体" w:hAnsi="宋体" w:cs="方正仿宋_GBK"/>
          <w:sz w:val="24"/>
          <w:szCs w:val="24"/>
        </w:rPr>
        <w:t xml:space="preserve">年度的财务状况报告（成立不满一年无需提供）；</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1.4具备履行合同所必需的设备和专业技术能力的书面声明；</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1.5参加政府采购活动前3年内在经营活动中没有重大违法记录的书面声明。</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2.在“信用中国”网站（</w:t>
      </w:r>
      <w:r>
        <w:rPr>
          <w:rFonts w:hint="eastAsia" w:ascii="宋体" w:hAnsi="宋体"/>
          <w:sz w:val="24"/>
          <w:szCs w:val="24"/>
        </w:rPr>
        <w:t xml:space="preserve">www.creditchina.gov.cn</w:t>
      </w:r>
      <w:r>
        <w:rPr>
          <w:rFonts w:hint="eastAsia" w:ascii="宋体" w:hAnsi="宋体"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3.落实政府采购政策需满足的资格要求：无</w:t>
      </w:r>
      <w:r/>
    </w:p>
    <w:p>
      <w:pPr>
        <w:pStyle w:val="884"/>
        <w:ind w:firstLine="480"/>
        <w:spacing w:line="440" w:lineRule="exact"/>
        <w:rPr>
          <w:rFonts w:hint="eastAsia" w:ascii="宋体" w:hAnsi="宋体" w:cs="方正仿宋_GBK"/>
          <w:sz w:val="24"/>
          <w:szCs w:val="24"/>
          <w:highlight w:val="yellow"/>
        </w:rPr>
      </w:pPr>
      <w:r>
        <w:rPr>
          <w:rFonts w:hint="eastAsia" w:ascii="宋体" w:hAnsi="宋体" w:cs="方正仿宋_GBK"/>
          <w:sz w:val="24"/>
          <w:szCs w:val="24"/>
        </w:rPr>
        <w:t xml:space="preserve">4.</w:t>
      </w:r>
      <w:r>
        <w:rPr>
          <w:rFonts w:hint="eastAsia" w:ascii="宋体" w:hAnsi="宋体" w:cs="方正仿宋_GBK"/>
          <w:sz w:val="24"/>
          <w:szCs w:val="24"/>
        </w:rPr>
        <w:t xml:space="preserve">本项目不接受</w:t>
      </w:r>
      <w:r>
        <w:rPr>
          <w:rFonts w:hint="eastAsia" w:ascii="宋体" w:hAnsi="宋体" w:cs="方正仿宋_GBK"/>
          <w:sz w:val="24"/>
          <w:szCs w:val="24"/>
        </w:rPr>
        <w:t xml:space="preserve">联合体参与磋商</w:t>
      </w:r>
      <w:r>
        <w:rPr>
          <w:rFonts w:hint="eastAsia" w:ascii="宋体" w:hAnsi="宋体" w:cs="方正仿宋_GBK"/>
          <w:sz w:val="24"/>
          <w:szCs w:val="24"/>
        </w:rPr>
        <w:t xml:space="preserve">。</w:t>
      </w:r>
      <w:r>
        <w:rPr>
          <w:rFonts w:hint="eastAsia" w:ascii="宋体" w:hAnsi="宋体" w:cs="方正仿宋_GBK"/>
          <w:sz w:val="24"/>
          <w:szCs w:val="24"/>
          <w:highlight w:val="yellow"/>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（二）本项目的特定资格要求</w:t>
      </w:r>
      <w:r>
        <w:rPr>
          <w:rFonts w:hint="eastAsia" w:ascii="宋体" w:hAnsi="宋体" w:cs="方正仿宋_GBK"/>
          <w:sz w:val="24"/>
          <w:szCs w:val="24"/>
        </w:rPr>
        <w:t xml:space="preserve">：无</w:t>
      </w:r>
      <w:r>
        <w:rPr>
          <w:rFonts w:hint="eastAsia" w:ascii="宋体" w:hAnsi="宋体" w:cs="方正仿宋_GBK"/>
          <w:sz w:val="24"/>
          <w:szCs w:val="24"/>
        </w:rPr>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rPr>
          <w:rFonts w:hint="eastAsia" w:ascii="方正黑体_GBK" w:hAnsi="方正黑体_GBK" w:eastAsia="方正黑体_GBK" w:cs="方正黑体_GBK"/>
          <w:sz w:val="32"/>
          <w:szCs w:val="32"/>
        </w:rPr>
        <w:t xml:space="preserve">三、获取磋商文件</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1.时间：自磋商文件公告发布之日起5个工作日。</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2.方式：在“江苏政府采购网”自行免费下载磋商文件。</w:t>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方正黑体_GBK" w:hAnsi="方正黑体_GBK" w:eastAsia="方正黑体_GBK" w:cs="方正黑体_GBK"/>
          <w:sz w:val="32"/>
          <w:szCs w:val="32"/>
        </w:rPr>
        <w:t xml:space="preserve">四、提交</w:t>
      </w:r>
      <w:bookmarkEnd w:id="22"/>
      <w:r/>
      <w:bookmarkEnd w:id="23"/>
      <w:r>
        <w:rPr>
          <w:rFonts w:hint="eastAsia" w:ascii="方正黑体_GBK" w:hAnsi="方正黑体_GBK" w:eastAsia="方正黑体_GBK" w:cs="方正黑体_GBK"/>
          <w:sz w:val="32"/>
          <w:szCs w:val="32"/>
        </w:rPr>
        <w:t xml:space="preserve">响应文件截止时间</w:t>
      </w:r>
      <w:bookmarkEnd w:id="24"/>
      <w:r/>
      <w:bookmarkEnd w:id="25"/>
      <w:r/>
      <w:bookmarkEnd w:id="26"/>
      <w:r>
        <w:rPr>
          <w:rFonts w:hint="eastAsia" w:ascii="方正黑体_GBK" w:hAnsi="方正黑体_GBK" w:eastAsia="方正黑体_GBK" w:cs="方正黑体_GBK"/>
          <w:sz w:val="32"/>
          <w:szCs w:val="32"/>
        </w:rPr>
        <w:t xml:space="preserve">、开启时间及地点</w:t>
      </w:r>
      <w:r/>
    </w:p>
    <w:p>
      <w:pPr>
        <w:pStyle w:val="884"/>
        <w:ind w:firstLine="480"/>
        <w:spacing w:line="440" w:lineRule="exact"/>
        <w:rPr>
          <w:rFonts w:ascii="宋体" w:hAnsi="宋体" w:cs="宋体"/>
          <w:sz w:val="24"/>
          <w:szCs w:val="24"/>
        </w:rPr>
      </w:pPr>
      <w:r>
        <w:rPr>
          <w:rFonts w:hint="eastAsia" w:ascii="宋体" w:hAnsi="宋体" w:cs="方正仿宋_GBK"/>
          <w:bCs/>
          <w:sz w:val="24"/>
          <w:szCs w:val="24"/>
        </w:rPr>
        <w:t xml:space="preserve">1.</w:t>
      </w:r>
      <w:r>
        <w:rPr>
          <w:rFonts w:hint="eastAsia" w:ascii="宋体" w:hAnsi="宋体"/>
          <w:sz w:val="24"/>
          <w:szCs w:val="24"/>
        </w:rPr>
        <w:t xml:space="preserve">2026</w:t>
      </w:r>
      <w:r>
        <w:rPr>
          <w:rFonts w:hint="eastAsia" w:ascii="宋体" w:hAnsi="宋体" w:cs="方正仿宋_GBK"/>
          <w:bCs/>
          <w:sz w:val="24"/>
          <w:szCs w:val="24"/>
        </w:rPr>
        <w:t xml:space="preserve">年</w:t>
      </w:r>
      <w:r>
        <w:rPr>
          <w:rFonts w:hint="eastAsia" w:ascii="宋体" w:hAnsi="宋体"/>
          <w:sz w:val="24"/>
          <w:szCs w:val="24"/>
        </w:rPr>
        <w:t xml:space="preserve">5</w:t>
      </w:r>
      <w:r>
        <w:rPr>
          <w:rFonts w:hint="eastAsia" w:ascii="宋体" w:hAnsi="宋体" w:cs="方正仿宋_GBK"/>
          <w:bCs/>
          <w:sz w:val="24"/>
          <w:szCs w:val="24"/>
        </w:rPr>
        <w:t xml:space="preserve">月</w:t>
      </w:r>
      <w:r>
        <w:rPr>
          <w:rFonts w:hint="eastAsia" w:ascii="宋体" w:hAnsi="宋体"/>
          <w:sz w:val="24"/>
          <w:szCs w:val="24"/>
        </w:rPr>
        <w:t xml:space="preserve">25</w:t>
      </w:r>
      <w:r>
        <w:rPr>
          <w:rFonts w:hint="eastAsia" w:ascii="宋体" w:hAnsi="宋体" w:cs="方正仿宋_GBK"/>
          <w:bCs/>
          <w:sz w:val="24"/>
          <w:szCs w:val="24"/>
        </w:rPr>
        <w:t xml:space="preserve">日14</w:t>
      </w:r>
      <w:r>
        <w:rPr>
          <w:rFonts w:hint="eastAsia" w:ascii="宋体" w:hAnsi="宋体" w:cs="方正仿宋_GBK"/>
          <w:bCs/>
          <w:sz w:val="24"/>
          <w:szCs w:val="24"/>
        </w:rPr>
        <w:t xml:space="preserve">时</w:t>
      </w:r>
      <w:r>
        <w:rPr>
          <w:rFonts w:hint="eastAsia" w:ascii="宋体" w:hAnsi="宋体"/>
          <w:sz w:val="24"/>
          <w:szCs w:val="24"/>
        </w:rPr>
        <w:t xml:space="preserve">30</w:t>
      </w:r>
      <w:r>
        <w:rPr>
          <w:rFonts w:hint="eastAsia" w:ascii="宋体" w:hAnsi="宋体" w:cs="方正仿宋_GBK"/>
          <w:bCs/>
          <w:sz w:val="24"/>
          <w:szCs w:val="24"/>
        </w:rPr>
        <w:t xml:space="preserve">分（北京时间）。</w:t>
      </w:r>
      <w:r>
        <w:rPr>
          <w:rFonts w:ascii="宋体" w:hAnsi="宋体" w:cs="宋体"/>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2.地点：“苏采云”政府采购交易系统。</w:t>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Start w:id="27" w:name="_Toc35393625"/>
      <w:r/>
      <w:bookmarkStart w:id="28" w:name="_Toc28359084"/>
      <w:r/>
      <w:bookmarkStart w:id="29" w:name="_Toc38985267"/>
      <w:r/>
      <w:bookmarkStart w:id="30" w:name="_Toc28359007"/>
      <w:r/>
      <w:bookmarkStart w:id="31" w:name="_Toc35393794"/>
      <w:r>
        <w:rPr>
          <w:rFonts w:hint="eastAsia" w:ascii="方正黑体_GBK" w:hAnsi="方正黑体_GBK" w:eastAsia="方正黑体_GBK" w:cs="方正黑体_GBK"/>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32"/>
          <w:szCs w:val="32"/>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磋商公告期限为自本公告发布之日起3个工作日，磋商文件公告期限为自本公告发布之日起5个工作日。</w:t>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Start w:id="32" w:name="_Toc35393795"/>
      <w:r/>
      <w:bookmarkStart w:id="33" w:name="_Toc35393626"/>
      <w:r/>
      <w:bookmarkStart w:id="34" w:name="_Toc38985268"/>
      <w:r>
        <w:rPr>
          <w:rFonts w:hint="eastAsia" w:ascii="方正黑体_GBK" w:hAnsi="方正黑体_GBK" w:eastAsia="方正黑体_GBK" w:cs="方正黑体_GBK"/>
          <w:sz w:val="32"/>
          <w:szCs w:val="32"/>
        </w:rPr>
        <w:t xml:space="preserve">六、其他补充事宜</w:t>
      </w:r>
      <w:bookmarkEnd w:id="32"/>
      <w:r/>
      <w:bookmarkEnd w:id="33"/>
      <w:r/>
      <w:bookmarkEnd w:id="34"/>
      <w:r>
        <w:rPr>
          <w:rFonts w:hint="eastAsia" w:ascii="方正黑体_GBK" w:hAnsi="方正黑体_GBK" w:eastAsia="方正黑体_GBK" w:cs="方正黑体_GBK"/>
          <w:sz w:val="32"/>
          <w:szCs w:val="32"/>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无</w:t>
      </w:r>
      <w:r>
        <w:rPr>
          <w:rFonts w:hint="eastAsia" w:ascii="宋体" w:hAnsi="宋体" w:cs="方正仿宋_GBK"/>
          <w:sz w:val="24"/>
          <w:szCs w:val="24"/>
        </w:rPr>
        <w:t xml:space="preserve">。</w:t>
      </w:r>
      <w:r>
        <w:rPr>
          <w:rFonts w:hint="eastAsia" w:ascii="宋体" w:hAnsi="宋体" w:cs="方正仿宋_GBK"/>
          <w:sz w:val="24"/>
          <w:szCs w:val="24"/>
        </w:rPr>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Start w:id="35" w:name="_Toc28359085"/>
      <w:r/>
      <w:bookmarkStart w:id="36" w:name="_Toc28359008"/>
      <w:r/>
      <w:bookmarkStart w:id="37" w:name="_Toc38985269"/>
      <w:r/>
      <w:bookmarkStart w:id="38" w:name="_Toc35393796"/>
      <w:r/>
      <w:bookmarkStart w:id="39" w:name="_Toc35393627"/>
      <w:r>
        <w:rPr>
          <w:rFonts w:hint="eastAsia" w:ascii="方正黑体_GBK" w:hAnsi="方正黑体_GBK" w:eastAsia="方正黑体_GBK" w:cs="方正黑体_GBK"/>
          <w:sz w:val="32"/>
          <w:szCs w:val="32"/>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32"/>
          <w:szCs w:val="32"/>
        </w:rPr>
      </w:r>
      <w:r/>
    </w:p>
    <w:p>
      <w:pPr>
        <w:pStyle w:val="884"/>
        <w:jc w:val="left"/>
        <w:spacing w:line="440" w:lineRule="exact"/>
        <w:widowControl/>
        <w:rPr>
          <w:rFonts w:hint="eastAsia" w:ascii="宋体" w:hAnsi="宋体" w:cs="方正仿宋_GBK"/>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 </w:t>
      </w:r>
      <w:r>
        <w:rPr>
          <w:rFonts w:hint="eastAsia" w:ascii="宋体" w:hAnsi="宋体" w:cs="方正仿宋_GBK"/>
          <w:sz w:val="24"/>
          <w:szCs w:val="24"/>
        </w:rPr>
        <w:t xml:space="preserve">1.采购人信息</w:t>
      </w:r>
      <w:r/>
    </w:p>
    <w:p>
      <w:pPr>
        <w:pStyle w:val="884"/>
        <w:ind w:firstLine="480"/>
        <w:jc w:val="left"/>
        <w:spacing w:line="440" w:lineRule="exact"/>
        <w:rPr>
          <w:rFonts w:hint="eastAsia" w:ascii="宋体" w:hAnsi="宋体" w:cs="方正仿宋_GBK"/>
          <w:sz w:val="24"/>
          <w:szCs w:val="24"/>
        </w:rPr>
      </w:pPr>
      <w:r>
        <w:rPr>
          <w:rFonts w:hint="eastAsia" w:ascii="宋体" w:hAnsi="宋体" w:cs="方正仿宋_GBK"/>
          <w:sz w:val="24"/>
          <w:szCs w:val="24"/>
        </w:rPr>
        <w:t xml:space="preserve">名 称：</w:t>
      </w:r>
      <w:bookmarkStart w:id="42" w:name="OLE_LINK5"/>
      <w:r>
        <w:rPr>
          <w:rFonts w:hint="eastAsia" w:ascii="宋体" w:hAnsi="宋体" w:cs="方正仿宋_GBK"/>
          <w:sz w:val="24"/>
          <w:szCs w:val="24"/>
          <w:u w:val="single"/>
        </w:rPr>
        <w:t xml:space="preserve">江苏省产品质量监督检验研究院</w:t>
      </w:r>
      <w:bookmarkEnd w:id="42"/>
      <w:r>
        <w:rPr>
          <w:rFonts w:hint="eastAsia" w:ascii="宋体" w:hAnsi="宋体" w:cs="方正仿宋_GBK"/>
          <w:sz w:val="24"/>
          <w:szCs w:val="24"/>
        </w:rPr>
      </w:r>
      <w:r/>
    </w:p>
    <w:p>
      <w:pPr>
        <w:pStyle w:val="884"/>
        <w:ind w:firstLine="480"/>
        <w:jc w:val="left"/>
        <w:spacing w:line="440" w:lineRule="exact"/>
        <w:rPr>
          <w:rFonts w:hint="eastAsia" w:ascii="宋体" w:hAnsi="宋体" w:cs="方正仿宋_GBK"/>
          <w:sz w:val="24"/>
          <w:szCs w:val="24"/>
        </w:rPr>
      </w:pPr>
      <w:r>
        <w:rPr>
          <w:rFonts w:hint="eastAsia" w:ascii="宋体" w:hAnsi="宋体" w:cs="方正仿宋_GBK"/>
          <w:sz w:val="24"/>
          <w:szCs w:val="24"/>
        </w:rPr>
        <w:t xml:space="preserve">地 址：</w:t>
      </w:r>
      <w:r>
        <w:rPr>
          <w:rFonts w:hint="eastAsia" w:ascii="宋体" w:hAnsi="宋体" w:cs="方正仿宋_GBK"/>
          <w:sz w:val="24"/>
          <w:szCs w:val="24"/>
          <w:u w:val="single"/>
        </w:rPr>
        <w:t xml:space="preserve">南京市光华东街5号</w:t>
      </w:r>
      <w:r>
        <w:rPr>
          <w:rFonts w:hint="eastAsia" w:ascii="宋体" w:hAnsi="宋体" w:cs="方正仿宋_GBK"/>
          <w:sz w:val="24"/>
          <w:szCs w:val="24"/>
        </w:rPr>
      </w:r>
      <w:r/>
    </w:p>
    <w:p>
      <w:pPr>
        <w:pStyle w:val="884"/>
        <w:ind w:firstLine="480"/>
        <w:jc w:val="left"/>
        <w:spacing w:line="440" w:lineRule="exact"/>
        <w:rPr>
          <w:rFonts w:hint="eastAsia" w:ascii="宋体" w:hAnsi="宋体" w:cs="方正仿宋_GBK"/>
          <w:sz w:val="24"/>
          <w:szCs w:val="24"/>
        </w:rPr>
      </w:pPr>
      <w:r>
        <w:rPr>
          <w:rFonts w:hint="eastAsia" w:ascii="宋体" w:hAnsi="宋体" w:cs="方正仿宋_GBK"/>
          <w:sz w:val="24"/>
          <w:szCs w:val="24"/>
        </w:rPr>
        <w:t xml:space="preserve">联系人：</w:t>
      </w:r>
      <w:r>
        <w:rPr>
          <w:rFonts w:hint="eastAsia" w:ascii="宋体" w:hAnsi="宋体" w:cs="方正仿宋_GBK"/>
          <w:sz w:val="24"/>
          <w:szCs w:val="24"/>
          <w:u w:val="single"/>
        </w:rPr>
        <w:t xml:space="preserve">  </w:t>
      </w:r>
      <w:r>
        <w:rPr>
          <w:rFonts w:ascii="宋体" w:hAnsi="宋体" w:cs="方正仿宋_GBK"/>
          <w:sz w:val="24"/>
          <w:szCs w:val="24"/>
          <w:u w:val="single"/>
        </w:rPr>
        <w:t xml:space="preserve">    </w:t>
      </w:r>
      <w:r>
        <w:rPr>
          <w:rFonts w:hint="eastAsia" w:ascii="宋体" w:hAnsi="宋体" w:cs="方正仿宋_GBK"/>
          <w:sz w:val="24"/>
          <w:szCs w:val="24"/>
          <w:u w:val="single"/>
        </w:rPr>
        <w:t xml:space="preserve">王祥</w:t>
      </w:r>
      <w:r>
        <w:rPr>
          <w:rFonts w:hint="eastAsia" w:ascii="宋体" w:hAnsi="宋体" w:cs="方正仿宋_GBK"/>
          <w:sz w:val="24"/>
          <w:szCs w:val="24"/>
          <w:u w:val="single"/>
        </w:rPr>
        <w:t xml:space="preserve">          </w:t>
      </w:r>
      <w:r>
        <w:rPr>
          <w:rFonts w:hint="eastAsia" w:ascii="宋体" w:hAnsi="宋体" w:cs="方正仿宋_GBK"/>
          <w:sz w:val="24"/>
          <w:szCs w:val="24"/>
        </w:rPr>
      </w:r>
      <w:r/>
    </w:p>
    <w:p>
      <w:pPr>
        <w:pStyle w:val="884"/>
        <w:ind w:firstLine="480"/>
        <w:jc w:val="left"/>
        <w:spacing w:line="440" w:lineRule="exact"/>
        <w:rPr>
          <w:rFonts w:hint="eastAsia" w:ascii="宋体" w:hAnsi="宋体" w:cs="方正仿宋_GBK"/>
          <w:sz w:val="24"/>
          <w:szCs w:val="24"/>
          <w:u w:val="single"/>
        </w:rPr>
      </w:pPr>
      <w:r>
        <w:rPr>
          <w:rFonts w:hint="eastAsia" w:ascii="宋体" w:hAnsi="宋体" w:cs="方正仿宋_GBK"/>
          <w:sz w:val="24"/>
          <w:szCs w:val="24"/>
        </w:rPr>
        <w:t xml:space="preserve">联系方式：</w:t>
      </w:r>
      <w:r>
        <w:rPr>
          <w:rFonts w:hint="eastAsia" w:ascii="宋体" w:hAnsi="宋体" w:cs="方正仿宋_GBK"/>
          <w:sz w:val="24"/>
          <w:szCs w:val="24"/>
          <w:u w:val="single"/>
        </w:rPr>
        <w:t xml:space="preserve">　</w:t>
      </w:r>
      <w:r>
        <w:rPr>
          <w:rFonts w:hint="eastAsia" w:ascii="宋体" w:hAnsi="宋体" w:cs="方正仿宋_GBK"/>
          <w:sz w:val="24"/>
          <w:szCs w:val="24"/>
          <w:u w:val="single"/>
        </w:rPr>
        <w:t xml:space="preserve">025-84470336</w:t>
      </w:r>
      <w:r>
        <w:rPr>
          <w:rFonts w:ascii="宋体" w:hAnsi="宋体" w:cs="方正仿宋_GBK"/>
          <w:sz w:val="24"/>
          <w:szCs w:val="24"/>
          <w:u w:val="single"/>
        </w:rPr>
        <w:t xml:space="preserve">   </w:t>
      </w:r>
      <w:bookmarkStart w:id="43" w:name="_Toc28359086"/>
      <w:r/>
      <w:bookmarkStart w:id="44" w:name="_Toc28359009"/>
      <w:r>
        <w:rPr>
          <w:rFonts w:hint="eastAsia" w:ascii="宋体" w:hAnsi="宋体" w:cs="方正仿宋_GBK"/>
          <w:sz w:val="24"/>
          <w:szCs w:val="24"/>
          <w:u w:val="single"/>
        </w:rPr>
      </w:r>
      <w:r/>
    </w:p>
    <w:p>
      <w:pPr>
        <w:pStyle w:val="884"/>
        <w:ind w:firstLine="480"/>
        <w:jc w:val="left"/>
        <w:spacing w:line="440" w:lineRule="exact"/>
        <w:rPr>
          <w:rFonts w:hint="eastAsia" w:ascii="宋体" w:hAnsi="宋体" w:cs="方正仿宋_GBK"/>
          <w:sz w:val="24"/>
          <w:szCs w:val="24"/>
        </w:rPr>
      </w:pPr>
      <w:r>
        <w:rPr>
          <w:rFonts w:hint="eastAsia" w:ascii="宋体" w:hAnsi="宋体" w:cs="方正仿宋_GBK"/>
          <w:sz w:val="24"/>
          <w:szCs w:val="24"/>
        </w:rPr>
        <w:t xml:space="preserve">2.江苏省政府采购中心信息</w:t>
      </w:r>
      <w:bookmarkEnd w:id="43"/>
      <w:r/>
      <w:bookmarkEnd w:id="44"/>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地　址：</w:t>
      </w:r>
      <w:r>
        <w:rPr>
          <w:rFonts w:hint="eastAsia" w:ascii="宋体" w:hAnsi="宋体" w:cs="方正仿宋_GBK"/>
          <w:sz w:val="24"/>
          <w:szCs w:val="24"/>
          <w:u w:val="single"/>
        </w:rPr>
        <w:t xml:space="preserve">南京市汉中门大街145号二期三楼</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联系人：</w:t>
      </w:r>
      <w:r>
        <w:rPr>
          <w:rFonts w:hint="eastAsia" w:ascii="宋体" w:hAnsi="宋体" w:cs="方正仿宋_GBK"/>
          <w:sz w:val="24"/>
          <w:szCs w:val="24"/>
          <w:u w:val="single"/>
        </w:rPr>
        <w:t xml:space="preserve"> </w:t>
      </w:r>
      <w:r>
        <w:rPr>
          <w:rFonts w:hint="eastAsia" w:ascii="宋体" w:hAnsi="宋体" w:cs="方正仿宋_GBK"/>
          <w:sz w:val="24"/>
          <w:szCs w:val="24"/>
          <w:u w:val="single"/>
        </w:rPr>
        <w:t xml:space="preserve">张文怡、唐文</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shd w:val="clear" w:color="ffffff" w:fill="d9d9d9"/>
        </w:rPr>
      </w:pPr>
      <w:r>
        <w:rPr>
          <w:rFonts w:hint="eastAsia" w:ascii="宋体" w:hAnsi="宋体" w:cs="方正仿宋_GBK"/>
          <w:sz w:val="24"/>
          <w:szCs w:val="24"/>
        </w:rPr>
        <w:t xml:space="preserve">联系方式：</w:t>
      </w:r>
      <w:r>
        <w:rPr>
          <w:rFonts w:hint="eastAsia" w:ascii="宋体" w:hAnsi="宋体" w:cs="方正仿宋_GBK"/>
          <w:sz w:val="24"/>
          <w:szCs w:val="24"/>
          <w:u w:val="single"/>
        </w:rPr>
        <w:t xml:space="preserve">83668505、83668519</w:t>
      </w:r>
      <w:r>
        <w:rPr>
          <w:rFonts w:hint="eastAsia" w:ascii="宋体" w:hAnsi="宋体" w:cs="方正仿宋_GBK"/>
          <w:sz w:val="24"/>
          <w:szCs w:val="24"/>
          <w:shd w:val="clear" w:color="ffffff" w:fill="d9d9d9"/>
        </w:rPr>
      </w:r>
      <w:r/>
    </w:p>
    <w:p>
      <w:pPr>
        <w:pStyle w:val="884"/>
        <w:ind w:firstLine="640"/>
        <w:keepLines/>
        <w:keepNext/>
        <w:spacing w:before="156" w:after="156" w:line="440" w:lineRule="exact"/>
        <w:rPr>
          <w:rFonts w:hint="eastAsia" w:ascii="方正黑体_GBK" w:hAnsi="方正黑体_GBK" w:eastAsia="方正黑体_GBK" w:cs="方正黑体_GBK"/>
          <w:sz w:val="32"/>
          <w:szCs w:val="32"/>
        </w:rPr>
        <w:outlineLvl w:val="2"/>
      </w:pPr>
      <w:r/>
      <w:bookmarkEnd w:id="40"/>
      <w:r/>
      <w:bookmarkEnd w:id="41"/>
      <w:r>
        <w:rPr>
          <w:rFonts w:hint="eastAsia" w:ascii="方正黑体_GBK" w:hAnsi="方正黑体_GBK" w:eastAsia="方正黑体_GBK" w:cs="方正黑体_GBK"/>
          <w:sz w:val="32"/>
          <w:szCs w:val="32"/>
        </w:rPr>
        <w:t xml:space="preserve">八、其他</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宋体" w:hAnsi="宋体"/>
          <w:sz w:val="24"/>
          <w:szCs w:val="24"/>
        </w:rPr>
        <w:t xml:space="preserve">http://www.ccgp-jiangsu.gov.cn/jiangsu/zlxz/ee/ee3a4bc5a3454aa2b0d9312230633ce9.html。</w:t>
      </w:r>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 有关本次磋商的事项若存在变动或修改，敬请及时关注江苏省政府采购中心在“江苏政府采购网”发布的更正公告。</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3. 本次磋商不收取磋商保证金。</w:t>
      </w:r>
      <w:r/>
    </w:p>
    <w:p>
      <w:pPr>
        <w:pStyle w:val="884"/>
        <w:jc w:val="center"/>
        <w:keepLines/>
        <w:keepNext/>
        <w:spacing w:before="260" w:after="260" w:line="660" w:lineRule="exact"/>
        <w:rPr>
          <w:rFonts w:hint="eastAsia" w:ascii="方正黑体_GBK" w:hAnsi="方正黑体_GBK" w:eastAsia="方正黑体_GBK" w:cs="方正黑体_GBK"/>
          <w:sz w:val="32"/>
          <w:szCs w:val="32"/>
        </w:rPr>
        <w:outlineLvl w:val="1"/>
      </w:pPr>
      <w:r/>
      <w:bookmarkEnd w:id="1"/>
      <w:r/>
      <w:bookmarkEnd w:id="2"/>
      <w:r/>
      <w:bookmarkEnd w:id="3"/>
      <w:r/>
      <w:bookmarkEnd w:id="4"/>
      <w:r/>
      <w:bookmarkEnd w:id="5"/>
      <w:r/>
      <w:bookmarkStart w:id="45" w:name="_Toc120614211"/>
      <w:r/>
      <w:bookmarkStart w:id="46" w:name="_Toc120614214"/>
      <w:r/>
      <w:bookmarkStart w:id="47" w:name="_Toc513029203"/>
      <w:r/>
      <w:bookmarkStart w:id="48" w:name="_Toc20823275"/>
      <w:r/>
      <w:bookmarkStart w:id="49" w:name="_Toc16938519"/>
      <w:r>
        <w:rPr>
          <w:rFonts w:hint="eastAsia" w:ascii="宋体" w:hAnsi="宋体"/>
          <w:sz w:val="24"/>
          <w:szCs w:val="24"/>
        </w:rPr>
        <w:br w:type="page" w:clear="all"/>
      </w:r>
      <w:r>
        <w:rPr>
          <w:rFonts w:hint="eastAsia" w:ascii="方正黑体_GBK" w:hAnsi="方正黑体_GBK" w:eastAsia="方正黑体_GBK" w:cs="方正黑体_GBK"/>
          <w:sz w:val="32"/>
          <w:szCs w:val="32"/>
        </w:rPr>
        <w:t xml:space="preserve">第二章  </w:t>
      </w:r>
      <w:bookmarkEnd w:id="45"/>
      <w:r>
        <w:rPr>
          <w:rFonts w:hint="eastAsia" w:ascii="方正黑体_GBK" w:hAnsi="方正黑体_GBK" w:eastAsia="方正黑体_GBK" w:cs="方正黑体_GBK"/>
          <w:sz w:val="32"/>
          <w:szCs w:val="32"/>
        </w:rPr>
        <w:t xml:space="preserve">供应商须知</w:t>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46"/>
      <w:r/>
      <w:bookmarkEnd w:id="47"/>
      <w:r/>
      <w:bookmarkEnd w:id="48"/>
      <w:r/>
      <w:bookmarkEnd w:id="49"/>
      <w:r/>
      <w:bookmarkStart w:id="50" w:name="_Toc513029209"/>
      <w:r/>
      <w:bookmarkStart w:id="51" w:name="_Toc16938525"/>
      <w:r/>
      <w:bookmarkStart w:id="52" w:name="_Toc20823281"/>
      <w:r/>
      <w:bookmarkStart w:id="53" w:name="_Toc120614215"/>
      <w:r>
        <w:rPr>
          <w:rFonts w:hint="eastAsia" w:ascii="方正黑体_GBK" w:hAnsi="方正黑体_GBK" w:eastAsia="方正黑体_GBK" w:cs="方正黑体_GBK"/>
          <w:sz w:val="32"/>
          <w:szCs w:val="32"/>
        </w:rPr>
        <w:t xml:space="preserve">一、总则</w:t>
      </w:r>
      <w:r/>
    </w:p>
    <w:p>
      <w:pPr>
        <w:pStyle w:val="884"/>
        <w:ind w:firstLine="480"/>
        <w:spacing w:line="440" w:lineRule="exact"/>
        <w:tabs>
          <w:tab w:val="left" w:pos="900" w:leader="none"/>
        </w:tabs>
        <w:rPr>
          <w:rFonts w:hint="eastAsia" w:ascii="宋体" w:hAnsi="宋体" w:cs="方正仿宋_GBK"/>
          <w:bCs/>
          <w:sz w:val="24"/>
          <w:szCs w:val="24"/>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宋体" w:hAnsi="宋体" w:cs="方正仿宋_GBK"/>
          <w:bCs/>
          <w:sz w:val="24"/>
          <w:szCs w:val="24"/>
        </w:rPr>
        <w:t xml:space="preserve">1</w:t>
      </w:r>
      <w:bookmarkEnd w:id="55"/>
      <w:r>
        <w:rPr>
          <w:rFonts w:hint="eastAsia" w:ascii="宋体" w:hAnsi="宋体" w:cs="方正仿宋_GBK"/>
          <w:bCs/>
          <w:sz w:val="24"/>
          <w:szCs w:val="24"/>
        </w:rPr>
        <w:t xml:space="preserve">.采购方式</w:t>
      </w:r>
      <w:bookmarkEnd w:id="56"/>
      <w:r/>
      <w:bookmarkEnd w:id="57"/>
      <w:r/>
      <w:bookmarkEnd w:id="58"/>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 本次政府采购活动采取竞争性磋商(以下简称磋商)方式，本磋商文件仅适用于磋商公告中所述项目。</w:t>
      </w:r>
      <w:r/>
    </w:p>
    <w:p>
      <w:pPr>
        <w:pStyle w:val="884"/>
        <w:ind w:firstLine="480"/>
        <w:spacing w:line="440" w:lineRule="exact"/>
        <w:tabs>
          <w:tab w:val="left" w:pos="900" w:leader="none"/>
        </w:tabs>
        <w:rPr>
          <w:rFonts w:hint="eastAsia" w:ascii="宋体" w:hAnsi="宋体" w:cs="方正仿宋_GBK"/>
          <w:bCs/>
          <w:sz w:val="24"/>
          <w:szCs w:val="24"/>
        </w:rPr>
      </w:pPr>
      <w:r/>
      <w:bookmarkStart w:id="59" w:name="_Toc16938521"/>
      <w:r/>
      <w:bookmarkStart w:id="60" w:name="_Toc513029205"/>
      <w:r/>
      <w:bookmarkStart w:id="61" w:name="_Toc20823277"/>
      <w:r>
        <w:rPr>
          <w:rFonts w:hint="eastAsia" w:ascii="宋体" w:hAnsi="宋体" w:cs="方正仿宋_GBK"/>
          <w:bCs/>
          <w:sz w:val="24"/>
          <w:szCs w:val="24"/>
        </w:rPr>
        <w:t xml:space="preserve">2.合格的</w:t>
      </w:r>
      <w:bookmarkEnd w:id="59"/>
      <w:r/>
      <w:bookmarkEnd w:id="60"/>
      <w:r/>
      <w:bookmarkEnd w:id="61"/>
      <w:r>
        <w:rPr>
          <w:rFonts w:hint="eastAsia" w:ascii="宋体" w:hAnsi="宋体" w:cs="方正仿宋_GBK"/>
          <w:bCs/>
          <w:sz w:val="24"/>
          <w:szCs w:val="24"/>
        </w:rPr>
        <w:t xml:space="preserve">供应商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2.1满足磋商公告中供应商资格要求的规定。</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 满足本磋商文件实质性要求的规定。</w:t>
      </w:r>
      <w:r/>
    </w:p>
    <w:p>
      <w:pPr>
        <w:pStyle w:val="884"/>
        <w:ind w:firstLine="480"/>
        <w:spacing w:line="440" w:lineRule="exact"/>
        <w:tabs>
          <w:tab w:val="left" w:pos="900" w:leader="none"/>
        </w:tabs>
        <w:rPr>
          <w:rFonts w:hint="eastAsia" w:ascii="宋体" w:hAnsi="宋体" w:cs="方正仿宋_GBK"/>
          <w:bCs/>
          <w:sz w:val="24"/>
          <w:szCs w:val="24"/>
        </w:rPr>
      </w:pPr>
      <w:r/>
      <w:bookmarkStart w:id="62" w:name="_Toc16938522"/>
      <w:r/>
      <w:bookmarkStart w:id="63" w:name="_Toc513029206"/>
      <w:r/>
      <w:bookmarkStart w:id="64" w:name="_Toc20823278"/>
      <w:r/>
      <w:bookmarkStart w:id="65" w:name="_Toc462564067"/>
      <w:r/>
      <w:bookmarkStart w:id="66" w:name="_Toc20823279"/>
      <w:r/>
      <w:bookmarkStart w:id="67" w:name="_Toc513029207"/>
      <w:r/>
      <w:bookmarkStart w:id="68" w:name="_Toc16938523"/>
      <w:r>
        <w:rPr>
          <w:rFonts w:hint="eastAsia" w:ascii="宋体" w:hAnsi="宋体" w:cs="方正仿宋_GBK"/>
          <w:bCs/>
          <w:sz w:val="24"/>
          <w:szCs w:val="24"/>
        </w:rPr>
        <w:t xml:space="preserve">3.适用法律</w:t>
      </w:r>
      <w:bookmarkEnd w:id="62"/>
      <w:r/>
      <w:bookmarkEnd w:id="63"/>
      <w:r/>
      <w:bookmarkEnd w:id="64"/>
      <w:r>
        <w:rPr>
          <w:rFonts w:hint="eastAsia" w:ascii="宋体" w:hAnsi="宋体" w:cs="方正仿宋_GBK"/>
          <w:bCs/>
          <w:sz w:val="24"/>
          <w:szCs w:val="24"/>
        </w:rPr>
        <w:t xml:space="preserve">和标准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3.1本次磋商及由此产生的合同受中华人民共和国有关的法律法规制约和保护。</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3.2在本项目政府采购活动过程中，如果所执行的标准有更新的，按照最新标准执行。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4.磋商费用</w:t>
      </w:r>
      <w:bookmarkEnd w:id="65"/>
      <w:r/>
      <w:bookmarkEnd w:id="66"/>
      <w:r/>
      <w:bookmarkEnd w:id="67"/>
      <w:r/>
      <w:bookmarkEnd w:id="68"/>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4.2本次磋商采购中心和采购人不收取标书工本费与成交服务费。</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5.磋商文件的约束力</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5.1供应商一旦参加本项目采购活动，即被认为接受了本磋商文件的规定和约束。</w:t>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50"/>
      <w:r/>
      <w:bookmarkEnd w:id="51"/>
      <w:r/>
      <w:bookmarkEnd w:id="52"/>
      <w:r/>
      <w:bookmarkEnd w:id="53"/>
      <w:r/>
      <w:bookmarkStart w:id="69" w:name="_Toc16938529"/>
      <w:r/>
      <w:bookmarkStart w:id="70" w:name="_Toc120614216"/>
      <w:r/>
      <w:bookmarkStart w:id="71" w:name="_Toc462564072"/>
      <w:r/>
      <w:bookmarkStart w:id="72" w:name="_Toc513029213"/>
      <w:r/>
      <w:bookmarkStart w:id="73" w:name="_Toc20823285"/>
      <w:r>
        <w:rPr>
          <w:rFonts w:hint="eastAsia" w:ascii="方正黑体_GBK" w:hAnsi="方正黑体_GBK" w:eastAsia="方正黑体_GBK" w:cs="方正黑体_GBK"/>
          <w:sz w:val="32"/>
          <w:szCs w:val="32"/>
        </w:rPr>
        <w:t xml:space="preserve">二、磋商文件</w:t>
      </w:r>
      <w:r/>
    </w:p>
    <w:p>
      <w:pPr>
        <w:pStyle w:val="884"/>
        <w:ind w:firstLine="480"/>
        <w:spacing w:line="440" w:lineRule="exact"/>
        <w:tabs>
          <w:tab w:val="left" w:pos="900" w:leader="none"/>
        </w:tabs>
        <w:rPr>
          <w:rFonts w:hint="eastAsia" w:ascii="宋体" w:hAnsi="宋体" w:cs="方正仿宋_GBK"/>
          <w:bCs/>
          <w:sz w:val="24"/>
          <w:szCs w:val="24"/>
        </w:rPr>
      </w:pPr>
      <w:r/>
      <w:bookmarkStart w:id="74" w:name="_Toc20823282"/>
      <w:r/>
      <w:bookmarkStart w:id="75" w:name="_Toc513029210"/>
      <w:r/>
      <w:bookmarkStart w:id="76" w:name="_Toc16938526"/>
      <w:r>
        <w:rPr>
          <w:rFonts w:hint="eastAsia" w:ascii="宋体" w:hAnsi="宋体" w:cs="方正仿宋_GBK"/>
          <w:bCs/>
          <w:sz w:val="24"/>
          <w:szCs w:val="24"/>
        </w:rPr>
        <w:t xml:space="preserve">6.磋商文件构成</w:t>
      </w:r>
      <w:bookmarkEnd w:id="74"/>
      <w:r/>
      <w:bookmarkEnd w:id="75"/>
      <w:r/>
      <w:bookmarkEnd w:id="76"/>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6.1磋商文件由以下部分组成：</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（1）磋商邀请</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（2）供应商须知</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（3）合同文本</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（4）采购需求</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（5）评审方法与评审标准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（6）响应文件格式</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请仔细检查磋商文件是否齐全，如有缺漏请立即与采购中心联系解决。</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4"/>
        <w:ind w:firstLine="480"/>
        <w:spacing w:line="440" w:lineRule="exact"/>
        <w:tabs>
          <w:tab w:val="left" w:pos="900" w:leader="none"/>
        </w:tabs>
        <w:rPr>
          <w:rFonts w:hint="eastAsia" w:ascii="宋体" w:hAnsi="宋体" w:cs="方正仿宋_GBK"/>
          <w:bCs/>
          <w:sz w:val="24"/>
          <w:szCs w:val="24"/>
        </w:rPr>
      </w:pPr>
      <w:r/>
      <w:bookmarkStart w:id="77" w:name="_Toc16938528"/>
      <w:r/>
      <w:bookmarkStart w:id="78" w:name="_Toc513029212"/>
      <w:r/>
      <w:bookmarkStart w:id="79" w:name="_Toc20823284"/>
      <w:r/>
      <w:bookmarkStart w:id="80" w:name="_Toc462564071"/>
      <w:r>
        <w:rPr>
          <w:rFonts w:hint="eastAsia" w:ascii="宋体" w:hAnsi="宋体" w:cs="方正仿宋_GBK"/>
          <w:bCs/>
          <w:sz w:val="24"/>
          <w:szCs w:val="24"/>
        </w:rPr>
        <w:t xml:space="preserve">7.磋商文件的澄清和修改</w:t>
      </w:r>
      <w:bookmarkEnd w:id="77"/>
      <w:r/>
      <w:bookmarkEnd w:id="78"/>
      <w:r/>
      <w:bookmarkEnd w:id="79"/>
      <w:r/>
      <w:bookmarkEnd w:id="80"/>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7.2采购中心可以视采购项目的具体情况，组织供应商进行现场考察或召开磋商前答疑会，但不单独或分别组织只有一个供应商参加的现场考察和答疑会。</w:t>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69"/>
      <w:r/>
      <w:bookmarkEnd w:id="70"/>
      <w:r/>
      <w:bookmarkEnd w:id="71"/>
      <w:r/>
      <w:bookmarkEnd w:id="72"/>
      <w:r/>
      <w:bookmarkEnd w:id="73"/>
      <w:r/>
      <w:bookmarkStart w:id="81" w:name="_Hlt26954852"/>
      <w:r/>
      <w:bookmarkEnd w:id="81"/>
      <w:r/>
      <w:bookmarkStart w:id="82" w:name="_Hlt26954739"/>
      <w:r/>
      <w:bookmarkEnd w:id="82"/>
      <w:r/>
      <w:bookmarkStart w:id="83" w:name="_Toc20823286"/>
      <w:r/>
      <w:bookmarkStart w:id="84" w:name="_Toc16938530"/>
      <w:r/>
      <w:bookmarkStart w:id="85" w:name="_Toc513029214"/>
      <w:r/>
      <w:bookmarkStart w:id="86" w:name="_Toc462564073"/>
      <w:r/>
      <w:bookmarkStart w:id="87" w:name="_Toc513029224"/>
      <w:r/>
      <w:bookmarkStart w:id="88" w:name="_Toc20823296"/>
      <w:r/>
      <w:bookmarkStart w:id="89" w:name="_Toc16938540"/>
      <w:r/>
      <w:bookmarkStart w:id="90" w:name="_Toc120614217"/>
      <w:r>
        <w:rPr>
          <w:rFonts w:hint="eastAsia" w:ascii="方正黑体_GBK" w:hAnsi="方正黑体_GBK" w:eastAsia="方正黑体_GBK" w:cs="方正黑体_GBK"/>
          <w:sz w:val="32"/>
          <w:szCs w:val="32"/>
        </w:rPr>
        <w:t xml:space="preserve">三、响应文件的编制</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8.响应文件的语言及度量衡单位</w:t>
      </w:r>
      <w:bookmarkEnd w:id="83"/>
      <w:r/>
      <w:bookmarkEnd w:id="84"/>
      <w:r/>
      <w:bookmarkEnd w:id="85"/>
      <w:r/>
      <w:bookmarkEnd w:id="86"/>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8.1供应商提交的响应文件以及供应商与采购中心就有关磋商的所有来往通知、函件和文件均应使用简体中文。</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8.2 除技术性能另有规定外，响应文件所使用的度量衡单位，均须采用国家法定计量单位。</w:t>
      </w:r>
      <w:r/>
    </w:p>
    <w:p>
      <w:pPr>
        <w:pStyle w:val="884"/>
        <w:ind w:firstLine="480"/>
        <w:spacing w:line="440" w:lineRule="exact"/>
        <w:tabs>
          <w:tab w:val="left" w:pos="900" w:leader="none"/>
        </w:tabs>
        <w:rPr>
          <w:rFonts w:hint="eastAsia" w:ascii="宋体" w:hAnsi="宋体" w:cs="方正仿宋_GBK"/>
          <w:bCs/>
          <w:sz w:val="24"/>
          <w:szCs w:val="24"/>
        </w:rPr>
      </w:pPr>
      <w:r/>
      <w:bookmarkStart w:id="91" w:name="_Toc513029215"/>
      <w:r/>
      <w:bookmarkStart w:id="92" w:name="_Toc462564074"/>
      <w:r/>
      <w:bookmarkStart w:id="93" w:name="_Toc20823287"/>
      <w:r/>
      <w:bookmarkStart w:id="94" w:name="_Toc16938531"/>
      <w:r>
        <w:rPr>
          <w:rFonts w:hint="eastAsia" w:ascii="宋体" w:hAnsi="宋体" w:cs="方正仿宋_GBK"/>
          <w:bCs/>
          <w:sz w:val="24"/>
          <w:szCs w:val="24"/>
        </w:rPr>
        <w:t xml:space="preserve">9.响应文件构成</w:t>
      </w:r>
      <w:bookmarkEnd w:id="91"/>
      <w:r/>
      <w:bookmarkEnd w:id="92"/>
      <w:r/>
      <w:bookmarkEnd w:id="93"/>
      <w:r/>
      <w:bookmarkEnd w:id="94"/>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9.2 如标书制作工具中格式和内容与“江苏政府采购网”发布的磋商文件不一致，请以“江苏政府采购网”发布的磋商文件为准。</w:t>
      </w:r>
      <w:r/>
    </w:p>
    <w:p>
      <w:pPr>
        <w:pStyle w:val="884"/>
        <w:ind w:firstLine="480"/>
        <w:spacing w:line="440" w:lineRule="exact"/>
        <w:tabs>
          <w:tab w:val="left" w:pos="900" w:leader="none"/>
        </w:tabs>
        <w:rPr>
          <w:rFonts w:hint="eastAsia" w:ascii="宋体" w:hAnsi="宋体" w:cs="方正仿宋_GBK"/>
          <w:bCs/>
          <w:sz w:val="24"/>
          <w:szCs w:val="24"/>
        </w:rPr>
      </w:pPr>
      <w:r/>
      <w:bookmarkStart w:id="95" w:name="_Toc14577357"/>
      <w:r/>
      <w:bookmarkStart w:id="96" w:name="_Toc49090509"/>
      <w:r/>
      <w:bookmarkStart w:id="97" w:name="_Toc49090507"/>
      <w:r/>
      <w:bookmarkStart w:id="98" w:name="_Toc513029216"/>
      <w:r/>
      <w:bookmarkStart w:id="99" w:name="_Toc14577354"/>
      <w:r/>
      <w:bookmarkStart w:id="100" w:name="_Toc14577355"/>
      <w:r/>
      <w:bookmarkStart w:id="101" w:name="_Toc49090508"/>
      <w:r/>
      <w:bookmarkStart w:id="102" w:name="_Hlt26668975"/>
      <w:r/>
      <w:bookmarkEnd w:id="102"/>
      <w:r/>
      <w:bookmarkStart w:id="103" w:name="_Hlt26670360"/>
      <w:r/>
      <w:bookmarkEnd w:id="103"/>
      <w:r/>
      <w:bookmarkStart w:id="104" w:name="_Hlt26954838"/>
      <w:r/>
      <w:bookmarkEnd w:id="104"/>
      <w:r/>
      <w:bookmarkStart w:id="105" w:name="_Toc513029219"/>
      <w:r>
        <w:rPr>
          <w:rFonts w:hint="eastAsia" w:ascii="宋体" w:hAnsi="宋体" w:cs="方正仿宋_GBK"/>
          <w:bCs/>
          <w:sz w:val="24"/>
          <w:szCs w:val="24"/>
        </w:rPr>
        <w:t xml:space="preserve">10.证明磋商响应标的符合磋商文件规定的文件</w:t>
      </w:r>
      <w:bookmarkEnd w:id="95"/>
      <w:r/>
      <w:bookmarkEnd w:id="96"/>
      <w:r/>
      <w:bookmarkEnd w:id="105"/>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bookmarkEnd w:id="97"/>
      <w:r/>
      <w:bookmarkEnd w:id="98"/>
      <w:r/>
      <w:bookmarkEnd w:id="99"/>
      <w:r>
        <w:rPr>
          <w:rFonts w:hint="eastAsia" w:ascii="宋体" w:hAnsi="宋体" w:cs="方正仿宋_GBK"/>
          <w:bCs/>
          <w:sz w:val="24"/>
          <w:szCs w:val="24"/>
        </w:rPr>
        <w:t xml:space="preserve">10.1供应商应按照磋商文件要求提交证明文件，证明其及磋商响应标的符合磋商文件规定。</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10.2磋商文件对证明文件无明确形式要求的，证明文件可以以文字资料、图纸和数据等形式提交。</w:t>
      </w:r>
      <w:r/>
    </w:p>
    <w:p>
      <w:pPr>
        <w:pStyle w:val="884"/>
        <w:ind w:firstLine="480"/>
        <w:spacing w:line="440" w:lineRule="exact"/>
        <w:tabs>
          <w:tab w:val="left" w:pos="900" w:leader="none"/>
        </w:tabs>
        <w:rPr>
          <w:rFonts w:hint="eastAsia" w:ascii="宋体" w:hAnsi="宋体" w:cs="方正仿宋_GBK"/>
          <w:bCs/>
          <w:sz w:val="24"/>
          <w:szCs w:val="24"/>
        </w:rPr>
      </w:pPr>
      <w:r/>
      <w:bookmarkEnd w:id="100"/>
      <w:r/>
      <w:bookmarkEnd w:id="101"/>
      <w:r>
        <w:rPr>
          <w:rFonts w:hint="eastAsia" w:ascii="宋体" w:hAnsi="宋体" w:cs="方正仿宋_GBK"/>
          <w:bCs/>
          <w:sz w:val="24"/>
          <w:szCs w:val="24"/>
        </w:rPr>
        <w:t xml:space="preserve">11.分项报价表</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11.1供应商应按照磋商文件规定格式填报分项报价表。</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11.2磋商货币。响应文件中的单价和总价无特殊规定的采用人民币报价，以元为单位标注。磋商文件中另有规定的按规定执行。</w:t>
      </w:r>
      <w:r/>
    </w:p>
    <w:p>
      <w:pPr>
        <w:pStyle w:val="884"/>
        <w:ind w:firstLine="480"/>
        <w:spacing w:line="440" w:lineRule="exact"/>
        <w:tabs>
          <w:tab w:val="left" w:pos="900" w:leader="none"/>
        </w:tabs>
        <w:rPr>
          <w:rFonts w:hint="eastAsia" w:ascii="宋体" w:hAnsi="宋体" w:cs="方正仿宋_GBK"/>
          <w:bCs/>
          <w:sz w:val="24"/>
          <w:szCs w:val="24"/>
        </w:rPr>
      </w:pPr>
      <w:r/>
      <w:bookmarkStart w:id="106" w:name="_Hlt26954846"/>
      <w:r/>
      <w:bookmarkEnd w:id="106"/>
      <w:r/>
      <w:bookmarkStart w:id="107" w:name="_Hlt26954848"/>
      <w:r/>
      <w:bookmarkEnd w:id="107"/>
      <w:r/>
      <w:bookmarkStart w:id="108" w:name="_Hlt26670486"/>
      <w:r/>
      <w:bookmarkEnd w:id="108"/>
      <w:r/>
      <w:bookmarkStart w:id="109" w:name="_Hlt26954731"/>
      <w:r/>
      <w:bookmarkEnd w:id="109"/>
      <w:r/>
      <w:bookmarkStart w:id="110" w:name="_Hlt26670482"/>
      <w:r/>
      <w:bookmarkEnd w:id="110"/>
      <w:r>
        <w:rPr>
          <w:rFonts w:hint="eastAsia" w:ascii="宋体" w:hAnsi="宋体" w:cs="方正仿宋_GBK"/>
          <w:bCs/>
          <w:sz w:val="24"/>
          <w:szCs w:val="24"/>
        </w:rPr>
        <w:t xml:space="preserve">12.技术要求响应及偏离表、商务要求响应及偏离表</w:t>
      </w:r>
      <w:r/>
    </w:p>
    <w:p>
      <w:pPr>
        <w:pStyle w:val="884"/>
        <w:ind w:firstLine="480"/>
        <w:spacing w:line="440" w:lineRule="exact"/>
        <w:tabs>
          <w:tab w:val="left" w:pos="900" w:leader="none"/>
        </w:tabs>
        <w:rPr>
          <w:rFonts w:hint="eastAsia" w:ascii="宋体" w:hAnsi="宋体" w:cs="方正仿宋_GBK"/>
          <w:bCs/>
          <w:sz w:val="24"/>
          <w:szCs w:val="24"/>
          <w:lang w:val="zh-CN"/>
        </w:rPr>
      </w:pPr>
      <w:r>
        <w:rPr>
          <w:rFonts w:hint="eastAsia" w:ascii="宋体" w:hAnsi="宋体" w:cs="方正仿宋_GBK"/>
          <w:bCs/>
          <w:sz w:val="24"/>
          <w:szCs w:val="24"/>
          <w:lang w:val="zh-CN"/>
        </w:rPr>
        <w:t xml:space="preserve">12.1供应商需对磋商文件中的技术要求与商务要求逐项作出响应或偏离，并说明原因。</w:t>
      </w:r>
      <w:r/>
    </w:p>
    <w:p>
      <w:pPr>
        <w:pStyle w:val="884"/>
        <w:ind w:firstLine="480"/>
        <w:spacing w:line="440" w:lineRule="exact"/>
        <w:tabs>
          <w:tab w:val="left" w:pos="900" w:leader="none"/>
        </w:tabs>
        <w:rPr>
          <w:rFonts w:hint="eastAsia" w:ascii="宋体" w:hAnsi="宋体" w:cs="方正仿宋_GBK"/>
          <w:bCs/>
          <w:sz w:val="24"/>
          <w:szCs w:val="24"/>
          <w:lang w:val="zh-CN"/>
        </w:rPr>
      </w:pPr>
      <w:r>
        <w:rPr>
          <w:rFonts w:hint="eastAsia" w:ascii="宋体" w:hAnsi="宋体" w:cs="方正仿宋_GBK"/>
          <w:bCs/>
          <w:sz w:val="24"/>
          <w:szCs w:val="24"/>
          <w:lang w:val="zh-CN"/>
        </w:rPr>
        <w:t xml:space="preserve">12.2供应商需按照磋商文件要求，在响应文件中提供与技术要求和商务要求相关的证明材料。</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13.服务承诺、培训计划、人员安排及其他</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13.1供应商需根据磋商文件要求提供有关售后服务的管理制度，售后服务机构的分布情况，售后服务人员的数量、素质、技术水平及售后服务的反应能力等。</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13.2供应商需根据磋商文件要求提供培训计划。</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13.3供应商需根据磋商文件要求提供</w:t>
      </w:r>
      <w:r>
        <w:rPr>
          <w:rFonts w:hint="eastAsia" w:ascii="宋体" w:hAnsi="宋体" w:cs="方正仿宋_GBK"/>
          <w:bCs/>
          <w:sz w:val="24"/>
          <w:szCs w:val="24"/>
          <w:lang w:val="zh-CN"/>
        </w:rPr>
        <w:t xml:space="preserve">磋商响应标的的主要组成部分、功能设计、实现思路及关键技术等。</w:t>
      </w:r>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bookmarkStart w:id="111" w:name="_Toc49090510"/>
      <w:r/>
      <w:bookmarkStart w:id="112" w:name="_Toc14577359"/>
      <w:r>
        <w:rPr>
          <w:rFonts w:hint="eastAsia" w:ascii="宋体" w:hAnsi="宋体" w:cs="方正仿宋_GBK"/>
          <w:bCs/>
          <w:sz w:val="24"/>
          <w:szCs w:val="24"/>
        </w:rPr>
        <w:t xml:space="preserve">14.磋商响应函</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14.1供应商应按照磋商文件中提供的格式完整、正确填写磋商响应函。</w:t>
      </w:r>
      <w:r/>
    </w:p>
    <w:p>
      <w:pPr>
        <w:pStyle w:val="884"/>
        <w:ind w:firstLine="480"/>
        <w:spacing w:line="440" w:lineRule="exact"/>
        <w:tabs>
          <w:tab w:val="left" w:pos="900" w:leader="none"/>
        </w:tabs>
        <w:rPr>
          <w:rFonts w:hint="eastAsia" w:ascii="宋体" w:hAnsi="宋体" w:cs="方正仿宋_GBK"/>
          <w:bCs/>
          <w:sz w:val="24"/>
          <w:szCs w:val="24"/>
        </w:rPr>
      </w:pPr>
      <w:r/>
      <w:bookmarkEnd w:id="111"/>
      <w:r/>
      <w:bookmarkEnd w:id="112"/>
      <w:r/>
      <w:bookmarkStart w:id="113" w:name="_Toc14577360"/>
      <w:r/>
      <w:bookmarkStart w:id="114" w:name="_Toc49090511"/>
      <w:r>
        <w:rPr>
          <w:rFonts w:hint="eastAsia" w:ascii="宋体" w:hAnsi="宋体" w:cs="方正仿宋_GBK"/>
          <w:bCs/>
          <w:sz w:val="24"/>
          <w:szCs w:val="24"/>
        </w:rPr>
        <w:t xml:space="preserve">15.磋商有效期</w:t>
      </w:r>
      <w:bookmarkEnd w:id="113"/>
      <w:r/>
      <w:bookmarkEnd w:id="114"/>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15.1磋商有效期为采购中心规定的提交响应文件截止之日后六十（60）天。磋商有效期比规定短的将被视为非实质性响应磋商文件而予以拒绝。</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16.磋商有效期的延长</w:t>
      </w:r>
      <w:r/>
    </w:p>
    <w:p>
      <w:pPr>
        <w:pStyle w:val="884"/>
        <w:ind w:firstLine="480"/>
        <w:spacing w:line="440" w:lineRule="exact"/>
        <w:tabs>
          <w:tab w:val="left" w:pos="900" w:leader="none"/>
        </w:tabs>
        <w:rPr>
          <w:rFonts w:hint="eastAsia" w:ascii="方正仿宋_GBK" w:hAnsi="方正仿宋_GBK" w:eastAsia="方正仿宋_GBK" w:cs="方正仿宋_GBK"/>
          <w:bCs/>
          <w:sz w:val="32"/>
          <w:szCs w:val="32"/>
        </w:rPr>
      </w:pPr>
      <w:r>
        <w:rPr>
          <w:rFonts w:hint="eastAsia" w:ascii="宋体" w:hAnsi="宋体"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32"/>
          <w:szCs w:val="32"/>
        </w:rPr>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87"/>
      <w:r/>
      <w:bookmarkEnd w:id="88"/>
      <w:r/>
      <w:bookmarkEnd w:id="89"/>
      <w:r/>
      <w:bookmarkEnd w:id="90"/>
      <w:r/>
      <w:bookmarkStart w:id="115" w:name="_Toc120614218"/>
      <w:r/>
      <w:bookmarkStart w:id="116" w:name="_Toc513029229"/>
      <w:r/>
      <w:bookmarkStart w:id="117" w:name="_Toc16938545"/>
      <w:r/>
      <w:bookmarkStart w:id="118" w:name="_Toc20823301"/>
      <w:r>
        <w:rPr>
          <w:rFonts w:hint="eastAsia" w:ascii="方正黑体_GBK" w:hAnsi="方正黑体_GBK" w:eastAsia="方正黑体_GBK" w:cs="方正黑体_GBK"/>
          <w:sz w:val="32"/>
          <w:szCs w:val="32"/>
        </w:rPr>
        <w:t xml:space="preserve">四、响应文件的递交</w:t>
      </w:r>
      <w:r/>
    </w:p>
    <w:p>
      <w:pPr>
        <w:pStyle w:val="884"/>
        <w:ind w:firstLine="480"/>
        <w:spacing w:line="440" w:lineRule="exact"/>
        <w:tabs>
          <w:tab w:val="left" w:pos="900" w:leader="none"/>
        </w:tabs>
        <w:rPr>
          <w:rFonts w:hint="eastAsia" w:ascii="宋体" w:hAnsi="宋体" w:cs="方正仿宋_GBK"/>
          <w:bCs/>
          <w:sz w:val="24"/>
          <w:szCs w:val="24"/>
        </w:rPr>
      </w:pPr>
      <w:r/>
      <w:bookmarkStart w:id="119" w:name="_Toc462564084"/>
      <w:r/>
      <w:bookmarkStart w:id="120" w:name="_Toc513029225"/>
      <w:r/>
      <w:bookmarkStart w:id="121" w:name="_Toc20823297"/>
      <w:r/>
      <w:bookmarkStart w:id="122" w:name="_Toc16938541"/>
      <w:r>
        <w:rPr>
          <w:rFonts w:hint="eastAsia" w:ascii="宋体" w:hAnsi="宋体" w:cs="方正仿宋_GBK"/>
          <w:bCs/>
          <w:sz w:val="24"/>
          <w:szCs w:val="24"/>
        </w:rPr>
        <w:t xml:space="preserve">17.电子磋商</w:t>
      </w:r>
      <w:bookmarkEnd w:id="119"/>
      <w:r/>
      <w:bookmarkEnd w:id="120"/>
      <w:r/>
      <w:bookmarkEnd w:id="121"/>
      <w:r/>
      <w:bookmarkEnd w:id="122"/>
      <w:r>
        <w:rPr>
          <w:rFonts w:hint="eastAsia" w:ascii="宋体" w:hAnsi="宋体" w:cs="方正仿宋_GBK"/>
          <w:bCs/>
          <w:sz w:val="24"/>
          <w:szCs w:val="24"/>
        </w:rPr>
        <w:t xml:space="preserve">响应文件的递交</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17.1供应商应当按照《操作手册》规定，在提交响应文件截止时间前制作并上传电子响应文件。</w:t>
      </w:r>
      <w:bookmarkStart w:id="123" w:name="_Toc16938542"/>
      <w:r/>
      <w:bookmarkStart w:id="124" w:name="_Toc20823298"/>
      <w:r/>
      <w:bookmarkStart w:id="125" w:name="_Toc513029226"/>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18.提交响应文件截止时间</w:t>
      </w:r>
      <w:bookmarkEnd w:id="123"/>
      <w:r/>
      <w:bookmarkEnd w:id="124"/>
      <w:r/>
      <w:bookmarkEnd w:id="125"/>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18.1供应商上传电子响应文件的时间不得迟于磋商公告中规定的提交响应文件截止时间。</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p>
    <w:p>
      <w:pPr>
        <w:pStyle w:val="884"/>
        <w:ind w:firstLine="480"/>
        <w:spacing w:line="440" w:lineRule="exact"/>
        <w:tabs>
          <w:tab w:val="left" w:pos="900" w:leader="none"/>
        </w:tabs>
        <w:rPr>
          <w:rFonts w:hint="eastAsia" w:ascii="宋体" w:hAnsi="宋体" w:cs="方正仿宋_GBK"/>
          <w:bCs/>
          <w:sz w:val="24"/>
          <w:szCs w:val="24"/>
        </w:rPr>
      </w:pPr>
      <w:r/>
      <w:bookmarkStart w:id="126" w:name="_Toc513029227"/>
      <w:r/>
      <w:bookmarkStart w:id="127" w:name="_Toc16938543"/>
      <w:r/>
      <w:bookmarkStart w:id="128" w:name="_Toc20823299"/>
      <w:r>
        <w:rPr>
          <w:rFonts w:hint="eastAsia" w:ascii="宋体" w:hAnsi="宋体" w:cs="方正仿宋_GBK"/>
          <w:bCs/>
          <w:sz w:val="24"/>
          <w:szCs w:val="24"/>
        </w:rPr>
        <w:t xml:space="preserve">19.响应文件</w:t>
      </w:r>
      <w:bookmarkEnd w:id="126"/>
      <w:r/>
      <w:bookmarkEnd w:id="127"/>
      <w:r/>
      <w:bookmarkEnd w:id="128"/>
      <w:r>
        <w:rPr>
          <w:rFonts w:hint="eastAsia" w:ascii="宋体" w:hAnsi="宋体" w:cs="方正仿宋_GBK"/>
          <w:bCs/>
          <w:sz w:val="24"/>
          <w:szCs w:val="24"/>
        </w:rPr>
        <w:t xml:space="preserve">的拒收</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19.1 采购中心拒绝接收在其规定的提交响应文件截止时间后上传的任何电子响应文件。</w:t>
      </w:r>
      <w:r/>
    </w:p>
    <w:p>
      <w:pPr>
        <w:pStyle w:val="884"/>
        <w:ind w:firstLine="480"/>
        <w:spacing w:line="440" w:lineRule="exact"/>
        <w:tabs>
          <w:tab w:val="left" w:pos="900" w:leader="none"/>
        </w:tabs>
        <w:rPr>
          <w:rFonts w:hint="eastAsia" w:ascii="宋体" w:hAnsi="宋体" w:cs="方正仿宋_GBK"/>
          <w:bCs/>
          <w:sz w:val="24"/>
          <w:szCs w:val="24"/>
        </w:rPr>
      </w:pPr>
      <w:r/>
      <w:bookmarkStart w:id="129" w:name="_Toc16938544"/>
      <w:r/>
      <w:bookmarkStart w:id="130" w:name="_Toc20823300"/>
      <w:r/>
      <w:bookmarkStart w:id="131" w:name="_Toc513029228"/>
      <w:r>
        <w:rPr>
          <w:rFonts w:hint="eastAsia" w:ascii="宋体" w:hAnsi="宋体" w:cs="方正仿宋_GBK"/>
          <w:bCs/>
          <w:sz w:val="24"/>
          <w:szCs w:val="24"/>
        </w:rPr>
        <w:t xml:space="preserve">20.响应文件的撤回和修改</w:t>
      </w:r>
      <w:bookmarkEnd w:id="129"/>
      <w:r/>
      <w:bookmarkEnd w:id="130"/>
      <w:r/>
      <w:bookmarkEnd w:id="131"/>
      <w:r>
        <w:rPr>
          <w:rFonts w:hint="eastAsia" w:ascii="宋体" w:hAnsi="宋体" w:cs="方正仿宋_GBK"/>
          <w:bCs/>
          <w:sz w:val="24"/>
          <w:szCs w:val="24"/>
        </w:rPr>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20.1响应文件的撤回</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20.1.1 电子响应文件的撤回</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供应商可在提交响应文件截止时间前，撤回其电子响应文件，具体操作方法见《操作手册》。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20.1.2供应商撤回电子响应文件，则认为其不再参与本项目磋商活动。</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20.2响应文件的修改</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供应商可在提交响应文件截止时间前，对其电子响应文件进行修改，具体操作方法见《操作手册》。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20.3 在提交响应文件截止时间之后，供应商不得对其电子响应文件作任何修改。</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20.4 在提交响应文件截止时间至磋商文件中规定的磋商有效期满之间的这段时间内，供应商不得撤回其响应文件。</w:t>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rPr>
          <w:rFonts w:hint="eastAsia" w:ascii="方正黑体_GBK" w:hAnsi="方正黑体_GBK" w:eastAsia="方正黑体_GBK" w:cs="方正黑体_GBK"/>
          <w:sz w:val="32"/>
          <w:szCs w:val="32"/>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32"/>
          <w:szCs w:val="32"/>
        </w:rPr>
      </w:r>
      <w:r/>
    </w:p>
    <w:p>
      <w:pPr>
        <w:pStyle w:val="884"/>
        <w:ind w:firstLine="480"/>
        <w:spacing w:line="440" w:lineRule="exact"/>
        <w:tabs>
          <w:tab w:val="left" w:pos="900" w:leader="none"/>
        </w:tabs>
        <w:rPr>
          <w:rFonts w:hint="eastAsia" w:ascii="宋体" w:hAnsi="宋体" w:cs="方正仿宋_GBK"/>
          <w:bCs/>
          <w:sz w:val="24"/>
          <w:szCs w:val="24"/>
        </w:rPr>
      </w:pPr>
      <w:r/>
      <w:bookmarkStart w:id="132" w:name="_Toc513029230"/>
      <w:r/>
      <w:bookmarkStart w:id="133" w:name="_Toc16938546"/>
      <w:r/>
      <w:bookmarkStart w:id="134" w:name="_Toc20823302"/>
      <w:r/>
      <w:bookmarkStart w:id="135" w:name="_Toc20823304"/>
      <w:r/>
      <w:bookmarkStart w:id="136" w:name="_Toc513029232"/>
      <w:r/>
      <w:bookmarkStart w:id="137" w:name="_Toc16938548"/>
      <w:r>
        <w:rPr>
          <w:rFonts w:hint="eastAsia" w:ascii="宋体" w:hAnsi="宋体" w:cs="方正仿宋_GBK"/>
          <w:bCs/>
          <w:sz w:val="24"/>
          <w:szCs w:val="24"/>
        </w:rPr>
        <w:t xml:space="preserve">21</w:t>
      </w:r>
      <w:bookmarkEnd w:id="132"/>
      <w:r/>
      <w:bookmarkEnd w:id="133"/>
      <w:r/>
      <w:bookmarkEnd w:id="134"/>
      <w:r>
        <w:rPr>
          <w:rFonts w:hint="eastAsia" w:ascii="宋体" w:hAnsi="宋体" w:cs="方正仿宋_GBK"/>
          <w:bCs/>
          <w:sz w:val="24"/>
          <w:szCs w:val="24"/>
        </w:rPr>
        <w:t xml:space="preserve">.响应文件解密</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21.1供应商应当按照《操作手册》规定，在苏采云系统规定的时间内对磋商响应文件进行解密。</w:t>
      </w:r>
      <w:r/>
    </w:p>
    <w:p>
      <w:pPr>
        <w:pStyle w:val="884"/>
        <w:ind w:firstLine="480"/>
        <w:spacing w:line="440" w:lineRule="exact"/>
        <w:tabs>
          <w:tab w:val="left" w:pos="900" w:leader="none"/>
        </w:tabs>
        <w:rPr>
          <w:rFonts w:hint="eastAsia" w:ascii="宋体" w:hAnsi="宋体" w:cs="方正仿宋_GBK"/>
          <w:bCs/>
          <w:sz w:val="24"/>
          <w:szCs w:val="24"/>
        </w:rPr>
      </w:pPr>
      <w:r/>
      <w:bookmarkStart w:id="138" w:name="_Toc513029231"/>
      <w:r/>
      <w:bookmarkStart w:id="139" w:name="_Toc20823303"/>
      <w:r/>
      <w:bookmarkStart w:id="140" w:name="_Toc16938547"/>
      <w:r>
        <w:rPr>
          <w:rFonts w:hint="eastAsia" w:ascii="宋体" w:hAnsi="宋体" w:cs="方正仿宋_GBK"/>
          <w:bCs/>
          <w:sz w:val="24"/>
          <w:szCs w:val="24"/>
        </w:rPr>
        <w:t xml:space="preserve">22.磋商小组</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22.1采购中心将组织磋商小组对响应文件进行评审。磋商小组由采购人代表和有关技术、经济等方面的专家组成，且人员构成符合政府采购有关规定。</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22.2磋商小组独立工作，负责评审所有响应文件并确定成交侯选人。</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23.评审过程的保密与公正</w:t>
      </w:r>
      <w:r/>
    </w:p>
    <w:p>
      <w:pPr>
        <w:pStyle w:val="884"/>
        <w:ind w:firstLine="480"/>
        <w:spacing w:line="440" w:lineRule="exact"/>
        <w:tabs>
          <w:tab w:val="left" w:pos="900" w:leader="none"/>
        </w:tabs>
        <w:rPr>
          <w:rFonts w:hint="eastAsia" w:ascii="宋体" w:hAnsi="宋体" w:cs="方正仿宋_GBK"/>
          <w:bCs/>
          <w:sz w:val="24"/>
          <w:szCs w:val="24"/>
        </w:rPr>
      </w:pPr>
      <w:r/>
      <w:bookmarkEnd w:id="138"/>
      <w:r/>
      <w:bookmarkEnd w:id="139"/>
      <w:r/>
      <w:bookmarkEnd w:id="140"/>
      <w:r>
        <w:rPr>
          <w:rFonts w:hint="eastAsia" w:ascii="宋体" w:hAnsi="宋体" w:cs="方正仿宋_GBK"/>
          <w:bCs/>
          <w:sz w:val="24"/>
          <w:szCs w:val="24"/>
        </w:rPr>
        <w:t xml:space="preserve">23.1磋商小组、采购人和采购中心工作人员、相关监督人员等与评审工作有关的人员，对评审情况以及在评审过程中获悉的国家秘密、商业秘密负有保密责任。</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23.2在评审过程中，供应商不得以任何行为影响磋商评审过程，否则其响应文件将被作为无效响应文件。</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23.3在项目评审期间，采购中心将设专门人员与供应商联系。</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23.4 采购中心和磋商小组不向未成交的供应商解释未成交原因，也不公布评审过程中的相关细节。</w:t>
      </w:r>
      <w:r/>
    </w:p>
    <w:p>
      <w:pPr>
        <w:pStyle w:val="884"/>
        <w:ind w:firstLine="480"/>
        <w:spacing w:line="440" w:lineRule="exact"/>
        <w:tabs>
          <w:tab w:val="left" w:pos="900" w:leader="none"/>
        </w:tabs>
        <w:rPr>
          <w:rFonts w:hint="eastAsia" w:ascii="宋体" w:hAnsi="宋体" w:cs="方正仿宋_GBK"/>
          <w:bCs/>
          <w:sz w:val="24"/>
          <w:szCs w:val="24"/>
        </w:rPr>
      </w:pPr>
      <w:r/>
      <w:bookmarkEnd w:id="135"/>
      <w:r/>
      <w:bookmarkEnd w:id="136"/>
      <w:r/>
      <w:bookmarkEnd w:id="137"/>
      <w:r/>
      <w:bookmarkStart w:id="141" w:name="_Toc16938549"/>
      <w:r/>
      <w:bookmarkStart w:id="142" w:name="_Toc513029233"/>
      <w:r/>
      <w:bookmarkStart w:id="143" w:name="_Toc20823305"/>
      <w:r>
        <w:rPr>
          <w:rFonts w:hint="eastAsia" w:ascii="宋体" w:hAnsi="宋体" w:cs="方正仿宋_GBK"/>
          <w:bCs/>
          <w:sz w:val="24"/>
          <w:szCs w:val="24"/>
        </w:rPr>
        <w:t xml:space="preserve">24.评审过程中的的澄清</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磋商小组并非对每个供应商都作澄清要求。</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24.3 接到磋商小组澄清、说明和更正要求的供应商如未按规定做出澄清、说明和 更正，其风险由供应商自行承担。</w:t>
      </w:r>
      <w:r/>
    </w:p>
    <w:p>
      <w:pPr>
        <w:pStyle w:val="884"/>
        <w:ind w:firstLine="480"/>
        <w:keepLines/>
        <w:keepNext/>
        <w:spacing w:line="440" w:lineRule="exact"/>
        <w:rPr>
          <w:rFonts w:hint="eastAsia" w:ascii="宋体" w:hAnsi="宋体" w:cs="方正仿宋_GBK"/>
          <w:sz w:val="24"/>
          <w:szCs w:val="24"/>
        </w:rPr>
        <w:outlineLvl w:val="3"/>
      </w:pPr>
      <w:r>
        <w:rPr>
          <w:rFonts w:hint="eastAsia" w:ascii="宋体" w:hAnsi="宋体" w:cs="方正仿宋_GBK"/>
          <w:sz w:val="24"/>
          <w:szCs w:val="24"/>
        </w:rPr>
        <w:t xml:space="preserve">25.对响应文件的审</w:t>
      </w:r>
      <w:bookmarkEnd w:id="141"/>
      <w:r/>
      <w:bookmarkEnd w:id="142"/>
      <w:r/>
      <w:bookmarkEnd w:id="143"/>
      <w:r>
        <w:rPr>
          <w:rFonts w:hint="eastAsia" w:ascii="宋体" w:hAnsi="宋体" w:cs="方正仿宋_GBK"/>
          <w:sz w:val="24"/>
          <w:szCs w:val="24"/>
        </w:rPr>
        <w:t xml:space="preserve">查</w:t>
      </w:r>
      <w:r/>
    </w:p>
    <w:p>
      <w:pPr>
        <w:pStyle w:val="884"/>
        <w:ind w:firstLine="480"/>
        <w:spacing w:line="440" w:lineRule="exact"/>
        <w:rPr>
          <w:rFonts w:hint="eastAsia" w:ascii="宋体" w:hAnsi="宋体" w:cs="方正仿宋_GBK"/>
          <w:bCs/>
          <w:sz w:val="24"/>
          <w:szCs w:val="24"/>
        </w:rPr>
      </w:pPr>
      <w:r>
        <w:rPr>
          <w:rFonts w:hint="eastAsia" w:ascii="宋体" w:hAnsi="宋体" w:cs="方正仿宋_GBK"/>
          <w:sz w:val="24"/>
          <w:szCs w:val="24"/>
        </w:rPr>
        <w:t xml:space="preserve">25.1</w:t>
      </w:r>
      <w:r>
        <w:rPr>
          <w:rFonts w:hint="eastAsia" w:ascii="宋体" w:hAnsi="宋体" w:cs="方正仿宋_GBK"/>
          <w:bCs/>
          <w:sz w:val="24"/>
          <w:szCs w:val="24"/>
        </w:rPr>
        <w:t xml:space="preserve">响应文件审查分为资格审查和符合性审查。</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25.1.1 资格审查：由磋商小组依据法律法规和磋商文件的规定，对响应文件中的资格证明文件进行审查，以确定供应商是否具备参加磋商的资格。</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磋商小组在进行资格审查的同时，将在“信用中国”网站（</w:t>
      </w:r>
      <w:r>
        <w:rPr>
          <w:rFonts w:ascii="宋体" w:hAnsi="宋体"/>
          <w:bCs/>
          <w:sz w:val="24"/>
          <w:szCs w:val="24"/>
        </w:rPr>
        <w:t xml:space="preserve">www.creditchina.gov.cn</w:t>
      </w:r>
      <w:r>
        <w:rPr>
          <w:rFonts w:hint="eastAsia" w:ascii="宋体" w:hAnsi="宋体" w:cs="方正仿宋_GBK"/>
          <w:bCs/>
          <w:sz w:val="24"/>
          <w:szCs w:val="24"/>
        </w:rPr>
        <w:t xml:space="preserve">）查询供应商的信用记录，以确定供应商是否具备磋商资格,查询结果留存并归档。</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25.1.3 未通过资格审查或符合性审查的供应商，磋商小组将在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中告知未通过资格审查或符合性审查的原因，评审结束后，磋商小组将不再告知未通过资格审查或符合性审查的原因。</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25.3未实质性响应磋商文件的情形</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25.3.1供应商在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规定的时间内未成功解密电子响应文件的。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25.3.2供应商未按照磋商文件要求上传电子响应文件的。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25.3.3供应商同一采购包提交两个（含两个）以上不同的响应文件或者最后报价的。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25.3.4供应商不具备磋商文件中规定资格要求的。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25.3.5供应商的最后报价超过了采购预算。</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25.3.6不符合磋商文件中规定的实质性要求的</w:t>
      </w:r>
      <w:r>
        <w:rPr>
          <w:rFonts w:hint="eastAsia" w:ascii="宋体" w:hAnsi="宋体" w:cs="方正仿宋_GBK"/>
          <w:b/>
          <w:bCs/>
          <w:sz w:val="24"/>
          <w:szCs w:val="24"/>
        </w:rPr>
        <w:t xml:space="preserve">（本磋商文件中</w:t>
      </w:r>
      <w:r>
        <w:rPr>
          <w:rFonts w:hint="eastAsia" w:ascii="宋体" w:hAnsi="宋体" w:cs="方正仿宋_GBK"/>
          <w:b/>
          <w:bCs/>
          <w:i/>
          <w:sz w:val="24"/>
          <w:szCs w:val="24"/>
          <w:u w:val="single"/>
        </w:rPr>
        <w:t xml:space="preserve">斜体且有下划线部分</w:t>
      </w:r>
      <w:r>
        <w:rPr>
          <w:rFonts w:hint="eastAsia" w:ascii="宋体" w:hAnsi="宋体" w:cs="方正仿宋_GBK"/>
          <w:b/>
          <w:bCs/>
          <w:sz w:val="24"/>
          <w:szCs w:val="24"/>
        </w:rPr>
        <w:t xml:space="preserve">或加*号条款为实质性要求）。</w:t>
      </w:r>
      <w:r>
        <w:rPr>
          <w:rFonts w:hint="eastAsia" w:ascii="宋体" w:hAnsi="宋体" w:cs="方正仿宋_GBK"/>
          <w:bCs/>
          <w:sz w:val="24"/>
          <w:szCs w:val="24"/>
        </w:rPr>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25.3.7供应商被 “信用中国”网站（</w:t>
      </w:r>
      <w:r>
        <w:rPr>
          <w:rFonts w:ascii="宋体" w:hAnsi="宋体"/>
          <w:bCs/>
          <w:sz w:val="24"/>
          <w:szCs w:val="24"/>
        </w:rPr>
        <w:t xml:space="preserve">www.creditchina.gov.cn</w:t>
      </w:r>
      <w:r>
        <w:rPr>
          <w:rFonts w:hint="eastAsia" w:ascii="宋体" w:hAnsi="宋体"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25.3.8 响应文件含有采购人不能接受的附加条件的。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25.3.9响应文件未按照磋商文件要求加盖CA电子公章的。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25.3.10 供应商所提供的服务不符合磋商文件中所列国家强制性标准的。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25.4未实质性响应磋商文件的响应文件按无效响应处理。</w:t>
      </w:r>
      <w:r/>
    </w:p>
    <w:p>
      <w:pPr>
        <w:pStyle w:val="884"/>
        <w:ind w:firstLine="480"/>
        <w:spacing w:line="440" w:lineRule="exact"/>
        <w:rPr>
          <w:rFonts w:hint="eastAsia" w:ascii="宋体" w:hAnsi="宋体" w:cs="方正仿宋_GBK"/>
          <w:bCs/>
          <w:sz w:val="24"/>
          <w:szCs w:val="24"/>
        </w:rPr>
      </w:pPr>
      <w:r>
        <w:rPr>
          <w:rFonts w:hint="eastAsia" w:ascii="宋体" w:hAnsi="宋体" w:cs="方正仿宋_GBK"/>
          <w:sz w:val="24"/>
          <w:szCs w:val="24"/>
        </w:rPr>
        <w:t xml:space="preserve">25.5</w:t>
      </w:r>
      <w:r>
        <w:rPr>
          <w:rFonts w:hint="eastAsia" w:ascii="宋体" w:hAnsi="宋体" w:cs="方正仿宋_GBK"/>
          <w:bCs/>
          <w:sz w:val="24"/>
          <w:szCs w:val="24"/>
        </w:rPr>
        <w:t xml:space="preserve">如果响应文件实质上没有响应磋商文件的要求，磋商小组将予以拒绝，供应商不得通过修改或撤销不符合要求的偏离或保留而使其成为实质性响应的文件。</w:t>
      </w:r>
      <w:r/>
    </w:p>
    <w:p>
      <w:pPr>
        <w:pStyle w:val="884"/>
        <w:ind w:firstLine="480"/>
        <w:spacing w:line="440" w:lineRule="exact"/>
        <w:rPr>
          <w:rFonts w:hint="eastAsia" w:ascii="宋体" w:hAnsi="宋体" w:cs="方正仿宋_GBK"/>
          <w:sz w:val="24"/>
          <w:szCs w:val="24"/>
        </w:rPr>
      </w:pPr>
      <w:r/>
      <w:bookmarkStart w:id="144" w:name="_Toc513029234"/>
      <w:r/>
      <w:bookmarkStart w:id="145" w:name="_Toc16938550"/>
      <w:r/>
      <w:bookmarkStart w:id="146" w:name="_Toc20823306"/>
      <w:r>
        <w:rPr>
          <w:rFonts w:hint="eastAsia" w:ascii="宋体" w:hAnsi="宋体" w:cs="方正仿宋_GBK"/>
          <w:sz w:val="24"/>
          <w:szCs w:val="24"/>
        </w:rPr>
        <w:t xml:space="preserve">25.6供应商在项目评审全过程中应保持通讯畅通，并安排专人与采购中心及磋商小组联系。</w:t>
      </w:r>
      <w:r/>
    </w:p>
    <w:p>
      <w:pPr>
        <w:pStyle w:val="884"/>
        <w:ind w:firstLine="480"/>
        <w:keepLines/>
        <w:keepNext/>
        <w:spacing w:line="440" w:lineRule="exact"/>
        <w:rPr>
          <w:rFonts w:hint="eastAsia" w:ascii="宋体" w:hAnsi="宋体" w:cs="方正仿宋_GBK"/>
          <w:sz w:val="24"/>
          <w:szCs w:val="24"/>
        </w:rPr>
        <w:outlineLvl w:val="3"/>
      </w:pPr>
      <w:r>
        <w:rPr>
          <w:rFonts w:hint="eastAsia" w:ascii="宋体" w:hAnsi="宋体" w:cs="方正仿宋_GBK"/>
          <w:sz w:val="24"/>
          <w:szCs w:val="24"/>
        </w:rPr>
        <w:t xml:space="preserve">26</w:t>
      </w:r>
      <w:bookmarkEnd w:id="144"/>
      <w:r/>
      <w:bookmarkEnd w:id="145"/>
      <w:r/>
      <w:bookmarkEnd w:id="146"/>
      <w:r>
        <w:rPr>
          <w:rFonts w:hint="eastAsia" w:ascii="宋体" w:hAnsi="宋体" w:cs="方正仿宋_GBK"/>
          <w:sz w:val="24"/>
          <w:szCs w:val="24"/>
        </w:rPr>
        <w:t xml:space="preserve">.磋商程序及评审方法与评审标准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26.1磋商程序</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26.1.4 异常低价响应审查</w:t>
      </w:r>
      <w:r/>
    </w:p>
    <w:p>
      <w:pPr>
        <w:pStyle w:val="884"/>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26.1.4.1 评审过程中出现下列情形之一的，磋商小组应当启动异常低价响应审查程序：</w:t>
      </w:r>
      <w:r>
        <w:rPr>
          <w:color w:val="ff0000"/>
        </w:rPr>
      </w:r>
      <w:r/>
    </w:p>
    <w:p>
      <w:pPr>
        <w:pStyle w:val="884"/>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（1）响应报价低于全部通过符合性审查供应商响应报价平均值50%的，即响应报价&lt;全部通过符合性审查供应商响应报价平均值×50%；</w:t>
      </w:r>
      <w:r>
        <w:rPr>
          <w:color w:val="ff0000"/>
        </w:rPr>
      </w:r>
      <w:r/>
    </w:p>
    <w:p>
      <w:pPr>
        <w:pStyle w:val="884"/>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（2）响应报价低于通过符合性审查的次低报价供应商响应报价50%的，即响应报价&lt;通过符合性审查的次低报价供应商响应报价×50%；</w:t>
      </w:r>
      <w:r>
        <w:rPr>
          <w:color w:val="ff0000"/>
        </w:rPr>
      </w:r>
      <w:r/>
    </w:p>
    <w:p>
      <w:pPr>
        <w:pStyle w:val="884"/>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（3）响应报价低于采购项目最高限价45%的，即响应报价&lt;采购项目最高限价×45%；</w:t>
      </w:r>
      <w:r>
        <w:rPr>
          <w:color w:val="ff0000"/>
        </w:rPr>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color w:val="ff0000"/>
          <w:sz w:val="24"/>
          <w:szCs w:val="24"/>
        </w:rPr>
        <w:t xml:space="preserve">（4）磋商小组基于专业判断，认为供应商报价过低，有可能影响产品质量或者不能诚信履约的其他情形。</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 评审方法与评审标准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26.2.2评审标准</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见本磋商文件第五章规定。</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26.3采购活动终止的情况</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出现下列情形之一的，本次竞争性磋商采购活动将被终止：</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26.3.1因情况变化，不再符合规定的竞争性磋商采购方式适用情形的。</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26.3.2出现影响采购公正的违法、违规行为的。</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26.3.3除本磋商文件第二章第26.1.2条第三款规定的情形外，在采购过程中符合要求的供应商或者最后报价未超过采购预算的供应商不足3家的。</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26.3.4在苏采云系统规定时间内成功解密电子响应文件的供应商不足3家的。</w:t>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Start w:id="147" w:name="_Toc20823307"/>
      <w:r/>
      <w:bookmarkStart w:id="148" w:name="_Toc16938551"/>
      <w:r/>
      <w:bookmarkStart w:id="149" w:name="_Toc513029235"/>
      <w:r/>
      <w:bookmarkStart w:id="150" w:name="_Toc120614219"/>
      <w:r>
        <w:rPr>
          <w:rFonts w:hint="eastAsia" w:ascii="方正黑体_GBK" w:hAnsi="方正黑体_GBK" w:eastAsia="方正黑体_GBK" w:cs="方正黑体_GBK"/>
          <w:sz w:val="32"/>
          <w:szCs w:val="32"/>
        </w:rPr>
        <w:t xml:space="preserve">六、</w:t>
      </w:r>
      <w:bookmarkEnd w:id="147"/>
      <w:r/>
      <w:bookmarkEnd w:id="148"/>
      <w:r/>
      <w:bookmarkEnd w:id="149"/>
      <w:r/>
      <w:bookmarkEnd w:id="150"/>
      <w:r>
        <w:rPr>
          <w:rFonts w:hint="eastAsia" w:ascii="方正黑体_GBK" w:hAnsi="方正黑体_GBK" w:eastAsia="方正黑体_GBK" w:cs="方正黑体_GBK"/>
          <w:sz w:val="32"/>
          <w:szCs w:val="32"/>
        </w:rPr>
        <w:t xml:space="preserve">成交</w:t>
      </w:r>
      <w:r/>
    </w:p>
    <w:p>
      <w:pPr>
        <w:pStyle w:val="884"/>
        <w:ind w:firstLine="480"/>
        <w:spacing w:after="156" w:line="440" w:lineRule="exact"/>
        <w:tabs>
          <w:tab w:val="left" w:pos="900" w:leader="none"/>
        </w:tabs>
        <w:rPr>
          <w:rFonts w:hint="eastAsia" w:ascii="宋体" w:hAnsi="宋体" w:cs="方正仿宋_GBK"/>
          <w:sz w:val="24"/>
          <w:szCs w:val="24"/>
        </w:rPr>
      </w:pPr>
      <w:r/>
      <w:bookmarkStart w:id="151" w:name="_Toc513029238"/>
      <w:r/>
      <w:bookmarkStart w:id="152" w:name="_Toc20823310"/>
      <w:r/>
      <w:bookmarkStart w:id="153" w:name="_Toc16938554"/>
      <w:r>
        <w:rPr>
          <w:rFonts w:hint="eastAsia" w:ascii="宋体" w:hAnsi="宋体" w:cs="方正仿宋_GBK"/>
          <w:sz w:val="24"/>
          <w:szCs w:val="24"/>
        </w:rPr>
        <w:t xml:space="preserve">27</w:t>
      </w:r>
      <w:bookmarkEnd w:id="151"/>
      <w:r>
        <w:rPr>
          <w:rFonts w:hint="eastAsia" w:ascii="宋体" w:hAnsi="宋体" w:cs="方正仿宋_GBK"/>
          <w:sz w:val="24"/>
          <w:szCs w:val="24"/>
        </w:rPr>
        <w:t xml:space="preserve">.确定</w:t>
      </w:r>
      <w:bookmarkEnd w:id="152"/>
      <w:r/>
      <w:bookmarkEnd w:id="153"/>
      <w:r>
        <w:rPr>
          <w:rFonts w:hint="eastAsia" w:ascii="宋体" w:hAnsi="宋体" w:cs="方正仿宋_GBK"/>
          <w:sz w:val="24"/>
          <w:szCs w:val="24"/>
        </w:rPr>
        <w:t xml:space="preserve">成交单位</w:t>
      </w:r>
      <w:r/>
    </w:p>
    <w:p>
      <w:pPr>
        <w:pStyle w:val="884"/>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bCs/>
          <w:sz w:val="24"/>
          <w:szCs w:val="24"/>
        </w:rPr>
        <w:t xml:space="preserve">27.1</w:t>
      </w:r>
      <w:r>
        <w:rPr>
          <w:rFonts w:hint="eastAsia" w:ascii="宋体" w:hAnsi="宋体"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27.3若有充分证据证明，成交供应商出现下列情况之一的，一经查实，将被取消成交资格：</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27.3.1提供虚假材料谋取成交的。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27.3.2与评审专家、采购人、其他供应商或者采购中心工作人员恶意串通的。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27.3.3向评审专家、采购人或采购中心工作人员行贿或者提供其他不正当利益的。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27.3.4恶意竞争，最后报价明显低于其自身合理成本且又无法提供证明的。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27.3.5不满足本磋商文件规定的实质性要求，但在评审过程中又未被磋商小组发现的。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27.3.6成交后无正当理由拒不与采购人签订政府采购合同或者未按照磋商文件确定的事项签订政府采购合同的。</w:t>
      </w:r>
      <w:r/>
    </w:p>
    <w:p>
      <w:pPr>
        <w:pStyle w:val="884"/>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27.3.7将政府采购合同转包的。</w:t>
      </w:r>
      <w:r/>
    </w:p>
    <w:p>
      <w:pPr>
        <w:pStyle w:val="884"/>
        <w:ind w:firstLine="480"/>
        <w:spacing w:after="156" w:line="440" w:lineRule="exact"/>
        <w:tabs>
          <w:tab w:val="left" w:pos="900" w:leader="none"/>
        </w:tabs>
        <w:rPr>
          <w:rFonts w:hint="eastAsia" w:ascii="宋体" w:hAnsi="宋体" w:cs="方正仿宋_GBK"/>
          <w:sz w:val="24"/>
          <w:szCs w:val="24"/>
        </w:rPr>
      </w:pPr>
      <w:r/>
      <w:bookmarkStart w:id="154" w:name="_Toc200451960"/>
      <w:r>
        <w:rPr>
          <w:rFonts w:hint="eastAsia" w:ascii="宋体" w:hAnsi="宋体" w:cs="方正仿宋_GBK"/>
          <w:sz w:val="24"/>
          <w:szCs w:val="24"/>
        </w:rPr>
        <w:t xml:space="preserve">28.质疑处理</w:t>
      </w:r>
      <w:bookmarkEnd w:id="154"/>
      <w:r>
        <w:rPr>
          <w:rFonts w:hint="eastAsia" w:ascii="宋体" w:hAnsi="宋体" w:cs="方正仿宋_GBK"/>
          <w:sz w:val="24"/>
          <w:szCs w:val="24"/>
        </w:rPr>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28.1 提出质疑的供应商应当是参与所质疑项目采购活动的供应商。潜在供应商依法获取其可质疑的采购文件的，可以对采购文件提出质疑。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28.2.1</w:t>
      </w:r>
      <w:r>
        <w:rPr>
          <w:rFonts w:hint="eastAsia" w:ascii="宋体" w:hAnsi="宋体" w:cs="方正仿宋_GBK"/>
          <w:sz w:val="24"/>
          <w:szCs w:val="24"/>
        </w:rPr>
        <w:t xml:space="preserve">对可以质疑的采购文件提出质疑的，为收到采购文件之日或者采购文件公告期限届满之日。</w:t>
        <w:br w:type="textWrapping" w:clear="all"/>
        <w:t xml:space="preserve">　　</w:t>
      </w:r>
      <w:r>
        <w:rPr>
          <w:rFonts w:hint="eastAsia" w:ascii="宋体" w:hAnsi="宋体" w:cs="方正仿宋_GBK"/>
          <w:sz w:val="24"/>
          <w:szCs w:val="24"/>
        </w:rPr>
        <w:t xml:space="preserve">28.2.2</w:t>
      </w:r>
      <w:r>
        <w:rPr>
          <w:rFonts w:hint="eastAsia" w:ascii="宋体" w:hAnsi="宋体" w:cs="方正仿宋_GBK"/>
          <w:sz w:val="24"/>
          <w:szCs w:val="24"/>
        </w:rPr>
        <w:t xml:space="preserve">对采购过程提出质疑的，为各采购程序环节结束之日。</w:t>
        <w:br w:type="textWrapping" w:clear="all"/>
        <w:t xml:space="preserve">　　</w:t>
      </w:r>
      <w:r>
        <w:rPr>
          <w:rFonts w:hint="eastAsia" w:ascii="宋体" w:hAnsi="宋体" w:cs="方正仿宋_GBK"/>
          <w:sz w:val="24"/>
          <w:szCs w:val="24"/>
        </w:rPr>
        <w:t xml:space="preserve">28.2.3</w:t>
      </w:r>
      <w:r>
        <w:rPr>
          <w:rFonts w:hint="eastAsia" w:ascii="宋体" w:hAnsi="宋体" w:cs="方正仿宋_GBK"/>
          <w:sz w:val="24"/>
          <w:szCs w:val="24"/>
        </w:rPr>
        <w:t xml:space="preserve">对成交结果提出质疑的，为成交结果公告期限届满之日。</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884"/>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884"/>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采购人及采购中心只接收以纸质原件形式送达的质疑,建议供应商尽量通过邮寄方式提交质疑（采购人和采购中心不接受无快递运单号的快递）。</w:t>
      </w:r>
      <w:r/>
    </w:p>
    <w:p>
      <w:pPr>
        <w:pStyle w:val="884"/>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84"/>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采购人质疑接收人及联系方式见磋商文件第一章。</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28.5以下情形的质疑不予受理</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28.5.1内容不符合《政府采购质疑和投诉办法》第十二条规定的质疑。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28.5.2超出政府采购法定期限的质疑。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28.5.3以传真、电子邮件等方式递交的非原件形式的质疑。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28.5.4未参加磋商活动的供应商或在磋商活动中自身权益未受到损害的供应商所提出的质疑。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28.5.5供应商组成联合体参加磋商，联合体中任何一方或多方未按要求签字、盖章、加盖公章的质疑。</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4"/>
        <w:ind w:firstLine="480"/>
        <w:spacing w:line="440" w:lineRule="exact"/>
        <w:tabs>
          <w:tab w:val="left" w:pos="900" w:leader="none"/>
        </w:tabs>
        <w:rPr>
          <w:rFonts w:hint="eastAsia" w:ascii="宋体" w:hAnsi="宋体" w:cs="方正仿宋_GBK"/>
          <w:bCs/>
          <w:sz w:val="24"/>
          <w:szCs w:val="24"/>
        </w:rPr>
      </w:pPr>
      <w:r/>
      <w:bookmarkStart w:id="155" w:name="_Toc120614220"/>
      <w:r/>
      <w:bookmarkStart w:id="156" w:name="_Toc16938552"/>
      <w:r/>
      <w:bookmarkStart w:id="157" w:name="_Toc513029236"/>
      <w:r/>
      <w:bookmarkStart w:id="158" w:name="_Toc20823308"/>
      <w:r>
        <w:rPr>
          <w:rFonts w:hint="eastAsia" w:ascii="宋体" w:hAnsi="宋体" w:cs="方正仿宋_GBK"/>
          <w:bCs/>
          <w:sz w:val="24"/>
          <w:szCs w:val="24"/>
        </w:rPr>
        <w:t xml:space="preserve">29.成交通知书</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84"/>
        <w:ind w:firstLine="480"/>
        <w:spacing w:line="440" w:lineRule="exact"/>
        <w:tabs>
          <w:tab w:val="left" w:pos="900" w:leader="none"/>
        </w:tabs>
        <w:rPr>
          <w:rFonts w:hint="eastAsia" w:ascii="方正仿宋_GBK" w:hAnsi="方正仿宋_GBK" w:eastAsia="方正仿宋_GBK" w:cs="方正仿宋_GBK"/>
          <w:bCs/>
          <w:sz w:val="32"/>
          <w:szCs w:val="32"/>
        </w:rPr>
      </w:pPr>
      <w:r>
        <w:rPr>
          <w:rFonts w:hint="eastAsia" w:ascii="宋体" w:hAnsi="宋体"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32"/>
          <w:szCs w:val="32"/>
        </w:rPr>
      </w:r>
      <w:r/>
    </w:p>
    <w:p>
      <w:pPr>
        <w:pStyle w:val="884"/>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155"/>
      <w:r/>
      <w:bookmarkEnd w:id="156"/>
      <w:r/>
      <w:bookmarkEnd w:id="157"/>
      <w:r/>
      <w:bookmarkEnd w:id="158"/>
      <w:r/>
      <w:bookmarkStart w:id="159" w:name="_Toc20823314"/>
      <w:r/>
      <w:bookmarkStart w:id="160" w:name="_Toc16938558"/>
      <w:r/>
      <w:bookmarkStart w:id="161" w:name="_Toc513029242"/>
      <w:r/>
      <w:bookmarkStart w:id="162" w:name="_Toc479757207"/>
      <w:r/>
      <w:bookmarkStart w:id="163" w:name="_Toc120614221"/>
      <w:r>
        <w:rPr>
          <w:rFonts w:hint="eastAsia" w:ascii="方正黑体_GBK" w:hAnsi="方正黑体_GBK" w:eastAsia="方正黑体_GBK" w:cs="方正黑体_GBK"/>
          <w:sz w:val="32"/>
          <w:szCs w:val="32"/>
        </w:rPr>
        <w:t xml:space="preserve">七、授予合同</w:t>
      </w:r>
      <w:r/>
    </w:p>
    <w:p>
      <w:pPr>
        <w:pStyle w:val="884"/>
        <w:ind w:firstLine="480"/>
        <w:spacing w:line="440" w:lineRule="exact"/>
        <w:tabs>
          <w:tab w:val="left" w:pos="900" w:leader="none"/>
        </w:tabs>
        <w:rPr>
          <w:rFonts w:hint="eastAsia" w:ascii="宋体" w:hAnsi="宋体" w:cs="方正仿宋_GBK"/>
          <w:bCs/>
          <w:sz w:val="24"/>
          <w:szCs w:val="24"/>
        </w:rPr>
      </w:pPr>
      <w:r/>
      <w:bookmarkStart w:id="164" w:name="_Toc20823309"/>
      <w:r/>
      <w:bookmarkStart w:id="165" w:name="_Toc513029237"/>
      <w:r/>
      <w:bookmarkStart w:id="166" w:name="_Toc16938553"/>
      <w:r>
        <w:rPr>
          <w:rFonts w:hint="eastAsia" w:ascii="宋体" w:hAnsi="宋体" w:cs="方正仿宋_GBK"/>
          <w:bCs/>
          <w:sz w:val="24"/>
          <w:szCs w:val="24"/>
        </w:rPr>
        <w:t xml:space="preserve">30.签订合同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30.l成交供应商应当在成交通知书发出之日起三十日内，按照磋商文件确定的事项与采购人签订政府采购合同。</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30.2磋商文件、成交供应商的响应文件及磋商过程中有关澄清、承诺文件均应作为合同附件。</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31.标的物的追加</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884"/>
        <w:ind w:firstLine="480"/>
        <w:spacing w:line="440" w:lineRule="exact"/>
        <w:tabs>
          <w:tab w:val="left" w:pos="900" w:leader="none"/>
        </w:tabs>
        <w:rPr>
          <w:rFonts w:hint="eastAsia" w:ascii="宋体" w:hAnsi="宋体" w:cs="方正仿宋_GBK"/>
          <w:bCs/>
          <w:sz w:val="24"/>
          <w:szCs w:val="24"/>
        </w:rPr>
      </w:pPr>
      <w:r/>
      <w:bookmarkEnd w:id="164"/>
      <w:r/>
      <w:bookmarkEnd w:id="165"/>
      <w:r/>
      <w:bookmarkEnd w:id="166"/>
      <w:r>
        <w:rPr>
          <w:rFonts w:hint="eastAsia" w:ascii="宋体" w:hAnsi="宋体" w:cs="方正仿宋_GBK"/>
          <w:bCs/>
          <w:sz w:val="24"/>
          <w:szCs w:val="24"/>
        </w:rPr>
        <w:t xml:space="preserve">32.政府采购履约资金扶持政策</w:t>
      </w:r>
      <w:r/>
    </w:p>
    <w:p>
      <w:pPr>
        <w:pStyle w:val="884"/>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成交供应商可凭政府采购合同办理融资贷款，详情请见江苏政府采购网“政采贷”专栏。</w:t>
      </w:r>
      <w:r/>
    </w:p>
    <w:p>
      <w:pPr>
        <w:pStyle w:val="884"/>
        <w:rPr>
          <w:rFonts w:hint="eastAsia" w:ascii="宋体" w:hAnsi="宋体"/>
          <w:sz w:val="24"/>
          <w:szCs w:val="24"/>
        </w:rPr>
      </w:pPr>
      <w:r>
        <w:rPr>
          <w:rFonts w:hint="eastAsia" w:ascii="宋体" w:hAnsi="宋体"/>
          <w:sz w:val="24"/>
          <w:szCs w:val="24"/>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br w:type="page" w:clear="all"/>
      </w:r>
      <w:r>
        <w:rPr>
          <w:rFonts w:hint="eastAsia"/>
        </w:rPr>
      </w:r>
      <w:r/>
    </w:p>
    <w:p>
      <w:pPr>
        <w:pStyle w:val="884"/>
        <w:ind w:firstLine="2560"/>
        <w:keepNext/>
        <w:spacing w:line="66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32"/>
          <w:szCs w:val="32"/>
        </w:rPr>
        <w:t xml:space="preserve">文本</w:t>
      </w:r>
      <w:r/>
    </w:p>
    <w:p>
      <w:pPr>
        <w:pStyle w:val="884"/>
        <w:spacing w:line="400" w:lineRule="exact"/>
        <w:rPr>
          <w:rFonts w:ascii="宋体" w:hAnsi="宋体"/>
          <w:bCs/>
          <w:color w:val="000000"/>
          <w:sz w:val="24"/>
          <w:szCs w:val="24"/>
          <w:highlight w:val="yellow"/>
        </w:rPr>
      </w:pPr>
      <w:r/>
      <w:bookmarkStart w:id="167" w:name="_Toc513029243"/>
      <w:r/>
      <w:bookmarkStart w:id="168" w:name="_Toc16938559"/>
      <w:r/>
      <w:bookmarkStart w:id="169" w:name="_Toc20823315"/>
      <w:r>
        <w:rPr>
          <w:rFonts w:ascii="宋体" w:hAnsi="宋体"/>
          <w:bCs/>
          <w:color w:val="000000"/>
          <w:sz w:val="24"/>
          <w:szCs w:val="24"/>
          <w:highlight w:val="yellow"/>
        </w:rPr>
      </w:r>
      <w:r/>
    </w:p>
    <w:p>
      <w:pPr>
        <w:pStyle w:val="916"/>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项目名称：</w:t>
      </w:r>
      <w:r>
        <w:rPr>
          <w:rFonts w:ascii="宋体" w:hAnsi="宋体"/>
          <w:sz w:val="24"/>
          <w:szCs w:val="24"/>
        </w:rPr>
        <w:t xml:space="preserve">XXXX  </w:t>
      </w:r>
      <w:r>
        <w:rPr>
          <w:rFonts w:hint="eastAsia" w:ascii="宋体" w:hAnsi="宋体" w:cs="方正仿宋_GBK"/>
          <w:sz w:val="24"/>
          <w:szCs w:val="24"/>
        </w:rPr>
        <w:t xml:space="preserve">                                  </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采购编号：</w:t>
      </w:r>
      <w:r>
        <w:rPr>
          <w:rFonts w:hint="eastAsia" w:ascii="宋体" w:hAnsi="宋体"/>
          <w:sz w:val="24"/>
          <w:szCs w:val="24"/>
        </w:rPr>
        <w:t xml:space="preserve">JSZC-320000-SCZX-C20XX-XXXX  </w:t>
      </w:r>
      <w:r>
        <w:rPr>
          <w:rFonts w:hint="eastAsia" w:ascii="宋体" w:hAnsi="宋体" w:cs="方正仿宋_GBK"/>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采购包号：</w:t>
      </w:r>
      <w:r>
        <w:rPr>
          <w:rFonts w:hint="eastAsia" w:ascii="宋体" w:hAnsi="宋体"/>
          <w:sz w:val="24"/>
          <w:szCs w:val="24"/>
        </w:rPr>
        <w:t xml:space="preserve">XX</w:t>
      </w:r>
      <w:r>
        <w:rPr>
          <w:rFonts w:hint="eastAsia" w:ascii="宋体" w:hAnsi="宋体" w:cs="方正仿宋_GBK"/>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甲方：（买方/采购人）_________</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乙方：（卖方/成交供应商）_________</w:t>
      </w:r>
      <w:r/>
    </w:p>
    <w:p>
      <w:pPr>
        <w:pStyle w:val="884"/>
        <w:ind w:firstLine="480"/>
        <w:spacing w:before="120" w:after="120" w:line="400" w:lineRule="exact"/>
        <w:rPr>
          <w:rFonts w:hint="eastAsia" w:ascii="宋体" w:hAnsi="宋体" w:cs="方正仿宋_GBK"/>
          <w:b/>
          <w:sz w:val="24"/>
          <w:szCs w:val="24"/>
        </w:rPr>
      </w:pPr>
      <w:r>
        <w:rPr>
          <w:rFonts w:hint="eastAsia" w:ascii="宋体" w:hAnsi="宋体" w:cs="方正仿宋_GBK"/>
          <w:sz w:val="24"/>
          <w:szCs w:val="24"/>
        </w:rPr>
        <w:t xml:space="preserve">甲、乙双方根据江苏省政府采购中心</w:t>
      </w:r>
      <w:r>
        <w:rPr>
          <w:rFonts w:hint="eastAsia" w:ascii="宋体" w:hAnsi="宋体" w:cs="方正仿宋_GBK"/>
          <w:sz w:val="24"/>
          <w:szCs w:val="24"/>
          <w:u w:val="single"/>
        </w:rPr>
        <w:t xml:space="preserve">         </w:t>
      </w:r>
      <w:r>
        <w:rPr>
          <w:rFonts w:hint="eastAsia" w:ascii="宋体" w:hAnsi="宋体" w:cs="方正仿宋_GBK"/>
          <w:sz w:val="24"/>
          <w:szCs w:val="24"/>
        </w:rPr>
        <w:t xml:space="preserve">项目竞争性磋商的结果，签署本合同。</w:t>
      </w:r>
      <w:r>
        <w:rPr>
          <w:rFonts w:hint="eastAsia" w:ascii="宋体" w:hAnsi="宋体" w:cs="方正仿宋_GBK"/>
          <w:b/>
          <w:sz w:val="24"/>
          <w:szCs w:val="24"/>
        </w:rPr>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一、合同内容</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1.1 标的名称：</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1.2 标的质量：</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1.3 标的数量（规模）：</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1.4 履行时间（期限）：</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1.5 履行地点：</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1.6 履行方式：</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二、合同金额</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2.1 本合同金额为（大写）：______圆（_____元）人民币或其他币种。</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三、技术资料</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3.1乙方应按磋商文件规定的时间向甲方提供与合同标的有关的技术资料。</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四、知识产权</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bCs/>
          <w:iCs/>
          <w:color w:val="000000"/>
          <w:sz w:val="24"/>
          <w:szCs w:val="24"/>
        </w:rPr>
        <w:t xml:space="preserve">本项目产生的所有技术成果（含软件著作权、专利申请权）归双方共同持有</w:t>
      </w:r>
      <w:r>
        <w:rPr>
          <w:rFonts w:hint="eastAsia" w:ascii="宋体" w:hAnsi="宋体"/>
          <w:bCs/>
          <w:iCs/>
          <w:color w:val="000000"/>
          <w:sz w:val="28"/>
          <w:szCs w:val="28"/>
        </w:rPr>
        <w:t xml:space="preserve">。</w:t>
      </w:r>
      <w:r>
        <w:rPr>
          <w:rFonts w:hint="eastAsia" w:ascii="宋体" w:hAnsi="宋体" w:cs="方正仿宋_GBK"/>
          <w:sz w:val="24"/>
          <w:szCs w:val="24"/>
        </w:rPr>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五、产权担保</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5.1 乙方保证所交付的合同标的的所有权完全属于乙方且无任何抵押、查封等产权瑕疵。</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六、履约保证金</w:t>
      </w:r>
      <w:r/>
    </w:p>
    <w:p>
      <w:pPr>
        <w:pStyle w:val="884"/>
        <w:ind w:left="105" w:firstLine="480"/>
        <w:spacing w:before="120" w:after="120"/>
        <w:rPr>
          <w:rFonts w:ascii="宋体" w:hAnsi="宋体" w:cs="Courier New"/>
          <w:sz w:val="24"/>
          <w:szCs w:val="24"/>
        </w:rPr>
      </w:pPr>
      <w:r>
        <w:rPr>
          <w:rFonts w:hint="eastAsia" w:ascii="宋体" w:hAnsi="宋体" w:cs="方正仿宋_GBK"/>
          <w:sz w:val="24"/>
          <w:szCs w:val="24"/>
        </w:rPr>
        <w:t xml:space="preserve">6.1 </w:t>
      </w:r>
      <w:r>
        <w:rPr>
          <w:rFonts w:ascii="宋体" w:hAnsi="宋体" w:cs="Courier New"/>
          <w:sz w:val="24"/>
          <w:szCs w:val="24"/>
        </w:rPr>
        <w:t xml:space="preserve">乙方</w:t>
      </w:r>
      <w:r>
        <w:rPr>
          <w:rFonts w:hint="eastAsia" w:ascii="宋体" w:hAnsi="宋体" w:cs="Courier New"/>
          <w:bCs/>
          <w:sz w:val="24"/>
          <w:szCs w:val="24"/>
        </w:rPr>
        <w:t xml:space="preserve">向甲方开具合同总价</w:t>
      </w:r>
      <w:r>
        <w:rPr>
          <w:rFonts w:ascii="宋体" w:hAnsi="宋体" w:cs="Courier New"/>
          <w:bCs/>
          <w:sz w:val="24"/>
          <w:szCs w:val="24"/>
        </w:rPr>
        <w:t xml:space="preserve">5</w:t>
      </w:r>
      <w:r>
        <w:rPr>
          <w:rFonts w:hint="eastAsia" w:ascii="宋体" w:hAnsi="宋体" w:cs="Courier New"/>
          <w:bCs/>
          <w:sz w:val="24"/>
          <w:szCs w:val="24"/>
        </w:rPr>
        <w:t xml:space="preserve">%的银行保函。</w:t>
      </w:r>
      <w:r>
        <w:rPr>
          <w:rFonts w:hint="eastAsia" w:ascii="宋体" w:hAnsi="宋体"/>
          <w:bCs/>
          <w:color w:val="000000"/>
          <w:sz w:val="24"/>
        </w:rPr>
        <w:t xml:space="preserve">1年质保期满后</w:t>
      </w:r>
      <w:r>
        <w:rPr>
          <w:rFonts w:hint="eastAsia" w:ascii="宋体" w:hAnsi="宋体" w:cs="Courier New"/>
          <w:bCs/>
          <w:sz w:val="24"/>
          <w:szCs w:val="24"/>
        </w:rPr>
        <w:t xml:space="preserve">无息退回。如乙方未能履行合同规定的义务，甲方有权从履约保证金中取得补偿。</w:t>
      </w:r>
      <w:r>
        <w:rPr>
          <w:rFonts w:hint="eastAsia" w:ascii="宋体" w:hAnsi="宋体" w:cs="Courier New"/>
          <w:sz w:val="24"/>
          <w:szCs w:val="24"/>
        </w:rPr>
        <w:t xml:space="preserve">（不得超过合同金额的10%）</w:t>
      </w:r>
      <w:r>
        <w:rPr>
          <w:rFonts w:ascii="宋体" w:hAnsi="宋体" w:cs="Courier New"/>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6.2合同履行结束后，甲方应及时退还交纳的履约保证金。</w:t>
      </w:r>
      <w:r/>
    </w:p>
    <w:p>
      <w:pPr>
        <w:pStyle w:val="884"/>
        <w:ind w:firstLine="480"/>
        <w:spacing w:before="120" w:after="120" w:line="400" w:lineRule="exact"/>
        <w:rPr>
          <w:rFonts w:ascii="宋体" w:hAnsi="宋体" w:cs="方正仿宋_GBK"/>
          <w:sz w:val="24"/>
          <w:szCs w:val="24"/>
        </w:rPr>
      </w:pPr>
      <w:r>
        <w:rPr>
          <w:rFonts w:hint="eastAsia" w:ascii="宋体" w:hAnsi="宋体" w:cs="方正仿宋_GBK"/>
          <w:sz w:val="24"/>
          <w:szCs w:val="24"/>
        </w:rPr>
        <w:t xml:space="preserve">6.2.1履约保证金退还方式：</w:t>
      </w:r>
      <w:r>
        <w:rPr>
          <w:rFonts w:hint="eastAsia" w:ascii="宋体" w:hAnsi="宋体"/>
          <w:sz w:val="24"/>
          <w:szCs w:val="24"/>
        </w:rPr>
        <w:t xml:space="preserve">XXXX</w:t>
      </w:r>
      <w:r>
        <w:rPr>
          <w:rFonts w:ascii="宋体" w:hAnsi="宋体" w:cs="方正仿宋_GBK"/>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6.2.2履约保证金退还时间：</w:t>
      </w:r>
      <w:r>
        <w:rPr>
          <w:rFonts w:hint="eastAsia" w:ascii="宋体" w:hAnsi="宋体"/>
          <w:sz w:val="24"/>
          <w:szCs w:val="24"/>
        </w:rPr>
        <w:t xml:space="preserve">XXXX</w:t>
      </w:r>
      <w:r>
        <w:rPr>
          <w:rFonts w:hint="eastAsia" w:ascii="宋体" w:hAnsi="宋体" w:cs="方正仿宋_GBK"/>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6.2.3履约保证金退还条件：</w:t>
      </w:r>
      <w:r>
        <w:rPr>
          <w:rFonts w:hint="eastAsia" w:ascii="宋体" w:hAnsi="宋体"/>
          <w:sz w:val="24"/>
          <w:szCs w:val="24"/>
        </w:rPr>
        <w:t xml:space="preserve">XXXX</w:t>
      </w:r>
      <w:r>
        <w:rPr>
          <w:rFonts w:hint="eastAsia" w:ascii="宋体" w:hAnsi="宋体" w:cs="方正仿宋_GBK"/>
          <w:sz w:val="24"/>
          <w:szCs w:val="24"/>
        </w:rPr>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6.2.4履约保证金不予退还的情形：</w:t>
      </w:r>
      <w:r>
        <w:rPr>
          <w:rFonts w:hint="eastAsia" w:ascii="宋体" w:hAnsi="宋体"/>
          <w:sz w:val="24"/>
          <w:szCs w:val="24"/>
        </w:rPr>
        <w:t xml:space="preserve">XXXX</w:t>
      </w:r>
      <w:r>
        <w:rPr>
          <w:rFonts w:hint="eastAsia" w:ascii="宋体" w:hAnsi="宋体" w:cs="方正仿宋_GBK"/>
          <w:sz w:val="24"/>
          <w:szCs w:val="24"/>
        </w:rPr>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七、合同转包或分包</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7.1乙方不得将合同标的转包给他人履行。</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7.2乙方不得将合同标的分包给他人履行。</w:t>
      </w:r>
      <w:r/>
    </w:p>
    <w:p>
      <w:pPr>
        <w:pStyle w:val="884"/>
        <w:ind w:firstLine="480"/>
        <w:spacing w:before="120" w:after="120" w:line="400" w:lineRule="exact"/>
        <w:rPr>
          <w:rFonts w:hint="eastAsia" w:ascii="宋体" w:hAnsi="宋体" w:cs="方正仿宋_GBK"/>
          <w:sz w:val="24"/>
          <w:szCs w:val="24"/>
        </w:rPr>
      </w:pPr>
      <w:r>
        <w:rPr>
          <w:rFonts w:hint="eastAsia" w:ascii="宋体" w:hAnsi="宋体" w:cs="方正仿宋_GBK"/>
          <w:sz w:val="24"/>
          <w:szCs w:val="24"/>
        </w:rPr>
        <w:t xml:space="preserve">7.3乙方如有转包或未经甲方同意的分包行为，甲方有权解除合同。</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八、合同款项支付</w:t>
      </w:r>
      <w:r/>
    </w:p>
    <w:p>
      <w:pPr>
        <w:pStyle w:val="884"/>
        <w:ind w:firstLine="480"/>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884"/>
        <w:ind w:firstLine="480"/>
        <w:spacing w:before="120" w:after="120"/>
        <w:rPr>
          <w:rFonts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w:t>
      </w:r>
      <w:r>
        <w:rPr>
          <w:rFonts w:hint="eastAsia" w:ascii="宋体" w:hAnsi="宋体" w:cs="Courier New"/>
          <w:bCs/>
          <w:sz w:val="24"/>
          <w:szCs w:val="24"/>
          <w:u w:val="single"/>
        </w:rPr>
        <w:t xml:space="preserve">且采购人收到发票</w:t>
      </w:r>
      <w:r>
        <w:rPr>
          <w:rFonts w:hint="eastAsia" w:ascii="宋体" w:hAnsi="宋体" w:cs="Courier New"/>
          <w:bCs/>
          <w:sz w:val="24"/>
          <w:szCs w:val="24"/>
          <w:u w:val="single"/>
        </w:rPr>
        <w:t xml:space="preserve">后30日内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合同金额的30</w:t>
      </w:r>
      <w:r>
        <w:rPr>
          <w:rFonts w:ascii="宋体" w:hAnsi="宋体" w:cs="Courier New"/>
          <w:sz w:val="24"/>
          <w:szCs w:val="24"/>
          <w:u w:val="single"/>
        </w:rPr>
        <w:t xml:space="preserve">%</w:t>
      </w:r>
      <w:r>
        <w:rPr>
          <w:rFonts w:hint="eastAsia" w:ascii="宋体" w:hAnsi="宋体" w:cs="Courier New"/>
          <w:bCs/>
          <w:sz w:val="24"/>
          <w:szCs w:val="24"/>
        </w:rPr>
        <w:t xml:space="preserve">。</w:t>
      </w:r>
      <w:r>
        <w:rPr>
          <w:rFonts w:ascii="宋体" w:hAnsi="宋体" w:cs="Courier New"/>
          <w:bCs/>
          <w:sz w:val="24"/>
          <w:szCs w:val="24"/>
        </w:rPr>
      </w:r>
      <w:r/>
    </w:p>
    <w:p>
      <w:pPr>
        <w:pStyle w:val="884"/>
        <w:ind w:firstLine="480"/>
        <w:spacing w:before="120" w:after="120" w:line="400" w:lineRule="exact"/>
        <w:rPr>
          <w:rFonts w:hint="eastAsia" w:ascii="宋体" w:hAnsi="宋体" w:cs="方正仿宋_GBK"/>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项目完成验收且采购</w:t>
      </w:r>
      <w:r>
        <w:rPr>
          <w:rFonts w:hint="eastAsia" w:ascii="宋体" w:hAnsi="宋体" w:cs="Courier New"/>
          <w:bCs/>
          <w:sz w:val="24"/>
          <w:szCs w:val="24"/>
          <w:u w:val="single"/>
        </w:rPr>
        <w:t xml:space="preserve">人收到发票后</w:t>
      </w:r>
      <w:r>
        <w:rPr>
          <w:rFonts w:ascii="宋体" w:hAnsi="宋体" w:cs="Courier New"/>
          <w:bCs/>
          <w:sz w:val="24"/>
          <w:szCs w:val="24"/>
          <w:u w:val="single"/>
        </w:rPr>
        <w:t xml:space="preserve">3</w:t>
      </w:r>
      <w:r>
        <w:rPr>
          <w:rFonts w:ascii="宋体" w:hAnsi="宋体" w:cs="Courier New"/>
          <w:bCs/>
          <w:sz w:val="24"/>
          <w:szCs w:val="24"/>
          <w:u w:val="single"/>
        </w:rPr>
        <w:t xml:space="preserve">0</w:t>
      </w:r>
      <w:r>
        <w:rPr>
          <w:rFonts w:hint="eastAsia" w:ascii="宋体" w:hAnsi="宋体" w:cs="Courier New"/>
          <w:bCs/>
          <w:sz w:val="24"/>
          <w:szCs w:val="24"/>
          <w:u w:val="single"/>
        </w:rPr>
        <w:t xml:space="preserve">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合同金额的70</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方正仿宋_GBK"/>
          <w:bCs/>
          <w:sz w:val="24"/>
          <w:szCs w:val="24"/>
        </w:rPr>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九、税费</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9.1本合同执行中相关的一切税费均由乙方负担。</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十、项目验收</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10.1 甲方依法组织履约验收工作。</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10.3 对于实际使用人和甲方分离的项目，甲方邀请实际使用人参与验收。</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10.4 如有必要，甲方邀请参加本项目的其他供应商或第三方专业机构及专家参与验收，相关意见将作为验收书的参考资料。</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十一、违约责任</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11.1 甲方无正当理由拒绝接受乙方提供的合同标的的，甲方向乙方偿付拒绝接受合同价款总值</w:t>
      </w:r>
      <w:r>
        <w:rPr>
          <w:rFonts w:hint="eastAsia" w:ascii="宋体" w:hAnsi="宋体"/>
          <w:sz w:val="24"/>
          <w:szCs w:val="24"/>
          <w:u w:val="single"/>
        </w:rPr>
        <w:t xml:space="preserve">XX</w:t>
      </w:r>
      <w:r>
        <w:rPr>
          <w:rFonts w:hint="eastAsia" w:ascii="宋体" w:hAnsi="宋体" w:cs="方正仿宋_GBK"/>
          <w:bCs/>
          <w:sz w:val="24"/>
          <w:szCs w:val="24"/>
          <w:u w:val="single"/>
        </w:rPr>
        <w:t xml:space="preserve">%</w:t>
      </w:r>
      <w:r>
        <w:rPr>
          <w:rFonts w:hint="eastAsia" w:ascii="宋体" w:hAnsi="宋体" w:cs="方正仿宋_GBK"/>
          <w:bCs/>
          <w:sz w:val="24"/>
          <w:szCs w:val="24"/>
        </w:rPr>
        <w:t xml:space="preserve">的违约金。</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11.2 甲方无故逾期验收和办理合同款项支付手续的,甲方应按逾期付款总额</w:t>
      </w:r>
      <w:r>
        <w:rPr>
          <w:rFonts w:hint="eastAsia" w:ascii="宋体" w:hAnsi="宋体"/>
          <w:sz w:val="24"/>
          <w:szCs w:val="24"/>
          <w:u w:val="single"/>
        </w:rPr>
        <w:t xml:space="preserve">XX</w:t>
      </w:r>
      <w:r>
        <w:rPr>
          <w:rFonts w:hint="eastAsia" w:ascii="宋体" w:hAnsi="宋体" w:cs="方正仿宋_GBK"/>
          <w:bCs/>
          <w:sz w:val="24"/>
          <w:szCs w:val="24"/>
          <w:u w:val="single"/>
        </w:rPr>
        <w:t xml:space="preserve">%</w:t>
      </w:r>
      <w:r>
        <w:rPr>
          <w:rFonts w:hint="eastAsia" w:ascii="宋体" w:hAnsi="宋体" w:cs="方正仿宋_GBK"/>
          <w:bCs/>
          <w:sz w:val="24"/>
          <w:szCs w:val="24"/>
        </w:rPr>
        <w:t xml:space="preserve">每日向乙方支付违约金。</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sz w:val="24"/>
          <w:szCs w:val="24"/>
          <w:u w:val="single"/>
        </w:rPr>
        <w:t xml:space="preserve">XX</w:t>
      </w:r>
      <w:r>
        <w:rPr>
          <w:rFonts w:hint="eastAsia" w:ascii="宋体" w:hAnsi="宋体" w:cs="方正仿宋_GBK"/>
          <w:bCs/>
          <w:sz w:val="24"/>
          <w:szCs w:val="24"/>
          <w:u w:val="single"/>
        </w:rPr>
        <w:t xml:space="preserve">%</w:t>
      </w:r>
      <w:r>
        <w:rPr>
          <w:rFonts w:hint="eastAsia" w:ascii="宋体" w:hAnsi="宋体" w:cs="方正仿宋_GBK"/>
          <w:bCs/>
          <w:sz w:val="24"/>
          <w:szCs w:val="24"/>
        </w:rPr>
        <w:t xml:space="preserve">的违约金，如造成甲方损失超过违约金的，超出部分由乙方继续承担赔偿责任。 </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11.4 乙方交付合同标的的标准不符合合同规定及磋商文件规定标准的，甲方有权拒绝接受合同标的，并可单方面解除合同。</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十二、不可抗力事件处理</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12.1 在合同有效期内，任何一方因不可抗力事件导致不能履行合同，则合同履行期可延长，其延长期与不可抗力影响 期相同。</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12.2 不可抗力事件发生后，应立即通知对方，并寄送有关权威机构出具的证明。</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12.3 不可抗力事件延续120天以上，双方应通过友好协商，确定是否继续履行合同。</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十三、解决争议的方法</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13.1双方在签订、履行合同中所发生的一切争议，应通过友好协商解决。如协商不成，由甲方住所地人民法院管辖。</w:t>
      </w:r>
      <w:r/>
    </w:p>
    <w:p>
      <w:pPr>
        <w:pStyle w:val="923"/>
        <w:ind w:firstLine="480"/>
        <w:spacing w:before="120" w:after="120" w:line="400" w:lineRule="exact"/>
        <w:rPr>
          <w:rFonts w:hint="eastAsia" w:hAnsi="宋体" w:cs="方正黑体_GBK"/>
          <w:bCs/>
          <w:sz w:val="24"/>
          <w:szCs w:val="24"/>
        </w:rPr>
      </w:pPr>
      <w:r>
        <w:rPr>
          <w:rFonts w:hint="eastAsia" w:hAnsi="宋体" w:cs="方正黑体_GBK"/>
          <w:bCs/>
          <w:sz w:val="24"/>
          <w:szCs w:val="24"/>
        </w:rPr>
        <w:t xml:space="preserve">十四、合同生效及其它</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14.1 合同经双方法定代表人或授权委托代表人签字并加盖单位公章后生效。</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14.2本合同未尽事宜，遵照中华人民共和国现行法律法规有关条文执行。</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14.3 本合同正本一式两份，具有同等法律效力，甲方、乙方各执一份。</w:t>
      </w:r>
      <w:r/>
    </w:p>
    <w:p>
      <w:pPr>
        <w:pStyle w:val="884"/>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甲方：                        乙方： </w:t>
      </w:r>
      <w:r/>
    </w:p>
    <w:p>
      <w:pPr>
        <w:pStyle w:val="884"/>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地址：                        地址： </w:t>
      </w:r>
      <w:r/>
    </w:p>
    <w:p>
      <w:pPr>
        <w:pStyle w:val="884"/>
        <w:spacing w:before="120" w:after="120" w:line="400" w:lineRule="exact"/>
        <w:rPr>
          <w:rFonts w:ascii="宋体" w:hAnsi="宋体" w:cs="方正仿宋_GBK"/>
          <w:bCs/>
          <w:sz w:val="24"/>
          <w:szCs w:val="24"/>
        </w:rPr>
      </w:pPr>
      <w:r>
        <w:rPr>
          <w:rFonts w:hint="eastAsia" w:ascii="宋体" w:hAnsi="宋体" w:cs="方正仿宋_GBK"/>
          <w:bCs/>
          <w:sz w:val="24"/>
          <w:szCs w:val="24"/>
        </w:rPr>
        <w:t xml:space="preserve">法定代表人或授权代表：        法定代表人或授权代表：</w:t>
      </w:r>
      <w:r>
        <w:rPr>
          <w:rFonts w:ascii="宋体" w:hAnsi="宋体" w:cs="方正仿宋_GBK"/>
          <w:bCs/>
          <w:sz w:val="24"/>
          <w:szCs w:val="24"/>
        </w:rPr>
      </w:r>
      <w:r/>
    </w:p>
    <w:p>
      <w:pPr>
        <w:pStyle w:val="884"/>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联系电话：                    联系电话：          </w:t>
      </w:r>
      <w:r/>
    </w:p>
    <w:p>
      <w:pPr>
        <w:pStyle w:val="884"/>
        <w:ind w:firstLine="480"/>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                                         </w:t>
      </w:r>
      <w:r/>
    </w:p>
    <w:p>
      <w:pPr>
        <w:pStyle w:val="884"/>
        <w:ind w:firstLine="480"/>
        <w:jc w:val="right"/>
        <w:spacing w:before="120" w:after="120" w:line="400" w:lineRule="exact"/>
        <w:rPr>
          <w:rFonts w:hint="eastAsia" w:ascii="宋体" w:hAnsi="宋体" w:cs="方正仿宋_GBK"/>
          <w:bCs/>
          <w:sz w:val="24"/>
          <w:szCs w:val="24"/>
        </w:rPr>
      </w:pPr>
      <w:r>
        <w:rPr>
          <w:rFonts w:hint="eastAsia" w:ascii="宋体" w:hAnsi="宋体" w:cs="方正仿宋_GBK"/>
          <w:bCs/>
          <w:sz w:val="24"/>
          <w:szCs w:val="24"/>
        </w:rPr>
        <w:t xml:space="preserve"> 签订日期：   年   月   日</w:t>
      </w:r>
      <w:r/>
    </w:p>
    <w:p>
      <w:pPr>
        <w:pStyle w:val="884"/>
        <w:ind w:firstLine="480"/>
        <w:jc w:val="right"/>
        <w:spacing w:line="500" w:lineRule="exact"/>
        <w:rPr>
          <w:rFonts w:ascii="Times New Roman" w:hAnsi="Times New Roman"/>
          <w:sz w:val="24"/>
          <w:szCs w:val="24"/>
        </w:rPr>
      </w:pPr>
      <w:r>
        <w:rPr>
          <w:rFonts w:ascii="Times New Roman" w:hAnsi="Times New Roman"/>
          <w:sz w:val="24"/>
          <w:szCs w:val="24"/>
        </w:rPr>
      </w:r>
      <w:r/>
    </w:p>
    <w:p>
      <w:pPr>
        <w:pStyle w:val="884"/>
        <w:ind w:firstLine="480"/>
        <w:jc w:val="right"/>
        <w:spacing w:line="500" w:lineRule="exact"/>
        <w:rPr>
          <w:rFonts w:ascii="Times New Roman" w:hAnsi="Times New Roman"/>
          <w:sz w:val="24"/>
          <w:szCs w:val="24"/>
        </w:rPr>
      </w:pPr>
      <w:r>
        <w:rPr>
          <w:rFonts w:hint="eastAsia" w:ascii="Times New Roman" w:hAnsi="Times New Roman"/>
          <w:sz w:val="24"/>
          <w:szCs w:val="24"/>
        </w:rPr>
        <w:t xml:space="preserve"> </w:t>
      </w:r>
      <w:r>
        <w:rPr>
          <w:rFonts w:ascii="Times New Roman" w:hAnsi="Times New Roman"/>
          <w:sz w:val="24"/>
          <w:szCs w:val="24"/>
        </w:rPr>
      </w:r>
      <w:r/>
    </w:p>
    <w:p>
      <w:pPr>
        <w:pStyle w:val="886"/>
        <w:spacing w:line="660" w:lineRule="exact"/>
        <w:rPr>
          <w:rFonts w:ascii="宋体" w:hAnsi="Courier New" w:cs="Courier New"/>
          <w:sz w:val="24"/>
          <w:szCs w:val="24"/>
        </w:rPr>
      </w:pPr>
      <w:r/>
      <w:bookmarkEnd w:id="167"/>
      <w:r/>
      <w:bookmarkEnd w:id="168"/>
      <w:r/>
      <w:bookmarkEnd w:id="169"/>
      <w:r/>
      <w:bookmarkStart w:id="170" w:name="_Hlt16619369"/>
      <w:r/>
      <w:bookmarkEnd w:id="170"/>
      <w:r/>
      <w:bookmarkStart w:id="171" w:name="_Toc20823346"/>
      <w:r/>
      <w:bookmarkStart w:id="172" w:name="_Toc16938590"/>
      <w:r/>
      <w:bookmarkStart w:id="173" w:name="_Toc120614244"/>
      <w:r/>
      <w:bookmarkStart w:id="174" w:name="_Hlt16619350"/>
      <w:r/>
      <w:bookmarkStart w:id="175" w:name="_Toc462564139"/>
      <w:r/>
      <w:bookmarkStart w:id="176" w:name="_Toc479757211"/>
      <w:r>
        <w:rPr>
          <w:rFonts w:ascii="黑体" w:hAnsi="Courier New" w:eastAsia="黑体" w:cs="Courier New"/>
          <w:bCs w:val="0"/>
          <w:szCs w:val="21"/>
        </w:rPr>
        <w:br w:type="page" w:clear="all"/>
      </w:r>
      <w:bookmarkEnd w:id="171"/>
      <w:r/>
      <w:bookmarkEnd w:id="172"/>
      <w:r/>
      <w:bookmarkEnd w:id="173"/>
      <w:r/>
      <w:bookmarkEnd w:id="174"/>
      <w:r/>
      <w:bookmarkStart w:id="177" w:name="_Toc49090575"/>
      <w:r/>
      <w:bookmarkStart w:id="178" w:name="_Toc26554093"/>
      <w:r>
        <w:rPr>
          <w:rFonts w:hint="eastAsia" w:ascii="方正黑体_GBK" w:hAnsi="方正黑体_GBK" w:eastAsia="方正黑体_GBK" w:cs="方正黑体_GBK"/>
          <w:b w:val="0"/>
          <w:bCs w:val="0"/>
          <w:sz w:val="32"/>
          <w:szCs w:val="32"/>
        </w:rPr>
        <w:t xml:space="preserve">第四章 采购需求</w:t>
      </w:r>
      <w:r>
        <w:rPr>
          <w:rFonts w:ascii="宋体" w:hAnsi="Courier New" w:cs="Courier New"/>
          <w:sz w:val="24"/>
          <w:szCs w:val="24"/>
        </w:rPr>
      </w:r>
      <w:r/>
    </w:p>
    <w:p>
      <w:pPr>
        <w:pStyle w:val="886"/>
        <w:jc w:val="left"/>
        <w:spacing w:line="660" w:lineRule="exact"/>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992"/>
        <w:gridCol w:w="3026"/>
        <w:gridCol w:w="2738"/>
      </w:tblGrid>
      <w:tr>
        <w:trPr>
          <w:cantSplit/>
        </w:trPr>
        <w:tc>
          <w:tcPr>
            <w:tcW w:w="1002"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992"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26"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738"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1002"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Times New Roman" w:hAnsi="Times New Roman" w:eastAsia="方正仿宋_GBK"/>
                <w:sz w:val="32"/>
                <w:szCs w:val="32"/>
              </w:rPr>
              <w:t xml:space="preserve">1</w:t>
            </w:r>
            <w:r>
              <w:rPr>
                <w:rFonts w:hint="eastAsia" w:ascii="方正仿宋_GBK" w:hAnsi="方正仿宋_GBK" w:eastAsia="方正仿宋_GBK" w:cs="方正仿宋_GBK"/>
                <w:sz w:val="28"/>
                <w:szCs w:val="28"/>
              </w:rPr>
            </w:r>
            <w:r/>
          </w:p>
        </w:tc>
        <w:tc>
          <w:tcPr>
            <w:tcW w:w="992"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26" w:type="dxa"/>
            <w:vAlign w:val="center"/>
            <w:textDirection w:val="lrTb"/>
            <w:noWrap w:val="false"/>
          </w:tcPr>
          <w:p>
            <w:pPr>
              <w:pStyle w:val="884"/>
              <w:jc w:val="center"/>
              <w:spacing w:line="0" w:lineRule="atLeas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江苏省产品质量监督检验研究院业务系统国产化改造升级</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软件与信息服务业</w:t>
            </w:r>
            <w:r>
              <w:rPr>
                <w:rFonts w:hint="eastAsia" w:ascii="方正仿宋_GBK" w:hAnsi="方正仿宋_GBK" w:eastAsia="方正仿宋_GBK" w:cs="方正仿宋_GBK"/>
                <w:sz w:val="28"/>
                <w:szCs w:val="28"/>
              </w:rPr>
            </w:r>
            <w:r/>
          </w:p>
        </w:tc>
      </w:tr>
    </w:tbl>
    <w:p>
      <w:pPr>
        <w:pStyle w:val="884"/>
        <w:spacing w:line="560" w:lineRule="exact"/>
        <w:rPr>
          <w:rFonts w:ascii="宋体" w:hAnsi="宋体" w:cs="方正魏碑_GBK"/>
          <w:b/>
          <w:sz w:val="24"/>
          <w:szCs w:val="24"/>
        </w:rPr>
      </w:pPr>
      <w:r>
        <w:rPr>
          <w:rFonts w:hint="eastAsia" w:ascii="宋体" w:hAnsi="宋体" w:cs="方正魏碑_GBK"/>
          <w:b/>
          <w:sz w:val="24"/>
          <w:szCs w:val="24"/>
        </w:rPr>
        <w:t xml:space="preserve">项目属性：服务类。</w:t>
      </w:r>
      <w:r>
        <w:rPr>
          <w:rFonts w:ascii="宋体" w:hAnsi="宋体" w:cs="方正魏碑_GBK"/>
          <w:b/>
          <w:sz w:val="24"/>
          <w:szCs w:val="24"/>
        </w:rPr>
      </w:r>
      <w:r/>
    </w:p>
    <w:p>
      <w:pPr>
        <w:pStyle w:val="884"/>
        <w:rPr>
          <w:rFonts w:hint="eastAsia" w:ascii="宋体" w:hAnsi="宋体"/>
          <w:b/>
          <w:bCs/>
          <w:sz w:val="28"/>
          <w:szCs w:val="28"/>
        </w:rPr>
      </w:pPr>
      <w:r>
        <w:rPr>
          <w:rFonts w:hint="eastAsia" w:ascii="宋体" w:hAnsi="宋体"/>
          <w:b/>
          <w:bCs/>
          <w:sz w:val="28"/>
          <w:szCs w:val="28"/>
        </w:rPr>
        <w:t xml:space="preserve">二、技术要求</w:t>
      </w:r>
      <w:r/>
    </w:p>
    <w:p>
      <w:pPr>
        <w:pStyle w:val="884"/>
        <w:rPr>
          <w:rFonts w:hint="eastAsia" w:ascii="宋体" w:hAnsi="宋体"/>
          <w:b/>
          <w:sz w:val="24"/>
        </w:rPr>
      </w:pPr>
      <w:r>
        <w:rPr>
          <w:rFonts w:hint="eastAsia" w:ascii="宋体" w:hAnsi="宋体"/>
          <w:b/>
          <w:sz w:val="24"/>
        </w:rPr>
        <w:t xml:space="preserve">（一）、总体要求</w:t>
      </w:r>
      <w:r/>
    </w:p>
    <w:p>
      <w:pPr>
        <w:pStyle w:val="884"/>
        <w:spacing w:line="360" w:lineRule="auto"/>
        <w:rPr>
          <w:rFonts w:hint="eastAsia" w:ascii="等线" w:hAnsi="等线" w:eastAsia="等线" w:cs="等线"/>
          <w:b/>
          <w:i/>
          <w:sz w:val="24"/>
          <w:u w:val="single"/>
        </w:rPr>
      </w:pPr>
      <w:r>
        <w:rPr>
          <w:rFonts w:hint="eastAsia" w:ascii="等线" w:hAnsi="等线" w:eastAsia="等线" w:cs="等线"/>
          <w:b/>
          <w:i/>
          <w:sz w:val="24"/>
          <w:u w:val="single"/>
        </w:rPr>
        <w:t xml:space="preserve">1、</w:t>
      </w:r>
      <w:bookmarkStart w:id="179" w:name="OLE_LINK1"/>
      <w:r>
        <w:rPr>
          <w:rFonts w:hint="eastAsia" w:ascii="等线" w:hAnsi="等线" w:eastAsia="等线" w:cs="等线"/>
          <w:b/>
          <w:i/>
          <w:sz w:val="24"/>
          <w:u w:val="single"/>
        </w:rPr>
        <w:t xml:space="preserve">国产化要求:供应商提供系统必须满足在国产化环境部署要求，同时应提供系统部署所需便件和软件基础环境的配置推荐要求(包括:国产服务器、国产操作系统、国产数据库和中问件等)(提供加盖公章的承诺函)。</w:t>
      </w:r>
      <w:bookmarkEnd w:id="179"/>
      <w:r>
        <w:rPr>
          <w:rFonts w:hint="eastAsia" w:ascii="等线" w:hAnsi="等线" w:eastAsia="等线" w:cs="等线"/>
          <w:b/>
          <w:i/>
          <w:sz w:val="24"/>
          <w:u w:val="single"/>
        </w:rPr>
      </w:r>
      <w:r/>
    </w:p>
    <w:p>
      <w:pPr>
        <w:pStyle w:val="884"/>
        <w:spacing w:line="360" w:lineRule="auto"/>
        <w:rPr>
          <w:rFonts w:hint="eastAsia" w:ascii="等线" w:hAnsi="等线" w:eastAsia="等线" w:cs="等线"/>
          <w:sz w:val="24"/>
        </w:rPr>
      </w:pPr>
      <w:r>
        <w:rPr>
          <w:rFonts w:hint="eastAsia" w:ascii="等线" w:hAnsi="等线" w:eastAsia="等线" w:cs="等线"/>
          <w:sz w:val="24"/>
        </w:rPr>
        <w:t xml:space="preserve">2.升级范围要求：需对本院全部科室的青之LIMS实验室信息管理系统进行全面国产化升级改造。</w:t>
      </w:r>
      <w:r/>
    </w:p>
    <w:p>
      <w:pPr>
        <w:pStyle w:val="884"/>
        <w:spacing w:line="360" w:lineRule="auto"/>
        <w:rPr>
          <w:rFonts w:hint="eastAsia" w:ascii="等线" w:hAnsi="等线" w:eastAsia="等线" w:cs="等线"/>
          <w:sz w:val="24"/>
        </w:rPr>
      </w:pPr>
      <w:r>
        <w:rPr>
          <w:rFonts w:hint="eastAsia" w:ascii="等线" w:hAnsi="等线" w:eastAsia="等线" w:cs="等线"/>
          <w:sz w:val="24"/>
        </w:rPr>
        <w:t xml:space="preserve">3.升级功能要求：全面覆盖现有LIMS所有系统功能，并优化拓展实验室资源、质量、财务等相关板块。</w:t>
      </w:r>
      <w:r/>
    </w:p>
    <w:p>
      <w:pPr>
        <w:pStyle w:val="884"/>
        <w:spacing w:line="360" w:lineRule="auto"/>
        <w:rPr>
          <w:rFonts w:hint="eastAsia" w:ascii="等线" w:hAnsi="等线" w:eastAsia="等线" w:cs="等线"/>
          <w:b/>
          <w:i/>
          <w:sz w:val="24"/>
          <w:u w:val="single"/>
        </w:rPr>
      </w:pPr>
      <w:r>
        <w:rPr>
          <w:rFonts w:hint="eastAsia" w:ascii="等线" w:hAnsi="等线" w:eastAsia="等线" w:cs="等线"/>
          <w:b/>
          <w:i/>
          <w:sz w:val="24"/>
          <w:u w:val="single"/>
        </w:rPr>
        <w:t xml:space="preserve">4.数据迁移要求：供应商须负责完成对现有LIMS系统历史数据的升级迁移与适配处理，改造后的系统需可查询全部历史数据，如涉及对接费用的，由中标供应商承担（提供加盖公章的承诺函）。</w:t>
      </w:r>
      <w:r/>
    </w:p>
    <w:p>
      <w:pPr>
        <w:pStyle w:val="884"/>
        <w:spacing w:line="360" w:lineRule="auto"/>
        <w:rPr>
          <w:rFonts w:hint="eastAsia" w:ascii="等线" w:hAnsi="等线" w:eastAsia="等线" w:cs="等线"/>
          <w:sz w:val="24"/>
        </w:rPr>
      </w:pPr>
      <w:r>
        <w:rPr>
          <w:rFonts w:hint="eastAsia" w:ascii="等线" w:hAnsi="等线" w:eastAsia="等线" w:cs="等线"/>
          <w:sz w:val="24"/>
        </w:rPr>
        <w:t xml:space="preserve">5.合规性要求：系统必须符合ISO/IEC 17025等有关标准规范的要求，对实验室的人、机、料、法、环、测等管理要素以及业务流程进行有效科学的管理；当这些规范或标准更新时，系统应能够适应这种变化。</w:t>
      </w:r>
      <w:r/>
    </w:p>
    <w:p>
      <w:pPr>
        <w:pStyle w:val="884"/>
        <w:spacing w:line="360" w:lineRule="auto"/>
        <w:rPr>
          <w:rFonts w:hint="eastAsia" w:ascii="等线" w:hAnsi="等线" w:eastAsia="等线" w:cs="等线"/>
          <w:sz w:val="24"/>
        </w:rPr>
      </w:pPr>
      <w:r>
        <w:rPr>
          <w:rFonts w:hint="eastAsia" w:ascii="等线" w:hAnsi="等线" w:eastAsia="等线" w:cs="等线"/>
          <w:sz w:val="24"/>
        </w:rPr>
        <w:t xml:space="preserve">6.技术选型要求：需采用JAVA语言、微服务B/S架构开发，并满足在国产化环境（如：麒麟/统信操作系统、人大金仓/达梦数据库、宝兰德中间等）的部署运行。</w:t>
      </w:r>
      <w:r/>
    </w:p>
    <w:p>
      <w:pPr>
        <w:pStyle w:val="884"/>
        <w:spacing w:line="360" w:lineRule="auto"/>
        <w:rPr>
          <w:rFonts w:hint="eastAsia" w:ascii="等线" w:hAnsi="等线" w:eastAsia="等线" w:cs="等线"/>
          <w:b/>
          <w:i/>
          <w:sz w:val="24"/>
          <w:u w:val="single"/>
        </w:rPr>
      </w:pPr>
      <w:r>
        <w:rPr>
          <w:rFonts w:hint="eastAsia" w:ascii="等线" w:hAnsi="等线" w:eastAsia="等线" w:cs="等线"/>
          <w:b/>
          <w:i/>
          <w:sz w:val="24"/>
          <w:u w:val="single"/>
        </w:rPr>
        <w:t xml:space="preserve">7.</w:t>
      </w:r>
      <w:bookmarkStart w:id="180" w:name="OLE_LINK2"/>
      <w:r>
        <w:rPr>
          <w:rFonts w:hint="eastAsia" w:ascii="等线" w:hAnsi="等线" w:eastAsia="等线" w:cs="等线"/>
          <w:b/>
          <w:i/>
          <w:sz w:val="24"/>
          <w:u w:val="single"/>
        </w:rPr>
        <w:t xml:space="preserve">低代码平台要求：系统应基于底层技术平台，并自带用户自定义开发环境。用户可利用此开发环境在对系统进行自定义配置、维护和二次功能性开发。系统应包括系统门户（实现门户自定义）、流程引擎（实现流程自定义）、规则引擎（实现业务规则自定义）、消息引擎（实现系统内部、邮件、短信、微信等不同渠道的信息提醒机制）、可独立部署的文件系统、可独立部署的报表系统。（提供加盖公章的承诺函）。</w:t>
      </w:r>
      <w:bookmarkEnd w:id="180"/>
      <w:r>
        <w:rPr>
          <w:rFonts w:hint="eastAsia" w:ascii="等线" w:hAnsi="等线" w:eastAsia="等线" w:cs="等线"/>
          <w:b/>
          <w:i/>
          <w:sz w:val="24"/>
          <w:u w:val="single"/>
        </w:rPr>
      </w:r>
      <w:r/>
    </w:p>
    <w:p>
      <w:pPr>
        <w:pStyle w:val="884"/>
        <w:spacing w:line="360" w:lineRule="auto"/>
        <w:rPr>
          <w:rFonts w:hint="eastAsia" w:ascii="等线" w:hAnsi="等线" w:eastAsia="等线" w:cs="等线"/>
          <w:sz w:val="24"/>
        </w:rPr>
      </w:pPr>
      <w:r>
        <w:rPr>
          <w:rFonts w:hint="eastAsia" w:ascii="等线" w:hAnsi="等线" w:eastAsia="等线" w:cs="等线"/>
          <w:sz w:val="24"/>
        </w:rPr>
        <w:t xml:space="preserve">8.性能要求：系统应保障运行和操作响应速度。系统处理能力不低于50TPS，页面平均响应时间≤3秒；在系统批量运行时段，系统内存及CPU资源峰值不应超过85%。</w:t>
      </w:r>
      <w:r/>
    </w:p>
    <w:p>
      <w:pPr>
        <w:pStyle w:val="884"/>
        <w:rPr>
          <w:rFonts w:hint="eastAsia" w:ascii="宋体" w:hAnsi="宋体"/>
          <w:bCs/>
          <w:sz w:val="24"/>
        </w:rPr>
      </w:pPr>
      <w:r>
        <w:rPr>
          <w:rFonts w:hint="eastAsia" w:ascii="等线" w:hAnsi="等线" w:eastAsia="等线" w:cs="等线"/>
          <w:sz w:val="24"/>
        </w:rPr>
        <w:t xml:space="preserve">9.用户授权要求：本次升级建设系统，不论是当前还是未来业务拓展时，系统均应不限使用者数量；无需另外购买license。</w:t>
      </w:r>
      <w:r>
        <w:rPr>
          <w:rFonts w:hint="eastAsia" w:ascii="宋体" w:hAnsi="宋体"/>
          <w:bCs/>
          <w:sz w:val="24"/>
        </w:rPr>
      </w:r>
      <w:r/>
    </w:p>
    <w:p>
      <w:pPr>
        <w:pStyle w:val="884"/>
        <w:rPr>
          <w:rFonts w:hint="eastAsia" w:ascii="宋体" w:hAnsi="宋体"/>
          <w:bCs/>
          <w:sz w:val="24"/>
        </w:rPr>
      </w:pPr>
      <w:r>
        <w:rPr>
          <w:rFonts w:hint="eastAsia" w:ascii="宋体" w:hAnsi="宋体"/>
          <w:bCs/>
          <w:sz w:val="24"/>
        </w:rPr>
      </w:r>
      <w:r/>
    </w:p>
    <w:p>
      <w:pPr>
        <w:pStyle w:val="884"/>
        <w:rPr>
          <w:rFonts w:hint="eastAsia" w:ascii="宋体" w:hAnsi="宋体"/>
          <w:b/>
          <w:sz w:val="24"/>
        </w:rPr>
      </w:pPr>
      <w:r>
        <w:rPr>
          <w:rFonts w:hint="eastAsia" w:ascii="宋体" w:hAnsi="宋体"/>
          <w:b/>
          <w:sz w:val="24"/>
        </w:rPr>
        <w:t xml:space="preserve">（二）、技术功能参数</w:t>
      </w:r>
      <w:r/>
    </w:p>
    <w:tbl>
      <w:tblPr>
        <w:tblW w:w="4998" w:type="pct"/>
        <w:tblInd w:w="113" w:type="dxa"/>
        <w:tblLayout w:type="autofit"/>
        <w:tblCellMar>
          <w:left w:w="108" w:type="dxa"/>
          <w:top w:w="0" w:type="dxa"/>
          <w:right w:w="108" w:type="dxa"/>
          <w:bottom w:w="0" w:type="dxa"/>
        </w:tblCellMar>
        <w:tblLook w:val="04A0" w:firstRow="1" w:lastRow="0" w:firstColumn="1" w:lastColumn="0" w:noHBand="0" w:noVBand="1"/>
      </w:tblPr>
      <w:tblGrid>
        <w:gridCol w:w="438"/>
        <w:gridCol w:w="986"/>
        <w:gridCol w:w="1145"/>
        <w:gridCol w:w="5950"/>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一级模块名称</w:t>
            </w:r>
            <w:r>
              <w:rPr>
                <w:rFonts w:hint="eastAsia" w:ascii="宋体" w:hAnsi="宋体" w:cs="宋体"/>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二级模块名称</w:t>
            </w:r>
            <w:r>
              <w:rPr>
                <w:rFonts w:hint="eastAsia" w:ascii="宋体" w:hAnsi="宋体" w:cs="宋体"/>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技术功能要求</w:t>
            </w:r>
            <w:r>
              <w:rPr>
                <w:rFonts w:hint="eastAsia" w:ascii="宋体" w:hAnsi="宋体" w:cs="宋体"/>
                <w:b/>
                <w:bCs/>
                <w:color w:val="000000"/>
                <w:szCs w:val="21"/>
              </w:rPr>
            </w:r>
            <w:r/>
          </w:p>
        </w:tc>
      </w:tr>
      <w:tr>
        <w:trPr>
          <w:cantSplit/>
          <w:trHeight w:val="510"/>
        </w:trPr>
        <w:tc>
          <w:tcPr>
            <w:shd w:val="clear" w:color="auto" w:fill="ffffff"/>
            <w:tcBorders>
              <w:top w:val="single" w:color="000000" w:sz="4" w:space="0"/>
              <w:left w:val="single" w:color="000000" w:sz="4" w:space="0"/>
              <w:right w:val="single" w:color="000000" w:sz="4" w:space="0"/>
            </w:tcBorders>
            <w:tcW w:w="257"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1</w:t>
            </w:r>
            <w:r/>
          </w:p>
        </w:tc>
        <w:tc>
          <w:tcPr>
            <w:shd w:val="clear" w:color="auto" w:fill="ffffff"/>
            <w:tcBorders>
              <w:top w:val="single" w:color="000000" w:sz="4" w:space="0"/>
              <w:left w:val="single" w:color="000000" w:sz="4" w:space="0"/>
              <w:right w:val="single" w:color="000000" w:sz="4" w:space="0"/>
            </w:tcBorders>
            <w:tcW w:w="579"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基础管理平台</w:t>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总体要求</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系统应按照国产化部署要求，面向本院“食品、线缆等所有科室”建立统一的LIMS基础管理平台，包括统一门户系统、系统管理和二次开发与自定义平台。</w:t>
            </w:r>
            <w:r/>
          </w:p>
        </w:tc>
      </w:tr>
      <w:tr>
        <w:trPr>
          <w:cantSplit/>
          <w:trHeight w:val="765"/>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门户系统</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需支持单点登录验证，具备统一系统用户登录入口，为成功登录用户提供统一风格及所属账号权限内的工作管理台。</w:t>
              <w:br w:type="textWrapping" w:clear="all"/>
            </w:r>
            <w:r/>
          </w:p>
          <w:p>
            <w:pPr>
              <w:pStyle w:val="884"/>
              <w:spacing w:line="360" w:lineRule="auto"/>
              <w:rPr>
                <w:rFonts w:hint="eastAsia" w:ascii="等线" w:hAnsi="等线" w:eastAsia="等线" w:cs="等线"/>
                <w:szCs w:val="21"/>
              </w:rPr>
            </w:pPr>
            <w:r>
              <w:rPr>
                <w:rFonts w:hint="eastAsia" w:ascii="等线" w:hAnsi="等线" w:eastAsia="等线" w:cs="等线"/>
                <w:szCs w:val="21"/>
              </w:rPr>
              <w:t xml:space="preserve">系统功能包括但不限于：待办事宜提醒、任务走势图、通知通告、预警提醒、常用统计查询等。</w:t>
            </w:r>
            <w:r/>
          </w:p>
        </w:tc>
      </w:tr>
      <w:tr>
        <w:trPr>
          <w:cantSplit/>
          <w:trHeight w:val="765"/>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ascii="宋体" w:hAnsi="宋体"/>
                <w:color w:val="000000"/>
                <w:sz w:val="24"/>
                <w:szCs w:val="24"/>
              </w:rPr>
              <w:t xml:space="preserve">▲</w:t>
            </w:r>
            <w:r>
              <w:rPr>
                <w:rFonts w:hint="eastAsia" w:ascii="等线" w:hAnsi="等线" w:eastAsia="等线" w:cs="等线"/>
                <w:szCs w:val="21"/>
              </w:rPr>
              <w:t xml:space="preserve">系统管理</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应满足系统相关功能权限、角色、用户、菜单、规则、模板、参数等相关配置管理。 （需提供规则、模板相关功能截图证明）</w:t>
            </w:r>
            <w:r/>
          </w:p>
        </w:tc>
      </w:tr>
      <w:tr>
        <w:trPr>
          <w:cantSplit/>
          <w:trHeight w:val="807"/>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二次开发与自定义平台</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1)▲界面自定义：</w:t>
            </w:r>
            <w:r>
              <w:rPr>
                <w:rFonts w:hint="eastAsia" w:ascii="等线" w:hAnsi="等线" w:eastAsia="等线" w:cs="等线"/>
                <w:szCs w:val="21"/>
              </w:rPr>
              <w:t xml:space="preserve">支持</w:t>
            </w:r>
            <w:r>
              <w:rPr>
                <w:rFonts w:hint="eastAsia" w:ascii="等线" w:hAnsi="等线" w:eastAsia="等线" w:cs="等线"/>
                <w:szCs w:val="21"/>
              </w:rPr>
              <w:t xml:space="preserve">用户自</w:t>
            </w:r>
            <w:r>
              <w:rPr>
                <w:rFonts w:hint="eastAsia" w:ascii="等线" w:hAnsi="等线" w:eastAsia="等线" w:cs="等线"/>
                <w:szCs w:val="21"/>
              </w:rPr>
              <w:t xml:space="preserve">行</w:t>
            </w:r>
            <w:r>
              <w:rPr>
                <w:rFonts w:hint="eastAsia" w:ascii="等线" w:hAnsi="等线" w:eastAsia="等线" w:cs="等线"/>
                <w:szCs w:val="21"/>
              </w:rPr>
              <w:t xml:space="preserve">设置和调整委托单/抽样单，等各种表单的样式和内容；（需提供功能截图证明）</w:t>
            </w:r>
            <w:r/>
          </w:p>
        </w:tc>
      </w:tr>
      <w:tr>
        <w:trPr>
          <w:cantSplit/>
          <w:trHeight w:val="885"/>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2)</w:t>
            </w:r>
            <w:r>
              <w:rPr>
                <w:rFonts w:hint="eastAsia" w:ascii="等线" w:hAnsi="等线" w:eastAsia="等线" w:cs="等线"/>
                <w:szCs w:val="21"/>
              </w:rPr>
              <w:t xml:space="preserve">▲数据列自定义：支持</w:t>
            </w:r>
            <w:r>
              <w:rPr>
                <w:rFonts w:hint="eastAsia" w:ascii="等线" w:hAnsi="等线" w:eastAsia="等线" w:cs="等线"/>
                <w:szCs w:val="21"/>
              </w:rPr>
              <w:t xml:space="preserve">用户对各个模块的大列表进行自定义调整；（需提供功能截图证明）</w:t>
            </w:r>
            <w:r>
              <w:rPr>
                <w:rFonts w:hint="eastAsia" w:ascii="等线" w:hAnsi="等线" w:eastAsia="等线" w:cs="等线"/>
                <w:szCs w:val="21"/>
              </w:rPr>
            </w:r>
            <w:r/>
          </w:p>
        </w:tc>
      </w:tr>
      <w:tr>
        <w:trPr>
          <w:cantSplit/>
          <w:trHeight w:val="880"/>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w:t>
            </w:r>
            <w:r>
              <w:rPr>
                <w:rFonts w:ascii="等线" w:hAnsi="等线" w:eastAsia="等线" w:cs="等线"/>
                <w:szCs w:val="21"/>
              </w:rPr>
              <w:t xml:space="preserve">3</w:t>
            </w:r>
            <w:r>
              <w:rPr>
                <w:rFonts w:hint="eastAsia" w:ascii="等线" w:hAnsi="等线" w:eastAsia="等线" w:cs="等线"/>
                <w:szCs w:val="21"/>
              </w:rPr>
              <w:t xml:space="preserve">)▲编号自定义：用户可自行设置报告编号、样品编号、任务单编号等的规则；（需提供功能截图证明）</w:t>
            </w:r>
            <w:r>
              <w:rPr>
                <w:rFonts w:hint="eastAsia" w:ascii="等线" w:hAnsi="等线" w:eastAsia="等线" w:cs="等线"/>
                <w:szCs w:val="21"/>
              </w:rPr>
            </w:r>
            <w:r/>
          </w:p>
        </w:tc>
      </w:tr>
      <w:tr>
        <w:trPr>
          <w:cantSplit/>
          <w:trHeight w:val="960"/>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w:t>
            </w:r>
            <w:r>
              <w:rPr>
                <w:rFonts w:ascii="等线" w:hAnsi="等线" w:eastAsia="等线" w:cs="等线"/>
                <w:szCs w:val="21"/>
              </w:rPr>
              <w:t xml:space="preserve">4</w:t>
            </w:r>
            <w:r>
              <w:rPr>
                <w:rFonts w:hint="eastAsia" w:ascii="等线" w:hAnsi="等线" w:eastAsia="等线" w:cs="等线"/>
                <w:szCs w:val="21"/>
              </w:rPr>
              <w:t xml:space="preserve">)▲特殊字符自定义：支持特殊字符的自定义（需提供功能截图证明）</w:t>
            </w:r>
            <w:r>
              <w:rPr>
                <w:rFonts w:hint="eastAsia" w:ascii="等线" w:hAnsi="等线" w:eastAsia="等线" w:cs="等线"/>
                <w:szCs w:val="21"/>
              </w:rPr>
            </w:r>
            <w:r/>
          </w:p>
        </w:tc>
      </w:tr>
      <w:tr>
        <w:trPr>
          <w:cantSplit/>
          <w:trHeight w:val="3512"/>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w:t>
            </w:r>
            <w:r>
              <w:rPr>
                <w:rFonts w:ascii="等线" w:hAnsi="等线" w:eastAsia="等线" w:cs="等线"/>
                <w:szCs w:val="21"/>
              </w:rPr>
              <w:t xml:space="preserve">5</w:t>
            </w:r>
            <w:r>
              <w:rPr>
                <w:rFonts w:hint="eastAsia" w:ascii="等线" w:hAnsi="等线" w:eastAsia="等线" w:cs="等线"/>
                <w:szCs w:val="21"/>
              </w:rPr>
              <w:t xml:space="preserve">)▲项目库自定义：系统建立标准及项目库、产品分类库、检验项目库分别管理，并通过检验项目库的灵活应用和配置，用户在无需编程辅助的情况下，可灵活调整承检产品（样品）的分类、子类名称，可有效管理标准方法，可有效管理与标准对应的检验项目（并支持多条件标准值）。产品（样品）库与标准方法（及检验项目库）可灵活的自由组合。检验项目库可在业务受理、项目检验等环节被方便的调用；（需提供业务受理环节方法标准选择的功能截图证明）</w:t>
            </w:r>
            <w:r>
              <w:rPr>
                <w:rFonts w:hint="eastAsia" w:ascii="等线" w:hAnsi="等线" w:eastAsia="等线" w:cs="等线"/>
                <w:szCs w:val="21"/>
              </w:rPr>
            </w:r>
            <w:r/>
          </w:p>
        </w:tc>
      </w:tr>
      <w:tr>
        <w:trPr>
          <w:cantSplit/>
          <w:trHeight w:val="836"/>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w:t>
            </w:r>
            <w:r>
              <w:rPr>
                <w:rFonts w:ascii="等线" w:hAnsi="等线" w:eastAsia="等线" w:cs="等线"/>
                <w:szCs w:val="21"/>
              </w:rPr>
              <w:t xml:space="preserve">6</w:t>
            </w:r>
            <w:r>
              <w:rPr>
                <w:rFonts w:hint="eastAsia" w:ascii="等线" w:hAnsi="等线" w:eastAsia="等线" w:cs="等线"/>
                <w:szCs w:val="21"/>
              </w:rPr>
              <w:t xml:space="preserve">)▲业务流程自定义：</w:t>
            </w:r>
            <w:r>
              <w:rPr>
                <w:rFonts w:hint="eastAsia" w:ascii="等线" w:hAnsi="等线" w:eastAsia="等线" w:cs="等线"/>
                <w:szCs w:val="21"/>
              </w:rPr>
              <w:t xml:space="preserve">支持</w:t>
            </w:r>
            <w:r>
              <w:rPr>
                <w:rFonts w:hint="eastAsia" w:ascii="等线" w:hAnsi="等线" w:eastAsia="等线" w:cs="等线"/>
                <w:szCs w:val="21"/>
              </w:rPr>
              <w:t xml:space="preserve">图形化的方式自定义工作流（需提供功能截图证明）</w:t>
            </w:r>
            <w:r>
              <w:rPr>
                <w:rFonts w:hint="eastAsia" w:ascii="等线" w:hAnsi="等线" w:eastAsia="等线" w:cs="等线"/>
                <w:szCs w:val="21"/>
              </w:rPr>
            </w:r>
            <w:r/>
          </w:p>
        </w:tc>
      </w:tr>
      <w:tr>
        <w:trPr>
          <w:cantSplit/>
          <w:trHeight w:val="1427"/>
        </w:trPr>
        <w:tc>
          <w:tcPr>
            <w:shd w:val="clear" w:color="auto" w:fill="ffffff"/>
            <w:tcBorders>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bottom w:val="single" w:color="000000" w:sz="4" w:space="0"/>
              <w:right w:val="single" w:color="000000" w:sz="4" w:space="0"/>
            </w:tcBorders>
            <w:tcW w:w="672" w:type="pct"/>
            <w:vAlign w:val="center"/>
            <w:vMerge w:val="continue"/>
            <w:textDirection w:val="lrTb"/>
            <w:noWrap w:val="false"/>
          </w:tcPr>
          <w:p>
            <w:pPr>
              <w:pStyle w:val="884"/>
              <w:spacing w:line="360" w:lineRule="auto"/>
              <w:rPr>
                <w:rFonts w:hint="eastAsia" w:ascii="宋体" w:hAnsi="宋体"/>
                <w:color w:val="000000"/>
                <w:sz w:val="24"/>
                <w:szCs w:val="24"/>
              </w:rPr>
            </w:pPr>
            <w:r>
              <w:rPr>
                <w:rFonts w:hint="eastAsia" w:ascii="宋体" w:hAnsi="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 </w:t>
            </w:r>
            <w:r>
              <w:rPr>
                <w:rFonts w:ascii="等线" w:hAnsi="等线" w:eastAsia="等线" w:cs="等线"/>
                <w:szCs w:val="21"/>
              </w:rPr>
              <w:t xml:space="preserve">7</w:t>
            </w:r>
            <w:r>
              <w:rPr>
                <w:rFonts w:hint="eastAsia" w:ascii="等线" w:hAnsi="等线" w:eastAsia="等线" w:cs="等线"/>
                <w:szCs w:val="21"/>
              </w:rPr>
              <w:t xml:space="preserve">)▲检测服务生产线自定义：可自定义不同的检测服务生产线，在同一系统内，不同科室等可走不同的业务流程。（需提供功能截图证明）</w:t>
            </w:r>
            <w:r>
              <w:rPr>
                <w:rFonts w:hint="eastAsia" w:ascii="等线" w:hAnsi="等线" w:eastAsia="等线" w:cs="等线"/>
                <w:szCs w:val="21"/>
              </w:rPr>
            </w:r>
            <w:r/>
          </w:p>
        </w:tc>
      </w:tr>
      <w:tr>
        <w:trPr>
          <w:cantSplit/>
          <w:trHeight w:val="765"/>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检测业务管理</w:t>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总体要求</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系统应支持本院“食品、线缆等所有科室”所有科室的业务流程，支持从任务分派到报告的审批、签发、归档全部过程管理。系统应支持对各环节的单独定义，并可通过后台自定义实现检测业务过程的变化。</w:t>
            </w:r>
            <w:r/>
          </w:p>
        </w:tc>
      </w:tr>
      <w:tr>
        <w:trPr>
          <w:cantSplit/>
          <w:trHeight w:val="74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业务受理</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系统应支持委托单/抽样单/CQC报告的受理登记、打印、台账显示行设置/行定位、检验项目新增、选择、费用设置，样品拍照入库功能。委托登记信息应包括单</w:t>
            </w:r>
            <w:r>
              <w:rPr>
                <w:rFonts w:hint="eastAsia" w:ascii="等线" w:hAnsi="等线" w:eastAsia="等线" w:cs="等线"/>
                <w:szCs w:val="21"/>
              </w:rPr>
              <w:t xml:space="preserve">位信息、检测要求及样品信息，应支持业务受理单登记页面信息的自定义调整。</w:t>
              <w:br/>
              <w:t xml:space="preserve">系统应能够支持快速接样下单；可根据样品类型自动带出后台定义好的检测能力包；对项目列表数据支持批量复制、修改的功能；能够自动批量生成委托单并打印，能批量生成样品二维码（格式可自定义）并批量打印。</w:t>
              <w:br/>
              <w:t xml:space="preserve">系统应支持智能录入，如客户信息中录入单位名称时，操作人员只需要输入部分客户名称，系统将自动出现相关的客户列表供操作人员选择，当操作人员选择完毕后系统将根据该客户信息填写其它相关内容，如：地址、电话、联系人等；可使用单位的拼音等进行快速检索和定位。</w:t>
            </w:r>
            <w:r/>
          </w:p>
        </w:tc>
      </w:tr>
      <w:tr>
        <w:trPr>
          <w:cantSplit/>
          <w:trHeight w:val="765"/>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任务调度</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系统应针对“电线电缆产品检测”板块，提供任务调度功能，需满足科室对当前任务的统筹调度配置管理，由调度人员安排任务主检人及各组时间要求，项目及主检工分等，完成后提交至合同评审环节。</w:t>
            </w:r>
            <w:r/>
          </w:p>
        </w:tc>
      </w:tr>
      <w:tr>
        <w:trPr>
          <w:cantSplit/>
          <w:trHeight w:val="1785"/>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合同评审</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系统应提供合同评审管理功能，该功能应与业务受理、任务调度模块关联配合，支持来自业务受理阶段提交委托单评审对接。</w:t>
              <w:br w:type="textWrapping" w:clear="all"/>
              <w:t xml:space="preserve">具备权限的技术评审人员，应能够基于台账方式查看已评审委托单和待评审委托单详情信息，如：委托登记信息、样品信息、检测要求信息、委托完成时间要求等信息；合同评审时可增删改检验项目。</w:t>
              <w:br w:type="textWrapping" w:clear="all"/>
              <w:t xml:space="preserve">针对不符合要求的委托单，合同技术</w:t>
            </w:r>
            <w:r>
              <w:rPr>
                <w:rFonts w:hint="eastAsia" w:ascii="等线" w:hAnsi="等线" w:eastAsia="等线" w:cs="等线"/>
                <w:szCs w:val="21"/>
              </w:rPr>
              <w:t xml:space="preserve">评审人员能够进行打回处理，并应支持填写评审意见，并在后续主流程模块中均可查看合同评审内容。</w:t>
            </w:r>
            <w:r/>
          </w:p>
        </w:tc>
      </w:tr>
      <w:tr>
        <w:trPr>
          <w:cantSplit/>
          <w:trHeight w:val="1275"/>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客户管理</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应提供客户档案功能，并将其作为核心资源信息进行有效管理，功能包括客户台账、客户档案详情（如：客户基本信息、联系信息、历史委托情况、历史费用情况、合同协议签订情况等等）；</w:t>
              <w:br w:type="textWrapping" w:clear="all"/>
              <w:t xml:space="preserve">客户档案模块应支持与与业务受理、协议管理、费用管理等模块进行有机紧密关联，让这些模块能够对客户管理模块中的客户数据进行有效的合理利用。能够生成相应的客户历史检测记录、协议记录、费用记录等信息。</w:t>
            </w:r>
            <w:r/>
          </w:p>
        </w:tc>
      </w:tr>
      <w:tr>
        <w:trPr>
          <w:cantSplit/>
          <w:trHeight w:val="153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协议管理</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为满足检测单位的大客户的检测业务的开展，系统设计中应包含协议管理模块，功能应包括协议登记、协议内容的维护和协议到期预警；</w:t>
              <w:br w:type="textWrapping" w:clear="all"/>
              <w:t xml:space="preserve">协议内容应包括，协议类型（按协议金额或者协议检测次数执行）、协议单位、金额、执行时间等内容进行管理；</w:t>
              <w:br w:type="textWrapping" w:clear="all"/>
              <w:t xml:space="preserve">协议管理应能够与费用管理配合起来，在收费时能够按照协议进行收费；协议管理自动记录协议在费用管理中的执行情况，生成协议执行情况记录，并能够查看协议执行明细；</w:t>
            </w:r>
            <w:r/>
          </w:p>
        </w:tc>
      </w:tr>
      <w:tr>
        <w:trPr>
          <w:cantSplit/>
          <w:trHeight w:val="1785"/>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业财优化</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系统应按照业务财一体化设计思路，本期全面优化现有系统相关财务结算流程功能，包括如下：</w:t>
              <w:br w:type="textWrapping" w:clear="all"/>
              <w:t xml:space="preserve">1）业务结算单流程</w:t>
              <w:br w:type="textWrapping" w:clear="all"/>
              <w:t xml:space="preserve">2）业务对账：接入银行流水，业务确认</w:t>
              <w:br w:type="textWrapping" w:clear="all"/>
              <w:t xml:space="preserve">3）业务：申请开票</w:t>
              <w:br w:type="textWrapping" w:clear="all"/>
              <w:t xml:space="preserve">4）财务：按开票申请资料——对接税务系统，自动开具发票，实现收款&amp;结算单核销——回传LIMS系统</w:t>
              <w:br w:type="textWrapping" w:clear="all"/>
              <w:t xml:space="preserve">5) 业务：接收收款--自动报告分摊</w:t>
              <w:br w:type="textWrapping" w:clear="all"/>
              <w:t xml:space="preserve">6）财务：依据业务报表-当前及确认收入</w:t>
            </w:r>
            <w:r/>
          </w:p>
        </w:tc>
      </w:tr>
      <w:tr>
        <w:trPr>
          <w:cantSplit/>
          <w:trHeight w:val="10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检测流程管理</w:t>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样品管理</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应包括样品管理功能。样品管理与二维条码应用紧密结合，对样品的入库、领用、归还、退库、超期处置等进行登记管理，并详细记录样品的流转日志。项目还包含样品管理所用的、与信息系统连接的编码标识打印设备、样品流转扫码设备和相关的查询设备在内。系统应包括样品制样管理。</w:t>
            </w:r>
            <w:r/>
          </w:p>
        </w:tc>
      </w:tr>
      <w:tr>
        <w:trPr>
          <w:cantSplit/>
          <w:trHeight w:val="1020"/>
        </w:trPr>
        <w:tc>
          <w:tcPr>
            <w:shd w:val="clear" w:color="auto" w:fill="ffffff"/>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任务分派</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实现自动分派和手动干预两种方式，可以支持批量手动分派。系统应支持按小组、人员分派，支持实现检项的先分组再分派到检验员的过程，即任务将检项先分派至小组，由组长或指定的人员再分派到该组内实际的检验人员，并记录操作日志。小组和检验人员也支持默认，无修改的时候直接提交即可，以提高分组分派效率。</w:t>
            </w:r>
            <w:r/>
          </w:p>
        </w:tc>
      </w:tr>
      <w:tr>
        <w:trPr>
          <w:cantSplit/>
          <w:trHeight w:val="20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项目检验</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检测人员登</w:t>
            </w:r>
            <w:r>
              <w:rPr>
                <w:rFonts w:hint="eastAsia" w:ascii="等线" w:hAnsi="等线" w:eastAsia="等线" w:cs="等线"/>
                <w:szCs w:val="21"/>
              </w:rPr>
              <w:t xml:space="preserve">录系统后，可查看到分配给自己的检测任务，不同状态任务可分开展示（待检测、已完成待提交、超期等）。应支持按检验周期自动分类及状态标识对已超期或即将超期检验任务进行提示；</w:t>
              <w:br/>
              <w:t xml:space="preserve">系统应在项目检验环节录入或回写实测值后应提供自动判定功能，若标准值为逻辑表达式或数字区间或固定术语（如&gt;5, 2~8, 未检出）应支持检测结果的自动判定，对不合格的指标，系统会有不同的颜色标识；可根据设置对结果进行自动计算、判定、错误提示等。</w:t>
              <w:br/>
              <w:t xml:space="preserve">系统应支持通过对接电子原始记录、仪器设备数据采集系统实现检验数据采集与原始记录的自动化、智能化管理。</w:t>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校对和审核</w:t>
            </w:r>
            <w:r/>
          </w:p>
        </w:tc>
        <w:tc>
          <w:tcPr>
            <w:shd w:val="clear" w:color="auto" w:fill="ffffff"/>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系统应提供项目校对和审核流程管理功能，需支持对检验项目结果记录进行校对和审核管理，支持打回或跳过处理。</w:t>
            </w:r>
            <w:r/>
          </w:p>
        </w:tc>
      </w:tr>
      <w:tr>
        <w:trPr>
          <w:cantSplit/>
          <w:trHeight w:val="1125"/>
        </w:trPr>
        <w:tc>
          <w:tcPr>
            <w:tcBorders>
              <w:top w:val="single" w:color="000000" w:sz="4" w:space="0"/>
              <w:left w:val="single" w:color="000000" w:sz="4" w:space="0"/>
              <w:right w:val="single" w:color="000000" w:sz="4" w:space="0"/>
            </w:tcBorders>
            <w:tcW w:w="257"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4</w:t>
            </w:r>
            <w:r/>
          </w:p>
        </w:tc>
        <w:tc>
          <w:tcPr>
            <w:tcBorders>
              <w:top w:val="single" w:color="000000" w:sz="4" w:space="0"/>
              <w:left w:val="single" w:color="000000" w:sz="4" w:space="0"/>
              <w:right w:val="single" w:color="000000" w:sz="4" w:space="0"/>
            </w:tcBorders>
            <w:tcW w:w="579"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检验报告管理</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报告编制</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系统应能按照实验室规定的格式要求自动匹配模板或手动选择模板方式生成不同检测任务类型对应的检测报告格式及内容，报告内容包括样品信息、检测信息、检测结果、结果判定、结果评价等。</w:t>
              <w:br w:type="textWrapping" w:clear="all"/>
              <w:t xml:space="preserve">报告生成应支持上传或关联调用试验过程照片与通过相应选择判断自动生成结论语句；具备权限的试验员应能根据需要对报告进行编辑、修改；</w:t>
              <w:br w:type="textWrapping" w:clear="all"/>
              <w:t xml:space="preserve">应支持按用户要求自动加盖CMA、CNAS及公章等，应支持在报告上能实现一维码、二维码、自动计算页码、自动生成认证章组合、自动签名、自动加盖电子章、自动加盖水印等功能。</w:t>
            </w:r>
            <w:r/>
          </w:p>
        </w:tc>
      </w:tr>
      <w:tr>
        <w:trPr>
          <w:cantSplit/>
          <w:trHeight w:val="1080"/>
        </w:trPr>
        <w:tc>
          <w:tcPr>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报告审核与签发</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系统应具有报告审核、批准功能，报告的审核、批准需要具有报告在线预览功能。应支持自动生成审核人、批准人电子签名。需要具有打回功能并记录打回原因。</w:t>
              <w:br w:type="textWrapping" w:clear="all"/>
              <w:t xml:space="preserve">应支持整报告审批，报告二维码生成，支持查看所有相关记录，包括任务流转记录、项目流转记录、报告流转记录，流转记录要详尽并一定包含这三个方面的记录。</w:t>
            </w:r>
            <w:r/>
          </w:p>
        </w:tc>
      </w:tr>
      <w:tr>
        <w:trPr>
          <w:cantSplit/>
          <w:trHeight w:val="2430"/>
        </w:trPr>
        <w:tc>
          <w:tcPr>
            <w:tcBorders>
              <w:left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left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报告打印及发放</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报告打印：系统应能自动罗列出所有已批准、未归档的检验报告进行打印，能够查看报告信息，如客户名称、报告编号、任务编号、报告结论、批准日期、批准人等，并可根据这些信息对报告进行筛选，可根据是否打印进行筛选和打印，并支持选择不同打印机打印，设定打印分数；</w:t>
              <w:br w:type="textWrapping" w:clear="all"/>
              <w:t xml:space="preserve">报告发放：系统应支持报告发放登记管理，应支持根据报告的发放状态及报告信息筛选报告，如筛选同一客户报告、同一任务下的报告发放查询；</w:t>
              <w:br w:type="textWrapping" w:clear="all"/>
              <w:t xml:space="preserve">报告归档：系统应能实现电子报告和纸质报告的归档管理，包括归档位置、时间、归档人员等信息。</w:t>
            </w:r>
            <w:r/>
          </w:p>
        </w:tc>
      </w:tr>
      <w:tr>
        <w:trPr>
          <w:cantSplit/>
          <w:trHeight w:val="1069"/>
        </w:trPr>
        <w:tc>
          <w:tcPr>
            <w:tcBorders>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CQC报告管理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系统针对“电子、电器等”CCC检验提供CQC报告管理功能，包括CQC报告编制、CQC报告审核、CQC报告签发。</w:t>
              <w:br w:type="textWrapping" w:clear="all"/>
              <w:t xml:space="preserve">（1）报告编制：系统应支持CQC报告封面/首页/报告组成/设备使用日志/封底的模板化自动生成。需支持三种方式生成附页（快捷报表生成、由模板生成、上传附件生成），支持多附页。</w:t>
              <w:br w:type="textWrapping" w:clear="all"/>
              <w:t xml:space="preserve">（2）报告审核与签发：系统应支持CQC报告的分部分预览，以及PDF形式整体预览。支持打回（可选择打回节点）。支持批量提交，支持自动加盖电子签名。</w:t>
            </w:r>
            <w:r/>
          </w:p>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5）系统应提供报告模板自定义的能力，基于国产WPS模板自动生成报告。报告模板可由用户在非编码的情况下自定义。</w:t>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5</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原始记录出入库</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原始记录出入库</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系统应提供原始记录出入库管理功能，需支持通过选择/扫码原始记录条码方式进行入库、出库登记。应支持记录原始记录存放的档案柜位置、出入库时间、出入库人员等信息。</w:t>
            </w:r>
            <w:r/>
          </w:p>
        </w:tc>
      </w:tr>
      <w:tr>
        <w:trPr>
          <w:cantSplit/>
          <w:trHeight w:val="810"/>
        </w:trPr>
        <w:tc>
          <w:tcPr>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6</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资源管理</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人员管理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人员管理模块可以建立个人信息档案库，包括人员的基本信息、培训记录、检验员证书、个人简历等相关信息的全面管理。各个检验科室的操作人员，应通过相应的培训，得到证书后方有资格进行相关操作，因而检验员证书管理包括方法证书和试验设备授权的统一管理。</w:t>
            </w:r>
            <w:r/>
          </w:p>
        </w:tc>
      </w:tr>
      <w:tr>
        <w:trPr>
          <w:cantSplit/>
          <w:trHeight w:val="1350"/>
        </w:trPr>
        <w:tc>
          <w:tcPr>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设备管理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仪器设备管理模块。包括但不限于：设备管理模块应包含一个设备台账，能够对所有检测设备的相关要素进行有效分类管理；能够自动计算设备的有效期、能够上传设备的相关内容附件。需要能针对设备的检定校准、维修、期间核查申请、审核等能够有带流程的相关功能设计。需要能够查看设备生成的相关记录。需要提供相关的设备预警信息。能够提供可自定义的各种设备信息相关的报告和统计查询。能够与二维条码应用紧密结合。</w:t>
            </w:r>
            <w:r/>
          </w:p>
        </w:tc>
      </w:tr>
      <w:tr>
        <w:trPr>
          <w:cantSplit/>
          <w:trHeight w:val="540"/>
        </w:trPr>
        <w:tc>
          <w:tcPr>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标准物质</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系统应能够支持对标准物质等检测时需使用并有储存期限的标准物质、标准溶液，管理其分类、库存位置、库存数量（入库、领用、损耗等）、预警提示（有效期，数量等）信息等。</w:t>
            </w:r>
            <w:r/>
          </w:p>
        </w:tc>
      </w:tr>
      <w:tr>
        <w:trPr>
          <w:cantSplit/>
          <w:trHeight w:val="540"/>
        </w:trPr>
        <w:tc>
          <w:tcPr>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试剂管理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应支持试剂采购与库存维护管理，包括试剂出入库、库存预警设置、有效期设置和供应商评价等。</w:t>
            </w:r>
            <w:r/>
          </w:p>
        </w:tc>
      </w:tr>
      <w:tr>
        <w:trPr>
          <w:cantSplit/>
          <w:trHeight w:val="540"/>
        </w:trPr>
        <w:tc>
          <w:tcPr>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供应商管理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系统应支持对供应商档案信息管理，包括供应商基本信息、供应商评价内容，应支持供应商附件介绍上传功能。</w:t>
            </w:r>
            <w:r/>
          </w:p>
        </w:tc>
      </w:tr>
      <w:tr>
        <w:trPr>
          <w:cantSplit/>
          <w:trHeight w:val="1890"/>
        </w:trPr>
        <w:tc>
          <w:tcPr>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before="182" w:line="299" w:lineRule="auto"/>
              <w:rPr>
                <w:rFonts w:hint="eastAsia" w:ascii="等线" w:hAnsi="等线" w:eastAsia="等线" w:cs="等线"/>
                <w:szCs w:val="21"/>
              </w:rPr>
            </w:pPr>
            <w:r>
              <w:rPr>
                <w:rFonts w:ascii="宋体" w:hAnsi="宋体"/>
                <w:color w:val="000000"/>
                <w:sz w:val="24"/>
                <w:szCs w:val="24"/>
              </w:rPr>
              <w:t xml:space="preserve">▲</w:t>
            </w:r>
            <w:r>
              <w:rPr>
                <w:rFonts w:hint="eastAsia" w:ascii="等线" w:hAnsi="等线" w:eastAsia="等线" w:cs="等线"/>
                <w:szCs w:val="21"/>
              </w:rPr>
              <w:t xml:space="preserve">标准及检验能力库</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szCs w:val="21"/>
              </w:rPr>
            </w:pPr>
            <w:r>
              <w:rPr>
                <w:rFonts w:hint="eastAsia" w:ascii="等线" w:hAnsi="等线" w:eastAsia="等线" w:cs="等线"/>
                <w:szCs w:val="21"/>
              </w:rPr>
              <w:t xml:space="preserve">本次标准及检验项目库的功能建设，需基于现有LIMS系统标准库、检项库成果，并无缝集成其成果数据和关系结构，采用“产品-标准-项目”模式与相关检测产品和检测参数关联。检验项目库灵活可配置，用户在无需编程辅助的情况下，可灵活调整承检产品（样品）的分类、子类名称，可有效管理标准方法，可有效管理与标准对应的检验项目（并支持多条件标准值）。</w:t>
              <w:br w:type="textWrapping" w:clear="all"/>
              <w:t xml:space="preserve">应能够有效支撑LIMS检验业务过程，提供检验标准、检验方法、检验项目的选择调用与自动关联填充。</w:t>
            </w:r>
            <w:r>
              <w:rPr>
                <w:szCs w:val="21"/>
              </w:rPr>
            </w:r>
            <w:r/>
          </w:p>
          <w:p>
            <w:pPr>
              <w:pStyle w:val="884"/>
              <w:jc w:val="left"/>
              <w:spacing w:line="360" w:lineRule="auto"/>
              <w:rPr>
                <w:szCs w:val="21"/>
              </w:rPr>
            </w:pPr>
            <w:r>
              <w:rPr>
                <w:rFonts w:hint="eastAsia" w:ascii="等线" w:hAnsi="等线" w:eastAsia="等线" w:cs="等线"/>
              </w:rPr>
              <w:t xml:space="preserve">（需提供检验标准、方法或项目（至少一类）的调用与关联功能截图）</w:t>
            </w:r>
            <w:r>
              <w:rPr>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7</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质量管理</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质量管理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系统应提供质量管理功能，需包括但不限于实验室体系文件、内部审核、管理评审、业务质量 (报告抽查/返工) 和投诉管理功能等。</w:t>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8</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统计查询</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统计查询</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系统应提供常用统计查询功能，包括：所有功能界面中，模糊组合查询并一键到处Excel报表，综合统计和查询、任务类统计、收费类统计、一览表、自定义统计查询等。</w:t>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9</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设备数据采集</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设备数据采集</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供应商针提供设备数据采集功能，能够对对本院试点实验室设备进行数据采集试，包括带工作站的大型设备和串口类设备。采集设备台套数不低于20台，为后续规模化推广、全面建设奠定基础。数据采集系统能够电子原始记录无缝集成，能够与LIMS业务无缝集成；供应商应详细描述数据采集系统的原理、实现方式。</w:t>
            </w:r>
            <w:r/>
          </w:p>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供应商需提供OCR采集功能，用以对特殊类设备以及文本类识别，并与LIMS无缝集成。</w:t>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10</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其他</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其他</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食品国抽：升级改造后保障食品国抽系统的相应改造和升级；</w:t>
            </w:r>
            <w:r/>
          </w:p>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CA签章：升级改造后保障CA签章的相应改造和升级；</w:t>
            </w:r>
            <w:r/>
          </w:p>
        </w:tc>
      </w:tr>
      <w:tr>
        <w:trPr>
          <w:trHeight w:val="27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11</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系统集成迁移</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系统集成迁移</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eastAsia="等线" w:cs="等线"/>
                <w:szCs w:val="21"/>
              </w:rPr>
            </w:pPr>
            <w:r>
              <w:rPr>
                <w:rFonts w:hint="eastAsia" w:ascii="等线" w:hAnsi="等线" w:eastAsia="等线" w:cs="等线"/>
                <w:szCs w:val="21"/>
              </w:rPr>
              <w:t xml:space="preserve">系统应实现现有国抽对接功能、省抽对接功能、OA（拓展OA延期审批）、网上受理等对接功能的迁移。</w:t>
            </w:r>
            <w:r/>
          </w:p>
        </w:tc>
      </w:tr>
      <w:tr>
        <w:trPr>
          <w:trHeight w:val="540"/>
        </w:trPr>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12</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历史数据迁移</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4"/>
              <w:spacing w:line="360" w:lineRule="auto"/>
              <w:rPr>
                <w:rFonts w:hint="eastAsia" w:ascii="等线" w:hAnsi="等线" w:eastAsia="等线" w:cs="等线"/>
                <w:szCs w:val="21"/>
              </w:rPr>
            </w:pPr>
            <w:r>
              <w:rPr>
                <w:rFonts w:hint="eastAsia" w:ascii="等线" w:hAnsi="等线" w:eastAsia="等线" w:cs="等线"/>
                <w:szCs w:val="21"/>
              </w:rPr>
              <w:t xml:space="preserve">历史数据迁移</w:t>
            </w:r>
            <w:r/>
          </w:p>
        </w:tc>
        <w:tc>
          <w:tcPr>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pStyle w:val="884"/>
              <w:jc w:val="left"/>
              <w:spacing w:line="360" w:lineRule="auto"/>
              <w:rPr>
                <w:rFonts w:hint="eastAsia" w:ascii="等线" w:hAnsi="等线" w:cs="等线"/>
                <w:szCs w:val="21"/>
              </w:rPr>
            </w:pPr>
            <w:r>
              <w:rPr>
                <w:rFonts w:hint="eastAsia" w:ascii="等线" w:hAnsi="等线" w:eastAsia="等线" w:cs="等线"/>
                <w:szCs w:val="21"/>
              </w:rPr>
              <w:t xml:space="preserve">本项目系统部署后，供应商应负责完成原系统所有历史数据的迁移，包括但不限于基础信息、检测结果信息、报告文件信息等，确保新系统对原历史数据的正常查询与访问。</w:t>
            </w:r>
            <w:r>
              <w:rPr>
                <w:rFonts w:hint="eastAsia" w:ascii="等线" w:hAnsi="等线" w:cs="等线"/>
                <w:szCs w:val="21"/>
              </w:rPr>
            </w:r>
            <w:r/>
          </w:p>
        </w:tc>
      </w:tr>
    </w:tbl>
    <w:p>
      <w:pPr>
        <w:pStyle w:val="884"/>
        <w:rPr>
          <w:rFonts w:hint="eastAsia" w:ascii="宋体" w:hAnsi="宋体"/>
          <w:b/>
          <w:sz w:val="24"/>
        </w:rPr>
      </w:pPr>
      <w:r>
        <w:rPr>
          <w:rFonts w:hint="eastAsia" w:ascii="宋体" w:hAnsi="宋体"/>
          <w:b/>
          <w:sz w:val="24"/>
        </w:rPr>
      </w:r>
      <w:r/>
    </w:p>
    <w:p>
      <w:pPr>
        <w:pStyle w:val="884"/>
        <w:spacing w:line="360" w:lineRule="auto"/>
        <w:rPr>
          <w:rFonts w:hint="eastAsia" w:ascii="宋体" w:hAnsi="宋体" w:cs="宋体"/>
          <w:b/>
          <w:bCs/>
          <w:i/>
          <w:iCs/>
          <w:sz w:val="24"/>
          <w:u w:val="single"/>
        </w:rPr>
      </w:pPr>
      <w:r>
        <w:rPr>
          <w:rFonts w:hint="eastAsia" w:ascii="宋体" w:hAnsi="宋体" w:cs="宋体"/>
          <w:b/>
          <w:sz w:val="24"/>
        </w:rPr>
        <w:t xml:space="preserve">说明：以上</w:t>
      </w:r>
      <w:r>
        <w:rPr>
          <w:rFonts w:ascii="宋体" w:hAnsi="宋体"/>
          <w:color w:val="000000"/>
          <w:sz w:val="24"/>
          <w:szCs w:val="24"/>
        </w:rPr>
        <w:t xml:space="preserve">▲</w:t>
      </w:r>
      <w:r>
        <w:rPr>
          <w:rFonts w:hint="eastAsia" w:ascii="宋体" w:hAnsi="宋体"/>
          <w:b/>
          <w:sz w:val="24"/>
        </w:rPr>
        <w:t xml:space="preserve">项为重要参数。采购方如果在实施过程发现系统无法满足这些功能将有权不予验收，因此引起的所有后果由供应商自行承担。</w:t>
      </w:r>
      <w:r>
        <w:rPr>
          <w:rFonts w:hint="eastAsia" w:ascii="宋体" w:hAnsi="宋体" w:cs="宋体"/>
          <w:b/>
          <w:bCs/>
          <w:i/>
          <w:iCs/>
          <w:sz w:val="24"/>
          <w:u w:val="single"/>
        </w:rPr>
        <w:t xml:space="preserve">斜体下划线为实质性要求参数，不满足为无效响应。</w:t>
      </w:r>
      <w:r/>
    </w:p>
    <w:p>
      <w:pPr>
        <w:pStyle w:val="884"/>
        <w:rPr>
          <w:rFonts w:hint="eastAsia" w:ascii="宋体" w:hAnsi="宋体"/>
          <w:b/>
          <w:bCs/>
          <w:sz w:val="28"/>
          <w:szCs w:val="28"/>
        </w:rPr>
      </w:pPr>
      <w:r>
        <w:rPr>
          <w:rFonts w:hint="eastAsia" w:ascii="宋体" w:hAnsi="宋体"/>
          <w:b/>
          <w:bCs/>
          <w:sz w:val="28"/>
          <w:szCs w:val="28"/>
        </w:rPr>
        <w:t xml:space="preserve">三、商务要求</w:t>
      </w:r>
      <w:r/>
    </w:p>
    <w:p>
      <w:pPr>
        <w:pStyle w:val="884"/>
        <w:ind w:firstLine="482"/>
        <w:spacing w:line="460" w:lineRule="exact"/>
        <w:rPr>
          <w:rFonts w:hint="eastAsia" w:ascii="宋体" w:hAnsi="宋体" w:cs="宋体"/>
          <w:b/>
          <w:sz w:val="24"/>
        </w:rPr>
      </w:pPr>
      <w:r>
        <w:rPr>
          <w:rFonts w:hint="eastAsia" w:ascii="宋体" w:hAnsi="宋体" w:cs="宋体"/>
          <w:b/>
          <w:sz w:val="24"/>
        </w:rPr>
        <w:t xml:space="preserve">（一）质保及售后技术服务要求</w:t>
      </w:r>
      <w:r/>
    </w:p>
    <w:p>
      <w:pPr>
        <w:pStyle w:val="884"/>
        <w:ind w:firstLine="480"/>
        <w:spacing w:before="62" w:line="46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1</w:t>
      </w:r>
      <w:r>
        <w:rPr>
          <w:rFonts w:ascii="宋体" w:hAnsi="宋体"/>
          <w:bCs/>
          <w:sz w:val="24"/>
        </w:rPr>
        <w:t xml:space="preserve">质保期：</w:t>
      </w:r>
      <w:r>
        <w:rPr>
          <w:rFonts w:hint="eastAsia" w:ascii="宋体" w:hAnsi="宋体"/>
          <w:bCs/>
          <w:sz w:val="24"/>
        </w:rPr>
        <w:t xml:space="preserve">承诺整套系统质保期1年</w:t>
      </w:r>
      <w:r>
        <w:rPr>
          <w:rFonts w:ascii="宋体" w:hAnsi="宋体"/>
          <w:bCs/>
          <w:sz w:val="24"/>
        </w:rPr>
        <w:t xml:space="preserve">（</w:t>
      </w:r>
      <w:r>
        <w:rPr>
          <w:rFonts w:hint="eastAsia" w:ascii="宋体" w:hAnsi="宋体"/>
          <w:bCs/>
          <w:sz w:val="24"/>
        </w:rPr>
        <w:t xml:space="preserve">自甲方验收合格之日起计算为准</w:t>
      </w:r>
      <w:r>
        <w:rPr>
          <w:rFonts w:ascii="宋体" w:hAnsi="宋体"/>
          <w:bCs/>
          <w:sz w:val="24"/>
        </w:rPr>
        <w:t xml:space="preserve">）。</w:t>
      </w:r>
      <w:r>
        <w:rPr>
          <w:rFonts w:hint="eastAsia" w:ascii="宋体" w:hAnsi="宋体"/>
          <w:bCs/>
          <w:sz w:val="24"/>
        </w:rPr>
        <w:t xml:space="preserve">质保期内，软件版本内免费升级。</w:t>
      </w:r>
      <w:r/>
    </w:p>
    <w:p>
      <w:pPr>
        <w:pStyle w:val="884"/>
        <w:ind w:firstLine="480"/>
        <w:spacing w:before="62" w:line="460" w:lineRule="exact"/>
        <w:rPr>
          <w:rFonts w:hint="eastAsia" w:ascii="宋体" w:hAnsi="宋体" w:cs="宋体"/>
          <w:b/>
          <w:bCs/>
          <w:i/>
          <w:iCs/>
          <w:sz w:val="24"/>
          <w:u w:val="single"/>
        </w:rPr>
      </w:pPr>
      <w:r>
        <w:rPr>
          <w:rFonts w:hint="eastAsia" w:ascii="宋体" w:hAnsi="宋体" w:cs="宋体"/>
          <w:b/>
          <w:bCs/>
          <w:i/>
          <w:iCs/>
          <w:sz w:val="24"/>
          <w:u w:val="single"/>
        </w:rPr>
        <w:t xml:space="preserve">1.2质保期满后如仍由成交供应商负责维保的相关要求：供应商质保期后年维保费用上限为合同额的4.5%，如有政策变化，则以新政策要求为准</w:t>
      </w:r>
      <w:r>
        <w:rPr>
          <w:rFonts w:hint="eastAsia" w:ascii="等线" w:hAnsi="等线" w:eastAsia="等线" w:cs="等线"/>
          <w:b/>
          <w:i/>
          <w:sz w:val="24"/>
          <w:u w:val="single"/>
        </w:rPr>
        <w:t xml:space="preserve">（提供加盖公章的承诺函）</w:t>
      </w:r>
      <w:r>
        <w:rPr>
          <w:rFonts w:hint="eastAsia" w:ascii="宋体" w:hAnsi="宋体" w:cs="宋体"/>
          <w:b/>
          <w:bCs/>
          <w:i/>
          <w:iCs/>
          <w:sz w:val="24"/>
          <w:u w:val="single"/>
        </w:rPr>
        <w:t xml:space="preserve">。</w:t>
      </w:r>
      <w:r/>
    </w:p>
    <w:p>
      <w:pPr>
        <w:pStyle w:val="884"/>
        <w:ind w:firstLine="482"/>
        <w:spacing w:line="460" w:lineRule="exact"/>
        <w:rPr>
          <w:rFonts w:hint="eastAsia" w:ascii="宋体" w:hAnsi="宋体"/>
          <w:bCs/>
          <w:sz w:val="24"/>
        </w:rPr>
      </w:pPr>
      <w:r>
        <w:rPr>
          <w:rFonts w:hint="eastAsia" w:ascii="宋体" w:hAnsi="宋体"/>
          <w:bCs/>
          <w:sz w:val="24"/>
        </w:rPr>
        <w:t xml:space="preserve">1.3售后技术服务要求：供应商应配备至少1名售后实施技术人员，确保维保期电话30分钟响应，8小时内到现场，24小时内解决问题。</w:t>
      </w:r>
      <w:r/>
    </w:p>
    <w:p>
      <w:pPr>
        <w:pStyle w:val="884"/>
        <w:ind w:firstLine="482"/>
        <w:spacing w:line="460" w:lineRule="exact"/>
        <w:rPr>
          <w:rFonts w:hint="eastAsia" w:ascii="宋体" w:hAnsi="宋体" w:cs="宋体"/>
          <w:b/>
          <w:sz w:val="24"/>
          <w:highlight w:val="white"/>
        </w:rPr>
      </w:pPr>
      <w:r>
        <w:rPr>
          <w:rFonts w:hint="eastAsia" w:ascii="宋体" w:hAnsi="宋体" w:cs="宋体"/>
          <w:b/>
          <w:sz w:val="24"/>
          <w:highlight w:val="white"/>
        </w:rPr>
        <w:t xml:space="preserve">（二）交</w:t>
      </w:r>
      <w:r>
        <w:rPr>
          <w:rFonts w:hint="eastAsia" w:ascii="宋体" w:hAnsi="宋体" w:cs="宋体"/>
          <w:b/>
          <w:sz w:val="24"/>
          <w:highlight w:val="white"/>
        </w:rPr>
        <w:t xml:space="preserve">付</w:t>
      </w:r>
      <w:r>
        <w:rPr>
          <w:rFonts w:hint="eastAsia" w:ascii="宋体" w:hAnsi="宋体" w:cs="宋体"/>
          <w:b/>
          <w:sz w:val="24"/>
          <w:highlight w:val="white"/>
        </w:rPr>
        <w:t xml:space="preserve">期、交</w:t>
      </w:r>
      <w:r>
        <w:rPr>
          <w:rFonts w:hint="eastAsia" w:ascii="宋体" w:hAnsi="宋体" w:cs="宋体"/>
          <w:b/>
          <w:sz w:val="24"/>
          <w:highlight w:val="white"/>
        </w:rPr>
        <w:t xml:space="preserve">付</w:t>
      </w:r>
      <w:r>
        <w:rPr>
          <w:rFonts w:hint="eastAsia" w:ascii="宋体" w:hAnsi="宋体" w:cs="宋体"/>
          <w:b/>
          <w:sz w:val="24"/>
          <w:highlight w:val="white"/>
        </w:rPr>
        <w:t xml:space="preserve">方式及交</w:t>
      </w:r>
      <w:r>
        <w:rPr>
          <w:rFonts w:hint="eastAsia" w:ascii="宋体" w:hAnsi="宋体" w:cs="宋体"/>
          <w:b/>
          <w:sz w:val="24"/>
          <w:highlight w:val="white"/>
        </w:rPr>
        <w:t xml:space="preserve">付</w:t>
      </w:r>
      <w:r>
        <w:rPr>
          <w:rFonts w:hint="eastAsia" w:ascii="宋体" w:hAnsi="宋体" w:cs="宋体"/>
          <w:b/>
          <w:sz w:val="24"/>
          <w:highlight w:val="white"/>
        </w:rPr>
        <w:t xml:space="preserve">地点</w:t>
      </w:r>
      <w:r>
        <w:rPr>
          <w:highlight w:val="white"/>
        </w:rPr>
      </w:r>
      <w:r/>
    </w:p>
    <w:p>
      <w:pPr>
        <w:pStyle w:val="884"/>
        <w:ind w:firstLine="480"/>
        <w:spacing w:line="460" w:lineRule="exact"/>
        <w:rPr>
          <w:rFonts w:hint="eastAsia" w:ascii="宋体" w:hAnsi="宋体" w:cs="宋体"/>
          <w:b/>
          <w:bCs/>
          <w:i/>
          <w:sz w:val="24"/>
          <w:highlight w:val="white"/>
          <w:u w:val="single"/>
        </w:rPr>
      </w:pPr>
      <w:r>
        <w:rPr>
          <w:rFonts w:hint="eastAsia" w:ascii="宋体" w:hAnsi="宋体" w:cs="宋体"/>
          <w:b/>
          <w:bCs/>
          <w:i/>
          <w:sz w:val="24"/>
          <w:highlight w:val="white"/>
          <w:u w:val="single"/>
        </w:rPr>
        <w:t xml:space="preserve">2.1</w:t>
      </w:r>
      <w:bookmarkStart w:id="181" w:name="OLE_LINK3"/>
      <w:r>
        <w:rPr>
          <w:highlight w:val="white"/>
        </w:rPr>
      </w:r>
      <w:bookmarkStart w:id="182" w:name="OLE_LINK4"/>
      <w:r>
        <w:rPr>
          <w:rFonts w:hint="eastAsia" w:ascii="宋体" w:hAnsi="宋体" w:cs="宋体"/>
          <w:b/>
          <w:bCs/>
          <w:i/>
          <w:sz w:val="24"/>
          <w:highlight w:val="white"/>
          <w:u w:val="single"/>
        </w:rPr>
        <w:t xml:space="preserve">交</w:t>
      </w:r>
      <w:r>
        <w:rPr>
          <w:rFonts w:hint="eastAsia" w:ascii="宋体" w:hAnsi="宋体" w:cs="宋体"/>
          <w:b/>
          <w:bCs/>
          <w:i/>
          <w:sz w:val="24"/>
          <w:highlight w:val="white"/>
          <w:u w:val="single"/>
        </w:rPr>
        <w:t xml:space="preserve">付</w:t>
      </w:r>
      <w:r>
        <w:rPr>
          <w:rFonts w:hint="eastAsia" w:ascii="宋体" w:hAnsi="宋体" w:cs="宋体"/>
          <w:b/>
          <w:bCs/>
          <w:i/>
          <w:sz w:val="24"/>
          <w:highlight w:val="white"/>
          <w:u w:val="single"/>
        </w:rPr>
        <w:t xml:space="preserve">期：</w:t>
      </w:r>
      <w:r>
        <w:rPr>
          <w:rFonts w:hint="eastAsia" w:ascii="宋体" w:hAnsi="宋体"/>
          <w:b/>
          <w:i/>
          <w:sz w:val="24"/>
          <w:highlight w:val="white"/>
          <w:u w:val="single"/>
        </w:rPr>
        <w:t xml:space="preserve">合同签订后180天内</w:t>
      </w:r>
      <w:r>
        <w:rPr>
          <w:rFonts w:hint="eastAsia" w:ascii="等线" w:hAnsi="等线" w:eastAsia="等线" w:cs="等线"/>
          <w:b/>
          <w:i/>
          <w:sz w:val="24"/>
          <w:highlight w:val="white"/>
          <w:u w:val="single"/>
        </w:rPr>
        <w:t xml:space="preserve">（提供加盖公章的承诺函）</w:t>
      </w:r>
      <w:r>
        <w:rPr>
          <w:rFonts w:hint="eastAsia" w:ascii="宋体" w:hAnsi="宋体"/>
          <w:b/>
          <w:i/>
          <w:sz w:val="24"/>
          <w:highlight w:val="white"/>
          <w:u w:val="single"/>
        </w:rPr>
        <w:t xml:space="preserve">。</w:t>
      </w:r>
      <w:bookmarkEnd w:id="181"/>
      <w:r>
        <w:rPr>
          <w:highlight w:val="white"/>
        </w:rPr>
      </w:r>
      <w:bookmarkEnd w:id="182"/>
      <w:r>
        <w:rPr>
          <w:highlight w:val="white"/>
        </w:rPr>
      </w:r>
      <w:r/>
    </w:p>
    <w:p>
      <w:pPr>
        <w:pStyle w:val="884"/>
        <w:ind w:firstLine="480"/>
        <w:spacing w:line="460" w:lineRule="exact"/>
        <w:rPr>
          <w:rFonts w:hint="eastAsia" w:ascii="宋体" w:hAnsi="宋体"/>
          <w:bCs/>
          <w:sz w:val="24"/>
          <w:highlight w:val="white"/>
        </w:rPr>
      </w:pPr>
      <w:r>
        <w:rPr>
          <w:rFonts w:hint="eastAsia" w:ascii="宋体" w:hAnsi="宋体"/>
          <w:bCs/>
          <w:sz w:val="24"/>
          <w:highlight w:val="white"/>
        </w:rPr>
        <w:t xml:space="preserve">2.2交</w:t>
      </w:r>
      <w:r>
        <w:rPr>
          <w:rFonts w:hint="eastAsia" w:ascii="宋体" w:hAnsi="宋体"/>
          <w:bCs/>
          <w:sz w:val="24"/>
          <w:highlight w:val="white"/>
        </w:rPr>
        <w:t xml:space="preserve">付</w:t>
      </w:r>
      <w:r>
        <w:rPr>
          <w:rFonts w:hint="eastAsia" w:ascii="宋体" w:hAnsi="宋体"/>
          <w:bCs/>
          <w:sz w:val="24"/>
          <w:highlight w:val="white"/>
        </w:rPr>
        <w:t xml:space="preserve">方式：中标人在买方指定地点交货，并完成安装、调试。</w:t>
      </w:r>
      <w:r>
        <w:rPr>
          <w:highlight w:val="white"/>
        </w:rPr>
      </w:r>
      <w:r/>
    </w:p>
    <w:p>
      <w:pPr>
        <w:pStyle w:val="884"/>
        <w:ind w:firstLine="480"/>
        <w:spacing w:line="460" w:lineRule="exact"/>
        <w:rPr>
          <w:rFonts w:hint="eastAsia" w:ascii="宋体" w:hAnsi="宋体"/>
          <w:bCs/>
          <w:sz w:val="24"/>
        </w:rPr>
      </w:pPr>
      <w:r>
        <w:rPr>
          <w:rFonts w:hint="eastAsia" w:ascii="宋体" w:hAnsi="宋体"/>
          <w:bCs/>
          <w:sz w:val="24"/>
          <w:highlight w:val="white"/>
        </w:rPr>
        <w:t xml:space="preserve">2.3交</w:t>
      </w:r>
      <w:r>
        <w:rPr>
          <w:rFonts w:hint="eastAsia" w:ascii="宋体" w:hAnsi="宋体"/>
          <w:bCs/>
          <w:sz w:val="24"/>
          <w:highlight w:val="white"/>
        </w:rPr>
        <w:t xml:space="preserve">付</w:t>
      </w:r>
      <w:r>
        <w:rPr>
          <w:rFonts w:hint="eastAsia" w:ascii="宋体" w:hAnsi="宋体"/>
          <w:bCs/>
          <w:sz w:val="24"/>
          <w:highlight w:val="white"/>
        </w:rPr>
        <w:t xml:space="preserve">地点：采购人指定地点。</w:t>
      </w:r>
      <w:r>
        <w:rPr>
          <w:rFonts w:hint="eastAsia" w:ascii="宋体" w:hAnsi="宋体"/>
          <w:bCs/>
          <w:sz w:val="24"/>
        </w:rPr>
      </w:r>
      <w:r/>
    </w:p>
    <w:p>
      <w:pPr>
        <w:pStyle w:val="884"/>
        <w:ind w:firstLine="482"/>
        <w:spacing w:line="460" w:lineRule="exact"/>
        <w:rPr>
          <w:rFonts w:hint="eastAsia" w:ascii="宋体" w:hAnsi="宋体" w:cs="宋体"/>
          <w:b/>
          <w:sz w:val="24"/>
        </w:rPr>
      </w:pPr>
      <w:r>
        <w:rPr>
          <w:rFonts w:hint="eastAsia" w:ascii="宋体" w:hAnsi="宋体" w:cs="宋体"/>
          <w:b/>
          <w:sz w:val="24"/>
        </w:rPr>
        <w:t xml:space="preserve">（三）款</w:t>
      </w:r>
      <w:r>
        <w:rPr>
          <w:rFonts w:hint="eastAsia" w:ascii="宋体" w:hAnsi="宋体" w:cs="宋体"/>
          <w:b/>
          <w:sz w:val="24"/>
        </w:rPr>
        <w:t xml:space="preserve">项</w:t>
      </w:r>
      <w:r>
        <w:rPr>
          <w:rFonts w:hint="eastAsia" w:ascii="宋体" w:hAnsi="宋体" w:cs="宋体"/>
          <w:b/>
          <w:sz w:val="24"/>
        </w:rPr>
        <w:t xml:space="preserve">支付</w:t>
      </w:r>
      <w:r/>
    </w:p>
    <w:p>
      <w:pPr>
        <w:pStyle w:val="884"/>
        <w:ind w:firstLine="480"/>
        <w:spacing w:line="360" w:lineRule="auto"/>
        <w:rPr>
          <w:rFonts w:hint="eastAsia" w:ascii="宋体" w:hAnsi="宋体"/>
          <w:bCs/>
          <w:sz w:val="24"/>
        </w:rPr>
      </w:pPr>
      <w:r>
        <w:rPr>
          <w:rFonts w:hint="eastAsia" w:ascii="宋体" w:hAnsi="宋体"/>
          <w:bCs/>
          <w:sz w:val="24"/>
        </w:rPr>
        <w:t xml:space="preserve">合同签订后30日内，凭发票支付合同总价的30%；项目经采购人验收合格，签署验收报告后30日内，凭发票</w:t>
      </w:r>
      <w:r>
        <w:rPr>
          <w:rFonts w:ascii="宋体" w:hAnsi="宋体"/>
          <w:bCs/>
          <w:sz w:val="24"/>
        </w:rPr>
        <w:t xml:space="preserve">支付</w:t>
      </w:r>
      <w:r>
        <w:rPr>
          <w:rFonts w:hint="eastAsia" w:ascii="宋体" w:hAnsi="宋体"/>
          <w:bCs/>
          <w:sz w:val="24"/>
        </w:rPr>
        <w:t xml:space="preserve">合同余款。</w:t>
      </w:r>
      <w:r/>
    </w:p>
    <w:p>
      <w:pPr>
        <w:pStyle w:val="884"/>
        <w:numPr>
          <w:ilvl w:val="0"/>
          <w:numId w:val="4"/>
        </w:num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履约保证金或保函</w:t>
      </w:r>
      <w:r/>
    </w:p>
    <w:p>
      <w:pPr>
        <w:pStyle w:val="884"/>
        <w:ind w:firstLine="480"/>
        <w:spacing w:line="360" w:lineRule="auto"/>
        <w:rPr>
          <w:rFonts w:hint="eastAsia" w:ascii="宋体" w:hAnsi="宋体"/>
          <w:bCs/>
          <w:color w:val="000000"/>
          <w:sz w:val="24"/>
        </w:rPr>
      </w:pPr>
      <w:r>
        <w:rPr>
          <w:rFonts w:hint="eastAsia" w:ascii="宋体" w:hAnsi="宋体"/>
          <w:bCs/>
          <w:color w:val="000000"/>
          <w:sz w:val="24"/>
        </w:rPr>
        <w:t xml:space="preserve">合同签订后20日内，供应商应当支付合同额的5%到甲方账户作为履约保证金，或提供相应金额的履约保函。甲方在1年质保期满后10天内退回供应商。</w:t>
      </w:r>
      <w:r/>
    </w:p>
    <w:p>
      <w:pPr>
        <w:pStyle w:val="884"/>
        <w:ind w:firstLine="482"/>
        <w:spacing w:line="360" w:lineRule="auto"/>
        <w:rPr>
          <w:rFonts w:hint="eastAsia" w:ascii="宋体" w:hAnsi="宋体" w:cs="宋体"/>
          <w:b/>
          <w:sz w:val="24"/>
        </w:rPr>
      </w:pPr>
      <w:r>
        <w:rPr>
          <w:rFonts w:hint="eastAsia" w:ascii="宋体" w:hAnsi="宋体" w:cs="宋体"/>
          <w:b/>
          <w:sz w:val="24"/>
        </w:rPr>
        <w:t xml:space="preserve">（五）团队要求</w:t>
      </w:r>
      <w:r/>
    </w:p>
    <w:p>
      <w:pPr>
        <w:pStyle w:val="884"/>
        <w:ind w:firstLine="480"/>
        <w:spacing w:line="360" w:lineRule="auto"/>
        <w:rPr>
          <w:rFonts w:hint="eastAsia" w:ascii="宋体" w:hAnsi="宋体"/>
          <w:bCs/>
          <w:sz w:val="24"/>
        </w:rPr>
      </w:pPr>
      <w:r>
        <w:rPr>
          <w:rFonts w:hint="eastAsia" w:ascii="宋体" w:hAnsi="宋体"/>
          <w:bCs/>
          <w:sz w:val="24"/>
        </w:rPr>
        <w:t xml:space="preserve">4.1供应商针对本项目组建的项目团队不得少于15人，未经甲方书面允许的情况下，不得更换人员。</w:t>
      </w:r>
      <w:r/>
    </w:p>
    <w:p>
      <w:pPr>
        <w:pStyle w:val="884"/>
        <w:ind w:firstLine="480"/>
        <w:spacing w:line="360" w:lineRule="auto"/>
        <w:rPr>
          <w:rFonts w:hint="eastAsia" w:ascii="宋体" w:hAnsi="宋体"/>
          <w:bCs/>
          <w:sz w:val="24"/>
        </w:rPr>
      </w:pPr>
      <w:r>
        <w:rPr>
          <w:rFonts w:hint="eastAsia" w:ascii="宋体" w:hAnsi="宋体"/>
          <w:bCs/>
          <w:sz w:val="24"/>
        </w:rPr>
        <w:t xml:space="preserve">4.2其中供应商针对本项目投入甲方现场的驻场实施人员不得少于3人，且须在项目团队中标明具体人员。</w:t>
      </w:r>
      <w:r/>
    </w:p>
    <w:p>
      <w:pPr>
        <w:pStyle w:val="884"/>
        <w:spacing w:line="460" w:lineRule="exact"/>
        <w:rPr>
          <w:rFonts w:hint="eastAsia" w:ascii="宋体" w:hAnsi="宋体"/>
          <w:b/>
          <w:bCs/>
          <w:sz w:val="28"/>
          <w:szCs w:val="28"/>
        </w:rPr>
      </w:pPr>
      <w:r>
        <w:rPr>
          <w:rFonts w:hint="eastAsia" w:ascii="宋体" w:hAnsi="宋体"/>
          <w:b/>
          <w:bCs/>
          <w:sz w:val="28"/>
          <w:szCs w:val="28"/>
        </w:rPr>
        <w:t xml:space="preserve">四、其他要求</w:t>
      </w:r>
      <w:r/>
    </w:p>
    <w:p>
      <w:pPr>
        <w:pStyle w:val="884"/>
        <w:ind w:firstLine="482"/>
        <w:spacing w:line="460" w:lineRule="exact"/>
        <w:rPr>
          <w:rFonts w:hint="eastAsia" w:ascii="宋体" w:hAnsi="宋体"/>
          <w:b/>
          <w:sz w:val="24"/>
        </w:rPr>
      </w:pPr>
      <w:r>
        <w:rPr>
          <w:rFonts w:hint="eastAsia" w:ascii="宋体" w:hAnsi="宋体"/>
          <w:b/>
          <w:sz w:val="24"/>
        </w:rPr>
        <w:t xml:space="preserve">（一）制定需求分析方案</w:t>
      </w:r>
      <w:r/>
    </w:p>
    <w:p>
      <w:pPr>
        <w:pStyle w:val="884"/>
        <w:ind w:firstLine="480"/>
        <w:spacing w:line="360" w:lineRule="auto"/>
        <w:rPr>
          <w:rFonts w:hint="eastAsia" w:ascii="宋体" w:hAnsi="宋体"/>
          <w:bCs/>
          <w:sz w:val="24"/>
        </w:rPr>
      </w:pPr>
      <w:r>
        <w:rPr>
          <w:rFonts w:hint="eastAsia" w:ascii="宋体" w:hAnsi="宋体"/>
          <w:bCs/>
          <w:sz w:val="24"/>
        </w:rPr>
        <w:t xml:space="preserve">供应商应根据磋商文件要求及本项目特点，了解采购人实际情况，项目需求，制定需求分析方案。对采购人提出的要求加以分析，形成需求分析方案，包含平台功能点一览表，性能要求，技术要求，环境要求等。实验室改造和系统对接等方面的需求和项目整体安排等内容。</w:t>
      </w:r>
      <w:r/>
    </w:p>
    <w:p>
      <w:pPr>
        <w:pStyle w:val="884"/>
        <w:ind w:firstLine="482"/>
        <w:spacing w:line="460" w:lineRule="exact"/>
        <w:rPr>
          <w:rFonts w:hint="eastAsia" w:ascii="宋体" w:hAnsi="宋体"/>
          <w:b/>
          <w:sz w:val="24"/>
        </w:rPr>
      </w:pPr>
      <w:r>
        <w:rPr>
          <w:rFonts w:hint="eastAsia" w:ascii="宋体" w:hAnsi="宋体"/>
          <w:b/>
          <w:sz w:val="24"/>
        </w:rPr>
        <w:t xml:space="preserve">（二）制订项目实施方案</w:t>
      </w:r>
      <w:r/>
    </w:p>
    <w:p>
      <w:pPr>
        <w:pStyle w:val="884"/>
        <w:ind w:firstLine="480"/>
        <w:spacing w:before="62" w:line="460" w:lineRule="exact"/>
        <w:rPr>
          <w:rFonts w:hint="eastAsia" w:ascii="宋体" w:hAnsi="宋体"/>
          <w:bCs/>
          <w:sz w:val="24"/>
        </w:rPr>
      </w:pPr>
      <w:r>
        <w:rPr>
          <w:rFonts w:hint="eastAsia" w:ascii="宋体" w:hAnsi="宋体"/>
          <w:bCs/>
          <w:sz w:val="24"/>
        </w:rPr>
        <w:t xml:space="preserve">供应商应</w:t>
      </w:r>
      <w:r>
        <w:rPr>
          <w:rFonts w:ascii="宋体" w:hAnsi="宋体"/>
          <w:bCs/>
          <w:sz w:val="24"/>
        </w:rPr>
        <w:t xml:space="preserve">根据</w:t>
      </w:r>
      <w:r>
        <w:rPr>
          <w:rFonts w:hint="eastAsia" w:ascii="宋体" w:hAnsi="宋体"/>
          <w:bCs/>
          <w:sz w:val="24"/>
        </w:rPr>
        <w:t xml:space="preserve">磋商</w:t>
      </w:r>
      <w:r>
        <w:rPr>
          <w:rFonts w:ascii="宋体" w:hAnsi="宋体"/>
          <w:bCs/>
          <w:sz w:val="24"/>
        </w:rPr>
        <w:t xml:space="preserve">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制订项目实施方案，包括全部系统的安装部署、联合调试方案、供货及安装各节点</w:t>
      </w:r>
      <w:r>
        <w:rPr>
          <w:rFonts w:ascii="宋体" w:hAnsi="宋体"/>
          <w:bCs/>
          <w:sz w:val="24"/>
        </w:rPr>
        <w:t xml:space="preserve">时间进度</w:t>
      </w:r>
      <w:r>
        <w:rPr>
          <w:rFonts w:hint="eastAsia" w:ascii="宋体" w:hAnsi="宋体"/>
          <w:bCs/>
          <w:sz w:val="24"/>
        </w:rPr>
        <w:t xml:space="preserve">、人员配置</w:t>
      </w:r>
      <w:r>
        <w:rPr>
          <w:rFonts w:ascii="宋体" w:hAnsi="宋体"/>
          <w:bCs/>
          <w:sz w:val="24"/>
        </w:rPr>
        <w:t xml:space="preserve">安排</w:t>
      </w:r>
      <w:r>
        <w:rPr>
          <w:rFonts w:hint="eastAsia" w:ascii="宋体" w:hAnsi="宋体"/>
          <w:bCs/>
          <w:sz w:val="24"/>
        </w:rPr>
        <w:t xml:space="preserve">；包括项目建设周期、项目建设管理、项目实施计划进度安排及项目测试等。实施方案应做到完整全面、科学可行，并有针对性，配备具有相应资质和经验的项目经理及技术服务人员，应服从采购人管理要求，确保在规定的交付时限内完成。</w:t>
      </w:r>
      <w:r/>
    </w:p>
    <w:p>
      <w:pPr>
        <w:pStyle w:val="884"/>
        <w:ind w:firstLine="480"/>
        <w:spacing w:line="460" w:lineRule="exact"/>
        <w:rPr>
          <w:rFonts w:hint="eastAsia" w:ascii="宋体" w:hAnsi="宋体"/>
          <w:b/>
          <w:sz w:val="24"/>
        </w:rPr>
      </w:pPr>
      <w:r>
        <w:rPr>
          <w:rFonts w:hint="eastAsia" w:ascii="宋体" w:hAnsi="宋体"/>
          <w:b/>
          <w:sz w:val="24"/>
        </w:rPr>
        <w:t xml:space="preserve">（三）制定数据迁移方案</w:t>
      </w:r>
      <w:r/>
    </w:p>
    <w:p>
      <w:pPr>
        <w:pStyle w:val="884"/>
        <w:ind w:firstLine="480"/>
        <w:spacing w:line="460" w:lineRule="exact"/>
        <w:rPr>
          <w:rFonts w:hint="eastAsia" w:ascii="宋体" w:hAnsi="宋体"/>
          <w:bCs/>
          <w:sz w:val="24"/>
        </w:rPr>
      </w:pPr>
      <w:r>
        <w:rPr>
          <w:rFonts w:hint="eastAsia" w:ascii="宋体" w:hAnsi="宋体"/>
          <w:bCs/>
          <w:sz w:val="24"/>
        </w:rPr>
        <w:t xml:space="preserve">供应商应根据采购人的现有系统和业务开展实际情况，分析研判该项目可能需要采取的数据迁移工作，及其潜在风险，</w:t>
      </w:r>
      <w:r>
        <w:rPr>
          <w:rFonts w:hint="eastAsia" w:ascii="等线" w:hAnsi="等线" w:eastAsia="等线" w:cs="等线"/>
          <w:sz w:val="24"/>
        </w:rPr>
        <w:t xml:space="preserve">制</w:t>
      </w:r>
      <w:r>
        <w:rPr>
          <w:rFonts w:hint="eastAsia" w:ascii="宋体" w:hAnsi="宋体"/>
          <w:bCs/>
          <w:sz w:val="24"/>
        </w:rPr>
        <w:t xml:space="preserve">定详细的数据迁移方案，保障系统的安全过渡和历史数据的继承和迁移。该方案需要保证：一、甲方的历史数据完全保留且可查询；二、迁移过程中，甲方的业务开展不受影响。</w:t>
      </w:r>
      <w:r/>
    </w:p>
    <w:p>
      <w:pPr>
        <w:pStyle w:val="884"/>
        <w:ind w:firstLine="482"/>
        <w:spacing w:line="460" w:lineRule="exact"/>
        <w:rPr>
          <w:rFonts w:hint="eastAsia" w:ascii="宋体" w:hAnsi="宋体"/>
          <w:b/>
          <w:sz w:val="24"/>
        </w:rPr>
      </w:pPr>
      <w:r>
        <w:rPr>
          <w:rFonts w:hint="eastAsia" w:ascii="宋体" w:hAnsi="宋体"/>
          <w:b/>
          <w:sz w:val="24"/>
        </w:rPr>
        <w:t xml:space="preserve">（四）制订项目培训方案</w:t>
      </w:r>
      <w:r/>
    </w:p>
    <w:p>
      <w:pPr>
        <w:pStyle w:val="884"/>
        <w:ind w:firstLine="480"/>
        <w:spacing w:line="460" w:lineRule="exact"/>
        <w:rPr>
          <w:rFonts w:hint="eastAsia" w:ascii="宋体" w:hAnsi="宋体"/>
          <w:bCs/>
          <w:sz w:val="24"/>
        </w:rPr>
      </w:pPr>
      <w:r>
        <w:rPr>
          <w:rFonts w:hint="eastAsia" w:ascii="宋体" w:hAnsi="宋体"/>
          <w:bCs/>
          <w:sz w:val="24"/>
        </w:rPr>
        <w:t xml:space="preserve">供应商应根据磋商文件要求及本项目特点，制订相应的培训教材并提供培训课程，包括培训要求、培训目的、培训对象、培训内容、培训考核等。供应商应安排具备相应资质和经验的技术人员，且承诺维修工程师培训时间不少于1个工作日，不少于1人次，对采购单位的使用部门人员进行全流程使用培训，确保相关人员能熟练掌握系统的日常使用及维护。</w:t>
      </w:r>
      <w:r/>
    </w:p>
    <w:p>
      <w:pPr>
        <w:pStyle w:val="884"/>
        <w:ind w:firstLine="480"/>
        <w:spacing w:line="460" w:lineRule="exact"/>
        <w:rPr>
          <w:rFonts w:hint="eastAsia" w:ascii="宋体" w:hAnsi="宋体"/>
          <w:b/>
          <w:sz w:val="24"/>
        </w:rPr>
      </w:pPr>
      <w:r>
        <w:rPr>
          <w:rFonts w:hint="eastAsia" w:ascii="宋体" w:hAnsi="宋体"/>
          <w:b/>
          <w:sz w:val="24"/>
        </w:rPr>
        <w:t xml:space="preserve">（五）制订项目售后服务方案</w:t>
      </w:r>
      <w:r/>
    </w:p>
    <w:p>
      <w:pPr>
        <w:pStyle w:val="884"/>
        <w:ind w:firstLine="480"/>
        <w:spacing w:line="460" w:lineRule="exact"/>
        <w:rPr>
          <w:rFonts w:hint="eastAsia" w:ascii="宋体" w:hAnsi="宋体"/>
          <w:bCs/>
          <w:sz w:val="24"/>
        </w:rPr>
      </w:pPr>
      <w:r>
        <w:rPr>
          <w:rFonts w:hint="eastAsia" w:ascii="宋体" w:hAnsi="宋体"/>
          <w:bCs/>
          <w:sz w:val="24"/>
        </w:rPr>
        <w:t xml:space="preserve">供应商需响应磋商文件质保和维保的服务要求，针对本项目自身及所投产品品牌原厂的</w:t>
      </w:r>
      <w:r>
        <w:rPr>
          <w:rFonts w:ascii="宋体" w:hAnsi="宋体"/>
          <w:bCs/>
          <w:sz w:val="24"/>
        </w:rPr>
        <w:t xml:space="preserve">响应标准、</w:t>
      </w:r>
      <w:r>
        <w:rPr>
          <w:rFonts w:hint="eastAsia" w:ascii="宋体" w:hAnsi="宋体"/>
          <w:bCs/>
          <w:sz w:val="24"/>
        </w:rPr>
        <w:t xml:space="preserve">服务体系、</w:t>
      </w:r>
      <w:r>
        <w:rPr>
          <w:rFonts w:ascii="宋体" w:hAnsi="宋体"/>
          <w:bCs/>
          <w:sz w:val="24"/>
        </w:rPr>
        <w:t xml:space="preserve">故障解决方案、专业技术人员保障等</w:t>
      </w:r>
      <w:r>
        <w:rPr>
          <w:rFonts w:hint="eastAsia" w:ascii="宋体" w:hAnsi="宋体"/>
          <w:bCs/>
          <w:sz w:val="24"/>
        </w:rPr>
        <w:t xml:space="preserve">售后服务承诺方案；服务方案应内容详实、科学合理、具备针对性、切实可行。</w:t>
      </w:r>
      <w:r/>
    </w:p>
    <w:p>
      <w:pPr>
        <w:pStyle w:val="884"/>
        <w:ind w:firstLine="482"/>
        <w:spacing w:line="460" w:lineRule="exact"/>
        <w:rPr>
          <w:rFonts w:hint="eastAsia" w:ascii="宋体" w:hAnsi="宋体"/>
          <w:b/>
          <w:sz w:val="24"/>
        </w:rPr>
      </w:pPr>
      <w:r>
        <w:rPr>
          <w:rFonts w:hint="eastAsia" w:ascii="宋体" w:hAnsi="宋体"/>
          <w:b/>
          <w:sz w:val="24"/>
        </w:rPr>
        <w:t xml:space="preserve">（六）响应人履约能力</w:t>
      </w:r>
      <w:r/>
    </w:p>
    <w:p>
      <w:pPr>
        <w:pStyle w:val="884"/>
        <w:ind w:firstLine="480"/>
        <w:spacing w:before="62" w:line="460" w:lineRule="exact"/>
        <w:rPr>
          <w:rFonts w:hint="eastAsia" w:ascii="宋体" w:hAnsi="宋体"/>
          <w:bCs/>
          <w:sz w:val="24"/>
        </w:rPr>
      </w:pPr>
      <w:r>
        <w:rPr>
          <w:rFonts w:hint="eastAsia" w:ascii="宋体" w:hAnsi="宋体"/>
          <w:bCs/>
          <w:sz w:val="24"/>
        </w:rPr>
        <w:t xml:space="preserve">1、供应商2023年1月1日至今有过类似项目成功案例</w:t>
      </w:r>
      <w:r/>
    </w:p>
    <w:p>
      <w:pPr>
        <w:pStyle w:val="884"/>
        <w:ind w:firstLine="480"/>
        <w:spacing w:before="62" w:line="460" w:lineRule="exact"/>
        <w:rPr>
          <w:rFonts w:hint="eastAsia" w:ascii="宋体" w:hAnsi="宋体"/>
          <w:bCs/>
          <w:sz w:val="24"/>
        </w:rPr>
      </w:pPr>
      <w:r>
        <w:rPr>
          <w:rFonts w:hint="eastAsia" w:ascii="宋体" w:hAnsi="宋体"/>
          <w:bCs/>
          <w:sz w:val="24"/>
        </w:rPr>
        <w:t xml:space="preserve">2、供应商具有</w:t>
      </w:r>
      <w:r>
        <w:rPr>
          <w:rFonts w:hint="eastAsia" w:ascii="宋体" w:hAnsi="宋体" w:cs="宋体"/>
          <w:color w:val="000000"/>
          <w:sz w:val="24"/>
          <w:szCs w:val="24"/>
        </w:rPr>
        <w:t xml:space="preserve">“实验室设备数据采集”、“实验室信息管理”、“低代码应用开发”</w:t>
      </w:r>
      <w:r>
        <w:rPr>
          <w:rFonts w:hint="eastAsia" w:ascii="宋体" w:hAnsi="宋体"/>
          <w:bCs/>
          <w:sz w:val="24"/>
        </w:rPr>
        <w:t xml:space="preserve">等方面的软件著作权。</w:t>
      </w:r>
      <w:r/>
    </w:p>
    <w:p>
      <w:pPr>
        <w:pStyle w:val="884"/>
        <w:ind w:firstLine="480"/>
        <w:spacing w:before="62" w:line="460" w:lineRule="exact"/>
        <w:rPr>
          <w:rFonts w:hint="eastAsia" w:ascii="宋体" w:hAnsi="宋体"/>
          <w:bCs/>
          <w:sz w:val="24"/>
        </w:rPr>
      </w:pPr>
      <w:r>
        <w:rPr>
          <w:rFonts w:hint="eastAsia" w:ascii="宋体" w:hAnsi="宋体"/>
          <w:bCs/>
          <w:sz w:val="24"/>
        </w:rPr>
        <w:t xml:space="preserve">3、供应商为本项目配备的项目组成员，应具有相关类似项目的服务经历。具有人力和社会资源保障部门颁发的中级及以上</w:t>
      </w:r>
      <w:r>
        <w:rPr>
          <w:rFonts w:hint="eastAsia" w:ascii="宋体" w:hAnsi="宋体" w:cs="宋体"/>
          <w:color w:val="000000"/>
          <w:sz w:val="24"/>
          <w:szCs w:val="24"/>
        </w:rPr>
        <w:t xml:space="preserve">信息系统项目管理师、系统分析师、系统架构设计师、软件设计师、软件评测师、数据库工程师、网络工程师、系统集成项目管理工程师等相关证书。</w:t>
      </w:r>
      <w:r>
        <w:rPr>
          <w:rFonts w:hint="eastAsia" w:ascii="宋体" w:hAnsi="宋体"/>
          <w:bCs/>
          <w:sz w:val="24"/>
        </w:rPr>
      </w:r>
      <w:r/>
    </w:p>
    <w:p>
      <w:pPr>
        <w:pStyle w:val="884"/>
        <w:ind w:firstLine="482"/>
        <w:spacing w:line="460" w:lineRule="exact"/>
        <w:rPr>
          <w:rFonts w:ascii="宋体" w:hAnsi="宋体"/>
          <w:b/>
          <w:sz w:val="24"/>
        </w:rPr>
      </w:pPr>
      <w:r>
        <w:rPr>
          <w:rFonts w:hint="eastAsia" w:ascii="宋体" w:hAnsi="宋体"/>
          <w:b/>
          <w:sz w:val="24"/>
        </w:rPr>
        <w:t xml:space="preserve">（九）报价要求</w:t>
      </w:r>
      <w:r>
        <w:rPr>
          <w:rFonts w:ascii="宋体" w:hAnsi="宋体"/>
          <w:b/>
          <w:sz w:val="24"/>
        </w:rPr>
      </w:r>
      <w:r/>
    </w:p>
    <w:p>
      <w:pPr>
        <w:pStyle w:val="884"/>
        <w:ind w:firstLine="482"/>
        <w:spacing w:line="460" w:lineRule="exact"/>
        <w:rPr>
          <w:rFonts w:ascii="宋体" w:hAnsi="宋体"/>
          <w:b/>
          <w:sz w:val="24"/>
        </w:rPr>
      </w:pPr>
      <w:r>
        <w:rPr>
          <w:rFonts w:hint="eastAsia" w:ascii="宋体" w:hAnsi="宋体"/>
          <w:bCs/>
          <w:sz w:val="24"/>
        </w:rPr>
        <w:t xml:space="preserve">本项目报价采用总承包方式，报价中应包含满足本项接口要求的费用。</w:t>
      </w:r>
      <w:r>
        <w:rPr>
          <w:rFonts w:ascii="宋体" w:hAnsi="宋体"/>
          <w:b/>
          <w:sz w:val="24"/>
        </w:rPr>
      </w:r>
      <w:r/>
    </w:p>
    <w:p>
      <w:pPr>
        <w:pStyle w:val="884"/>
        <w:spacing w:line="560" w:lineRule="exact"/>
        <w:rPr>
          <w:rFonts w:hint="eastAsia" w:ascii="宋体" w:hAnsi="宋体" w:cs="方正魏碑_GBK"/>
          <w:b/>
          <w:sz w:val="28"/>
          <w:szCs w:val="28"/>
        </w:rPr>
      </w:pPr>
      <w:r>
        <w:rPr>
          <w:rFonts w:hint="eastAsia" w:ascii="宋体" w:hAnsi="宋体" w:cs="方正魏碑_GBK"/>
          <w:b/>
          <w:sz w:val="28"/>
          <w:szCs w:val="28"/>
        </w:rPr>
        <w:t xml:space="preserve">五</w:t>
      </w:r>
      <w:r>
        <w:rPr>
          <w:rFonts w:hint="eastAsia" w:ascii="宋体" w:hAnsi="宋体" w:cs="方正魏碑_GBK"/>
          <w:b/>
          <w:sz w:val="28"/>
          <w:szCs w:val="28"/>
        </w:rPr>
        <w:t xml:space="preserve">、政府采购中实施本国产品标准及相关政策</w:t>
      </w:r>
      <w:r>
        <w:rPr>
          <w:rFonts w:hint="eastAsia" w:ascii="宋体" w:hAnsi="宋体" w:cs="方正魏碑_GBK"/>
          <w:b/>
          <w:sz w:val="28"/>
          <w:szCs w:val="28"/>
        </w:rPr>
        <w:t xml:space="preserve">（本项目不涉及货物）</w:t>
      </w:r>
      <w:r>
        <w:rPr>
          <w:rFonts w:hint="eastAsia" w:ascii="宋体" w:hAnsi="宋体" w:cs="方正魏碑_GBK"/>
          <w:b/>
          <w:sz w:val="28"/>
          <w:szCs w:val="28"/>
        </w:rPr>
      </w:r>
      <w:r/>
    </w:p>
    <w:p>
      <w:pPr>
        <w:pStyle w:val="884"/>
        <w:ind w:firstLine="560"/>
        <w:spacing w:line="560" w:lineRule="exact"/>
        <w:rPr>
          <w:rFonts w:hint="eastAsia" w:ascii="宋体" w:hAnsi="宋体" w:cs="方正魏碑_GBK"/>
          <w:bCs/>
          <w:sz w:val="28"/>
          <w:szCs w:val="28"/>
        </w:rPr>
      </w:pPr>
      <w:r>
        <w:rPr>
          <w:rFonts w:hint="eastAsia" w:ascii="宋体" w:hAnsi="宋体" w:cs="方正魏碑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p>
    <w:p>
      <w:pPr>
        <w:pStyle w:val="884"/>
        <w:ind w:firstLine="562"/>
        <w:spacing w:line="560" w:lineRule="exact"/>
        <w:rPr>
          <w:rFonts w:hint="eastAsia" w:ascii="宋体" w:hAnsi="宋体" w:cs="方正魏碑_GBK"/>
          <w:bCs/>
          <w:sz w:val="28"/>
          <w:szCs w:val="28"/>
        </w:rPr>
      </w:pPr>
      <w:r>
        <w:rPr>
          <w:rFonts w:hint="eastAsia" w:ascii="宋体" w:hAnsi="宋体" w:cs="方正魏碑_GBK"/>
          <w:b/>
          <w:sz w:val="28"/>
          <w:szCs w:val="28"/>
        </w:rPr>
        <w:t xml:space="preserve">2.本国产品标准适用于服务项目中涉及的货物。</w:t>
      </w:r>
      <w:r>
        <w:rPr>
          <w:rFonts w:hint="eastAsia" w:ascii="宋体" w:hAnsi="宋体" w:cs="方正魏碑_GBK"/>
          <w:bCs/>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4"/>
        <w:ind w:firstLine="560"/>
        <w:spacing w:line="560" w:lineRule="exact"/>
        <w:rPr>
          <w:rFonts w:ascii="宋体" w:hAnsi="宋体" w:cs="Courier New"/>
          <w:sz w:val="28"/>
          <w:szCs w:val="28"/>
        </w:rPr>
      </w:pPr>
      <w:r>
        <w:rPr>
          <w:rFonts w:hint="eastAsia" w:ascii="宋体" w:hAnsi="宋体" w:cs="方正魏碑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Courier New"/>
          <w:sz w:val="28"/>
          <w:szCs w:val="28"/>
        </w:rPr>
      </w:r>
      <w:r/>
    </w:p>
    <w:p>
      <w:pPr>
        <w:pStyle w:val="884"/>
        <w:spacing w:before="120" w:after="120" w:line="0" w:lineRule="atLeast"/>
        <w:rPr>
          <w:rFonts w:ascii="宋体" w:hAnsi="宋体" w:cs="Courier New"/>
          <w:sz w:val="28"/>
          <w:szCs w:val="28"/>
        </w:rPr>
      </w:pPr>
      <w:r>
        <w:rPr>
          <w:rFonts w:ascii="宋体" w:hAnsi="宋体" w:cs="Courier New"/>
          <w:sz w:val="28"/>
          <w:szCs w:val="28"/>
        </w:rPr>
      </w:r>
      <w:r/>
    </w:p>
    <w:p>
      <w:pPr>
        <w:pStyle w:val="884"/>
        <w:spacing w:before="120" w:after="120" w:line="0" w:lineRule="atLeast"/>
        <w:rPr>
          <w:rFonts w:ascii="宋体" w:hAnsi="宋体" w:cs="Courier New"/>
          <w:sz w:val="28"/>
          <w:szCs w:val="28"/>
        </w:rPr>
      </w:pPr>
      <w:r>
        <w:rPr>
          <w:rFonts w:ascii="宋体" w:hAnsi="宋体" w:cs="Courier New"/>
          <w:sz w:val="28"/>
          <w:szCs w:val="28"/>
        </w:rPr>
      </w:r>
      <w:r/>
    </w:p>
    <w:p>
      <w:pPr>
        <w:pStyle w:val="884"/>
        <w:spacing w:before="120" w:after="120" w:line="0" w:lineRule="atLeast"/>
        <w:rPr>
          <w:rFonts w:ascii="宋体" w:hAnsi="宋体" w:cs="Courier New"/>
          <w:sz w:val="28"/>
          <w:szCs w:val="28"/>
        </w:rPr>
      </w:pPr>
      <w:r>
        <w:rPr>
          <w:rFonts w:ascii="宋体" w:hAnsi="宋体" w:cs="Courier New"/>
          <w:sz w:val="28"/>
          <w:szCs w:val="28"/>
        </w:rPr>
      </w:r>
      <w:r/>
    </w:p>
    <w:p>
      <w:pPr>
        <w:pStyle w:val="884"/>
        <w:spacing w:before="120" w:after="120" w:line="0" w:lineRule="atLeast"/>
        <w:rPr>
          <w:rFonts w:ascii="宋体" w:hAnsi="Courier New" w:cs="Courier New"/>
          <w:sz w:val="24"/>
          <w:szCs w:val="24"/>
        </w:rPr>
      </w:pPr>
      <w:r>
        <w:rPr>
          <w:rFonts w:ascii="宋体" w:hAnsi="Courier New" w:cs="Courier New"/>
          <w:sz w:val="24"/>
          <w:szCs w:val="24"/>
        </w:rPr>
      </w:r>
      <w:r/>
    </w:p>
    <w:p>
      <w:pPr>
        <w:pStyle w:val="884"/>
        <w:jc w:val="center"/>
        <w:keepNext/>
        <w:rPr>
          <w:rFonts w:hint="eastAsia" w:ascii="黑体" w:hAnsi="Times New Roman" w:eastAsia="黑体"/>
          <w:bCs/>
          <w:sz w:val="44"/>
          <w:szCs w:val="28"/>
        </w:rPr>
        <w:outlineLvl w:val="0"/>
      </w:pPr>
      <w:r/>
      <w:bookmarkStart w:id="183" w:name="_Toc120614281"/>
      <w:r>
        <w:rPr>
          <w:rFonts w:hint="eastAsia" w:ascii="黑体" w:hAnsi="Times New Roman" w:eastAsia="黑体"/>
          <w:bCs/>
          <w:sz w:val="44"/>
          <w:szCs w:val="28"/>
        </w:rPr>
        <w:t xml:space="preserve">第五章  评审方法与评审标准</w:t>
      </w:r>
      <w:r/>
    </w:p>
    <w:p>
      <w:pPr>
        <w:pStyle w:val="884"/>
        <w:rPr>
          <w:rFonts w:hint="eastAsia" w:ascii="Times New Roman" w:hAnsi="Times New Roman"/>
          <w:szCs w:val="21"/>
        </w:rPr>
      </w:pPr>
      <w:r>
        <w:rPr>
          <w:rFonts w:hint="eastAsia" w:ascii="Times New Roman" w:hAnsi="Times New Roman"/>
          <w:szCs w:val="21"/>
        </w:rPr>
      </w:r>
      <w:r/>
    </w:p>
    <w:p>
      <w:pPr>
        <w:pStyle w:val="884"/>
        <w:ind w:firstLine="643"/>
        <w:jc w:val="left"/>
        <w:spacing w:before="120" w:after="120" w:line="560" w:lineRule="exact"/>
        <w:rPr>
          <w:rFonts w:hint="eastAsia" w:ascii="方正仿宋_GBK" w:hAnsi="方正仿宋_GBK" w:eastAsia="方正仿宋_GBK" w:cs="方正仿宋_GBK"/>
          <w:b/>
          <w:sz w:val="32"/>
          <w:szCs w:val="32"/>
          <w:highlight w:val="yellow"/>
        </w:rPr>
      </w:pPr>
      <w:r>
        <w:rPr>
          <w:rFonts w:hint="eastAsia" w:ascii="方正仿宋_GBK" w:hAnsi="方正仿宋_GBK" w:eastAsia="方正仿宋_GBK" w:cs="方正仿宋_GBK"/>
          <w:b/>
          <w:sz w:val="32"/>
          <w:szCs w:val="32"/>
        </w:rPr>
        <w:t xml:space="preserve">政府采购政策功能落实</w:t>
      </w:r>
      <w:r>
        <w:rPr>
          <w:rFonts w:hint="eastAsia" w:ascii="方正仿宋_GBK" w:hAnsi="方正仿宋_GBK" w:eastAsia="方正仿宋_GBK" w:cs="方正仿宋_GBK"/>
          <w:b/>
          <w:sz w:val="32"/>
          <w:szCs w:val="32"/>
          <w:highlight w:val="yellow"/>
        </w:rPr>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1.小微型企业价格扣除</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（1）本项目对小型和微型企业产品/本项目对小型和微型企业提供的服务 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的扣除价格，用扣除后的价格参与评审。</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（2）供应商需按照采购文件的要求提供相应的《中小微企业声明函》。</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2.残疾人福利单位价格扣除</w:t>
      </w:r>
      <w:r/>
    </w:p>
    <w:p>
      <w:pPr>
        <w:pStyle w:val="88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（1）本项目对残疾人福利性单位视同小型、微型企业，给予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的价格扣除，用扣除后的价格参与评审。</w:t>
      </w:r>
      <w:r/>
    </w:p>
    <w:p>
      <w:pPr>
        <w:pStyle w:val="88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（2）残疾人福利单位需按照采购文件的要求提供《残疾人福利性单位声明函》。</w:t>
      </w:r>
      <w:r/>
    </w:p>
    <w:p>
      <w:pPr>
        <w:pStyle w:val="88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（3）残疾人福利单位标准请参照《关于促进残疾人就业政府采购政策的通知》（财库〔2017〕141号）。</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3.监狱和戒毒企业价格扣除</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（1）本项目对监狱和戒毒企业（简称监狱企业）视同小型、微型企业，给予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的价格扣除，用扣除后的价格参与评审。</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32"/>
          <w:szCs w:val="32"/>
        </w:rPr>
        <w:t xml:space="preserve">供应商如不提供上述证明文件，价格将不做相应扣除</w:t>
      </w:r>
      <w:r>
        <w:rPr>
          <w:rFonts w:hint="eastAsia" w:ascii="方正仿宋_GBK" w:hAnsi="方正仿宋_GBK" w:eastAsia="方正仿宋_GBK" w:cs="方正仿宋_GBK"/>
          <w:sz w:val="32"/>
          <w:szCs w:val="32"/>
        </w:rPr>
        <w:t xml:space="preserve">。</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（3）监狱企业标准请参照《关于政府采购支持监狱企业发展有关问题的通知》（财库〔2014〕68号）。</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4.残疾人福利单位、监狱企业属于小型、微型企业的，不重复享受政策。</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32"/>
          <w:szCs w:val="32"/>
          <w:u w:val="single"/>
        </w:rPr>
        <w:t xml:space="preserve">30%</w:t>
      </w:r>
      <w:r>
        <w:rPr>
          <w:rFonts w:hint="eastAsia" w:ascii="方正仿宋_GBK" w:hAnsi="方正仿宋_GBK" w:eastAsia="方正仿宋_GBK" w:cs="方正仿宋_GBK"/>
          <w:sz w:val="32"/>
          <w:szCs w:val="32"/>
        </w:rPr>
        <w:t xml:space="preserve">以上的，给予联合体或者大中型企业</w:t>
      </w:r>
      <w:r>
        <w:rPr>
          <w:rFonts w:hint="eastAsia" w:ascii="方正仿宋_GBK" w:hAnsi="方正仿宋_GBK" w:eastAsia="方正仿宋_GBK" w:cs="方正仿宋_GBK"/>
          <w:sz w:val="32"/>
          <w:szCs w:val="32"/>
          <w:u w:val="single"/>
        </w:rPr>
        <w:t xml:space="preserve">4%</w:t>
      </w:r>
      <w:r>
        <w:rPr>
          <w:rFonts w:hint="eastAsia" w:ascii="方正仿宋_GBK" w:hAnsi="方正仿宋_GBK" w:eastAsia="方正仿宋_GBK" w:cs="方正仿宋_GBK"/>
          <w:sz w:val="32"/>
          <w:szCs w:val="32"/>
        </w:rPr>
        <w:t xml:space="preserve">的价格扣除，用扣除后的价格参与评审。</w:t>
      </w:r>
      <w:r/>
    </w:p>
    <w:p>
      <w:pPr>
        <w:pStyle w:val="88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6.联合体各方均为小型、微型企业（残疾人福利单位、监狱企业）的，联合体享受</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价格扣除，用扣除后的价格参与评审</w:t>
      </w:r>
      <w:r>
        <w:rPr>
          <w:rFonts w:hint="eastAsia" w:ascii="方正仿宋_GBK" w:hAnsi="方正仿宋_GBK" w:eastAsia="方正仿宋_GBK" w:cs="方正仿宋_GBK"/>
          <w:sz w:val="32"/>
          <w:szCs w:val="32"/>
        </w:rPr>
        <w:t xml:space="preserve">。</w:t>
      </w:r>
      <w:r/>
    </w:p>
    <w:p>
      <w:pPr>
        <w:pStyle w:val="884"/>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7.采购本国产品的支持政策</w:t>
      </w:r>
      <w:r/>
    </w:p>
    <w:p>
      <w:pPr>
        <w:pStyle w:val="88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7.1</w:t>
      </w:r>
      <w:r>
        <w:rPr>
          <w:rFonts w:hint="eastAsia" w:ascii="方正魏碑_GBK" w:hAnsi="方正魏碑_GBK" w:eastAsia="方正魏碑_GBK" w:cs="方正魏碑_GBK"/>
          <w:b/>
          <w:bCs/>
          <w:sz w:val="32"/>
          <w:szCs w:val="32"/>
        </w:rPr>
        <w:t xml:space="preserve">当采购包中含有货物的</w:t>
      </w:r>
      <w:r>
        <w:rPr>
          <w:rFonts w:hint="eastAsia" w:ascii="方正魏碑_GBK" w:hAnsi="方正魏碑_GBK" w:eastAsia="方正魏碑_GBK" w:cs="方正魏碑_GBK"/>
          <w:sz w:val="32"/>
          <w:szCs w:val="32"/>
        </w:rPr>
        <w:t xml:space="preserve">，供应商为该采购包提供的符合本国产品标准的货物成本之和占该供应商提供的整个采购包成本之和的比例达到80%以上时（供应商需在“第六章响应文件格式”的“附件1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88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7.2供应商需按照磋商文件的要求提供《关于符合本国产品标准的声明函》（以下简称《声明函》），如不提供将不享受本国产品价格评审优惠。</w:t>
      </w:r>
      <w:r/>
    </w:p>
    <w:p>
      <w:pPr>
        <w:pStyle w:val="88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7.3 供应商需在《声明函》中逐一、准确填写产品名称、厂名、生产厂址三项信息（《声明函》中标注“</w:t>
      </w:r>
      <w:r>
        <w:rPr>
          <w:rFonts w:hint="eastAsia" w:ascii="方正魏碑_GBK" w:hAnsi="方正魏碑_GBK" w:eastAsia="方正魏碑_GBK" w:cs="方正魏碑_GBK"/>
          <w:sz w:val="32"/>
          <w:szCs w:val="32"/>
          <w:u w:val="single"/>
        </w:rPr>
        <w:t xml:space="preserve">  /  </w:t>
      </w:r>
      <w:r>
        <w:rPr>
          <w:rFonts w:hint="eastAsia" w:ascii="方正魏碑_GBK" w:hAnsi="方正魏碑_GBK" w:eastAsia="方正魏碑_GBK" w:cs="方正魏碑_GBK"/>
          <w:sz w:val="32"/>
          <w:szCs w:val="32"/>
        </w:rPr>
        <w:t xml:space="preserve">”的地方无需填写），三项信息中任意一项未填写的视为该项产品不符合本国产品标准，不享受本国产品价格评审优惠。</w:t>
      </w:r>
      <w:r/>
    </w:p>
    <w:p>
      <w:pPr>
        <w:pStyle w:val="884"/>
        <w:ind w:firstLine="640"/>
        <w:spacing w:line="560" w:lineRule="exact"/>
        <w:rPr>
          <w:rFonts w:hint="eastAsia" w:ascii="Times New Roman" w:hAnsi="Times New Roman"/>
          <w:sz w:val="32"/>
          <w:szCs w:val="32"/>
        </w:rPr>
      </w:pPr>
      <w:r>
        <w:rPr>
          <w:rFonts w:hint="eastAsia" w:ascii="方正魏碑_GBK" w:hAnsi="方正魏碑_GBK" w:eastAsia="方正魏碑_GBK" w:cs="方正魏碑_GBK"/>
          <w:sz w:val="32"/>
          <w:szCs w:val="32"/>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Times New Roman" w:hAnsi="Times New Roman"/>
          <w:sz w:val="32"/>
          <w:szCs w:val="32"/>
        </w:rPr>
      </w:r>
      <w:r/>
    </w:p>
    <w:p>
      <w:pPr>
        <w:pStyle w:val="884"/>
        <w:ind w:firstLine="643"/>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评审方法与评审标准</w:t>
      </w:r>
      <w:r/>
    </w:p>
    <w:p>
      <w:pPr>
        <w:pStyle w:val="884"/>
        <w:ind w:firstLine="643"/>
        <w:jc w:val="left"/>
        <w:spacing w:before="120" w:after="120" w:line="0" w:lineRule="atLeast"/>
        <w:rPr>
          <w:rFonts w:ascii="Times New Roman" w:hAnsi="Times New Roman"/>
          <w:szCs w:val="21"/>
        </w:rPr>
      </w:pPr>
      <w:r>
        <w:rPr>
          <w:rFonts w:hint="eastAsia" w:ascii="方正仿宋_GBK" w:hAnsi="方正仿宋_GBK" w:eastAsia="方正仿宋_GBK" w:cs="方正仿宋_GBK"/>
          <w:b/>
          <w:color w:val="000000"/>
          <w:sz w:val="32"/>
          <w:szCs w:val="32"/>
        </w:rPr>
        <w:t xml:space="preserve">           </w:t>
      </w:r>
      <w:r>
        <w:rPr>
          <w:rFonts w:ascii="Times New Roman" w:hAnsi="Times New Roman"/>
          <w:szCs w:val="21"/>
        </w:rPr>
      </w:r>
      <w:r/>
    </w:p>
    <w:tbl>
      <w:tblPr>
        <w:tblW w:w="50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76"/>
        <w:gridCol w:w="5840"/>
        <w:gridCol w:w="713"/>
      </w:tblGrid>
      <w:tr>
        <w:trPr>
          <w:trHeight w:val="514"/>
        </w:trPr>
        <w:tc>
          <w:tcPr>
            <w:tcMar>
              <w:left w:w="108" w:type="dxa"/>
              <w:top w:w="0" w:type="dxa"/>
              <w:right w:w="108" w:type="dxa"/>
              <w:bottom w:w="0" w:type="dxa"/>
            </w:tcMar>
            <w:tcW w:w="726" w:type="dxa"/>
            <w:vAlign w:val="center"/>
            <w:textDirection w:val="lrTb"/>
            <w:noWrap w:val="false"/>
          </w:tcPr>
          <w:p>
            <w:pPr>
              <w:pStyle w:val="884"/>
              <w:jc w:val="center"/>
              <w:spacing w:line="360" w:lineRule="auto"/>
              <w:tabs>
                <w:tab w:val="left" w:pos="426" w:leader="none"/>
              </w:tabs>
              <w:rPr>
                <w:rFonts w:hint="eastAsia" w:ascii="宋体" w:hAnsi="宋体" w:cs="宋体"/>
                <w:b/>
                <w:bCs/>
                <w:sz w:val="24"/>
                <w:szCs w:val="24"/>
              </w:rPr>
            </w:pPr>
            <w:r>
              <w:rPr>
                <w:rFonts w:hint="eastAsia" w:ascii="宋体" w:hAnsi="宋体" w:cs="宋体"/>
                <w:b/>
                <w:bCs/>
                <w:sz w:val="24"/>
                <w:szCs w:val="24"/>
              </w:rPr>
              <w:t xml:space="preserve">序号</w:t>
            </w:r>
            <w:r/>
          </w:p>
        </w:tc>
        <w:tc>
          <w:tcPr>
            <w:tcMar>
              <w:left w:w="108" w:type="dxa"/>
              <w:top w:w="0" w:type="dxa"/>
              <w:right w:w="108" w:type="dxa"/>
              <w:bottom w:w="0" w:type="dxa"/>
            </w:tcMar>
            <w:tcW w:w="1245" w:type="dxa"/>
            <w:vAlign w:val="center"/>
            <w:textDirection w:val="lrTb"/>
            <w:noWrap w:val="false"/>
          </w:tcPr>
          <w:p>
            <w:pPr>
              <w:pStyle w:val="884"/>
              <w:jc w:val="center"/>
              <w:spacing w:line="360" w:lineRule="auto"/>
              <w:tabs>
                <w:tab w:val="left" w:pos="426" w:leader="none"/>
              </w:tabs>
              <w:rPr>
                <w:rFonts w:hint="eastAsia" w:ascii="宋体" w:hAnsi="宋体" w:cs="宋体"/>
                <w:b/>
                <w:bCs/>
                <w:sz w:val="24"/>
                <w:szCs w:val="24"/>
              </w:rPr>
            </w:pPr>
            <w:r>
              <w:rPr>
                <w:rFonts w:hint="eastAsia" w:ascii="宋体" w:hAnsi="宋体" w:cs="宋体"/>
                <w:b/>
                <w:bCs/>
                <w:sz w:val="24"/>
                <w:szCs w:val="24"/>
              </w:rPr>
              <w:t xml:space="preserve">评分因素</w:t>
            </w:r>
            <w:r/>
          </w:p>
        </w:tc>
        <w:tc>
          <w:tcPr>
            <w:tcMar>
              <w:left w:w="108" w:type="dxa"/>
              <w:top w:w="0" w:type="dxa"/>
              <w:right w:w="108" w:type="dxa"/>
              <w:bottom w:w="0" w:type="dxa"/>
            </w:tcMar>
            <w:tcW w:w="5672" w:type="dxa"/>
            <w:vAlign w:val="center"/>
            <w:textDirection w:val="lrTb"/>
            <w:noWrap w:val="false"/>
          </w:tcPr>
          <w:p>
            <w:pPr>
              <w:pStyle w:val="884"/>
              <w:jc w:val="center"/>
              <w:spacing w:line="360" w:lineRule="auto"/>
              <w:tabs>
                <w:tab w:val="left" w:pos="426" w:leader="none"/>
              </w:tabs>
              <w:rPr>
                <w:rFonts w:hint="eastAsia" w:ascii="宋体" w:hAnsi="宋体" w:cs="宋体"/>
                <w:b/>
                <w:bCs/>
                <w:sz w:val="24"/>
                <w:szCs w:val="24"/>
              </w:rPr>
            </w:pPr>
            <w:r>
              <w:rPr>
                <w:rFonts w:hint="eastAsia" w:ascii="宋体" w:hAnsi="宋体" w:cs="宋体"/>
                <w:b/>
                <w:bCs/>
                <w:sz w:val="24"/>
                <w:szCs w:val="24"/>
              </w:rPr>
              <w:t xml:space="preserve">评分标准</w:t>
            </w:r>
            <w:r/>
          </w:p>
        </w:tc>
        <w:tc>
          <w:tcPr>
            <w:tcMar>
              <w:left w:w="108" w:type="dxa"/>
              <w:top w:w="0" w:type="dxa"/>
              <w:right w:w="108" w:type="dxa"/>
              <w:bottom w:w="0" w:type="dxa"/>
            </w:tcMar>
            <w:tcW w:w="699" w:type="dxa"/>
            <w:vAlign w:val="center"/>
            <w:textDirection w:val="lrTb"/>
            <w:noWrap w:val="false"/>
          </w:tcPr>
          <w:p>
            <w:pPr>
              <w:pStyle w:val="884"/>
              <w:jc w:val="center"/>
              <w:spacing w:line="360" w:lineRule="auto"/>
              <w:tabs>
                <w:tab w:val="left" w:pos="426" w:leader="none"/>
              </w:tabs>
              <w:rPr>
                <w:rFonts w:hint="eastAsia" w:ascii="宋体" w:hAnsi="宋体" w:cs="宋体"/>
                <w:b/>
                <w:bCs/>
                <w:sz w:val="24"/>
                <w:szCs w:val="24"/>
              </w:rPr>
            </w:pPr>
            <w:r>
              <w:rPr>
                <w:rFonts w:hint="eastAsia" w:ascii="宋体" w:hAnsi="宋体" w:cs="宋体"/>
                <w:b/>
                <w:bCs/>
                <w:sz w:val="24"/>
                <w:szCs w:val="24"/>
              </w:rPr>
              <w:t xml:space="preserve">分值</w:t>
            </w:r>
            <w:r/>
          </w:p>
        </w:tc>
      </w:tr>
      <w:tr>
        <w:trPr/>
        <w:tc>
          <w:tcPr>
            <w:tcMar>
              <w:left w:w="108" w:type="dxa"/>
              <w:top w:w="0" w:type="dxa"/>
              <w:right w:w="108" w:type="dxa"/>
              <w:bottom w:w="0" w:type="dxa"/>
            </w:tcMar>
            <w:tcW w:w="726"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1245"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价格</w:t>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满足磋商文件要求且磋商价格最低的响应报价为评审基准价，其价格为满分。其他响应人的价格分统一按下列公式计算：响应报价得分=（评标基准价/响应报价）×20。分值保留小数点后2位。</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20分</w:t>
            </w:r>
            <w:r/>
          </w:p>
        </w:tc>
      </w:tr>
      <w:tr>
        <w:trPr/>
        <w:tc>
          <w:tcPr>
            <w:tcMar>
              <w:left w:w="108" w:type="dxa"/>
              <w:top w:w="0" w:type="dxa"/>
              <w:right w:w="108" w:type="dxa"/>
              <w:bottom w:w="0" w:type="dxa"/>
            </w:tcMar>
            <w:tcW w:w="741"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2</w:t>
            </w:r>
            <w:r/>
          </w:p>
        </w:tc>
        <w:tc>
          <w:tcPr>
            <w:tcMar>
              <w:left w:w="108" w:type="dxa"/>
              <w:top w:w="0" w:type="dxa"/>
              <w:right w:w="108" w:type="dxa"/>
              <w:bottom w:w="0" w:type="dxa"/>
            </w:tcMar>
            <w:tcW w:w="1276"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需求响应情况</w:t>
            </w:r>
            <w:r/>
          </w:p>
        </w:tc>
        <w:tc>
          <w:tcPr>
            <w:tcMar>
              <w:left w:w="108" w:type="dxa"/>
              <w:top w:w="0" w:type="dxa"/>
              <w:right w:w="108" w:type="dxa"/>
              <w:bottom w:w="0" w:type="dxa"/>
            </w:tcMar>
            <w:tcW w:w="5840" w:type="dxa"/>
            <w:vAlign w:val="center"/>
            <w:textDirection w:val="lrTb"/>
            <w:noWrap w:val="false"/>
          </w:tcPr>
          <w:p>
            <w:pPr>
              <w:pStyle w:val="884"/>
              <w:spacing w:line="360" w:lineRule="auto"/>
              <w:widowControl/>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根据采购需求中（二）技术功能参数表要求进行打分。针对各项采购要求逐条响应，完全响应即满足采购文件各项技术指标、参数要求的得37分。</w:t>
            </w:r>
            <w:r/>
          </w:p>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2.1加</w:t>
            </w:r>
            <w:r>
              <w:rPr>
                <w:rFonts w:ascii="宋体" w:hAnsi="宋体" w:cs="宋体"/>
                <w:color w:val="000000"/>
                <w:sz w:val="24"/>
                <w:szCs w:val="24"/>
              </w:rPr>
              <w:t xml:space="preserve">▲</w:t>
            </w:r>
            <w:r>
              <w:rPr>
                <w:rFonts w:hint="eastAsia" w:ascii="宋体" w:hAnsi="宋体" w:cs="宋体"/>
                <w:color w:val="000000"/>
                <w:sz w:val="24"/>
                <w:szCs w:val="24"/>
              </w:rPr>
              <w:t xml:space="preserve">的技术功能参数为重要指标项，共9项，须提供类似系统相应功能的系统截图并加盖供应商公章，没有截图或截图不符合要求每项扣2.5</w:t>
            </w:r>
            <w:r>
              <w:rPr>
                <w:rFonts w:hint="eastAsia" w:ascii="宋体" w:hAnsi="宋体" w:cs="宋体"/>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本项最高得22.5分。</w:t>
            </w:r>
            <w:r>
              <w:rPr>
                <w:rFonts w:hint="eastAsia" w:ascii="宋体" w:hAnsi="宋体" w:cs="宋体"/>
                <w:color w:val="000000"/>
                <w:sz w:val="24"/>
                <w:szCs w:val="24"/>
              </w:rPr>
            </w:r>
            <w:r/>
          </w:p>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2.2非加</w:t>
            </w:r>
            <w:r>
              <w:rPr>
                <w:rFonts w:ascii="宋体" w:hAnsi="宋体" w:cs="宋体"/>
                <w:color w:val="000000"/>
                <w:sz w:val="24"/>
                <w:szCs w:val="24"/>
              </w:rPr>
              <w:t xml:space="preserve">▲</w:t>
            </w:r>
            <w:r>
              <w:rPr>
                <w:rFonts w:hint="eastAsia" w:ascii="宋体" w:hAnsi="宋体" w:cs="宋体"/>
                <w:color w:val="000000"/>
                <w:sz w:val="24"/>
                <w:szCs w:val="24"/>
              </w:rPr>
              <w:t xml:space="preserve">的技术功能参数要求共29项，不符合要求每项扣0.5分，</w:t>
            </w:r>
            <w:r>
              <w:rPr>
                <w:rFonts w:hint="eastAsia" w:ascii="宋体" w:hAnsi="宋体" w:cs="宋体"/>
                <w:color w:val="000000"/>
                <w:sz w:val="24"/>
                <w:szCs w:val="24"/>
              </w:rPr>
              <w:t xml:space="preserve">本项最高得14.5分</w:t>
            </w:r>
            <w:r>
              <w:rPr>
                <w:rFonts w:hint="eastAsia" w:ascii="宋体" w:hAnsi="宋体" w:cs="宋体"/>
                <w:color w:val="000000"/>
                <w:sz w:val="24"/>
                <w:szCs w:val="24"/>
              </w:rPr>
              <w:t xml:space="preserve">。</w:t>
            </w:r>
            <w:r/>
          </w:p>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供应商需在“技术参数响应及偏离表”中如实逐项填列所投产品的参数指标或承诺，如采购文件要求提供截图需加盖供应商公章，并按采购文件要求提供截图并在偏离表中标明所在页码，否则评标委员会有权做负偏离处理。）</w:t>
            </w:r>
            <w:r/>
          </w:p>
        </w:tc>
        <w:tc>
          <w:tcPr>
            <w:tcMar>
              <w:left w:w="108" w:type="dxa"/>
              <w:top w:w="0" w:type="dxa"/>
              <w:right w:w="108" w:type="dxa"/>
              <w:bottom w:w="0" w:type="dxa"/>
            </w:tcMar>
            <w:tcW w:w="713"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37分</w:t>
            </w:r>
            <w:r/>
          </w:p>
        </w:tc>
      </w:tr>
      <w:tr>
        <w:trPr>
          <w:cantSplit/>
          <w:trHeight w:val="983"/>
        </w:trPr>
        <w:tc>
          <w:tcPr>
            <w:tcMar>
              <w:left w:w="108" w:type="dxa"/>
              <w:top w:w="0" w:type="dxa"/>
              <w:right w:w="108" w:type="dxa"/>
              <w:bottom w:w="0" w:type="dxa"/>
            </w:tcMar>
            <w:tcW w:w="726" w:type="dxa"/>
            <w:vAlign w:val="center"/>
            <w:vMerge w:val="restart"/>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3</w:t>
            </w:r>
            <w:r/>
          </w:p>
        </w:tc>
        <w:tc>
          <w:tcPr>
            <w:tcMar>
              <w:left w:w="108" w:type="dxa"/>
              <w:top w:w="0" w:type="dxa"/>
              <w:right w:w="108" w:type="dxa"/>
              <w:bottom w:w="0" w:type="dxa"/>
            </w:tcMar>
            <w:tcW w:w="1245" w:type="dxa"/>
            <w:vAlign w:val="center"/>
            <w:vMerge w:val="restart"/>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项目设计和服务方案</w:t>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3.1需求分析方案：供应商应提供需求分析方案，对本项目的用户需求、业务需求、功能需求、性能需求和管理模式等进行分析阐述。方案优于采购文件要求的得5分，方案符合采购文件要求的得3分，不符合采购文件要求或未提供的不得分。</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5分</w:t>
            </w:r>
            <w:r/>
          </w:p>
        </w:tc>
      </w:tr>
      <w:tr>
        <w:trPr>
          <w:cantSplit/>
          <w:trHeight w:val="1413"/>
        </w:trPr>
        <w:tc>
          <w:tcPr>
            <w:tcMar>
              <w:left w:w="108" w:type="dxa"/>
              <w:top w:w="0" w:type="dxa"/>
              <w:right w:w="108" w:type="dxa"/>
              <w:bottom w:w="0" w:type="dxa"/>
            </w:tcMar>
            <w:tcW w:w="726"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1245"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3.2项目实施方案：供应商应提供项目实施方案，对本项目进度计划及保障措施、质量保障措施、管理制度、测试方案、实施人员组织规划等进行阐述。方案优于采购文件要求的得5分，方案符合采购文件要求的得3分，不符合采购文件要求或未提供的不得分。</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5分</w:t>
            </w:r>
            <w:r/>
          </w:p>
        </w:tc>
      </w:tr>
      <w:tr>
        <w:trPr>
          <w:cantSplit/>
          <w:trHeight w:val="1413"/>
        </w:trPr>
        <w:tc>
          <w:tcPr>
            <w:tcMar>
              <w:left w:w="108" w:type="dxa"/>
              <w:top w:w="0" w:type="dxa"/>
              <w:right w:w="108" w:type="dxa"/>
              <w:bottom w:w="0" w:type="dxa"/>
            </w:tcMar>
            <w:tcW w:w="726"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1245"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3.3数据迁移方案：供应商应提供数据迁移方案，对本项目涉及的新旧系统的数据迁移进行规划和分析，制定满足采购方实际业务开展需求的数据迁移方案。方案优于采购文件要求的得5分，方案符合采购文件要求的得3分，不符合采购文件要求或未提供的不得分。</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5分</w:t>
            </w:r>
            <w:r/>
          </w:p>
        </w:tc>
      </w:tr>
      <w:tr>
        <w:trPr>
          <w:cantSplit/>
          <w:trHeight w:val="1413"/>
        </w:trPr>
        <w:tc>
          <w:tcPr>
            <w:tcMar>
              <w:left w:w="108" w:type="dxa"/>
              <w:top w:w="0" w:type="dxa"/>
              <w:right w:w="108" w:type="dxa"/>
              <w:bottom w:w="0" w:type="dxa"/>
            </w:tcMar>
            <w:tcW w:w="726"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1245"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3.4技术培训方案：供应商应根据采购文件要求提供具体详实的项目培训方案，方案优于采购文件要求的得4分，符合采购文件要求的得2分，不符合或未提供的不得分。</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4分</w:t>
            </w:r>
            <w:r/>
          </w:p>
        </w:tc>
      </w:tr>
      <w:tr>
        <w:trPr>
          <w:cantSplit/>
          <w:trHeight w:val="1050"/>
        </w:trPr>
        <w:tc>
          <w:tcPr>
            <w:tcMar>
              <w:left w:w="108" w:type="dxa"/>
              <w:top w:w="0" w:type="dxa"/>
              <w:right w:w="108" w:type="dxa"/>
              <w:bottom w:w="0" w:type="dxa"/>
            </w:tcMar>
            <w:tcW w:w="726"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1245" w:type="dxa"/>
            <w:vAlign w:val="center"/>
            <w:vMerge w:val="continue"/>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3.5售后服务方案：供应商应提供售后服务方案，对本项目验收后的服务方式、投入人员、价格策略等进行阐述。方案优于采购文件要求的得4分，方案符合采购文件要求的得2分，不符合采购文件要求或未提供的不得分。</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4分</w:t>
            </w:r>
            <w:r/>
          </w:p>
        </w:tc>
      </w:tr>
      <w:tr>
        <w:trPr/>
        <w:tc>
          <w:tcPr>
            <w:tcMar>
              <w:left w:w="108" w:type="dxa"/>
              <w:top w:w="0" w:type="dxa"/>
              <w:right w:w="108" w:type="dxa"/>
              <w:bottom w:w="0" w:type="dxa"/>
            </w:tcMar>
            <w:tcW w:w="726"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4</w:t>
            </w:r>
            <w:r/>
          </w:p>
        </w:tc>
        <w:tc>
          <w:tcPr>
            <w:tcMar>
              <w:left w:w="108" w:type="dxa"/>
              <w:top w:w="0" w:type="dxa"/>
              <w:right w:w="108" w:type="dxa"/>
              <w:bottom w:w="0" w:type="dxa"/>
            </w:tcMar>
            <w:tcW w:w="1245"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业绩</w:t>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供应商具有2023年1月1日至今（以合同签订时间为准）完成的与本项目类似的（合同建设内容需</w:t>
            </w:r>
            <w:r>
              <w:rPr>
                <w:rFonts w:hint="eastAsia" w:ascii="宋体" w:hAnsi="宋体" w:cs="宋体"/>
                <w:color w:val="000000"/>
                <w:sz w:val="24"/>
                <w:szCs w:val="24"/>
              </w:rPr>
              <w:t xml:space="preserve">包</w:t>
            </w:r>
            <w:r>
              <w:rPr>
                <w:rFonts w:hint="eastAsia" w:ascii="宋体" w:hAnsi="宋体" w:cs="宋体"/>
                <w:sz w:val="24"/>
                <w:szCs w:val="24"/>
              </w:rPr>
              <w:t xml:space="preserve">含类似实验室</w:t>
            </w:r>
            <w:r>
              <w:rPr>
                <w:rFonts w:hint="eastAsia" w:ascii="宋体" w:hAnsi="宋体" w:cs="宋体"/>
                <w:color w:val="000000"/>
                <w:sz w:val="24"/>
                <w:szCs w:val="24"/>
              </w:rPr>
              <w:t xml:space="preserve">信息管理系统或LIMS）项目业绩，每</w:t>
            </w:r>
            <w:r>
              <w:rPr>
                <w:rFonts w:hint="eastAsia" w:ascii="宋体" w:hAnsi="宋体" w:cs="宋体"/>
                <w:color w:val="000000"/>
                <w:sz w:val="24"/>
                <w:szCs w:val="24"/>
              </w:rPr>
              <w:t xml:space="preserve">提供一项业绩得1分，最多得8分，未提供或未按要求提供的不得分。</w:t>
            </w:r>
            <w:r/>
          </w:p>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注：需提供合同复印件并加盖供应商公章，同一业主或者甲方业绩不重复计算。</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8分</w:t>
            </w:r>
            <w:r/>
          </w:p>
        </w:tc>
      </w:tr>
      <w:tr>
        <w:trPr>
          <w:trHeight w:val="416"/>
        </w:trPr>
        <w:tc>
          <w:tcPr>
            <w:tcMar>
              <w:left w:w="108" w:type="dxa"/>
              <w:top w:w="0" w:type="dxa"/>
              <w:right w:w="108" w:type="dxa"/>
              <w:bottom w:w="0" w:type="dxa"/>
            </w:tcMar>
            <w:tcW w:w="726"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5</w:t>
            </w:r>
            <w:r/>
          </w:p>
        </w:tc>
        <w:tc>
          <w:tcPr>
            <w:tcMar>
              <w:left w:w="108" w:type="dxa"/>
              <w:top w:w="0" w:type="dxa"/>
              <w:right w:w="108" w:type="dxa"/>
              <w:bottom w:w="0" w:type="dxa"/>
            </w:tcMar>
            <w:tcW w:w="1245"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软件著作权</w:t>
            </w:r>
            <w:r/>
          </w:p>
        </w:tc>
        <w:tc>
          <w:tcPr>
            <w:tcMar>
              <w:left w:w="108" w:type="dxa"/>
              <w:top w:w="0" w:type="dxa"/>
              <w:right w:w="108" w:type="dxa"/>
              <w:bottom w:w="0" w:type="dxa"/>
            </w:tcMar>
            <w:tcW w:w="5672" w:type="dxa"/>
            <w:vAlign w:val="center"/>
            <w:textDirection w:val="lrTb"/>
            <w:noWrap w:val="false"/>
          </w:tcPr>
          <w:p>
            <w:pPr>
              <w:pStyle w:val="884"/>
              <w:spacing w:line="360" w:lineRule="auto"/>
              <w:widowControl/>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供应商具有由国家版权局颁发的相关软件著作权登记证书，证书名称包含“实验室设备数据采集”、“实验室信息管理”、“低代码应用开发”，每提供一种得</w:t>
            </w:r>
            <w:r>
              <w:rPr>
                <w:rFonts w:ascii="宋体" w:hAnsi="宋体" w:cs="宋体"/>
                <w:color w:val="000000"/>
                <w:sz w:val="24"/>
                <w:szCs w:val="24"/>
              </w:rPr>
              <w:t xml:space="preserve">1</w:t>
            </w:r>
            <w:r>
              <w:rPr>
                <w:rFonts w:hint="eastAsia" w:ascii="宋体" w:hAnsi="宋体" w:cs="宋体"/>
                <w:color w:val="000000"/>
                <w:sz w:val="24"/>
                <w:szCs w:val="24"/>
              </w:rPr>
              <w:t xml:space="preserve">分，同一软件著作权证不重复得分，满分</w:t>
            </w:r>
            <w:r>
              <w:rPr>
                <w:rFonts w:ascii="宋体" w:hAnsi="宋体" w:cs="宋体"/>
                <w:color w:val="000000"/>
                <w:sz w:val="24"/>
                <w:szCs w:val="24"/>
              </w:rPr>
              <w:t xml:space="preserve">3</w:t>
            </w:r>
            <w:r>
              <w:rPr>
                <w:rFonts w:hint="eastAsia" w:ascii="宋体" w:hAnsi="宋体" w:cs="宋体"/>
                <w:color w:val="000000"/>
                <w:sz w:val="24"/>
                <w:szCs w:val="24"/>
              </w:rPr>
              <w:t xml:space="preserve">分。（需提供有效证书复印件并加盖公章）</w:t>
            </w:r>
            <w:r/>
          </w:p>
          <w:p>
            <w:pPr>
              <w:pStyle w:val="884"/>
              <w:spacing w:line="360" w:lineRule="auto"/>
              <w:widowControl/>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（如响应文件中提供的著作权名称表述与采购文件描述的关键字样不一致，而该响应文件中能证明供应商拥有的著作权具有相同或相似功能和效果的，视同符合要求。）</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分</w:t>
            </w:r>
            <w:r/>
          </w:p>
        </w:tc>
      </w:tr>
      <w:tr>
        <w:trPr/>
        <w:tc>
          <w:tcPr>
            <w:tcMar>
              <w:left w:w="108" w:type="dxa"/>
              <w:top w:w="0" w:type="dxa"/>
              <w:right w:w="108" w:type="dxa"/>
              <w:bottom w:w="0" w:type="dxa"/>
            </w:tcMar>
            <w:tcW w:w="726"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6</w:t>
            </w:r>
            <w:r/>
          </w:p>
        </w:tc>
        <w:tc>
          <w:tcPr>
            <w:tcMar>
              <w:left w:w="108" w:type="dxa"/>
              <w:top w:w="0" w:type="dxa"/>
              <w:right w:w="108" w:type="dxa"/>
              <w:bottom w:w="0" w:type="dxa"/>
            </w:tcMar>
            <w:tcW w:w="1245"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项目团队</w:t>
            </w:r>
            <w:r/>
          </w:p>
        </w:tc>
        <w:tc>
          <w:tcPr>
            <w:tcMar>
              <w:left w:w="108" w:type="dxa"/>
              <w:top w:w="0" w:type="dxa"/>
              <w:right w:w="108" w:type="dxa"/>
              <w:bottom w:w="0" w:type="dxa"/>
            </w:tcMar>
            <w:tcW w:w="5672" w:type="dxa"/>
            <w:vAlign w:val="center"/>
            <w:textDirection w:val="lrTb"/>
            <w:noWrap w:val="false"/>
          </w:tcPr>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6.1供应商为本项目配备的项目组成员，其中项目经理具有本科及以上学历，具有 6 年及以上 LIMS 实施经验，具有3 个及以上LIMS项目经理经验，提供合同或验收报告（建设内容需包</w:t>
            </w:r>
            <w:r>
              <w:rPr>
                <w:rFonts w:hint="eastAsia" w:ascii="宋体" w:hAnsi="宋体" w:cs="宋体"/>
                <w:color w:val="000000"/>
                <w:sz w:val="24"/>
                <w:szCs w:val="24"/>
              </w:rPr>
              <w:t xml:space="preserve">含</w:t>
            </w:r>
            <w:r>
              <w:rPr>
                <w:rFonts w:hint="eastAsia" w:ascii="宋体" w:hAnsi="宋体" w:cs="宋体"/>
                <w:sz w:val="24"/>
                <w:szCs w:val="24"/>
              </w:rPr>
              <w:t xml:space="preserve">类似</w:t>
            </w:r>
            <w:r>
              <w:rPr>
                <w:rFonts w:hint="eastAsia" w:ascii="宋体" w:hAnsi="宋体" w:cs="宋体"/>
                <w:color w:val="000000"/>
                <w:sz w:val="24"/>
                <w:szCs w:val="24"/>
              </w:rPr>
              <w:t xml:space="preserve">实验室信息管理系统或LIMS，并具备信息系统项目管理师证书的，得2分。</w:t>
            </w:r>
            <w:r/>
          </w:p>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6.2供应商为本项目配备的其他项目组成员（不含项目经理），具有人力和社会资源保障部门颁发的系统分析师、系统架构设计师、软件设计师、软件评测师、数据库工程师、网络工程师、系统集成项目管理工程师的每一类证书得1分，共7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4"/>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（提供证书复印件、供应商近3个月内为项目团队人员缴纳的任意一个月的社保证明材料并加盖公章，</w:t>
            </w:r>
            <w:r>
              <w:rPr>
                <w:rFonts w:hint="eastAsia" w:ascii="宋体" w:hAnsi="宋体" w:cs="宋体"/>
                <w:b/>
                <w:color w:val="000000"/>
                <w:sz w:val="24"/>
                <w:szCs w:val="24"/>
              </w:rPr>
              <w:t xml:space="preserve">一人多证按一证计算，人员不重复计分</w:t>
            </w:r>
            <w:r>
              <w:rPr>
                <w:rFonts w:hint="eastAsia" w:ascii="宋体" w:hAnsi="宋体" w:cs="宋体"/>
                <w:color w:val="000000"/>
                <w:sz w:val="24"/>
                <w:szCs w:val="24"/>
              </w:rPr>
              <w:t xml:space="preserve">）</w:t>
            </w:r>
            <w:r/>
          </w:p>
        </w:tc>
        <w:tc>
          <w:tcPr>
            <w:tcMar>
              <w:left w:w="108" w:type="dxa"/>
              <w:top w:w="0" w:type="dxa"/>
              <w:right w:w="108" w:type="dxa"/>
              <w:bottom w:w="0" w:type="dxa"/>
            </w:tcMar>
            <w:tcW w:w="699" w:type="dxa"/>
            <w:vAlign w:val="center"/>
            <w:textDirection w:val="lrTb"/>
            <w:noWrap w:val="false"/>
          </w:tcPr>
          <w:p>
            <w:pPr>
              <w:pStyle w:val="884"/>
              <w:spacing w:line="360" w:lineRule="auto"/>
              <w:tabs>
                <w:tab w:val="left" w:pos="426" w:leader="none"/>
              </w:tabs>
              <w:rPr>
                <w:rFonts w:hint="eastAsia" w:ascii="宋体" w:hAnsi="宋体" w:cs="宋体"/>
                <w:color w:val="000000"/>
                <w:sz w:val="24"/>
                <w:szCs w:val="24"/>
              </w:rPr>
            </w:pPr>
            <w:r>
              <w:rPr>
                <w:rFonts w:hint="eastAsia" w:ascii="宋体" w:hAnsi="宋体" w:cs="宋体"/>
                <w:color w:val="000000"/>
                <w:sz w:val="24"/>
                <w:szCs w:val="24"/>
              </w:rPr>
              <w:t xml:space="preserve">9分</w:t>
            </w:r>
            <w:r/>
          </w:p>
        </w:tc>
      </w:tr>
      <w:tr>
        <w:trPr>
          <w:trHeight w:val="482"/>
        </w:trPr>
        <w:tc>
          <w:tcPr>
            <w:gridSpan w:val="3"/>
            <w:tcMar>
              <w:left w:w="108" w:type="dxa"/>
              <w:top w:w="0" w:type="dxa"/>
              <w:right w:w="108" w:type="dxa"/>
              <w:bottom w:w="0" w:type="dxa"/>
            </w:tcMar>
            <w:tcW w:w="7643" w:type="dxa"/>
            <w:vAlign w:val="center"/>
            <w:textDirection w:val="lrTb"/>
            <w:noWrap w:val="false"/>
          </w:tcPr>
          <w:p>
            <w:pPr>
              <w:pStyle w:val="884"/>
              <w:ind w:firstLine="319"/>
              <w:jc w:val="center"/>
              <w:spacing w:line="360" w:lineRule="auto"/>
              <w:rPr>
                <w:rFonts w:hint="eastAsia" w:ascii="宋体" w:hAnsi="宋体" w:cs="宋体"/>
              </w:rPr>
            </w:pPr>
            <w:r>
              <w:rPr>
                <w:rFonts w:hint="eastAsia" w:ascii="宋体" w:hAnsi="宋体"/>
                <w:bCs/>
                <w:sz w:val="24"/>
              </w:rPr>
              <w:t xml:space="preserve">合计</w:t>
            </w:r>
            <w:r>
              <w:rPr>
                <w:rFonts w:hint="eastAsia" w:ascii="宋体" w:hAnsi="宋体" w:cs="宋体"/>
              </w:rPr>
            </w:r>
            <w:r/>
          </w:p>
        </w:tc>
        <w:tc>
          <w:tcPr>
            <w:tcMar>
              <w:left w:w="108" w:type="dxa"/>
              <w:top w:w="0" w:type="dxa"/>
              <w:right w:w="108" w:type="dxa"/>
              <w:bottom w:w="0" w:type="dxa"/>
            </w:tcMar>
            <w:tcW w:w="699" w:type="dxa"/>
            <w:vAlign w:val="center"/>
            <w:textDirection w:val="lrTb"/>
            <w:noWrap w:val="false"/>
          </w:tcPr>
          <w:p>
            <w:pPr>
              <w:pStyle w:val="884"/>
              <w:jc w:val="center"/>
              <w:spacing w:line="360" w:lineRule="auto"/>
              <w:tabs>
                <w:tab w:val="left" w:pos="426" w:leader="none"/>
              </w:tabs>
              <w:rPr>
                <w:rFonts w:hint="eastAsia" w:ascii="宋体" w:hAnsi="宋体" w:cs="宋体"/>
                <w:sz w:val="24"/>
                <w:szCs w:val="24"/>
              </w:rPr>
            </w:pPr>
            <w:r>
              <w:rPr>
                <w:rFonts w:hint="eastAsia" w:ascii="宋体" w:hAnsi="宋体" w:cs="宋体"/>
                <w:sz w:val="24"/>
                <w:szCs w:val="24"/>
              </w:rPr>
              <w:t xml:space="preserve">100</w:t>
            </w:r>
            <w:r/>
          </w:p>
        </w:tc>
      </w:tr>
    </w:tbl>
    <w:p>
      <w:pPr>
        <w:pStyle w:val="884"/>
        <w:ind w:firstLine="420"/>
        <w:jc w:val="left"/>
        <w:spacing w:before="120" w:after="120" w:line="0" w:lineRule="atLeast"/>
        <w:rPr>
          <w:rFonts w:hint="eastAsia" w:ascii="Times New Roman" w:hAnsi="Times New Roman"/>
          <w:szCs w:val="21"/>
        </w:rPr>
      </w:pPr>
      <w:r>
        <w:rPr>
          <w:rFonts w:hint="eastAsia" w:ascii="Times New Roman" w:hAnsi="Times New Roman"/>
          <w:szCs w:val="21"/>
        </w:rPr>
      </w:r>
      <w:r/>
    </w:p>
    <w:p>
      <w:pPr>
        <w:pStyle w:val="884"/>
        <w:rPr>
          <w:rFonts w:ascii="Times New Roman" w:hAnsi="Times New Roman"/>
          <w:szCs w:val="21"/>
        </w:rPr>
      </w:pPr>
      <w:r>
        <w:rPr>
          <w:rFonts w:ascii="Times New Roman" w:hAnsi="Times New Roman"/>
          <w:szCs w:val="21"/>
        </w:rPr>
        <w:br w:type="page" w:clear="all"/>
      </w:r>
      <w:r>
        <w:rPr>
          <w:rFonts w:ascii="Times New Roman" w:hAnsi="Times New Roman"/>
          <w:szCs w:val="21"/>
        </w:rPr>
      </w:r>
      <w:r/>
    </w:p>
    <w:p>
      <w:pPr>
        <w:pStyle w:val="886"/>
        <w:spacing w:line="660" w:lineRule="exact"/>
        <w:rPr>
          <w:rFonts w:hint="eastAsia" w:ascii="黑体" w:hAnsi="黑体" w:eastAsia="黑体"/>
          <w:b w:val="0"/>
          <w:bCs w:val="0"/>
          <w:sz w:val="32"/>
          <w:szCs w:val="32"/>
        </w:rPr>
      </w:pPr>
      <w:r/>
      <w:bookmarkEnd w:id="177"/>
      <w:r/>
      <w:bookmarkEnd w:id="178"/>
      <w:r/>
      <w:bookmarkEnd w:id="183"/>
      <w:r/>
      <w:bookmarkStart w:id="184" w:name="_Toc26554094"/>
      <w:r/>
      <w:bookmarkStart w:id="185" w:name="_Toc120614282"/>
      <w:r/>
      <w:bookmarkStart w:id="186" w:name="_Toc49090576"/>
      <w:r>
        <w:rPr>
          <w:rFonts w:hint="eastAsia" w:ascii="黑体" w:hAnsi="黑体" w:eastAsia="黑体"/>
          <w:b w:val="0"/>
          <w:bCs w:val="0"/>
          <w:sz w:val="32"/>
          <w:szCs w:val="32"/>
        </w:rPr>
        <w:t xml:space="preserve">第六章  响应文件格式 </w:t>
      </w:r>
      <w:r/>
    </w:p>
    <w:p>
      <w:pPr>
        <w:pStyle w:val="884"/>
        <w:jc w:val="center"/>
        <w:rPr>
          <w:rFonts w:hint="eastAsia" w:ascii="宋体" w:hAnsi="宋体"/>
          <w:b/>
          <w:sz w:val="72"/>
          <w:szCs w:val="21"/>
        </w:rPr>
      </w:pPr>
      <w:r/>
      <w:bookmarkStart w:id="187" w:name="_Hlt26671244"/>
      <w:r/>
      <w:bookmarkEnd w:id="187"/>
      <w:r/>
      <w:bookmarkStart w:id="188" w:name="_Hlt26955039"/>
      <w:r/>
      <w:bookmarkEnd w:id="188"/>
      <w:r>
        <w:rPr>
          <w:rFonts w:hint="eastAsia" w:ascii="宋体" w:hAnsi="宋体"/>
          <w:b/>
          <w:sz w:val="72"/>
          <w:szCs w:val="21"/>
        </w:rPr>
      </w:r>
      <w:r/>
    </w:p>
    <w:p>
      <w:pPr>
        <w:pStyle w:val="884"/>
        <w:jc w:val="center"/>
        <w:spacing w:line="660" w:lineRule="exact"/>
        <w:rPr>
          <w:rFonts w:hint="eastAsia"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t xml:space="preserve">响  应  文  件</w:t>
      </w:r>
      <w:r/>
    </w:p>
    <w:p>
      <w:pPr>
        <w:pStyle w:val="884"/>
        <w:jc w:val="center"/>
        <w:rPr>
          <w:rFonts w:hint="eastAsia" w:ascii="宋体" w:hAnsi="宋体"/>
          <w:b/>
          <w:sz w:val="72"/>
          <w:szCs w:val="21"/>
        </w:rPr>
      </w:pPr>
      <w:r>
        <w:rPr>
          <w:rFonts w:hint="eastAsia" w:ascii="宋体" w:hAnsi="宋体"/>
          <w:b/>
          <w:sz w:val="72"/>
          <w:szCs w:val="21"/>
        </w:rPr>
      </w:r>
      <w:r/>
    </w:p>
    <w:p>
      <w:pPr>
        <w:pStyle w:val="884"/>
        <w:jc w:val="center"/>
        <w:rPr>
          <w:rFonts w:hint="eastAsia" w:ascii="宋体" w:hAnsi="宋体"/>
          <w:b/>
          <w:sz w:val="72"/>
          <w:szCs w:val="21"/>
        </w:rPr>
      </w:pPr>
      <w:r>
        <w:rPr>
          <w:rFonts w:hint="eastAsia" w:ascii="宋体" w:hAnsi="宋体"/>
          <w:b/>
          <w:sz w:val="72"/>
          <w:szCs w:val="21"/>
        </w:rPr>
      </w:r>
      <w:r/>
    </w:p>
    <w:p>
      <w:pPr>
        <w:pStyle w:val="884"/>
        <w:jc w:val="center"/>
        <w:rPr>
          <w:rFonts w:hint="eastAsia" w:ascii="宋体" w:hAnsi="宋体"/>
          <w:b/>
          <w:sz w:val="36"/>
          <w:szCs w:val="21"/>
        </w:rPr>
      </w:pPr>
      <w:r>
        <w:rPr>
          <w:rFonts w:hint="eastAsia" w:ascii="宋体" w:hAnsi="宋体"/>
          <w:b/>
          <w:sz w:val="36"/>
          <w:szCs w:val="21"/>
        </w:rPr>
      </w:r>
      <w:r/>
    </w:p>
    <w:p>
      <w:pPr>
        <w:pStyle w:val="884"/>
        <w:jc w:val="center"/>
        <w:rPr>
          <w:rFonts w:hint="eastAsia" w:ascii="宋体" w:hAnsi="宋体"/>
          <w:b/>
          <w:sz w:val="36"/>
          <w:szCs w:val="21"/>
        </w:rPr>
      </w:pPr>
      <w:r>
        <w:rPr>
          <w:rFonts w:hint="eastAsia" w:ascii="宋体" w:hAnsi="宋体"/>
          <w:b/>
          <w:sz w:val="36"/>
          <w:szCs w:val="21"/>
        </w:rPr>
      </w:r>
      <w:r/>
    </w:p>
    <w:p>
      <w:pPr>
        <w:pStyle w:val="884"/>
        <w:jc w:val="center"/>
        <w:rPr>
          <w:rFonts w:hint="eastAsia" w:ascii="宋体" w:hAnsi="宋体"/>
          <w:b/>
          <w:sz w:val="36"/>
          <w:szCs w:val="21"/>
        </w:rPr>
      </w:pPr>
      <w:r>
        <w:rPr>
          <w:rFonts w:hint="eastAsia" w:ascii="宋体" w:hAnsi="宋体"/>
          <w:b/>
          <w:sz w:val="36"/>
          <w:szCs w:val="21"/>
        </w:rPr>
      </w:r>
      <w:r/>
    </w:p>
    <w:p>
      <w:pPr>
        <w:pStyle w:val="884"/>
        <w:ind w:firstLine="96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884"/>
        <w:ind w:firstLine="960"/>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pStyle w:val="884"/>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供应商名称 ：</w:t>
      </w:r>
      <w:r>
        <w:rPr>
          <w:rFonts w:hint="eastAsia" w:ascii="方正黑体_GBK" w:hAnsi="方正黑体_GBK" w:eastAsia="方正黑体_GBK" w:cs="方正黑体_GBK"/>
          <w:bCs/>
          <w:sz w:val="32"/>
          <w:szCs w:val="32"/>
          <w:u w:val="single"/>
        </w:rPr>
        <w:t xml:space="preserve">（加盖CA电子公章）</w:t>
      </w:r>
      <w:r/>
    </w:p>
    <w:p>
      <w:pPr>
        <w:pStyle w:val="884"/>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pStyle w:val="884"/>
        <w:jc w:val="center"/>
        <w:spacing w:line="440" w:lineRule="exact"/>
        <w:rPr>
          <w:rFonts w:hint="eastAsia" w:ascii="宋体" w:hAnsi="宋体"/>
          <w:b/>
          <w:bCs/>
          <w:sz w:val="32"/>
          <w:szCs w:val="32"/>
        </w:rPr>
      </w:pPr>
      <w:r>
        <w:rPr>
          <w:rFonts w:hint="eastAsia" w:ascii="宋体" w:hAnsi="宋体"/>
          <w:b/>
          <w:bCs/>
          <w:sz w:val="32"/>
          <w:szCs w:val="32"/>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ascii="宋体" w:hAnsi="宋体"/>
          <w:szCs w:val="21"/>
        </w:rPr>
      </w:pPr>
      <w:r>
        <w:rPr>
          <w:rFonts w:ascii="宋体" w:hAnsi="宋体"/>
          <w:szCs w:val="21"/>
        </w:rPr>
      </w:r>
      <w:r/>
    </w:p>
    <w:p>
      <w:pPr>
        <w:pStyle w:val="884"/>
        <w:spacing w:line="440" w:lineRule="exact"/>
        <w:rPr>
          <w:rFonts w:hint="eastAsia" w:ascii="宋体" w:hAnsi="宋体"/>
          <w:szCs w:val="21"/>
        </w:rPr>
      </w:pPr>
      <w:r>
        <w:rPr>
          <w:rFonts w:hint="eastAsia" w:ascii="宋体" w:hAnsi="宋体"/>
          <w:szCs w:val="21"/>
        </w:rPr>
      </w:r>
      <w:r/>
    </w:p>
    <w:p>
      <w:pPr>
        <w:pStyle w:val="884"/>
        <w:ind w:firstLine="964"/>
        <w:rPr>
          <w:rFonts w:ascii="宋体" w:hAnsi="宋体"/>
          <w:b/>
          <w:bCs/>
          <w:sz w:val="32"/>
          <w:szCs w:val="32"/>
        </w:rPr>
      </w:pPr>
      <w:r>
        <w:rPr>
          <w:rFonts w:ascii="宋体" w:hAnsi="宋体"/>
          <w:b/>
          <w:bCs/>
          <w:sz w:val="32"/>
          <w:szCs w:val="32"/>
        </w:rPr>
      </w:r>
      <w:r/>
    </w:p>
    <w:p>
      <w:pPr>
        <w:pStyle w:val="884"/>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响应文件的组成</w:t>
      </w:r>
      <w:r/>
    </w:p>
    <w:p>
      <w:pPr>
        <w:pStyle w:val="884"/>
        <w:jc w:val="center"/>
        <w:spacing w:line="440" w:lineRule="exact"/>
        <w:rPr>
          <w:rFonts w:hint="eastAsia" w:ascii="宋体" w:hAnsi="宋体"/>
          <w:b/>
          <w:bCs/>
          <w:sz w:val="32"/>
          <w:szCs w:val="32"/>
        </w:rPr>
      </w:pPr>
      <w:r>
        <w:rPr>
          <w:rFonts w:hint="eastAsia" w:ascii="宋体" w:hAnsi="宋体"/>
          <w:b/>
          <w:bCs/>
          <w:sz w:val="32"/>
          <w:szCs w:val="32"/>
        </w:rPr>
      </w:r>
      <w:r/>
    </w:p>
    <w:p>
      <w:pPr>
        <w:pStyle w:val="88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1.分项报价表（格式见附件1）</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2.技术要求响应及偏离表（格式见附件2）</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3.商务要求响应及偏离表（格式见附件3）</w:t>
      </w:r>
      <w:r/>
    </w:p>
    <w:p>
      <w:pPr>
        <w:pStyle w:val="88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2024或2025</w:t>
      </w:r>
      <w:r>
        <w:rPr>
          <w:rFonts w:hint="eastAsia" w:ascii="方正仿宋_GBK" w:hAnsi="方正仿宋_GBK" w:eastAsia="方正仿宋_GBK" w:cs="方正仿宋_GBK"/>
          <w:sz w:val="32"/>
          <w:szCs w:val="32"/>
        </w:rPr>
        <w:t xml:space="preserve">年度的财务状况报告（供应商成立不满一年无需提供）</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4.具备履行合同所必需的设备和专业技术能力的书面声明（格式见附件4）</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年内在经营活动中没有重大违法记录的书面声明（格式见附件5）</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6.特定资格要求的证明文件（如果本项目对供应商做出特定资格要求的，必须提供）</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8.法人授权书（格式见附件6）</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9.响应函（格式见附件7）</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总备注：上述“资格审查内容”中1-5条、8、9条供应商必须在响应文件中提供相关材料，否则作无效响应处理。</w:t>
      </w:r>
      <w:r/>
    </w:p>
    <w:p>
      <w:pPr>
        <w:pStyle w:val="88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供应商必须对磋商文件（含技术要求和商务要求）中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的实质性要求逐条做出响应，并按照磋商文件要求提供证明材料，否则做无效响应处理。（格式见附件1</w:t>
      </w:r>
      <w:r>
        <w:rPr>
          <w:rFonts w:hint="eastAsia" w:ascii="方正仿宋_GBK" w:hAnsi="方正仿宋_GBK" w:eastAsia="方正仿宋_GBK" w:cs="方正仿宋_GBK"/>
          <w:sz w:val="32"/>
          <w:szCs w:val="32"/>
        </w:rPr>
        <w:t xml:space="preserve">0</w:t>
      </w:r>
      <w:r>
        <w:rPr>
          <w:rFonts w:hint="eastAsia" w:ascii="方正仿宋_GBK" w:hAnsi="方正仿宋_GBK" w:eastAsia="方正仿宋_GBK" w:cs="方正仿宋_GBK"/>
          <w:sz w:val="32"/>
          <w:szCs w:val="32"/>
        </w:rPr>
        <w:t xml:space="preserve">）</w:t>
      </w:r>
      <w:r/>
    </w:p>
    <w:p>
      <w:pPr>
        <w:pStyle w:val="88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1.中小微企业声明函（格式见附件8）</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2.残疾人福利性单位声明函（格式见附件9）</w:t>
      </w:r>
      <w:r/>
    </w:p>
    <w:p>
      <w:pPr>
        <w:pStyle w:val="88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3.关于符合本国产品标准的声明函（格式见附件1</w:t>
      </w:r>
      <w:r>
        <w:rPr>
          <w:rFonts w:hint="eastAsia" w:ascii="方正魏碑_GBK" w:hAnsi="方正魏碑_GBK" w:eastAsia="方正魏碑_GBK" w:cs="方正魏碑_GBK"/>
          <w:sz w:val="32"/>
          <w:szCs w:val="32"/>
        </w:rPr>
        <w:t xml:space="preserve">1</w:t>
      </w:r>
      <w:r>
        <w:rPr>
          <w:rFonts w:hint="eastAsia" w:ascii="方正魏碑_GBK" w:hAnsi="方正魏碑_GBK" w:eastAsia="方正魏碑_GBK" w:cs="方正魏碑_GBK"/>
          <w:sz w:val="32"/>
          <w:szCs w:val="32"/>
        </w:rPr>
        <w:t xml:space="preserve">）</w:t>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pStyle w:val="884"/>
        <w:ind w:left="480"/>
        <w:rPr>
          <w:rFonts w:ascii="宋体" w:hAnsi="宋体"/>
          <w:b/>
          <w:sz w:val="24"/>
          <w:szCs w:val="21"/>
        </w:rPr>
      </w:pPr>
      <w:r>
        <w:rPr>
          <w:rFonts w:ascii="宋体" w:hAnsi="宋体"/>
          <w:b/>
          <w:sz w:val="24"/>
          <w:szCs w:val="21"/>
        </w:rPr>
      </w:r>
      <w:r/>
    </w:p>
    <w:p>
      <w:pP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highlight w:val="none"/>
        </w:rPr>
      </w:r>
      <w:r>
        <w:rPr>
          <w:rFonts w:hint="eastAsia" w:ascii="方正黑体_GBK" w:hAnsi="方正黑体_GBK" w:eastAsia="方正黑体_GBK" w:cs="方正黑体_GBK"/>
          <w:bCs/>
          <w:sz w:val="32"/>
          <w:szCs w:val="32"/>
          <w:highlight w:val="none"/>
        </w:rPr>
      </w:r>
      <w:r/>
    </w:p>
    <w:p>
      <w:pPr>
        <w:pStyle w:val="884"/>
        <w:spacing w:line="660" w:lineRule="exact"/>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rPr>
        <w:t xml:space="preserve">附件</w:t>
      </w:r>
      <w:r>
        <w:rPr>
          <w:rFonts w:hint="eastAsia" w:ascii="方正黑体_GBK" w:hAnsi="方正黑体_GBK" w:eastAsia="方正黑体_GBK" w:cs="方正黑体_GBK"/>
          <w:bCs/>
          <w:sz w:val="32"/>
          <w:szCs w:val="32"/>
        </w:rPr>
        <w:t xml:space="preserve">1 分项报价表（服务类项目）（采购包号：</w:t>
      </w:r>
      <w:r>
        <w:rPr>
          <w:rFonts w:hint="eastAsia" w:ascii="Times New Roman" w:hAnsi="Times New Roman"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序号</w:t>
            </w:r>
            <w:r/>
          </w:p>
        </w:tc>
        <w:tc>
          <w:tcPr>
            <w:tcW w:w="1106"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p>
        </w:tc>
        <w:tc>
          <w:tcPr>
            <w:tcW w:w="104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5</w:t>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6</w:t>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w:t>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8</w:t>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9</w:t>
            </w:r>
            <w:r/>
          </w:p>
        </w:tc>
      </w:tr>
      <w:tr>
        <w:trPr>
          <w:cantSplit/>
          <w:trHeight w:val="294"/>
        </w:trPr>
        <w:tc>
          <w:tcPr>
            <w:tcW w:w="7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p>
        </w:tc>
        <w:tc>
          <w:tcPr>
            <w:tcW w:w="1106" w:type="dxa"/>
            <w:vAlign w:val="center"/>
            <w:textDirection w:val="lrTb"/>
            <w:noWrap w:val="false"/>
          </w:tcPr>
          <w:p>
            <w:pPr>
              <w:pStyle w:val="884"/>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分项服务名称/货物名称</w:t>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品牌</w:t>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规格</w:t>
            </w:r>
            <w:r/>
          </w:p>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型号</w:t>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制造商名称</w:t>
            </w:r>
            <w:r/>
          </w:p>
        </w:tc>
        <w:tc>
          <w:tcPr>
            <w:tcW w:w="104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产地</w:t>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交付期/服务期</w:t>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数量</w:t>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p>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单价</w:t>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p>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总价</w:t>
            </w:r>
            <w:r/>
          </w:p>
        </w:tc>
      </w:tr>
      <w:tr>
        <w:trPr>
          <w:cantSplit/>
          <w:trHeight w:val="696"/>
        </w:trPr>
        <w:tc>
          <w:tcPr>
            <w:tcW w:w="7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p>
        </w:tc>
        <w:tc>
          <w:tcPr>
            <w:tcW w:w="1106"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highlight w:val="cyan"/>
              </w:rPr>
            </w:pPr>
            <w:r>
              <w:rPr>
                <w:rFonts w:hint="eastAsia" w:ascii="方正魏碑_GBK" w:hAnsi="方正魏碑_GBK" w:eastAsia="方正魏碑_GBK" w:cs="方正魏碑_GBK"/>
                <w:sz w:val="28"/>
                <w:szCs w:val="28"/>
                <w:highlight w:val="cyan"/>
              </w:rPr>
            </w:r>
            <w:r/>
          </w:p>
        </w:tc>
        <w:tc>
          <w:tcPr>
            <w:tcW w:w="1040" w:type="dxa"/>
            <w:vAlign w:val="top"/>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合同签订后</w:t>
            </w:r>
            <w:r>
              <w:rPr>
                <w:rFonts w:hint="eastAsia" w:ascii="方正魏碑_GBK" w:hAnsi="方正魏碑_GBK" w:eastAsia="方正魏碑_GBK" w:cs="方正魏碑_GBK"/>
                <w:sz w:val="28"/>
                <w:szCs w:val="28"/>
                <w:u w:val="single"/>
              </w:rPr>
              <w:t xml:space="preserve">  </w:t>
            </w:r>
            <w:r>
              <w:rPr>
                <w:rFonts w:hint="eastAsia" w:ascii="方正魏碑_GBK" w:hAnsi="方正魏碑_GBK" w:eastAsia="方正魏碑_GBK" w:cs="方正魏碑_GBK"/>
                <w:sz w:val="28"/>
                <w:szCs w:val="28"/>
              </w:rPr>
              <w:t xml:space="preserve">日</w:t>
            </w:r>
            <w:r>
              <w:rPr>
                <w:rFonts w:hint="eastAsia" w:ascii="方正魏碑_GBK" w:hAnsi="方正魏碑_GBK" w:eastAsia="方正魏碑_GBK" w:cs="方正魏碑_GBK"/>
                <w:sz w:val="28"/>
                <w:szCs w:val="28"/>
                <w:u w:val="single"/>
              </w:rPr>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724"/>
        </w:trPr>
        <w:tc>
          <w:tcPr>
            <w:tcW w:w="7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p>
        </w:tc>
        <w:tc>
          <w:tcPr>
            <w:tcW w:w="1106"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640"/>
        </w:trPr>
        <w:tc>
          <w:tcPr>
            <w:tcW w:w="7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p>
        </w:tc>
        <w:tc>
          <w:tcPr>
            <w:tcW w:w="1106"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580"/>
        </w:trPr>
        <w:tc>
          <w:tcPr>
            <w:tcW w:w="7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p>
        </w:tc>
        <w:tc>
          <w:tcPr>
            <w:tcW w:w="1106"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p>
        </w:tc>
        <w:tc>
          <w:tcPr>
            <w:tcW w:w="1064"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88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434"/>
        </w:trPr>
        <w:tc>
          <w:tcPr>
            <w:gridSpan w:val="10"/>
            <w:tcW w:w="9861" w:type="dxa"/>
            <w:vAlign w:val="top"/>
            <w:textDirection w:val="lrTb"/>
            <w:noWrap w:val="false"/>
          </w:tcPr>
          <w:p>
            <w:pPr>
              <w:pStyle w:val="884"/>
              <w:spacing w:line="0" w:lineRule="atLeast"/>
              <w:rPr>
                <w:rFonts w:hint="eastAsia"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磋商总报价（人民币：元）</w:t>
            </w:r>
            <w:r>
              <w:rPr>
                <w:rFonts w:hint="eastAsia" w:ascii="方正魏碑_GBK" w:hAnsi="方正魏碑_GBK" w:eastAsia="方正魏碑_GBK" w:cs="方正魏碑_GBK"/>
                <w:sz w:val="28"/>
                <w:szCs w:val="28"/>
                <w:u w:val="single"/>
              </w:rPr>
              <w:t xml:space="preserve">                             </w:t>
            </w:r>
            <w:r/>
          </w:p>
        </w:tc>
      </w:tr>
      <w:tr>
        <w:trPr>
          <w:cantSplit/>
          <w:trHeight w:val="767"/>
        </w:trPr>
        <w:tc>
          <w:tcPr>
            <w:gridSpan w:val="10"/>
            <w:tcW w:w="9861" w:type="dxa"/>
            <w:vAlign w:val="top"/>
            <w:textDirection w:val="lrTb"/>
            <w:noWrap w:val="false"/>
          </w:tcPr>
          <w:p>
            <w:pPr>
              <w:pStyle w:val="947"/>
              <w:spacing w:before="0" w:beforeAutospacing="0" w:after="0" w:afterAutospacing="0"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sz w:val="28"/>
                <w:szCs w:val="28"/>
                <w:u w:val="single"/>
              </w:rPr>
              <w:t xml:space="preserve">XX</w:t>
            </w:r>
            <w:r>
              <w:rPr>
                <w:rFonts w:hint="eastAsia" w:ascii="方正魏碑_GBK" w:hAnsi="方正魏碑_GBK" w:eastAsia="方正魏碑_GBK" w:cs="方正魏碑_GBK"/>
                <w:sz w:val="28"/>
                <w:szCs w:val="28"/>
              </w:rPr>
              <w:t xml:space="preserve">%。</w:t>
            </w:r>
            <w:r/>
          </w:p>
        </w:tc>
      </w:tr>
    </w:tbl>
    <w:p>
      <w:pPr>
        <w:pStyle w:val="884"/>
        <w:ind w:firstLine="640"/>
        <w:spacing w:line="560" w:lineRule="exact"/>
        <w:rPr>
          <w:rFonts w:ascii="宋体" w:hAnsi="宋体"/>
          <w:sz w:val="24"/>
          <w:szCs w:val="24"/>
        </w:rPr>
      </w:pPr>
      <w:r>
        <w:rPr>
          <w:rFonts w:hint="eastAsia" w:ascii="方正仿宋_GBK" w:hAnsi="方正仿宋_GBK" w:eastAsia="方正仿宋_GBK" w:cs="方正仿宋_GBK"/>
          <w:sz w:val="32"/>
          <w:szCs w:val="32"/>
        </w:rPr>
        <w:t xml:space="preserve">备注：</w:t>
      </w:r>
      <w:r>
        <w:rPr>
          <w:rFonts w:hint="eastAsia" w:ascii="宋体" w:hAnsi="宋体"/>
          <w:sz w:val="24"/>
          <w:szCs w:val="24"/>
        </w:rPr>
        <w:t xml:space="preserve"> </w:t>
      </w:r>
      <w:r>
        <w:rPr>
          <w:rFonts w:ascii="宋体" w:hAnsi="宋体"/>
          <w:sz w:val="24"/>
          <w:szCs w:val="24"/>
        </w:rPr>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2.项目经办人可以根据项目实际需要对表格结构进行调整。</w:t>
      </w:r>
      <w:r/>
    </w:p>
    <w:p>
      <w:pPr>
        <w:pStyle w:val="884"/>
        <w:ind w:firstLine="640"/>
        <w:spacing w:line="560" w:lineRule="exact"/>
        <w:rPr>
          <w:rFonts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3.分项服务不需填写品牌、规格型号、制造商、产地。</w:t>
      </w:r>
      <w:r>
        <w:rPr>
          <w:rFonts w:ascii="方正魏碑_GBK" w:hAnsi="方正魏碑_GBK" w:eastAsia="方正魏碑_GBK" w:cs="方正魏碑_GBK"/>
          <w:sz w:val="32"/>
          <w:szCs w:val="32"/>
        </w:rPr>
      </w:r>
      <w:r/>
    </w:p>
    <w:p>
      <w:pPr>
        <w:pStyle w:val="884"/>
        <w:ind w:firstLine="640"/>
        <w:spacing w:line="560" w:lineRule="exact"/>
        <w:rPr>
          <w:rFonts w:hint="eastAsia" w:ascii="宋体" w:hAnsi="宋体"/>
          <w:sz w:val="32"/>
          <w:szCs w:val="32"/>
        </w:rPr>
      </w:pPr>
      <w:r>
        <w:rPr>
          <w:rFonts w:hint="eastAsia" w:ascii="方正魏碑_GBK" w:hAnsi="方正魏碑_GBK" w:eastAsia="方正魏碑_GBK" w:cs="方正魏碑_GBK"/>
          <w:sz w:val="32"/>
          <w:szCs w:val="32"/>
        </w:rPr>
        <w:t xml:space="preserve">4.</w:t>
      </w:r>
      <w:r>
        <w:rPr>
          <w:rFonts w:hint="eastAsia" w:ascii="方正魏碑_GBK" w:hAnsi="方正魏碑_GBK" w:eastAsia="方正魏碑_GBK" w:cs="方正魏碑_GBK"/>
          <w:b/>
          <w:bCs/>
          <w:sz w:val="32"/>
          <w:szCs w:val="32"/>
        </w:rPr>
        <w:t xml:space="preserve">本采购包中含有货物时</w:t>
      </w:r>
      <w:r>
        <w:rPr>
          <w:rFonts w:hint="eastAsia" w:ascii="方正魏碑_GBK" w:hAnsi="方正魏碑_GBK" w:eastAsia="方正魏碑_GBK" w:cs="方正魏碑_GBK"/>
          <w:sz w:val="32"/>
          <w:szCs w:val="32"/>
        </w:rPr>
        <w:t xml:space="preserve">，供应商未填写本采购包中提供的符合本国产品标准的货物成本之和占该采购包全部成本之和比例数值的，或比例数值低于80%的，将不享受本国产品价格评审优惠。</w:t>
      </w:r>
      <w:r>
        <w:rPr>
          <w:rFonts w:hint="eastAsia" w:ascii="宋体" w:hAnsi="宋体"/>
          <w:sz w:val="32"/>
          <w:szCs w:val="32"/>
        </w:rPr>
      </w:r>
      <w:r/>
    </w:p>
    <w:p>
      <w:pPr>
        <w:pStyle w:val="884"/>
      </w:pPr>
      <w:r/>
      <w:r/>
    </w:p>
    <w:p>
      <w:pPr>
        <w:pStyle w:val="884"/>
        <w:jc w:val="center"/>
        <w:rPr>
          <w:rFonts w:hint="eastAsia" w:ascii="宋体" w:hAnsi="宋体"/>
          <w:b/>
          <w:sz w:val="24"/>
          <w:szCs w:val="24"/>
        </w:rPr>
      </w:pPr>
      <w:r>
        <w:rPr>
          <w:rFonts w:hint="eastAsia" w:ascii="宋体" w:hAnsi="宋体"/>
          <w:b/>
          <w:sz w:val="24"/>
          <w:szCs w:val="24"/>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技术要求响应及偏离表（采购包号：</w:t>
      </w:r>
      <w:r>
        <w:rPr>
          <w:rFonts w:ascii="Times New Roman" w:hAnsi="Times New Roman"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8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1.供应商需对磋商文件技术要求中非实质性要求（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2.如果磋商文件要求提供证明材料，供应商需将证明材料列于该表之下。</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884"/>
        <w:jc w:val="center"/>
        <w:spacing w:line="6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附件3 商务要求响应及偏离表（采购包号：</w:t>
      </w:r>
      <w:r>
        <w:rPr>
          <w:rFonts w:hint="eastAsia" w:ascii="Times New Roman" w:hAnsi="Times New Roman"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8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84"/>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rPr>
          <w:rFonts w:ascii="宋体" w:hAnsi="宋体"/>
          <w:sz w:val="24"/>
          <w:szCs w:val="24"/>
        </w:rPr>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1.供应商需对磋商文件技术要求中非实质性要求（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2.如果磋商文件要求提供证明材料，供应商需将证明材料列于该表之下。</w:t>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rPr>
          <w:rFonts w:hint="eastAsia" w:ascii="宋体" w:hAnsi="宋体"/>
          <w:b/>
          <w:color w:val="000000"/>
          <w:sz w:val="24"/>
          <w:szCs w:val="21"/>
        </w:rPr>
      </w:pPr>
      <w:r>
        <w:rPr>
          <w:rFonts w:hint="eastAsia" w:ascii="宋体" w:hAnsi="宋体"/>
          <w:b/>
          <w:color w:val="000000"/>
          <w:sz w:val="24"/>
          <w:szCs w:val="21"/>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具备履行合同所必需的设备和专业技术能力的书面声明</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88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84"/>
        <w:ind w:left="480"/>
        <w:rPr>
          <w:rFonts w:ascii="宋体" w:hAnsi="宋体"/>
          <w:b/>
          <w:color w:val="000000"/>
          <w:sz w:val="24"/>
          <w:szCs w:val="21"/>
        </w:rPr>
      </w:pPr>
      <w:r>
        <w:rPr>
          <w:rFonts w:ascii="宋体" w:hAnsi="宋体"/>
          <w:b/>
          <w:color w:val="000000"/>
          <w:sz w:val="24"/>
          <w:szCs w:val="21"/>
        </w:rPr>
      </w:r>
      <w:r/>
    </w:p>
    <w:p>
      <w:pPr>
        <w:pStyle w:val="884"/>
        <w:rPr>
          <w:rFonts w:ascii="宋体" w:hAnsi="宋体"/>
          <w:b/>
          <w:color w:val="000000"/>
          <w:sz w:val="24"/>
          <w:szCs w:val="21"/>
        </w:rPr>
      </w:pPr>
      <w:r>
        <w:rPr>
          <w:rFonts w:ascii="宋体" w:hAnsi="宋体"/>
          <w:b/>
          <w:color w:val="000000"/>
          <w:sz w:val="24"/>
          <w:szCs w:val="21"/>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参加政府采购活动前 3 年内在经营活动中没有重大违法记录的书面声明</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84"/>
        <w:spacing w:line="660" w:lineRule="exact"/>
        <w:rPr>
          <w:rFonts w:hint="eastAsia" w:ascii="方正黑体_GBK" w:hAnsi="方正黑体_GBK" w:eastAsia="方正黑体_GBK" w:cs="方正黑体_GBK"/>
          <w:bCs/>
          <w:sz w:val="32"/>
          <w:szCs w:val="32"/>
        </w:rPr>
      </w:pPr>
      <w:r/>
      <w:bookmarkEnd w:id="184"/>
      <w:r/>
      <w:bookmarkEnd w:id="185"/>
      <w:r/>
      <w:bookmarkEnd w:id="186"/>
      <w:r/>
      <w:bookmarkStart w:id="189" w:name="_Toc120614284"/>
      <w:r>
        <w:rPr>
          <w:rFonts w:hint="eastAsia" w:ascii="方正黑体_GBK" w:hAnsi="方正黑体_GBK" w:eastAsia="方正黑体_GBK" w:cs="方正黑体_GBK"/>
          <w:bCs/>
          <w:sz w:val="32"/>
          <w:szCs w:val="32"/>
        </w:rPr>
        <w:t xml:space="preserve">附件6                   法人授权书</w:t>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olor w:val="000000"/>
          <w:sz w:val="32"/>
          <w:szCs w:val="32"/>
        </w:rPr>
        <w:t xml:space="preserve">JSZC-320000-SCZX-C20XX-XXXX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黑体_GBK"/>
          <w:bCs/>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被授权人联系电话：（手机）</w:t>
      </w:r>
      <w:r>
        <w:rPr>
          <w:rFonts w:hint="eastAsia" w:ascii="方正仿宋_GBK" w:hAnsi="方正仿宋_GBK" w:eastAsia="方正仿宋_GBK" w:cs="方正仿宋_GBK"/>
          <w:color w:val="000000"/>
          <w:sz w:val="32"/>
          <w:szCs w:val="32"/>
          <w:u w:val="single"/>
        </w:rPr>
        <w:t xml:space="preserve">                  </w:t>
      </w:r>
      <w:r/>
    </w:p>
    <w:p>
      <w:pPr>
        <w:pStyle w:val="88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授权单位名称：</w:t>
      </w:r>
      <w:r>
        <w:rPr>
          <w:rFonts w:hint="eastAsia" w:ascii="方正仿宋_GBK" w:hAnsi="方正仿宋_GBK" w:eastAsia="方正仿宋_GBK" w:cs="方正仿宋_GBK"/>
          <w:color w:val="000000"/>
          <w:sz w:val="32"/>
          <w:szCs w:val="32"/>
          <w:u w:val="single"/>
        </w:rPr>
        <w:t xml:space="preserve">（加盖CA电子公章） </w:t>
      </w:r>
      <w:r>
        <w:rPr>
          <w:rFonts w:hint="eastAsia" w:ascii="方正仿宋_GBK" w:hAnsi="方正仿宋_GBK" w:eastAsia="方正仿宋_GBK" w:cs="方正仿宋_GBK"/>
          <w:color w:val="000000"/>
          <w:sz w:val="32"/>
          <w:szCs w:val="32"/>
        </w:rPr>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单位地址：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88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    期：</w:t>
      </w:r>
      <w:bookmarkStart w:id="190" w:name="_格式3__银行出具的资信证明"/>
      <w:r/>
      <w:bookmarkEnd w:id="190"/>
      <w:r/>
      <w:bookmarkStart w:id="191" w:name="_Hlt26955070"/>
      <w:r/>
      <w:bookmarkEnd w:id="191"/>
      <w:r/>
      <w:bookmarkStart w:id="192" w:name="_Hlt26671380"/>
      <w:r/>
      <w:bookmarkEnd w:id="192"/>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rPr>
          <w:rFonts w:hint="eastAsia" w:ascii="Times New Roman" w:hAnsi="Times New Roman"/>
          <w:szCs w:val="21"/>
        </w:rPr>
      </w:pPr>
      <w:r>
        <w:rPr>
          <w:rFonts w:hint="eastAsia" w:ascii="Times New Roman" w:hAnsi="Times New Roman"/>
          <w:szCs w:val="21"/>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磋商响应函</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致：江苏省政府采购中心</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根据贵方采购编号为</w:t>
      </w:r>
      <w:r>
        <w:rPr>
          <w:rFonts w:ascii="Times New Roman" w:hAnsi="Times New Roman"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ascii="Times New Roman" w:hAnsi="Times New Roman"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项目（项目名称）的磋商文件，正式授权下述签字人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（供应商的名称），全权处理本次项目磋商的有关事宜。</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1.按磋商文件规定的各项要求，向买方提供所需货物、服务（包含与货物相关的服务及与服务相关的货物）。</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2.我们完全理解贵方不一定将合同授予最低报价的供应商。</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3.我们已详细审核全部磋商文件及其有效补充文件，我们知道必须放弃提出含糊不清或误解问题的权利。</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4.我们同意从规定的开标日期起遵循本响应文件，并在规定的磋商有效期期满之前均具有约束力。</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5.同意向贵方提供贵方可能另外要求的与磋商有关的任何证据或资料，并保证我方已提供和将要提供的文件是真实的、准确的。</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6.一旦我方成交,我方将根据磋商文件的规定，严格履行合同的责任和义务,并保证在磋商文件规定的时间完成项目，交付买方验收、使用。</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7.我方与本磋商有关的正式通讯地址为：</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供应商开户行：</w:t>
      </w:r>
      <w:r/>
    </w:p>
    <w:p>
      <w:pPr>
        <w:pStyle w:val="88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884"/>
        <w:ind w:left="420" w:firstLine="480"/>
        <w:jc w:val="left"/>
        <w:spacing w:line="420" w:lineRule="exact"/>
        <w:rPr>
          <w:rFonts w:hint="eastAsia" w:ascii="宋体" w:hAnsi="宋体"/>
          <w:sz w:val="24"/>
          <w:szCs w:val="21"/>
        </w:rPr>
      </w:pPr>
      <w:r>
        <w:rPr>
          <w:rFonts w:hint="eastAsia" w:ascii="宋体" w:hAnsi="宋体"/>
          <w:sz w:val="24"/>
          <w:szCs w:val="21"/>
        </w:rPr>
      </w:r>
      <w:r/>
    </w:p>
    <w:p>
      <w:pPr>
        <w:pStyle w:val="884"/>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884"/>
        <w:jc w:val="righ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供应商全称（加盖CA电子公章）：</w:t>
      </w:r>
      <w:r/>
    </w:p>
    <w:p>
      <w:pPr>
        <w:pStyle w:val="884"/>
        <w:jc w:val="right"/>
        <w:spacing w:line="560" w:lineRule="exact"/>
        <w:rPr>
          <w:rFonts w:hint="eastAsia" w:ascii="宋体" w:hAnsi="宋体"/>
          <w:color w:val="000000"/>
          <w:sz w:val="32"/>
          <w:szCs w:val="32"/>
        </w:rPr>
      </w:pPr>
      <w:r>
        <w:rPr>
          <w:rFonts w:hint="eastAsia" w:ascii="方正仿宋_GBK" w:hAnsi="方正仿宋_GBK" w:eastAsia="方正仿宋_GBK" w:cs="方正仿宋_GBK"/>
          <w:color w:val="000000"/>
          <w:sz w:val="32"/>
          <w:szCs w:val="32"/>
        </w:rPr>
        <w:t xml:space="preserve">日    期：___年____月____日</w:t>
      </w:r>
      <w:r>
        <w:rPr>
          <w:rFonts w:hint="eastAsia" w:ascii="宋体" w:hAnsi="宋体"/>
          <w:color w:val="000000"/>
          <w:sz w:val="32"/>
          <w:szCs w:val="32"/>
        </w:rPr>
      </w:r>
      <w:r/>
    </w:p>
    <w:p>
      <w:pPr>
        <w:pStyle w:val="884"/>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884"/>
        <w:spacing w:line="460" w:lineRule="exact"/>
        <w:rPr>
          <w:rFonts w:hint="eastAsia" w:ascii="宋体" w:hAnsi="宋体"/>
          <w:sz w:val="24"/>
          <w:szCs w:val="24"/>
        </w:rPr>
      </w:pPr>
      <w:r>
        <w:rPr>
          <w:rFonts w:hint="eastAsia" w:ascii="宋体" w:hAnsi="宋体"/>
          <w:sz w:val="24"/>
          <w:szCs w:val="24"/>
        </w:rPr>
        <w:t xml:space="preserve"> </w:t>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附件8 中小微企业声明函（服务类项目）（采购包号：XX）</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sz w:val="32"/>
          <w:szCs w:val="32"/>
          <w:u w:val="single"/>
        </w:rPr>
        <w:t xml:space="preserve">XXXX</w:t>
      </w:r>
      <w:r>
        <w:rPr>
          <w:rFonts w:hint="eastAsia" w:ascii="方正仿宋_GBK" w:hAnsi="方正仿宋_GBK" w:eastAsia="方正仿宋_GBK" w:cs="方正仿宋_GBK"/>
          <w:sz w:val="32"/>
          <w:szCs w:val="32"/>
        </w:rPr>
        <w:t xml:space="preserve">（项目名称）（采购包号：XX）的采购活动，服务全部由符合政策的中小微企业承接。相关企业（含联合体中的中小微企业、签订采购包意向协议的中小微企业）的具体情况如下：</w:t>
      </w:r>
      <w:r/>
    </w:p>
    <w:p>
      <w:pPr>
        <w:pStyle w:val="88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（供应商填写磋商文件中明确的所属行业）行业；承接企业为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88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（供应商填写磋商文件中明确的所属行业）行业；承接企业为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pStyle w:val="884"/>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pStyle w:val="884"/>
        <w:ind w:right="4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期：____年____月____日</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备注：</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1.从业人员、营业收入、资产总额填报上一年度数据，无上一年度数据的新成立企业可不填报。</w:t>
      </w:r>
      <w:r/>
    </w:p>
    <w:p>
      <w:pPr>
        <w:pStyle w:val="884"/>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4"/>
        <w:ind w:firstLine="480"/>
        <w:spacing w:line="440" w:lineRule="exact"/>
        <w:rPr>
          <w:rFonts w:hint="eastAsia" w:ascii="方正仿宋_GBK" w:hAnsi="方正仿宋_GBK" w:eastAsia="方正仿宋_GBK" w:cs="方正仿宋_GBK"/>
          <w:sz w:val="32"/>
          <w:szCs w:val="32"/>
        </w:rPr>
      </w:pPr>
      <w:r>
        <w:rPr>
          <w:rFonts w:hint="eastAsia" w:ascii="宋体" w:hAnsi="宋体"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32"/>
          <w:szCs w:val="32"/>
        </w:rPr>
      </w:r>
      <w:r/>
    </w:p>
    <w:p>
      <w:pPr>
        <w:pStyle w:val="884"/>
        <w:spacing w:line="400" w:lineRule="exact"/>
        <w:rPr>
          <w:rFonts w:hint="eastAsia" w:ascii="宋体" w:hAnsi="宋体"/>
          <w:color w:val="000000"/>
          <w:sz w:val="24"/>
          <w:szCs w:val="21"/>
        </w:rPr>
      </w:pPr>
      <w:r>
        <w:rPr>
          <w:rFonts w:hint="eastAsia" w:ascii="宋体" w:hAnsi="宋体"/>
          <w:color w:val="000000"/>
          <w:sz w:val="24"/>
          <w:szCs w:val="21"/>
        </w:rPr>
      </w:r>
      <w:r/>
    </w:p>
    <w:p>
      <w:pPr>
        <w:pStyle w:val="884"/>
        <w:spacing w:line="400" w:lineRule="exact"/>
        <w:rPr>
          <w:rFonts w:hint="eastAsia" w:ascii="宋体" w:hAnsi="宋体"/>
          <w:color w:val="000000"/>
          <w:sz w:val="24"/>
          <w:szCs w:val="21"/>
        </w:rPr>
      </w:pPr>
      <w:r>
        <w:rPr>
          <w:rFonts w:hint="eastAsia" w:ascii="宋体" w:hAnsi="宋体"/>
          <w:color w:val="000000"/>
          <w:sz w:val="24"/>
          <w:szCs w:val="21"/>
        </w:rPr>
      </w:r>
      <w:r/>
    </w:p>
    <w:p>
      <w:pPr>
        <w:pStyle w:val="884"/>
        <w:spacing w:line="400" w:lineRule="exact"/>
        <w:rPr>
          <w:rFonts w:hint="eastAsia" w:ascii="宋体" w:hAnsi="宋体"/>
          <w:color w:val="000000"/>
          <w:sz w:val="24"/>
          <w:szCs w:val="21"/>
        </w:rPr>
      </w:pPr>
      <w:r>
        <w:rPr>
          <w:rFonts w:hint="eastAsia" w:ascii="宋体" w:hAnsi="宋体"/>
          <w:color w:val="000000"/>
          <w:sz w:val="24"/>
          <w:szCs w:val="21"/>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残疾人福利性单位声明函（服务类项目）（采购包号：</w:t>
      </w:r>
      <w:r>
        <w:rPr>
          <w:rFonts w:ascii="Times New Roman" w:hAnsi="Times New Roman"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32"/>
          <w:szCs w:val="32"/>
          <w:u w:val="single"/>
        </w:rPr>
        <w:t xml:space="preserve">XX</w:t>
      </w:r>
      <w:r>
        <w:rPr>
          <w:rFonts w:hint="eastAsia" w:ascii="方正仿宋_GBK" w:hAnsi="方正仿宋_GBK" w:eastAsia="方正仿宋_GBK" w:cs="方正仿宋_GBK"/>
          <w:sz w:val="32"/>
          <w:szCs w:val="32"/>
        </w:rPr>
        <w:t xml:space="preserve">单位的采购文件编号为</w:t>
      </w:r>
      <w:r>
        <w:rPr>
          <w:rFonts w:hint="eastAsia" w:ascii="Times New Roman" w:hAnsi="Times New Roman" w:eastAsia="方正黑体_GBK"/>
          <w:bCs/>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ascii="Times New Roman" w:hAnsi="Times New Roman" w:eastAsia="方正黑体_GBK"/>
          <w:bCs/>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ascii="Times New Roman" w:hAnsi="Times New Roman"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p>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pStyle w:val="884"/>
        <w:ind w:right="1559" w:firstLine="664"/>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     </w:t>
      </w:r>
      <w:r/>
    </w:p>
    <w:p>
      <w:pPr>
        <w:pStyle w:val="884"/>
        <w:ind w:right="1559" w:firstLine="640"/>
        <w:jc w:val="right"/>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供应商全称（加盖CA电子公章）：  </w:t>
      </w:r>
      <w:r/>
    </w:p>
    <w:p>
      <w:pPr>
        <w:pStyle w:val="884"/>
        <w:ind w:right="1559" w:firstLine="640"/>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期：____年____月____日</w:t>
      </w:r>
      <w:r/>
    </w:p>
    <w:p>
      <w:pPr>
        <w:pStyle w:val="884"/>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884"/>
        <w:spacing w:line="0" w:lineRule="atLeast"/>
        <w:rPr>
          <w:rFonts w:hint="eastAsia" w:ascii="宋体" w:hAnsi="宋体"/>
          <w:b/>
          <w:sz w:val="24"/>
          <w:szCs w:val="24"/>
        </w:rPr>
      </w:pPr>
      <w:r>
        <w:rPr>
          <w:rFonts w:hint="eastAsia" w:ascii="宋体" w:hAnsi="宋体"/>
          <w:b/>
          <w:sz w:val="24"/>
          <w:szCs w:val="24"/>
        </w:rPr>
      </w:r>
      <w:r/>
    </w:p>
    <w:p>
      <w:pPr>
        <w:pStyle w:val="884"/>
        <w:jc w:val="center"/>
        <w:spacing w:line="0" w:lineRule="atLeast"/>
        <w:rPr>
          <w:rFonts w:hint="eastAsia" w:ascii="宋体" w:hAnsi="宋体"/>
          <w:b/>
          <w:sz w:val="24"/>
          <w:szCs w:val="24"/>
        </w:rPr>
      </w:pPr>
      <w:r>
        <w:rPr>
          <w:rFonts w:hint="eastAsia" w:ascii="宋体" w:hAnsi="宋体"/>
          <w:b/>
          <w:sz w:val="24"/>
          <w:szCs w:val="24"/>
        </w:rPr>
      </w:r>
      <w:r/>
    </w:p>
    <w:p>
      <w:pPr>
        <w:pStyle w:val="884"/>
        <w:jc w:val="center"/>
        <w:spacing w:line="0" w:lineRule="atLeast"/>
        <w:rPr>
          <w:rFonts w:hint="eastAsia" w:ascii="宋体" w:hAnsi="宋体"/>
          <w:b/>
          <w:sz w:val="24"/>
          <w:szCs w:val="24"/>
        </w:rPr>
      </w:pPr>
      <w:r>
        <w:rPr>
          <w:rFonts w:hint="eastAsia" w:ascii="宋体" w:hAnsi="宋体"/>
          <w:b/>
          <w:sz w:val="24"/>
          <w:szCs w:val="24"/>
        </w:rPr>
      </w:r>
      <w:r/>
    </w:p>
    <w:p>
      <w:pPr>
        <w:pStyle w:val="884"/>
        <w:jc w:val="center"/>
        <w:spacing w:line="0" w:lineRule="atLeast"/>
        <w:rPr>
          <w:rFonts w:hint="eastAsia" w:ascii="宋体" w:hAnsi="宋体"/>
          <w:b/>
          <w:sz w:val="24"/>
          <w:szCs w:val="24"/>
        </w:rPr>
      </w:pPr>
      <w:r>
        <w:rPr>
          <w:rFonts w:hint="eastAsia" w:ascii="宋体" w:hAnsi="宋体"/>
          <w:b/>
          <w:sz w:val="24"/>
          <w:szCs w:val="24"/>
        </w:rPr>
      </w:r>
      <w:r/>
    </w:p>
    <w:p>
      <w:pPr>
        <w:pStyle w:val="884"/>
        <w:jc w:val="center"/>
        <w:spacing w:line="0" w:lineRule="atLeast"/>
        <w:rPr>
          <w:rFonts w:hint="eastAsia" w:ascii="宋体" w:hAnsi="宋体"/>
          <w:b/>
          <w:sz w:val="24"/>
          <w:szCs w:val="24"/>
        </w:rPr>
      </w:pPr>
      <w:r>
        <w:rPr>
          <w:rFonts w:hint="eastAsia" w:ascii="宋体" w:hAnsi="宋体"/>
          <w:b/>
          <w:sz w:val="24"/>
          <w:szCs w:val="24"/>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附件10 实质性要求响应及偏离表（采购包号：</w:t>
      </w:r>
      <w:r>
        <w:rPr>
          <w:rFonts w:hint="eastAsia" w:ascii="Times New Roman" w:hAnsi="Times New Roman"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8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8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附件11-1 证明材料1，证明材料2，……</w:t>
      </w:r>
      <w:r/>
    </w:p>
    <w:p>
      <w:pPr>
        <w:pStyle w:val="884"/>
        <w:spacing w:line="400" w:lineRule="exact"/>
        <w:rPr>
          <w:rFonts w:ascii="宋体" w:hAnsi="宋体"/>
          <w:sz w:val="24"/>
          <w:szCs w:val="24"/>
        </w:rPr>
      </w:pPr>
      <w:r>
        <w:rPr>
          <w:rFonts w:ascii="宋体" w:hAnsi="宋体"/>
          <w:sz w:val="24"/>
          <w:szCs w:val="24"/>
        </w:rPr>
      </w:r>
      <w:r/>
    </w:p>
    <w:p>
      <w:pPr>
        <w:pStyle w:val="884"/>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pStyle w:val="884"/>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1.供应商必须对磋商文件（含技术要求和商务要求）中的实质性要求</w:t>
      </w:r>
      <w:r>
        <w:rPr>
          <w:rFonts w:hint="eastAsia" w:ascii="宋体" w:hAnsi="宋体" w:cs="方正仿宋_GBK"/>
          <w:b/>
          <w:bCs/>
          <w:sz w:val="24"/>
          <w:szCs w:val="24"/>
        </w:rPr>
        <w:t xml:space="preserve">（</w:t>
      </w:r>
      <w:r>
        <w:rPr>
          <w:rFonts w:hint="eastAsia" w:ascii="宋体" w:hAnsi="宋体" w:cs="方正仿宋_GBK"/>
          <w:b/>
          <w:bCs/>
          <w:i/>
          <w:sz w:val="24"/>
          <w:szCs w:val="24"/>
          <w:u w:val="single"/>
        </w:rPr>
        <w:t xml:space="preserve">斜体且有下划线部分</w:t>
      </w:r>
      <w:r>
        <w:rPr>
          <w:rFonts w:hint="eastAsia" w:ascii="宋体" w:hAnsi="宋体" w:cs="方正仿宋_GBK"/>
          <w:b/>
          <w:bCs/>
          <w:sz w:val="24"/>
          <w:szCs w:val="24"/>
        </w:rPr>
        <w:t xml:space="preserve">或加*号条款）</w:t>
      </w:r>
      <w:r>
        <w:rPr>
          <w:rFonts w:hint="eastAsia" w:ascii="宋体" w:hAnsi="宋体" w:cs="方正仿宋_GBK"/>
          <w:sz w:val="24"/>
          <w:szCs w:val="24"/>
        </w:rPr>
        <w:t xml:space="preserve">逐条做出明确响应，否则做无效响应处理。</w:t>
      </w:r>
      <w:r/>
    </w:p>
    <w:p>
      <w:pPr>
        <w:pStyle w:val="884"/>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2.如果磋商文件要求提供证明材料，供应商必须将证明材料列于该表之下。</w:t>
      </w:r>
      <w:r/>
    </w:p>
    <w:p>
      <w:pPr>
        <w:pStyle w:val="884"/>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3.供应商未对实质性要求逐条作出明确响应的，或未按磋商文件要求提供证明材料的，该采购包作无效响应处理。</w:t>
      </w:r>
      <w:r/>
    </w:p>
    <w:p>
      <w:pPr>
        <w:pStyle w:val="884"/>
        <w:spacing w:line="460" w:lineRule="exact"/>
        <w:rPr>
          <w:rFonts w:hint="eastAsia" w:ascii="宋体" w:hAnsi="宋体"/>
          <w:bCs/>
          <w:sz w:val="24"/>
          <w:szCs w:val="21"/>
        </w:rPr>
      </w:pPr>
      <w:r>
        <w:rPr>
          <w:rFonts w:hint="eastAsia" w:ascii="宋体" w:hAnsi="宋体"/>
          <w:bCs/>
          <w:sz w:val="24"/>
          <w:szCs w:val="21"/>
        </w:rPr>
      </w:r>
      <w:r/>
    </w:p>
    <w:p>
      <w:pPr>
        <w:pStyle w:val="884"/>
        <w:spacing w:line="460" w:lineRule="exact"/>
        <w:rPr>
          <w:rFonts w:hint="eastAsia" w:ascii="宋体" w:hAnsi="宋体"/>
          <w:bCs/>
          <w:sz w:val="24"/>
          <w:szCs w:val="21"/>
        </w:rPr>
      </w:pPr>
      <w:r>
        <w:rPr>
          <w:rFonts w:hint="eastAsia" w:ascii="宋体" w:hAnsi="宋体"/>
          <w:bCs/>
          <w:sz w:val="24"/>
          <w:szCs w:val="21"/>
        </w:rPr>
      </w:r>
      <w:r/>
    </w:p>
    <w:p>
      <w:pPr>
        <w:pStyle w:val="884"/>
        <w:spacing w:line="460" w:lineRule="exact"/>
        <w:rPr>
          <w:rFonts w:hint="eastAsia" w:ascii="宋体" w:hAnsi="宋体"/>
          <w:bCs/>
          <w:sz w:val="24"/>
          <w:szCs w:val="21"/>
        </w:rPr>
      </w:pPr>
      <w:r>
        <w:rPr>
          <w:rFonts w:hint="eastAsia" w:ascii="宋体" w:hAnsi="宋体"/>
          <w:bCs/>
          <w:sz w:val="24"/>
          <w:szCs w:val="21"/>
        </w:rPr>
      </w:r>
      <w:r/>
    </w:p>
    <w:p>
      <w:pPr>
        <w:pStyle w:val="884"/>
        <w:jc w:val="center"/>
        <w:spacing w:line="560" w:lineRule="exact"/>
        <w:rPr>
          <w:rFonts w:hint="eastAsia" w:ascii="方正魏碑_GBK" w:hAnsi="方正魏碑_GBK" w:eastAsia="方正魏碑_GBK" w:cs="方正魏碑_GBK"/>
          <w:sz w:val="32"/>
          <w:szCs w:val="32"/>
        </w:rPr>
      </w:pPr>
      <w:r/>
      <w:bookmarkEnd w:id="175"/>
      <w:r/>
      <w:bookmarkEnd w:id="176"/>
      <w:r/>
      <w:bookmarkEnd w:id="189"/>
      <w:r>
        <w:rPr>
          <w:rFonts w:hint="eastAsia" w:ascii="方正魏碑_GBK" w:hAnsi="方正魏碑_GBK" w:eastAsia="方正魏碑_GBK" w:cs="方正魏碑_GBK"/>
          <w:b/>
          <w:sz w:val="32"/>
          <w:szCs w:val="32"/>
        </w:rPr>
        <w:t xml:space="preserve">附件1</w:t>
      </w:r>
      <w:r>
        <w:rPr>
          <w:rFonts w:hint="eastAsia" w:ascii="方正魏碑_GBK" w:hAnsi="方正魏碑_GBK" w:eastAsia="方正魏碑_GBK" w:cs="方正魏碑_GBK"/>
          <w:b/>
          <w:sz w:val="32"/>
          <w:szCs w:val="32"/>
        </w:rPr>
        <w:t xml:space="preserve">1</w:t>
      </w:r>
      <w:r>
        <w:rPr>
          <w:rFonts w:hint="eastAsia" w:ascii="方正魏碑_GBK" w:hAnsi="方正魏碑_GBK" w:eastAsia="方正魏碑_GBK" w:cs="方正魏碑_GBK"/>
          <w:b/>
          <w:sz w:val="32"/>
          <w:szCs w:val="32"/>
        </w:rPr>
        <w:t xml:space="preserve">  关于符合本国产品标准的声明函（采购包号：</w:t>
      </w:r>
      <w:r>
        <w:rPr>
          <w:rFonts w:ascii="Times New Roman" w:hAnsi="Times New Roman" w:eastAsia="方正魏碑_GBK"/>
          <w:b/>
          <w:sz w:val="32"/>
          <w:szCs w:val="32"/>
        </w:rPr>
        <w:t xml:space="preserve">XX</w:t>
      </w:r>
      <w:r>
        <w:rPr>
          <w:rFonts w:hint="eastAsia" w:ascii="方正魏碑_GBK" w:hAnsi="方正魏碑_GBK" w:eastAsia="方正魏碑_GBK" w:cs="方正魏碑_GBK"/>
          <w:b/>
          <w:sz w:val="32"/>
          <w:szCs w:val="32"/>
        </w:rPr>
        <w:t xml:space="preserve">）</w:t>
      </w:r>
      <w:r>
        <w:rPr>
          <w:rFonts w:hint="eastAsia" w:ascii="方正魏碑_GBK" w:hAnsi="方正魏碑_GBK" w:eastAsia="方正魏碑_GBK" w:cs="方正魏碑_GBK"/>
          <w:sz w:val="32"/>
          <w:szCs w:val="32"/>
        </w:rPr>
      </w:r>
      <w:r/>
    </w:p>
    <w:p>
      <w:pPr>
        <w:pStyle w:val="947"/>
        <w:ind w:firstLine="420"/>
        <w:spacing w:before="0" w:beforeAutospacing="0" w:after="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w:t>
      </w:r>
      <w:r>
        <w:rPr>
          <w:rStyle w:val="959"/>
          <w:rFonts w:hint="eastAsia" w:ascii="方正魏碑_GBK" w:hAnsi="方正魏碑_GBK" w:eastAsia="方正魏碑_GBK" w:cs="方正魏碑_GBK"/>
          <w:i w:val="0"/>
          <w:sz w:val="32"/>
          <w:szCs w:val="32"/>
          <w:u w:val="single"/>
          <w:shd w:val="clear" w:color="auto" w:fill="ffffff"/>
        </w:rPr>
        <w:t xml:space="preserve">（产品名称1）</w:t>
      </w:r>
      <w:r>
        <w:rPr>
          <w:rStyle w:val="959"/>
          <w:rFonts w:hint="eastAsia" w:ascii="方正魏碑_GBK" w:hAnsi="方正魏碑_GBK" w:eastAsia="方正魏碑_GBK" w:cs="方正魏碑_GBK"/>
          <w:i w:val="0"/>
          <w:sz w:val="32"/>
          <w:szCs w:val="32"/>
          <w:shd w:val="clear" w:color="auto" w:fill="ffffff"/>
          <w:vertAlign w:val="superscript"/>
        </w:rPr>
        <w:t xml:space="preserve">1</w:t>
      </w:r>
      <w:r>
        <w:rPr>
          <w:rFonts w:hint="eastAsia" w:ascii="方正魏碑_GBK" w:hAnsi="方正魏碑_GBK" w:eastAsia="方正魏碑_GBK" w:cs="方正魏碑_GBK"/>
          <w:sz w:val="32"/>
          <w:szCs w:val="32"/>
          <w:shd w:val="clear" w:color="auto" w:fill="ffffff"/>
        </w:rPr>
        <w:t xml:space="preserve">，生产厂为</w:t>
      </w:r>
      <w:r>
        <w:rPr>
          <w:rStyle w:val="959"/>
          <w:rFonts w:hint="eastAsia" w:ascii="方正魏碑_GBK" w:hAnsi="方正魏碑_GBK" w:eastAsia="方正魏碑_GBK" w:cs="方正魏碑_GBK"/>
          <w:i w:val="0"/>
          <w:sz w:val="32"/>
          <w:szCs w:val="32"/>
          <w:u w:val="single"/>
          <w:shd w:val="clear" w:color="auto" w:fill="ffffff"/>
        </w:rPr>
        <w:t xml:space="preserve">（厂名）</w:t>
      </w:r>
      <w:r>
        <w:rPr>
          <w:rStyle w:val="959"/>
          <w:rFonts w:hint="eastAsia" w:ascii="方正魏碑_GBK" w:hAnsi="方正魏碑_GBK" w:eastAsia="方正魏碑_GBK" w:cs="方正魏碑_GBK"/>
          <w:i w:val="0"/>
          <w:sz w:val="32"/>
          <w:szCs w:val="32"/>
          <w:shd w:val="clear" w:color="auto" w:fill="ffffff"/>
          <w:vertAlign w:val="superscript"/>
        </w:rPr>
        <w:t xml:space="preserve">2</w:t>
      </w:r>
      <w:r>
        <w:rPr>
          <w:rFonts w:hint="eastAsia" w:ascii="方正魏碑_GBK" w:hAnsi="方正魏碑_GBK" w:eastAsia="方正魏碑_GBK" w:cs="方正魏碑_GBK"/>
          <w:sz w:val="32"/>
          <w:szCs w:val="32"/>
          <w:shd w:val="clear" w:color="auto" w:fill="ffffff"/>
        </w:rPr>
        <w:t xml:space="preserve">，厂址为</w:t>
      </w:r>
      <w:r>
        <w:rPr>
          <w:rStyle w:val="959"/>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shd w:val="clear" w:color="auto" w:fill="ffffff"/>
          <w:vertAlign w:val="superscript"/>
        </w:rPr>
        <w:t xml:space="preserve">3</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shd w:val="clear" w:color="auto" w:fill="ffffff"/>
          <w:vertAlign w:val="superscript"/>
        </w:rPr>
        <w:t xml:space="preserve">4</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shd w:val="clear" w:color="auto" w:fill="ffffff"/>
          <w:vertAlign w:val="superscript"/>
        </w:rPr>
        <w:t xml:space="preserve">5</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94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w:t>
      </w:r>
      <w:r>
        <w:rPr>
          <w:rStyle w:val="959"/>
          <w:rFonts w:hint="eastAsia" w:ascii="方正魏碑_GBK" w:hAnsi="方正魏碑_GBK" w:eastAsia="方正魏碑_GBK" w:cs="方正魏碑_GBK"/>
          <w:i w:val="0"/>
          <w:sz w:val="32"/>
          <w:szCs w:val="32"/>
          <w:u w:val="single"/>
          <w:shd w:val="clear" w:color="auto" w:fill="ffffff"/>
        </w:rPr>
        <w:t xml:space="preserve">（产品名称2）</w:t>
      </w:r>
      <w:r>
        <w:rPr>
          <w:rFonts w:hint="eastAsia" w:ascii="方正魏碑_GBK" w:hAnsi="方正魏碑_GBK" w:eastAsia="方正魏碑_GBK" w:cs="方正魏碑_GBK"/>
          <w:sz w:val="32"/>
          <w:szCs w:val="32"/>
          <w:shd w:val="clear" w:color="auto" w:fill="ffffff"/>
        </w:rPr>
        <w:t xml:space="preserve">，生产厂为</w:t>
      </w:r>
      <w:r>
        <w:rPr>
          <w:rStyle w:val="959"/>
          <w:rFonts w:hint="eastAsia" w:ascii="方正魏碑_GBK" w:hAnsi="方正魏碑_GBK" w:eastAsia="方正魏碑_GBK" w:cs="方正魏碑_GBK"/>
          <w:i w:val="0"/>
          <w:sz w:val="32"/>
          <w:szCs w:val="32"/>
          <w:u w:val="single"/>
          <w:shd w:val="clear" w:color="auto" w:fill="ffffff"/>
        </w:rPr>
        <w:t xml:space="preserve">（厂名）</w:t>
      </w:r>
      <w:r>
        <w:rPr>
          <w:rFonts w:hint="eastAsia" w:ascii="方正魏碑_GBK" w:hAnsi="方正魏碑_GBK" w:eastAsia="方正魏碑_GBK" w:cs="方正魏碑_GBK"/>
          <w:sz w:val="32"/>
          <w:szCs w:val="32"/>
          <w:shd w:val="clear" w:color="auto" w:fill="ffffff"/>
        </w:rPr>
        <w:t xml:space="preserve">，厂址为</w:t>
      </w:r>
      <w:r>
        <w:rPr>
          <w:rStyle w:val="959"/>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94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rPr>
      </w:r>
      <w:r/>
    </w:p>
    <w:p>
      <w:pPr>
        <w:pStyle w:val="94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32"/>
          <w:szCs w:val="32"/>
        </w:rPr>
      </w:r>
      <w:r/>
    </w:p>
    <w:p>
      <w:pPr>
        <w:pStyle w:val="947"/>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r>
      <w:r/>
    </w:p>
    <w:p>
      <w:pPr>
        <w:pStyle w:val="947"/>
        <w:jc w:val="center"/>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公司（单位）名称（加盖CA电子公章）：　        日期：</w:t>
      </w:r>
      <w:r>
        <w:rPr>
          <w:rFonts w:hint="eastAsia" w:ascii="方正魏碑_GBK" w:hAnsi="方正魏碑_GBK" w:eastAsia="方正魏碑_GBK" w:cs="方正魏碑_GBK"/>
          <w:sz w:val="32"/>
          <w:szCs w:val="32"/>
        </w:rPr>
        <w:t xml:space="preserve">____年____月____日</w:t>
      </w:r>
      <w:r/>
    </w:p>
    <w:p>
      <w:pPr>
        <w:pStyle w:val="947"/>
        <w:jc w:val="center"/>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w:t>
      </w:r>
      <w:r>
        <w:rPr>
          <w:rFonts w:hint="eastAsia" w:ascii="方正魏碑_GBK" w:hAnsi="方正魏碑_GBK" w:eastAsia="方正魏碑_GBK" w:cs="方正魏碑_GBK"/>
          <w:sz w:val="32"/>
          <w:szCs w:val="32"/>
        </w:rPr>
      </w:r>
      <w:r/>
    </w:p>
    <w:p>
      <w:pPr>
        <w:pStyle w:val="947"/>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__________________</w:t>
      </w:r>
      <w:r>
        <w:rPr>
          <w:rFonts w:hint="eastAsia" w:ascii="方正魏碑_GBK" w:hAnsi="方正魏碑_GBK" w:eastAsia="方正魏碑_GBK" w:cs="方正魏碑_GBK"/>
          <w:sz w:val="32"/>
          <w:szCs w:val="32"/>
        </w:rPr>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1.产品如有型号，请在“产品名称”栏一并填写。</w:t>
      </w:r>
      <w:r>
        <w:rPr>
          <w:rFonts w:hint="eastAsia" w:ascii="方正魏碑_GBK" w:hAnsi="方正魏碑_GBK" w:eastAsia="方正魏碑_GBK" w:cs="方正魏碑_GBK"/>
          <w:sz w:val="32"/>
          <w:szCs w:val="32"/>
        </w:rPr>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32"/>
          <w:szCs w:val="32"/>
        </w:rPr>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32"/>
          <w:szCs w:val="32"/>
        </w:rPr>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4.该产品的关键组件要求实施前，“关键组件”栏可不填，下同。</w:t>
      </w:r>
      <w:r>
        <w:rPr>
          <w:rFonts w:hint="eastAsia" w:ascii="方正魏碑_GBK" w:hAnsi="方正魏碑_GBK" w:eastAsia="方正魏碑_GBK" w:cs="方正魏碑_GBK"/>
          <w:sz w:val="32"/>
          <w:szCs w:val="32"/>
        </w:rPr>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5.该产品的关键工序要求实施前，“关键工序”栏可不填，下同。</w:t>
      </w:r>
      <w:r/>
    </w:p>
    <w:p>
      <w:pPr>
        <w:pStyle w:val="947"/>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6.《声明函》中标注“</w:t>
      </w:r>
      <w:r>
        <w:rPr>
          <w:rFonts w:hint="eastAsia" w:ascii="方正魏碑_GBK" w:hAnsi="方正魏碑_GBK" w:eastAsia="方正魏碑_GBK" w:cs="方正魏碑_GBK"/>
          <w:sz w:val="32"/>
          <w:szCs w:val="32"/>
          <w:u w:val="single"/>
          <w:shd w:val="clear" w:color="auto" w:fill="ffffff"/>
        </w:rPr>
        <w:t xml:space="preserve">  </w:t>
      </w:r>
      <w:r>
        <w:rPr>
          <w:rStyle w:val="95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”的地方不填。</w:t>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hint="eastAsia" w:ascii="宋体" w:hAnsi="宋体" w:cs="仿宋"/>
          <w:b/>
          <w:bCs/>
          <w:sz w:val="32"/>
          <w:szCs w:val="32"/>
        </w:rPr>
      </w:r>
      <w:r/>
    </w:p>
    <w:p>
      <w:pPr>
        <w:pStyle w:val="884"/>
        <w:jc w:val="center"/>
        <w:rPr>
          <w:rFonts w:hint="eastAsia" w:ascii="宋体" w:hAnsi="宋体" w:cs="仿宋"/>
          <w:b/>
          <w:bCs/>
          <w:sz w:val="32"/>
          <w:szCs w:val="32"/>
        </w:rPr>
      </w:pPr>
      <w:r>
        <w:rPr>
          <w:rFonts w:ascii="宋体" w:hAnsi="宋体" w:cs="仿宋"/>
          <w:b/>
          <w:bCs/>
          <w:sz w:val="32"/>
          <w:szCs w:val="32"/>
        </w:rPr>
        <w:br w:type="page" w:clear="all"/>
      </w:r>
      <w:r>
        <w:rPr>
          <w:rFonts w:hint="eastAsia" w:ascii="宋体" w:hAnsi="宋体" w:cs="仿宋"/>
          <w:b/>
          <w:bCs/>
          <w:sz w:val="32"/>
          <w:szCs w:val="32"/>
        </w:rPr>
      </w:r>
      <w:r/>
    </w:p>
    <w:p>
      <w:pPr>
        <w:pStyle w:val="88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pStyle w:val="884"/>
        <w:spacing w:before="312"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8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88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pStyle w:val="88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pStyle w:val="88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pStyle w:val="884"/>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pStyle w:val="88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8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4"/>
      </w:pPr>
      <w:rPr>
        <w:rFonts w:hint="eastAsia"/>
      </w:rPr>
    </w:lvl>
    <w:lvl w:ilvl="1">
      <w:start w:val="1"/>
      <w:numFmt w:val="bullet"/>
      <w:isLgl w:val="false"/>
      <w:suff w:val="tab"/>
      <w:lvlText w:val="o"/>
      <w:lvlJc w:val="left"/>
      <w:pPr>
        <w:pStyle w:val="884"/>
        <w:ind w:left="1440" w:hanging="360"/>
      </w:pPr>
      <w:rPr>
        <w:rFonts w:ascii="Courier New" w:hAnsi="Courier New" w:eastAsia="Courier New" w:cs="Courier New"/>
      </w:rPr>
    </w:lvl>
    <w:lvl w:ilvl="2">
      <w:start w:val="1"/>
      <w:numFmt w:val="bullet"/>
      <w:isLgl w:val="false"/>
      <w:suff w:val="tab"/>
      <w:lvlText w:val="§"/>
      <w:lvlJc w:val="left"/>
      <w:pPr>
        <w:pStyle w:val="884"/>
        <w:ind w:left="2160" w:hanging="360"/>
      </w:pPr>
      <w:rPr>
        <w:rFonts w:ascii="Wingdings" w:hAnsi="Wingdings" w:eastAsia="Wingdings" w:cs="Wingdings"/>
      </w:rPr>
    </w:lvl>
    <w:lvl w:ilvl="3">
      <w:start w:val="1"/>
      <w:numFmt w:val="bullet"/>
      <w:isLgl w:val="false"/>
      <w:suff w:val="tab"/>
      <w:lvlText w:val="·"/>
      <w:lvlJc w:val="left"/>
      <w:pPr>
        <w:pStyle w:val="884"/>
        <w:ind w:left="2880" w:hanging="360"/>
      </w:pPr>
      <w:rPr>
        <w:rFonts w:ascii="Symbol" w:hAnsi="Symbol" w:eastAsia="Symbol" w:cs="Symbol"/>
      </w:rPr>
    </w:lvl>
    <w:lvl w:ilvl="4">
      <w:start w:val="1"/>
      <w:numFmt w:val="bullet"/>
      <w:isLgl w:val="false"/>
      <w:suff w:val="tab"/>
      <w:lvlText w:val="o"/>
      <w:lvlJc w:val="left"/>
      <w:pPr>
        <w:pStyle w:val="884"/>
        <w:ind w:left="3600" w:hanging="360"/>
      </w:pPr>
      <w:rPr>
        <w:rFonts w:ascii="Courier New" w:hAnsi="Courier New" w:eastAsia="Courier New" w:cs="Courier New"/>
      </w:rPr>
    </w:lvl>
    <w:lvl w:ilvl="5">
      <w:start w:val="1"/>
      <w:numFmt w:val="bullet"/>
      <w:isLgl w:val="false"/>
      <w:suff w:val="tab"/>
      <w:lvlText w:val="§"/>
      <w:lvlJc w:val="left"/>
      <w:pPr>
        <w:pStyle w:val="884"/>
        <w:ind w:left="4320" w:hanging="360"/>
      </w:pPr>
      <w:rPr>
        <w:rFonts w:ascii="Wingdings" w:hAnsi="Wingdings" w:eastAsia="Wingdings" w:cs="Wingdings"/>
      </w:rPr>
    </w:lvl>
    <w:lvl w:ilvl="6">
      <w:start w:val="1"/>
      <w:numFmt w:val="bullet"/>
      <w:isLgl w:val="false"/>
      <w:suff w:val="tab"/>
      <w:lvlText w:val="·"/>
      <w:lvlJc w:val="left"/>
      <w:pPr>
        <w:pStyle w:val="884"/>
        <w:ind w:left="5040" w:hanging="360"/>
      </w:pPr>
      <w:rPr>
        <w:rFonts w:ascii="Symbol" w:hAnsi="Symbol" w:eastAsia="Symbol" w:cs="Symbol"/>
      </w:rPr>
    </w:lvl>
    <w:lvl w:ilvl="7">
      <w:start w:val="1"/>
      <w:numFmt w:val="bullet"/>
      <w:isLgl w:val="false"/>
      <w:suff w:val="tab"/>
      <w:lvlText w:val="o"/>
      <w:lvlJc w:val="left"/>
      <w:pPr>
        <w:pStyle w:val="884"/>
        <w:ind w:left="5760" w:hanging="360"/>
      </w:pPr>
      <w:rPr>
        <w:rFonts w:ascii="Courier New" w:hAnsi="Courier New" w:eastAsia="Courier New" w:cs="Courier New"/>
      </w:rPr>
    </w:lvl>
    <w:lvl w:ilvl="8">
      <w:start w:val="1"/>
      <w:numFmt w:val="bullet"/>
      <w:isLgl w:val="false"/>
      <w:suff w:val="tab"/>
      <w:lvlText w:val="§"/>
      <w:lvlJc w:val="left"/>
      <w:pPr>
        <w:pStyle w:val="884"/>
        <w:ind w:left="6480" w:hanging="360"/>
      </w:pPr>
      <w:rPr>
        <w:rFonts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pStyle w:val="8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1"/>
      <w:isLgl w:val="false"/>
      <w:suff w:val="tab"/>
      <w:lvlText w:val="%1."/>
      <w:lvlJc w:val="left"/>
      <w:pPr>
        <w:pStyle w:val="884"/>
        <w:ind w:left="709" w:hanging="709"/>
        <w:tabs>
          <w:tab w:val="num" w:pos="709" w:leader="none"/>
        </w:tabs>
      </w:pPr>
      <w:rPr>
        <w:rFonts w:hint="eastAsia"/>
      </w:rPr>
    </w:lvl>
    <w:lvl w:ilvl="1">
      <w:start w:val="1"/>
      <w:numFmt w:val="decimal"/>
      <w:isLgl w:val="false"/>
      <w:suff w:val="tab"/>
      <w:lvlText w:val="%1.%2"/>
      <w:lvlJc w:val="left"/>
      <w:pPr>
        <w:pStyle w:val="884"/>
        <w:ind w:left="709" w:hanging="709"/>
        <w:tabs>
          <w:tab w:val="num" w:pos="709" w:leader="none"/>
        </w:tabs>
      </w:pPr>
      <w:rPr>
        <w:rFonts w:hint="eastAsia"/>
      </w:rPr>
    </w:lvl>
    <w:lvl w:ilvl="2">
      <w:start w:val="1"/>
      <w:numFmt w:val="decimal"/>
      <w:isLgl w:val="false"/>
      <w:suff w:val="tab"/>
      <w:lvlText w:val="%1.%2.%3."/>
      <w:lvlJc w:val="left"/>
      <w:pPr>
        <w:pStyle w:val="884"/>
        <w:ind w:left="425" w:hanging="425"/>
        <w:tabs>
          <w:tab w:val="num" w:pos="425" w:leader="none"/>
        </w:tabs>
      </w:pPr>
      <w:rPr>
        <w:rFonts w:hint="eastAsia"/>
      </w:rPr>
    </w:lvl>
    <w:lvl w:ilvl="3">
      <w:start w:val="1"/>
      <w:numFmt w:val="decimal"/>
      <w:isLgl w:val="false"/>
      <w:suff w:val="tab"/>
      <w:lvlText w:val="%1.%2.%3.%4."/>
      <w:lvlJc w:val="left"/>
      <w:pPr>
        <w:pStyle w:val="884"/>
        <w:ind w:left="851" w:hanging="851"/>
        <w:tabs>
          <w:tab w:val="num" w:pos="851" w:leader="none"/>
        </w:tabs>
      </w:pPr>
      <w:rPr>
        <w:rFonts w:hint="eastAsia"/>
      </w:rPr>
    </w:lvl>
    <w:lvl w:ilvl="4">
      <w:start w:val="1"/>
      <w:numFmt w:val="decimal"/>
      <w:isLgl w:val="false"/>
      <w:suff w:val="tab"/>
      <w:lvlText w:val="%1.%2.%3.%4.%5."/>
      <w:lvlJc w:val="left"/>
      <w:pPr>
        <w:pStyle w:val="884"/>
        <w:ind w:left="992" w:hanging="992"/>
        <w:tabs>
          <w:tab w:val="num" w:pos="992" w:leader="none"/>
        </w:tabs>
      </w:pPr>
      <w:rPr>
        <w:rFonts w:hint="eastAsia"/>
      </w:rPr>
    </w:lvl>
    <w:lvl w:ilvl="5">
      <w:start w:val="1"/>
      <w:numFmt w:val="decimal"/>
      <w:isLgl w:val="false"/>
      <w:suff w:val="tab"/>
      <w:lvlText w:val="%1.%2.%3.%4.%5.%6."/>
      <w:lvlJc w:val="left"/>
      <w:pPr>
        <w:pStyle w:val="884"/>
        <w:ind w:left="1134" w:hanging="1134"/>
        <w:tabs>
          <w:tab w:val="num" w:pos="1134" w:leader="none"/>
        </w:tabs>
      </w:pPr>
      <w:rPr>
        <w:rFonts w:hint="eastAsia"/>
      </w:rPr>
    </w:lvl>
    <w:lvl w:ilvl="6">
      <w:start w:val="1"/>
      <w:numFmt w:val="decimal"/>
      <w:isLgl w:val="false"/>
      <w:suff w:val="tab"/>
      <w:lvlText w:val="%1.%2.%3.%4.%5.%6.%7."/>
      <w:lvlJc w:val="left"/>
      <w:pPr>
        <w:pStyle w:val="884"/>
        <w:ind w:left="1276" w:hanging="1276"/>
        <w:tabs>
          <w:tab w:val="num" w:pos="1276" w:leader="none"/>
        </w:tabs>
      </w:pPr>
      <w:rPr>
        <w:rFonts w:hint="eastAsia"/>
      </w:rPr>
    </w:lvl>
    <w:lvl w:ilvl="7">
      <w:start w:val="1"/>
      <w:numFmt w:val="decimal"/>
      <w:isLgl w:val="false"/>
      <w:suff w:val="tab"/>
      <w:lvlText w:val="%1.%2.%3.%4.%5.%6.%7.%8."/>
      <w:lvlJc w:val="left"/>
      <w:pPr>
        <w:pStyle w:val="884"/>
        <w:ind w:left="1418" w:hanging="1418"/>
        <w:tabs>
          <w:tab w:val="num" w:pos="1418" w:leader="none"/>
        </w:tabs>
      </w:pPr>
      <w:rPr>
        <w:rFonts w:hint="eastAsia"/>
      </w:rPr>
    </w:lvl>
    <w:lvl w:ilvl="8">
      <w:start w:val="1"/>
      <w:numFmt w:val="decimal"/>
      <w:isLgl w:val="false"/>
      <w:suff w:val="tab"/>
      <w:lvlText w:val="%1.%2.%3.%4.%5.%6.%7.%8.%9."/>
      <w:lvlJc w:val="left"/>
      <w:pPr>
        <w:pStyle w:val="88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4"/>
        <w:ind w:left="0" w:firstLine="0"/>
      </w:pPr>
      <w:rPr>
        <w:rFonts w:hint="eastAsia"/>
      </w:rPr>
    </w:lvl>
    <w:lvl w:ilvl="1">
      <w:start w:val="1"/>
      <w:numFmt w:val="decimal"/>
      <w:isLgl w:val="false"/>
      <w:suff w:val="nothing"/>
      <w:lvlText w:val="%2、"/>
      <w:lvlJc w:val="left"/>
      <w:pPr>
        <w:pStyle w:val="884"/>
        <w:ind w:left="0" w:firstLine="0"/>
      </w:pPr>
      <w:rPr>
        <w:rFonts w:hint="eastAsia"/>
      </w:rPr>
    </w:lvl>
    <w:lvl w:ilvl="2">
      <w:start w:val="1"/>
      <w:numFmt w:val="decimal"/>
      <w:isLgl w:val="false"/>
      <w:suff w:val="nothing"/>
      <w:lvlText w:val="%2.%3 "/>
      <w:lvlJc w:val="left"/>
      <w:pPr>
        <w:pStyle w:val="884"/>
        <w:ind w:left="0" w:firstLine="0"/>
      </w:pPr>
      <w:rPr>
        <w:rFonts w:hint="eastAsia"/>
      </w:rPr>
    </w:lvl>
    <w:lvl w:ilvl="3">
      <w:start w:val="1"/>
      <w:numFmt w:val="decimal"/>
      <w:isLgl w:val="false"/>
      <w:suff w:val="nothing"/>
      <w:lvlText w:val="%2.%3.%4 "/>
      <w:lvlJc w:val="left"/>
      <w:pPr>
        <w:pStyle w:val="884"/>
        <w:ind w:left="0" w:firstLine="0"/>
      </w:pPr>
      <w:rPr>
        <w:rFonts w:hint="eastAsia"/>
      </w:rPr>
    </w:lvl>
    <w:lvl w:ilvl="4">
      <w:start w:val="1"/>
      <w:numFmt w:val="decimal"/>
      <w:isLgl w:val="false"/>
      <w:suff w:val="nothing"/>
      <w:lvlText w:val="%2.%3.%4.%5 "/>
      <w:lvlJc w:val="left"/>
      <w:pPr>
        <w:pStyle w:val="884"/>
        <w:ind w:left="0" w:firstLine="0"/>
      </w:pPr>
      <w:rPr>
        <w:rFonts w:hint="eastAsia"/>
      </w:rPr>
    </w:lvl>
    <w:lvl w:ilvl="5">
      <w:start w:val="1"/>
      <w:numFmt w:val="decimal"/>
      <w:pStyle w:val="890"/>
      <w:isLgl w:val="false"/>
      <w:suff w:val="nothing"/>
      <w:lvlText w:val=""/>
      <w:lvlJc w:val="left"/>
      <w:pPr>
        <w:pStyle w:val="884"/>
        <w:ind w:left="0" w:firstLine="0"/>
      </w:pPr>
      <w:rPr>
        <w:rFonts w:hint="eastAsia"/>
      </w:rPr>
    </w:lvl>
    <w:lvl w:ilvl="6">
      <w:start w:val="1"/>
      <w:numFmt w:val="decimal"/>
      <w:pStyle w:val="891"/>
      <w:isLgl w:val="false"/>
      <w:suff w:val="nothing"/>
      <w:lvlText w:val=""/>
      <w:lvlJc w:val="left"/>
      <w:pPr>
        <w:pStyle w:val="884"/>
        <w:ind w:left="0" w:firstLine="0"/>
      </w:pPr>
      <w:rPr>
        <w:rFonts w:hint="eastAsia"/>
      </w:rPr>
    </w:lvl>
    <w:lvl w:ilvl="7">
      <w:start w:val="1"/>
      <w:numFmt w:val="decimal"/>
      <w:pStyle w:val="892"/>
      <w:isLgl w:val="false"/>
      <w:suff w:val="nothing"/>
      <w:lvlText w:val=""/>
      <w:lvlJc w:val="left"/>
      <w:pPr>
        <w:pStyle w:val="884"/>
        <w:ind w:left="0" w:firstLine="0"/>
      </w:pPr>
      <w:rPr>
        <w:rFonts w:hint="eastAsia"/>
      </w:rPr>
    </w:lvl>
    <w:lvl w:ilvl="8">
      <w:start w:val="1"/>
      <w:numFmt w:val="decimal"/>
      <w:pStyle w:val="893"/>
      <w:isLgl w:val="false"/>
      <w:suff w:val="nothing"/>
      <w:lvlText w:val=""/>
      <w:lvlJc w:val="left"/>
      <w:pPr>
        <w:pStyle w:val="88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84"/>
    <w:next w:val="884"/>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84"/>
    <w:next w:val="884"/>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84"/>
    <w:next w:val="884"/>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84"/>
    <w:next w:val="884"/>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84"/>
    <w:next w:val="884"/>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84"/>
    <w:next w:val="884"/>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84"/>
    <w:next w:val="884"/>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84"/>
    <w:next w:val="884"/>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84"/>
    <w:next w:val="884"/>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84"/>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84"/>
    <w:next w:val="884"/>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84"/>
    <w:next w:val="884"/>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84"/>
    <w:next w:val="884"/>
    <w:link w:val="740"/>
    <w:uiPriority w:val="29"/>
    <w:qFormat/>
    <w:pPr>
      <w:ind w:left="720" w:right="720"/>
    </w:pPr>
    <w:rPr>
      <w:i/>
    </w:rPr>
  </w:style>
  <w:style w:type="character" w:styleId="740">
    <w:name w:val="Quote Char"/>
    <w:link w:val="739"/>
    <w:uiPriority w:val="29"/>
    <w:rPr>
      <w:i/>
    </w:rPr>
  </w:style>
  <w:style w:type="paragraph" w:styleId="741">
    <w:name w:val="Intense Quote"/>
    <w:basedOn w:val="884"/>
    <w:next w:val="884"/>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84"/>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84"/>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84"/>
    <w:next w:val="884"/>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84"/>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84"/>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sz w:val="21"/>
      <w:szCs w:val="22"/>
      <w:lang w:val="en-US" w:eastAsia="zh-CN" w:bidi="ar-SA"/>
    </w:rPr>
  </w:style>
  <w:style w:type="paragraph" w:styleId="885">
    <w:name w:val="标题 1"/>
    <w:basedOn w:val="884"/>
    <w:next w:val="884"/>
    <w:link w:val="897"/>
    <w:qFormat/>
    <w:pPr>
      <w:jc w:val="center"/>
      <w:keepNext/>
      <w:outlineLvl w:val="0"/>
    </w:pPr>
    <w:rPr>
      <w:rFonts w:ascii="楷体_GB2312" w:hAnsi="Times New Roman" w:eastAsia="楷体_GB2312" w:cs="Times New Roman"/>
      <w:sz w:val="28"/>
      <w:szCs w:val="28"/>
    </w:rPr>
  </w:style>
  <w:style w:type="paragraph" w:styleId="886">
    <w:name w:val="标题 2"/>
    <w:basedOn w:val="884"/>
    <w:next w:val="899"/>
    <w:link w:val="898"/>
    <w:qFormat/>
    <w:pPr>
      <w:jc w:val="center"/>
      <w:keepLines/>
      <w:keepNext/>
      <w:spacing w:before="260" w:after="260" w:line="416" w:lineRule="auto"/>
      <w:outlineLvl w:val="1"/>
    </w:pPr>
    <w:rPr>
      <w:rFonts w:ascii="Arial" w:hAnsi="Arial" w:eastAsia="幼圆" w:cs="Arial"/>
      <w:b/>
      <w:bCs/>
      <w:sz w:val="44"/>
      <w:szCs w:val="44"/>
    </w:rPr>
  </w:style>
  <w:style w:type="paragraph" w:styleId="887">
    <w:name w:val="标题 3"/>
    <w:basedOn w:val="884"/>
    <w:next w:val="899"/>
    <w:link w:val="90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8">
    <w:name w:val="标题 4"/>
    <w:basedOn w:val="884"/>
    <w:next w:val="899"/>
    <w:link w:val="902"/>
    <w:qFormat/>
    <w:pPr>
      <w:keepLines/>
      <w:keepNext/>
      <w:spacing w:before="280" w:after="290" w:line="376" w:lineRule="auto"/>
      <w:outlineLvl w:val="3"/>
    </w:pPr>
    <w:rPr>
      <w:rFonts w:ascii="Arial" w:hAnsi="Arial" w:eastAsia="黑体" w:cs="Arial"/>
      <w:b/>
      <w:bCs/>
      <w:sz w:val="28"/>
      <w:szCs w:val="28"/>
    </w:rPr>
  </w:style>
  <w:style w:type="paragraph" w:styleId="889">
    <w:name w:val="标题 5"/>
    <w:basedOn w:val="884"/>
    <w:next w:val="899"/>
    <w:link w:val="903"/>
    <w:qFormat/>
    <w:pPr>
      <w:keepNext/>
      <w:outlineLvl w:val="4"/>
    </w:pPr>
    <w:rPr>
      <w:rFonts w:ascii="宋体" w:hAnsi="Times New Roman" w:eastAsia="宋体" w:cs="Times New Roman"/>
      <w:color w:val="000000"/>
      <w:sz w:val="28"/>
      <w:szCs w:val="28"/>
    </w:rPr>
  </w:style>
  <w:style w:type="paragraph" w:styleId="890">
    <w:name w:val="标题 6"/>
    <w:basedOn w:val="884"/>
    <w:next w:val="884"/>
    <w:link w:val="9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1">
    <w:name w:val="标题 7"/>
    <w:basedOn w:val="884"/>
    <w:next w:val="884"/>
    <w:link w:val="9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2">
    <w:name w:val="标题 8"/>
    <w:basedOn w:val="884"/>
    <w:next w:val="884"/>
    <w:link w:val="9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3">
    <w:name w:val="标题 9"/>
    <w:basedOn w:val="884"/>
    <w:next w:val="884"/>
    <w:link w:val="907"/>
    <w:qFormat/>
    <w:pPr>
      <w:numPr>
        <w:ilvl w:val="8"/>
        <w:numId w:val="1"/>
      </w:numPr>
      <w:keepLines/>
      <w:keepNext/>
      <w:spacing w:before="240" w:after="64" w:line="320" w:lineRule="auto"/>
      <w:outlineLvl w:val="8"/>
    </w:pPr>
    <w:rPr>
      <w:rFonts w:ascii="Arial" w:hAnsi="Arial" w:eastAsia="黑体" w:cs="Times New Roman"/>
      <w:szCs w:val="21"/>
    </w:rPr>
  </w:style>
  <w:style w:type="character" w:styleId="894">
    <w:name w:val="默认段落字体"/>
    <w:next w:val="894"/>
    <w:link w:val="884"/>
    <w:uiPriority w:val="1"/>
    <w:unhideWhenUsed/>
  </w:style>
  <w:style w:type="table" w:styleId="895">
    <w:name w:val="普通表格"/>
    <w:next w:val="895"/>
    <w:link w:val="884"/>
    <w:uiPriority w:val="99"/>
    <w:unhideWhenUsed/>
    <w:tblPr/>
  </w:style>
  <w:style w:type="numbering" w:styleId="896">
    <w:name w:val="无列表"/>
    <w:next w:val="896"/>
    <w:link w:val="884"/>
    <w:uiPriority w:val="99"/>
    <w:semiHidden/>
    <w:unhideWhenUsed/>
  </w:style>
  <w:style w:type="character" w:styleId="897">
    <w:name w:val="标题 1 字符"/>
    <w:next w:val="897"/>
    <w:link w:val="885"/>
    <w:rPr>
      <w:rFonts w:ascii="楷体_GB2312" w:hAnsi="Times New Roman" w:eastAsia="楷体_GB2312" w:cs="Times New Roman"/>
      <w:sz w:val="28"/>
      <w:szCs w:val="28"/>
    </w:rPr>
  </w:style>
  <w:style w:type="character" w:styleId="898">
    <w:name w:val="标题 2 字符"/>
    <w:next w:val="898"/>
    <w:link w:val="886"/>
    <w:rPr>
      <w:rFonts w:ascii="Arial" w:hAnsi="Arial" w:eastAsia="幼圆" w:cs="Arial"/>
      <w:b/>
      <w:bCs/>
      <w:sz w:val="44"/>
      <w:szCs w:val="44"/>
    </w:rPr>
  </w:style>
  <w:style w:type="paragraph" w:styleId="899">
    <w:name w:val="正文缩进"/>
    <w:basedOn w:val="884"/>
    <w:next w:val="899"/>
    <w:link w:val="900"/>
    <w:pPr>
      <w:ind w:firstLine="420"/>
    </w:pPr>
    <w:rPr>
      <w:szCs w:val="21"/>
    </w:rPr>
  </w:style>
  <w:style w:type="character" w:styleId="900">
    <w:name w:val="正文缩进 字符"/>
    <w:next w:val="900"/>
    <w:link w:val="899"/>
    <w:rPr>
      <w:szCs w:val="21"/>
    </w:rPr>
  </w:style>
  <w:style w:type="character" w:styleId="901">
    <w:name w:val="标题 3 字符"/>
    <w:next w:val="901"/>
    <w:link w:val="887"/>
    <w:rPr>
      <w:rFonts w:ascii="Times New Roman" w:hAnsi="Times New Roman" w:eastAsia="宋体" w:cs="Times New Roman"/>
      <w:b/>
      <w:bCs/>
      <w:sz w:val="32"/>
      <w:szCs w:val="32"/>
    </w:rPr>
  </w:style>
  <w:style w:type="character" w:styleId="902">
    <w:name w:val="标题 4 字符"/>
    <w:next w:val="902"/>
    <w:link w:val="888"/>
    <w:rPr>
      <w:rFonts w:ascii="Arial" w:hAnsi="Arial" w:eastAsia="黑体" w:cs="Arial"/>
      <w:b/>
      <w:bCs/>
      <w:sz w:val="28"/>
      <w:szCs w:val="28"/>
    </w:rPr>
  </w:style>
  <w:style w:type="character" w:styleId="903">
    <w:name w:val="标题 5 字符"/>
    <w:next w:val="903"/>
    <w:link w:val="889"/>
    <w:rPr>
      <w:rFonts w:ascii="宋体" w:hAnsi="Times New Roman" w:eastAsia="宋体" w:cs="Times New Roman"/>
      <w:color w:val="000000"/>
      <w:sz w:val="28"/>
      <w:szCs w:val="28"/>
    </w:rPr>
  </w:style>
  <w:style w:type="character" w:styleId="904">
    <w:name w:val="标题 6 字符"/>
    <w:next w:val="904"/>
    <w:link w:val="890"/>
    <w:rPr>
      <w:rFonts w:ascii="Arial" w:hAnsi="Arial" w:eastAsia="黑体" w:cs="Times New Roman"/>
      <w:b/>
      <w:bCs/>
      <w:sz w:val="24"/>
      <w:szCs w:val="24"/>
    </w:rPr>
  </w:style>
  <w:style w:type="character" w:styleId="905">
    <w:name w:val="标题 7 字符"/>
    <w:next w:val="905"/>
    <w:link w:val="891"/>
    <w:rPr>
      <w:rFonts w:ascii="Times New Roman" w:hAnsi="Times New Roman" w:eastAsia="宋体" w:cs="Times New Roman"/>
      <w:b/>
      <w:bCs/>
      <w:sz w:val="24"/>
      <w:szCs w:val="24"/>
    </w:rPr>
  </w:style>
  <w:style w:type="character" w:styleId="906">
    <w:name w:val="标题 8 字符"/>
    <w:next w:val="906"/>
    <w:link w:val="892"/>
    <w:rPr>
      <w:rFonts w:ascii="Arial" w:hAnsi="Arial" w:eastAsia="黑体" w:cs="Times New Roman"/>
      <w:sz w:val="24"/>
      <w:szCs w:val="24"/>
    </w:rPr>
  </w:style>
  <w:style w:type="character" w:styleId="907">
    <w:name w:val="标题 9 字符"/>
    <w:next w:val="907"/>
    <w:link w:val="893"/>
    <w:rPr>
      <w:rFonts w:ascii="Arial" w:hAnsi="Arial" w:eastAsia="黑体" w:cs="Times New Roman"/>
      <w:szCs w:val="21"/>
    </w:rPr>
  </w:style>
  <w:style w:type="paragraph" w:styleId="908">
    <w:name w:val="列表 3"/>
    <w:basedOn w:val="884"/>
    <w:next w:val="908"/>
    <w:link w:val="884"/>
    <w:pPr>
      <w:ind w:left="100" w:hanging="200"/>
    </w:pPr>
    <w:rPr>
      <w:rFonts w:ascii="Times New Roman" w:hAnsi="Times New Roman" w:eastAsia="宋体" w:cs="Times New Roman"/>
      <w:szCs w:val="21"/>
    </w:rPr>
  </w:style>
  <w:style w:type="paragraph" w:styleId="909">
    <w:name w:val="toc 7"/>
    <w:basedOn w:val="884"/>
    <w:next w:val="884"/>
    <w:link w:val="884"/>
    <w:semiHidden/>
    <w:pPr>
      <w:ind w:left="1260"/>
      <w:jc w:val="left"/>
    </w:pPr>
    <w:rPr>
      <w:rFonts w:ascii="Times New Roman" w:hAnsi="Times New Roman" w:eastAsia="宋体" w:cs="Times New Roman"/>
      <w:szCs w:val="21"/>
    </w:rPr>
  </w:style>
  <w:style w:type="paragraph" w:styleId="910">
    <w:name w:val="文档结构图"/>
    <w:basedOn w:val="884"/>
    <w:next w:val="910"/>
    <w:link w:val="911"/>
    <w:semiHidden/>
    <w:pPr>
      <w:shd w:val="clear" w:color="auto" w:fill="000080"/>
    </w:pPr>
    <w:rPr>
      <w:rFonts w:ascii="Times New Roman" w:hAnsi="Times New Roman" w:eastAsia="宋体" w:cs="Times New Roman"/>
      <w:szCs w:val="21"/>
    </w:rPr>
  </w:style>
  <w:style w:type="character" w:styleId="911">
    <w:name w:val="文档结构图 字符"/>
    <w:next w:val="911"/>
    <w:link w:val="910"/>
    <w:semiHidden/>
    <w:rPr>
      <w:rFonts w:ascii="Times New Roman" w:hAnsi="Times New Roman" w:eastAsia="宋体" w:cs="Times New Roman"/>
      <w:szCs w:val="21"/>
      <w:shd w:val="clear" w:color="auto" w:fill="000080"/>
    </w:rPr>
  </w:style>
  <w:style w:type="paragraph" w:styleId="912">
    <w:name w:val="批注文字"/>
    <w:basedOn w:val="884"/>
    <w:next w:val="912"/>
    <w:link w:val="913"/>
    <w:unhideWhenUsed/>
    <w:pPr>
      <w:jc w:val="left"/>
    </w:pPr>
  </w:style>
  <w:style w:type="character" w:styleId="913">
    <w:name w:val="批注文字 字符"/>
    <w:next w:val="913"/>
    <w:link w:val="912"/>
    <w:uiPriority w:val="99"/>
    <w:semiHidden/>
  </w:style>
  <w:style w:type="paragraph" w:styleId="914">
    <w:name w:val="正文文本 3"/>
    <w:basedOn w:val="884"/>
    <w:next w:val="914"/>
    <w:link w:val="915"/>
    <w:rPr>
      <w:rFonts w:ascii="仿宋_GB2312" w:hAnsi="Arial" w:eastAsia="仿宋_GB2312" w:cs="Times New Roman"/>
      <w:sz w:val="32"/>
      <w:szCs w:val="32"/>
    </w:rPr>
  </w:style>
  <w:style w:type="character" w:styleId="915">
    <w:name w:val="正文文本 3 字符"/>
    <w:next w:val="915"/>
    <w:link w:val="914"/>
    <w:rPr>
      <w:rFonts w:ascii="仿宋_GB2312" w:hAnsi="Arial" w:eastAsia="仿宋_GB2312" w:cs="Times New Roman"/>
      <w:sz w:val="32"/>
      <w:szCs w:val="32"/>
    </w:rPr>
  </w:style>
  <w:style w:type="paragraph" w:styleId="916">
    <w:name w:val="正文文本"/>
    <w:basedOn w:val="884"/>
    <w:next w:val="916"/>
    <w:link w:val="917"/>
    <w:rPr>
      <w:rFonts w:ascii="楷体_GB2312" w:hAnsi="Arial" w:eastAsia="楷体_GB2312" w:cs="Times New Roman"/>
      <w:sz w:val="28"/>
      <w:szCs w:val="28"/>
    </w:rPr>
  </w:style>
  <w:style w:type="character" w:styleId="917">
    <w:name w:val="正文文本 字符"/>
    <w:next w:val="917"/>
    <w:link w:val="916"/>
    <w:rPr>
      <w:rFonts w:ascii="楷体_GB2312" w:hAnsi="Arial" w:eastAsia="楷体_GB2312" w:cs="Times New Roman"/>
      <w:sz w:val="28"/>
      <w:szCs w:val="28"/>
    </w:rPr>
  </w:style>
  <w:style w:type="paragraph" w:styleId="918">
    <w:name w:val="正文文本缩进"/>
    <w:basedOn w:val="884"/>
    <w:next w:val="918"/>
    <w:link w:val="919"/>
    <w:unhideWhenUsed/>
    <w:pPr>
      <w:ind w:left="420"/>
      <w:spacing w:after="120"/>
    </w:pPr>
  </w:style>
  <w:style w:type="character" w:styleId="919">
    <w:name w:val="正文文本缩进 字符"/>
    <w:next w:val="919"/>
    <w:link w:val="918"/>
    <w:uiPriority w:val="99"/>
    <w:semiHidden/>
  </w:style>
  <w:style w:type="paragraph" w:styleId="920">
    <w:name w:val="列表 2"/>
    <w:basedOn w:val="884"/>
    <w:next w:val="920"/>
    <w:link w:val="884"/>
    <w:pPr>
      <w:ind w:left="100" w:hanging="200"/>
    </w:pPr>
    <w:rPr>
      <w:rFonts w:ascii="Times New Roman" w:hAnsi="Times New Roman" w:eastAsia="宋体" w:cs="Times New Roman"/>
      <w:szCs w:val="21"/>
    </w:rPr>
  </w:style>
  <w:style w:type="paragraph" w:styleId="921">
    <w:name w:val="toc 5"/>
    <w:basedOn w:val="884"/>
    <w:next w:val="884"/>
    <w:link w:val="884"/>
    <w:semiHidden/>
    <w:pPr>
      <w:ind w:left="840"/>
      <w:jc w:val="left"/>
    </w:pPr>
    <w:rPr>
      <w:rFonts w:ascii="Times New Roman" w:hAnsi="Times New Roman" w:eastAsia="宋体" w:cs="Times New Roman"/>
      <w:szCs w:val="21"/>
    </w:rPr>
  </w:style>
  <w:style w:type="paragraph" w:styleId="922">
    <w:name w:val="toc 3"/>
    <w:basedOn w:val="884"/>
    <w:next w:val="884"/>
    <w:link w:val="884"/>
    <w:semiHidden/>
    <w:pPr>
      <w:ind w:left="420"/>
      <w:jc w:val="left"/>
    </w:pPr>
    <w:rPr>
      <w:rFonts w:ascii="Times New Roman" w:hAnsi="Times New Roman" w:eastAsia="宋体" w:cs="Times New Roman"/>
      <w:i/>
      <w:iCs/>
      <w:szCs w:val="24"/>
    </w:rPr>
  </w:style>
  <w:style w:type="paragraph" w:styleId="923">
    <w:name w:val="纯文本"/>
    <w:basedOn w:val="884"/>
    <w:next w:val="923"/>
    <w:link w:val="924"/>
    <w:qFormat/>
    <w:rPr>
      <w:rFonts w:ascii="宋体" w:hAnsi="Courier New" w:eastAsia="宋体" w:cs="Courier New"/>
      <w:szCs w:val="21"/>
    </w:rPr>
  </w:style>
  <w:style w:type="character" w:styleId="924">
    <w:name w:val="纯文本 字符"/>
    <w:next w:val="924"/>
    <w:link w:val="923"/>
    <w:rPr>
      <w:rFonts w:ascii="宋体" w:hAnsi="Courier New" w:eastAsia="宋体" w:cs="Courier New"/>
      <w:szCs w:val="21"/>
    </w:rPr>
  </w:style>
  <w:style w:type="paragraph" w:styleId="925">
    <w:name w:val="toc 8"/>
    <w:basedOn w:val="884"/>
    <w:next w:val="884"/>
    <w:link w:val="884"/>
    <w:semiHidden/>
    <w:pPr>
      <w:ind w:left="1470"/>
      <w:jc w:val="left"/>
    </w:pPr>
    <w:rPr>
      <w:rFonts w:ascii="Times New Roman" w:hAnsi="Times New Roman" w:eastAsia="宋体" w:cs="Times New Roman"/>
      <w:szCs w:val="21"/>
    </w:rPr>
  </w:style>
  <w:style w:type="paragraph" w:styleId="926">
    <w:name w:val="日期"/>
    <w:basedOn w:val="884"/>
    <w:next w:val="884"/>
    <w:link w:val="927"/>
    <w:rPr>
      <w:rFonts w:ascii="Times New Roman" w:hAnsi="Times New Roman" w:eastAsia="宋体" w:cs="Times New Roman"/>
      <w:sz w:val="24"/>
      <w:szCs w:val="24"/>
    </w:rPr>
  </w:style>
  <w:style w:type="character" w:styleId="927">
    <w:name w:val="日期 字符"/>
    <w:next w:val="927"/>
    <w:link w:val="926"/>
    <w:rPr>
      <w:rFonts w:ascii="Times New Roman" w:hAnsi="Times New Roman" w:eastAsia="宋体" w:cs="Times New Roman"/>
      <w:sz w:val="24"/>
      <w:szCs w:val="24"/>
    </w:rPr>
  </w:style>
  <w:style w:type="paragraph" w:styleId="928">
    <w:name w:val="正文文本缩进 2"/>
    <w:basedOn w:val="884"/>
    <w:next w:val="928"/>
    <w:link w:val="929"/>
    <w:pPr>
      <w:ind w:left="630" w:firstLine="645"/>
    </w:pPr>
    <w:rPr>
      <w:rFonts w:ascii="Arial" w:hAnsi="Arial" w:eastAsia="仿宋_GB2312" w:cs="Arial"/>
      <w:sz w:val="32"/>
      <w:szCs w:val="32"/>
    </w:rPr>
  </w:style>
  <w:style w:type="character" w:styleId="929">
    <w:name w:val="正文文本缩进 2 字符"/>
    <w:next w:val="929"/>
    <w:link w:val="928"/>
    <w:rPr>
      <w:rFonts w:ascii="Arial" w:hAnsi="Arial" w:eastAsia="仿宋_GB2312" w:cs="Arial"/>
      <w:sz w:val="32"/>
      <w:szCs w:val="32"/>
    </w:rPr>
  </w:style>
  <w:style w:type="paragraph" w:styleId="930">
    <w:name w:val="批注框文本"/>
    <w:basedOn w:val="884"/>
    <w:next w:val="930"/>
    <w:link w:val="931"/>
    <w:semiHidden/>
    <w:rPr>
      <w:rFonts w:ascii="Times New Roman" w:hAnsi="Times New Roman" w:eastAsia="宋体" w:cs="Times New Roman"/>
      <w:sz w:val="18"/>
      <w:szCs w:val="18"/>
    </w:rPr>
  </w:style>
  <w:style w:type="character" w:styleId="931">
    <w:name w:val="批注框文本 字符"/>
    <w:next w:val="931"/>
    <w:link w:val="930"/>
    <w:semiHidden/>
    <w:rPr>
      <w:rFonts w:ascii="Times New Roman" w:hAnsi="Times New Roman" w:eastAsia="宋体" w:cs="Times New Roman"/>
      <w:sz w:val="18"/>
      <w:szCs w:val="18"/>
    </w:rPr>
  </w:style>
  <w:style w:type="paragraph" w:styleId="932">
    <w:name w:val="页脚"/>
    <w:basedOn w:val="884"/>
    <w:next w:val="932"/>
    <w:link w:val="93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3">
    <w:name w:val="页脚 字符"/>
    <w:next w:val="933"/>
    <w:link w:val="932"/>
    <w:uiPriority w:val="99"/>
    <w:rPr>
      <w:rFonts w:ascii="Times New Roman" w:hAnsi="Times New Roman" w:eastAsia="宋体" w:cs="Times New Roman"/>
      <w:sz w:val="18"/>
      <w:szCs w:val="18"/>
    </w:rPr>
  </w:style>
  <w:style w:type="paragraph" w:styleId="934">
    <w:name w:val="页眉"/>
    <w:basedOn w:val="884"/>
    <w:next w:val="934"/>
    <w:link w:val="93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5">
    <w:name w:val="页眉 字符"/>
    <w:next w:val="935"/>
    <w:link w:val="934"/>
    <w:rPr>
      <w:rFonts w:ascii="Times New Roman" w:hAnsi="Times New Roman" w:eastAsia="宋体" w:cs="Times New Roman"/>
      <w:sz w:val="18"/>
      <w:szCs w:val="18"/>
    </w:rPr>
  </w:style>
  <w:style w:type="paragraph" w:styleId="936">
    <w:name w:val="toc 1"/>
    <w:basedOn w:val="884"/>
    <w:next w:val="884"/>
    <w:link w:val="88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7">
    <w:name w:val="toc 4"/>
    <w:basedOn w:val="884"/>
    <w:next w:val="884"/>
    <w:link w:val="884"/>
    <w:semiHidden/>
    <w:pPr>
      <w:ind w:left="630"/>
      <w:jc w:val="left"/>
    </w:pPr>
    <w:rPr>
      <w:rFonts w:ascii="Times New Roman" w:hAnsi="Times New Roman" w:eastAsia="宋体" w:cs="Times New Roman"/>
      <w:szCs w:val="21"/>
    </w:rPr>
  </w:style>
  <w:style w:type="paragraph" w:styleId="938">
    <w:name w:val="列表"/>
    <w:basedOn w:val="884"/>
    <w:next w:val="938"/>
    <w:link w:val="884"/>
    <w:pPr>
      <w:ind w:left="200" w:hanging="200"/>
    </w:pPr>
    <w:rPr>
      <w:rFonts w:ascii="Times New Roman" w:hAnsi="Times New Roman" w:eastAsia="宋体" w:cs="Times New Roman"/>
      <w:szCs w:val="21"/>
    </w:rPr>
  </w:style>
  <w:style w:type="paragraph" w:styleId="939">
    <w:name w:val="toc 6"/>
    <w:basedOn w:val="884"/>
    <w:next w:val="884"/>
    <w:link w:val="884"/>
    <w:semiHidden/>
    <w:pPr>
      <w:ind w:left="1050"/>
      <w:jc w:val="left"/>
    </w:pPr>
    <w:rPr>
      <w:rFonts w:ascii="Times New Roman" w:hAnsi="Times New Roman" w:eastAsia="宋体" w:cs="Times New Roman"/>
      <w:szCs w:val="21"/>
    </w:rPr>
  </w:style>
  <w:style w:type="paragraph" w:styleId="940">
    <w:name w:val="正文文本缩进 3"/>
    <w:basedOn w:val="884"/>
    <w:next w:val="940"/>
    <w:link w:val="941"/>
    <w:pPr>
      <w:ind w:left="645" w:firstLine="645"/>
    </w:pPr>
    <w:rPr>
      <w:rFonts w:ascii="Arial" w:hAnsi="Arial" w:eastAsia="仿宋_GB2312" w:cs="Arial"/>
      <w:color w:val="ffff00"/>
      <w:sz w:val="32"/>
      <w:szCs w:val="32"/>
    </w:rPr>
  </w:style>
  <w:style w:type="character" w:styleId="941">
    <w:name w:val="正文文本缩进 3 字符"/>
    <w:next w:val="941"/>
    <w:link w:val="940"/>
    <w:rPr>
      <w:rFonts w:ascii="Arial" w:hAnsi="Arial" w:eastAsia="仿宋_GB2312" w:cs="Arial"/>
      <w:color w:val="ffff00"/>
      <w:sz w:val="32"/>
      <w:szCs w:val="32"/>
    </w:rPr>
  </w:style>
  <w:style w:type="paragraph" w:styleId="942">
    <w:name w:val="图表目录"/>
    <w:basedOn w:val="884"/>
    <w:next w:val="884"/>
    <w:link w:val="884"/>
    <w:semiHidden/>
    <w:pPr>
      <w:ind w:left="840" w:hanging="420"/>
    </w:pPr>
    <w:rPr>
      <w:rFonts w:ascii="Times New Roman" w:hAnsi="Times New Roman" w:eastAsia="宋体" w:cs="Times New Roman"/>
      <w:szCs w:val="21"/>
    </w:rPr>
  </w:style>
  <w:style w:type="paragraph" w:styleId="943">
    <w:name w:val="toc 2"/>
    <w:basedOn w:val="884"/>
    <w:next w:val="884"/>
    <w:link w:val="884"/>
    <w:semiHidden/>
    <w:pPr>
      <w:ind w:left="210"/>
      <w:jc w:val="left"/>
    </w:pPr>
    <w:rPr>
      <w:rFonts w:ascii="Times New Roman" w:hAnsi="Times New Roman" w:eastAsia="宋体" w:cs="Times New Roman"/>
      <w:smallCaps/>
      <w:szCs w:val="24"/>
    </w:rPr>
  </w:style>
  <w:style w:type="paragraph" w:styleId="944">
    <w:name w:val="toc 9"/>
    <w:basedOn w:val="884"/>
    <w:next w:val="884"/>
    <w:link w:val="884"/>
    <w:semiHidden/>
    <w:pPr>
      <w:ind w:left="1680"/>
      <w:jc w:val="left"/>
    </w:pPr>
    <w:rPr>
      <w:rFonts w:ascii="Times New Roman" w:hAnsi="Times New Roman" w:eastAsia="宋体" w:cs="Times New Roman"/>
      <w:szCs w:val="21"/>
    </w:rPr>
  </w:style>
  <w:style w:type="paragraph" w:styleId="945">
    <w:name w:val="正文文本 2"/>
    <w:basedOn w:val="884"/>
    <w:next w:val="945"/>
    <w:link w:val="946"/>
    <w:pPr>
      <w:jc w:val="center"/>
      <w:widowControl/>
    </w:pPr>
    <w:rPr>
      <w:rFonts w:ascii="楷体_GB2312" w:hAnsi="Times New Roman" w:eastAsia="楷体_GB2312" w:cs="Times New Roman"/>
      <w:sz w:val="28"/>
      <w:szCs w:val="28"/>
    </w:rPr>
  </w:style>
  <w:style w:type="character" w:styleId="946">
    <w:name w:val="正文文本 2 字符"/>
    <w:next w:val="946"/>
    <w:link w:val="945"/>
    <w:rPr>
      <w:rFonts w:ascii="楷体_GB2312" w:hAnsi="Times New Roman" w:eastAsia="楷体_GB2312" w:cs="Times New Roman"/>
      <w:sz w:val="28"/>
      <w:szCs w:val="28"/>
    </w:rPr>
  </w:style>
  <w:style w:type="paragraph" w:styleId="947">
    <w:name w:val="普通(网站)"/>
    <w:basedOn w:val="884"/>
    <w:next w:val="947"/>
    <w:link w:val="884"/>
    <w:uiPriority w:val="99"/>
    <w:pPr>
      <w:jc w:val="left"/>
      <w:spacing w:before="100" w:beforeAutospacing="1" w:after="100" w:afterAutospacing="1"/>
      <w:widowControl/>
    </w:pPr>
    <w:rPr>
      <w:rFonts w:ascii="宋体" w:hAnsi="宋体" w:eastAsia="宋体" w:cs="宋体"/>
      <w:sz w:val="24"/>
      <w:szCs w:val="24"/>
    </w:rPr>
  </w:style>
  <w:style w:type="paragraph" w:styleId="948">
    <w:name w:val="索引 1"/>
    <w:basedOn w:val="884"/>
    <w:next w:val="884"/>
    <w:link w:val="884"/>
    <w:semiHidden/>
    <w:pPr>
      <w:spacing w:line="240" w:lineRule="atLeast"/>
    </w:pPr>
    <w:rPr>
      <w:rFonts w:ascii="Times New Roman" w:hAnsi="Times New Roman" w:eastAsia="宋体" w:cs="Times New Roman"/>
      <w:b/>
      <w:bCs/>
      <w:szCs w:val="21"/>
    </w:rPr>
  </w:style>
  <w:style w:type="paragraph" w:styleId="949">
    <w:name w:val="批注主题"/>
    <w:basedOn w:val="912"/>
    <w:next w:val="912"/>
    <w:link w:val="950"/>
    <w:semiHidden/>
    <w:rPr>
      <w:rFonts w:ascii="Times New Roman" w:hAnsi="Times New Roman" w:eastAsia="宋体" w:cs="Times New Roman"/>
      <w:b/>
      <w:bCs/>
      <w:szCs w:val="21"/>
    </w:rPr>
  </w:style>
  <w:style w:type="character" w:styleId="950">
    <w:name w:val="批注主题 字符"/>
    <w:next w:val="950"/>
    <w:link w:val="949"/>
    <w:semiHidden/>
    <w:rPr>
      <w:rFonts w:ascii="Times New Roman" w:hAnsi="Times New Roman" w:eastAsia="宋体" w:cs="Times New Roman"/>
      <w:b/>
      <w:bCs/>
      <w:szCs w:val="21"/>
    </w:rPr>
  </w:style>
  <w:style w:type="paragraph" w:styleId="951">
    <w:name w:val="正文文本首行缩进"/>
    <w:basedOn w:val="884"/>
    <w:next w:val="951"/>
    <w:link w:val="952"/>
    <w:pPr>
      <w:ind w:firstLine="200"/>
      <w:spacing w:line="360" w:lineRule="auto"/>
    </w:pPr>
    <w:rPr>
      <w:rFonts w:ascii="仿宋_GB2312" w:hAnsi="Times New Roman" w:eastAsia="仿宋_GB2312" w:cs="Times New Roman"/>
      <w:sz w:val="30"/>
      <w:szCs w:val="30"/>
    </w:rPr>
  </w:style>
  <w:style w:type="character" w:styleId="952">
    <w:name w:val="正文文本首行缩进 字符"/>
    <w:next w:val="952"/>
    <w:link w:val="951"/>
    <w:rPr>
      <w:rFonts w:ascii="仿宋_GB2312" w:hAnsi="Times New Roman" w:eastAsia="仿宋_GB2312" w:cs="Times New Roman"/>
      <w:sz w:val="30"/>
      <w:szCs w:val="30"/>
    </w:rPr>
  </w:style>
  <w:style w:type="paragraph" w:styleId="953">
    <w:name w:val="正文文本首行缩进 2"/>
    <w:basedOn w:val="918"/>
    <w:next w:val="953"/>
    <w:link w:val="954"/>
    <w:pPr>
      <w:ind w:left="0" w:firstLine="420"/>
      <w:spacing w:after="0" w:line="360" w:lineRule="auto"/>
    </w:pPr>
    <w:rPr>
      <w:rFonts w:ascii="宋体" w:hAnsi="宋体" w:eastAsia="宋体" w:cs="Times New Roman"/>
      <w:szCs w:val="20"/>
    </w:rPr>
  </w:style>
  <w:style w:type="character" w:styleId="954">
    <w:name w:val="正文文本首行缩进 2 字符"/>
    <w:next w:val="954"/>
    <w:link w:val="953"/>
    <w:rPr>
      <w:rFonts w:ascii="宋体" w:hAnsi="宋体" w:eastAsia="宋体" w:cs="Times New Roman"/>
      <w:szCs w:val="20"/>
    </w:rPr>
  </w:style>
  <w:style w:type="table" w:styleId="955">
    <w:name w:val="网格型"/>
    <w:basedOn w:val="895"/>
    <w:next w:val="955"/>
    <w:link w:val="884"/>
    <w:pPr>
      <w:jc w:val="both"/>
      <w:widowControl w:val="off"/>
    </w:pPr>
    <w:rPr>
      <w:rFonts w:ascii="Times New Roman" w:hAnsi="Times New Roman" w:eastAsia="宋体" w:cs="Times New Roman"/>
      <w:sz w:val="20"/>
      <w:szCs w:val="20"/>
    </w:rPr>
    <w:tblPr/>
  </w:style>
  <w:style w:type="character" w:styleId="956">
    <w:name w:val="要点"/>
    <w:next w:val="956"/>
    <w:link w:val="884"/>
    <w:qFormat/>
    <w:rPr>
      <w:b/>
      <w:bCs/>
    </w:rPr>
  </w:style>
  <w:style w:type="character" w:styleId="957">
    <w:name w:val="页码"/>
    <w:next w:val="957"/>
    <w:link w:val="884"/>
  </w:style>
  <w:style w:type="character" w:styleId="958">
    <w:name w:val="访问过的超链接"/>
    <w:next w:val="958"/>
    <w:link w:val="884"/>
    <w:rPr>
      <w:color w:val="800080"/>
      <w:u w:val="single"/>
    </w:rPr>
  </w:style>
  <w:style w:type="character" w:styleId="959">
    <w:name w:val="强调"/>
    <w:next w:val="959"/>
    <w:link w:val="884"/>
    <w:qFormat/>
    <w:rPr>
      <w:i/>
    </w:rPr>
  </w:style>
  <w:style w:type="character" w:styleId="960">
    <w:name w:val="超链接"/>
    <w:next w:val="960"/>
    <w:link w:val="884"/>
    <w:rPr>
      <w:color w:val="0000ff"/>
      <w:u w:val="single"/>
    </w:rPr>
  </w:style>
  <w:style w:type="character" w:styleId="961">
    <w:name w:val="批注引用"/>
    <w:next w:val="961"/>
    <w:link w:val="884"/>
    <w:uiPriority w:val="99"/>
    <w:semiHidden/>
    <w:qFormat/>
    <w:rPr>
      <w:sz w:val="21"/>
      <w:szCs w:val="21"/>
    </w:rPr>
  </w:style>
  <w:style w:type="character" w:styleId="962">
    <w:name w:val="font5 Char"/>
    <w:next w:val="962"/>
    <w:link w:val="884"/>
    <w:rPr>
      <w:rFonts w:ascii="宋体" w:hAnsi="宋体" w:eastAsia="宋体"/>
      <w:sz w:val="28"/>
      <w:szCs w:val="28"/>
      <w:lang w:val="en-US" w:eastAsia="zh-CN" w:bidi="ar-SA"/>
    </w:rPr>
  </w:style>
  <w:style w:type="character" w:styleId="963">
    <w:name w:val="二级目录 Char"/>
    <w:next w:val="963"/>
    <w:link w:val="964"/>
    <w:rPr>
      <w:b/>
      <w:sz w:val="30"/>
      <w:szCs w:val="28"/>
    </w:rPr>
  </w:style>
  <w:style w:type="paragraph" w:styleId="964">
    <w:name w:val="二级目录"/>
    <w:next w:val="884"/>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4"/>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4"/>
    <w:next w:val="916"/>
    <w:link w:val="884"/>
    <w:pPr>
      <w:spacing w:after="120"/>
    </w:pPr>
    <w:rPr>
      <w:rFonts w:ascii="宋体" w:hAnsi="Arial" w:eastAsia="宋体" w:cs="Times New Roman"/>
      <w:bCs/>
      <w:iCs/>
      <w:szCs w:val="24"/>
    </w:rPr>
  </w:style>
  <w:style w:type="paragraph" w:styleId="968">
    <w:name w:val="xl27"/>
    <w:basedOn w:val="884"/>
    <w:next w:val="968"/>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6"/>
    <w:basedOn w:val="884"/>
    <w:next w:val="969"/>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Char"/>
    <w:basedOn w:val="884"/>
    <w:next w:val="970"/>
    <w:link w:val="884"/>
    <w:pPr>
      <w:ind w:firstLine="200"/>
      <w:tabs>
        <w:tab w:val="left" w:pos="360" w:leader="none"/>
      </w:tabs>
    </w:pPr>
    <w:rPr>
      <w:rFonts w:ascii="Times New Roman" w:hAnsi="Times New Roman" w:eastAsia="宋体" w:cs="Times New Roman"/>
      <w:sz w:val="28"/>
      <w:szCs w:val="30"/>
    </w:rPr>
  </w:style>
  <w:style w:type="paragraph" w:styleId="971">
    <w:name w:val=" Char"/>
    <w:basedOn w:val="910"/>
    <w:next w:val="971"/>
    <w:link w:val="884"/>
    <w:rPr>
      <w:rFonts w:ascii="Tahoma" w:hAnsi="Tahoma"/>
      <w:sz w:val="24"/>
      <w:szCs w:val="24"/>
    </w:rPr>
  </w:style>
  <w:style w:type="paragraph" w:styleId="972">
    <w:name w:val="普通正文"/>
    <w:basedOn w:val="884"/>
    <w:next w:val="972"/>
    <w:link w:val="884"/>
    <w:pPr>
      <w:ind w:firstLine="480"/>
      <w:jc w:val="left"/>
      <w:spacing w:before="120" w:after="120" w:line="360" w:lineRule="auto"/>
    </w:pPr>
    <w:rPr>
      <w:rFonts w:ascii="Arial" w:hAnsi="Arial" w:eastAsia="宋体" w:cs="Times New Roman"/>
      <w:sz w:val="24"/>
      <w:szCs w:val="24"/>
    </w:rPr>
  </w:style>
  <w:style w:type="paragraph" w:styleId="973">
    <w:name w:val="table_lines"/>
    <w:basedOn w:val="884"/>
    <w:next w:val="973"/>
    <w:link w:val="884"/>
    <w:pPr>
      <w:jc w:val="left"/>
      <w:widowControl/>
    </w:pPr>
    <w:rPr>
      <w:rFonts w:ascii="Times New Roman" w:hAnsi="Times New Roman" w:eastAsia="宋体" w:cs="Times New Roman"/>
      <w:sz w:val="20"/>
      <w:szCs w:val="20"/>
      <w:lang w:val="de-DE" w:eastAsia="de-DE"/>
    </w:rPr>
  </w:style>
  <w:style w:type="paragraph" w:styleId="974">
    <w:name w:val="附录1"/>
    <w:next w:val="974"/>
    <w:link w:val="88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4"/>
    <w:next w:val="975"/>
    <w:link w:val="884"/>
    <w:pPr>
      <w:jc w:val="left"/>
      <w:spacing w:before="100" w:beforeAutospacing="1" w:after="100" w:afterAutospacing="1"/>
      <w:widowControl/>
    </w:pPr>
    <w:rPr>
      <w:rFonts w:hint="eastAsia" w:ascii="宋体" w:hAnsi="宋体" w:eastAsia="宋体" w:cs="Times New Roman"/>
      <w:sz w:val="18"/>
      <w:szCs w:val="18"/>
    </w:rPr>
  </w:style>
  <w:style w:type="paragraph" w:styleId="976">
    <w:name w:val=" Char Char Char Char"/>
    <w:basedOn w:val="910"/>
    <w:next w:val="976"/>
    <w:link w:val="884"/>
    <w:pPr>
      <w:spacing w:line="360" w:lineRule="auto"/>
    </w:pPr>
    <w:rPr>
      <w:rFonts w:ascii="Tahoma" w:hAnsi="Tahoma"/>
      <w:sz w:val="24"/>
      <w:szCs w:val="24"/>
    </w:rPr>
  </w:style>
  <w:style w:type="paragraph" w:styleId="977">
    <w:name w:val="列表段落"/>
    <w:basedOn w:val="884"/>
    <w:next w:val="977"/>
    <w:link w:val="884"/>
    <w:qFormat/>
    <w:pPr>
      <w:contextualSpacing/>
      <w:ind w:left="720"/>
      <w:jc w:val="left"/>
      <w:widowControl/>
    </w:pPr>
    <w:rPr>
      <w:rFonts w:ascii="Calibri" w:hAnsi="Calibri" w:eastAsia="宋体" w:cs="Times New Roman"/>
      <w:sz w:val="24"/>
      <w:szCs w:val="24"/>
      <w:lang w:eastAsia="en-US" w:bidi="en-US"/>
    </w:rPr>
  </w:style>
  <w:style w:type="paragraph" w:styleId="978">
    <w:name w:val="4"/>
    <w:basedOn w:val="884"/>
    <w:next w:val="940"/>
    <w:link w:val="884"/>
    <w:pPr>
      <w:ind w:firstLine="420"/>
      <w:spacing w:line="360" w:lineRule="auto"/>
    </w:pPr>
    <w:rPr>
      <w:rFonts w:ascii="Times New Roman" w:hAnsi="Times New Roman" w:eastAsia="宋体" w:cs="Times New Roman"/>
      <w:color w:val="ff0000"/>
      <w:sz w:val="24"/>
      <w:szCs w:val="24"/>
    </w:rPr>
  </w:style>
  <w:style w:type="paragraph" w:styleId="979">
    <w:name w:val="普通 (Web)"/>
    <w:basedOn w:val="884"/>
    <w:next w:val="979"/>
    <w:link w:val="884"/>
    <w:pPr>
      <w:jc w:val="left"/>
      <w:spacing w:before="100" w:beforeAutospacing="1" w:after="100" w:afterAutospacing="1"/>
      <w:widowControl/>
    </w:pPr>
    <w:rPr>
      <w:rFonts w:ascii="宋体" w:hAnsi="宋体" w:eastAsia="宋体" w:cs="Times New Roman"/>
      <w:sz w:val="24"/>
      <w:szCs w:val="24"/>
    </w:rPr>
  </w:style>
  <w:style w:type="paragraph" w:styleId="980">
    <w:name w:val=" Char Char Char Char Char Char Char Char Char Char"/>
    <w:basedOn w:val="884"/>
    <w:next w:val="980"/>
    <w:link w:val="884"/>
    <w:pPr>
      <w:spacing w:line="360" w:lineRule="auto"/>
    </w:pPr>
    <w:rPr>
      <w:rFonts w:ascii="Times New Roman" w:hAnsi="Times New Roman" w:eastAsia="宋体" w:cs="Times New Roman"/>
      <w:sz w:val="24"/>
      <w:szCs w:val="20"/>
    </w:rPr>
  </w:style>
  <w:style w:type="paragraph" w:styleId="981">
    <w:name w:val="样式1"/>
    <w:basedOn w:val="884"/>
    <w:next w:val="981"/>
    <w:link w:val="884"/>
    <w:pPr>
      <w:numPr>
        <w:ilvl w:val="0"/>
        <w:numId w:val="3"/>
      </w:numPr>
      <w:tabs>
        <w:tab w:val="left" w:pos="709" w:leader="none"/>
      </w:tabs>
    </w:pPr>
    <w:rPr>
      <w:rFonts w:ascii="宋体" w:hAnsi="宋体" w:eastAsia="宋体" w:cs="Times New Roman"/>
      <w:szCs w:val="21"/>
    </w:rPr>
  </w:style>
  <w:style w:type="paragraph" w:styleId="982">
    <w:name w:val="font6"/>
    <w:basedOn w:val="884"/>
    <w:next w:val="982"/>
    <w:link w:val="884"/>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name w:val="xl25"/>
    <w:basedOn w:val="884"/>
    <w:next w:val="983"/>
    <w:link w:val="8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4"/>
    <w:next w:val="884"/>
    <w:link w:val="88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name w:val="标题3"/>
    <w:basedOn w:val="884"/>
    <w:next w:val="884"/>
    <w:link w:val="884"/>
    <w:pPr>
      <w:ind w:firstLine="624"/>
      <w:spacing w:line="590" w:lineRule="atLeast"/>
    </w:pPr>
    <w:rPr>
      <w:rFonts w:ascii="方正黑体_GBK" w:hAnsi="Times New Roman" w:eastAsia="方正黑体_GBK" w:cs="Times New Roman"/>
      <w:sz w:val="32"/>
      <w:szCs w:val="32"/>
    </w:rPr>
  </w:style>
  <w:style w:type="paragraph" w:styleId="986">
    <w:name w:val="xl24"/>
    <w:basedOn w:val="884"/>
    <w:next w:val="986"/>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9"/>
    <w:basedOn w:val="884"/>
    <w:next w:val="987"/>
    <w:link w:val="88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8">
    <w:name w:val="Char Char Char Char Char Char Char Char"/>
    <w:basedOn w:val="884"/>
    <w:next w:val="988"/>
    <w:link w:val="884"/>
    <w:pPr>
      <w:jc w:val="left"/>
      <w:spacing w:after="160" w:line="240" w:lineRule="exact"/>
      <w:widowControl/>
    </w:pPr>
    <w:rPr>
      <w:rFonts w:ascii="Verdana" w:hAnsi="Verdana" w:eastAsia="宋体" w:cs="Times New Roman"/>
      <w:sz w:val="20"/>
      <w:szCs w:val="20"/>
      <w:lang w:eastAsia="en-US"/>
    </w:rPr>
  </w:style>
  <w:style w:type="paragraph" w:styleId="989">
    <w:name w:val="xl28"/>
    <w:basedOn w:val="884"/>
    <w:next w:val="989"/>
    <w:link w:val="8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0">
    <w:name w:val=" Char Char Char Char Char Char Char Char"/>
    <w:basedOn w:val="884"/>
    <w:next w:val="990"/>
    <w:link w:val="884"/>
    <w:pPr>
      <w:jc w:val="left"/>
      <w:spacing w:after="160" w:line="240" w:lineRule="exact"/>
      <w:widowControl/>
    </w:pPr>
    <w:rPr>
      <w:rFonts w:ascii="Verdana" w:hAnsi="Verdana" w:eastAsia="宋体" w:cs="Times New Roman"/>
      <w:sz w:val="20"/>
      <w:szCs w:val="20"/>
      <w:lang w:eastAsia="en-US"/>
    </w:rPr>
  </w:style>
  <w:style w:type="paragraph" w:styleId="991">
    <w:name w:val="xl30"/>
    <w:basedOn w:val="884"/>
    <w:next w:val="991"/>
    <w:link w:val="884"/>
    <w:pPr>
      <w:jc w:val="center"/>
      <w:spacing w:before="100" w:beforeAutospacing="1" w:after="100" w:afterAutospacing="1"/>
      <w:widowControl/>
    </w:pPr>
    <w:rPr>
      <w:rFonts w:ascii="宋体" w:hAnsi="宋体" w:eastAsia="宋体" w:cs="Times New Roman"/>
      <w:b/>
      <w:bCs/>
      <w:sz w:val="36"/>
      <w:szCs w:val="36"/>
    </w:rPr>
  </w:style>
  <w:style w:type="paragraph" w:styleId="992">
    <w:name w:val="Char Char Char Char"/>
    <w:basedOn w:val="910"/>
    <w:next w:val="992"/>
    <w:link w:val="884"/>
    <w:pPr>
      <w:spacing w:line="360" w:lineRule="auto"/>
    </w:pPr>
    <w:rPr>
      <w:rFonts w:ascii="Tahoma" w:hAnsi="Tahoma"/>
      <w:sz w:val="24"/>
      <w:szCs w:val="24"/>
    </w:rPr>
  </w:style>
  <w:style w:type="paragraph" w:styleId="993">
    <w:name w:val="table_1stline"/>
    <w:basedOn w:val="884"/>
    <w:next w:val="993"/>
    <w:link w:val="884"/>
    <w:pPr>
      <w:jc w:val="left"/>
      <w:spacing w:before="120"/>
      <w:widowControl/>
    </w:pPr>
    <w:rPr>
      <w:rFonts w:ascii="Times New Roman" w:hAnsi="Times New Roman" w:eastAsia="宋体" w:cs="Times New Roman"/>
      <w:bCs/>
      <w:sz w:val="20"/>
      <w:szCs w:val="20"/>
      <w:lang w:val="de-DE" w:eastAsia="de-DE"/>
    </w:rPr>
  </w:style>
  <w:style w:type="paragraph" w:styleId="994">
    <w:name w:val="font5"/>
    <w:basedOn w:val="884"/>
    <w:next w:val="994"/>
    <w:link w:val="884"/>
    <w:pPr>
      <w:jc w:val="left"/>
      <w:spacing w:before="100" w:beforeAutospacing="1" w:after="100" w:afterAutospacing="1"/>
      <w:widowControl/>
    </w:pPr>
    <w:rPr>
      <w:rFonts w:hint="eastAsia" w:ascii="宋体" w:hAnsi="宋体" w:eastAsia="宋体" w:cs="Times New Roman"/>
      <w:sz w:val="28"/>
      <w:szCs w:val="28"/>
    </w:rPr>
  </w:style>
  <w:style w:type="paragraph" w:styleId="995">
    <w:name w:val="标题1"/>
    <w:basedOn w:val="884"/>
    <w:next w:val="884"/>
    <w:link w:val="88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6">
    <w:name w:val="修订"/>
    <w:next w:val="996"/>
    <w:link w:val="884"/>
    <w:uiPriority w:val="99"/>
    <w:semiHidden/>
    <w:rPr>
      <w:rFonts w:ascii="Times New Roman" w:hAnsi="Times New Roman"/>
      <w:sz w:val="21"/>
      <w:szCs w:val="21"/>
      <w:lang w:val="en-US" w:eastAsia="zh-CN" w:bidi="ar-SA"/>
    </w:rPr>
  </w:style>
  <w:style w:type="paragraph" w:styleId="997">
    <w:name w:val="无间隔"/>
    <w:next w:val="997"/>
    <w:link w:val="884"/>
    <w:uiPriority w:val="99"/>
    <w:qFormat/>
    <w:pPr>
      <w:jc w:val="both"/>
      <w:widowControl w:val="off"/>
    </w:pPr>
    <w:rPr>
      <w:rFonts w:ascii="Times New Roman" w:hAnsi="Times New Roman"/>
      <w:sz w:val="21"/>
      <w:szCs w:val="21"/>
      <w:lang w:val="en-US" w:eastAsia="zh-CN" w:bidi="ar-SA"/>
    </w:rPr>
  </w:style>
  <w:style w:type="paragraph" w:styleId="998">
    <w:name w:val="AONormal"/>
    <w:next w:val="998"/>
    <w:link w:val="884"/>
    <w:qFormat/>
    <w:pPr>
      <w:ind w:firstLine="440"/>
      <w:spacing w:line="400" w:lineRule="exact"/>
    </w:pPr>
    <w:rPr>
      <w:rFonts w:ascii="华文楷体" w:hAnsi="华文楷体" w:eastAsia="华文楷体" w:cs="华文楷体"/>
      <w:sz w:val="22"/>
      <w:szCs w:val="21"/>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78</cp:revision>
  <dcterms:created xsi:type="dcterms:W3CDTF">2026-05-09T03:26:00Z</dcterms:created>
  <dcterms:modified xsi:type="dcterms:W3CDTF">2026-05-12T07:02:29Z</dcterms:modified>
  <cp:version>917504</cp:version>
</cp:coreProperties>
</file>