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6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68"/>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2026-2028年薛家道路保洁、绿化养护项</w:t>
      </w:r>
      <w:r>
        <w:rPr>
          <w:rFonts w:ascii="宋体" w:hAnsi="宋体"/>
          <w:bCs/>
          <w:color w:val="000000"/>
          <w:sz w:val="36"/>
          <w:szCs w:val="36"/>
          <w:highlight w:val="none"/>
        </w:rPr>
        <w:t xml:space="preserve">目</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JSZC-320411003-CTZB-G2026-0054</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常州市新北区薛家镇人民政府</w:t>
      </w:r>
      <w:r>
        <w:rPr>
          <w:rFonts w:ascii="宋体" w:hAnsi="宋体"/>
          <w:bCs/>
          <w:color w:val="000000"/>
          <w:sz w:val="36"/>
          <w:szCs w:val="36"/>
          <w:highlight w:val="none"/>
        </w:rPr>
      </w:r>
      <w:r/>
    </w:p>
    <w:p>
      <w:pPr>
        <w:pStyle w:val="1068"/>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68"/>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68"/>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68"/>
        <w:rPr>
          <w:rFonts w:ascii="宋体" w:hAnsi="宋体"/>
          <w:color w:val="000000"/>
          <w:highlight w:val="none"/>
        </w:rPr>
      </w:pPr>
      <w:r>
        <w:rPr>
          <w:rFonts w:ascii="宋体" w:hAnsi="宋体"/>
          <w:color w:val="000000"/>
          <w:highlight w:val="none"/>
        </w:rPr>
      </w:r>
      <w:r/>
    </w:p>
    <w:p>
      <w:pPr>
        <w:pStyle w:val="1068"/>
        <w:rPr>
          <w:rFonts w:ascii="宋体" w:hAnsi="宋体"/>
          <w:color w:val="000000"/>
          <w:highlight w:val="none"/>
        </w:rPr>
      </w:pPr>
      <w:r>
        <w:rPr>
          <w:rFonts w:ascii="宋体" w:hAnsi="宋体"/>
          <w:color w:val="000000"/>
          <w:highlight w:val="none"/>
        </w:rPr>
      </w:r>
      <w:r/>
    </w:p>
    <w:p>
      <w:pPr>
        <w:pStyle w:val="1068"/>
        <w:rPr>
          <w:rFonts w:ascii="宋体" w:hAnsi="宋体"/>
          <w:color w:val="000000"/>
          <w:highlight w:val="none"/>
        </w:rPr>
      </w:pPr>
      <w:r>
        <w:rPr>
          <w:rFonts w:ascii="宋体" w:hAnsi="宋体"/>
          <w:color w:val="000000"/>
          <w:highlight w:val="none"/>
        </w:rPr>
      </w:r>
      <w:r/>
    </w:p>
    <w:p>
      <w:pPr>
        <w:pStyle w:val="1120"/>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3"/>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3"/>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3"/>
          <w:color w:val="000000"/>
          <w:sz w:val="32"/>
          <w:szCs w:val="32"/>
          <w:highlight w:val="none"/>
        </w:rPr>
        <w:t xml:space="preserve">第三章   资</w:t>
      </w:r>
      <w:bookmarkStart w:id="1" w:name="_Hlt100754117"/>
      <w:r>
        <w:rPr>
          <w:rStyle w:val="1143"/>
          <w:color w:val="000000"/>
          <w:sz w:val="32"/>
          <w:szCs w:val="32"/>
          <w:highlight w:val="none"/>
        </w:rPr>
        <w:t xml:space="preserve">格</w:t>
      </w:r>
      <w:bookmarkEnd w:id="1"/>
      <w:r>
        <w:rPr>
          <w:rStyle w:val="1143"/>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3"/>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3"/>
          <w:color w:val="000000"/>
          <w:sz w:val="32"/>
          <w:szCs w:val="32"/>
          <w:highlight w:val="none"/>
        </w:rPr>
        <w:t xml:space="preserve">第五章   采购</w:t>
      </w:r>
      <w:bookmarkStart w:id="2" w:name="_Hlt100754102"/>
      <w:r/>
      <w:bookmarkStart w:id="3" w:name="_Hlt100754103"/>
      <w:r>
        <w:rPr>
          <w:rStyle w:val="1143"/>
          <w:color w:val="000000"/>
          <w:sz w:val="32"/>
          <w:szCs w:val="32"/>
          <w:highlight w:val="none"/>
        </w:rPr>
        <w:t xml:space="preserve">需</w:t>
      </w:r>
      <w:bookmarkEnd w:id="2"/>
      <w:r/>
      <w:bookmarkEnd w:id="3"/>
      <w:r>
        <w:rPr>
          <w:rStyle w:val="1143"/>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3"/>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3"/>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0"/>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68"/>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68"/>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68"/>
        <w:ind w:firstLine="643"/>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b/>
          <w:bCs/>
          <w:color w:val="000000"/>
          <w:sz w:val="32"/>
          <w:szCs w:val="32"/>
          <w:highlight w:val="none"/>
        </w:rPr>
        <w:t xml:space="preserve">2026-2028年薛家道路保洁、绿化养护项目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ascii="FangSong" w:hAnsi="FangSong" w:eastAsia="FangSong" w:cs="FangSong"/>
          <w:b/>
          <w:color w:val="000000"/>
          <w:sz w:val="32"/>
        </w:rPr>
        <w:t xml:space="preserve">2026年06月15日14点00分</w:t>
      </w:r>
      <w:r>
        <w:rPr>
          <w:rFonts w:hint="eastAsia" w:ascii="仿宋" w:hAnsi="仿宋" w:eastAsia="仿宋" w:cs="宋体"/>
          <w:b/>
          <w:bCs/>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02"/>
      <w:r/>
      <w:bookmarkStart w:id="7" w:name="_Toc28359079"/>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JSZC-320411003-CTZB-G2026-0054</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2026-2028年薛家道路保洁、绿化养护项目</w:t>
      </w:r>
      <w:r>
        <w:rPr>
          <w:rFonts w:ascii="仿宋" w:hAnsi="仿宋" w:eastAsia="仿宋"/>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ascii="仿宋" w:hAnsi="仿宋" w:eastAsia="仿宋"/>
          <w:b/>
          <w:bCs/>
          <w:color w:val="000000"/>
          <w:sz w:val="32"/>
          <w:szCs w:val="32"/>
          <w:highlight w:val="none"/>
          <w:lang w:val="en-US" w:eastAsia="zh-CN"/>
        </w:rPr>
        <w:t xml:space="preserve">2237.7</w:t>
      </w:r>
      <w:r>
        <w:rPr>
          <w:rFonts w:hint="eastAsia" w:ascii="仿宋" w:hAnsi="仿宋" w:eastAsia="仿宋"/>
          <w:b/>
          <w:bCs/>
          <w:color w:val="000000"/>
          <w:sz w:val="32"/>
          <w:szCs w:val="32"/>
          <w:highlight w:val="none"/>
          <w:lang w:val="en-US" w:eastAsia="zh-CN"/>
        </w:rPr>
        <w:t xml:space="preserve">0</w:t>
      </w:r>
      <w:r>
        <w:rPr>
          <w:rFonts w:ascii="仿宋" w:hAnsi="仿宋" w:eastAsia="仿宋"/>
          <w:b/>
          <w:bCs/>
          <w:color w:val="000000"/>
          <w:sz w:val="32"/>
          <w:szCs w:val="32"/>
          <w:highlight w:val="none"/>
        </w:rPr>
        <w:t xml:space="preserve">万元</w:t>
      </w:r>
      <w:r>
        <w:rPr>
          <w:rFonts w:hint="eastAsia" w:ascii="仿宋" w:hAnsi="仿宋" w:eastAsia="仿宋"/>
          <w:color w:val="000000"/>
          <w:sz w:val="32"/>
          <w:szCs w:val="32"/>
          <w:highlight w:val="none"/>
        </w:rPr>
      </w:r>
      <w:r/>
    </w:p>
    <w:p>
      <w:pPr>
        <w:pStyle w:val="1068"/>
        <w:ind w:firstLine="640"/>
        <w:spacing w:line="360" w:lineRule="auto"/>
        <w:rPr>
          <w:rFonts w:ascii="仿宋" w:hAnsi="仿宋" w:eastAsia="仿宋" w:cs="Times New Roman"/>
          <w:b/>
          <w:bCs/>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ascii="仿宋" w:hAnsi="仿宋" w:eastAsia="仿宋" w:cs="Times New Roman"/>
          <w:b/>
          <w:bCs/>
          <w:color w:val="000000"/>
          <w:sz w:val="32"/>
          <w:szCs w:val="32"/>
          <w:highlight w:val="none"/>
          <w:lang w:val="en-US" w:eastAsia="zh-CN"/>
        </w:rPr>
        <w:t xml:space="preserve">745.90</w:t>
      </w:r>
      <w:r>
        <w:rPr>
          <w:rFonts w:ascii="仿宋" w:hAnsi="仿宋" w:eastAsia="仿宋" w:cs="Times New Roman"/>
          <w:b/>
          <w:bCs/>
          <w:color w:val="000000"/>
          <w:sz w:val="32"/>
          <w:szCs w:val="32"/>
          <w:highlight w:val="none"/>
        </w:rPr>
        <w:t xml:space="preserve">万</w:t>
      </w:r>
      <w:r>
        <w:rPr>
          <w:rFonts w:ascii="仿宋" w:hAnsi="仿宋" w:eastAsia="仿宋" w:cs="Times New Roman"/>
          <w:b/>
          <w:bCs/>
          <w:color w:val="000000"/>
          <w:sz w:val="32"/>
          <w:szCs w:val="32"/>
          <w:highlight w:val="none"/>
        </w:rPr>
        <w:t xml:space="preserve">元/年</w:t>
      </w:r>
      <w:r>
        <w:rPr>
          <w:rFonts w:ascii="仿宋" w:hAnsi="仿宋" w:eastAsia="仿宋" w:cs="Times New Roman"/>
          <w:b/>
          <w:bCs/>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hint="eastAsia" w:ascii="仿宋" w:hAnsi="仿宋" w:eastAsia="仿宋"/>
          <w:color w:val="000000"/>
          <w:sz w:val="32"/>
          <w:szCs w:val="32"/>
          <w:highlight w:val="none"/>
          <w:lang w:val="en-US" w:eastAsia="zh-CN"/>
        </w:rPr>
        <w:t xml:space="preserve">本项目为</w:t>
      </w:r>
      <w:r>
        <w:rPr>
          <w:rFonts w:hint="eastAsia" w:ascii="仿宋" w:hAnsi="仿宋" w:eastAsia="仿宋"/>
          <w:color w:val="000000"/>
          <w:sz w:val="32"/>
          <w:szCs w:val="32"/>
          <w:highlight w:val="none"/>
        </w:rPr>
        <w:t xml:space="preserve">薛家镇镇级道路保洁及薛家镇外围绿化、镇区绿化以及高铁高速沿线绿化养护</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68"/>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合同履行期限：服务期限为三年，合同一年一签，其中：前三个月为试用期，试用期满须经采购人考核，考核不合格，采购人有权解除合同。每年合同期满经采购人考核合格后续签下一年度合同。</w:t>
      </w:r>
      <w:r>
        <w:rPr>
          <w:rFonts w:ascii="仿宋" w:hAnsi="仿宋" w:eastAsia="仿宋"/>
          <w:color w:val="000000"/>
          <w:sz w:val="32"/>
          <w:szCs w:val="32"/>
          <w:highlight w:val="none"/>
          <w:u w:val="singl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791"/>
      <w:r/>
      <w:bookmarkStart w:id="12" w:name="_Toc35393622"/>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68"/>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68"/>
        <w:ind w:firstLine="640"/>
        <w:spacing w:line="360" w:lineRule="auto"/>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□本项目预留部分采购项目预算专门面向中小企业采购。对于预留份额，提供的服务由符合政策要求的中小企业承接。预留份额通过以下措施进行：</w:t>
      </w:r>
      <w:r>
        <w:rPr>
          <w:rFonts w:hint="eastAsia" w:ascii="仿宋" w:hAnsi="仿宋" w:eastAsia="仿宋" w:cs="Times New Roman"/>
          <w:color w:val="000000"/>
          <w:sz w:val="32"/>
          <w:szCs w:val="32"/>
          <w:highlight w:val="none"/>
        </w:rPr>
        <w:t xml:space="preserve">获得采购合同的投标人应承诺将采购项目中不低于40%的金额分包给一家或多家中小企业。</w:t>
      </w:r>
      <w:r>
        <w:rPr>
          <w:rFonts w:ascii="仿宋" w:hAnsi="仿宋" w:eastAsia="仿宋" w:cs="Times New Roman"/>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68"/>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cs="Times New Roman"/>
          <w:i w:val="0"/>
          <w:iCs w:val="0"/>
          <w:color w:val="000000"/>
          <w:sz w:val="32"/>
          <w:szCs w:val="32"/>
          <w:highlight w:val="none"/>
          <w:u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s="Times New Roman"/>
          <w:i w:val="0"/>
          <w:iCs w:val="0"/>
          <w:color w:val="000000"/>
          <w:sz w:val="32"/>
          <w:szCs w:val="32"/>
          <w:highlight w:val="none"/>
          <w:u w:val="none"/>
        </w:rPr>
      </w:r>
      <w:r/>
    </w:p>
    <w:p>
      <w:pPr>
        <w:pStyle w:val="1070"/>
        <w:ind w:firstLine="640"/>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b w:val="0"/>
          <w:bCs/>
          <w:color w:val="000000"/>
          <w:sz w:val="32"/>
          <w:szCs w:val="32"/>
          <w:highlight w:val="none"/>
        </w:rPr>
        <w:t xml:space="preserve">3.3</w:t>
      </w:r>
      <w:r>
        <w:rPr>
          <w:rFonts w:hint="eastAsia" w:ascii="仿宋" w:hAnsi="仿宋" w:eastAsia="仿宋"/>
          <w:b w:val="0"/>
          <w:bCs/>
          <w:color w:val="000000"/>
          <w:sz w:val="32"/>
          <w:szCs w:val="32"/>
          <w:highlight w:val="none"/>
          <w:lang w:val="en-US" w:eastAsia="zh-CN"/>
        </w:rPr>
        <w:t xml:space="preserve"> </w:t>
      </w:r>
      <w:r>
        <w:rPr>
          <w:rFonts w:ascii="仿宋" w:hAnsi="仿宋" w:eastAsia="仿宋"/>
          <w:b w:val="0"/>
          <w:bCs/>
          <w:color w:val="000000"/>
          <w:sz w:val="32"/>
          <w:szCs w:val="32"/>
          <w:highlight w:val="none"/>
        </w:rPr>
        <w:t xml:space="preserve">其他特定资格要求：</w:t>
      </w:r>
      <w:r>
        <w:rPr>
          <w:rFonts w:hint="eastAsia" w:ascii="仿宋" w:hAnsi="仿宋" w:eastAsia="仿宋"/>
          <w:b w:val="0"/>
          <w:bCs/>
          <w:color w:val="000000"/>
          <w:sz w:val="32"/>
          <w:szCs w:val="32"/>
          <w:highlight w:val="none"/>
          <w:u w:val="single"/>
        </w:rPr>
        <w:t xml:space="preserve">/</w:t>
      </w:r>
      <w:r>
        <w:rPr>
          <w:rFonts w:hint="eastAsia" w:ascii="仿宋" w:hAnsi="仿宋" w:eastAsia="仿宋"/>
          <w:b w:val="0"/>
          <w:bCs/>
          <w:color w:val="000000"/>
          <w:sz w:val="32"/>
          <w:szCs w:val="32"/>
          <w:highlight w:val="none"/>
        </w:rPr>
        <w:t xml:space="preserve">。</w:t>
      </w:r>
      <w:r>
        <w:rPr>
          <w:rFonts w:ascii="仿宋" w:hAnsi="仿宋" w:eastAsia="仿宋"/>
          <w:color w:val="000000"/>
          <w:sz w:val="32"/>
          <w:szCs w:val="32"/>
          <w:highlight w:val="none"/>
        </w:rPr>
      </w:r>
      <w:r/>
    </w:p>
    <w:p>
      <w:pPr>
        <w:pStyle w:val="1070"/>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仿宋" w:hAnsi="仿宋" w:eastAsia="仿宋"/>
          <w:color w:val="000000"/>
          <w:sz w:val="32"/>
          <w:szCs w:val="32"/>
          <w:highlight w:val="none"/>
          <w:lang w:bidi="ar"/>
        </w:rPr>
        <w:t xml:space="preserve">1.时间：</w:t>
      </w:r>
      <w:r>
        <w:rPr>
          <w:rFonts w:ascii="FangSong" w:hAnsi="FangSong" w:eastAsia="FangSong" w:cs="FangSong"/>
          <w:b/>
          <w:color w:val="000000"/>
          <w:sz w:val="32"/>
        </w:rPr>
        <w:t xml:space="preserve">2026年5月22日至2026年5月29日。</w:t>
      </w:r>
      <w:r>
        <w:rPr>
          <w:sz w:val="21"/>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68"/>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68"/>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0"/>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68"/>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ascii="FangSong" w:hAnsi="FangSong" w:eastAsia="FangSong" w:cs="FangSong"/>
          <w:b/>
          <w:color w:val="000000"/>
          <w:sz w:val="32"/>
        </w:rPr>
        <w:t xml:space="preserve">2026年06月15日14点00分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68"/>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625"/>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0"/>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6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68"/>
        <w:ind w:firstLine="643"/>
        <w:spacing w:line="360" w:lineRule="auto"/>
        <w:rPr>
          <w:rFonts w:ascii="仿宋" w:hAnsi="仿宋" w:eastAsia="仿宋"/>
          <w:b/>
          <w:bCs/>
          <w:color w:val="000000"/>
          <w:sz w:val="32"/>
          <w:szCs w:val="32"/>
          <w:highlight w:val="none"/>
        </w:rPr>
      </w:pPr>
      <w:r>
        <w:rPr>
          <w:rFonts w:ascii="仿宋" w:hAnsi="仿宋" w:eastAsia="仿宋"/>
          <w:b/>
          <w:bCs/>
          <w:color w:val="000000"/>
          <w:sz w:val="32"/>
          <w:szCs w:val="32"/>
          <w:highlight w:val="none"/>
        </w:rPr>
        <w:t xml:space="preserve">2.本项目的采购年限为</w:t>
      </w:r>
      <w:r>
        <w:rPr>
          <w:rFonts w:hint="eastAsia" w:ascii="仿宋" w:hAnsi="仿宋" w:eastAsia="仿宋"/>
          <w:b/>
          <w:bCs/>
          <w:color w:val="000000"/>
          <w:sz w:val="32"/>
          <w:szCs w:val="32"/>
          <w:highlight w:val="none"/>
          <w:lang w:val="en-US" w:eastAsia="zh-CN"/>
        </w:rPr>
        <w:t xml:space="preserve">三</w:t>
      </w:r>
      <w:r>
        <w:rPr>
          <w:rFonts w:ascii="仿宋" w:hAnsi="仿宋" w:eastAsia="仿宋"/>
          <w:b/>
          <w:bCs/>
          <w:color w:val="000000"/>
          <w:sz w:val="32"/>
          <w:szCs w:val="32"/>
          <w:highlight w:val="none"/>
        </w:rPr>
        <w:t xml:space="preserve">年、</w:t>
      </w:r>
      <w:r>
        <w:rPr>
          <w:rFonts w:hint="eastAsia" w:ascii="仿宋" w:hAnsi="仿宋" w:eastAsia="仿宋"/>
          <w:b/>
          <w:bCs/>
          <w:color w:val="000000"/>
          <w:sz w:val="32"/>
          <w:szCs w:val="32"/>
          <w:highlight w:val="none"/>
        </w:rPr>
        <w:t xml:space="preserve">预算</w:t>
      </w:r>
      <w:r>
        <w:rPr>
          <w:rFonts w:ascii="仿宋" w:hAnsi="仿宋" w:eastAsia="仿宋"/>
          <w:b/>
          <w:bCs/>
          <w:color w:val="000000"/>
          <w:sz w:val="32"/>
          <w:szCs w:val="32"/>
          <w:highlight w:val="none"/>
        </w:rPr>
        <w:t xml:space="preserve">金额为</w:t>
      </w:r>
      <w:r>
        <w:rPr>
          <w:rFonts w:ascii="仿宋" w:hAnsi="仿宋" w:eastAsia="仿宋"/>
          <w:b/>
          <w:bCs/>
          <w:color w:val="000000"/>
          <w:sz w:val="32"/>
          <w:szCs w:val="32"/>
          <w:highlight w:val="none"/>
          <w:lang w:val="en-US" w:eastAsia="zh-CN"/>
        </w:rPr>
        <w:t xml:space="preserve">2237.7</w:t>
      </w:r>
      <w:r>
        <w:rPr>
          <w:rFonts w:hint="eastAsia" w:ascii="仿宋" w:hAnsi="仿宋" w:eastAsia="仿宋"/>
          <w:b/>
          <w:bCs/>
          <w:color w:val="000000"/>
          <w:sz w:val="32"/>
          <w:szCs w:val="32"/>
          <w:highlight w:val="none"/>
          <w:lang w:val="en-US" w:eastAsia="zh-CN"/>
        </w:rPr>
        <w:t xml:space="preserve">0</w:t>
      </w:r>
      <w:r>
        <w:rPr>
          <w:rFonts w:ascii="仿宋" w:hAnsi="仿宋" w:eastAsia="仿宋"/>
          <w:b/>
          <w:bCs/>
          <w:color w:val="000000"/>
          <w:sz w:val="32"/>
          <w:szCs w:val="32"/>
          <w:highlight w:val="none"/>
        </w:rPr>
        <w:t xml:space="preserve">万元、当年安排数为</w:t>
      </w:r>
      <w:r>
        <w:rPr>
          <w:rFonts w:hint="eastAsia" w:ascii="仿宋" w:hAnsi="仿宋" w:eastAsia="仿宋"/>
          <w:b/>
          <w:bCs/>
          <w:color w:val="000000"/>
          <w:sz w:val="32"/>
          <w:szCs w:val="32"/>
          <w:highlight w:val="none"/>
          <w:lang w:val="en-US" w:eastAsia="zh-CN"/>
        </w:rPr>
        <w:t xml:space="preserve">745.90</w:t>
      </w:r>
      <w:r>
        <w:rPr>
          <w:rFonts w:ascii="仿宋" w:hAnsi="仿宋" w:eastAsia="仿宋"/>
          <w:b/>
          <w:bCs/>
          <w:color w:val="000000"/>
          <w:sz w:val="32"/>
          <w:szCs w:val="32"/>
          <w:highlight w:val="none"/>
        </w:rPr>
        <w:t xml:space="preserve">万元。</w:t>
      </w:r>
      <w:r>
        <w:rPr>
          <w:rFonts w:ascii="仿宋" w:hAnsi="仿宋" w:eastAsia="仿宋"/>
          <w:b/>
          <w:bCs/>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3.根据省财政厅《关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6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6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4.关于常州市中小企业政府采购信用融资：</w:t>
      </w:r>
      <w:r>
        <w:rPr>
          <w:rFonts w:ascii="仿宋" w:hAnsi="仿宋" w:eastAsia="仿宋"/>
          <w:color w:val="000000"/>
          <w:sz w:val="32"/>
          <w:szCs w:val="32"/>
          <w:highlight w:val="none"/>
          <w:lang w:val="zh-TW" w:bidi="ar"/>
        </w:rPr>
      </w:r>
      <w:r/>
    </w:p>
    <w:p>
      <w:pPr>
        <w:pStyle w:val="1068"/>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0"/>
        <w:ind w:firstLine="643"/>
        <w:jc w:val="left"/>
        <w:spacing w:before="0" w:line="360" w:lineRule="auto"/>
        <w:rPr>
          <w:rFonts w:ascii="仿宋" w:hAnsi="仿宋" w:eastAsia="仿宋"/>
          <w:color w:val="000000"/>
          <w:sz w:val="32"/>
          <w:szCs w:val="32"/>
          <w:highlight w:val="none"/>
        </w:rPr>
      </w:pPr>
      <w:r/>
      <w:bookmarkStart w:id="28" w:name="_Toc28359008"/>
      <w:r/>
      <w:bookmarkStart w:id="29" w:name="_Toc28359085"/>
      <w:r/>
      <w:bookmarkStart w:id="30" w:name="_Toc35393796"/>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68"/>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68"/>
        <w:ind w:firstLine="640"/>
        <w:spacing w:line="360" w:lineRule="auto"/>
        <w:rPr>
          <w:rFonts w:hint="eastAsia" w:ascii="仿宋" w:hAnsi="仿宋" w:eastAsia="仿宋" w:cs="Times New Roman"/>
          <w:color w:val="000000"/>
          <w:sz w:val="32"/>
          <w:szCs w:val="32"/>
          <w:highlight w:val="none"/>
        </w:rPr>
      </w:pPr>
      <w:r/>
      <w:bookmarkStart w:id="32" w:name="_Toc28359086"/>
      <w:r/>
      <w:bookmarkStart w:id="33" w:name="_Toc28359009"/>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常州市新北区薛家镇人民政府</w:t>
      </w:r>
      <w:r>
        <w:rPr>
          <w:rFonts w:hint="eastAsia" w:ascii="仿宋" w:hAnsi="仿宋" w:eastAsia="仿宋" w:cs="Times New Roman"/>
          <w:color w:val="000000"/>
          <w:sz w:val="32"/>
          <w:szCs w:val="32"/>
          <w:highlight w:val="none"/>
        </w:rPr>
      </w:r>
      <w:r/>
    </w:p>
    <w:p>
      <w:pPr>
        <w:pStyle w:val="1068"/>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w:t>
      </w:r>
      <w:r>
        <w:rPr>
          <w:rFonts w:hint="eastAsia" w:ascii="仿宋" w:hAnsi="仿宋" w:eastAsia="仿宋" w:cs="Times New Roman"/>
          <w:color w:val="000000"/>
          <w:sz w:val="32"/>
          <w:szCs w:val="32"/>
          <w:highlight w:val="none"/>
          <w:lang w:val="en-US" w:eastAsia="zh-CN"/>
        </w:rPr>
        <w:t xml:space="preserve">常州市新北区黄河西路268号</w:t>
      </w:r>
      <w:r>
        <w:rPr>
          <w:rFonts w:ascii="仿宋" w:hAnsi="仿宋" w:eastAsia="仿宋" w:cs="Times New Roman"/>
          <w:color w:val="000000"/>
          <w:sz w:val="32"/>
          <w:szCs w:val="32"/>
          <w:highlight w:val="none"/>
          <w:lang w:val="en-US" w:eastAsia="zh-CN"/>
        </w:rPr>
        <w:t xml:space="preserve"> </w:t>
      </w:r>
      <w:r>
        <w:rPr>
          <w:rFonts w:hint="eastAsia" w:ascii="仿宋" w:hAnsi="仿宋" w:eastAsia="仿宋" w:cs="Times New Roman"/>
          <w:color w:val="000000"/>
          <w:sz w:val="32"/>
          <w:szCs w:val="32"/>
          <w:highlight w:val="none"/>
        </w:rPr>
      </w:r>
      <w:r/>
    </w:p>
    <w:p>
      <w:pPr>
        <w:pStyle w:val="1068"/>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联系方式：</w:t>
      </w:r>
      <w:r>
        <w:rPr>
          <w:rFonts w:hint="eastAsia" w:ascii="仿宋" w:hAnsi="仿宋" w:eastAsia="仿宋" w:cs="Times New Roman"/>
          <w:color w:val="000000"/>
          <w:sz w:val="32"/>
          <w:szCs w:val="32"/>
          <w:highlight w:val="none"/>
          <w:lang w:val="en-US" w:eastAsia="zh-CN"/>
        </w:rPr>
        <w:t xml:space="preserve">高先生 0519-85960851  </w:t>
      </w:r>
      <w:r>
        <w:rPr>
          <w:rFonts w:hint="eastAsia" w:ascii="仿宋" w:hAnsi="仿宋" w:eastAsia="仿宋" w:cs="Times New Roman"/>
          <w:color w:val="000000"/>
          <w:sz w:val="32"/>
          <w:szCs w:val="32"/>
          <w:highlight w:val="none"/>
        </w:rPr>
      </w:r>
      <w:r/>
    </w:p>
    <w:p>
      <w:pPr>
        <w:pStyle w:val="1068"/>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68"/>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68"/>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68"/>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袁  婷</w:t>
      </w:r>
      <w:r>
        <w:rPr>
          <w:rFonts w:hint="eastAsia" w:ascii="仿宋" w:hAnsi="仿宋" w:eastAsia="仿宋"/>
          <w:color w:val="000000"/>
          <w:sz w:val="32"/>
          <w:szCs w:val="32"/>
          <w:highlight w:val="none"/>
          <w:lang w:val="en-US" w:eastAsia="zh-CN"/>
        </w:rPr>
      </w:r>
      <w:r/>
    </w:p>
    <w:p>
      <w:pPr>
        <w:pStyle w:val="1068"/>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6013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68"/>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53873938"/>
      <w:r/>
      <w:bookmarkStart w:id="37" w:name="_Toc512937850"/>
      <w:r/>
      <w:bookmarkStart w:id="38" w:name="_Toc305158928"/>
      <w:r/>
      <w:bookmarkStart w:id="39" w:name="_Toc353825548"/>
      <w:r/>
      <w:bookmarkStart w:id="40" w:name="_Toc226965856"/>
      <w:r/>
      <w:bookmarkStart w:id="41" w:name="_Toc150774783"/>
      <w:r/>
      <w:bookmarkStart w:id="42" w:name="_Toc305158854"/>
      <w:r/>
      <w:bookmarkStart w:id="43" w:name="_Toc264969275"/>
      <w:r/>
      <w:bookmarkStart w:id="44" w:name="_Toc265228423"/>
      <w:r/>
      <w:bookmarkStart w:id="45" w:name="_Toc127151777"/>
      <w:r/>
      <w:bookmarkStart w:id="46" w:name="_Toc99301420"/>
      <w:r/>
      <w:bookmarkStart w:id="47" w:name="_Toc127161488"/>
      <w:r/>
      <w:bookmarkStart w:id="48" w:name="_Toc19584295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0"/>
        <w:spacing w:before="0" w:line="360" w:lineRule="auto"/>
        <w:tabs>
          <w:tab w:val="center" w:pos="4592" w:leader="none"/>
          <w:tab w:val="left" w:pos="7860" w:leader="none"/>
        </w:tabs>
        <w:rPr>
          <w:rFonts w:ascii="宋体" w:hAnsi="宋体" w:eastAsia="宋体"/>
          <w:color w:val="000000"/>
          <w:sz w:val="28"/>
          <w:highlight w:val="none"/>
        </w:rPr>
      </w:pPr>
      <w:r/>
      <w:bookmarkStart w:id="49" w:name="_Toc127161433"/>
      <w:r/>
      <w:bookmarkStart w:id="50" w:name="_Toc150774724"/>
      <w:r/>
      <w:bookmarkStart w:id="51" w:name="_Toc164229360"/>
      <w:r/>
      <w:bookmarkStart w:id="52" w:name="_Toc164229214"/>
      <w:r/>
      <w:bookmarkStart w:id="53" w:name="_Toc151193833"/>
      <w:r/>
      <w:bookmarkStart w:id="54" w:name="_Toc150774619"/>
      <w:r/>
      <w:bookmarkStart w:id="55" w:name="_Toc151193907"/>
      <w:r/>
      <w:bookmarkStart w:id="56" w:name="_Toc151190146"/>
      <w:r/>
      <w:bookmarkStart w:id="57" w:name="_Toc226965709"/>
      <w:r/>
      <w:bookmarkStart w:id="58" w:name="_Toc151193761"/>
      <w:r/>
      <w:bookmarkStart w:id="59" w:name="_Toc149720812"/>
      <w:r/>
      <w:bookmarkStart w:id="60" w:name="_Toc142311021"/>
      <w:r/>
      <w:bookmarkStart w:id="61" w:name="_Toc520356144"/>
      <w:r/>
      <w:bookmarkStart w:id="62" w:name="_Toc226309763"/>
      <w:r/>
      <w:bookmarkStart w:id="63" w:name="_Toc151193617"/>
      <w:r/>
      <w:bookmarkStart w:id="64" w:name="_Toc164608633"/>
      <w:r/>
      <w:bookmarkStart w:id="65" w:name="_Toc164608788"/>
      <w:r/>
      <w:bookmarkStart w:id="66" w:name="_Toc127151720"/>
      <w:r/>
      <w:bookmarkStart w:id="67" w:name="_Toc195842884"/>
      <w:r/>
      <w:bookmarkStart w:id="68" w:name="_Toc127151519"/>
      <w:r/>
      <w:bookmarkStart w:id="69" w:name="_Toc226965792"/>
      <w:r/>
      <w:bookmarkStart w:id="70" w:name="_Toc150480757"/>
      <w:r/>
      <w:bookmarkStart w:id="71" w:name="_Toc164351613"/>
      <w:r/>
      <w:bookmarkStart w:id="72" w:name="_Toc150509270"/>
      <w:r/>
      <w:bookmarkStart w:id="73" w:name="_Toc151193689"/>
      <w:r/>
      <w:bookmarkStart w:id="74" w:name="_Toc226337215"/>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68"/>
        <w:jc w:val="center"/>
        <w:rPr>
          <w:rFonts w:ascii="宋体" w:hAnsi="宋体"/>
          <w:b/>
          <w:color w:val="000000"/>
          <w:sz w:val="28"/>
          <w:szCs w:val="28"/>
          <w:highlight w:val="none"/>
        </w:rPr>
      </w:pPr>
      <w:r>
        <w:rPr>
          <w:rFonts w:ascii="宋体" w:hAnsi="宋体"/>
          <w:b/>
          <w:color w:val="000000"/>
          <w:sz w:val="28"/>
          <w:szCs w:val="28"/>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68"/>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7"/>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7"/>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68"/>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68"/>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7"/>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eastAsia="宋体" w:cs="宋体"/>
                <w:b/>
                <w:bCs/>
                <w:color w:val="000000"/>
                <w:sz w:val="24"/>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68"/>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68"/>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ascii="Wingdings 2" w:hAnsi="Wingdings 2" w:eastAsia="Wingdings 2" w:cs="Wingdings 2"/>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0"/>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355"/>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询问送达形式：投标人对招标文件如有疑问，请将疑问于2026</w:t>
            </w:r>
            <w:r>
              <w:rPr>
                <w:rFonts w:hint="eastAsia" w:ascii="宋体" w:hAnsi="宋体" w:cs="宋体"/>
                <w:b/>
                <w:color w:val="000000"/>
                <w:sz w:val="24"/>
                <w:highlight w:val="none"/>
              </w:rPr>
              <w:t xml:space="preserve">年06月01日11点00分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6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color w:val="000000"/>
                <w:sz w:val="24"/>
                <w:highlight w:val="none"/>
              </w:rPr>
              <w:t xml:space="preserve">■因采购人预算金额包含代理费，本项目向中标人收取代理费</w:t>
            </w:r>
            <w:r>
              <w:rPr>
                <w:rFonts w:hint="eastAsia" w:ascii="宋体" w:hAnsi="宋体" w:cs="宋体"/>
                <w:color w:val="000000"/>
                <w:sz w:val="24"/>
                <w:highlight w:val="none"/>
              </w:rPr>
            </w:r>
            <w:r/>
          </w:p>
          <w:p>
            <w:pPr>
              <w:pStyle w:val="1068"/>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68"/>
                    <w:ind w:firstLine="945"/>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highlight w:val="none"/>
                    </w:rPr>
                    <w:t xml:space="preserve">服</w:t>
                  </w:r>
                  <w:r>
                    <w:rPr>
                      <w:rFonts w:hint="eastAsia" w:ascii="宋体" w:hAnsi="宋体" w:cs="宋体"/>
                      <w:bCs/>
                      <w:color w:val="000000"/>
                      <w:sz w:val="24"/>
                      <w:highlight w:val="none"/>
                    </w:rPr>
                  </w:r>
                  <w:r/>
                </w:p>
                <w:p>
                  <w:pPr>
                    <w:pStyle w:val="1068"/>
                    <w:ind w:firstLine="24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费　　　   务</w:t>
                  </w:r>
                  <w:r>
                    <w:rPr>
                      <w:rFonts w:hint="eastAsia" w:ascii="宋体" w:hAnsi="宋体" w:cs="宋体"/>
                      <w:bCs/>
                      <w:color w:val="000000"/>
                      <w:sz w:val="24"/>
                      <w:highlight w:val="none"/>
                    </w:rPr>
                  </w:r>
                  <w:r/>
                </w:p>
                <w:p>
                  <w:pPr>
                    <w:pStyle w:val="1068"/>
                    <w:ind w:firstLine="1260"/>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highlight w:val="none"/>
                    </w:rPr>
                    <w:t xml:space="preserve">　   类</w:t>
                  </w:r>
                  <w:r>
                    <w:rPr>
                      <w:rFonts w:hint="eastAsia" w:ascii="宋体" w:hAnsi="宋体" w:cs="宋体"/>
                      <w:bCs/>
                      <w:color w:val="000000"/>
                      <w:sz w:val="24"/>
                      <w:highlight w:val="none"/>
                    </w:rPr>
                  </w:r>
                  <w:r/>
                </w:p>
                <w:p>
                  <w:pPr>
                    <w:pStyle w:val="106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率　       型</w:t>
                  </w:r>
                  <w:r>
                    <w:rPr>
                      <w:rFonts w:hint="eastAsia" w:ascii="宋体" w:hAnsi="宋体" w:cs="宋体"/>
                      <w:bCs/>
                      <w:color w:val="000000"/>
                      <w:sz w:val="24"/>
                      <w:highlight w:val="none"/>
                    </w:rPr>
                  </w:r>
                  <w:r/>
                </w:p>
                <w:p>
                  <w:pPr>
                    <w:pStyle w:val="1068"/>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68"/>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rPr>
                      <w:rFonts w:hint="eastAsia" w:ascii="宋体" w:hAnsi="宋体" w:cs="宋体"/>
                      <w:bCs/>
                      <w:color w:val="000000"/>
                      <w:sz w:val="24"/>
                      <w:highlight w:val="none"/>
                    </w:rPr>
                  </w:r>
                  <w:r/>
                </w:p>
              </w:tc>
              <w:tc>
                <w:tcPr>
                  <w:tcW w:w="2407" w:type="dxa"/>
                  <w:vAlign w:val="center"/>
                  <w:textDirection w:val="lrTb"/>
                  <w:noWrap w:val="false"/>
                </w:tcPr>
                <w:p>
                  <w:pPr>
                    <w:pStyle w:val="1068"/>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服务类</w:t>
                  </w:r>
                  <w:r>
                    <w:rPr>
                      <w:rFonts w:hint="eastAsia" w:ascii="宋体" w:hAnsi="宋体" w:cs="宋体"/>
                      <w:bCs/>
                      <w:color w:val="000000"/>
                      <w:sz w:val="24"/>
                      <w:highlight w:val="none"/>
                    </w:rPr>
                  </w:r>
                  <w:r/>
                </w:p>
              </w:tc>
            </w:tr>
            <w:tr>
              <w:trPr/>
              <w:tc>
                <w:tcPr>
                  <w:tcW w:w="3023"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100（含，下同）以下</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tc>
                <w:tcPr>
                  <w:tcW w:w="3023"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100-500</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r>
            <w:tr>
              <w:trPr/>
              <w:tc>
                <w:tcPr>
                  <w:tcW w:w="3023" w:type="dxa"/>
                  <w:vAlign w:val="center"/>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500—1000</w:t>
                  </w:r>
                  <w:r>
                    <w:rPr>
                      <w:rFonts w:hint="eastAsia" w:ascii="宋体" w:hAnsi="宋体" w:cs="宋体"/>
                      <w:color w:val="000000"/>
                      <w:sz w:val="24"/>
                      <w:highlight w:val="none"/>
                    </w:rPr>
                  </w:r>
                  <w:r/>
                </w:p>
              </w:tc>
              <w:tc>
                <w:tcPr>
                  <w:tcW w:w="2407" w:type="dxa"/>
                  <w:vAlign w:val="center"/>
                  <w:textDirection w:val="lrTb"/>
                  <w:noWrap w:val="false"/>
                </w:tcPr>
                <w:p>
                  <w:pPr>
                    <w:pStyle w:val="106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0.45%</w:t>
                  </w:r>
                  <w:r>
                    <w:rPr>
                      <w:rFonts w:hint="eastAsia" w:ascii="宋体" w:hAnsi="宋体" w:cs="宋体"/>
                      <w:color w:val="000000"/>
                      <w:sz w:val="24"/>
                      <w:highlight w:val="none"/>
                    </w:rPr>
                  </w:r>
                  <w:r/>
                </w:p>
              </w:tc>
            </w:tr>
            <w:tr>
              <w:trPr/>
              <w:tc>
                <w:tcPr>
                  <w:tcW w:w="3023" w:type="dxa"/>
                  <w:vAlign w:val="top"/>
                  <w:textDirection w:val="lrTb"/>
                  <w:noWrap w:val="false"/>
                </w:tcPr>
                <w:p>
                  <w:pPr>
                    <w:pStyle w:val="106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7" w:type="dxa"/>
                  <w:vAlign w:val="top"/>
                  <w:textDirection w:val="lrTb"/>
                  <w:noWrap w:val="false"/>
                </w:tcPr>
                <w:p>
                  <w:pPr>
                    <w:pStyle w:val="106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106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68"/>
              <w:ind w:firstLine="482"/>
              <w:jc w:val="left"/>
              <w:rPr>
                <w:rFonts w:hint="eastAsia" w:ascii="宋体" w:hAnsi="宋体" w:cs="宋体"/>
                <w:b/>
                <w:color w:val="000000"/>
                <w:sz w:val="24"/>
                <w:highlight w:val="none"/>
              </w:rPr>
            </w:pPr>
            <w:r>
              <w:rPr>
                <w:rFonts w:hint="eastAsia" w:ascii="宋体" w:hAnsi="宋体" w:cs="宋体"/>
                <w:b/>
                <w:bCs/>
                <w:color w:val="000000"/>
                <w:sz w:val="24"/>
                <w:highlight w:val="none"/>
              </w:rPr>
              <w:t xml:space="preserve">每年</w:t>
            </w: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按照上述标准收取。</w:t>
            </w:r>
            <w:r>
              <w:rPr>
                <w:rFonts w:hint="eastAsia" w:ascii="宋体" w:hAnsi="宋体" w:cs="宋体"/>
                <w:b/>
                <w:color w:val="000000"/>
                <w:sz w:val="24"/>
                <w:highlight w:val="none"/>
              </w:rPr>
            </w:r>
            <w:r/>
          </w:p>
          <w:p>
            <w:pPr>
              <w:pStyle w:val="1068"/>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68"/>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rPr>
              <w:t xml:space="preserve">中标人应在领取中标通知书时将</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代理费支付至常州市城投建设工程招标有限公司账户。</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68"/>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7"/>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68"/>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68"/>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68"/>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68"/>
        <w:jc w:val="center"/>
        <w:spacing w:before="240" w:after="240"/>
        <w:rPr>
          <w:rFonts w:hint="eastAsia" w:ascii="宋体" w:hAnsi="宋体" w:cs="宋体"/>
          <w:b/>
          <w:color w:val="000000"/>
          <w:sz w:val="28"/>
          <w:szCs w:val="28"/>
          <w:highlight w:val="none"/>
        </w:rPr>
      </w:pPr>
      <w:r/>
      <w:bookmarkStart w:id="75" w:name="_Toc264969207"/>
      <w:r/>
      <w:bookmarkStart w:id="76" w:name="_Toc265228355"/>
      <w:r/>
      <w:bookmarkStart w:id="77" w:name="_Toc353873662"/>
      <w:r/>
      <w:bookmarkStart w:id="78" w:name="_Toc150774722"/>
      <w:r/>
      <w:bookmarkStart w:id="79" w:name="_Toc353825542"/>
      <w:r/>
      <w:bookmarkStart w:id="80" w:name="_Toc127151517"/>
      <w:r/>
      <w:bookmarkStart w:id="81" w:name="_Toc305158785"/>
      <w:r/>
      <w:bookmarkStart w:id="82" w:name="_Toc305158859"/>
      <w:r/>
      <w:bookmarkStart w:id="83" w:name="_Toc142311019"/>
      <w:r/>
      <w:bookmarkStart w:id="84" w:name="_Toc226337213"/>
      <w:r/>
      <w:bookmarkStart w:id="85" w:name="_Toc226965790"/>
      <w:r/>
      <w:bookmarkStart w:id="86" w:name="_Toc353873932"/>
      <w:r/>
      <w:bookmarkStart w:id="87" w:name="_Toc195842882"/>
      <w:r/>
      <w:bookmarkStart w:id="88" w:name="_Toc15048075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0"/>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226965708"/>
      <w:r/>
      <w:bookmarkStart w:id="92" w:name="_Toc150774723"/>
      <w:r/>
      <w:bookmarkStart w:id="93" w:name="_Toc151190145"/>
      <w:r/>
      <w:bookmarkStart w:id="94" w:name="_Toc151193832"/>
      <w:r/>
      <w:bookmarkStart w:id="95" w:name="_Toc142311020"/>
      <w:r/>
      <w:bookmarkStart w:id="96" w:name="_Toc305158860"/>
      <w:r/>
      <w:bookmarkStart w:id="97" w:name="_Toc305158786"/>
      <w:r/>
      <w:bookmarkStart w:id="98" w:name="_Toc151193616"/>
      <w:r/>
      <w:bookmarkStart w:id="99" w:name="_Toc151193906"/>
      <w:r/>
      <w:bookmarkStart w:id="100" w:name="_Toc150509269"/>
      <w:r/>
      <w:bookmarkStart w:id="101" w:name="_Toc151193688"/>
      <w:r/>
      <w:bookmarkStart w:id="102" w:name="_Toc226337214"/>
      <w:r/>
      <w:bookmarkStart w:id="103" w:name="_Toc226965791"/>
      <w:r/>
      <w:bookmarkStart w:id="104" w:name="_Toc226309762"/>
      <w:r/>
      <w:bookmarkStart w:id="105" w:name="_Toc150774618"/>
      <w:r/>
      <w:bookmarkStart w:id="106" w:name="_Toc265228356"/>
      <w:r/>
      <w:bookmarkStart w:id="107" w:name="_Toc150480756"/>
      <w:r/>
      <w:bookmarkStart w:id="108" w:name="_Toc151193760"/>
      <w:r/>
      <w:bookmarkStart w:id="109" w:name="_Toc195842883"/>
      <w:r/>
      <w:bookmarkStart w:id="110" w:name="_Toc26496920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4969209"/>
      <w:r/>
      <w:bookmarkStart w:id="112" w:name="_Toc305158787"/>
      <w:r/>
      <w:bookmarkStart w:id="113" w:name="_Toc305158861"/>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226965793"/>
      <w:r/>
      <w:bookmarkStart w:id="116" w:name="_Toc226337216"/>
      <w:r/>
      <w:bookmarkStart w:id="117" w:name="_Toc265228358"/>
      <w:r/>
      <w:bookmarkStart w:id="118" w:name="_Toc305158788"/>
      <w:r/>
      <w:bookmarkStart w:id="119" w:name="_Toc127151721"/>
      <w:r/>
      <w:bookmarkStart w:id="120" w:name="_Toc164351614"/>
      <w:r/>
      <w:bookmarkStart w:id="121" w:name="_Toc151193690"/>
      <w:r/>
      <w:bookmarkStart w:id="122" w:name="_Toc142311022"/>
      <w:r/>
      <w:bookmarkStart w:id="123" w:name="_Toc151193762"/>
      <w:r/>
      <w:bookmarkStart w:id="124" w:name="_Toc164608789"/>
      <w:r/>
      <w:bookmarkStart w:id="125" w:name="_Toc149720813"/>
      <w:r/>
      <w:bookmarkStart w:id="126" w:name="_Toc151193834"/>
      <w:r/>
      <w:bookmarkStart w:id="127" w:name="_Toc164229215"/>
      <w:r/>
      <w:bookmarkStart w:id="128" w:name="_Toc150774620"/>
      <w:r/>
      <w:bookmarkStart w:id="129" w:name="_Toc164229361"/>
      <w:r/>
      <w:bookmarkStart w:id="130" w:name="_Toc150480758"/>
      <w:r/>
      <w:bookmarkStart w:id="131" w:name="_Toc305158862"/>
      <w:r/>
      <w:bookmarkStart w:id="132" w:name="_Toc264969210"/>
      <w:r/>
      <w:bookmarkStart w:id="133" w:name="_Toc127151520"/>
      <w:r/>
      <w:bookmarkStart w:id="134" w:name="_Toc195842885"/>
      <w:r/>
      <w:bookmarkStart w:id="135" w:name="_Toc151193908"/>
      <w:r/>
      <w:bookmarkStart w:id="136" w:name="_Toc127161434"/>
      <w:r/>
      <w:bookmarkStart w:id="137" w:name="_Toc150509271"/>
      <w:r/>
      <w:bookmarkStart w:id="138" w:name="_Toc150774725"/>
      <w:r/>
      <w:bookmarkStart w:id="139" w:name="_Toc226309764"/>
      <w:r/>
      <w:bookmarkStart w:id="140" w:name="_Toc226965710"/>
      <w:r/>
      <w:bookmarkStart w:id="141" w:name="_Toc151193618"/>
      <w:r/>
      <w:bookmarkStart w:id="142" w:name="_Toc164608634"/>
      <w:r/>
      <w:bookmarkStart w:id="143" w:name="_Toc151190147"/>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965712"/>
      <w:r/>
      <w:bookmarkStart w:id="145" w:name="_Toc226965795"/>
      <w:r/>
      <w:bookmarkStart w:id="146" w:name="_Toc150480760"/>
      <w:r/>
      <w:bookmarkStart w:id="147" w:name="_Toc150774727"/>
      <w:r/>
      <w:bookmarkStart w:id="148" w:name="_Toc520356146"/>
      <w:r/>
      <w:bookmarkStart w:id="149" w:name="_Toc151193692"/>
      <w:r/>
      <w:bookmarkStart w:id="150" w:name="_Toc151190149"/>
      <w:r/>
      <w:bookmarkStart w:id="151" w:name="_Toc151193620"/>
      <w:r/>
      <w:bookmarkStart w:id="152" w:name="_Toc226309766"/>
      <w:r/>
      <w:bookmarkStart w:id="153" w:name="_Toc151193764"/>
      <w:r/>
      <w:bookmarkStart w:id="154" w:name="_Toc142311024"/>
      <w:r/>
      <w:bookmarkStart w:id="155" w:name="_Toc305158864"/>
      <w:r/>
      <w:bookmarkStart w:id="156" w:name="_Toc127151522"/>
      <w:r/>
      <w:bookmarkStart w:id="157" w:name="_Toc151193836"/>
      <w:r/>
      <w:bookmarkStart w:id="158" w:name="_Toc265228360"/>
      <w:r/>
      <w:bookmarkStart w:id="159" w:name="_Toc226337218"/>
      <w:r/>
      <w:bookmarkStart w:id="160" w:name="_Toc150774622"/>
      <w:r/>
      <w:bookmarkStart w:id="161" w:name="_Toc195842887"/>
      <w:r/>
      <w:bookmarkStart w:id="162" w:name="_Toc264969212"/>
      <w:r/>
      <w:bookmarkStart w:id="163" w:name="_Toc305158790"/>
      <w:r/>
      <w:bookmarkStart w:id="164" w:name="_Toc151193910"/>
      <w:r/>
      <w:bookmarkStart w:id="165" w:name="_Toc150509273"/>
      <w:r>
        <w:rPr>
          <w:rFonts w:hint="eastAsia" w:ascii="宋体" w:hAnsi="宋体" w:cs="宋体"/>
          <w:color w:val="000000"/>
          <w:sz w:val="28"/>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68"/>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68"/>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2"/>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2"/>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68"/>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68"/>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68"/>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6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68"/>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693"/>
      <w:r/>
      <w:bookmarkStart w:id="168" w:name="_Toc164229218"/>
      <w:r/>
      <w:bookmarkStart w:id="169" w:name="_Toc226965713"/>
      <w:r/>
      <w:bookmarkStart w:id="170" w:name="_Toc150774728"/>
      <w:r/>
      <w:bookmarkStart w:id="171" w:name="_Toc151190150"/>
      <w:r/>
      <w:bookmarkStart w:id="172" w:name="_Toc305158791"/>
      <w:r/>
      <w:bookmarkStart w:id="173" w:name="_Toc127151523"/>
      <w:r/>
      <w:bookmarkStart w:id="174" w:name="_Toc151193765"/>
      <w:r/>
      <w:bookmarkStart w:id="175" w:name="_Toc151193837"/>
      <w:r/>
      <w:bookmarkStart w:id="176" w:name="_Toc151193621"/>
      <w:r/>
      <w:bookmarkStart w:id="177" w:name="_Toc150480761"/>
      <w:r/>
      <w:bookmarkStart w:id="178" w:name="_Toc164608792"/>
      <w:r/>
      <w:bookmarkStart w:id="179" w:name="_Toc195842888"/>
      <w:r/>
      <w:bookmarkStart w:id="180" w:name="_Toc127161437"/>
      <w:r/>
      <w:bookmarkStart w:id="181" w:name="_Toc164608637"/>
      <w:r/>
      <w:bookmarkStart w:id="182" w:name="_Toc164351617"/>
      <w:r/>
      <w:bookmarkStart w:id="183" w:name="_Toc164229364"/>
      <w:r/>
      <w:bookmarkStart w:id="184" w:name="_Toc226337219"/>
      <w:r/>
      <w:bookmarkStart w:id="185" w:name="_Toc264969213"/>
      <w:r/>
      <w:bookmarkStart w:id="186" w:name="_Toc150774623"/>
      <w:r/>
      <w:bookmarkStart w:id="187" w:name="_Toc127151724"/>
      <w:r/>
      <w:bookmarkStart w:id="188" w:name="_Toc150509274"/>
      <w:r/>
      <w:bookmarkStart w:id="189" w:name="_Toc265228361"/>
      <w:r/>
      <w:bookmarkStart w:id="190" w:name="_Toc226309767"/>
      <w:r/>
      <w:bookmarkStart w:id="191" w:name="_Toc151193911"/>
      <w:r/>
      <w:bookmarkStart w:id="192" w:name="_Toc305158865"/>
      <w:r/>
      <w:bookmarkStart w:id="193" w:name="_Toc149720816"/>
      <w:r/>
      <w:bookmarkStart w:id="194" w:name="_Toc520356147"/>
      <w:r/>
      <w:bookmarkStart w:id="195" w:name="_Toc142311025"/>
      <w:r/>
      <w:bookmarkStart w:id="196" w:name="_Toc226965796"/>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197" w:name="_Toc127151526"/>
      <w:r/>
      <w:bookmarkStart w:id="198" w:name="_Toc150774731"/>
      <w:r/>
      <w:bookmarkStart w:id="199" w:name="_Toc195842891"/>
      <w:r/>
      <w:bookmarkStart w:id="200" w:name="_Toc142311028"/>
      <w:r/>
      <w:bookmarkStart w:id="201" w:name="_Toc226337222"/>
      <w:r/>
      <w:bookmarkStart w:id="202" w:name="_Toc151193768"/>
      <w:r/>
      <w:bookmarkStart w:id="203" w:name="_Toc151193840"/>
      <w:r/>
      <w:bookmarkStart w:id="204" w:name="_Toc150774626"/>
      <w:r/>
      <w:bookmarkStart w:id="205" w:name="_Toc151193914"/>
      <w:r/>
      <w:bookmarkStart w:id="206" w:name="_Toc150480764"/>
      <w:r/>
      <w:bookmarkStart w:id="207" w:name="_Toc305158868"/>
      <w:r/>
      <w:bookmarkStart w:id="208" w:name="_Toc265228364"/>
      <w:r/>
      <w:bookmarkStart w:id="209" w:name="_Toc226965799"/>
      <w:r/>
      <w:bookmarkStart w:id="210" w:name="_Toc516367020"/>
      <w:r/>
      <w:bookmarkStart w:id="211" w:name="_Toc305158794"/>
      <w:r/>
      <w:bookmarkStart w:id="212" w:name="_Toc520356150"/>
      <w:r/>
      <w:bookmarkStart w:id="213" w:name="_Toc151190153"/>
      <w:r/>
      <w:bookmarkStart w:id="214" w:name="_Toc151193624"/>
      <w:r/>
      <w:bookmarkStart w:id="215" w:name="_Toc264969216"/>
      <w:r/>
      <w:bookmarkStart w:id="216" w:name="_Toc226309770"/>
      <w:r/>
      <w:bookmarkStart w:id="217" w:name="_Toc226965716"/>
      <w:r/>
      <w:bookmarkStart w:id="218" w:name="_Toc150509277"/>
      <w:r/>
      <w:bookmarkStart w:id="219" w:name="_Toc151193696"/>
      <w:r>
        <w:rPr>
          <w:rFonts w:hint="eastAsia" w:ascii="宋体" w:hAnsi="宋体" w:eastAsia="宋体" w:cs="宋体"/>
          <w:color w:val="000000"/>
          <w:sz w:val="28"/>
          <w:highlight w:val="none"/>
        </w:rPr>
      </w:r>
      <w:r/>
    </w:p>
    <w:p>
      <w:pPr>
        <w:pStyle w:val="107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49720820"/>
      <w:r/>
      <w:bookmarkStart w:id="221" w:name="_Toc226965800"/>
      <w:r/>
      <w:bookmarkStart w:id="222" w:name="_Toc151193769"/>
      <w:r/>
      <w:bookmarkStart w:id="223" w:name="_Toc151193697"/>
      <w:r/>
      <w:bookmarkStart w:id="224" w:name="_Toc516367021"/>
      <w:r/>
      <w:bookmarkStart w:id="225" w:name="_Toc164608796"/>
      <w:r/>
      <w:bookmarkStart w:id="226" w:name="_Toc164351621"/>
      <w:r/>
      <w:bookmarkStart w:id="227" w:name="_Toc195842892"/>
      <w:r/>
      <w:bookmarkStart w:id="228" w:name="_Toc150774627"/>
      <w:r/>
      <w:bookmarkStart w:id="229" w:name="_Toc127151728"/>
      <w:r/>
      <w:bookmarkStart w:id="230" w:name="_Toc164608641"/>
      <w:r/>
      <w:bookmarkStart w:id="231" w:name="_Toc264969217"/>
      <w:r/>
      <w:bookmarkStart w:id="232" w:name="_Toc226965717"/>
      <w:r/>
      <w:bookmarkStart w:id="233" w:name="_Toc151193915"/>
      <w:r/>
      <w:bookmarkStart w:id="234" w:name="_Toc226337223"/>
      <w:r/>
      <w:bookmarkStart w:id="235" w:name="_Toc305158795"/>
      <w:r/>
      <w:bookmarkStart w:id="236" w:name="_Toc151190154"/>
      <w:r/>
      <w:bookmarkStart w:id="237" w:name="_Toc226309771"/>
      <w:r/>
      <w:bookmarkStart w:id="238" w:name="_Toc150480765"/>
      <w:r/>
      <w:bookmarkStart w:id="239" w:name="_Toc520356151"/>
      <w:r/>
      <w:bookmarkStart w:id="240" w:name="_Toc150774732"/>
      <w:r/>
      <w:bookmarkStart w:id="241" w:name="_Toc127161441"/>
      <w:r/>
      <w:bookmarkStart w:id="242" w:name="_Toc305158869"/>
      <w:r/>
      <w:bookmarkStart w:id="243" w:name="_Toc151193841"/>
      <w:r/>
      <w:bookmarkStart w:id="244" w:name="_Toc142311029"/>
      <w:r/>
      <w:bookmarkStart w:id="245" w:name="_Toc151193625"/>
      <w:r/>
      <w:bookmarkStart w:id="246" w:name="_Toc127151527"/>
      <w:r/>
      <w:bookmarkStart w:id="247" w:name="_Toc150509278"/>
      <w:r/>
      <w:bookmarkStart w:id="248" w:name="_Toc164229368"/>
      <w:r/>
      <w:bookmarkStart w:id="249" w:name="_Toc164229222"/>
      <w:r/>
      <w:bookmarkStart w:id="250" w:name="_Toc265228365"/>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27151729"/>
      <w:r/>
      <w:bookmarkStart w:id="252" w:name="_Toc142311030"/>
      <w:r/>
      <w:bookmarkStart w:id="253" w:name="_Toc127161442"/>
      <w:r/>
      <w:bookmarkStart w:id="254" w:name="_Toc164608797"/>
      <w:r/>
      <w:bookmarkStart w:id="255" w:name="_Toc305158870"/>
      <w:r/>
      <w:bookmarkStart w:id="256" w:name="_Toc151193698"/>
      <w:r/>
      <w:bookmarkStart w:id="257" w:name="_Toc164608642"/>
      <w:r/>
      <w:bookmarkStart w:id="258" w:name="_Toc516367022"/>
      <w:r/>
      <w:bookmarkStart w:id="259" w:name="_Ref467306195"/>
      <w:r/>
      <w:bookmarkStart w:id="260" w:name="_Ref467306676"/>
      <w:r/>
      <w:bookmarkStart w:id="261" w:name="_Toc149720821"/>
      <w:r/>
      <w:bookmarkStart w:id="262" w:name="_Toc151190155"/>
      <w:r/>
      <w:bookmarkStart w:id="263" w:name="_Toc520356152"/>
      <w:r/>
      <w:bookmarkStart w:id="264" w:name="_Toc151193770"/>
      <w:r/>
      <w:bookmarkStart w:id="265" w:name="_Toc226337224"/>
      <w:r/>
      <w:bookmarkStart w:id="266" w:name="_Toc127151528"/>
      <w:r/>
      <w:bookmarkStart w:id="267" w:name="_Toc226965718"/>
      <w:r/>
      <w:bookmarkStart w:id="268" w:name="_Toc164229223"/>
      <w:r/>
      <w:bookmarkStart w:id="269" w:name="_Toc150774733"/>
      <w:r/>
      <w:bookmarkStart w:id="270" w:name="_Toc265228366"/>
      <w:r/>
      <w:bookmarkStart w:id="271" w:name="_Toc151193626"/>
      <w:r/>
      <w:bookmarkStart w:id="272" w:name="_Toc264969218"/>
      <w:r/>
      <w:bookmarkStart w:id="273" w:name="_Toc151193842"/>
      <w:r/>
      <w:bookmarkStart w:id="274" w:name="_Toc305158796"/>
      <w:r/>
      <w:bookmarkStart w:id="275" w:name="_Toc150509279"/>
      <w:r/>
      <w:bookmarkStart w:id="276" w:name="_Toc226965801"/>
      <w:r/>
      <w:bookmarkStart w:id="277" w:name="_Toc164229369"/>
      <w:r/>
      <w:bookmarkStart w:id="278" w:name="_Toc195842893"/>
      <w:r/>
      <w:bookmarkStart w:id="279" w:name="_Toc150480766"/>
      <w:r/>
      <w:bookmarkStart w:id="280" w:name="_Toc151193916"/>
      <w:r/>
      <w:bookmarkStart w:id="281" w:name="_Toc150774628"/>
      <w:r/>
      <w:bookmarkStart w:id="282" w:name="_Toc164351622"/>
      <w:r/>
      <w:bookmarkStart w:id="283" w:name="_Toc22630977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27151530"/>
      <w:r/>
      <w:bookmarkStart w:id="286" w:name="_Toc150774630"/>
      <w:r/>
      <w:bookmarkStart w:id="287" w:name="_Toc151193844"/>
      <w:r/>
      <w:bookmarkStart w:id="288" w:name="_Toc127151731"/>
      <w:r/>
      <w:bookmarkStart w:id="289" w:name="_Toc151193700"/>
      <w:r/>
      <w:bookmarkStart w:id="290" w:name="_Toc151193918"/>
      <w:r/>
      <w:bookmarkStart w:id="291" w:name="_Toc164229371"/>
      <w:r/>
      <w:bookmarkStart w:id="292" w:name="_Toc151190157"/>
      <w:r/>
      <w:bookmarkStart w:id="293" w:name="_Toc151193772"/>
      <w:r/>
      <w:bookmarkStart w:id="294" w:name="_Toc164608799"/>
      <w:r/>
      <w:bookmarkStart w:id="295" w:name="_Toc150509281"/>
      <w:r/>
      <w:bookmarkStart w:id="296" w:name="_Toc150774735"/>
      <w:r/>
      <w:bookmarkStart w:id="297" w:name="_Toc195842895"/>
      <w:r/>
      <w:bookmarkStart w:id="298" w:name="_Toc142311032"/>
      <w:r/>
      <w:bookmarkStart w:id="299" w:name="_Toc164351624"/>
      <w:r/>
      <w:bookmarkStart w:id="300" w:name="_Toc149720823"/>
      <w:r/>
      <w:bookmarkStart w:id="301" w:name="_Toc164229225"/>
      <w:r/>
      <w:bookmarkStart w:id="302" w:name="_Toc127161444"/>
      <w:r/>
      <w:bookmarkStart w:id="303" w:name="_Toc150480768"/>
      <w:r/>
      <w:bookmarkStart w:id="304" w:name="_Toc151193628"/>
      <w:r/>
      <w:bookmarkStart w:id="305" w:name="_Toc520356155"/>
      <w:r/>
      <w:bookmarkStart w:id="306" w:name="_Toc164608644"/>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351625"/>
      <w:r/>
      <w:bookmarkStart w:id="308" w:name="_Toc305158873"/>
      <w:r/>
      <w:bookmarkStart w:id="309" w:name="_Toc151193701"/>
      <w:r/>
      <w:bookmarkStart w:id="310" w:name="_Toc151193773"/>
      <w:r/>
      <w:bookmarkStart w:id="311" w:name="_Toc151190158"/>
      <w:r/>
      <w:bookmarkStart w:id="312" w:name="_Toc142311033"/>
      <w:r/>
      <w:bookmarkStart w:id="313" w:name="_Toc264969221"/>
      <w:r/>
      <w:bookmarkStart w:id="314" w:name="_Toc164608645"/>
      <w:r/>
      <w:bookmarkStart w:id="315" w:name="_Toc150509282"/>
      <w:r/>
      <w:bookmarkStart w:id="316" w:name="_Toc305158799"/>
      <w:r/>
      <w:bookmarkStart w:id="317" w:name="_Toc520356156"/>
      <w:r/>
      <w:bookmarkStart w:id="318" w:name="_Toc164608800"/>
      <w:r/>
      <w:bookmarkStart w:id="319" w:name="_Toc226965721"/>
      <w:r/>
      <w:bookmarkStart w:id="320" w:name="_Toc226965804"/>
      <w:r/>
      <w:bookmarkStart w:id="321" w:name="_Toc127151732"/>
      <w:r/>
      <w:bookmarkStart w:id="322" w:name="_Toc127151531"/>
      <w:r/>
      <w:bookmarkStart w:id="323" w:name="_Toc265228369"/>
      <w:r/>
      <w:bookmarkStart w:id="324" w:name="_Toc164229226"/>
      <w:r/>
      <w:bookmarkStart w:id="325" w:name="_Toc150480769"/>
      <w:r/>
      <w:bookmarkStart w:id="326" w:name="_Toc151193629"/>
      <w:r/>
      <w:bookmarkStart w:id="327" w:name="_Toc195842896"/>
      <w:r/>
      <w:bookmarkStart w:id="328" w:name="_Toc226309775"/>
      <w:r/>
      <w:bookmarkStart w:id="329" w:name="_Toc226337227"/>
      <w:r/>
      <w:bookmarkStart w:id="330" w:name="_Toc164229372"/>
      <w:r/>
      <w:bookmarkStart w:id="331" w:name="_Toc151193919"/>
      <w:r/>
      <w:bookmarkStart w:id="332" w:name="_Toc149720824"/>
      <w:r/>
      <w:bookmarkStart w:id="333" w:name="_Toc151193845"/>
      <w:r/>
      <w:bookmarkStart w:id="334" w:name="_Ref467306513"/>
      <w:r/>
      <w:bookmarkStart w:id="335" w:name="_Toc150774736"/>
      <w:r/>
      <w:bookmarkStart w:id="336" w:name="_Toc150774631"/>
      <w:r/>
      <w:bookmarkStart w:id="337" w:name="_Toc127161445"/>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68"/>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774632"/>
      <w:r/>
      <w:bookmarkStart w:id="339" w:name="_Toc151190159"/>
      <w:r/>
      <w:bookmarkStart w:id="340" w:name="_Toc150509283"/>
      <w:r/>
      <w:bookmarkStart w:id="341" w:name="_Toc164351626"/>
      <w:r/>
      <w:bookmarkStart w:id="342" w:name="_Toc265228370"/>
      <w:r/>
      <w:bookmarkStart w:id="343" w:name="_Toc142311034"/>
      <w:r/>
      <w:bookmarkStart w:id="344" w:name="_Toc226965722"/>
      <w:r/>
      <w:bookmarkStart w:id="345" w:name="_Toc226965805"/>
      <w:r/>
      <w:bookmarkStart w:id="346" w:name="_Toc226337228"/>
      <w:r/>
      <w:bookmarkStart w:id="347" w:name="_Toc127151733"/>
      <w:r/>
      <w:bookmarkStart w:id="348" w:name="_Toc305158874"/>
      <w:r/>
      <w:bookmarkStart w:id="349" w:name="_Toc305158800"/>
      <w:r/>
      <w:bookmarkStart w:id="350" w:name="_Toc520356157"/>
      <w:r/>
      <w:bookmarkStart w:id="351" w:name="_Toc127151532"/>
      <w:r/>
      <w:bookmarkStart w:id="352" w:name="_Toc264969222"/>
      <w:r/>
      <w:bookmarkStart w:id="353" w:name="_Toc151193846"/>
      <w:r/>
      <w:bookmarkStart w:id="354" w:name="_Toc150774737"/>
      <w:r/>
      <w:bookmarkStart w:id="355" w:name="_Toc164229373"/>
      <w:r/>
      <w:bookmarkStart w:id="356" w:name="_Toc151193920"/>
      <w:r/>
      <w:bookmarkStart w:id="357" w:name="_Toc127161446"/>
      <w:r/>
      <w:bookmarkStart w:id="358" w:name="_Toc164229227"/>
      <w:r/>
      <w:bookmarkStart w:id="359" w:name="_Toc226309776"/>
      <w:r/>
      <w:bookmarkStart w:id="360" w:name="_Toc195842897"/>
      <w:r/>
      <w:bookmarkStart w:id="361" w:name="_Toc149720825"/>
      <w:r/>
      <w:bookmarkStart w:id="362" w:name="_Toc151193702"/>
      <w:r/>
      <w:bookmarkStart w:id="363" w:name="_Toc151193630"/>
      <w:r/>
      <w:bookmarkStart w:id="364" w:name="_Toc150480770"/>
      <w:r/>
      <w:bookmarkStart w:id="365" w:name="_Toc164608646"/>
      <w:r/>
      <w:bookmarkStart w:id="366" w:name="_Toc164608801"/>
      <w:r/>
      <w:bookmarkStart w:id="367" w:name="_Toc151193774"/>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27151533"/>
      <w:r/>
      <w:bookmarkStart w:id="369" w:name="_Toc164608647"/>
      <w:r/>
      <w:bookmarkStart w:id="370" w:name="_Toc150509284"/>
      <w:r/>
      <w:bookmarkStart w:id="371" w:name="_Toc151193631"/>
      <w:r/>
      <w:bookmarkStart w:id="372" w:name="_Toc195842898"/>
      <w:r/>
      <w:bookmarkStart w:id="373" w:name="_Toc226965723"/>
      <w:r/>
      <w:bookmarkStart w:id="374" w:name="_Toc149720826"/>
      <w:r/>
      <w:bookmarkStart w:id="375" w:name="_Toc164351627"/>
      <w:r/>
      <w:bookmarkStart w:id="376" w:name="_Toc520356158"/>
      <w:r/>
      <w:bookmarkStart w:id="377" w:name="_Toc264969223"/>
      <w:r/>
      <w:bookmarkStart w:id="378" w:name="_Toc226309777"/>
      <w:r/>
      <w:bookmarkStart w:id="379" w:name="_Toc151193775"/>
      <w:r/>
      <w:bookmarkStart w:id="380" w:name="_Toc151193847"/>
      <w:r/>
      <w:bookmarkStart w:id="381" w:name="_Toc265228371"/>
      <w:r/>
      <w:bookmarkStart w:id="382" w:name="_Toc151193703"/>
      <w:r/>
      <w:bookmarkStart w:id="383" w:name="_Toc127151734"/>
      <w:r/>
      <w:bookmarkStart w:id="384" w:name="_Toc142311035"/>
      <w:r/>
      <w:bookmarkStart w:id="385" w:name="_Toc226337229"/>
      <w:r/>
      <w:bookmarkStart w:id="386" w:name="_Toc226965806"/>
      <w:r/>
      <w:bookmarkStart w:id="387" w:name="_Toc150774738"/>
      <w:r/>
      <w:bookmarkStart w:id="388" w:name="_Toc151193921"/>
      <w:r/>
      <w:bookmarkStart w:id="389" w:name="_Toc150480771"/>
      <w:r/>
      <w:bookmarkStart w:id="390" w:name="_Toc151190160"/>
      <w:r/>
      <w:bookmarkStart w:id="391" w:name="_Toc164229228"/>
      <w:r/>
      <w:bookmarkStart w:id="392" w:name="_Toc164608802"/>
      <w:r/>
      <w:bookmarkStart w:id="393" w:name="_Toc305158801"/>
      <w:r/>
      <w:bookmarkStart w:id="394" w:name="_Toc164229374"/>
      <w:r/>
      <w:bookmarkStart w:id="395" w:name="_Toc305158875"/>
      <w:r/>
      <w:bookmarkStart w:id="396" w:name="_Toc150774633"/>
      <w:r/>
      <w:bookmarkStart w:id="397" w:name="_Toc127161447"/>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305158876"/>
      <w:r/>
      <w:bookmarkStart w:id="399" w:name="_Toc150509285"/>
      <w:r/>
      <w:bookmarkStart w:id="400" w:name="_Toc150774739"/>
      <w:r/>
      <w:bookmarkStart w:id="401" w:name="_Toc151193848"/>
      <w:r/>
      <w:bookmarkStart w:id="402" w:name="_Toc520356159"/>
      <w:r/>
      <w:bookmarkStart w:id="403" w:name="_Toc150774634"/>
      <w:r/>
      <w:bookmarkStart w:id="404" w:name="_Toc305158802"/>
      <w:r/>
      <w:bookmarkStart w:id="405" w:name="_Toc226309778"/>
      <w:r/>
      <w:bookmarkStart w:id="406" w:name="_Toc151193922"/>
      <w:r/>
      <w:bookmarkStart w:id="407" w:name="_Toc265228372"/>
      <w:r/>
      <w:bookmarkStart w:id="408" w:name="_Toc226337230"/>
      <w:r/>
      <w:bookmarkStart w:id="409" w:name="_Toc195842899"/>
      <w:r/>
      <w:bookmarkStart w:id="410" w:name="_Toc264969224"/>
      <w:r/>
      <w:bookmarkStart w:id="411" w:name="_Toc151193704"/>
      <w:r/>
      <w:bookmarkStart w:id="412" w:name="_Toc127151534"/>
      <w:r/>
      <w:bookmarkStart w:id="413" w:name="_Toc142311036"/>
      <w:r/>
      <w:bookmarkStart w:id="414" w:name="_Toc151193776"/>
      <w:r/>
      <w:bookmarkStart w:id="415" w:name="_Toc151193632"/>
      <w:r/>
      <w:bookmarkStart w:id="416" w:name="_Toc150480772"/>
      <w:r/>
      <w:bookmarkStart w:id="417" w:name="_Toc151190161"/>
      <w:r/>
      <w:bookmarkStart w:id="418" w:name="_Toc226965724"/>
      <w:r/>
      <w:bookmarkStart w:id="419" w:name="_Toc226965807"/>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68"/>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0"/>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64608649"/>
      <w:r/>
      <w:bookmarkStart w:id="421" w:name="_Toc305158877"/>
      <w:r/>
      <w:bookmarkStart w:id="422" w:name="_Toc164229376"/>
      <w:r/>
      <w:bookmarkStart w:id="423" w:name="_Toc265228373"/>
      <w:r/>
      <w:bookmarkStart w:id="424" w:name="_Toc150509286"/>
      <w:r/>
      <w:bookmarkStart w:id="425" w:name="_Toc195842900"/>
      <w:r/>
      <w:bookmarkStart w:id="426" w:name="_Toc151193633"/>
      <w:r/>
      <w:bookmarkStart w:id="427" w:name="_Toc151193849"/>
      <w:r/>
      <w:bookmarkStart w:id="428" w:name="_Toc151193923"/>
      <w:r/>
      <w:bookmarkStart w:id="429" w:name="_Toc164351629"/>
      <w:r/>
      <w:bookmarkStart w:id="430" w:name="_Toc150774740"/>
      <w:r/>
      <w:bookmarkStart w:id="431" w:name="_Toc127161449"/>
      <w:r/>
      <w:bookmarkStart w:id="432" w:name="_Toc164608804"/>
      <w:r/>
      <w:bookmarkStart w:id="433" w:name="_Toc127151535"/>
      <w:r/>
      <w:bookmarkStart w:id="434" w:name="_Toc151193705"/>
      <w:r/>
      <w:bookmarkStart w:id="435" w:name="_Toc226965808"/>
      <w:r/>
      <w:bookmarkStart w:id="436" w:name="_Toc520356160"/>
      <w:r/>
      <w:bookmarkStart w:id="437" w:name="_Toc149720828"/>
      <w:r/>
      <w:bookmarkStart w:id="438" w:name="_Toc151190162"/>
      <w:r/>
      <w:bookmarkStart w:id="439" w:name="_Toc150480773"/>
      <w:r/>
      <w:bookmarkStart w:id="440" w:name="_Toc127151736"/>
      <w:r/>
      <w:bookmarkStart w:id="441" w:name="_Toc151193777"/>
      <w:r/>
      <w:bookmarkStart w:id="442" w:name="_Toc142311037"/>
      <w:r/>
      <w:bookmarkStart w:id="443" w:name="_Toc226309779"/>
      <w:r/>
      <w:bookmarkStart w:id="444" w:name="_Toc164229230"/>
      <w:r/>
      <w:bookmarkStart w:id="445" w:name="_Toc150774635"/>
      <w:r/>
      <w:bookmarkStart w:id="446" w:name="_Toc226965725"/>
      <w:r/>
      <w:bookmarkStart w:id="447" w:name="_Toc264969225"/>
      <w:r/>
      <w:bookmarkStart w:id="448" w:name="_Toc305158803"/>
      <w:r/>
      <w:bookmarkStart w:id="449" w:name="_Toc226337231"/>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309780"/>
      <w:r/>
      <w:bookmarkStart w:id="451" w:name="_Toc305158878"/>
      <w:r/>
      <w:bookmarkStart w:id="452" w:name="_Toc151193924"/>
      <w:r/>
      <w:bookmarkStart w:id="453" w:name="_Toc264969226"/>
      <w:r/>
      <w:bookmarkStart w:id="454" w:name="_Toc150774741"/>
      <w:r/>
      <w:bookmarkStart w:id="455" w:name="_Toc520356161"/>
      <w:r/>
      <w:bookmarkStart w:id="456" w:name="_Toc151193850"/>
      <w:r/>
      <w:bookmarkStart w:id="457" w:name="_Toc127151536"/>
      <w:r/>
      <w:bookmarkStart w:id="458" w:name="_Toc150774636"/>
      <w:r/>
      <w:bookmarkStart w:id="459" w:name="_Toc142311038"/>
      <w:r/>
      <w:bookmarkStart w:id="460" w:name="_Toc164608650"/>
      <w:r/>
      <w:bookmarkStart w:id="461" w:name="_Toc164351630"/>
      <w:r/>
      <w:bookmarkStart w:id="462" w:name="_Toc164229231"/>
      <w:r/>
      <w:bookmarkStart w:id="463" w:name="_Toc127151737"/>
      <w:r/>
      <w:bookmarkStart w:id="464" w:name="_Toc150480774"/>
      <w:r/>
      <w:bookmarkStart w:id="465" w:name="_Toc164229377"/>
      <w:r/>
      <w:bookmarkStart w:id="466" w:name="_Toc127161450"/>
      <w:r/>
      <w:bookmarkStart w:id="467" w:name="_Toc151193778"/>
      <w:r/>
      <w:bookmarkStart w:id="468" w:name="_Toc151190163"/>
      <w:r/>
      <w:bookmarkStart w:id="469" w:name="_Toc151193706"/>
      <w:r/>
      <w:bookmarkStart w:id="470" w:name="_Toc265228374"/>
      <w:r/>
      <w:bookmarkStart w:id="471" w:name="_Toc149720829"/>
      <w:r/>
      <w:bookmarkStart w:id="472" w:name="_Toc195842901"/>
      <w:r/>
      <w:bookmarkStart w:id="473" w:name="_Toc226337232"/>
      <w:r/>
      <w:bookmarkStart w:id="474" w:name="_Toc151193634"/>
      <w:r/>
      <w:bookmarkStart w:id="475" w:name="_Toc305158804"/>
      <w:r/>
      <w:bookmarkStart w:id="476" w:name="_Toc226965726"/>
      <w:r/>
      <w:bookmarkStart w:id="477" w:name="_Toc150509287"/>
      <w:r/>
      <w:bookmarkStart w:id="478" w:name="_Toc226965809"/>
      <w:r/>
      <w:bookmarkStart w:id="479" w:name="_Toc164608805"/>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0480775"/>
      <w:r/>
      <w:bookmarkStart w:id="481" w:name="_Toc164229378"/>
      <w:r/>
      <w:bookmarkStart w:id="482" w:name="_Toc142311039"/>
      <w:r/>
      <w:bookmarkStart w:id="483" w:name="_Toc164229232"/>
      <w:r/>
      <w:bookmarkStart w:id="484" w:name="_Toc150509288"/>
      <w:r/>
      <w:bookmarkStart w:id="485" w:name="_Toc151193779"/>
      <w:r/>
      <w:bookmarkStart w:id="486" w:name="_Toc151190164"/>
      <w:r/>
      <w:bookmarkStart w:id="487" w:name="_Toc226309781"/>
      <w:r/>
      <w:bookmarkStart w:id="488" w:name="_Toc305158879"/>
      <w:r/>
      <w:bookmarkStart w:id="489" w:name="_Toc164608651"/>
      <w:r/>
      <w:bookmarkStart w:id="490" w:name="_Toc264969227"/>
      <w:r/>
      <w:bookmarkStart w:id="491" w:name="_Toc520356162"/>
      <w:r/>
      <w:bookmarkStart w:id="492" w:name="_Toc127161451"/>
      <w:r/>
      <w:bookmarkStart w:id="493" w:name="_Toc226965810"/>
      <w:r/>
      <w:bookmarkStart w:id="494" w:name="_Toc226965727"/>
      <w:r/>
      <w:bookmarkStart w:id="495" w:name="_Toc150774742"/>
      <w:r/>
      <w:bookmarkStart w:id="496" w:name="_Toc305158805"/>
      <w:r/>
      <w:bookmarkStart w:id="497" w:name="_Toc164351631"/>
      <w:r/>
      <w:bookmarkStart w:id="498" w:name="_Toc226337233"/>
      <w:r/>
      <w:bookmarkStart w:id="499" w:name="_Toc151193925"/>
      <w:r/>
      <w:bookmarkStart w:id="500" w:name="_Toc164608806"/>
      <w:r/>
      <w:bookmarkStart w:id="501" w:name="_Toc265228375"/>
      <w:r/>
      <w:bookmarkStart w:id="502" w:name="_Toc127151537"/>
      <w:r/>
      <w:bookmarkStart w:id="503" w:name="_Toc151193851"/>
      <w:r/>
      <w:bookmarkStart w:id="504" w:name="_Toc149720830"/>
      <w:r/>
      <w:bookmarkStart w:id="505" w:name="_Toc127151738"/>
      <w:r/>
      <w:bookmarkStart w:id="506" w:name="_Toc151193635"/>
      <w:r/>
      <w:bookmarkStart w:id="507" w:name="_Toc150774637"/>
      <w:r/>
      <w:bookmarkStart w:id="508" w:name="_Toc195842902"/>
      <w:r/>
      <w:bookmarkStart w:id="509" w:name="_Toc151193707"/>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6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510" w:name="_Toc150774638"/>
      <w:r/>
      <w:bookmarkStart w:id="511" w:name="_Toc142311040"/>
      <w:r/>
      <w:bookmarkStart w:id="512" w:name="_Toc195842903"/>
      <w:r/>
      <w:bookmarkStart w:id="513" w:name="_Toc305158880"/>
      <w:r/>
      <w:bookmarkStart w:id="514" w:name="_Toc265228376"/>
      <w:r/>
      <w:bookmarkStart w:id="515" w:name="_Toc150774743"/>
      <w:r/>
      <w:bookmarkStart w:id="516" w:name="_Toc305158806"/>
      <w:r/>
      <w:bookmarkStart w:id="517" w:name="_Toc226309782"/>
      <w:r/>
      <w:bookmarkStart w:id="518" w:name="_Toc226965728"/>
      <w:r/>
      <w:bookmarkStart w:id="519" w:name="_Toc150480776"/>
      <w:r/>
      <w:bookmarkStart w:id="520" w:name="_Toc150509289"/>
      <w:r/>
      <w:bookmarkStart w:id="521" w:name="_Toc151193780"/>
      <w:r/>
      <w:bookmarkStart w:id="522" w:name="_Toc226337234"/>
      <w:r/>
      <w:bookmarkStart w:id="523" w:name="_Toc151193636"/>
      <w:r/>
      <w:bookmarkStart w:id="524" w:name="_Toc226965811"/>
      <w:r/>
      <w:bookmarkStart w:id="525" w:name="_Toc151190165"/>
      <w:r/>
      <w:bookmarkStart w:id="526" w:name="_Toc127151538"/>
      <w:r/>
      <w:bookmarkStart w:id="527" w:name="_Toc151193926"/>
      <w:r/>
      <w:bookmarkStart w:id="528" w:name="_Toc151193708"/>
      <w:r/>
      <w:bookmarkStart w:id="529" w:name="_Toc264969228"/>
      <w:r/>
      <w:bookmarkStart w:id="530" w:name="_Toc520356163"/>
      <w:r/>
      <w:bookmarkStart w:id="531" w:name="_Toc151193852"/>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64229380"/>
      <w:r/>
      <w:bookmarkStart w:id="533" w:name="_Toc151193927"/>
      <w:r/>
      <w:bookmarkStart w:id="534" w:name="_Toc226337235"/>
      <w:r/>
      <w:bookmarkStart w:id="535" w:name="_Toc305158881"/>
      <w:r/>
      <w:bookmarkStart w:id="536" w:name="_Toc151193709"/>
      <w:r/>
      <w:bookmarkStart w:id="537" w:name="_Toc265228377"/>
      <w:r/>
      <w:bookmarkStart w:id="538" w:name="_Toc142311041"/>
      <w:r/>
      <w:bookmarkStart w:id="539" w:name="_Toc164351633"/>
      <w:r/>
      <w:bookmarkStart w:id="540" w:name="_Toc264969229"/>
      <w:r/>
      <w:bookmarkStart w:id="541" w:name="_Toc164608653"/>
      <w:r/>
      <w:bookmarkStart w:id="542" w:name="_Toc226965729"/>
      <w:r/>
      <w:bookmarkStart w:id="543" w:name="_Toc195842904"/>
      <w:r/>
      <w:bookmarkStart w:id="544" w:name="_Toc150774744"/>
      <w:r/>
      <w:bookmarkStart w:id="545" w:name="_Toc150509290"/>
      <w:r/>
      <w:bookmarkStart w:id="546" w:name="_Toc151193781"/>
      <w:r/>
      <w:bookmarkStart w:id="547" w:name="_Toc151193637"/>
      <w:r/>
      <w:bookmarkStart w:id="548" w:name="_Toc164608808"/>
      <w:r/>
      <w:bookmarkStart w:id="549" w:name="_Toc149720832"/>
      <w:r/>
      <w:bookmarkStart w:id="550" w:name="_Toc150774639"/>
      <w:r/>
      <w:bookmarkStart w:id="551" w:name="_Toc150480777"/>
      <w:r/>
      <w:bookmarkStart w:id="552" w:name="_Toc520356164"/>
      <w:r/>
      <w:bookmarkStart w:id="553" w:name="_Toc151190166"/>
      <w:r/>
      <w:bookmarkStart w:id="554" w:name="_Toc226965812"/>
      <w:r/>
      <w:bookmarkStart w:id="555" w:name="_Toc127151740"/>
      <w:r/>
      <w:bookmarkStart w:id="556" w:name="_Toc127151539"/>
      <w:r/>
      <w:bookmarkStart w:id="557" w:name="_Toc151193853"/>
      <w:r/>
      <w:bookmarkStart w:id="558" w:name="_Toc164229234"/>
      <w:r/>
      <w:bookmarkStart w:id="559" w:name="_Toc127161453"/>
      <w:r/>
      <w:bookmarkStart w:id="560" w:name="_Toc305158807"/>
      <w:r/>
      <w:bookmarkStart w:id="561" w:name="_Toc226309783"/>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68"/>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68"/>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68"/>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638"/>
      <w:r/>
      <w:bookmarkStart w:id="564" w:name="_Toc305158882"/>
      <w:r/>
      <w:bookmarkStart w:id="565" w:name="_Toc164608654"/>
      <w:r/>
      <w:bookmarkStart w:id="566" w:name="_Toc226309784"/>
      <w:r/>
      <w:bookmarkStart w:id="567" w:name="_Toc226965730"/>
      <w:r/>
      <w:bookmarkStart w:id="568" w:name="_Toc127161454"/>
      <w:r/>
      <w:bookmarkStart w:id="569" w:name="_Toc151190167"/>
      <w:r/>
      <w:bookmarkStart w:id="570" w:name="_Toc264969230"/>
      <w:r/>
      <w:bookmarkStart w:id="571" w:name="_Toc151193782"/>
      <w:r/>
      <w:bookmarkStart w:id="572" w:name="_Toc265228378"/>
      <w:r/>
      <w:bookmarkStart w:id="573" w:name="_Toc142311042"/>
      <w:r/>
      <w:bookmarkStart w:id="574" w:name="_Toc226337236"/>
      <w:r/>
      <w:bookmarkStart w:id="575" w:name="_Toc164229235"/>
      <w:r/>
      <w:bookmarkStart w:id="576" w:name="_Toc305158808"/>
      <w:r/>
      <w:bookmarkStart w:id="577" w:name="_Toc195842905"/>
      <w:r/>
      <w:bookmarkStart w:id="578" w:name="_Toc226965813"/>
      <w:r/>
      <w:bookmarkStart w:id="579" w:name="_Toc151193854"/>
      <w:r/>
      <w:bookmarkStart w:id="580" w:name="_Toc151193928"/>
      <w:r/>
      <w:bookmarkStart w:id="581" w:name="_Toc150509291"/>
      <w:r/>
      <w:bookmarkStart w:id="582" w:name="_Toc164351634"/>
      <w:r/>
      <w:bookmarkStart w:id="583" w:name="_Toc150774745"/>
      <w:r/>
      <w:bookmarkStart w:id="584" w:name="_Toc150774640"/>
      <w:r/>
      <w:bookmarkStart w:id="585" w:name="_Toc127151741"/>
      <w:r/>
      <w:bookmarkStart w:id="586" w:name="_Toc127151540"/>
      <w:r/>
      <w:bookmarkStart w:id="587" w:name="_Toc164229381"/>
      <w:r/>
      <w:bookmarkStart w:id="588" w:name="_Toc150480778"/>
      <w:r/>
      <w:bookmarkStart w:id="589" w:name="_Toc151193710"/>
      <w:r/>
      <w:bookmarkStart w:id="590" w:name="_Toc164608809"/>
      <w:r/>
      <w:bookmarkStart w:id="591" w:name="_Toc149720833"/>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68"/>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ind w:firstLine="562"/>
        <w:spacing w:before="0" w:line="360" w:lineRule="auto"/>
        <w:rPr>
          <w:rFonts w:hint="eastAsia" w:ascii="宋体" w:hAnsi="宋体" w:eastAsia="宋体" w:cs="宋体"/>
          <w:color w:val="000000"/>
          <w:sz w:val="28"/>
          <w:highlight w:val="none"/>
        </w:rPr>
      </w:pPr>
      <w:r/>
      <w:bookmarkStart w:id="594" w:name="_Toc150774645"/>
      <w:r/>
      <w:bookmarkStart w:id="595" w:name="_Toc226965735"/>
      <w:r/>
      <w:bookmarkStart w:id="596" w:name="_Toc150480783"/>
      <w:r/>
      <w:bookmarkStart w:id="597" w:name="_Toc142311047"/>
      <w:r/>
      <w:bookmarkStart w:id="598" w:name="_Toc226965818"/>
      <w:r/>
      <w:bookmarkStart w:id="599" w:name="_Toc127151545"/>
      <w:r/>
      <w:bookmarkStart w:id="600" w:name="_Toc150509296"/>
      <w:r/>
      <w:bookmarkStart w:id="601" w:name="_Toc151193933"/>
      <w:r/>
      <w:bookmarkStart w:id="602" w:name="_Toc305158813"/>
      <w:r/>
      <w:bookmarkStart w:id="603" w:name="_Toc264969235"/>
      <w:r/>
      <w:bookmarkStart w:id="604" w:name="_Toc195842910"/>
      <w:r/>
      <w:bookmarkStart w:id="605" w:name="_Toc151193715"/>
      <w:r/>
      <w:bookmarkStart w:id="606" w:name="_Toc265228383"/>
      <w:r/>
      <w:bookmarkStart w:id="607" w:name="_Toc150774750"/>
      <w:r/>
      <w:bookmarkStart w:id="608" w:name="_Toc151193787"/>
      <w:r/>
      <w:bookmarkStart w:id="609" w:name="_Toc226309789"/>
      <w:r/>
      <w:bookmarkStart w:id="610" w:name="_Toc226337241"/>
      <w:r/>
      <w:bookmarkStart w:id="611" w:name="_Toc305158887"/>
      <w:r/>
      <w:bookmarkStart w:id="612" w:name="_Toc151190172"/>
      <w:r/>
      <w:bookmarkStart w:id="613" w:name="_Toc151193643"/>
      <w:r/>
      <w:bookmarkStart w:id="614" w:name="_Toc151193859"/>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4969237"/>
      <w:r/>
      <w:bookmarkStart w:id="616" w:name="_Toc164229242"/>
      <w:r/>
      <w:bookmarkStart w:id="617" w:name="_Toc305158815"/>
      <w:r/>
      <w:bookmarkStart w:id="618" w:name="_Toc150480785"/>
      <w:r/>
      <w:bookmarkStart w:id="619" w:name="_Toc226309791"/>
      <w:r/>
      <w:bookmarkStart w:id="620" w:name="_Toc127161461"/>
      <w:r/>
      <w:bookmarkStart w:id="621" w:name="_Toc151193861"/>
      <w:r/>
      <w:bookmarkStart w:id="622" w:name="_Toc226965737"/>
      <w:r/>
      <w:bookmarkStart w:id="623" w:name="_Toc151193717"/>
      <w:r/>
      <w:bookmarkStart w:id="624" w:name="_Toc151190174"/>
      <w:r/>
      <w:bookmarkStart w:id="625" w:name="_Toc151193935"/>
      <w:r/>
      <w:bookmarkStart w:id="626" w:name="_Toc151193645"/>
      <w:r/>
      <w:bookmarkStart w:id="627" w:name="_Toc164608816"/>
      <w:r/>
      <w:bookmarkStart w:id="628" w:name="_Toc164351641"/>
      <w:r/>
      <w:bookmarkStart w:id="629" w:name="_Toc127151748"/>
      <w:r/>
      <w:bookmarkStart w:id="630" w:name="_Toc150509298"/>
      <w:r/>
      <w:bookmarkStart w:id="631" w:name="_Toc265228385"/>
      <w:r/>
      <w:bookmarkStart w:id="632" w:name="_Toc150774647"/>
      <w:r/>
      <w:bookmarkStart w:id="633" w:name="_Toc305158889"/>
      <w:r/>
      <w:bookmarkStart w:id="634" w:name="_Toc142311049"/>
      <w:r/>
      <w:bookmarkStart w:id="635" w:name="_Toc127151547"/>
      <w:r/>
      <w:bookmarkStart w:id="636" w:name="_Toc226965820"/>
      <w:r/>
      <w:bookmarkStart w:id="637" w:name="_Toc151193789"/>
      <w:r/>
      <w:bookmarkStart w:id="638" w:name="_Toc150774752"/>
      <w:r/>
      <w:bookmarkStart w:id="639" w:name="_Toc195842912"/>
      <w:r/>
      <w:bookmarkStart w:id="640" w:name="_Toc164229388"/>
      <w:r/>
      <w:bookmarkStart w:id="641" w:name="_Toc149720840"/>
      <w:r/>
      <w:bookmarkStart w:id="642" w:name="_Toc226337243"/>
      <w:r/>
      <w:bookmarkStart w:id="643" w:name="_Toc164608661"/>
      <w:r>
        <w:rPr>
          <w:rFonts w:hint="eastAsia" w:ascii="宋体" w:hAnsi="宋体" w:eastAsia="宋体" w:cs="宋体"/>
          <w:color w:val="000000"/>
          <w:sz w:val="28"/>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0774754"/>
      <w:r/>
      <w:bookmarkStart w:id="645" w:name="_Toc151193719"/>
      <w:r/>
      <w:bookmarkStart w:id="646" w:name="_Toc265228387"/>
      <w:r/>
      <w:bookmarkStart w:id="647" w:name="_Toc305158891"/>
      <w:r/>
      <w:bookmarkStart w:id="648" w:name="_Toc226965822"/>
      <w:r/>
      <w:bookmarkStart w:id="649" w:name="_Toc164608818"/>
      <w:r/>
      <w:bookmarkStart w:id="650" w:name="_Toc264969239"/>
      <w:r/>
      <w:bookmarkStart w:id="651" w:name="_Toc164608663"/>
      <w:r/>
      <w:bookmarkStart w:id="652" w:name="_Ref467307090"/>
      <w:r/>
      <w:bookmarkStart w:id="653" w:name="_Toc520356176"/>
      <w:r/>
      <w:bookmarkStart w:id="654" w:name="_Ref467306425"/>
      <w:r/>
      <w:bookmarkStart w:id="655" w:name="_Toc151193937"/>
      <w:r/>
      <w:bookmarkStart w:id="656" w:name="_Toc151193863"/>
      <w:r/>
      <w:bookmarkStart w:id="657" w:name="_Toc151193791"/>
      <w:r/>
      <w:bookmarkStart w:id="658" w:name="_Toc142311051"/>
      <w:r/>
      <w:bookmarkStart w:id="659" w:name="_Toc151193647"/>
      <w:r/>
      <w:bookmarkStart w:id="660" w:name="_Toc164229390"/>
      <w:r/>
      <w:bookmarkStart w:id="661" w:name="_Toc305158817"/>
      <w:r/>
      <w:bookmarkStart w:id="662" w:name="_Toc150480787"/>
      <w:r/>
      <w:bookmarkStart w:id="663" w:name="_Toc150774649"/>
      <w:r/>
      <w:bookmarkStart w:id="664" w:name="_Toc127161463"/>
      <w:r/>
      <w:bookmarkStart w:id="665" w:name="_Toc226337245"/>
      <w:r/>
      <w:bookmarkStart w:id="666" w:name="_Toc164229244"/>
      <w:r/>
      <w:bookmarkStart w:id="667" w:name="_Toc149720842"/>
      <w:r/>
      <w:bookmarkStart w:id="668" w:name="_Toc164351643"/>
      <w:r/>
      <w:bookmarkStart w:id="669" w:name="_Toc226309793"/>
      <w:r/>
      <w:bookmarkStart w:id="670" w:name="_Toc226965739"/>
      <w:r/>
      <w:bookmarkStart w:id="671" w:name="_Toc151190176"/>
      <w:r/>
      <w:bookmarkStart w:id="672" w:name="_Toc127151750"/>
      <w:r/>
      <w:bookmarkStart w:id="673" w:name="_Toc127151549"/>
      <w:r/>
      <w:bookmarkStart w:id="674" w:name="_Toc150509300"/>
      <w:r/>
      <w:bookmarkStart w:id="675" w:name="_Toc195842914"/>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68"/>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229245"/>
      <w:r/>
      <w:bookmarkStart w:id="677" w:name="_Toc164608819"/>
      <w:r/>
      <w:bookmarkStart w:id="678" w:name="_Toc151190177"/>
      <w:r/>
      <w:bookmarkStart w:id="679" w:name="_Toc151193938"/>
      <w:r/>
      <w:bookmarkStart w:id="680" w:name="_Toc226337246"/>
      <w:r/>
      <w:bookmarkStart w:id="681" w:name="_Toc305158892"/>
      <w:r/>
      <w:bookmarkStart w:id="682" w:name="_Toc264969240"/>
      <w:r/>
      <w:bookmarkStart w:id="683" w:name="_Ref467307062"/>
      <w:r/>
      <w:bookmarkStart w:id="684" w:name="_Toc164229391"/>
      <w:r/>
      <w:bookmarkStart w:id="685" w:name="_Toc150774755"/>
      <w:r/>
      <w:bookmarkStart w:id="686" w:name="_Toc127151751"/>
      <w:r/>
      <w:bookmarkStart w:id="687" w:name="_Toc150509301"/>
      <w:r/>
      <w:bookmarkStart w:id="688" w:name="_Toc150774650"/>
      <w:r/>
      <w:bookmarkStart w:id="689" w:name="_Toc151193864"/>
      <w:r/>
      <w:bookmarkStart w:id="690" w:name="_Toc151193720"/>
      <w:r/>
      <w:bookmarkStart w:id="691" w:name="_Toc164351644"/>
      <w:r/>
      <w:bookmarkStart w:id="692" w:name="_Toc151193792"/>
      <w:r/>
      <w:bookmarkStart w:id="693" w:name="_Toc226309794"/>
      <w:r/>
      <w:bookmarkStart w:id="694" w:name="_Toc226965740"/>
      <w:r/>
      <w:bookmarkStart w:id="695" w:name="_Toc265228388"/>
      <w:r/>
      <w:bookmarkStart w:id="696" w:name="_Toc520356175"/>
      <w:r/>
      <w:bookmarkStart w:id="697" w:name="_Ref467306377"/>
      <w:r/>
      <w:bookmarkStart w:id="698" w:name="_Toc151193648"/>
      <w:r/>
      <w:bookmarkStart w:id="699" w:name="_Toc149720843"/>
      <w:r/>
      <w:bookmarkStart w:id="700" w:name="_Toc305158818"/>
      <w:r/>
      <w:bookmarkStart w:id="701" w:name="_Toc164608664"/>
      <w:r/>
      <w:bookmarkStart w:id="702" w:name="_Toc127161464"/>
      <w:r/>
      <w:bookmarkStart w:id="703" w:name="_Toc142311052"/>
      <w:r/>
      <w:bookmarkStart w:id="704" w:name="_Toc226965823"/>
      <w:r/>
      <w:bookmarkStart w:id="705" w:name="_Toc150480788"/>
      <w:r/>
      <w:bookmarkStart w:id="706" w:name="_Toc195842915"/>
      <w:r/>
      <w:bookmarkStart w:id="707" w:name="_Ref467306978"/>
      <w:r/>
      <w:bookmarkStart w:id="708" w:name="_Ref467307204"/>
      <w:r/>
      <w:bookmarkStart w:id="709" w:name="_Toc12715155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68"/>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3"/>
          <w:rFonts w:hint="eastAsia" w:ascii="宋体" w:hAnsi="宋体" w:cs="宋体"/>
          <w:color w:val="000000"/>
          <w:highlight w:val="none"/>
        </w:rPr>
        <w:t xml:space="preserve">http://gk</w:t>
      </w:r>
      <w:bookmarkStart w:id="710" w:name="_Hlt100654014"/>
      <w:r>
        <w:rPr>
          <w:rStyle w:val="1143"/>
          <w:rFonts w:hint="eastAsia" w:ascii="宋体" w:hAnsi="宋体" w:cs="宋体"/>
          <w:color w:val="000000"/>
          <w:highlight w:val="none"/>
        </w:rPr>
        <w:t xml:space="preserve">s</w:t>
      </w:r>
      <w:bookmarkEnd w:id="710"/>
      <w:r>
        <w:rPr>
          <w:rStyle w:val="1143"/>
          <w:rFonts w:hint="eastAsia" w:ascii="宋体" w:hAnsi="宋体" w:cs="宋体"/>
          <w:color w:val="000000"/>
          <w:highlight w:val="none"/>
        </w:rPr>
        <w:t xml:space="preserve">.m</w:t>
      </w:r>
      <w:bookmarkStart w:id="711" w:name="_Hlt100653993"/>
      <w:r/>
      <w:bookmarkStart w:id="712" w:name="_Hlt100653994"/>
      <w:r>
        <w:rPr>
          <w:rStyle w:val="1143"/>
          <w:rFonts w:hint="eastAsia" w:ascii="宋体" w:hAnsi="宋体" w:cs="宋体"/>
          <w:color w:val="000000"/>
          <w:highlight w:val="none"/>
        </w:rPr>
        <w:t xml:space="preserve">o</w:t>
      </w:r>
      <w:bookmarkEnd w:id="711"/>
      <w:r/>
      <w:bookmarkEnd w:id="712"/>
      <w:r>
        <w:rPr>
          <w:rStyle w:val="1143"/>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68"/>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68"/>
        <w:jc w:val="center"/>
        <w:spacing w:line="360" w:lineRule="auto"/>
        <w:rPr>
          <w:rFonts w:hint="eastAsia" w:ascii="宋体" w:hAnsi="宋体" w:cs="宋体"/>
          <w:b/>
          <w:color w:val="000000"/>
          <w:sz w:val="36"/>
          <w:szCs w:val="36"/>
          <w:highlight w:val="none"/>
        </w:rPr>
        <w:outlineLvl w:val="0"/>
      </w:pPr>
      <w:r/>
      <w:bookmarkStart w:id="713" w:name="_Toc226337250"/>
      <w:r/>
      <w:bookmarkStart w:id="714" w:name="_Toc305158896"/>
      <w:r/>
      <w:bookmarkStart w:id="715" w:name="_Toc353873664"/>
      <w:r/>
      <w:bookmarkStart w:id="716" w:name="_Toc353873934"/>
      <w:r/>
      <w:bookmarkStart w:id="717" w:name="_Toc142311056"/>
      <w:r/>
      <w:bookmarkStart w:id="718" w:name="_Toc264969244"/>
      <w:r/>
      <w:bookmarkStart w:id="719" w:name="_Toc150774759"/>
      <w:r/>
      <w:bookmarkStart w:id="720" w:name="_Toc127151554"/>
      <w:r/>
      <w:bookmarkStart w:id="721" w:name="_Toc305158822"/>
      <w:r/>
      <w:bookmarkStart w:id="722" w:name="_Toc265228392"/>
      <w:r/>
      <w:bookmarkStart w:id="723" w:name="_Toc353825544"/>
      <w:r/>
      <w:bookmarkStart w:id="724" w:name="_Toc226965827"/>
      <w:r/>
      <w:bookmarkStart w:id="725" w:name="_Toc15048079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68"/>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68"/>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68"/>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68"/>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highlight w:val="none"/>
              </w:rPr>
            </w:r>
            <w:r/>
          </w:p>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注2：残疾人福利性单位须按招标文件要求提供《残疾人福利性单位声明函》。</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68"/>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68"/>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68"/>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73940"/>
      <w:r/>
      <w:bookmarkStart w:id="732" w:name="_Toc127151779"/>
      <w:r/>
      <w:bookmarkStart w:id="733" w:name="_Toc226965858"/>
      <w:r/>
      <w:bookmarkStart w:id="734"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68"/>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68"/>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68"/>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65228379"/>
      <w:r/>
      <w:bookmarkStart w:id="738" w:name="_Toc150774746"/>
      <w:r/>
      <w:bookmarkStart w:id="739" w:name="_Toc151193639"/>
      <w:r/>
      <w:bookmarkStart w:id="740" w:name="_Toc305158809"/>
      <w:r/>
      <w:bookmarkStart w:id="741" w:name="_Toc264969231"/>
      <w:r/>
      <w:bookmarkStart w:id="742" w:name="_Toc151190168"/>
      <w:r/>
      <w:bookmarkStart w:id="743" w:name="_Toc151193855"/>
      <w:r/>
      <w:bookmarkStart w:id="744" w:name="_Toc149720834"/>
      <w:r/>
      <w:bookmarkStart w:id="745" w:name="_Toc150480779"/>
      <w:r/>
      <w:bookmarkStart w:id="746" w:name="_Toc127161455"/>
      <w:r/>
      <w:bookmarkStart w:id="747" w:name="_Toc226965814"/>
      <w:r/>
      <w:bookmarkStart w:id="748" w:name="_Toc164229382"/>
      <w:r/>
      <w:bookmarkStart w:id="749" w:name="_Toc150774641"/>
      <w:r/>
      <w:bookmarkStart w:id="750" w:name="_Toc127151742"/>
      <w:r/>
      <w:bookmarkStart w:id="751" w:name="_Toc164229236"/>
      <w:r/>
      <w:bookmarkStart w:id="752" w:name="_Toc142311043"/>
      <w:r/>
      <w:bookmarkStart w:id="753" w:name="_Toc151193929"/>
      <w:r/>
      <w:bookmarkStart w:id="754" w:name="_Toc127151541"/>
      <w:r/>
      <w:bookmarkStart w:id="755" w:name="_Toc226309785"/>
      <w:r/>
      <w:bookmarkStart w:id="756" w:name="_Toc164608655"/>
      <w:r/>
      <w:bookmarkStart w:id="757" w:name="_Toc195842906"/>
      <w:r/>
      <w:bookmarkStart w:id="758" w:name="_Toc164351635"/>
      <w:r/>
      <w:bookmarkStart w:id="759" w:name="_Toc226965731"/>
      <w:r/>
      <w:bookmarkStart w:id="760" w:name="_Toc226337237"/>
      <w:r/>
      <w:bookmarkStart w:id="761" w:name="_Toc151193711"/>
      <w:r/>
      <w:bookmarkStart w:id="762" w:name="_Toc305158883"/>
      <w:r/>
      <w:bookmarkStart w:id="763" w:name="_Toc150509292"/>
      <w:r/>
      <w:bookmarkStart w:id="764" w:name="_Toc151193783"/>
      <w:r/>
      <w:bookmarkStart w:id="765" w:name="_Toc164608810"/>
      <w:r/>
      <w:bookmarkStart w:id="766" w:name="_Toc353873941"/>
      <w:r/>
      <w:bookmarkStart w:id="767" w:name="_Toc353825551"/>
      <w:r/>
      <w:bookmarkStart w:id="768" w:name="_Toc353873665"/>
      <w:r/>
      <w:bookmarkStart w:id="769" w:name="_Toc305158897"/>
      <w:r/>
      <w:bookmarkStart w:id="770" w:name="_Toc150480793"/>
      <w:r/>
      <w:bookmarkStart w:id="771" w:name="_Toc353873935"/>
      <w:r/>
      <w:bookmarkStart w:id="772" w:name="_Toc142311057"/>
      <w:r/>
      <w:bookmarkStart w:id="773" w:name="_Toc195842920"/>
      <w:r/>
      <w:bookmarkStart w:id="774" w:name="_Toc127151555"/>
      <w:r/>
      <w:bookmarkStart w:id="775" w:name="_Toc353825545"/>
      <w:r/>
      <w:bookmarkStart w:id="776" w:name="_Toc226337251"/>
      <w:r/>
      <w:bookmarkStart w:id="777" w:name="_Toc305158823"/>
      <w:r/>
      <w:bookmarkStart w:id="778" w:name="_Toc265228393"/>
      <w:r/>
      <w:bookmarkStart w:id="779" w:name="_Toc264969245"/>
      <w:r/>
      <w:bookmarkStart w:id="780" w:name="_Toc150774760"/>
      <w:r/>
      <w:bookmarkStart w:id="781" w:name="_Toc226965828"/>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68"/>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68"/>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6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68"/>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68"/>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68"/>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6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6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68"/>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0774646"/>
      <w:r/>
      <w:bookmarkStart w:id="784" w:name="_Toc127161460"/>
      <w:r/>
      <w:bookmarkStart w:id="785" w:name="_Toc149720839"/>
      <w:r/>
      <w:bookmarkStart w:id="786" w:name="_Toc142311048"/>
      <w:r/>
      <w:bookmarkStart w:id="787" w:name="_Toc164229387"/>
      <w:r/>
      <w:bookmarkStart w:id="788" w:name="_Toc305158814"/>
      <w:r/>
      <w:bookmarkStart w:id="789" w:name="_Toc151193644"/>
      <w:r/>
      <w:bookmarkStart w:id="790" w:name="_Toc264969236"/>
      <w:r/>
      <w:bookmarkStart w:id="791" w:name="_Toc164229241"/>
      <w:r/>
      <w:bookmarkStart w:id="792" w:name="_Toc150480784"/>
      <w:r/>
      <w:bookmarkStart w:id="793" w:name="_Toc150774751"/>
      <w:r/>
      <w:bookmarkStart w:id="794" w:name="_Toc520356170"/>
      <w:r/>
      <w:bookmarkStart w:id="795" w:name="_Toc226337242"/>
      <w:r/>
      <w:bookmarkStart w:id="796" w:name="_Toc226309790"/>
      <w:r/>
      <w:bookmarkStart w:id="797" w:name="_Toc151193788"/>
      <w:r/>
      <w:bookmarkStart w:id="798" w:name="_Ref467307010"/>
      <w:r/>
      <w:bookmarkStart w:id="799" w:name="_Toc127151546"/>
      <w:r/>
      <w:bookmarkStart w:id="800" w:name="_Toc195842911"/>
      <w:r/>
      <w:bookmarkStart w:id="801" w:name="_Toc127151747"/>
      <w:r/>
      <w:bookmarkStart w:id="802" w:name="_Toc164608660"/>
      <w:r/>
      <w:bookmarkStart w:id="803" w:name="_Toc164608815"/>
      <w:r/>
      <w:bookmarkStart w:id="804" w:name="_Toc226965819"/>
      <w:r/>
      <w:bookmarkStart w:id="805" w:name="_Toc265228384"/>
      <w:r/>
      <w:bookmarkStart w:id="806" w:name="_Toc151193860"/>
      <w:r/>
      <w:bookmarkStart w:id="807" w:name="_Toc226965736"/>
      <w:r/>
      <w:bookmarkStart w:id="808" w:name="_Toc151190173"/>
      <w:r/>
      <w:bookmarkStart w:id="809" w:name="_Toc150509297"/>
      <w:r/>
      <w:bookmarkStart w:id="810" w:name="_Toc151193934"/>
      <w:r/>
      <w:bookmarkStart w:id="811" w:name="_Toc164351640"/>
      <w:r/>
      <w:bookmarkStart w:id="812" w:name="_Toc151193716"/>
      <w:r/>
      <w:bookmarkStart w:id="813" w:name="_Toc305158888"/>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68"/>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68"/>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68"/>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68"/>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418"/>
        <w:gridCol w:w="873"/>
        <w:gridCol w:w="3838"/>
        <w:gridCol w:w="2360"/>
      </w:tblGrid>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6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470"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06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270" w:type="dxa"/>
            <w:vAlign w:val="center"/>
            <w:textDirection w:val="lrTb"/>
            <w:noWrap w:val="false"/>
          </w:tcPr>
          <w:p>
            <w:pPr>
              <w:pStyle w:val="1312"/>
              <w:ind w:left="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76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470"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投标报价得分＝（评标基准价/投标报价）×分值。</w:t>
            </w: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6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470"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w:t>
            </w:r>
            <w:r>
              <w:rPr>
                <w:rFonts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763"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管理机构和管理制度</w:t>
            </w:r>
            <w:r>
              <w:rPr>
                <w:rFonts w:hint="eastAsia" w:ascii="宋体" w:hAnsi="宋体" w:eastAsia="宋体" w:cs="宋体"/>
                <w:color w:val="000000"/>
                <w:sz w:val="24"/>
                <w:szCs w:val="24"/>
                <w:highlight w:val="none"/>
                <w:shd w:val="clear" w:color="auto" w:fill="auto"/>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有完整的管理机构配备</w:t>
            </w:r>
            <w:r>
              <w:rPr>
                <w:rFonts w:hint="eastAsia" w:ascii="宋体" w:hAnsi="宋体" w:eastAsia="宋体" w:cs="宋体"/>
                <w:color w:val="000000"/>
                <w:sz w:val="24"/>
                <w:szCs w:val="24"/>
                <w:highlight w:val="none"/>
                <w:lang w:val="en-US" w:eastAsia="zh-CN"/>
              </w:rPr>
              <w:t xml:space="preserve">以及管理平台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绿化养护人员组织及落实制度（方案内容包括：项目部组织网络；作业落实制度具体人员的权责、分工描述、作业时间、巡查检查制度，有奖惩措施；巡查时间安排合理措施及巡查资料上报准确性、及时措施，并承诺绿地发生破坏或侵占第一时间上报制度）；</w:t>
            </w:r>
            <w:r>
              <w:rPr>
                <w:rFonts w:hint="eastAsia" w:ascii="宋体" w:hAnsi="宋体" w:eastAsia="宋体" w:cs="宋体"/>
                <w:color w:val="000000"/>
                <w:sz w:val="24"/>
                <w:szCs w:val="24"/>
                <w:highlight w:val="none"/>
              </w:rPr>
              <w:t xml:space="preserve">有员工录用、考核和淘汰制度和员工培训计划。方案内容包括上述要求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方案针对性、操作性强，计划安排合理的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方案针对性、操作性较强，计划安排较为合理</w:t>
            </w:r>
            <w:r>
              <w:rPr>
                <w:rFonts w:hint="eastAsia" w:ascii="宋体" w:hAnsi="宋体" w:eastAsia="宋体" w:cs="宋体"/>
                <w:color w:val="000000"/>
                <w:sz w:val="24"/>
                <w:szCs w:val="24"/>
                <w:highlight w:val="none"/>
                <w:lang w:eastAsia="zh-CN"/>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方案针对性、操作性一般，计划安排不够合理的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未提供方案不得分。</w:t>
            </w:r>
            <w:r>
              <w:rPr>
                <w:rFonts w:hint="eastAsia" w:ascii="宋体" w:hAnsi="宋体" w:eastAsia="宋体" w:cs="宋体"/>
                <w:color w:val="000000"/>
                <w:sz w:val="24"/>
                <w:szCs w:val="24"/>
                <w:highlight w:val="none"/>
                <w:shd w:val="clear" w:color="auto" w:fill="auto"/>
                <w:lang w:val="en-US" w:eastAsia="zh-CN" w:bidi="ar-SA"/>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lang w:val="en-US" w:eastAsia="zh-CN"/>
              </w:rPr>
              <w:t xml:space="preserve">绿化养护方案</w:t>
            </w:r>
            <w:r>
              <w:rPr>
                <w:rFonts w:hint="eastAsia" w:ascii="宋体" w:hAnsi="宋体" w:eastAsia="宋体" w:cs="宋体"/>
                <w:color w:val="000000"/>
                <w:sz w:val="24"/>
                <w:szCs w:val="24"/>
                <w:highlight w:val="none"/>
                <w:shd w:val="clear" w:color="auto" w:fill="auto"/>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根据投标人提供的绿化养护方案进行评审：</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（1）绿化养护常规作业组织方案：</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方案针对性、操作性强，计划安排合理的，得2分；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方案针对性、操作性较强，计划安排较为合理的，得1.5分；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方案针对性、操作性一般，计划安排不够合理的，得1分；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（2）提供有详细的全年病虫害防治计划，针对常发性病害和虫害，制定科学合理的病虫害防治月历；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方案内容包括上述要求，且满足招标文件要求的，得2分；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方案基本满足招标需求的，得1.5分；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方案较差或有明显缺项的，得1分；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（3）提供根据养护区域、季节采取相应除草措施，有响应养护月历的浇水、排水要求，根据生长规律制定出有效的施肥方案；</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方案内容包括上述要求，且满足招标文件要求的，得2分；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方案基本满足招标需求的，得1.5分；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方案较差或有明显缺项的，得1分；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（4）根据巡视时间安排，巡视资料上报确保准确、及时的方案，绿地发生破坏或侵占第一时间上报的方案，相关制度和实施等方案进行综合评审；</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方案完整、能完全满足项目实施要求的，得2分；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方案较具体、能基本满足项目实施要求的，得1.5分；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方案内容较差、无针对性的，得1分；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（5）根据绿化补种措施（绿化补种含绿化踩踏、缺株、死株更换、绿地种菜恢复、无手续行政开挖恢复等所有绿化补种）等方案进行综合评审：</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方案完整、能完全满足项目实施要求的，得2分；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方案较具体、能基本满足项目实施要求的，得1.5分；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方案内容较差、无针对性的，得1分；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shd w:val="clear" w:color="auto" w:fill="auto"/>
                <w:lang w:val="en-US" w:eastAsia="zh-CN" w:bidi="ar-SA"/>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lang w:val="en-US" w:eastAsia="zh-CN"/>
              </w:rPr>
              <w:t xml:space="preserve">重点特色树种及其他乔灌草的修剪措施</w:t>
            </w:r>
            <w:r>
              <w:rPr>
                <w:rFonts w:hint="eastAsia" w:ascii="宋体" w:hAnsi="宋体" w:eastAsia="宋体" w:cs="宋体"/>
                <w:color w:val="000000"/>
                <w:sz w:val="24"/>
                <w:szCs w:val="24"/>
                <w:highlight w:val="none"/>
                <w:shd w:val="clear" w:color="auto" w:fill="auto"/>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重点特色树种及其他乔灌草的修剪措施：</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（1）提供针对不同行道树制定有针对性修剪措施；</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方案完整且满足招标文件要求的，得2分；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方案较完整且基本满足招标需求的，得1.5分；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方案较差或有明显缺项的，得1分；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（2）提供其他乔木、花灌木、草坪、绿篱及地被等根据生长特性和季节制定合理的修剪措施；</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方案完整且满足招标文件要求的，得2分；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方案较完整且基本满足招标需求的，得1.5分；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方案较差或有明显缺项的，得1分；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（3）提供符合实际的特色造型、景观树的修剪措施；</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方案完整且满足招标文件要求的，得2分；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方案较完整且基本满足招标需求的，得1.5分；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方案较差或有明显缺项的，得1分；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shd w:val="clear" w:color="auto" w:fill="auto"/>
                <w:lang w:val="en-US" w:eastAsia="zh-CN" w:bidi="ar-SA"/>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安全、文明作业管理实施方案及保障措施</w:t>
            </w:r>
            <w:r>
              <w:rPr>
                <w:rFonts w:hint="eastAsia" w:ascii="宋体" w:hAnsi="宋体" w:eastAsia="宋体" w:cs="宋体"/>
                <w:color w:val="000000"/>
                <w:sz w:val="24"/>
                <w:szCs w:val="24"/>
                <w:highlight w:val="none"/>
                <w:shd w:val="clear" w:color="auto" w:fill="auto"/>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根据投标人提供的</w:t>
            </w:r>
            <w:r>
              <w:rPr>
                <w:rFonts w:hint="eastAsia" w:ascii="宋体" w:hAnsi="宋体" w:eastAsia="宋体" w:cs="宋体"/>
                <w:color w:val="000000"/>
                <w:sz w:val="24"/>
                <w:szCs w:val="24"/>
                <w:highlight w:val="none"/>
              </w:rPr>
              <w:t xml:space="preserve">安全、文明作业管理实施方案及保障措施</w:t>
            </w:r>
            <w:r>
              <w:rPr>
                <w:rFonts w:hint="eastAsia" w:ascii="宋体" w:hAnsi="宋体" w:eastAsia="宋体" w:cs="宋体"/>
                <w:color w:val="000000"/>
                <w:sz w:val="24"/>
                <w:szCs w:val="24"/>
                <w:highlight w:val="none"/>
                <w:lang w:val="en-US" w:eastAsia="zh-CN"/>
              </w:rPr>
              <w:t xml:space="preserve">进行评审，包括不限于</w:t>
            </w:r>
            <w:r>
              <w:rPr>
                <w:rFonts w:hint="eastAsia" w:ascii="宋体" w:hAnsi="宋体" w:eastAsia="宋体" w:cs="宋体"/>
                <w:color w:val="000000"/>
                <w:sz w:val="24"/>
                <w:szCs w:val="24"/>
                <w:highlight w:val="none"/>
              </w:rPr>
              <w:t xml:space="preserve">安全制度、安全预案、全员安全培训计划；安全设施配备及安全检查及记录要求；意外伤害赔偿措施和风险规避措施；事故发生后的应对处理办法。</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方案内容完整、详细，措施具体，完全贴合项目特点和采购需求，具有很强的针对性的，得5分。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方案内容较完整，措施基本具体，能够满足项目要求，具有一定针对性</w:t>
            </w:r>
            <w:r>
              <w:rPr>
                <w:rFonts w:hint="eastAsia" w:ascii="宋体" w:hAnsi="宋体" w:eastAsia="宋体" w:cs="宋体"/>
                <w:color w:val="000000"/>
                <w:sz w:val="24"/>
                <w:szCs w:val="24"/>
                <w:highlight w:val="none"/>
                <w:lang w:eastAsia="zh-CN"/>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方案内容简单，措施笼统，部分满足项目要求，针对性一般</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未提供方案不得分。</w:t>
            </w:r>
            <w:r>
              <w:rPr>
                <w:rFonts w:hint="eastAsia" w:ascii="宋体" w:hAnsi="宋体" w:eastAsia="宋体" w:cs="宋体"/>
                <w:color w:val="000000"/>
                <w:sz w:val="24"/>
                <w:szCs w:val="24"/>
                <w:highlight w:val="none"/>
                <w:lang w:val="en-US" w:eastAsia="zh-CN" w:bidi="ar-SA"/>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恶劣天气应急预案</w:t>
            </w:r>
            <w:r>
              <w:rPr>
                <w:rFonts w:hint="eastAsia" w:ascii="宋体" w:hAnsi="宋体" w:eastAsia="宋体" w:cs="宋体"/>
                <w:bCs/>
                <w:color w:val="000000"/>
                <w:sz w:val="24"/>
                <w:szCs w:val="24"/>
                <w:highlight w:val="none"/>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根据投标人提供的恶劣天气应急预案进行评审：</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（1）应急预案详尽、针对性及可操作性强，计划安排合理，且有完备的应急物资贮备清单的，得5分；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应急预案较详尽、针对性及可操作性较强，计划安排较合理，且有较完备的应急物资贮备清单的，得3分；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应急预案基本详尽、针对性及可操作性一般，计划安排基本合理，应急物资贮备清单基本完备的，得1分；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未提供方案不得分。</w:t>
            </w:r>
            <w:r>
              <w:rPr>
                <w:rFonts w:hint="eastAsia" w:ascii="宋体" w:hAnsi="宋体" w:eastAsia="宋体" w:cs="宋体"/>
                <w:color w:val="000000"/>
                <w:sz w:val="24"/>
                <w:szCs w:val="24"/>
                <w:highlight w:val="none"/>
                <w:shd w:val="clear" w:color="auto" w:fill="auto"/>
                <w:lang w:val="en-US" w:eastAsia="zh-CN" w:bidi="ar-SA"/>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firstLine="28"/>
              <w:jc w:val="center"/>
              <w:keepLines w:val="0"/>
              <w:keepNext w:val="0"/>
              <w:pageBreakBefore w:val="0"/>
              <w:spacing w:line="400" w:lineRule="exact"/>
              <w:shd w:val="clear" w:color="auto" w:fill="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重大活动，检查评比和节假日保障措施</w:t>
            </w:r>
            <w:r>
              <w:rPr>
                <w:rFonts w:hint="eastAsia" w:ascii="宋体" w:hAnsi="宋体" w:eastAsia="宋体" w:cs="宋体"/>
                <w:bCs/>
                <w:color w:val="000000"/>
                <w:sz w:val="24"/>
                <w:szCs w:val="24"/>
                <w:highlight w:val="none"/>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根据投标人提供的</w:t>
            </w:r>
            <w:r>
              <w:rPr>
                <w:rFonts w:hint="eastAsia" w:ascii="宋体" w:hAnsi="宋体" w:eastAsia="宋体" w:cs="宋体"/>
                <w:color w:val="000000"/>
                <w:sz w:val="24"/>
                <w:szCs w:val="24"/>
                <w:highlight w:val="none"/>
              </w:rPr>
              <w:t xml:space="preserve">重大活动，检查评比和节假日保障方案</w:t>
            </w:r>
            <w:r>
              <w:rPr>
                <w:rFonts w:hint="eastAsia" w:ascii="宋体" w:hAnsi="宋体" w:eastAsia="宋体" w:cs="宋体"/>
                <w:color w:val="000000"/>
                <w:sz w:val="24"/>
                <w:szCs w:val="24"/>
                <w:highlight w:val="none"/>
                <w:lang w:val="en-US" w:eastAsia="zh-CN"/>
              </w:rPr>
              <w:t xml:space="preserve">进行评审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方案针对性、操作性强，计划安排合理的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方案针对性、操作性较强，计划安排较为合理</w:t>
            </w:r>
            <w:r>
              <w:rPr>
                <w:rFonts w:hint="eastAsia" w:ascii="宋体" w:hAnsi="宋体" w:eastAsia="宋体" w:cs="宋体"/>
                <w:color w:val="000000"/>
                <w:sz w:val="24"/>
                <w:szCs w:val="24"/>
                <w:highlight w:val="none"/>
                <w:lang w:eastAsia="zh-CN"/>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方案针对性、操作性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，计划安排</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eastAsia="zh-CN"/>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rPr>
              <w:t xml:space="preserve">未提供方案不得分。</w:t>
            </w:r>
            <w:r>
              <w:rPr>
                <w:rFonts w:hint="eastAsia" w:ascii="宋体" w:hAnsi="宋体" w:eastAsia="宋体" w:cs="宋体"/>
                <w:color w:val="000000"/>
                <w:sz w:val="24"/>
                <w:szCs w:val="24"/>
                <w:highlight w:val="none"/>
                <w:shd w:val="clear" w:color="auto" w:fill="auto"/>
                <w:lang w:val="en-US" w:eastAsia="zh-CN" w:bidi="ar-SA"/>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6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470" w:type="dxa"/>
            <w:vAlign w:val="center"/>
            <w:textDirection w:val="lrTb"/>
            <w:noWrap w:val="false"/>
          </w:tcPr>
          <w:p>
            <w:pPr>
              <w:pStyle w:val="106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w:t>
            </w:r>
            <w:r>
              <w:rPr>
                <w:rFonts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76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业绩</w:t>
            </w:r>
            <w:r>
              <w:rPr>
                <w:rFonts w:hint="eastAsia" w:ascii="宋体" w:hAnsi="宋体" w:eastAsia="宋体" w:cs="宋体"/>
                <w:color w:val="000000"/>
                <w:sz w:val="24"/>
                <w:szCs w:val="24"/>
                <w:highlight w:val="none"/>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9</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日以来（以合同签订日期为准）承担过类似城市环卫作业业绩的，每提供一份合同得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（2）投标人自2023年1月1日以来（以合同签订日期为准）承担过类似绿化养护服务项目业绩的，每提供一份合同得1分，最高得3分。</w:t>
            </w:r>
            <w:r>
              <w:rPr>
                <w:rFonts w:hint="eastAsia" w:ascii="宋体" w:hAnsi="宋体" w:eastAsia="宋体" w:cs="宋体"/>
                <w:color w:val="000000"/>
                <w:sz w:val="24"/>
                <w:szCs w:val="24"/>
                <w:highlight w:val="none"/>
                <w:lang w:val="en-US" w:eastAsia="zh-CN"/>
              </w:rPr>
            </w:r>
            <w:r/>
          </w:p>
          <w:p>
            <w:pPr>
              <w:pStyle w:val="1080"/>
              <w:ind w:left="0" w:firstLine="480"/>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（3）投标人自2023年1月1日以来（以合同签订日期为准）承担过类似大气应急服务业绩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即包含雾炮车作业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的，每提供一份合同得1分，最高得3分。</w:t>
            </w: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投标文件中提供每个业绩对应的合同扫描件及合同履行过程中任一阶段的发票截图或发票扫描件并加盖投标人公章，否则不得分。</w:t>
            </w: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企业资质</w:t>
            </w:r>
            <w:r>
              <w:rPr>
                <w:rFonts w:hint="eastAsia" w:ascii="宋体" w:hAnsi="宋体" w:eastAsia="宋体" w:cs="宋体"/>
                <w:color w:val="000000"/>
                <w:sz w:val="24"/>
                <w:szCs w:val="24"/>
                <w:highlight w:val="none"/>
                <w:shd w:val="clear" w:color="auto" w:fill="auto"/>
                <w:lang w:val="en-US" w:eastAsia="zh-CN"/>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80"/>
              <w:numPr>
                <w:ilvl w:val="0"/>
                <w:numId w:val="0"/>
              </w:numPr>
              <w:ind w:firstLine="480"/>
              <w:keepLines w:val="0"/>
              <w:keepNext w:val="0"/>
              <w:pageBreakBefore w:val="0"/>
              <w:spacing w:before="0" w:line="400" w:lineRule="exact"/>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具有有效期内的质量管理体系认证证书、环境管理体系认证证书、职业健康</w:t>
            </w:r>
            <w:r>
              <w:rPr>
                <w:rFonts w:hint="eastAsia" w:ascii="宋体" w:hAnsi="宋体" w:eastAsia="宋体" w:cs="宋体"/>
                <w:color w:val="000000"/>
                <w:sz w:val="24"/>
                <w:szCs w:val="24"/>
                <w:highlight w:val="none"/>
                <w:lang w:val="en-US" w:eastAsia="zh-CN"/>
              </w:rPr>
              <w:t xml:space="preserve">安全</w:t>
            </w:r>
            <w:r>
              <w:rPr>
                <w:rFonts w:hint="eastAsia" w:ascii="宋体" w:hAnsi="宋体" w:eastAsia="宋体" w:cs="宋体"/>
                <w:color w:val="000000"/>
                <w:sz w:val="24"/>
                <w:szCs w:val="24"/>
                <w:highlight w:val="none"/>
              </w:rPr>
              <w:t xml:space="preserve">管理体系认证证书，</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有一项得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投标文件中提供证书扫描件加盖投标人公章，否则不得分。</w:t>
            </w: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荣誉</w:t>
            </w:r>
            <w:r>
              <w:rPr>
                <w:rFonts w:hint="eastAsia" w:ascii="宋体" w:hAnsi="宋体" w:eastAsia="宋体" w:cs="宋体"/>
                <w:color w:val="000000"/>
                <w:sz w:val="24"/>
                <w:szCs w:val="24"/>
                <w:highlight w:val="none"/>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w:t>
            </w:r>
            <w:r>
              <w:rPr>
                <w:rFonts w:hint="eastAsia" w:ascii="宋体" w:hAnsi="宋体" w:eastAsia="宋体" w:cs="宋体"/>
                <w:color w:val="000000"/>
                <w:sz w:val="24"/>
                <w:szCs w:val="24"/>
                <w:highlight w:val="none"/>
                <w:lang w:val="en-US" w:eastAsia="zh-CN"/>
              </w:rPr>
              <w:t xml:space="preserve">以来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（含投标</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参加的项目）获得过党政机关/主管部门颁发的荣誉的，有一个得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投标文件中提供证书或获奖证明材料扫描件加盖投标人公章，时间以证书或获奖证明材料上所载时间为准，否则不得分。</w:t>
            </w: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拟派本项目管理人员</w:t>
            </w:r>
            <w:r>
              <w:rPr>
                <w:rFonts w:hint="eastAsia" w:ascii="宋体" w:hAnsi="宋体" w:eastAsia="宋体" w:cs="宋体"/>
                <w:color w:val="000000"/>
                <w:sz w:val="24"/>
                <w:szCs w:val="24"/>
                <w:highlight w:val="none"/>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ind w:left="0" w:firstLine="482"/>
              <w:keepLines w:val="0"/>
              <w:keepNext w:val="0"/>
              <w:pageBreakBefore w:val="0"/>
              <w:spacing w:line="400" w:lineRule="exact"/>
              <w:shd w:val="clear" w:color="auto" w:fill="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拟投入</w:t>
            </w:r>
            <w:r>
              <w:rPr>
                <w:rFonts w:hint="eastAsia" w:ascii="宋体" w:hAnsi="宋体" w:eastAsia="宋体" w:cs="宋体"/>
                <w:b/>
                <w:bCs/>
                <w:color w:val="000000"/>
                <w:sz w:val="24"/>
                <w:szCs w:val="24"/>
                <w:highlight w:val="none"/>
                <w:lang w:val="en-US" w:eastAsia="zh-CN"/>
              </w:rPr>
              <w:t xml:space="preserve">环卫作业负责人：</w:t>
            </w:r>
            <w:r>
              <w:rPr>
                <w:rFonts w:hint="eastAsia" w:ascii="宋体" w:hAnsi="宋体" w:eastAsia="宋体" w:cs="宋体"/>
                <w:b/>
                <w:bCs/>
                <w:color w:val="000000"/>
                <w:sz w:val="24"/>
                <w:szCs w:val="24"/>
                <w:highlight w:val="none"/>
                <w:lang w:val="en-US" w:eastAsia="zh-CN"/>
              </w:rPr>
            </w:r>
            <w:r/>
          </w:p>
          <w:p>
            <w:pPr>
              <w:pStyle w:val="1068"/>
              <w:ind w:left="0" w:firstLine="482"/>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（1）具有</w:t>
            </w:r>
            <w:r>
              <w:rPr>
                <w:rFonts w:hint="eastAsia" w:ascii="宋体" w:hAnsi="宋体" w:eastAsia="宋体" w:cs="宋体"/>
                <w:color w:val="000000"/>
                <w:sz w:val="24"/>
                <w:szCs w:val="24"/>
                <w:highlight w:val="none"/>
              </w:rPr>
              <w:t xml:space="preserve">环境专业全日制本科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8"/>
              <w:ind w:left="0" w:firstLine="482"/>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（2）具有环卫作业业绩，</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8"/>
              <w:ind w:firstLine="482"/>
              <w:keepLines w:val="0"/>
              <w:keepNext w:val="0"/>
              <w:pageBreakBefore w:val="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2.拟投入绿化养护项目负责人：</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（1）具有园林专业高级职称</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中级职称</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最高得1分。</w:t>
            </w:r>
            <w:r>
              <w:rPr>
                <w:rFonts w:hint="eastAsia" w:ascii="宋体" w:hAnsi="宋体" w:eastAsia="宋体" w:cs="宋体"/>
                <w:color w:val="000000"/>
                <w:sz w:val="24"/>
                <w:szCs w:val="24"/>
                <w:highlight w:val="none"/>
                <w:lang w:val="en-US" w:eastAsia="zh-CN"/>
              </w:rPr>
            </w:r>
            <w:r/>
          </w:p>
          <w:p>
            <w:pPr>
              <w:pStyle w:val="1068"/>
              <w:ind w:left="0" w:firstLine="482"/>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（2）具有绿化养护业绩，得1分。</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拟投入</w:t>
            </w:r>
            <w:r>
              <w:rPr>
                <w:rFonts w:hint="eastAsia" w:ascii="宋体" w:hAnsi="宋体" w:eastAsia="宋体" w:cs="宋体"/>
                <w:b/>
                <w:bCs/>
                <w:color w:val="000000"/>
                <w:sz w:val="24"/>
                <w:szCs w:val="24"/>
                <w:highlight w:val="none"/>
              </w:rPr>
              <w:t xml:space="preserve">安全督查监管人员</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（1）为本项目配备专职安全管理人员具备注册安全工程师证书的，每有一人得2分，最高得2分。</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（2）为本项目配备专职安全管理人员具备安全员C证的，每有一人得1分，最高得1分。</w:t>
            </w: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68"/>
              <w:numPr>
                <w:ilvl w:val="0"/>
                <w:numId w:val="0"/>
              </w:numPr>
              <w:ind w:left="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（1）投标文件中提供毕业证书扫描件（</w:t>
            </w:r>
            <w:r>
              <w:rPr>
                <w:rFonts w:hint="eastAsia" w:ascii="宋体" w:hAnsi="宋体" w:eastAsia="宋体" w:cs="宋体"/>
                <w:b/>
                <w:bCs/>
                <w:color w:val="000000"/>
                <w:sz w:val="24"/>
                <w:szCs w:val="24"/>
                <w:highlight w:val="none"/>
              </w:rPr>
              <w:t xml:space="preserve">环境</w:t>
            </w:r>
            <w:r>
              <w:rPr>
                <w:rFonts w:hint="eastAsia" w:ascii="宋体" w:hAnsi="宋体" w:eastAsia="宋体" w:cs="宋体"/>
                <w:b/>
                <w:bCs/>
                <w:color w:val="000000"/>
                <w:sz w:val="24"/>
                <w:szCs w:val="24"/>
                <w:highlight w:val="none"/>
                <w:lang w:val="en-US" w:eastAsia="zh-CN"/>
              </w:rPr>
              <w:t xml:space="preserve">专业及相关专业：园林（含园林规划设计、园林植物、风景园林、园林绿化）、园艺、城市规划、景观、植物（含植保、森保）、风景旅游、环境艺术）加盖投标人公章，否则不得分。</w:t>
            </w:r>
            <w:r>
              <w:rPr>
                <w:rFonts w:hint="eastAsia" w:ascii="宋体" w:hAnsi="宋体" w:eastAsia="宋体" w:cs="宋体"/>
                <w:b/>
                <w:bCs/>
                <w:color w:val="000000"/>
                <w:sz w:val="24"/>
                <w:szCs w:val="24"/>
                <w:highlight w:val="none"/>
                <w:lang w:val="en-US" w:eastAsia="zh-CN"/>
              </w:rPr>
            </w:r>
            <w:r/>
          </w:p>
          <w:p>
            <w:pPr>
              <w:pStyle w:val="1080"/>
              <w:ind w:left="0" w:firstLine="0"/>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（2）投标文件中提供每个业绩对应的合同扫描件及合同履行过程中任一阶段的发票截图或发票扫描件加盖投标人公章，否则不得分。</w:t>
            </w:r>
            <w:r>
              <w:rPr>
                <w:rFonts w:hint="eastAsia" w:ascii="宋体" w:hAnsi="宋体" w:eastAsia="宋体" w:cs="宋体"/>
                <w:b/>
                <w:bCs/>
                <w:color w:val="000000"/>
                <w:sz w:val="24"/>
                <w:szCs w:val="24"/>
                <w:highlight w:val="none"/>
                <w:lang w:val="en-US" w:eastAsia="zh-CN"/>
              </w:rPr>
            </w:r>
            <w:r/>
          </w:p>
          <w:p>
            <w:pPr>
              <w:pStyle w:val="1080"/>
              <w:ind w:left="0" w:firstLine="0"/>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（3）投标文件中提供相应执业职称证书扫描件加盖投标人公章，否则不得分。</w:t>
            </w:r>
            <w:r>
              <w:rPr>
                <w:rFonts w:hint="eastAsia" w:ascii="宋体" w:hAnsi="宋体" w:eastAsia="宋体" w:cs="宋体"/>
                <w:color w:val="000000"/>
                <w:sz w:val="24"/>
                <w:szCs w:val="24"/>
                <w:highlight w:val="none"/>
                <w:lang w:val="en-US" w:eastAsia="zh-CN"/>
              </w:rPr>
            </w:r>
            <w:r/>
          </w:p>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（4）投标文件中提供</w:t>
            </w:r>
            <w:r>
              <w:rPr>
                <w:rFonts w:hint="eastAsia" w:ascii="宋体" w:hAnsi="宋体" w:eastAsia="宋体" w:cs="宋体"/>
                <w:b/>
                <w:bCs/>
                <w:color w:val="000000"/>
                <w:sz w:val="24"/>
                <w:szCs w:val="24"/>
                <w:highlight w:val="none"/>
              </w:rPr>
              <w:t xml:space="preserve">投标人近三个月内任意一个月（自开标之日往前推）为其缴纳社保的记录</w:t>
            </w:r>
            <w:r>
              <w:rPr>
                <w:rFonts w:hint="eastAsia" w:ascii="宋体" w:hAnsi="宋体" w:eastAsia="宋体" w:cs="宋体"/>
                <w:b/>
                <w:bCs/>
                <w:color w:val="000000"/>
                <w:sz w:val="24"/>
                <w:szCs w:val="24"/>
                <w:highlight w:val="none"/>
                <w:lang w:val="en-US" w:eastAsia="zh-CN"/>
              </w:rPr>
              <w:t xml:space="preserve">加盖投标人公章。</w:t>
            </w:r>
            <w:r>
              <w:rPr>
                <w:rFonts w:hint="eastAsia" w:ascii="宋体" w:hAnsi="宋体" w:eastAsia="宋体" w:cs="宋体"/>
                <w:color w:val="000000"/>
                <w:sz w:val="24"/>
                <w:szCs w:val="24"/>
                <w:highlight w:val="none"/>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拟派本项目</w:t>
            </w:r>
            <w:r>
              <w:rPr>
                <w:rFonts w:hint="eastAsia" w:ascii="宋体" w:hAnsi="宋体" w:eastAsia="宋体" w:cs="宋体"/>
                <w:color w:val="000000"/>
                <w:sz w:val="24"/>
                <w:szCs w:val="24"/>
                <w:highlight w:val="none"/>
                <w:lang w:val="en-US" w:eastAsia="zh-CN"/>
              </w:rPr>
              <w:t xml:space="preserve">绿化作业人员</w:t>
            </w:r>
            <w:r>
              <w:rPr>
                <w:rFonts w:hint="eastAsia" w:ascii="宋体" w:hAnsi="宋体" w:eastAsia="宋体" w:cs="宋体"/>
                <w:color w:val="000000"/>
                <w:sz w:val="24"/>
                <w:szCs w:val="24"/>
                <w:highlight w:val="none"/>
                <w:lang w:val="en-US" w:eastAsia="zh-CN" w:bidi="ar-SA"/>
              </w:rPr>
            </w:r>
            <w:r/>
          </w:p>
        </w:tc>
        <w:tc>
          <w:tcPr>
            <w:tcW w:w="470"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12</w:t>
            </w:r>
            <w:r>
              <w:rPr>
                <w:rFonts w:hint="eastAsia" w:ascii="宋体" w:hAnsi="宋体" w:eastAsia="宋体" w:cs="宋体"/>
                <w:color w:val="000000"/>
                <w:sz w:val="24"/>
                <w:szCs w:val="24"/>
                <w:highlight w:val="none"/>
                <w:shd w:val="clear" w:color="auto" w:fill="auto"/>
                <w:lang w:val="en-US" w:eastAsia="zh-CN" w:bidi="ar-SA"/>
              </w:rPr>
            </w:r>
            <w:r/>
          </w:p>
        </w:tc>
        <w:tc>
          <w:tcPr>
            <w:tcW w:w="2067" w:type="dxa"/>
            <w:vAlign w:val="center"/>
            <w:textDirection w:val="lrTb"/>
            <w:noWrap w:val="false"/>
          </w:tcPr>
          <w:p>
            <w:pPr>
              <w:pStyle w:val="1068"/>
              <w:numPr>
                <w:ilvl w:val="0"/>
                <w:numId w:val="0"/>
              </w:numPr>
              <w:ind w:left="0" w:firstLine="482"/>
              <w:keepLines w:val="0"/>
              <w:keepNext w:val="0"/>
              <w:pageBreakBefore w:val="0"/>
              <w:spacing w:line="400" w:lineRule="exact"/>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除绿化养护项目负责人外：</w:t>
            </w:r>
            <w:r>
              <w:rPr>
                <w:rFonts w:hint="eastAsia" w:ascii="宋体" w:hAnsi="宋体" w:eastAsia="宋体" w:cs="宋体"/>
                <w:b/>
                <w:bCs/>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（1）具有中级绿化工证书，每有一人得1分；具有高级绿化工证书，每有一人得2分；最高得4分。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（2）具有花卉园艺师中级工证书，每有一人得1分；具有花卉园艺师高级工证书，每有一人得2分；最高得2分。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（3）具有林木种苗中级工证书，每有一人得1分；具有林木种苗高级工证书，每有一人得2分；最高得2分。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（4）具有应急管理部门颁发有效的作业类别含高处作业的证件，每有一人得2分；最高得4分。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本项最高12分。</w:t>
            </w:r>
            <w:r>
              <w:rPr>
                <w:rFonts w:hint="eastAsia" w:ascii="宋体" w:hAnsi="宋体" w:eastAsia="宋体" w:cs="宋体"/>
                <w:b/>
                <w:bCs/>
                <w:color w:val="000000"/>
                <w:sz w:val="24"/>
                <w:szCs w:val="24"/>
                <w:highlight w:val="none"/>
                <w:lang w:val="en-US" w:eastAsia="zh-CN" w:bidi="ar-SA"/>
              </w:rPr>
            </w:r>
            <w:r/>
          </w:p>
        </w:tc>
        <w:tc>
          <w:tcPr>
            <w:tcW w:w="1270"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（1）提供相应证书扫描件加盖投标人公章。</w:t>
            </w:r>
            <w:r>
              <w:rPr>
                <w:rFonts w:hint="eastAsia" w:ascii="宋体" w:hAnsi="宋体" w:eastAsia="宋体" w:cs="宋体"/>
                <w:b/>
                <w:bCs/>
                <w:color w:val="000000"/>
                <w:sz w:val="24"/>
                <w:szCs w:val="24"/>
                <w:highlight w:val="none"/>
                <w:lang w:val="en-US" w:eastAsia="zh-CN"/>
              </w:rPr>
            </w:r>
            <w:r/>
          </w:p>
          <w:p>
            <w:pPr>
              <w:pStyle w:val="1068"/>
              <w:ind w:left="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（2）高</w:t>
            </w:r>
            <w:r>
              <w:rPr>
                <w:rFonts w:hint="eastAsia" w:ascii="宋体" w:hAnsi="宋体" w:eastAsia="宋体" w:cs="宋体"/>
                <w:b/>
                <w:bCs/>
                <w:color w:val="000000"/>
                <w:sz w:val="24"/>
                <w:szCs w:val="24"/>
                <w:highlight w:val="none"/>
              </w:rPr>
              <w:t xml:space="preserve">绿化工、</w:t>
            </w:r>
            <w:r>
              <w:rPr>
                <w:rFonts w:hint="eastAsia" w:ascii="宋体" w:hAnsi="宋体" w:eastAsia="宋体" w:cs="宋体"/>
                <w:b/>
                <w:bCs/>
                <w:color w:val="000000"/>
                <w:sz w:val="24"/>
                <w:szCs w:val="24"/>
                <w:highlight w:val="none"/>
                <w:lang w:val="en-US" w:eastAsia="zh-CN"/>
              </w:rPr>
              <w:t xml:space="preserve">高级</w:t>
            </w:r>
            <w:r>
              <w:rPr>
                <w:rFonts w:hint="eastAsia" w:ascii="宋体" w:hAnsi="宋体" w:eastAsia="宋体" w:cs="宋体"/>
                <w:b/>
                <w:bCs/>
                <w:color w:val="000000"/>
                <w:sz w:val="24"/>
                <w:szCs w:val="24"/>
                <w:highlight w:val="none"/>
              </w:rPr>
              <w:t xml:space="preserve">花卉工人员证书必须为人社或住建部门认可的技能证书（附人社或住建部门网站的查询截图）。</w:t>
            </w:r>
            <w:r>
              <w:rPr>
                <w:rFonts w:hint="eastAsia" w:ascii="宋体" w:hAnsi="宋体" w:eastAsia="宋体" w:cs="宋体"/>
                <w:b/>
                <w:bCs/>
                <w:color w:val="000000"/>
                <w:sz w:val="24"/>
                <w:szCs w:val="24"/>
                <w:highlight w:val="none"/>
              </w:rPr>
            </w:r>
            <w:r/>
          </w:p>
          <w:p>
            <w:pPr>
              <w:pStyle w:val="1068"/>
              <w:ind w:left="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登高作业证后附应急管理部网站查询截图。</w:t>
            </w:r>
            <w:r>
              <w:rPr>
                <w:rFonts w:hint="eastAsia" w:ascii="宋体" w:hAnsi="宋体" w:eastAsia="宋体" w:cs="宋体"/>
                <w:b/>
                <w:bCs/>
                <w:color w:val="000000"/>
                <w:sz w:val="24"/>
                <w:szCs w:val="24"/>
                <w:highlight w:val="none"/>
              </w:rPr>
            </w:r>
            <w:r/>
          </w:p>
          <w:p>
            <w:pPr>
              <w:pStyle w:val="1080"/>
              <w:keepLines w:val="0"/>
              <w:keepNext w:val="0"/>
              <w:pageBreakBefore w:val="0"/>
              <w:spacing w:before="0" w:line="400" w:lineRule="exact"/>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同一人证书按最高资质等级计分，不重复得分。</w:t>
            </w:r>
            <w:r>
              <w:rPr>
                <w:rFonts w:hint="eastAsia" w:ascii="宋体" w:hAnsi="宋体" w:eastAsia="宋体" w:cs="宋体"/>
                <w:color w:val="000000"/>
                <w:sz w:val="24"/>
                <w:szCs w:val="24"/>
                <w:highlight w:val="none"/>
                <w:lang w:val="en-US" w:eastAsia="zh-CN"/>
              </w:rPr>
            </w:r>
            <w:r/>
          </w:p>
        </w:tc>
      </w:tr>
      <w:tr>
        <w:trPr/>
        <w:tc>
          <w:tcPr>
            <w:tcW w:w="427"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en-US" w:eastAsia="zh-CN"/>
              </w:rPr>
            </w:r>
            <w:r/>
          </w:p>
        </w:tc>
        <w:tc>
          <w:tcPr>
            <w:tcW w:w="763" w:type="dxa"/>
            <w:vAlign w:val="center"/>
            <w:textDirection w:val="lrTb"/>
            <w:noWrap w:val="false"/>
          </w:tcPr>
          <w:p>
            <w:pPr>
              <w:pStyle w:val="1068"/>
              <w:ind w:left="0"/>
              <w:jc w:val="center"/>
              <w:keepLines w:val="0"/>
              <w:keepNext w:val="0"/>
              <w:pageBreakBefore w:val="0"/>
              <w:spacing w:line="400" w:lineRule="exact"/>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拟配备机械</w:t>
            </w:r>
            <w:r>
              <w:rPr>
                <w:rFonts w:hint="eastAsia" w:ascii="宋体" w:hAnsi="宋体" w:eastAsia="宋体" w:cs="宋体"/>
                <w:color w:val="000000"/>
                <w:sz w:val="24"/>
                <w:szCs w:val="24"/>
                <w:highlight w:val="none"/>
                <w:lang w:val="en-US" w:eastAsia="zh-CN" w:bidi="ar-SA"/>
              </w:rPr>
            </w:r>
            <w:r/>
          </w:p>
        </w:tc>
        <w:tc>
          <w:tcPr>
            <w:tcW w:w="470"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21</w:t>
            </w:r>
            <w:r>
              <w:rPr>
                <w:rFonts w:hint="eastAsia" w:ascii="宋体" w:hAnsi="宋体" w:eastAsia="宋体" w:cs="宋体"/>
                <w:color w:val="000000"/>
                <w:sz w:val="24"/>
                <w:szCs w:val="24"/>
                <w:highlight w:val="none"/>
              </w:rPr>
            </w:r>
            <w:r/>
          </w:p>
        </w:tc>
        <w:tc>
          <w:tcPr>
            <w:tcW w:w="2067" w:type="dxa"/>
            <w:vAlign w:val="center"/>
            <w:textDirection w:val="lrTb"/>
            <w:noWrap w:val="false"/>
          </w:tcPr>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投标供应商在满足招标文件中采购需求基本数量与基本配置要求的基础上：</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（1）洒水车(行驶证核定载质量≥10吨)，在满足采购需求的基础上每增加一辆得1分，最高得2分。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pacing w:val="2"/>
                <w:sz w:val="24"/>
                <w:szCs w:val="24"/>
                <w:highlight w:val="none"/>
                <w:lang w:val="en-US" w:eastAsia="zh-CN"/>
              </w:rPr>
              <w:t xml:space="preserve">洗扫</w:t>
            </w:r>
            <w:r>
              <w:rPr>
                <w:rFonts w:hint="eastAsia" w:ascii="宋体" w:hAnsi="宋体" w:eastAsia="宋体" w:cs="宋体"/>
                <w:color w:val="000000"/>
                <w:spacing w:val="2"/>
                <w:sz w:val="24"/>
                <w:szCs w:val="24"/>
                <w:highlight w:val="none"/>
              </w:rPr>
              <w:t xml:space="preserve">车</w:t>
            </w:r>
            <w:r>
              <w:rPr>
                <w:rFonts w:hint="eastAsia" w:ascii="宋体" w:hAnsi="宋体" w:eastAsia="宋体" w:cs="宋体"/>
                <w:color w:val="000000"/>
                <w:sz w:val="24"/>
                <w:szCs w:val="24"/>
                <w:highlight w:val="none"/>
                <w:lang w:val="en-US" w:eastAsia="zh-CN"/>
              </w:rPr>
              <w:t xml:space="preserve">(行驶证核定载质量≥6吨)，在满足采购需求的基础上每增加一辆得1分，最高得2分。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（3）新能源环卫重型机械化作业车辆(行驶证核定载质量≥8吨)，每有一辆得1分，最高得2分。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（4）运输车辆(行驶证核定载质量≥13吨)，每有一辆得1分，最高得2分。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（5）吸污车(行驶证核定载质量≥9吨)，每有一辆得1分，最高得2分。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（6）雾炮车(行驶证核定载质量≥8吨)，每有一辆得1分，最高得2分。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（7）电动护栏内侧洗扫车，每有一辆得1分，最高得2分。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（8）载融雪撒盐机(容量≥10m³)，每有一台得1分，最高得1分。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（9）除雪铲(除雪宽度≥3.5m)，每有一个得1分，最高得1分。</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（10）除雪滚刷(滚刷作业宽度≥3500mm)，每有一个得1分，最高得1分。</w:t>
            </w:r>
            <w:r>
              <w:rPr>
                <w:rFonts w:hint="eastAsia" w:ascii="宋体" w:hAnsi="宋体" w:eastAsia="宋体" w:cs="宋体"/>
                <w:color w:val="000000"/>
                <w:sz w:val="24"/>
                <w:szCs w:val="24"/>
                <w:highlight w:val="none"/>
                <w:lang w:val="en-US" w:eastAsia="zh-CN"/>
              </w:rPr>
            </w:r>
            <w:r/>
          </w:p>
          <w:p>
            <w:pPr>
              <w:pStyle w:val="1080"/>
              <w:ind w:left="0" w:firstLine="480"/>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大型树枝粉碎机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长</w:t>
            </w:r>
            <w:r>
              <w:rPr>
                <w:rFonts w:hint="eastAsia" w:ascii="宋体" w:hAnsi="宋体" w:eastAsia="宋体" w:cs="宋体"/>
                <w:color w:val="000000"/>
                <w:sz w:val="24"/>
                <w:szCs w:val="24"/>
                <w:highlight w:val="none"/>
                <w:lang w:val="en-US" w:eastAsia="zh-CN"/>
              </w:rPr>
              <w:t xml:space="preserve">≥120000mm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，每有一台得1分，最高得1分。</w:t>
            </w:r>
            <w:r>
              <w:rPr>
                <w:rFonts w:hint="eastAsia" w:ascii="宋体" w:hAnsi="宋体" w:eastAsia="宋体" w:cs="宋体"/>
                <w:color w:val="000000"/>
                <w:sz w:val="24"/>
                <w:szCs w:val="24"/>
                <w:highlight w:val="none"/>
                <w:lang w:val="en-US" w:eastAsia="zh-CN"/>
              </w:rPr>
            </w:r>
            <w:r/>
          </w:p>
          <w:p>
            <w:pPr>
              <w:pStyle w:val="106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（12）碎枝机，每有一台得1分，最高得2分。</w:t>
            </w:r>
            <w:r>
              <w:rPr>
                <w:rFonts w:hint="eastAsia" w:ascii="宋体" w:hAnsi="宋体" w:eastAsia="宋体" w:cs="宋体"/>
                <w:color w:val="000000"/>
                <w:sz w:val="24"/>
                <w:szCs w:val="24"/>
                <w:highlight w:val="none"/>
                <w:lang w:val="en-US" w:eastAsia="zh-CN"/>
              </w:rPr>
            </w:r>
            <w:r/>
          </w:p>
          <w:p>
            <w:pPr>
              <w:pStyle w:val="1080"/>
              <w:ind w:left="0" w:firstLine="480"/>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打包机（包装系统能力:</w:t>
            </w:r>
            <w:r>
              <w:rPr>
                <w:rFonts w:hint="eastAsia" w:ascii="宋体" w:hAnsi="宋体" w:eastAsia="宋体" w:cs="宋体"/>
                <w:color w:val="000000"/>
                <w:sz w:val="24"/>
                <w:szCs w:val="24"/>
                <w:highlight w:val="none"/>
                <w:lang w:val="en-US" w:eastAsia="zh-CN"/>
              </w:rPr>
              <w:t xml:space="preserve">自动打包，</w:t>
            </w:r>
            <w:r>
              <w:rPr>
                <w:rFonts w:hint="eastAsia" w:ascii="宋体" w:hAnsi="宋体" w:eastAsia="宋体" w:cs="宋体"/>
                <w:color w:val="000000"/>
                <w:sz w:val="24"/>
                <w:szCs w:val="24"/>
                <w:highlight w:val="none"/>
              </w:rPr>
              <w:t xml:space="preserve">包装范</w:t>
            </w:r>
            <w:r>
              <w:rPr>
                <w:rFonts w:hint="eastAsia" w:ascii="宋体" w:hAnsi="宋体" w:eastAsia="宋体" w:cs="宋体"/>
                <w:color w:val="000000"/>
                <w:sz w:val="24"/>
                <w:szCs w:val="24"/>
                <w:highlight w:val="none"/>
                <w:lang w:val="en-US" w:eastAsia="zh-CN"/>
              </w:rPr>
              <w:t xml:space="preserve">围≥25</w:t>
            </w:r>
            <w:r>
              <w:rPr>
                <w:rFonts w:hint="eastAsia" w:ascii="宋体" w:hAnsi="宋体" w:eastAsia="宋体" w:cs="宋体"/>
                <w:color w:val="000000"/>
                <w:sz w:val="24"/>
                <w:szCs w:val="24"/>
                <w:highlight w:val="none"/>
              </w:rPr>
              <w:t xml:space="preserve">kg）</w:t>
            </w:r>
            <w:r>
              <w:rPr>
                <w:rFonts w:hint="eastAsia" w:ascii="宋体" w:hAnsi="宋体" w:eastAsia="宋体" w:cs="宋体"/>
                <w:color w:val="000000"/>
                <w:sz w:val="24"/>
                <w:szCs w:val="24"/>
                <w:highlight w:val="none"/>
                <w:lang w:val="en-US" w:eastAsia="zh-CN"/>
              </w:rPr>
              <w:t xml:space="preserve">，每有一台得1分，最高得1分。</w:t>
            </w:r>
            <w:r>
              <w:rPr>
                <w:rFonts w:hint="eastAsia" w:ascii="宋体" w:hAnsi="宋体" w:eastAsia="宋体" w:cs="宋体"/>
                <w:color w:val="000000"/>
                <w:sz w:val="24"/>
                <w:szCs w:val="24"/>
                <w:highlight w:val="none"/>
              </w:rPr>
            </w:r>
            <w:r/>
          </w:p>
        </w:tc>
        <w:tc>
          <w:tcPr>
            <w:tcW w:w="1270" w:type="dxa"/>
            <w:vAlign w:val="center"/>
            <w:textDirection w:val="lrTb"/>
            <w:noWrap w:val="false"/>
          </w:tcPr>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提供以下证明材料加盖投标人公章，否则不得分。</w:t>
            </w:r>
            <w:r>
              <w:rPr>
                <w:rFonts w:hint="eastAsia" w:ascii="宋体" w:hAnsi="宋体" w:eastAsia="宋体" w:cs="宋体"/>
                <w:b/>
                <w:bCs/>
                <w:color w:val="000000"/>
                <w:sz w:val="24"/>
                <w:szCs w:val="24"/>
                <w:highlight w:val="none"/>
                <w:lang w:val="en-US" w:eastAsia="zh-CN"/>
              </w:rPr>
            </w:r>
            <w:r/>
          </w:p>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（1）涉及车辆的：</w:t>
            </w:r>
            <w:r>
              <w:rPr>
                <w:rFonts w:hint="eastAsia" w:ascii="宋体" w:hAnsi="宋体" w:eastAsia="宋体" w:cs="宋体"/>
                <w:b/>
                <w:bCs/>
                <w:color w:val="000000"/>
                <w:sz w:val="24"/>
                <w:szCs w:val="24"/>
                <w:highlight w:val="none"/>
                <w:lang w:val="en-US" w:eastAsia="zh-CN"/>
              </w:rPr>
            </w:r>
            <w:r/>
          </w:p>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若为自有车辆：</w:t>
            </w:r>
            <w:r>
              <w:rPr>
                <w:rFonts w:hint="eastAsia" w:ascii="宋体" w:hAnsi="宋体" w:eastAsia="宋体" w:cs="宋体"/>
                <w:b/>
                <w:bCs/>
                <w:color w:val="000000"/>
                <w:sz w:val="24"/>
                <w:szCs w:val="24"/>
                <w:highlight w:val="none"/>
                <w:lang w:val="zh-CN" w:eastAsia="zh-CN"/>
              </w:rPr>
            </w:r>
            <w:r/>
          </w:p>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须提供①在年审有效期内的《机动车行驶证》；②有效期内的《机动车登记证》；③</w:t>
            </w:r>
            <w:r>
              <w:rPr>
                <w:rFonts w:hint="eastAsia" w:ascii="宋体" w:hAnsi="宋体" w:eastAsia="宋体" w:cs="宋体"/>
                <w:b/>
                <w:bCs/>
                <w:color w:val="000000"/>
                <w:sz w:val="24"/>
                <w:szCs w:val="24"/>
                <w:highlight w:val="none"/>
                <w:lang w:val="en-US" w:eastAsia="zh-CN"/>
              </w:rPr>
              <w:t xml:space="preserve">车辆购置</w:t>
            </w:r>
            <w:r>
              <w:rPr>
                <w:rFonts w:hint="eastAsia" w:ascii="宋体" w:hAnsi="宋体" w:eastAsia="宋体" w:cs="宋体"/>
                <w:b/>
                <w:bCs/>
                <w:color w:val="000000"/>
                <w:sz w:val="24"/>
                <w:szCs w:val="24"/>
                <w:highlight w:val="none"/>
                <w:lang w:val="zh-CN" w:eastAsia="zh-CN"/>
              </w:rPr>
              <w:t xml:space="preserve">发票；④</w:t>
            </w:r>
            <w:r>
              <w:rPr>
                <w:rFonts w:hint="eastAsia" w:ascii="宋体" w:hAnsi="宋体" w:eastAsia="宋体" w:cs="宋体"/>
                <w:b/>
                <w:bCs/>
                <w:color w:val="000000"/>
                <w:sz w:val="24"/>
                <w:szCs w:val="24"/>
                <w:highlight w:val="none"/>
                <w:lang w:val="en-US" w:eastAsia="zh-CN"/>
              </w:rPr>
              <w:t xml:space="preserve">照片，四项缺一不可，否则不得分。</w:t>
            </w:r>
            <w:r>
              <w:rPr>
                <w:rFonts w:hint="eastAsia" w:ascii="宋体" w:hAnsi="宋体" w:eastAsia="宋体" w:cs="宋体"/>
                <w:b/>
                <w:bCs/>
                <w:color w:val="000000"/>
                <w:sz w:val="24"/>
                <w:szCs w:val="24"/>
                <w:highlight w:val="none"/>
                <w:lang w:val="zh-CN" w:eastAsia="zh-CN"/>
              </w:rPr>
            </w:r>
            <w:r/>
          </w:p>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若为租赁车辆：</w:t>
            </w:r>
            <w:r>
              <w:rPr>
                <w:rFonts w:hint="eastAsia" w:ascii="宋体" w:hAnsi="宋体" w:eastAsia="宋体" w:cs="宋体"/>
                <w:b/>
                <w:bCs/>
                <w:color w:val="000000"/>
                <w:sz w:val="24"/>
                <w:szCs w:val="24"/>
                <w:highlight w:val="none"/>
                <w:lang w:val="zh-CN" w:eastAsia="zh-CN"/>
              </w:rPr>
            </w:r>
            <w:r/>
          </w:p>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须提供①在年审有效期内的《机动车行驶证》；②有效期内的《机动车登记证》；③车辆租赁合同（</w:t>
            </w:r>
            <w:r>
              <w:rPr>
                <w:rFonts w:hint="eastAsia" w:ascii="宋体" w:hAnsi="宋体" w:eastAsia="宋体" w:cs="宋体"/>
                <w:b/>
                <w:bCs/>
                <w:color w:val="000000"/>
                <w:sz w:val="24"/>
                <w:szCs w:val="24"/>
                <w:highlight w:val="none"/>
                <w:lang w:val="en-US" w:eastAsia="zh-CN"/>
              </w:rPr>
              <w:t xml:space="preserve">租赁协议</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和招标公告发布之日前租赁发票</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zh-CN" w:eastAsia="zh-CN"/>
              </w:rPr>
              <w:t xml:space="preserve">项缺一不可</w:t>
            </w:r>
            <w:r>
              <w:rPr>
                <w:rFonts w:hint="eastAsia" w:ascii="宋体" w:hAnsi="宋体" w:eastAsia="宋体" w:cs="宋体"/>
                <w:b/>
                <w:bCs/>
                <w:color w:val="000000"/>
                <w:sz w:val="24"/>
                <w:szCs w:val="24"/>
                <w:highlight w:val="none"/>
                <w:lang w:val="en-US" w:eastAsia="zh-CN"/>
              </w:rPr>
              <w:t xml:space="preserve">，否则不得分</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r>
            <w:r/>
          </w:p>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eastAsia="zh-CN"/>
              </w:rPr>
              <w:t xml:space="preserve">）涉及设备的：</w:t>
            </w:r>
            <w:r>
              <w:rPr>
                <w:rFonts w:hint="eastAsia" w:ascii="宋体" w:hAnsi="宋体" w:eastAsia="宋体" w:cs="宋体"/>
                <w:color w:val="000000"/>
                <w:sz w:val="24"/>
                <w:szCs w:val="24"/>
                <w:highlight w:val="none"/>
                <w:lang w:val="zh-CN" w:eastAsia="zh-CN"/>
              </w:rPr>
            </w:r>
            <w:r/>
          </w:p>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①若为自有</w:t>
            </w:r>
            <w:r>
              <w:rPr>
                <w:rFonts w:hint="eastAsia" w:ascii="宋体" w:hAnsi="宋体" w:eastAsia="宋体" w:cs="宋体"/>
                <w:b/>
                <w:bCs/>
                <w:color w:val="000000"/>
                <w:sz w:val="24"/>
                <w:szCs w:val="24"/>
                <w:highlight w:val="none"/>
                <w:lang w:val="en-US" w:eastAsia="zh-CN"/>
              </w:rPr>
              <w:t xml:space="preserve">设备</w:t>
            </w:r>
            <w:r>
              <w:rPr>
                <w:rFonts w:hint="eastAsia" w:ascii="宋体" w:hAnsi="宋体" w:eastAsia="宋体" w:cs="宋体"/>
                <w:b/>
                <w:bCs/>
                <w:color w:val="000000"/>
                <w:sz w:val="24"/>
                <w:szCs w:val="24"/>
                <w:highlight w:val="none"/>
                <w:lang w:val="zh-CN" w:eastAsia="zh-CN"/>
              </w:rPr>
              <w:t xml:space="preserve">须提供</w:t>
            </w:r>
            <w:r>
              <w:rPr>
                <w:rFonts w:hint="eastAsia" w:ascii="宋体" w:hAnsi="宋体" w:eastAsia="宋体" w:cs="宋体"/>
                <w:b/>
                <w:bCs/>
                <w:color w:val="000000"/>
                <w:sz w:val="24"/>
                <w:szCs w:val="24"/>
                <w:highlight w:val="none"/>
                <w:lang w:val="en-US" w:eastAsia="zh-CN"/>
              </w:rPr>
              <w:t xml:space="preserve">购买</w:t>
            </w:r>
            <w:r>
              <w:rPr>
                <w:rFonts w:hint="eastAsia" w:ascii="宋体" w:hAnsi="宋体" w:eastAsia="宋体" w:cs="宋体"/>
                <w:b/>
                <w:bCs/>
                <w:color w:val="000000"/>
                <w:sz w:val="24"/>
                <w:szCs w:val="24"/>
                <w:highlight w:val="none"/>
                <w:lang w:val="zh-CN" w:eastAsia="zh-CN"/>
              </w:rPr>
              <w:t xml:space="preserve">发票，</w:t>
            </w:r>
            <w:r>
              <w:rPr>
                <w:rFonts w:hint="eastAsia" w:ascii="宋体" w:hAnsi="宋体" w:eastAsia="宋体" w:cs="宋体"/>
                <w:b/>
                <w:bCs/>
                <w:color w:val="000000"/>
                <w:sz w:val="24"/>
                <w:szCs w:val="24"/>
                <w:highlight w:val="none"/>
                <w:lang w:val="en-US" w:eastAsia="zh-CN"/>
              </w:rPr>
              <w:t xml:space="preserve">否则不得分</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r>
            <w:r/>
          </w:p>
          <w:p>
            <w:pPr>
              <w:pStyle w:val="1068"/>
              <w:numPr>
                <w:ilvl w:val="0"/>
                <w:numId w:val="0"/>
              </w:numPr>
              <w:ind w:left="0" w:right="0"/>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zh-CN" w:eastAsia="zh-CN"/>
              </w:rPr>
              <w:t xml:space="preserve">②若为租赁</w:t>
            </w:r>
            <w:r>
              <w:rPr>
                <w:rFonts w:hint="eastAsia" w:ascii="宋体" w:hAnsi="宋体" w:eastAsia="宋体" w:cs="宋体"/>
                <w:b/>
                <w:bCs/>
                <w:color w:val="000000"/>
                <w:sz w:val="24"/>
                <w:szCs w:val="24"/>
                <w:highlight w:val="none"/>
                <w:lang w:val="en-US" w:eastAsia="zh-CN"/>
              </w:rPr>
              <w:t xml:space="preserve">设备</w:t>
            </w:r>
            <w:r>
              <w:rPr>
                <w:rFonts w:hint="eastAsia" w:ascii="宋体" w:hAnsi="宋体" w:eastAsia="宋体" w:cs="宋体"/>
                <w:b/>
                <w:bCs/>
                <w:color w:val="000000"/>
                <w:sz w:val="24"/>
                <w:szCs w:val="24"/>
                <w:highlight w:val="none"/>
                <w:lang w:val="zh-CN" w:eastAsia="zh-CN"/>
              </w:rPr>
              <w:t xml:space="preserve">须提供租赁合同（</w:t>
            </w:r>
            <w:r>
              <w:rPr>
                <w:rFonts w:hint="eastAsia" w:ascii="宋体" w:hAnsi="宋体" w:eastAsia="宋体" w:cs="宋体"/>
                <w:b/>
                <w:bCs/>
                <w:color w:val="000000"/>
                <w:sz w:val="24"/>
                <w:szCs w:val="24"/>
                <w:highlight w:val="none"/>
                <w:lang w:val="en-US" w:eastAsia="zh-CN"/>
              </w:rPr>
              <w:t xml:space="preserve">租赁协议</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和招标公告发布之日前的租赁发票</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否则不得分。</w:t>
            </w:r>
            <w:r>
              <w:rPr>
                <w:rFonts w:hint="eastAsia" w:ascii="宋体" w:hAnsi="宋体" w:eastAsia="宋体" w:cs="宋体"/>
                <w:b/>
                <w:bCs/>
                <w:color w:val="000000"/>
                <w:sz w:val="24"/>
                <w:szCs w:val="24"/>
                <w:highlight w:val="none"/>
                <w:lang w:val="en-US" w:eastAsia="zh-CN"/>
              </w:rPr>
            </w:r>
            <w:r/>
          </w:p>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（3）同一车辆或同一设备，不重复计分。</w:t>
            </w:r>
            <w:r>
              <w:rPr>
                <w:rFonts w:hint="eastAsia" w:ascii="宋体" w:hAnsi="宋体" w:eastAsia="宋体" w:cs="宋体"/>
                <w:color w:val="000000"/>
                <w:sz w:val="24"/>
                <w:szCs w:val="24"/>
                <w:highlight w:val="none"/>
              </w:rPr>
            </w:r>
            <w:r/>
          </w:p>
        </w:tc>
      </w:tr>
      <w:tr>
        <w:trPr/>
        <w:tc>
          <w:tcPr>
            <w:gridSpan w:val="2"/>
            <w:tcW w:w="2210"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470" w:type="dxa"/>
            <w:vAlign w:val="center"/>
            <w:textDirection w:val="lrTb"/>
            <w:noWrap w:val="false"/>
          </w:tcPr>
          <w:p>
            <w:pPr>
              <w:pStyle w:val="106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198" w:type="dxa"/>
            <w:vAlign w:val="center"/>
            <w:textDirection w:val="lrTb"/>
            <w:noWrap w:val="false"/>
          </w:tcPr>
          <w:p>
            <w:pPr>
              <w:pStyle w:val="106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68"/>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68"/>
        <w:jc w:val="center"/>
        <w:spacing w:line="360" w:lineRule="auto"/>
        <w:rPr>
          <w:rFonts w:ascii="宋体" w:hAnsi="宋体"/>
          <w:b/>
          <w:color w:val="000000"/>
          <w:sz w:val="36"/>
          <w:szCs w:val="36"/>
          <w:highlight w:val="none"/>
        </w:rPr>
        <w:outlineLvl w:val="0"/>
      </w:pPr>
      <w:r/>
      <w:bookmarkStart w:id="814" w:name="_Toc99301424"/>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1068"/>
        <w:ind w:right="0" w:firstLine="482"/>
        <w:jc w:val="left"/>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一、采购</w:t>
      </w:r>
      <w:r>
        <w:rPr>
          <w:rFonts w:hint="eastAsia" w:ascii="宋体" w:hAnsi="宋体" w:eastAsia="宋体" w:cs="宋体"/>
          <w:b/>
          <w:bCs/>
          <w:color w:val="000000"/>
          <w:sz w:val="24"/>
          <w:szCs w:val="24"/>
          <w:highlight w:val="none"/>
          <w:lang w:val="en-US" w:eastAsia="zh-CN"/>
        </w:rPr>
        <w:t xml:space="preserve">服务清单及限价</w:t>
      </w:r>
      <w:r>
        <w:rPr>
          <w:rFonts w:hint="eastAsia" w:ascii="宋体" w:hAnsi="宋体" w:eastAsia="宋体" w:cs="宋体"/>
          <w:b/>
          <w:bCs/>
          <w:color w:val="000000"/>
          <w:sz w:val="24"/>
          <w:szCs w:val="24"/>
          <w:highlight w:val="none"/>
          <w:lang w:val="en-US" w:eastAsia="zh-CN"/>
        </w:rPr>
      </w:r>
      <w:r/>
    </w:p>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2026-2028年薛家道路保洁、绿化养护项目清单及最高限价</w:t>
      </w:r>
      <w:r>
        <w:rPr>
          <w:rFonts w:hint="eastAsia" w:ascii="宋体" w:hAnsi="宋体" w:eastAsia="宋体" w:cs="宋体"/>
          <w:b/>
          <w:bCs/>
          <w:color w:val="000000"/>
          <w:sz w:val="24"/>
          <w:szCs w:val="24"/>
          <w:highlight w:val="none"/>
          <w:lang w:val="en-US" w:eastAsia="zh-CN"/>
        </w:rPr>
      </w:r>
      <w:r/>
    </w:p>
    <w:tbl>
      <w:tblPr>
        <w:tblStyle w:val="11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09"/>
        <w:gridCol w:w="3371"/>
        <w:gridCol w:w="907"/>
        <w:gridCol w:w="700"/>
        <w:gridCol w:w="2184"/>
      </w:tblGrid>
      <w:tr>
        <w:trPr/>
        <w:tc>
          <w:tcPr>
            <w:tcW w:w="81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gridSpan w:val="2"/>
            <w:tcW w:w="4680"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项目名称</w:t>
            </w:r>
            <w:r>
              <w:rPr>
                <w:rFonts w:hint="eastAsia" w:ascii="宋体" w:hAnsi="宋体" w:eastAsia="宋体" w:cs="宋体"/>
                <w:b/>
                <w:bCs/>
                <w:color w:val="000000"/>
                <w:sz w:val="24"/>
                <w:szCs w:val="24"/>
                <w:highlight w:val="none"/>
                <w:vertAlign w:val="baseline"/>
                <w:lang w:val="en-US" w:eastAsia="zh-CN"/>
              </w:rPr>
            </w:r>
            <w:r/>
          </w:p>
        </w:tc>
        <w:tc>
          <w:tcPr>
            <w:tcW w:w="907"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rPr>
              <w:t xml:space="preserve">单位</w:t>
            </w:r>
            <w:r>
              <w:rPr>
                <w:rFonts w:hint="eastAsia" w:ascii="宋体" w:hAnsi="宋体" w:eastAsia="宋体" w:cs="宋体"/>
                <w:b/>
                <w:bCs/>
                <w:color w:val="000000"/>
                <w:sz w:val="24"/>
                <w:szCs w:val="24"/>
                <w:highlight w:val="none"/>
                <w:vertAlign w:val="baseline"/>
                <w:lang w:val="en-US" w:eastAsia="zh-CN" w:bidi="ar-SA"/>
              </w:rPr>
            </w:r>
            <w:r/>
          </w:p>
        </w:tc>
        <w:tc>
          <w:tcPr>
            <w:tcW w:w="700"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数量</w:t>
            </w:r>
            <w:r>
              <w:rPr>
                <w:rFonts w:hint="eastAsia" w:ascii="宋体" w:hAnsi="宋体" w:eastAsia="宋体" w:cs="宋体"/>
                <w:b/>
                <w:bCs/>
                <w:color w:val="000000"/>
                <w:sz w:val="24"/>
                <w:szCs w:val="24"/>
                <w:highlight w:val="none"/>
                <w:vertAlign w:val="baseline"/>
                <w:lang w:val="en-US" w:eastAsia="zh-CN"/>
              </w:rPr>
            </w:r>
            <w:r/>
          </w:p>
        </w:tc>
        <w:tc>
          <w:tcPr>
            <w:tcW w:w="2184"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最高限价（元/年）</w:t>
            </w:r>
            <w:r>
              <w:rPr>
                <w:rFonts w:hint="eastAsia" w:ascii="宋体" w:hAnsi="宋体" w:eastAsia="宋体" w:cs="宋体"/>
                <w:b/>
                <w:bCs/>
                <w:color w:val="000000"/>
                <w:sz w:val="24"/>
                <w:szCs w:val="24"/>
                <w:highlight w:val="none"/>
                <w:vertAlign w:val="baseline"/>
                <w:lang w:val="en-US" w:eastAsia="zh-CN"/>
              </w:rPr>
            </w:r>
            <w:r/>
          </w:p>
        </w:tc>
      </w:tr>
      <w:tr>
        <w:trPr/>
        <w:tc>
          <w:tcPr>
            <w:tcW w:w="81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gridSpan w:val="2"/>
            <w:tcW w:w="4680"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道路保洁</w:t>
            </w:r>
            <w:r>
              <w:rPr>
                <w:rFonts w:hint="eastAsia" w:ascii="宋体" w:hAnsi="宋体" w:eastAsia="宋体" w:cs="宋体"/>
                <w:color w:val="000000"/>
                <w:sz w:val="24"/>
                <w:szCs w:val="24"/>
                <w:highlight w:val="none"/>
                <w:vertAlign w:val="baseline"/>
                <w:lang w:val="en-US" w:eastAsia="zh-CN"/>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3462700.00</w:t>
            </w:r>
            <w:r>
              <w:rPr>
                <w:rFonts w:hint="eastAsia" w:ascii="宋体" w:hAnsi="宋体" w:eastAsia="宋体" w:cs="宋体"/>
                <w:color w:val="000000"/>
                <w:sz w:val="24"/>
                <w:szCs w:val="24"/>
                <w:highlight w:val="none"/>
                <w:vertAlign w:val="baseline"/>
                <w:lang w:val="en-US" w:eastAsia="zh-CN"/>
              </w:rPr>
            </w:r>
            <w:r/>
          </w:p>
        </w:tc>
      </w:tr>
      <w:tr>
        <w:trPr/>
        <w:tc>
          <w:tcPr>
            <w:tcW w:w="81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gridSpan w:val="2"/>
            <w:tcW w:w="4680"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公厕、垃圾中转站水电费及维修</w:t>
            </w:r>
            <w:r>
              <w:rPr>
                <w:rFonts w:hint="eastAsia" w:ascii="宋体" w:hAnsi="宋体" w:eastAsia="宋体" w:cs="宋体"/>
                <w:color w:val="000000"/>
                <w:sz w:val="24"/>
                <w:szCs w:val="24"/>
                <w:highlight w:val="none"/>
                <w:vertAlign w:val="baseline"/>
                <w:lang w:val="en-US" w:eastAsia="zh-CN"/>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208000.00</w:t>
            </w:r>
            <w:r>
              <w:rPr>
                <w:rFonts w:hint="eastAsia" w:ascii="宋体" w:hAnsi="宋体" w:eastAsia="宋体" w:cs="宋体"/>
                <w:color w:val="000000"/>
                <w:sz w:val="24"/>
                <w:szCs w:val="24"/>
                <w:highlight w:val="none"/>
                <w:vertAlign w:val="baseline"/>
                <w:lang w:val="en-US" w:eastAsia="zh-CN"/>
              </w:rPr>
            </w:r>
            <w:r/>
          </w:p>
        </w:tc>
      </w:tr>
      <w:tr>
        <w:trPr/>
        <w:tc>
          <w:tcPr>
            <w:tcW w:w="81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1309" w:type="dxa"/>
            <w:vAlign w:val="center"/>
            <w:vMerge w:val="restart"/>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绿化养护</w:t>
            </w:r>
            <w:r>
              <w:rPr>
                <w:rFonts w:hint="eastAsia" w:ascii="宋体" w:hAnsi="宋体" w:eastAsia="宋体" w:cs="宋体"/>
                <w:color w:val="000000"/>
                <w:sz w:val="24"/>
                <w:szCs w:val="24"/>
                <w:highlight w:val="none"/>
                <w:vertAlign w:val="baseline"/>
                <w:lang w:val="en-US" w:eastAsia="zh-CN"/>
              </w:rPr>
            </w:r>
            <w:r/>
          </w:p>
        </w:tc>
        <w:tc>
          <w:tcPr>
            <w:tcW w:w="3371"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镇区绿化</w:t>
            </w:r>
            <w:r>
              <w:rPr>
                <w:rFonts w:hint="eastAsia" w:ascii="宋体" w:hAnsi="宋体" w:eastAsia="宋体" w:cs="宋体"/>
                <w:color w:val="000000"/>
                <w:sz w:val="24"/>
                <w:szCs w:val="24"/>
                <w:highlight w:val="none"/>
                <w:vertAlign w:val="baseline"/>
                <w:lang w:val="en-US" w:eastAsia="zh-CN"/>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1640874.00</w:t>
            </w:r>
            <w:r>
              <w:rPr>
                <w:rFonts w:hint="eastAsia" w:ascii="宋体" w:hAnsi="宋体" w:eastAsia="宋体" w:cs="宋体"/>
                <w:color w:val="000000"/>
                <w:sz w:val="24"/>
                <w:szCs w:val="24"/>
                <w:highlight w:val="none"/>
                <w:vertAlign w:val="baseline"/>
                <w:lang w:val="en-US" w:eastAsia="zh-CN"/>
              </w:rPr>
            </w:r>
            <w:r/>
          </w:p>
        </w:tc>
      </w:tr>
      <w:tr>
        <w:trPr/>
        <w:tc>
          <w:tcPr>
            <w:tcW w:w="81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1309" w:type="dxa"/>
            <w:vAlign w:val="center"/>
            <w:vMerge w:val="continue"/>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371"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外围绿化</w:t>
            </w:r>
            <w:r>
              <w:rPr>
                <w:rFonts w:hint="eastAsia" w:ascii="宋体" w:hAnsi="宋体" w:eastAsia="宋体" w:cs="宋体"/>
                <w:color w:val="000000"/>
                <w:sz w:val="24"/>
                <w:szCs w:val="24"/>
                <w:highlight w:val="none"/>
                <w:vertAlign w:val="baseline"/>
                <w:lang w:val="en-US" w:eastAsia="zh-CN" w:bidi="ar-SA"/>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bidi="ar-SA"/>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1387699.85</w:t>
            </w:r>
            <w:r>
              <w:rPr>
                <w:rFonts w:hint="eastAsia" w:ascii="宋体" w:hAnsi="宋体" w:eastAsia="宋体" w:cs="宋体"/>
                <w:color w:val="000000"/>
                <w:sz w:val="24"/>
                <w:szCs w:val="24"/>
                <w:highlight w:val="none"/>
                <w:vertAlign w:val="baseline"/>
                <w:lang w:val="en-US" w:eastAsia="zh-CN" w:bidi="ar-SA"/>
              </w:rPr>
            </w:r>
            <w:r/>
          </w:p>
        </w:tc>
      </w:tr>
      <w:tr>
        <w:trPr/>
        <w:tc>
          <w:tcPr>
            <w:tcW w:w="81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1309" w:type="dxa"/>
            <w:vAlign w:val="top"/>
            <w:vMerge w:val="continue"/>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371"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城际铁路和沪宁高速沿线</w:t>
            </w:r>
            <w:r>
              <w:rPr>
                <w:rFonts w:hint="eastAsia" w:ascii="宋体" w:hAnsi="宋体" w:eastAsia="宋体" w:cs="宋体"/>
                <w:color w:val="000000"/>
                <w:sz w:val="24"/>
                <w:szCs w:val="24"/>
                <w:highlight w:val="none"/>
                <w:vertAlign w:val="baseline"/>
                <w:lang w:val="en-US" w:eastAsia="zh-CN"/>
              </w:rPr>
            </w:r>
            <w:r/>
          </w:p>
        </w:tc>
        <w:tc>
          <w:tcPr>
            <w:tcW w:w="90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bidi="ar-SA"/>
              </w:rPr>
            </w:r>
            <w:r/>
          </w:p>
        </w:tc>
        <w:tc>
          <w:tcPr>
            <w:tcW w:w="700"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759360.00</w:t>
            </w:r>
            <w:r>
              <w:rPr>
                <w:rFonts w:hint="eastAsia" w:ascii="宋体" w:hAnsi="宋体" w:eastAsia="宋体" w:cs="宋体"/>
                <w:color w:val="000000"/>
                <w:sz w:val="24"/>
                <w:szCs w:val="24"/>
                <w:highlight w:val="none"/>
                <w:vertAlign w:val="baseline"/>
                <w:lang w:val="en-US" w:eastAsia="zh-CN" w:bidi="ar-SA"/>
              </w:rPr>
            </w:r>
            <w:r/>
          </w:p>
        </w:tc>
      </w:tr>
      <w:tr>
        <w:trPr/>
        <w:tc>
          <w:tcPr>
            <w:gridSpan w:val="5"/>
            <w:tcW w:w="7102"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合计</w:t>
            </w:r>
            <w:r>
              <w:rPr>
                <w:rFonts w:hint="eastAsia" w:ascii="宋体" w:hAnsi="宋体" w:eastAsia="宋体" w:cs="宋体"/>
                <w:color w:val="000000"/>
                <w:sz w:val="24"/>
                <w:szCs w:val="24"/>
                <w:highlight w:val="none"/>
                <w:vertAlign w:val="baseline"/>
                <w:lang w:val="en-US" w:eastAsia="zh-CN" w:bidi="ar-SA"/>
              </w:rPr>
            </w:r>
            <w:r/>
          </w:p>
        </w:tc>
        <w:tc>
          <w:tcPr>
            <w:tcW w:w="2184"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7458633.85</w:t>
            </w:r>
            <w:r>
              <w:rPr>
                <w:rFonts w:hint="eastAsia" w:ascii="宋体" w:hAnsi="宋体" w:eastAsia="宋体" w:cs="宋体"/>
                <w:color w:val="000000"/>
                <w:sz w:val="24"/>
                <w:szCs w:val="24"/>
                <w:highlight w:val="none"/>
                <w:vertAlign w:val="baseline"/>
                <w:lang w:val="en-US" w:eastAsia="zh-CN"/>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1.薛家道路保洁清单及最高限价</w:t>
      </w:r>
      <w:r>
        <w:rPr>
          <w:rFonts w:hint="eastAsia" w:ascii="宋体" w:hAnsi="宋体" w:eastAsia="宋体" w:cs="宋体"/>
          <w:b/>
          <w:bCs/>
          <w:color w:val="000000"/>
          <w:sz w:val="24"/>
          <w:szCs w:val="24"/>
          <w:highlight w:val="none"/>
          <w:lang w:val="en-US" w:eastAsia="zh-CN"/>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811"/>
        <w:gridCol w:w="2662"/>
        <w:gridCol w:w="1977"/>
        <w:gridCol w:w="1214"/>
        <w:gridCol w:w="1199"/>
        <w:gridCol w:w="1418"/>
      </w:tblGrid>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路名</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长宽（</w:t>
            </w:r>
            <w:r>
              <w:rPr>
                <w:rFonts w:hint="eastAsia" w:ascii="宋体" w:hAnsi="宋体" w:eastAsia="宋体" w:cs="宋体"/>
                <w:b/>
                <w:bCs/>
                <w:color w:val="000000"/>
                <w:sz w:val="24"/>
                <w:szCs w:val="24"/>
                <w:highlight w:val="none"/>
                <w:lang w:val="en-US" w:eastAsia="zh-CN" w:bidi="ar"/>
              </w:rPr>
              <w:t xml:space="preserve">m</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面积（㎡）</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道板（㎡）</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2600*22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57200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包括新晨路</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奥园路南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凤翔路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建业路南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薛冶路南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漕河园区路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后肖园区路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勤奋路南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正强路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富强路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126*9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富康路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凤玉路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4400*12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漕河路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南漕河路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中山路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4920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庆南电镀厂西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南广场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116783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龙城大道-</w:t>
            </w:r>
            <w:r>
              <w:rPr>
                <w:rStyle w:val="1322"/>
                <w:rFonts w:hint="eastAsia" w:ascii="宋体" w:hAnsi="宋体" w:eastAsia="宋体" w:cs="宋体"/>
                <w:color w:val="000000"/>
                <w:sz w:val="24"/>
                <w:szCs w:val="24"/>
                <w:highlight w:val="none"/>
                <w:lang w:bidi="ar"/>
              </w:rPr>
              <w:t xml:space="preserve">黄河路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148630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河海路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春江路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114040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德胜河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113260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龙城大道-</w:t>
            </w:r>
            <w:r>
              <w:rPr>
                <w:rStyle w:val="1322"/>
                <w:rFonts w:hint="eastAsia" w:ascii="宋体" w:hAnsi="宋体" w:eastAsia="宋体" w:cs="宋体"/>
                <w:color w:val="000000"/>
                <w:sz w:val="24"/>
                <w:szCs w:val="24"/>
                <w:highlight w:val="none"/>
                <w:lang w:bidi="ar"/>
              </w:rPr>
              <w:t xml:space="preserve">黄河路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79200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春江路指示牌-</w:t>
            </w:r>
            <w:r>
              <w:rPr>
                <w:rStyle w:val="1322"/>
                <w:rFonts w:hint="eastAsia" w:ascii="宋体" w:hAnsi="宋体" w:eastAsia="宋体" w:cs="宋体"/>
                <w:color w:val="000000"/>
                <w:sz w:val="24"/>
                <w:szCs w:val="24"/>
                <w:highlight w:val="none"/>
                <w:lang w:bidi="ar"/>
              </w:rPr>
              <w:t xml:space="preserve">彩钢厂围墙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187200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机场路绿道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天山路-</w:t>
            </w:r>
            <w:r>
              <w:rPr>
                <w:rStyle w:val="1322"/>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汉江路绿道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w:t>
            </w:r>
            <w:r>
              <w:rPr>
                <w:rStyle w:val="1322"/>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吕汤路（黄河路至运河路）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4500*18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81000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吕西路（黄河路至汉江路）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汉江路（德胜河至吕西桥）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河海路（吕汤路至吕西路）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吕墅工业园区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德胜北路（吕汤路至德胜桥）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17500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清明路（德胜南路至德胜北路）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吕墅小学门前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200*120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德胜南路（吕汤路至吕墅中学）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吕墅四路（吕墅西路-</w:t>
            </w:r>
            <w:r>
              <w:rPr>
                <w:rStyle w:val="1323"/>
                <w:rFonts w:hint="eastAsia" w:ascii="宋体" w:hAnsi="宋体" w:eastAsia="宋体" w:cs="宋体"/>
                <w:color w:val="000000"/>
                <w:sz w:val="24"/>
                <w:szCs w:val="24"/>
                <w:highlight w:val="none"/>
                <w:lang w:bidi="ar"/>
              </w:rPr>
              <w:t xml:space="preserve">吕汤路）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吕墅二路（汉江路-</w:t>
            </w:r>
            <w:r>
              <w:rPr>
                <w:rStyle w:val="1323"/>
                <w:rFonts w:hint="eastAsia" w:ascii="宋体" w:hAnsi="宋体" w:eastAsia="宋体" w:cs="宋体"/>
                <w:color w:val="000000"/>
                <w:sz w:val="24"/>
                <w:szCs w:val="24"/>
                <w:highlight w:val="none"/>
                <w:lang w:bidi="ar"/>
              </w:rPr>
              <w:t xml:space="preserve">吕四路）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Style w:val="1323"/>
                <w:rFonts w:hint="eastAsia" w:ascii="宋体" w:hAnsi="宋体" w:eastAsia="宋体" w:cs="宋体"/>
                <w:color w:val="000000"/>
                <w:sz w:val="24"/>
                <w:szCs w:val="24"/>
                <w:highlight w:val="none"/>
                <w:lang w:bidi="ar"/>
              </w:rPr>
              <w:t xml:space="preserve">春江路南端、红河路、漕河路</w:t>
            </w:r>
            <w:r>
              <w:rPr>
                <w:rFonts w:hint="eastAsia" w:ascii="宋体" w:hAnsi="宋体" w:eastAsia="宋体" w:cs="宋体"/>
                <w:color w:val="000000"/>
                <w:sz w:val="24"/>
                <w:szCs w:val="24"/>
                <w:highlight w:val="none"/>
                <w:lang w:bidi="ar"/>
              </w:rPr>
              <w:t xml:space="preserve">9</w:t>
            </w:r>
            <w:r>
              <w:rPr>
                <w:rStyle w:val="1323"/>
                <w:rFonts w:hint="eastAsia" w:ascii="宋体" w:hAnsi="宋体" w:eastAsia="宋体" w:cs="宋体"/>
                <w:color w:val="000000"/>
                <w:sz w:val="24"/>
                <w:szCs w:val="24"/>
                <w:highlight w:val="none"/>
                <w:lang w:bidi="ar"/>
              </w:rPr>
              <w:t xml:space="preserve">号、晨光树脂门前、多棱多路、龙江北路</w:t>
            </w:r>
            <w:r>
              <w:rPr>
                <w:rFonts w:hint="eastAsia" w:ascii="宋体" w:hAnsi="宋体" w:eastAsia="宋体" w:cs="宋体"/>
                <w:color w:val="000000"/>
                <w:sz w:val="24"/>
                <w:szCs w:val="24"/>
                <w:highlight w:val="none"/>
                <w:lang w:bidi="ar"/>
              </w:rPr>
              <w:t xml:space="preserve">10-1</w:t>
            </w:r>
            <w:r>
              <w:rPr>
                <w:rStyle w:val="1323"/>
                <w:rFonts w:hint="eastAsia" w:ascii="宋体" w:hAnsi="宋体" w:eastAsia="宋体" w:cs="宋体"/>
                <w:color w:val="000000"/>
                <w:sz w:val="24"/>
                <w:szCs w:val="24"/>
                <w:highlight w:val="none"/>
                <w:lang w:bidi="ar"/>
              </w:rPr>
              <w:t xml:space="preserve">门前道路等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16617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中心公园保洁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易腐垃圾处理点5</w:t>
            </w:r>
            <w:r>
              <w:rPr>
                <w:rStyle w:val="1322"/>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奥园路北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建业路北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薛冶路北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勤奋北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科勒路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280*20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丰田路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780*12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9360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金融路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6148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瀛平路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2700*10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24735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730*30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21900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丽园路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3300*11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22106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锦园路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900*7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希望路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10580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南北街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北环西路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对窑路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常蒸厂西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240*4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庆南电镀厂西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玉龙桥下</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325*40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玉龙桥匝道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550*14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7700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5752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农贸市场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7568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颜塘公园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16662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政府周边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新七路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1280</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lang w:bidi="ar"/>
              </w:rPr>
              <w:t xml:space="preserve">*12</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15360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虎丘路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330</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lang w:bidi="ar"/>
              </w:rPr>
              <w:t xml:space="preserve">*12</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黄河路-</w:t>
            </w:r>
            <w:r>
              <w:rPr>
                <w:rStyle w:val="1322"/>
                <w:rFonts w:hint="eastAsia" w:ascii="宋体" w:hAnsi="宋体" w:eastAsia="宋体" w:cs="宋体"/>
                <w:color w:val="000000"/>
                <w:sz w:val="24"/>
                <w:szCs w:val="24"/>
                <w:highlight w:val="none"/>
                <w:lang w:bidi="ar"/>
              </w:rPr>
              <w:t xml:space="preserve">龙魏路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黄河路-</w:t>
            </w:r>
            <w:r>
              <w:rPr>
                <w:rStyle w:val="1322"/>
                <w:rFonts w:hint="eastAsia" w:ascii="宋体" w:hAnsi="宋体" w:eastAsia="宋体" w:cs="宋体"/>
                <w:color w:val="000000"/>
                <w:sz w:val="24"/>
                <w:szCs w:val="24"/>
                <w:highlight w:val="none"/>
                <w:lang w:bidi="ar"/>
              </w:rPr>
              <w:t xml:space="preserve">玉龙桥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黄河西路</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包家桥</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186000</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13200</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冲洒5</w:t>
            </w:r>
            <w:r>
              <w:rPr>
                <w:rStyle w:val="1322"/>
                <w:rFonts w:hint="eastAsia" w:ascii="宋体" w:hAnsi="宋体" w:eastAsia="宋体" w:cs="宋体"/>
                <w:color w:val="000000"/>
                <w:sz w:val="24"/>
                <w:szCs w:val="24"/>
                <w:highlight w:val="none"/>
                <w:lang w:bidi="ar"/>
              </w:rPr>
              <w:t xml:space="preserve">遍</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top"/>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生命健康产业园区保洁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419336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吴家场、对窑村保洁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新增农民乐园，扣除松林别墅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103160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雁荡公园、北广场、雁荡河两侧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春江路北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1047米*30米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奥园路南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其他薛家镇区域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道路为覆盖死角</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薛家园区道路</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河海路-龙江路</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5400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2700112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185141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总计</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2885253</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c>
          <w:tcPr>
            <w:gridSpan w:val="3"/>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费用合计</w:t>
            </w:r>
            <w:r>
              <w:rPr>
                <w:rFonts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831"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vertAlign w:val="baseline"/>
                <w:lang w:val="en-US" w:eastAsia="zh-CN"/>
              </w:rPr>
              <w:t xml:space="preserve">3462700.0元/年</w:t>
            </w:r>
            <w:r>
              <w:rPr>
                <w:rFonts w:hint="eastAsia" w:ascii="宋体" w:hAnsi="宋体" w:eastAsia="宋体" w:cs="宋体"/>
                <w:color w:val="000000"/>
                <w:sz w:val="24"/>
                <w:szCs w:val="24"/>
                <w:highlight w:val="none"/>
                <w:lang w:val="en-US" w:eastAsia="zh-CN"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2.公厕、垃圾中转站水电费及维修费清单及最高限价</w:t>
      </w:r>
      <w:r>
        <w:rPr>
          <w:rFonts w:hint="eastAsia" w:ascii="宋体" w:hAnsi="宋体" w:eastAsia="宋体" w:cs="宋体"/>
          <w:b/>
          <w:bCs/>
          <w:color w:val="000000"/>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856"/>
        <w:gridCol w:w="1469"/>
        <w:gridCol w:w="1577"/>
        <w:gridCol w:w="1555"/>
        <w:gridCol w:w="1589"/>
      </w:tblGrid>
      <w:tr>
        <w:trPr>
          <w:trHeight w:val="510"/>
        </w:trPr>
        <w:tc>
          <w:tcPr>
            <w:gridSpan w:val="6"/>
            <w:tcW w:w="9288" w:type="dxa"/>
            <w:vAlign w:val="center"/>
            <w:textDirection w:val="lrTb"/>
            <w:noWrap/>
          </w:tcPr>
          <w:p>
            <w:pPr>
              <w:pStyle w:val="1068"/>
              <w:jc w:val="both"/>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rPr>
              <w:t xml:space="preserve">公厕水电费及维修费</w:t>
            </w:r>
            <w:r>
              <w:rPr>
                <w:rFonts w:hint="eastAsia" w:ascii="宋体" w:hAnsi="宋体" w:eastAsia="宋体" w:cs="宋体"/>
                <w:b/>
                <w:bCs/>
                <w:color w:val="000000"/>
                <w:sz w:val="24"/>
                <w:szCs w:val="24"/>
                <w:highlight w:val="none"/>
                <w:lang w:val="en-US" w:eastAsia="zh-CN" w:bidi="ar"/>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公厕名称</w:t>
            </w:r>
            <w:r>
              <w:rPr>
                <w:rFonts w:hint="eastAsia" w:ascii="宋体" w:hAnsi="宋体" w:eastAsia="宋体" w:cs="宋体"/>
                <w:b/>
                <w:bCs/>
                <w:color w:val="000000"/>
                <w:sz w:val="24"/>
                <w:szCs w:val="24"/>
                <w:highlight w:val="none"/>
                <w:lang w:val="en-US" w:eastAsia="zh-CN" w:bidi="ar-SA"/>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吕墅幼儿园旁</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吕墅菜场南</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童子路北</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童子路南</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shd w:val="clear" w:color="auto" w:fill="ffffff"/>
            <w:tcW w:w="100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九村东侧商铺公厕</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国土所公厕</w:t>
            </w:r>
            <w:r>
              <w:rPr>
                <w:rFonts w:hint="eastAsia" w:ascii="宋体" w:hAnsi="宋体" w:eastAsia="宋体" w:cs="宋体"/>
                <w:color w:val="000000"/>
                <w:sz w:val="24"/>
                <w:szCs w:val="24"/>
                <w:highlight w:val="none"/>
              </w:rPr>
            </w:r>
            <w:r/>
          </w:p>
        </w:tc>
        <w:tc>
          <w:tcPr>
            <w:shd w:val="clear" w:color="auto" w:fill="ffffff"/>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七天小公园</w:t>
            </w:r>
            <w:r>
              <w:rPr>
                <w:rFonts w:hint="eastAsia" w:ascii="宋体" w:hAnsi="宋体" w:eastAsia="宋体" w:cs="宋体"/>
                <w:color w:val="000000"/>
                <w:sz w:val="24"/>
                <w:szCs w:val="24"/>
                <w:highlight w:val="none"/>
              </w:rPr>
            </w:r>
            <w:r/>
          </w:p>
        </w:tc>
        <w:tc>
          <w:tcPr>
            <w:shd w:val="clear" w:color="auto" w:fill="ffffff"/>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庆阳路公厕</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北广场公厕</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薛家北街公厕</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松林桥</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步行街公厕</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中心公园南</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中心公园北</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4000</w:t>
            </w:r>
            <w:r>
              <w:rPr>
                <w:rFonts w:hint="eastAsia" w:ascii="宋体" w:hAnsi="宋体" w:eastAsia="宋体" w:cs="宋体"/>
                <w:color w:val="000000"/>
                <w:sz w:val="24"/>
                <w:szCs w:val="24"/>
                <w:highlight w:val="none"/>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临平路公厕</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88000</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28000</w:t>
            </w:r>
            <w:r>
              <w:rPr>
                <w:rFonts w:hint="eastAsia" w:ascii="宋体" w:hAnsi="宋体" w:eastAsia="宋体" w:cs="宋体"/>
                <w:color w:val="000000"/>
                <w:sz w:val="24"/>
                <w:szCs w:val="24"/>
                <w:highlight w:val="none"/>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36000</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rPr>
            </w:r>
            <w:r/>
          </w:p>
        </w:tc>
      </w:tr>
      <w:tr>
        <w:trPr>
          <w:trHeight w:val="510"/>
        </w:trPr>
        <w:tc>
          <w:tcPr>
            <w:gridSpan w:val="6"/>
            <w:tcW w:w="9288" w:type="dxa"/>
            <w:vAlign w:val="center"/>
            <w:textDirection w:val="lrTb"/>
            <w:noWrap/>
          </w:tcPr>
          <w:p>
            <w:pPr>
              <w:pStyle w:val="1068"/>
              <w:jc w:val="both"/>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二、</w:t>
            </w:r>
            <w:r>
              <w:rPr>
                <w:rFonts w:hint="eastAsia" w:ascii="宋体" w:hAnsi="宋体" w:eastAsia="宋体" w:cs="宋体"/>
                <w:b/>
                <w:bCs/>
                <w:color w:val="000000"/>
                <w:sz w:val="24"/>
                <w:szCs w:val="24"/>
                <w:highlight w:val="none"/>
                <w:lang w:val="en-US" w:eastAsia="zh-CN"/>
              </w:rPr>
              <w:t xml:space="preserve">垃圾中转站维修费</w:t>
            </w:r>
            <w:r>
              <w:rPr>
                <w:rFonts w:hint="eastAsia" w:ascii="宋体" w:hAnsi="宋体" w:eastAsia="宋体" w:cs="宋体"/>
                <w:color w:val="000000"/>
                <w:sz w:val="24"/>
                <w:szCs w:val="24"/>
                <w:highlight w:val="none"/>
                <w:lang w:val="en-US" w:eastAsia="zh-CN"/>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lang w:val="en-US" w:eastAsia="zh-CN" w:bidi="ar-SA"/>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W w:w="65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r>
            <w:r/>
          </w:p>
        </w:tc>
        <w:tc>
          <w:tcPr>
            <w:shd w:val="clear" w:color="auto" w:fill="ffffff"/>
            <w:tcW w:w="100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中转站</w:t>
            </w:r>
            <w:r>
              <w:rPr>
                <w:rFonts w:hint="eastAsia" w:ascii="宋体" w:hAnsi="宋体" w:eastAsia="宋体" w:cs="宋体"/>
                <w:color w:val="000000"/>
                <w:sz w:val="24"/>
                <w:szCs w:val="24"/>
                <w:highlight w:val="none"/>
                <w:lang w:val="en-US" w:eastAsia="zh-CN"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SA"/>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60000</w:t>
            </w:r>
            <w:r>
              <w:rPr>
                <w:rFonts w:hint="eastAsia" w:ascii="宋体" w:hAnsi="宋体" w:eastAsia="宋体" w:cs="宋体"/>
                <w:color w:val="000000"/>
                <w:sz w:val="24"/>
                <w:szCs w:val="24"/>
                <w:highlight w:val="none"/>
                <w:lang w:val="en-US" w:eastAsia="zh-CN" w:bidi="ar-SA"/>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三、总计</w:t>
            </w:r>
            <w:r>
              <w:rPr>
                <w:rFonts w:hint="eastAsia" w:ascii="宋体" w:hAnsi="宋体" w:eastAsia="宋体" w:cs="宋体"/>
                <w:color w:val="000000"/>
                <w:sz w:val="24"/>
                <w:szCs w:val="24"/>
                <w:highlight w:val="none"/>
                <w:lang w:bidi="ar"/>
              </w:rPr>
            </w:r>
            <w:r/>
          </w:p>
        </w:tc>
        <w:tc>
          <w:tcPr>
            <w:gridSpan w:val="4"/>
            <w:tcW w:w="6190"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公厕水电费+公厕维修费+垃圾中转站维修费</w:t>
            </w:r>
            <w:r>
              <w:rPr>
                <w:rFonts w:ascii="宋体" w:hAnsi="宋体" w:eastAsia="宋体" w:cs="宋体"/>
                <w:color w:val="000000"/>
                <w:sz w:val="24"/>
                <w:szCs w:val="24"/>
                <w:highlight w:val="none"/>
                <w:lang w:val="en-US"/>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年份</w:t>
            </w:r>
            <w:r>
              <w:rPr>
                <w:rFonts w:ascii="宋体" w:hAnsi="宋体" w:eastAsia="宋体" w:cs="宋体"/>
                <w:b/>
                <w:bCs/>
                <w:color w:val="000000"/>
                <w:sz w:val="24"/>
                <w:szCs w:val="24"/>
                <w:highlight w:val="none"/>
                <w:lang w:val="en-US" w:eastAsia="zh-CN"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2026年</w:t>
            </w:r>
            <w:r>
              <w:rPr>
                <w:rFonts w:hint="eastAsia" w:ascii="宋体" w:hAnsi="宋体" w:eastAsia="宋体" w:cs="宋体"/>
                <w:color w:val="000000"/>
                <w:sz w:val="24"/>
                <w:szCs w:val="24"/>
                <w:highlight w:val="none"/>
                <w:lang w:val="en-US" w:eastAsia="zh-CN" w:bidi="ar-SA"/>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2027年</w:t>
            </w:r>
            <w:r>
              <w:rPr>
                <w:rFonts w:hint="eastAsia" w:ascii="宋体" w:hAnsi="宋体" w:eastAsia="宋体" w:cs="宋体"/>
                <w:color w:val="000000"/>
                <w:sz w:val="24"/>
                <w:szCs w:val="24"/>
                <w:highlight w:val="none"/>
                <w:lang w:val="en-US" w:eastAsia="zh-CN" w:bidi="ar-SA"/>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2028年</w:t>
            </w:r>
            <w:r>
              <w:rPr>
                <w:rFonts w:hint="eastAsia" w:ascii="宋体" w:hAnsi="宋体" w:eastAsia="宋体" w:cs="宋体"/>
                <w:color w:val="000000"/>
                <w:sz w:val="24"/>
                <w:szCs w:val="24"/>
                <w:highlight w:val="none"/>
                <w:lang w:val="en-US" w:eastAsia="zh-CN" w:bidi="ar-SA"/>
              </w:rPr>
            </w:r>
            <w:r/>
          </w:p>
        </w:tc>
      </w:tr>
      <w:tr>
        <w:trPr>
          <w:trHeight w:val="510"/>
        </w:trPr>
        <w:tc>
          <w:tcPr>
            <w:gridSpan w:val="2"/>
            <w:tcW w:w="3098"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单年总计</w:t>
            </w:r>
            <w:r>
              <w:rPr>
                <w:rFonts w:hint="eastAsia" w:ascii="宋体" w:hAnsi="宋体" w:eastAsia="宋体" w:cs="宋体"/>
                <w:b/>
                <w:bCs/>
                <w:color w:val="000000"/>
                <w:sz w:val="24"/>
                <w:szCs w:val="24"/>
                <w:highlight w:val="none"/>
                <w:lang w:val="en-US" w:eastAsia="zh-CN" w:bidi="ar"/>
              </w:rPr>
            </w:r>
            <w:r/>
          </w:p>
        </w:tc>
        <w:tc>
          <w:tcPr>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176000</w:t>
            </w:r>
            <w:r>
              <w:rPr>
                <w:rFonts w:hint="eastAsia" w:ascii="宋体" w:hAnsi="宋体" w:eastAsia="宋体" w:cs="宋体"/>
                <w:color w:val="000000"/>
                <w:sz w:val="24"/>
                <w:szCs w:val="24"/>
                <w:highlight w:val="none"/>
                <w:lang w:val="en-US" w:eastAsia="zh-CN" w:bidi="ar-SA"/>
              </w:rPr>
            </w:r>
            <w:r/>
          </w:p>
        </w:tc>
        <w:tc>
          <w:tcPr>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184000</w:t>
            </w:r>
            <w:r>
              <w:rPr>
                <w:rFonts w:hint="eastAsia" w:ascii="宋体" w:hAnsi="宋体" w:eastAsia="宋体" w:cs="宋体"/>
                <w:color w:val="000000"/>
                <w:sz w:val="24"/>
                <w:szCs w:val="24"/>
                <w:highlight w:val="none"/>
                <w:lang w:val="en-US" w:eastAsia="zh-CN" w:bidi="ar-SA"/>
              </w:rPr>
            </w:r>
            <w:r/>
          </w:p>
        </w:tc>
        <w:tc>
          <w:tcPr>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208000</w:t>
            </w:r>
            <w:r>
              <w:rPr>
                <w:rFonts w:hint="eastAsia" w:ascii="宋体" w:hAnsi="宋体" w:eastAsia="宋体" w:cs="宋体"/>
                <w:color w:val="000000"/>
                <w:sz w:val="24"/>
                <w:szCs w:val="24"/>
                <w:highlight w:val="none"/>
                <w:lang w:val="en-US" w:eastAsia="zh-CN" w:bidi="ar-SA"/>
              </w:rPr>
            </w:r>
            <w:r/>
          </w:p>
        </w:tc>
      </w:tr>
      <w:tr>
        <w:trPr>
          <w:trHeight w:val="510"/>
        </w:trPr>
        <w:tc>
          <w:tcPr>
            <w:gridSpan w:val="6"/>
            <w:tcW w:w="9288" w:type="dxa"/>
            <w:vAlign w:val="center"/>
            <w:textDirection w:val="lrTb"/>
            <w:noWrap/>
          </w:tcPr>
          <w:p>
            <w:pPr>
              <w:pStyle w:val="1068"/>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注：2025年10月1日-2027年9月30日部分公厕维保期内，维保期内公厕不再支付维保费，维保外的公厕维保费用为4000元/座/年。</w:t>
            </w:r>
            <w:r>
              <w:rPr>
                <w:rFonts w:hint="eastAsia" w:ascii="宋体" w:hAnsi="宋体" w:eastAsia="宋体" w:cs="宋体"/>
                <w:color w:val="000000"/>
                <w:sz w:val="24"/>
                <w:szCs w:val="24"/>
                <w:highlight w:val="none"/>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3.镇区绿化养护清单及最高限价</w:t>
      </w:r>
      <w:r>
        <w:rPr>
          <w:rFonts w:hint="eastAsia" w:ascii="宋体" w:hAnsi="宋体" w:eastAsia="宋体" w:cs="宋体"/>
          <w:b/>
          <w:bCs/>
          <w:color w:val="000000"/>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766"/>
        <w:gridCol w:w="955"/>
        <w:gridCol w:w="1159"/>
        <w:gridCol w:w="1404"/>
        <w:gridCol w:w="2290"/>
      </w:tblGrid>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489"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Style w:val="1324"/>
                <w:rFonts w:hint="eastAsia" w:ascii="宋体" w:hAnsi="宋体" w:eastAsia="宋体" w:cs="宋体"/>
                <w:color w:val="000000"/>
                <w:sz w:val="24"/>
                <w:szCs w:val="24"/>
                <w:highlight w:val="none"/>
                <w:lang w:bidi="ar"/>
              </w:rPr>
              <w:t xml:space="preserve">面积（m</w:t>
            </w:r>
            <w:r>
              <w:rPr>
                <w:rStyle w:val="1325"/>
                <w:rFonts w:hint="eastAsia" w:ascii="宋体" w:hAnsi="宋体" w:eastAsia="宋体" w:cs="宋体"/>
                <w:color w:val="000000"/>
                <w:sz w:val="24"/>
                <w:szCs w:val="24"/>
                <w:highlight w:val="none"/>
                <w:lang w:bidi="ar"/>
              </w:rPr>
              <w:t xml:space="preserve">2</w:t>
            </w:r>
            <w:r>
              <w:rPr>
                <w:rStyle w:val="1324"/>
                <w:rFonts w:hint="eastAsia" w:ascii="宋体" w:hAnsi="宋体" w:eastAsia="宋体" w:cs="宋体"/>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w:t>
            </w:r>
            <w:r>
              <w:rPr>
                <w:rStyle w:val="1324"/>
                <w:rFonts w:hint="eastAsia" w:ascii="宋体" w:hAnsi="宋体" w:eastAsia="宋体" w:cs="宋体"/>
                <w:color w:val="000000"/>
                <w:sz w:val="24"/>
                <w:szCs w:val="24"/>
                <w:highlight w:val="none"/>
                <w:lang w:bidi="ar"/>
              </w:rPr>
              <w:t xml:space="preserve">m</w:t>
            </w:r>
            <w:r>
              <w:rPr>
                <w:rStyle w:val="1325"/>
                <w:rFonts w:hint="eastAsia" w:ascii="宋体" w:hAnsi="宋体" w:eastAsia="宋体" w:cs="宋体"/>
                <w:color w:val="000000"/>
                <w:sz w:val="24"/>
                <w:szCs w:val="24"/>
                <w:highlight w:val="none"/>
                <w:lang w:bidi="ar"/>
              </w:rPr>
              <w:t xml:space="preserve">2</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对窑村居民乐园</w:t>
            </w:r>
            <w:r>
              <w:rPr>
                <w:rFonts w:hint="eastAsia" w:ascii="宋体" w:hAnsi="宋体" w:eastAsia="宋体" w:cs="宋体"/>
                <w:color w:val="000000"/>
                <w:sz w:val="24"/>
                <w:szCs w:val="24"/>
                <w:highlight w:val="none"/>
                <w:lang w:bidi="ar"/>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2310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3.45</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7969.5</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吴家场农民乐园周边等</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12750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3.45</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43987.5</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企业服务投资中心</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63600</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颜塘公园</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23063</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122233.9</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八村北广场</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7092</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37587.6</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4S店</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10743</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37600.5</w:t>
            </w:r>
            <w:r>
              <w:rPr>
                <w:rFonts w:hint="eastAsia" w:ascii="宋体" w:hAnsi="宋体" w:eastAsia="宋体" w:cs="宋体"/>
                <w:color w:val="000000"/>
                <w:sz w:val="24"/>
                <w:szCs w:val="24"/>
                <w:highlight w:val="none"/>
                <w:lang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顺翔路污水泵站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1750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4S店合力叉车周边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春江路垃圾中转站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6650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机电产业园道路绿化</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101007</w:t>
            </w:r>
            <w:r>
              <w:rPr>
                <w:rFonts w:hint="eastAsia" w:ascii="宋体" w:hAnsi="宋体" w:eastAsia="宋体" w:cs="宋体"/>
                <w:color w:val="000000"/>
                <w:sz w:val="24"/>
                <w:szCs w:val="24"/>
                <w:highlight w:val="none"/>
                <w:lang w:val="en-US" w:eastAsia="zh-CN"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353524.5</w:t>
            </w: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吕墅老街及吕汤路北段</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16045</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56157.5</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镇区道路（庆阳路、凤翔路、奥园路、小公园）</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165366</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578781</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丽园路（奥园路-顺园路）东渡二期</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5900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20650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平阳路（玉龙路-锦园路）医院南门</w:t>
            </w:r>
            <w:r>
              <w:rPr>
                <w:rFonts w:hint="eastAsia" w:ascii="宋体" w:hAnsi="宋体" w:eastAsia="宋体" w:cs="宋体"/>
                <w:color w:val="000000"/>
                <w:sz w:val="24"/>
                <w:szCs w:val="24"/>
                <w:highlight w:val="none"/>
                <w:lang w:bidi="ar"/>
              </w:rPr>
            </w:r>
            <w:r/>
          </w:p>
        </w:tc>
        <w:tc>
          <w:tcPr>
            <w:tcW w:w="51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766</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2681</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瀛平路（玉龙路-瀛平桥）医院北门</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1460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5110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丽园路工商所周边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顺园路天逸城外围</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8650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30275</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春江路樱花慢行道</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5638</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19733</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区镇绿化交接处及其他无人管护区域</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7000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五座桥、庆阳路草花、顺园路、薛冶路桥东侧绿化带</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23200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凤凰湖西苑凤凰花园周边</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12800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44800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顺园八村2期汽车站东围墙</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顺园八村2期围墙外</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1370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4795</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薛冶路(黄河路-汉江路)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5250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18375</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顺园路(正强路-龙城大道)</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4550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汉江路(玉龙路-薛冶路)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52500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凤翔路（黄河路-汉江路）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lang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勤奋路（河海路-北漕河路）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3.50 </w:t>
            </w:r>
            <w:r>
              <w:rPr>
                <w:rFonts w:hint="eastAsia" w:ascii="宋体" w:hAnsi="宋体" w:eastAsia="宋体" w:cs="宋体"/>
                <w:color w:val="000000"/>
                <w:sz w:val="24"/>
                <w:szCs w:val="24"/>
                <w:highlight w:val="none"/>
                <w:lang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17500</w:t>
            </w:r>
            <w:r>
              <w:rPr>
                <w:rFonts w:hint="eastAsia" w:ascii="宋体" w:hAnsi="宋体" w:eastAsia="宋体" w:cs="宋体"/>
                <w:color w:val="000000"/>
                <w:sz w:val="24"/>
                <w:szCs w:val="24"/>
                <w:highlight w:val="none"/>
                <w:lang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tabs>
                <w:tab w:val="left" w:pos="42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w:t>
            </w:r>
            <w:r>
              <w:rPr>
                <w:rFonts w:hint="eastAsia" w:ascii="宋体" w:hAnsi="宋体" w:eastAsia="宋体" w:cs="宋体"/>
                <w:color w:val="000000"/>
                <w:sz w:val="24"/>
                <w:szCs w:val="24"/>
                <w:highlight w:val="none"/>
                <w:lang w:val="en-US" w:eastAsia="zh-CN"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临平路(济业路-丽园路)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3778</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w:t>
            </w:r>
            <w:r>
              <w:rPr>
                <w:rFonts w:hint="eastAsia" w:ascii="宋体" w:hAnsi="宋体" w:eastAsia="宋体" w:cs="宋体"/>
                <w:color w:val="000000"/>
                <w:sz w:val="24"/>
                <w:szCs w:val="24"/>
                <w:highlight w:val="none"/>
                <w:lang w:val="en-US" w:eastAsia="zh-CN"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13223</w:t>
            </w: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c>
          <w:tcPr>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zh-CN" w:bidi="ar"/>
              </w:rPr>
            </w:r>
            <w:r/>
          </w:p>
        </w:tc>
        <w:tc>
          <w:tcPr>
            <w:tcW w:w="148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吕墅二路(博怕路-汉江路)</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11440</w:t>
            </w:r>
            <w:r>
              <w:rPr>
                <w:rFonts w:hint="eastAsia" w:ascii="宋体" w:hAnsi="宋体" w:eastAsia="宋体" w:cs="宋体"/>
                <w:color w:val="000000"/>
                <w:sz w:val="24"/>
                <w:szCs w:val="24"/>
                <w:highlight w:val="none"/>
                <w:lang w:bidi="ar"/>
              </w:rPr>
            </w:r>
            <w:r/>
          </w:p>
        </w:tc>
        <w:tc>
          <w:tcPr>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w:t>
            </w:r>
            <w:r>
              <w:rPr>
                <w:rFonts w:hint="eastAsia" w:ascii="宋体" w:hAnsi="宋体" w:eastAsia="宋体" w:cs="宋体"/>
                <w:color w:val="000000"/>
                <w:sz w:val="24"/>
                <w:szCs w:val="24"/>
                <w:highlight w:val="none"/>
                <w:lang w:val="en-US" w:eastAsia="zh-CN" w:bidi="ar"/>
              </w:rPr>
            </w:r>
            <w:r/>
          </w:p>
        </w:tc>
        <w:tc>
          <w:tcPr>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40040</w:t>
            </w: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gridSpan w:val="2"/>
            <w:tcW w:w="348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51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440728</w:t>
            </w:r>
            <w:r>
              <w:rPr>
                <w:rFonts w:hint="eastAsia" w:ascii="宋体" w:hAnsi="宋体" w:eastAsia="宋体" w:cs="宋体"/>
                <w:color w:val="000000"/>
                <w:sz w:val="24"/>
                <w:szCs w:val="24"/>
                <w:highlight w:val="none"/>
                <w:lang w:val="en-US" w:eastAsia="zh-CN" w:bidi="ar"/>
              </w:rPr>
            </w:r>
            <w:r/>
          </w:p>
        </w:tc>
        <w:tc>
          <w:tcPr>
            <w:tcW w:w="623"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55"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1640874</w:t>
            </w:r>
            <w:r>
              <w:rPr>
                <w:rFonts w:hint="eastAsia" w:ascii="宋体" w:hAnsi="宋体" w:eastAsia="宋体" w:cs="宋体"/>
                <w:color w:val="000000"/>
                <w:sz w:val="24"/>
                <w:szCs w:val="24"/>
                <w:highlight w:val="none"/>
                <w:lang w:val="en-US" w:eastAsia="zh-CN" w:bidi="ar"/>
              </w:rPr>
            </w:r>
            <w:r/>
          </w:p>
        </w:tc>
        <w:tc>
          <w:tcPr>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4.外围绿化养护清单及最高限价</w:t>
      </w:r>
      <w:r>
        <w:rPr>
          <w:rFonts w:hint="eastAsia" w:ascii="宋体" w:hAnsi="宋体" w:eastAsia="宋体" w:cs="宋体"/>
          <w:b/>
          <w:bCs/>
          <w:color w:val="000000"/>
          <w:sz w:val="24"/>
          <w:szCs w:val="24"/>
          <w:highlight w:val="none"/>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050"/>
        <w:gridCol w:w="1241"/>
        <w:gridCol w:w="1252"/>
        <w:gridCol w:w="1475"/>
        <w:gridCol w:w="1560"/>
      </w:tblGrid>
      <w:tr>
        <w:trPr>
          <w:trHeight w:val="30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Style w:val="1324"/>
                <w:rFonts w:hint="eastAsia" w:ascii="宋体" w:hAnsi="宋体" w:eastAsia="宋体" w:cs="宋体"/>
                <w:color w:val="000000"/>
                <w:sz w:val="24"/>
                <w:szCs w:val="24"/>
                <w:highlight w:val="none"/>
                <w:lang w:bidi="ar"/>
              </w:rPr>
              <w:t xml:space="preserve">面积（m</w:t>
            </w:r>
            <w:r>
              <w:rPr>
                <w:rStyle w:val="1325"/>
                <w:rFonts w:hint="eastAsia" w:ascii="宋体" w:hAnsi="宋体" w:eastAsia="宋体" w:cs="宋体"/>
                <w:color w:val="000000"/>
                <w:sz w:val="24"/>
                <w:szCs w:val="24"/>
                <w:highlight w:val="none"/>
                <w:lang w:bidi="ar"/>
              </w:rPr>
              <w:t xml:space="preserve">2</w:t>
            </w:r>
            <w:r>
              <w:rPr>
                <w:rStyle w:val="1324"/>
                <w:rFonts w:hint="eastAsia" w:ascii="宋体" w:hAnsi="宋体" w:eastAsia="宋体" w:cs="宋体"/>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w:t>
            </w:r>
            <w:r>
              <w:rPr>
                <w:rStyle w:val="1324"/>
                <w:rFonts w:hint="eastAsia" w:ascii="宋体" w:hAnsi="宋体" w:eastAsia="宋体" w:cs="宋体"/>
                <w:color w:val="000000"/>
                <w:sz w:val="24"/>
                <w:szCs w:val="24"/>
                <w:highlight w:val="none"/>
                <w:lang w:bidi="ar"/>
              </w:rPr>
              <w:t xml:space="preserve">m</w:t>
            </w:r>
            <w:r>
              <w:rPr>
                <w:rStyle w:val="1325"/>
                <w:rFonts w:hint="eastAsia" w:ascii="宋体" w:hAnsi="宋体" w:eastAsia="宋体" w:cs="宋体"/>
                <w:color w:val="000000"/>
                <w:sz w:val="24"/>
                <w:szCs w:val="24"/>
                <w:highlight w:val="none"/>
                <w:lang w:bidi="ar"/>
              </w:rPr>
              <w:t xml:space="preserve">2</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雁荡河水利风景区</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233200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49"/>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中心公园廉政广场草坪</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7500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39750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四季常青(包含草籽)</w:t>
            </w:r>
            <w:r>
              <w:rPr>
                <w:rFonts w:hint="eastAsia" w:ascii="宋体" w:hAnsi="宋体" w:eastAsia="宋体" w:cs="宋体"/>
                <w:color w:val="000000"/>
                <w:sz w:val="24"/>
                <w:szCs w:val="24"/>
                <w:highlight w:val="none"/>
                <w:lang w:val="en-US" w:eastAsia="zh-CN"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中心广场绿化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44858</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237747.4</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北漕河路新增道路绿化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38"/>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建业路新增道路绿化（薛冶路西、北漕河路中间以南-河海路）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南漕河路新增道路绿化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13200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瀛平路新增道路绿化（建业路-春江路）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9450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28350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新晨路新增道路绿化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3300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129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镇区工业园区道路绿化苗圃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170301</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204361.2</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新龙河泵站苗圃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16667</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25000.5</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8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龙江高架东-科勒路北侧苗圃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882"/>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龙江路高架东-科勒路南侧苗圃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72369.5</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108554.25</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8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滨河绿地苗圃（叶家苗圃）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凤凰湖壹号东侧地块绿化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四季常青(包含草籽)</w:t>
            </w: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河道绿化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90000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区镇交接处、部分企业门前及无人养护区域</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河海路与建业路东北侧苗圃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4624</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13872</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龙江路与龙城大道苗圃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玉龙路与龙城大道苗圃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39000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富康路支路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10800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丽园路（薛冶路-春江路）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54000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春江路（瀛平路-丽园路）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悠活城（顺园路西）</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汉江路慢行道（一期）</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45000</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凤翔路改造</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7838</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23514</w:t>
            </w: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val="en-US" w:eastAsia="zh-CN"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顺园路(正强路-汉江路)</w:t>
            </w:r>
            <w:r>
              <w:rPr>
                <w:rFonts w:hint="eastAsia" w:ascii="宋体" w:hAnsi="宋体" w:eastAsia="宋体" w:cs="宋体"/>
                <w:color w:val="000000"/>
                <w:sz w:val="24"/>
                <w:szCs w:val="24"/>
                <w:highlight w:val="none"/>
                <w:lang w:val="en-US" w:eastAsia="zh-CN"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37560</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112680</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897"/>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w:t>
            </w:r>
            <w:r>
              <w:rPr>
                <w:rFonts w:hint="eastAsia" w:ascii="宋体" w:hAnsi="宋体" w:eastAsia="宋体" w:cs="宋体"/>
                <w:color w:val="000000"/>
                <w:sz w:val="24"/>
                <w:szCs w:val="24"/>
                <w:highlight w:val="none"/>
                <w:lang w:val="en-US" w:eastAsia="zh-CN"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童子河南段，北童子河，建业河</w:t>
            </w:r>
            <w:r>
              <w:rPr>
                <w:rFonts w:hint="eastAsia" w:ascii="宋体" w:hAnsi="宋体" w:eastAsia="宋体" w:cs="宋体"/>
                <w:color w:val="000000"/>
                <w:sz w:val="24"/>
                <w:szCs w:val="24"/>
                <w:highlight w:val="none"/>
                <w:lang w:val="en-US" w:eastAsia="zh-CN"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14447</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21670.5</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270"/>
        </w:trPr>
        <w:tc>
          <w:tcPr>
            <w:tcW w:w="379" w:type="dxa"/>
            <w:vAlign w:val="top"/>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594614.5</w:t>
            </w:r>
            <w:r>
              <w:rPr>
                <w:rFonts w:hint="eastAsia" w:ascii="宋体" w:hAnsi="宋体" w:eastAsia="宋体" w:cs="宋体"/>
                <w:color w:val="000000"/>
                <w:sz w:val="24"/>
                <w:szCs w:val="24"/>
                <w:highlight w:val="none"/>
                <w:lang w:val="en-US" w:eastAsia="zh-CN"/>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1387699.85</w:t>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5.城际铁路和沪宁高速沿线清单及最高限价</w:t>
      </w:r>
      <w:r>
        <w:rPr>
          <w:rFonts w:hint="eastAsia" w:ascii="宋体" w:hAnsi="宋体" w:eastAsia="宋体" w:cs="宋体"/>
          <w:b/>
          <w:bCs/>
          <w:color w:val="000000"/>
          <w:sz w:val="24"/>
          <w:szCs w:val="24"/>
          <w:highlight w:val="none"/>
          <w:lang w:val="en-US" w:eastAsia="zh-CN"/>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14"/>
        <w:gridCol w:w="2862"/>
        <w:gridCol w:w="859"/>
        <w:gridCol w:w="1159"/>
        <w:gridCol w:w="1404"/>
        <w:gridCol w:w="2290"/>
      </w:tblGrid>
      <w:tr>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面积（亩）</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元/亩/年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最高限价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城际铁路和沪宁高速沿线</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949.2</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800</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759360</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r>
    </w:tbl>
    <w:p>
      <w:pPr>
        <w:pStyle w:val="1068"/>
        <w:ind w:firstLine="482"/>
        <w:keepLines w:val="0"/>
        <w:keepNext w:val="0"/>
        <w:pageBreakBefore w:val="0"/>
        <w:spacing w:before="464"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二、作业人员要求</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1.作业人员最低配备要求（提供承诺函，未提供视为无效响应）</w:t>
      </w: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清扫保洁</w:t>
      </w:r>
      <w:r>
        <w:rPr>
          <w:rFonts w:hint="eastAsia" w:ascii="宋体" w:hAnsi="宋体" w:eastAsia="宋体" w:cs="宋体"/>
          <w:b/>
          <w:color w:val="000000"/>
          <w:sz w:val="24"/>
          <w:szCs w:val="24"/>
          <w:highlight w:val="none"/>
        </w:rPr>
        <w:t xml:space="preserve">劳动力数量配备最低要求列表</w:t>
      </w:r>
      <w:r>
        <w:rPr>
          <w:rFonts w:hint="eastAsia" w:ascii="宋体" w:hAnsi="宋体" w:eastAsia="宋体" w:cs="宋体"/>
          <w:b/>
          <w:color w:val="000000"/>
          <w:sz w:val="24"/>
          <w:szCs w:val="24"/>
          <w:highlight w:val="none"/>
        </w:rPr>
      </w:r>
      <w:r/>
    </w:p>
    <w:tbl>
      <w:tblPr>
        <w:tblStyle w:val="113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5120"/>
        <w:gridCol w:w="3097"/>
      </w:tblGrid>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序号</w:t>
            </w:r>
            <w:r>
              <w:rPr>
                <w:rFonts w:hint="eastAsia" w:eastAsia="宋体"/>
                <w:b/>
                <w:bCs/>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eastAsia="宋体"/>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岗位</w:t>
            </w:r>
            <w:r>
              <w:rPr>
                <w:rFonts w:eastAsia="宋体"/>
                <w:b/>
                <w:bCs/>
                <w:color w:val="000000"/>
                <w:sz w:val="24"/>
                <w:szCs w:val="24"/>
                <w:highlight w:val="none"/>
                <w:vertAlign w:val="baseli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b/>
                <w:bCs/>
                <w:color w:val="000000"/>
                <w:sz w:val="24"/>
                <w:szCs w:val="24"/>
                <w:highlight w:val="none"/>
                <w:vertAlign w:val="baseline"/>
              </w:rPr>
            </w:pPr>
            <w:r>
              <w:rPr>
                <w:rFonts w:hint="eastAsia"/>
                <w:b/>
                <w:bCs/>
                <w:color w:val="000000"/>
                <w:sz w:val="24"/>
                <w:szCs w:val="24"/>
                <w:highlight w:val="none"/>
                <w:vertAlign w:val="baseline"/>
                <w:lang w:val="en-US" w:eastAsia="zh-CN"/>
              </w:rPr>
              <w:t xml:space="preserve">人数</w:t>
            </w:r>
            <w:r>
              <w:rPr>
                <w:b/>
                <w:bCs/>
                <w:color w:val="000000"/>
                <w:sz w:val="24"/>
                <w:szCs w:val="24"/>
                <w:highlight w:val="none"/>
                <w:vertAlign w:val="baseline"/>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1</w:t>
            </w:r>
            <w:r>
              <w:rPr>
                <w:rFonts w:hint="eastAsia" w:eastAsia="宋体"/>
                <w:b/>
                <w:bCs/>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b/>
                <w:bCs/>
                <w:color w:val="000000"/>
                <w:sz w:val="24"/>
                <w:szCs w:val="24"/>
                <w:highlight w:val="none"/>
                <w:vertAlign w:val="baseline"/>
              </w:rPr>
            </w:pPr>
            <w:r>
              <w:rPr>
                <w:rFonts w:hint="eastAsia" w:ascii="宋体" w:hAnsi="宋体" w:eastAsia="宋体" w:cs="宋体"/>
                <w:b/>
                <w:bCs/>
                <w:color w:val="000000"/>
                <w:sz w:val="24"/>
                <w:szCs w:val="24"/>
                <w:highlight w:val="none"/>
                <w:lang w:val="en-US" w:eastAsia="zh-CN"/>
              </w:rPr>
              <w:t xml:space="preserve">管理人员</w:t>
            </w:r>
            <w:r>
              <w:rPr>
                <w:b/>
                <w:bCs/>
                <w:color w:val="000000"/>
                <w:sz w:val="24"/>
                <w:szCs w:val="24"/>
                <w:highlight w:val="none"/>
                <w:vertAlign w:val="baseline"/>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4</w:t>
            </w:r>
            <w:r>
              <w:rPr>
                <w:rFonts w:hint="eastAsia" w:eastAsia="宋体"/>
                <w:b/>
                <w:bCs/>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1.1</w:t>
            </w:r>
            <w:r>
              <w:rPr>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环卫作业负责人</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w:t>
            </w:r>
            <w:r>
              <w:rPr>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1.2</w:t>
            </w:r>
            <w:r>
              <w:rPr>
                <w:rFonts w:eastAsia="宋体"/>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绿化养护项目负责人</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w:t>
            </w:r>
            <w:r>
              <w:rPr>
                <w:rFonts w:hint="eastAsia" w:eastAsia="宋体"/>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1.3</w:t>
            </w:r>
            <w:r>
              <w:rPr>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安全督查监管人员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2</w:t>
            </w:r>
            <w:r>
              <w:rPr>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2</w:t>
            </w:r>
            <w:r>
              <w:rPr>
                <w:rFonts w:hint="eastAsia" w:eastAsia="宋体"/>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绿化作业人员</w:t>
            </w:r>
            <w:r>
              <w:rPr>
                <w:rFonts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40</w:t>
            </w:r>
            <w:r>
              <w:rPr>
                <w:rFonts w:eastAsia="宋体"/>
                <w:color w:val="000000"/>
                <w:sz w:val="24"/>
                <w:szCs w:val="24"/>
                <w:highlight w:val="none"/>
                <w:vertAlign w:val="baseli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3</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班组长</w:t>
            </w:r>
            <w:r>
              <w:rPr>
                <w:color w:val="000000"/>
                <w:sz w:val="24"/>
                <w:szCs w:val="24"/>
                <w:highlight w:val="none"/>
                <w:vertAlign w:val="baseline"/>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6</w:t>
            </w:r>
            <w:r>
              <w:rPr>
                <w:color w:val="000000"/>
                <w:sz w:val="24"/>
                <w:szCs w:val="24"/>
                <w:highlight w:val="none"/>
                <w:vertAlign w:val="baseline"/>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4</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驾驶员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5</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道路保洁员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6</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道板冲洗工</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Times New Roman"/>
                <w:color w:val="000000"/>
                <w:sz w:val="24"/>
                <w:szCs w:val="24"/>
                <w:highlight w:val="none"/>
                <w:vertAlign w:val="baseline"/>
                <w:lang w:val="en-US" w:eastAsia="zh-CN" w:bidi="ar-SA"/>
              </w:rPr>
            </w:pPr>
            <w:r>
              <w:rPr>
                <w:rFonts w:hint="eastAsia"/>
                <w:color w:val="000000"/>
                <w:sz w:val="24"/>
                <w:szCs w:val="24"/>
                <w:highlight w:val="none"/>
                <w:vertAlign w:val="baseline"/>
                <w:lang w:val="en-US" w:eastAsia="zh-CN"/>
              </w:rPr>
              <w:t xml:space="preserve">7</w:t>
            </w:r>
            <w:r>
              <w:rPr>
                <w:rFonts w:hint="eastAsia" w:ascii="宋体" w:hAnsi="宋体" w:eastAsia="宋体" w:cs="Times New Roman"/>
                <w:color w:val="000000"/>
                <w:sz w:val="24"/>
                <w:szCs w:val="24"/>
                <w:highlight w:val="none"/>
                <w:vertAlign w:val="baseline"/>
                <w:lang w:val="en-US" w:eastAsia="zh-CN" w:bidi="ar-SA"/>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垃圾收运人员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eastAsia="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8</w:t>
            </w:r>
            <w:r>
              <w:rPr>
                <w:rFonts w:eastAsia="宋体"/>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公厕保洁员</w:t>
            </w:r>
            <w:r>
              <w:rPr>
                <w:rFonts w:hint="eastAsia"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c>
          <w:tcPr>
            <w:tcW w:w="5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color w:val="000000"/>
                <w:sz w:val="24"/>
                <w:szCs w:val="24"/>
                <w:highlight w:val="none"/>
                <w:vertAlign w:val="baseline"/>
                <w:lang w:val="en-US" w:eastAsia="zh-CN"/>
              </w:rPr>
            </w:pPr>
            <w:r>
              <w:rPr>
                <w:rFonts w:hint="eastAsia"/>
                <w:color w:val="000000"/>
                <w:sz w:val="24"/>
                <w:szCs w:val="24"/>
                <w:highlight w:val="none"/>
                <w:vertAlign w:val="baseline"/>
                <w:lang w:val="en-US" w:eastAsia="zh-CN"/>
              </w:rPr>
            </w:r>
            <w:r/>
          </w:p>
        </w:tc>
        <w:tc>
          <w:tcPr>
            <w:tcW w:w="275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 xml:space="preserve">合计</w:t>
            </w:r>
            <w:r>
              <w:rPr>
                <w:rFonts w:ascii="宋体" w:hAnsi="宋体" w:eastAsia="宋体" w:cs="宋体"/>
                <w:color w:val="000000"/>
                <w:sz w:val="24"/>
                <w:szCs w:val="24"/>
                <w:highlight w:val="none"/>
                <w:lang w:val="en-US" w:eastAsia="zh-CN"/>
              </w:rPr>
            </w:r>
            <w:r/>
          </w:p>
        </w:tc>
        <w:tc>
          <w:tcPr>
            <w:tcW w:w="1667"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188</w:t>
            </w:r>
            <w:r>
              <w:rPr>
                <w:rFonts w:ascii="宋体" w:hAnsi="宋体" w:eastAsia="宋体" w:cs="宋体"/>
                <w:color w:val="000000"/>
                <w:sz w:val="24"/>
                <w:szCs w:val="24"/>
                <w:highlight w:val="none"/>
                <w:lang w:val="en-US" w:eastAsia="zh-CN"/>
              </w:rPr>
            </w:r>
            <w:r/>
          </w:p>
        </w:tc>
      </w:tr>
    </w:tbl>
    <w:p>
      <w:pPr>
        <w:pStyle w:val="1068"/>
        <w:ind w:firstLine="482"/>
        <w:keepLines w:val="0"/>
        <w:keepNext w:val="0"/>
        <w:pageBreakBefore w:val="0"/>
        <w:spacing w:before="233"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2.保险要求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投标人应充分评估本项目的风险，并购买作业服务过程中所需的保险，保证保险的有效期自本合同生效之日起至结束为止。保险包括但不限于：</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1.投标人必须按规定为员工购买社会保险，并为作业服务人员购买人身意外伤亡保险，每年需为作业服务人员进行体检一次。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2.投标人须向采购人提供有效的保险单据和保险合同。</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三、环卫保洁作业要求</w:t>
      </w:r>
      <w:r>
        <w:rPr>
          <w:rFonts w:hint="eastAsia" w:ascii="宋体" w:hAnsi="宋体" w:eastAsia="宋体" w:cs="宋体"/>
          <w:b/>
          <w:bCs/>
          <w:color w:val="000000"/>
          <w:sz w:val="24"/>
          <w:szCs w:val="24"/>
          <w:highlight w:val="none"/>
          <w:lang w:val="en-US" w:eastAsia="zh-CN"/>
        </w:rPr>
      </w:r>
      <w:r/>
    </w:p>
    <w:p>
      <w:pPr>
        <w:pStyle w:val="1068"/>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rPr>
        <w:t xml:space="preserve">服务内容</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根据道路清扫保洁和作业质量要求，按照常州市道路清扫保洁一体化的标准，对道路快、慢车道和人行道进行清扫、清洗、保洁；对依附于道路的绿化带进行保洁(包括但不限于绿化带内垃圾的清理),每周对道路沿线绿化带进行全面专项清理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1.2按新北区环管中心划定的道路等级，对委托范围内的道路按标准进行日常机械化酒水、冲洗、清洗等作业。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1.3按照常城管【2022】40号关于印发《常州市城市道路临街果壳箱规范设置工作方案》的通知规定，负责道路两侧垃圾箱(房)、果壳箱和无主垃圾、偷盗垃圾的及时清理。</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1.4全镇区域内的乱涂写、乱张贴的清理工作。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1.5全镇范围内公厕的清扫(清洗)、保洁。</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1.6遇有重大活动、灾害性雨雪天气等特殊情况，组织员工按照应急预案和上级部门要求，做好保障工作。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1.7投标人需配备不少于以下数量的应急队伍：洒水车1辆，员工5名。投标人接到采购人应急处置通知后30分钟内，需安排应急队伍到现场参与处置。</w:t>
      </w:r>
      <w:r>
        <w:rPr>
          <w:rFonts w:hint="eastAsia" w:ascii="宋体" w:hAnsi="宋体" w:eastAsia="宋体" w:cs="宋体"/>
          <w:color w:val="000000"/>
          <w:sz w:val="24"/>
          <w:szCs w:val="24"/>
          <w:highlight w:val="none"/>
          <w:lang w:val="en-US" w:eastAsia="zh-CN"/>
        </w:rPr>
      </w:r>
      <w:r/>
    </w:p>
    <w:p>
      <w:pPr>
        <w:pStyle w:val="1068"/>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rPr>
        <w:t xml:space="preserve">作业时间要求</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2.1机械化作业时间要求：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2.1.1薛家镇市级考评道路按《常州市城市环卫作业服务要求》文件规定执行。</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2.1.2镇级道路机械化作业标准为一周五次。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2.1.3机械化清扫保洁道路作业，要求每班次一清扫一保洁。</w:t>
      </w:r>
      <w:r>
        <w:rPr>
          <w:rFonts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color w:val="000000"/>
          <w:highlight w:val="none"/>
          <w:lang w:eastAsia="zh-CN"/>
        </w:rPr>
      </w:pPr>
      <w:r>
        <w:rPr>
          <w:rFonts w:hint="eastAsia" w:ascii="宋体" w:hAnsi="宋体" w:eastAsia="宋体" w:cs="宋体"/>
          <w:color w:val="000000"/>
          <w:sz w:val="24"/>
          <w:szCs w:val="24"/>
          <w:highlight w:val="none"/>
          <w:lang w:val="en-US" w:eastAsia="zh-CN"/>
        </w:rPr>
        <w:t xml:space="preserve">2.2环卫人工保洁作业时间要求：</w:t>
      </w:r>
      <w:r>
        <w:rPr>
          <w:rFonts w:hint="eastAsia"/>
          <w:color w:val="000000"/>
          <w:highlight w:val="none"/>
          <w:lang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2253"/>
        <w:gridCol w:w="3032"/>
        <w:gridCol w:w="2560"/>
      </w:tblGrid>
      <w:tr>
        <w:trPr>
          <w:trHeight w:val="516"/>
        </w:trPr>
        <w:tc>
          <w:tcPr>
            <w:tcW w:w="774"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道路等级</w:t>
            </w:r>
            <w:r>
              <w:rPr>
                <w:rFonts w:hint="eastAsia" w:ascii="宋体" w:hAnsi="宋体" w:eastAsia="宋体" w:cs="宋体"/>
                <w:color w:val="000000"/>
                <w:sz w:val="24"/>
                <w:szCs w:val="24"/>
                <w:highlight w:val="none"/>
              </w:rPr>
            </w:r>
            <w:r/>
          </w:p>
        </w:tc>
        <w:tc>
          <w:tcPr>
            <w:tcW w:w="1213"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道路分类</w:t>
            </w:r>
            <w:r>
              <w:rPr>
                <w:rFonts w:hint="eastAsia" w:ascii="宋体" w:hAnsi="宋体" w:eastAsia="宋体" w:cs="宋体"/>
                <w:color w:val="000000"/>
                <w:sz w:val="24"/>
                <w:szCs w:val="24"/>
                <w:highlight w:val="none"/>
              </w:rPr>
            </w:r>
            <w:r/>
          </w:p>
        </w:tc>
        <w:tc>
          <w:tcPr>
            <w:tcW w:w="163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具体作业时间</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作业方式</w:t>
            </w:r>
            <w:r>
              <w:rPr>
                <w:rFonts w:hint="eastAsia" w:ascii="宋体" w:hAnsi="宋体" w:eastAsia="宋体" w:cs="宋体"/>
                <w:color w:val="000000"/>
                <w:sz w:val="24"/>
                <w:szCs w:val="24"/>
                <w:highlight w:val="none"/>
              </w:rPr>
            </w:r>
            <w:r/>
          </w:p>
        </w:tc>
      </w:tr>
      <w:tr>
        <w:trPr>
          <w:trHeight w:val="451"/>
        </w:trPr>
        <w:tc>
          <w:tcPr>
            <w:tcW w:w="774"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镇级</w:t>
            </w:r>
            <w:r>
              <w:rPr>
                <w:rFonts w:hint="eastAsia" w:ascii="宋体" w:hAnsi="宋体" w:eastAsia="宋体" w:cs="宋体"/>
                <w:color w:val="000000"/>
                <w:sz w:val="24"/>
                <w:szCs w:val="24"/>
                <w:highlight w:val="none"/>
                <w:lang w:eastAsia="zh-CN"/>
              </w:rPr>
            </w:r>
            <w:r/>
          </w:p>
        </w:tc>
        <w:tc>
          <w:tcPr>
            <w:tcW w:w="1213"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八小时保洁的主、次干道</w:t>
            </w:r>
            <w:r>
              <w:rPr>
                <w:rFonts w:hint="eastAsia" w:ascii="宋体" w:hAnsi="宋体" w:eastAsia="宋体" w:cs="宋体"/>
                <w:color w:val="000000"/>
                <w:sz w:val="24"/>
                <w:szCs w:val="24"/>
                <w:highlight w:val="none"/>
              </w:rPr>
            </w:r>
            <w:r/>
          </w:p>
        </w:tc>
        <w:tc>
          <w:tcPr>
            <w:tcW w:w="163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早晨6：</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1378"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全面清扫</w:t>
            </w:r>
            <w:r>
              <w:rPr>
                <w:rFonts w:hint="eastAsia" w:ascii="宋体" w:hAnsi="宋体" w:eastAsia="宋体" w:cs="宋体"/>
                <w:color w:val="000000"/>
                <w:sz w:val="24"/>
                <w:szCs w:val="24"/>
                <w:highlight w:val="none"/>
              </w:rPr>
            </w:r>
            <w:r/>
          </w:p>
        </w:tc>
      </w:tr>
      <w:tr>
        <w:trPr>
          <w:trHeight w:val="451"/>
        </w:trPr>
        <w:tc>
          <w:tcPr>
            <w:tcW w:w="774"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3"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下午13：00－14：00</w:t>
            </w:r>
            <w:r>
              <w:rPr>
                <w:rFonts w:hint="eastAsia" w:ascii="宋体" w:hAnsi="宋体" w:eastAsia="宋体" w:cs="宋体"/>
                <w:color w:val="000000"/>
                <w:sz w:val="24"/>
                <w:szCs w:val="24"/>
                <w:highlight w:val="none"/>
              </w:rPr>
            </w:r>
            <w:r/>
          </w:p>
        </w:tc>
        <w:tc>
          <w:tcPr>
            <w:tcW w:w="1378"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74"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13" w:type="dxa"/>
            <w:vAlign w:val="center"/>
            <w:vMerge w:val="continue"/>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6：30－10：30</w:t>
            </w:r>
            <w:r>
              <w:rPr>
                <w:rFonts w:hint="eastAsia" w:ascii="宋体" w:hAnsi="宋体" w:eastAsia="宋体" w:cs="宋体"/>
                <w:color w:val="000000"/>
                <w:sz w:val="24"/>
                <w:szCs w:val="24"/>
                <w:highlight w:val="none"/>
              </w:rPr>
            </w:r>
            <w:r/>
          </w:p>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1378"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时段内巡回保洁</w:t>
            </w:r>
            <w:r>
              <w:rPr>
                <w:rFonts w:hint="eastAsia" w:ascii="宋体" w:hAnsi="宋体" w:eastAsia="宋体" w:cs="宋体"/>
                <w:color w:val="000000"/>
                <w:sz w:val="24"/>
                <w:szCs w:val="24"/>
                <w:highlight w:val="none"/>
              </w:rPr>
            </w:r>
            <w:r/>
          </w:p>
        </w:tc>
      </w:tr>
    </w:tbl>
    <w:p>
      <w:pPr>
        <w:pStyle w:val="1068"/>
        <w:ind w:firstLine="480"/>
        <w:keepLines w:val="0"/>
        <w:keepNext w:val="0"/>
        <w:pageBreakBefore w:val="0"/>
        <w:spacing w:before="233"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2.2.1遇重大检查时作业方式按采购人的要求执行。</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2.2.2高温作业时间由采购人人员另行通知。</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2.2.3巡回保洁时段内人员作业时不得离岗倾倒或拖运垃圾，否则视为脱岗。</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2.2.4夏季、冬季经区环管中心同意临时调整，并组建应急队伍进行应急作业。</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2.3环卫设施开放时间</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公厕每日开放时间：6:00-18:00(专人保洁作业)；8:00-22:00(巡回保洁作业)；22:00-次日6:00(保持对公众开放)。</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中转站每日开放时间：上午6:00-11:00；下午1:30---5:30,夏令时间的更改另作通知。</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3.总体作业质量要求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3.1按《市政府关于进一步完善常州市城市长效综合管理考核工作的实施意见》、《常州市城市环卫作业质量考核办法》和《常州市新北区环境卫生作业考评细则》的相关规定要求执行。</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3.2活动保障和雨雪灾害天气保障按上级有关部门和预案执行。</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4.道路人工保洁作业要求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4.1作业服务量清单所列面积不包含“街巷交界处清扫保洁应各延伸10米”的作业面积。作业服务量清单中的道路长度仅供参考，实际作业服务范围现场交接时加以明确。</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4.2每天普扫后，其余时间进行不间断保洁作业。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4.3车行道、人行道及绿化带内废弃物，如果皮、纸、塑膜、烟蒂、痰迹等不得大于零废弃物控制指标，且路面无污水。</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4.4全路段清扫无死角，垃圾无漏收；雨水窨井无阻塞；街巷交界处清扫保洁应各延伸3米。</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4.5严禁手推车工人离岗倾倒垃圾。</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4.6手推车必须套袋或装内胆以便向电瓶车转移，严禁垃圾倾倒在路面，造成二次污染。</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4.7降雪天气，应根据采购人指令及时组织铲雪除冰作业。道路融雪后，路面煤渣、灰沙及其它废弃物应及时清扫干净。</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4.8花岗岩花台每天清洗两次，并巡回保洁。</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5.垃圾清运作业要求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5.1垃圾收集清运时间为5:00-19:00,全天杜绝垃圾清运点出现满溢。临街垃圾收集上午必须在7:00前完成。区自有产权的垃圾房、垃圾亭、垃圾桶每天清洗一次。遇车辆故障等原因报由采购人临时调整。</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5.2垃圾清运点周围2米内必须打扫干净，无死角，无乱张贴，</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5.3垃圾清运车辆必须自觉遵守交通规则，做到安全生产。</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5.4垃圾清运车辆应保持容貌整洁，车辆编号、每日清洗做到车辆性能完好、干净整洁。</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5.5电瓶收集车应确保收集的生活垃圾送往指定的转运站或垃圾房/亭，不得拒绝沿线居民向垃圾收集车辆内倾倒生活垃圾；直收直运车辆应确保收集的生活垃圾送住指定终端。</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5.6每年5月1日至10月31日，应做好对垃圾收集点的蚊蝇等消杀工作。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5.7所有作业单位(特殊约定的除外)和个人严禁从事生活垃圾有偿清运服务。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5.8所有车辆严禁收运生活垃圾以外的任何废弃物。</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6.果壳箱清运清洗要求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6.1道路的果壳箱每天两清运两清洗。</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6.2果壳箱垃圾清运完成时间(按每日早中晚三次):7:00前、15:00前、21:00前；清洗完成时间：9:00前、15:00前，清洗结束应及时收集沿街垃圾。</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7.公厕作业要求</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7.1公共厕所的日常保洁；公共厕所周边5米范围的保洁；公共厕所的消杀工作；公共厕所产生的垃圾的收集及处置；公共厕所设施的管理；化粪池的清窖和外运。</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7.2公厕巡回保洁，每个时间段不小于三次，巡回保洁作业安排由投标人书面向采购人报批；特殊情况下，由采购人指定作业时间和方式，消杀时间为每年5月至10月。</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8.其他要求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文明作业要求：对作业人员进行文明作业方面的教育；作业人员必须穿着环卫标志服，严禁穿拖鞋上岗；作业时轻拿轻放，文明作业，严禁故意挥扬尘；垃圾运输车辆必须完好、密封、整洁：作业职工之间严禁传播不文明信息。</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8.2安全作业要</w:t>
      </w:r>
      <w:r>
        <w:rPr>
          <w:rFonts w:hint="eastAsia" w:ascii="宋体" w:hAnsi="宋体" w:eastAsia="宋体" w:cs="宋体"/>
          <w:color w:val="000000"/>
          <w:sz w:val="24"/>
          <w:szCs w:val="24"/>
          <w:highlight w:val="none"/>
          <w:lang w:val="en-US" w:eastAsia="zh-CN"/>
        </w:rPr>
        <w:t xml:space="preserve">求：认真贯彻执行国家、省、市、区有关安全生产的法律法规和规定；配备安全生产专(兼)职管理人员建立完整的安全生产管理网络；规章制度健全，工作职责落实考核目标明确，坚持奖惩分明；定期开展安全作业检查，发现问题及时整改；杜绝重、特大安全事故，确保作业单位不发生企事业职工责任伤、亡事故和造成严重影响的责任事故(包括但不限于爆炸、集中中毒和经济损失30万元以上等),一旦发生安全事故造成相关方人身、财产损害的，环卫作业单位应依法承担相应责任；各环卫作业单位必须为每一位作业人员购买人身意外险，符合条件的还应办理社保手续。</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8.3投标人每个月必须组织所有员工进行安全生产培训。</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8.4有以下情况出现的，委托方将予以解除本委托书或调整委托作业面积、区域，另行安排委托作业：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8.4.1被委托方未按照相关规定、程序以及本委托书的约定进行选择环卫作业单位的。</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8.4.2被委托方因自身管理、机械配备和人员保障等方面不具备履行本委托协议作业内容的。</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9.环卫作业服务项目最低装备配置及定额</w:t>
      </w:r>
      <w:r>
        <w:rPr>
          <w:rFonts w:hint="eastAsia" w:ascii="宋体" w:hAnsi="宋体" w:eastAsia="宋体" w:cs="宋体"/>
          <w:b/>
          <w:bCs/>
          <w:color w:val="000000"/>
          <w:sz w:val="24"/>
          <w:szCs w:val="24"/>
          <w:highlight w:val="none"/>
          <w:lang w:val="en-US" w:eastAsia="zh-CN"/>
        </w:rPr>
        <w:t xml:space="preserve">（提供承诺函，未提供视为无效响应）</w:t>
      </w:r>
      <w:r>
        <w:rPr>
          <w:rFonts w:hint="eastAsia" w:ascii="宋体" w:hAnsi="宋体" w:eastAsia="宋体" w:cs="宋体"/>
          <w:b/>
          <w:bCs/>
          <w:color w:val="000000"/>
          <w:sz w:val="24"/>
          <w:szCs w:val="24"/>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579"/>
        <w:gridCol w:w="970"/>
        <w:gridCol w:w="1568"/>
        <w:gridCol w:w="1349"/>
        <w:gridCol w:w="1401"/>
        <w:gridCol w:w="1685"/>
      </w:tblGrid>
      <w:tr>
        <w:trPr>
          <w:trHeight w:val="732"/>
        </w:trPr>
        <w:tc>
          <w:tcPr>
            <w:tcW w:w="3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车辆/装备</w:t>
            </w:r>
            <w:r>
              <w:rPr>
                <w:rFonts w:hint="eastAsia" w:ascii="宋体" w:hAnsi="宋体" w:eastAsia="宋体" w:cs="宋体"/>
                <w:color w:val="000000"/>
                <w:sz w:val="24"/>
                <w:szCs w:val="24"/>
                <w:highlight w:val="none"/>
              </w:rPr>
            </w:r>
            <w:r/>
          </w:p>
        </w:tc>
        <w:tc>
          <w:tcPr>
            <w:tcW w:w="52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最低配置</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最低作业定额（公里/日）</w:t>
            </w:r>
            <w:r>
              <w:rPr>
                <w:rFonts w:hint="eastAsia" w:ascii="宋体" w:hAnsi="宋体" w:eastAsia="宋体" w:cs="宋体"/>
                <w:color w:val="000000"/>
                <w:sz w:val="24"/>
                <w:szCs w:val="24"/>
                <w:highlight w:val="none"/>
              </w:rPr>
            </w:r>
            <w:r/>
          </w:p>
        </w:tc>
        <w:tc>
          <w:tcPr>
            <w:tcW w:w="72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单车最低人员配置（人）</w:t>
            </w:r>
            <w:r>
              <w:rPr>
                <w:rFonts w:hint="eastAsia" w:ascii="宋体" w:hAnsi="宋体" w:eastAsia="宋体" w:cs="宋体"/>
                <w:color w:val="000000"/>
                <w:sz w:val="24"/>
                <w:szCs w:val="24"/>
                <w:highlight w:val="none"/>
              </w:rPr>
            </w:r>
            <w:r/>
          </w:p>
        </w:tc>
        <w:tc>
          <w:tcPr>
            <w:tcW w:w="7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车龄（采购日期要求）</w:t>
            </w:r>
            <w:r>
              <w:rPr>
                <w:rFonts w:hint="eastAsia" w:ascii="宋体" w:hAnsi="宋体" w:eastAsia="宋体" w:cs="宋体"/>
                <w:color w:val="000000"/>
                <w:sz w:val="24"/>
                <w:szCs w:val="24"/>
                <w:highlight w:val="none"/>
              </w:rPr>
            </w:r>
            <w:r/>
          </w:p>
        </w:tc>
        <w:tc>
          <w:tcPr>
            <w:tcW w:w="90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tc>
      </w:tr>
      <w:tr>
        <w:trPr>
          <w:trHeight w:val="900"/>
        </w:trPr>
        <w:tc>
          <w:tcPr>
            <w:tcW w:w="3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洗扫车</w:t>
            </w:r>
            <w:r>
              <w:rPr>
                <w:rFonts w:hint="eastAsia" w:ascii="宋体" w:hAnsi="宋体" w:eastAsia="宋体" w:cs="宋体"/>
                <w:color w:val="000000"/>
                <w:sz w:val="24"/>
                <w:szCs w:val="24"/>
                <w:highlight w:val="none"/>
                <w:lang w:val="en-US" w:eastAsia="zh-CN"/>
              </w:rPr>
            </w:r>
            <w:r/>
          </w:p>
        </w:tc>
        <w:tc>
          <w:tcPr>
            <w:tcW w:w="52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4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val="en-US" w:eastAsia="zh-CN"/>
              </w:rPr>
            </w:r>
            <w:r/>
          </w:p>
        </w:tc>
        <w:tc>
          <w:tcPr>
            <w:tcW w:w="72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2021年1月之后</w:t>
            </w:r>
            <w:r>
              <w:rPr>
                <w:rFonts w:hint="eastAsia" w:ascii="宋体" w:hAnsi="宋体" w:eastAsia="宋体" w:cs="宋体"/>
                <w:color w:val="000000"/>
                <w:sz w:val="24"/>
                <w:szCs w:val="24"/>
                <w:highlight w:val="none"/>
                <w:lang w:val="en-US" w:eastAsia="zh-CN"/>
              </w:rPr>
            </w:r>
            <w:r/>
          </w:p>
        </w:tc>
        <w:tc>
          <w:tcPr>
            <w:tcW w:w="90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行驶证核定载质量≥5吨</w:t>
            </w:r>
            <w:r>
              <w:rPr>
                <w:rFonts w:hint="eastAsia" w:ascii="宋体" w:hAnsi="宋体" w:eastAsia="宋体" w:cs="宋体"/>
                <w:color w:val="000000"/>
                <w:sz w:val="24"/>
                <w:szCs w:val="24"/>
                <w:highlight w:val="none"/>
                <w:lang w:val="en-US" w:eastAsia="zh-CN"/>
              </w:rPr>
            </w:r>
            <w:r/>
          </w:p>
        </w:tc>
      </w:tr>
      <w:tr>
        <w:trPr>
          <w:trHeight w:val="1145"/>
        </w:trPr>
        <w:tc>
          <w:tcPr>
            <w:tcW w:w="3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洒水车</w:t>
            </w:r>
            <w:r>
              <w:rPr>
                <w:rFonts w:hint="eastAsia" w:ascii="宋体" w:hAnsi="宋体" w:eastAsia="宋体" w:cs="宋体"/>
                <w:color w:val="000000"/>
                <w:sz w:val="24"/>
                <w:szCs w:val="24"/>
                <w:highlight w:val="none"/>
                <w:lang w:val="en-US" w:eastAsia="zh-CN"/>
              </w:rPr>
            </w:r>
            <w:r/>
          </w:p>
        </w:tc>
        <w:tc>
          <w:tcPr>
            <w:tcW w:w="52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84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val="en-US" w:eastAsia="zh-CN"/>
              </w:rPr>
            </w:r>
            <w:r/>
          </w:p>
        </w:tc>
        <w:tc>
          <w:tcPr>
            <w:tcW w:w="72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7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2021年1月之后</w:t>
            </w:r>
            <w:r>
              <w:rPr>
                <w:rFonts w:hint="eastAsia" w:ascii="宋体" w:hAnsi="宋体" w:eastAsia="宋体" w:cs="宋体"/>
                <w:color w:val="000000"/>
                <w:sz w:val="24"/>
                <w:szCs w:val="24"/>
                <w:highlight w:val="none"/>
                <w:lang w:val="en-US" w:eastAsia="zh-CN"/>
              </w:rPr>
            </w:r>
            <w:r/>
          </w:p>
        </w:tc>
        <w:tc>
          <w:tcPr>
            <w:tcW w:w="90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行驶证核定载质量≥10吨</w:t>
            </w:r>
            <w:r>
              <w:rPr>
                <w:rFonts w:hint="eastAsia" w:ascii="宋体" w:hAnsi="宋体" w:eastAsia="宋体" w:cs="宋体"/>
                <w:color w:val="000000"/>
                <w:sz w:val="24"/>
                <w:szCs w:val="24"/>
                <w:highlight w:val="none"/>
                <w:lang w:val="en-US" w:eastAsia="zh-CN"/>
              </w:rPr>
            </w:r>
            <w:r/>
          </w:p>
        </w:tc>
      </w:tr>
    </w:tbl>
    <w:p>
      <w:pPr>
        <w:pStyle w:val="1068"/>
        <w:ind w:firstLine="480"/>
        <w:keepLines w:val="0"/>
        <w:keepNext w:val="0"/>
        <w:pageBreakBefore w:val="0"/>
        <w:spacing w:before="233"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上表根据《江苏省城市环境卫生作业劳动定额》，并按照本项目实际情况设置。除表格所列设备外，还需根据项目实际配套配置雾炮车、新能源环卫重型机械化作业车辆、新能源无人扫地车、运输车辆、吸污车、电动护栏内侧洗扫车、载融雪撒盐机、除雪铲、除雪滚刷等与本服务项目相关的专用作业设备。严禁使用国三及以下排放标准的车辆。</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2.投标人必须按规定为参与本项目的车辆购买保额为150万的第三方责任保险。</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四、绿化养护服务要求</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1.服务内容</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1.1投标人根据绿化养护技术规范、绿化养护质量标准和有关要求，积极主动保质保量地完成绿化养护工作。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1.2接受并主动配合采购人及行业管理部门的检查。</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1.3养护范围之外的突击性、突发性工作，投标人必须服从采购人的安排，不得无故拖延。</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1.4绿化带绿化缺失、苗木偷盗、未经行政许可开挖的绿化恢复等应由投标人负责及时补植和修复。</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1.5投标人承诺配备专职巡查人员，日常巡查内容如下：</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1.5.1作业区域有无私开、私挖现象；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1.5.2作业区域内各类绿化植物有无私自修剪现象；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1.5.3作业区域内有无苗木偷盗、绿化带毁绿种菜现象；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1.5.4作业区域内有无苗木死亡、空秃及病虫害现象；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1.5.5其他各类采购人另行规定的巡查内容。</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2.养护要求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2.1为确保养护质量，投标人需对中标后的绿地落实专人动态养护管理，着装上岗，全天候作业。</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2.2养护过程中，投标人必须采取周密的安全措施，以避免对人身和财产的损害。投标人养护操作中造成人身伤害或财产损失的，由投标人自行承担。</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2.3由于台风、暴雨、大雪等自然灾害引起树木突然倒塌，碰线、碰屋影响交通安全等，投标人须立即启动相关预案，并在接到采购人通知后迅速组织力量半小时内到达现场，并及时处理。</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2.4对于投标人养护期间，由于养护工作不能及时完成且造成较大影响的，采购人有权安排第三方进行养护，所发生的费用从投标人月度养护费中扣除。</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投标人养护期间的乔灌花草保存率低于要求的，必须在适合的季节及时补植同品种同规格的苗木，并确保成活。若投标人未按规定补植，采购人有权安排第三方进行种植，所发生的苗木费及补植费用从合同支付款项中扣除。</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2.6发生绿化被偷盗，挖掘毁坏的，及时阻止并上报，并负责后续恢复工作。</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投标人负责原有的设施及绿化的成品保护工作，相关费用已包含在养护费中，对发现人为破坏设施及绿化行为，投标人有义务对破坏行为及时报警并采取有效制止措施，由以上等情况造成的所有的空秃，绿化补种等费用均由投标人负责。</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2.8投标人有义务按采购人要求配合采购人对现有的绿化资产进行统计。</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2.9投标报价已充分考虑到原有区域内的空秃补种、菜地清除以及补种以及任何其他原因造成的绿化补种等情况。</w:t>
      </w:r>
      <w:r>
        <w:rPr>
          <w:rFonts w:hint="eastAsia" w:ascii="宋体" w:hAnsi="宋体" w:eastAsia="宋体" w:cs="宋体"/>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2.10绿地养护质量标准要求植物保存率100%，设施完好率100%。</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绿地养护质量标准要求：《市政府关于进一步完善常州市城市长效综合管理考核工作的实施意见》、《新北区市政绿化管理所绿化、市政设施管护考核办法》、《新北区绿地养护分类分级管理实施细则》、《新北区市政绿化管理所绿化养护技术规程》和采购人及其上级发布的管理规定、规范、办法、文件等执行。如遇新标准，按最新标准执行。</w:t>
      </w:r>
      <w:r>
        <w:rPr>
          <w:rFonts w:hint="eastAsia" w:ascii="宋体" w:hAnsi="宋体" w:eastAsia="宋体" w:cs="宋体"/>
          <w:b w:val="0"/>
          <w:bCs/>
          <w:color w:val="000000"/>
          <w:sz w:val="24"/>
          <w:szCs w:val="24"/>
          <w:highlight w:val="none"/>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五、报价方式</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本项目投标报价为</w:t>
      </w:r>
      <w:r>
        <w:rPr>
          <w:rFonts w:hint="eastAsia" w:ascii="宋体" w:hAnsi="宋体" w:eastAsia="宋体" w:cs="宋体"/>
          <w:b/>
          <w:bCs/>
          <w:color w:val="000000"/>
          <w:sz w:val="24"/>
          <w:szCs w:val="24"/>
          <w:highlight w:val="none"/>
          <w:u w:val="single"/>
          <w:lang w:val="en-US" w:eastAsia="zh-CN"/>
        </w:rPr>
        <w:t xml:space="preserve">固定单价</w:t>
      </w:r>
      <w:r>
        <w:rPr>
          <w:rFonts w:hint="eastAsia" w:ascii="宋体" w:hAnsi="宋体" w:eastAsia="宋体" w:cs="宋体"/>
          <w:color w:val="000000"/>
          <w:sz w:val="24"/>
          <w:szCs w:val="24"/>
          <w:highlight w:val="none"/>
          <w:lang w:val="en-US" w:eastAsia="zh-CN"/>
        </w:rPr>
        <w:t xml:space="preserve">，投标总价应包括招标文件所确定的招标范围相应服务的提供、员工工资、社会保险费、公积金、加班费（包括全年法定假日、双休日及职工带薪年假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中标人应保障服务人员的基本法定待遇，但招标人并不为此支付增加的有关费用。</w:t>
      </w:r>
      <w:r>
        <w:rPr>
          <w:rFonts w:hint="eastAsia" w:ascii="宋体" w:hAnsi="宋体" w:eastAsia="宋体" w:cs="宋体"/>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六、服务期限：</w:t>
      </w:r>
      <w:r>
        <w:rPr>
          <w:rFonts w:hint="eastAsia" w:ascii="宋体" w:hAnsi="宋体" w:eastAsia="宋体" w:cs="宋体"/>
          <w:b w:val="0"/>
          <w:bCs w:val="0"/>
          <w:color w:val="000000"/>
          <w:sz w:val="24"/>
          <w:szCs w:val="24"/>
          <w:highlight w:val="none"/>
          <w:lang w:val="en-US" w:eastAsia="zh-CN"/>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七、付款方式</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上半年付至全年合同价的40%,下半年至全年合同价的80%,全年合同款的15%作为全年度每月点评会奖惩金发放。全年合同款的5%作为年度考核费用，待确保乙方结清给工人的全部工资、奖金、福利及其他应付的经费后，结合全年度的考核情况，在协议期满后次月一次性结清（无息）。</w:t>
      </w:r>
      <w:r>
        <w:rPr>
          <w:rFonts w:hint="eastAsia" w:ascii="宋体" w:hAnsi="宋体" w:eastAsia="宋体" w:cs="宋体"/>
          <w:color w:val="000000"/>
          <w:sz w:val="24"/>
          <w:szCs w:val="24"/>
          <w:highlight w:val="none"/>
          <w:lang w:val="en-US" w:eastAsia="zh-CN" w:bidi="ar"/>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八、考核要求</w:t>
      </w:r>
      <w:r>
        <w:rPr>
          <w:rFonts w:hint="eastAsia" w:ascii="宋体" w:hAnsi="宋体" w:eastAsia="宋体" w:cs="宋体"/>
          <w:b/>
          <w:bCs/>
          <w:color w:val="000000"/>
          <w:sz w:val="24"/>
          <w:szCs w:val="24"/>
          <w:highlight w:val="none"/>
          <w:lang w:val="en-US" w:eastAsia="zh-CN"/>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月度考核分(90-100分)，月度扣款</w:t>
      </w:r>
      <w:r>
        <w:rPr>
          <w:rFonts w:hint="eastAsia" w:ascii="宋体" w:hAnsi="宋体" w:eastAsia="宋体" w:cs="宋体"/>
          <w:color w:val="000000"/>
          <w:sz w:val="24"/>
          <w:szCs w:val="24"/>
          <w:highlight w:val="none"/>
          <w:lang w:val="en-US" w:eastAsia="zh-CN" w:bidi="ar"/>
        </w:rPr>
        <w:t xml:space="preserve">200</w:t>
      </w:r>
      <w:r>
        <w:rPr>
          <w:rFonts w:hint="eastAsia" w:ascii="宋体" w:hAnsi="宋体" w:eastAsia="宋体" w:cs="宋体"/>
          <w:color w:val="000000"/>
          <w:sz w:val="24"/>
          <w:szCs w:val="24"/>
          <w:highlight w:val="none"/>
          <w:lang w:bidi="ar"/>
        </w:rPr>
        <w:t xml:space="preserve">元/0.1分；</w:t>
      </w:r>
      <w:r>
        <w:rPr>
          <w:rFonts w:hint="eastAsia" w:ascii="宋体" w:hAnsi="宋体" w:eastAsia="宋体" w:cs="宋体"/>
          <w:color w:val="000000"/>
          <w:sz w:val="24"/>
          <w:szCs w:val="24"/>
          <w:highlight w:val="none"/>
          <w:lang w:bidi="ar"/>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月度考核分(90分以下)，考核不合格，月度扣款</w:t>
      </w:r>
      <w:r>
        <w:rPr>
          <w:rFonts w:hint="eastAsia" w:ascii="宋体" w:hAnsi="宋体" w:eastAsia="宋体" w:cs="宋体"/>
          <w:color w:val="000000"/>
          <w:sz w:val="24"/>
          <w:szCs w:val="24"/>
          <w:highlight w:val="none"/>
          <w:lang w:val="en-US" w:eastAsia="zh-CN" w:bidi="ar"/>
        </w:rPr>
        <w:t xml:space="preserve">500</w:t>
      </w:r>
      <w:r>
        <w:rPr>
          <w:rFonts w:hint="eastAsia" w:ascii="宋体" w:hAnsi="宋体" w:eastAsia="宋体" w:cs="宋体"/>
          <w:color w:val="000000"/>
          <w:sz w:val="24"/>
          <w:szCs w:val="24"/>
          <w:highlight w:val="none"/>
          <w:lang w:bidi="ar"/>
        </w:rPr>
        <w:t xml:space="preserve">元/0.1分，由</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bidi="ar"/>
        </w:rPr>
        <w:t xml:space="preserve">予以指导、培训。提请</w:t>
      </w:r>
      <w:r>
        <w:rPr>
          <w:rFonts w:hint="eastAsia" w:ascii="宋体" w:hAnsi="宋体" w:eastAsia="宋体" w:cs="宋体"/>
          <w:color w:val="000000"/>
          <w:sz w:val="24"/>
          <w:szCs w:val="24"/>
          <w:highlight w:val="none"/>
          <w:lang w:val="en-US" w:eastAsia="zh-CN" w:bidi="ar"/>
        </w:rPr>
        <w:t xml:space="preserve">中标人</w:t>
      </w:r>
      <w:r>
        <w:rPr>
          <w:rFonts w:hint="eastAsia" w:ascii="宋体" w:hAnsi="宋体" w:eastAsia="宋体" w:cs="宋体"/>
          <w:color w:val="000000"/>
          <w:sz w:val="24"/>
          <w:szCs w:val="24"/>
          <w:highlight w:val="none"/>
          <w:lang w:bidi="ar"/>
        </w:rPr>
        <w:t xml:space="preserve">改进不足，并限期整改。</w:t>
      </w:r>
      <w:r>
        <w:rPr>
          <w:rFonts w:hint="eastAsia" w:ascii="宋体" w:hAnsi="宋体" w:eastAsia="宋体" w:cs="宋体"/>
          <w:color w:val="000000"/>
          <w:sz w:val="24"/>
          <w:szCs w:val="24"/>
          <w:highlight w:val="none"/>
          <w:lang w:bidi="ar"/>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连续两个月考核成绩在90分以下的</w:t>
      </w:r>
      <w:r>
        <w:rPr>
          <w:rFonts w:hint="eastAsia" w:ascii="宋体" w:hAnsi="宋体" w:eastAsia="宋体" w:cs="宋体"/>
          <w:color w:val="000000"/>
          <w:sz w:val="24"/>
          <w:szCs w:val="24"/>
          <w:highlight w:val="none"/>
          <w:lang w:val="en-US" w:eastAsia="zh-CN" w:bidi="ar"/>
        </w:rPr>
        <w:t xml:space="preserve">或</w:t>
      </w:r>
      <w:r>
        <w:rPr>
          <w:rFonts w:hint="eastAsia" w:ascii="宋体" w:hAnsi="宋体" w:eastAsia="宋体" w:cs="宋体"/>
          <w:color w:val="000000"/>
          <w:sz w:val="24"/>
          <w:szCs w:val="24"/>
          <w:highlight w:val="none"/>
          <w:lang w:bidi="ar"/>
        </w:rPr>
        <w:t xml:space="preserve">全年累计有3个月90分以下的，</w:t>
      </w:r>
      <w:r>
        <w:rPr>
          <w:rFonts w:hint="eastAsia" w:ascii="宋体" w:hAnsi="宋体" w:eastAsia="宋体" w:cs="宋体"/>
          <w:color w:val="000000"/>
          <w:sz w:val="24"/>
          <w:szCs w:val="24"/>
          <w:highlight w:val="none"/>
          <w:lang w:val="en-US" w:eastAsia="zh-CN" w:bidi="ar"/>
        </w:rPr>
        <w:t xml:space="preserve">采购人可</w:t>
      </w:r>
      <w:r>
        <w:rPr>
          <w:rFonts w:hint="eastAsia" w:ascii="宋体" w:hAnsi="宋体" w:eastAsia="宋体" w:cs="宋体"/>
          <w:color w:val="000000"/>
          <w:sz w:val="24"/>
          <w:szCs w:val="24"/>
          <w:highlight w:val="none"/>
          <w:lang w:bidi="ar"/>
        </w:rPr>
        <w:t xml:space="preserve">无条件提前终止合同。</w:t>
      </w:r>
      <w:r>
        <w:rPr>
          <w:rFonts w:hint="eastAsia" w:ascii="宋体" w:hAnsi="宋体" w:eastAsia="宋体" w:cs="宋体"/>
          <w:color w:val="000000"/>
          <w:sz w:val="24"/>
          <w:szCs w:val="24"/>
          <w:highlight w:val="none"/>
          <w:lang w:bidi="ar"/>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4.考核细则</w:t>
      </w:r>
      <w:r>
        <w:rPr>
          <w:rFonts w:hint="eastAsia" w:ascii="宋体" w:hAnsi="宋体" w:eastAsia="宋体" w:cs="宋体"/>
          <w:color w:val="000000"/>
          <w:sz w:val="24"/>
          <w:szCs w:val="24"/>
          <w:highlight w:val="none"/>
          <w:lang w:val="en-US" w:eastAsia="zh-CN" w:bidi="ar"/>
        </w:rPr>
      </w:r>
      <w:r/>
    </w:p>
    <w:p>
      <w:pPr>
        <w:pStyle w:val="1068"/>
        <w:jc w:val="center"/>
        <w:spacing w:line="360" w:lineRule="auto"/>
        <w:rPr>
          <w:rFonts w:ascii="宋体" w:hAnsi="宋体" w:eastAsia="宋体" w:cs="宋体"/>
          <w:b/>
          <w:bCs/>
          <w:color w:val="000000"/>
          <w:sz w:val="32"/>
          <w:szCs w:val="32"/>
          <w:highlight w:val="none"/>
          <w:lang w:eastAsia="zh-CN"/>
        </w:rPr>
      </w:pPr>
      <w:r/>
      <w:bookmarkStart w:id="815" w:name="_Toc99301425"/>
      <w:r>
        <w:rPr>
          <w:rFonts w:hint="eastAsia" w:ascii="宋体" w:hAnsi="宋体" w:eastAsia="宋体" w:cs="宋体"/>
          <w:b/>
          <w:bCs/>
          <w:color w:val="000000"/>
          <w:sz w:val="32"/>
          <w:szCs w:val="32"/>
          <w:highlight w:val="none"/>
          <w:lang w:eastAsia="zh-CN"/>
        </w:rPr>
        <w:t xml:space="preserve">绿化养护劳务作业项目管理考核评分表（50分）</w:t>
      </w:r>
      <w:r>
        <w:rPr>
          <w:rFonts w:ascii="宋体" w:hAnsi="宋体" w:eastAsia="宋体" w:cs="宋体"/>
          <w:b/>
          <w:bCs/>
          <w:color w:val="000000"/>
          <w:sz w:val="32"/>
          <w:szCs w:val="32"/>
          <w:highlight w:val="none"/>
          <w:lang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3"/>
        <w:gridCol w:w="1753"/>
        <w:gridCol w:w="6296"/>
        <w:gridCol w:w="769"/>
      </w:tblGrid>
      <w:tr>
        <w:trPr>
          <w:trHeight w:val="281"/>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ascii="宋体" w:hAnsi="宋体" w:eastAsia="宋体" w:cs="宋体"/>
                <w:b/>
                <w:bCs/>
                <w:color w:val="000000"/>
                <w:sz w:val="24"/>
                <w:szCs w:val="24"/>
                <w:highlight w:val="none"/>
                <w:lang w:val="en-US" w:eastAsia="zh-CN"/>
              </w:rPr>
            </w:r>
            <w:r/>
          </w:p>
        </w:tc>
        <w:tc>
          <w:tcPr>
            <w:tcW w:w="944"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考核项目</w:t>
            </w:r>
            <w:r>
              <w:rPr>
                <w:rFonts w:hint="eastAsia" w:ascii="宋体" w:hAnsi="宋体" w:eastAsia="宋体" w:cs="宋体"/>
                <w:b/>
                <w:bCs/>
                <w:color w:val="000000"/>
                <w:sz w:val="24"/>
                <w:szCs w:val="24"/>
                <w:highlight w:val="none"/>
                <w:lang w:eastAsia="zh-CN"/>
              </w:rPr>
            </w:r>
            <w:r/>
          </w:p>
        </w:tc>
        <w:tc>
          <w:tcPr>
            <w:tcW w:w="339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考核细则</w:t>
            </w:r>
            <w:r>
              <w:rPr>
                <w:rFonts w:ascii="宋体" w:hAnsi="宋体" w:eastAsia="宋体" w:cs="宋体"/>
                <w:b/>
                <w:bCs/>
                <w:color w:val="000000"/>
                <w:sz w:val="24"/>
                <w:szCs w:val="24"/>
                <w:highlight w:val="none"/>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扣</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eastAsia="zh-CN"/>
              </w:rPr>
            </w:r>
            <w:r/>
          </w:p>
        </w:tc>
      </w:tr>
      <w:tr>
        <w:trPr>
          <w:trHeight w:val="1207"/>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管理人员</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未按照要求配备管理人员的,管理人员从事公园管护工作</w:t>
            </w: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年及以上，有园林绿化相关中级及以上职业证书,以违约论处。</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巡查人员未按本细则要求开展巡查工作的，发现</w:t>
            </w:r>
            <w:r>
              <w:rPr>
                <w:rFonts w:hint="eastAsia" w:ascii="宋体" w:hAnsi="宋体" w:eastAsia="宋体" w:cs="宋体"/>
                <w:color w:val="000000"/>
                <w:sz w:val="24"/>
                <w:szCs w:val="24"/>
                <w:highlight w:val="none"/>
                <w:lang w:val="en-US" w:eastAsia="zh-CN"/>
              </w:rPr>
              <w:t xml:space="preserve">一处</w:t>
            </w:r>
            <w:r>
              <w:rPr>
                <w:rFonts w:hint="eastAsia" w:ascii="宋体" w:hAnsi="宋体" w:eastAsia="宋体" w:cs="宋体"/>
                <w:color w:val="000000"/>
                <w:sz w:val="24"/>
                <w:szCs w:val="24"/>
                <w:highlight w:val="none"/>
                <w:lang w:eastAsia="zh-CN"/>
              </w:rPr>
              <w:t xml:space="preserve">问题扣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分；以检查其巡查记录和对照现场实况为准。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项目负责人未按合同要求开展现场督促、指挥工作，致使现场作业无序、作业不规范、管理混乱的，</w:t>
            </w:r>
            <w:r>
              <w:rPr>
                <w:rFonts w:hint="eastAsia" w:ascii="宋体" w:hAnsi="宋体" w:eastAsia="宋体" w:cs="宋体"/>
                <w:color w:val="000000"/>
                <w:sz w:val="24"/>
                <w:szCs w:val="24"/>
                <w:highlight w:val="none"/>
                <w:lang w:eastAsia="zh-CN"/>
              </w:rPr>
              <w:t xml:space="preserve">每</w:t>
            </w:r>
            <w:r>
              <w:rPr>
                <w:rFonts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eastAsia="zh-CN"/>
              </w:rPr>
              <w:t xml:space="preserve">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管理人员手机不通，联系不畅的，每</w:t>
            </w:r>
            <w:r>
              <w:rPr>
                <w:rFonts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eastAsia="zh-CN"/>
              </w:rPr>
              <w:t xml:space="preserve">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以上情况达到不履约标准的，甲方有权终止合同。</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718"/>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养护工人</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甲方不定期对现场养护人员人数进行核查，每少1人，扣</w:t>
            </w: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分；各区域技术工人员（园林绿化类中级工）不得少于3人，以检查相关技术证书为准，每少1人，扣</w:t>
            </w: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特殊时期（台风、旱灾等）、繁忙季节、现场养护情况不理想等时期，养护人员人数不能满足工作需要，扣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分；整改不及时每处，扣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达到不履约标准的，甲方有权终止合同。</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862"/>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设备、车辆管理</w:t>
            </w:r>
            <w:r>
              <w:rPr>
                <w:rFonts w:ascii="宋体" w:hAnsi="宋体" w:eastAsia="宋体" w:cs="宋体"/>
                <w:color w:val="000000"/>
                <w:sz w:val="24"/>
                <w:szCs w:val="24"/>
                <w:highlight w:val="none"/>
              </w:rPr>
            </w:r>
            <w:r/>
          </w:p>
        </w:tc>
        <w:tc>
          <w:tcPr>
            <w:tcW w:w="3390" w:type="dxa"/>
            <w:vAlign w:val="center"/>
            <w:textDirection w:val="lrTb"/>
            <w:noWrap w:val="false"/>
          </w:tcPr>
          <w:p>
            <w:pPr>
              <w:pStyle w:val="1068"/>
              <w:numPr>
                <w:ilvl w:val="0"/>
                <w:numId w:val="0"/>
              </w:numPr>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eastAsia="zh-CN"/>
              </w:rPr>
              <w:t xml:space="preserve">未按合同要求配备养护设备、车辆，开展日常管养工作（及时清理绿化垃圾、绿化浇水、修剪等）的，每发现一次扣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特殊时期（台风、旱灾等）、繁忙季节、现场养护情况不理想等时期，涉及设备、车辆未满负荷运转的，且整改不及时，扣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未遵守交通规则（超载、闯红灯、故意逆向行驶等），或造成交通事故的，扣</w:t>
            </w:r>
            <w:r>
              <w:rPr>
                <w:rFonts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t xml:space="preserve">分；涉及人员及财产损失的，由各养护单位自行承担。</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90"/>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纪律要求</w:t>
            </w:r>
            <w:r>
              <w:rPr>
                <w:rFonts w:ascii="宋体" w:hAnsi="宋体" w:eastAsia="宋体" w:cs="宋体"/>
                <w:color w:val="000000"/>
                <w:sz w:val="24"/>
                <w:szCs w:val="24"/>
                <w:highlight w:val="none"/>
              </w:rPr>
            </w:r>
            <w:r/>
          </w:p>
        </w:tc>
        <w:tc>
          <w:tcPr>
            <w:tcW w:w="3390" w:type="dxa"/>
            <w:vAlign w:val="center"/>
            <w:textDirection w:val="lrTb"/>
            <w:noWrap w:val="false"/>
          </w:tcPr>
          <w:p>
            <w:pPr>
              <w:pStyle w:val="1068"/>
              <w:numPr>
                <w:ilvl w:val="0"/>
                <w:numId w:val="0"/>
              </w:numPr>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eastAsia="zh-CN"/>
              </w:rPr>
              <w:t xml:space="preserve">负责人须参加月度工作会议，不得缺席。无</w:t>
            </w:r>
            <w:r>
              <w:rPr>
                <w:rFonts w:hint="eastAsia" w:ascii="宋体" w:hAnsi="宋体" w:eastAsia="宋体" w:cs="宋体"/>
                <w:color w:val="000000"/>
                <w:sz w:val="24"/>
                <w:szCs w:val="24"/>
                <w:highlight w:val="none"/>
                <w:lang w:val="en-US" w:eastAsia="zh-CN"/>
              </w:rPr>
              <w:t xml:space="preserve">日志</w:t>
            </w:r>
            <w:r>
              <w:rPr>
                <w:rFonts w:hint="eastAsia" w:ascii="宋体" w:hAnsi="宋体" w:eastAsia="宋体" w:cs="宋体"/>
                <w:color w:val="000000"/>
                <w:sz w:val="24"/>
                <w:szCs w:val="24"/>
                <w:highlight w:val="none"/>
                <w:lang w:eastAsia="zh-CN"/>
              </w:rPr>
              <w:t xml:space="preserve">的发现一项不符合规定的扣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分；未按计划组织每次扣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numPr>
                <w:ilvl w:val="0"/>
                <w:numId w:val="0"/>
              </w:numPr>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eastAsia="zh-CN"/>
              </w:rPr>
              <w:t xml:space="preserve">会议迟到、早退的，扣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分/人次。</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157"/>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现场管理</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上级领导日常发现存在的养护问题，视情况严重性，扣0.</w:t>
            </w:r>
            <w:r>
              <w:rPr>
                <w:rFonts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现场考核时发现存在问题，扣0.</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仿宋" w:hAnsi="仿宋" w:eastAsia="仿宋" w:cs="宋体"/>
                <w:color w:val="000000"/>
                <w:sz w:val="24"/>
                <w:szCs w:val="24"/>
                <w:highlight w:val="none"/>
                <w:lang w:eastAsia="zh-CN"/>
              </w:rPr>
            </w:pPr>
            <w:r>
              <w:rPr>
                <w:rFonts w:ascii="仿宋" w:hAnsi="仿宋" w:eastAsia="仿宋" w:cs="宋体"/>
                <w:color w:val="000000"/>
                <w:sz w:val="24"/>
                <w:szCs w:val="24"/>
                <w:highlight w:val="none"/>
                <w:lang w:eastAsia="zh-CN"/>
              </w:rPr>
            </w:r>
            <w:r/>
          </w:p>
        </w:tc>
      </w:tr>
      <w:tr>
        <w:trPr>
          <w:trHeight w:val="1000"/>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安全文明</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养护工人不穿制服的，扣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分/人；工人乱堆放作业工具、交通工具，影响市容交通的，扣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分/人。</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修剪、浇水、治理病虫害等需占道而未采取必要维护措施的，扣</w:t>
            </w:r>
            <w:r>
              <w:rPr>
                <w:rFonts w:ascii="宋体" w:hAnsi="宋体" w:eastAsia="宋体" w:cs="宋体"/>
                <w:color w:val="000000"/>
                <w:sz w:val="24"/>
                <w:szCs w:val="24"/>
                <w:highlight w:val="none"/>
                <w:lang w:eastAsia="zh-CN"/>
              </w:rPr>
              <w:t xml:space="preserve">0.3</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养护作业未对工人采取必要劳保防护措施的，扣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分/次。</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修剪物随产随清，未按照要求及时清理的，扣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分/处。</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987"/>
        </w:trPr>
        <w:tc>
          <w:tcPr>
            <w:tcW w:w="250" w:type="dxa"/>
            <w:vAlign w:val="center"/>
            <w:textDirection w:val="lrTb"/>
            <w:noWrap w:val="false"/>
          </w:tcPr>
          <w:p>
            <w:pPr>
              <w:pStyle w:val="1068"/>
              <w:ind w:left="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内业资料</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未及时记录日志的，按照未记录的天数，扣</w:t>
            </w:r>
            <w:r>
              <w:rPr>
                <w:rFonts w:ascii="宋体" w:hAnsi="宋体" w:eastAsia="宋体" w:cs="宋体"/>
                <w:color w:val="000000"/>
                <w:sz w:val="24"/>
                <w:szCs w:val="24"/>
                <w:highlight w:val="none"/>
                <w:lang w:eastAsia="zh-CN"/>
              </w:rPr>
              <w:t xml:space="preserve">0.1</w:t>
            </w:r>
            <w:r>
              <w:rPr>
                <w:rFonts w:hint="eastAsia" w:ascii="宋体" w:hAnsi="宋体" w:eastAsia="宋体" w:cs="宋体"/>
                <w:color w:val="000000"/>
                <w:sz w:val="24"/>
                <w:szCs w:val="24"/>
                <w:highlight w:val="none"/>
                <w:lang w:eastAsia="zh-CN"/>
              </w:rPr>
              <w:t xml:space="preserve">分/天扣款。</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未及时向甲方提交月度报告的，扣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分/处。</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未及时向甲方提交年度报告及VCR的，扣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分/处。</w:t>
            </w:r>
            <w:r>
              <w:rPr>
                <w:rFonts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以上内业资料未按照甲方要求整理编写的，扣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分/处。</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b/>
                <w:bCs/>
                <w:color w:val="000000"/>
                <w:sz w:val="24"/>
                <w:szCs w:val="24"/>
                <w:highlight w:val="none"/>
                <w:lang w:eastAsia="zh-CN"/>
              </w:rPr>
            </w:pPr>
            <w:r>
              <w:rPr>
                <w:rFonts w:ascii="宋体" w:hAnsi="宋体" w:eastAsia="宋体" w:cs="宋体"/>
                <w:b/>
                <w:bCs/>
                <w:color w:val="000000"/>
                <w:sz w:val="24"/>
                <w:szCs w:val="24"/>
                <w:highlight w:val="none"/>
                <w:lang w:eastAsia="zh-CN"/>
              </w:rPr>
            </w:r>
            <w:r/>
          </w:p>
        </w:tc>
      </w:tr>
      <w:tr>
        <w:trPr>
          <w:trHeight w:val="1412"/>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被城市管理部门扣分；被各类媒体曝光；甲方安排任务未及时完成等</w:t>
            </w:r>
            <w:r>
              <w:rPr>
                <w:rFonts w:ascii="宋体" w:hAnsi="宋体" w:eastAsia="宋体" w:cs="宋体"/>
                <w:color w:val="000000"/>
                <w:sz w:val="24"/>
                <w:szCs w:val="24"/>
                <w:highlight w:val="none"/>
                <w:lang w:eastAsia="zh-CN"/>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在常州市城市长效综合管理考评中扣分的，一个问题扣</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新北区城市管理部门长效考核曝光问题按，扣</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分/处。</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被各类媒体曝光（报纸、电视、电台、网站等）的，经甲方调查确认，中标养护单位确实存在过错的，根据负面影响程度，扣</w:t>
            </w:r>
            <w:r>
              <w:rPr>
                <w:rFonts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eastAsia="zh-CN"/>
              </w:rPr>
              <w:t xml:space="preserve">分/处。</w:t>
            </w:r>
            <w:r>
              <w:rPr>
                <w:rFonts w:hint="eastAsia" w:ascii="宋体" w:hAnsi="宋体" w:eastAsia="宋体" w:cs="宋体"/>
                <w:color w:val="000000"/>
                <w:sz w:val="24"/>
                <w:szCs w:val="24"/>
                <w:highlight w:val="none"/>
                <w:lang w:eastAsia="zh-CN"/>
              </w:rPr>
            </w:r>
            <w:r/>
          </w:p>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甲方发现问题或布置的任务、市、区级派单整改不及时的，且无正当理由，扣</w:t>
            </w:r>
            <w:r>
              <w:rPr>
                <w:rFonts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t xml:space="preserve">分/次。</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1149"/>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整形修剪</w:t>
            </w:r>
            <w:r>
              <w:rPr>
                <w:rFonts w:ascii="宋体" w:hAnsi="宋体" w:eastAsia="宋体" w:cs="宋体"/>
                <w:color w:val="000000"/>
                <w:sz w:val="24"/>
                <w:szCs w:val="24"/>
                <w:highlight w:val="none"/>
                <w:lang w:eastAsia="zh-CN"/>
              </w:rPr>
            </w:r>
            <w:r/>
          </w:p>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（分乔、灌、草三类）</w:t>
            </w:r>
            <w:r>
              <w:rPr>
                <w:rFonts w:ascii="宋体" w:hAnsi="宋体" w:eastAsia="宋体" w:cs="宋体"/>
                <w:color w:val="000000"/>
                <w:sz w:val="24"/>
                <w:szCs w:val="24"/>
                <w:highlight w:val="none"/>
                <w:lang w:eastAsia="zh-CN"/>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未按照绿化养护技术规程要求修剪，发现一路段扣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837"/>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防病治虫</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病虫害防治不及时，造成苗木草坪死亡或长势差，或影响观赏效果的，发现一路段扣</w:t>
            </w:r>
            <w:r>
              <w:rPr>
                <w:rFonts w:ascii="宋体" w:hAnsi="宋体" w:eastAsia="宋体" w:cs="宋体"/>
                <w:color w:val="000000"/>
                <w:sz w:val="24"/>
                <w:szCs w:val="24"/>
                <w:highlight w:val="none"/>
                <w:lang w:eastAsia="zh-CN"/>
              </w:rPr>
              <w:t xml:space="preserve">0.5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590"/>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抗旱或排涝</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浇水不及时或浇水方式不当造成苗木死亡或长势差；排水不积水造成苗木死亡或长势差，</w:t>
            </w:r>
            <w:r>
              <w:rPr>
                <w:rFonts w:hint="eastAsia" w:ascii="宋体" w:hAnsi="宋体" w:eastAsia="宋体" w:cs="宋体"/>
                <w:color w:val="000000"/>
                <w:sz w:val="24"/>
                <w:szCs w:val="24"/>
                <w:highlight w:val="none"/>
                <w:lang w:eastAsia="zh-CN"/>
              </w:rPr>
              <w:t xml:space="preserve">发现一路段扣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809"/>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杂草、杂物清除</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发现杂草较多较长影响景观效果；未及时清除，或死树、枯枝、枯叶、毁绿种菜、建筑垃圾等，发现</w:t>
            </w:r>
            <w:r>
              <w:rPr>
                <w:rFonts w:hint="eastAsia" w:ascii="宋体" w:hAnsi="宋体" w:eastAsia="宋体" w:cs="宋体"/>
                <w:color w:val="000000"/>
                <w:sz w:val="24"/>
                <w:szCs w:val="24"/>
                <w:highlight w:val="none"/>
                <w:lang w:val="en-US" w:eastAsia="zh-CN"/>
              </w:rPr>
              <w:t xml:space="preserve">一</w:t>
            </w:r>
            <w:r>
              <w:rPr>
                <w:rFonts w:ascii="宋体" w:hAnsi="宋体" w:eastAsia="宋体" w:cs="宋体"/>
                <w:color w:val="000000"/>
                <w:sz w:val="24"/>
                <w:szCs w:val="24"/>
                <w:highlight w:val="none"/>
                <w:lang w:eastAsia="zh-CN"/>
              </w:rPr>
              <w:t xml:space="preserve">处</w:t>
            </w:r>
            <w:r>
              <w:rPr>
                <w:rFonts w:hint="eastAsia" w:ascii="宋体" w:hAnsi="宋体" w:eastAsia="宋体" w:cs="宋体"/>
                <w:color w:val="000000"/>
                <w:sz w:val="24"/>
                <w:szCs w:val="24"/>
                <w:highlight w:val="none"/>
                <w:lang w:eastAsia="zh-CN"/>
              </w:rPr>
              <w:t xml:space="preserve">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409"/>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松土</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未按要求打孔、松土，开挖边沟等，</w:t>
            </w:r>
            <w:r>
              <w:rPr>
                <w:rFonts w:hint="eastAsia" w:ascii="宋体" w:hAnsi="宋体" w:eastAsia="宋体" w:cs="宋体"/>
                <w:color w:val="000000"/>
                <w:sz w:val="24"/>
                <w:szCs w:val="24"/>
                <w:highlight w:val="none"/>
                <w:lang w:eastAsia="zh-CN"/>
              </w:rPr>
              <w:t xml:space="preserve">发现一路段扣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550"/>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缺株补种</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空秃、缺株未按要求补种，</w:t>
            </w:r>
            <w:r>
              <w:rPr>
                <w:rFonts w:hint="eastAsia" w:ascii="宋体" w:hAnsi="宋体" w:eastAsia="宋体" w:cs="宋体"/>
                <w:color w:val="000000"/>
                <w:sz w:val="24"/>
                <w:szCs w:val="24"/>
                <w:highlight w:val="none"/>
                <w:lang w:eastAsia="zh-CN"/>
              </w:rPr>
              <w:t xml:space="preserve">发现</w:t>
            </w:r>
            <w:r>
              <w:rPr>
                <w:rFonts w:hint="eastAsia" w:ascii="宋体" w:hAnsi="宋体" w:eastAsia="宋体" w:cs="宋体"/>
                <w:color w:val="000000"/>
                <w:sz w:val="24"/>
                <w:szCs w:val="24"/>
                <w:highlight w:val="none"/>
                <w:lang w:val="en-US" w:eastAsia="zh-CN"/>
              </w:rPr>
              <w:t xml:space="preserve">一</w:t>
            </w:r>
            <w:r>
              <w:rPr>
                <w:rFonts w:ascii="宋体" w:hAnsi="宋体" w:eastAsia="宋体" w:cs="宋体"/>
                <w:color w:val="000000"/>
                <w:sz w:val="24"/>
                <w:szCs w:val="24"/>
                <w:highlight w:val="none"/>
                <w:lang w:eastAsia="zh-CN"/>
              </w:rPr>
              <w:t xml:space="preserve">处</w:t>
            </w:r>
            <w:r>
              <w:rPr>
                <w:rFonts w:hint="eastAsia" w:ascii="宋体" w:hAnsi="宋体" w:eastAsia="宋体" w:cs="宋体"/>
                <w:color w:val="000000"/>
                <w:sz w:val="24"/>
                <w:szCs w:val="24"/>
                <w:highlight w:val="none"/>
                <w:lang w:eastAsia="zh-CN"/>
              </w:rPr>
              <w:t xml:space="preserve">扣</w:t>
            </w:r>
            <w:r>
              <w:rPr>
                <w:rFonts w:ascii="宋体" w:hAnsi="宋体" w:eastAsia="宋体" w:cs="宋体"/>
                <w:color w:val="000000"/>
                <w:sz w:val="24"/>
                <w:szCs w:val="24"/>
                <w:highlight w:val="none"/>
                <w:lang w:eastAsia="zh-CN"/>
              </w:rPr>
              <w:t xml:space="preserve">0.2</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403"/>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施肥</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每年冬春两季是否按要求、质量完成有机肥和返青肥的施肥任务，发现一路段扣</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712"/>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防冻保暖涂白</w:t>
            </w:r>
            <w:r>
              <w:rPr>
                <w:rFonts w:ascii="宋体" w:hAnsi="宋体" w:eastAsia="宋体" w:cs="宋体"/>
                <w:color w:val="000000"/>
                <w:sz w:val="24"/>
                <w:szCs w:val="24"/>
                <w:highlight w:val="none"/>
                <w:lang w:eastAsia="zh-CN"/>
              </w:rPr>
            </w:r>
            <w:r/>
          </w:p>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（或移除）</w:t>
            </w:r>
            <w:r>
              <w:rPr>
                <w:rFonts w:ascii="宋体" w:hAnsi="宋体" w:eastAsia="宋体" w:cs="宋体"/>
                <w:color w:val="000000"/>
                <w:sz w:val="24"/>
                <w:szCs w:val="24"/>
                <w:highlight w:val="none"/>
                <w:lang w:eastAsia="zh-CN"/>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刷白不及时、刷白使用材料质量不符合要求、刷白不统一整齐，发现一处扣0.5分。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864"/>
        </w:trPr>
        <w:tc>
          <w:tcPr>
            <w:tcW w:w="250" w:type="dxa"/>
            <w:vAlign w:val="center"/>
            <w:textDirection w:val="lrTb"/>
            <w:noWrap w:val="false"/>
          </w:tcPr>
          <w:p>
            <w:pPr>
              <w:pStyle w:val="1068"/>
              <w:ind w:left="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ascii="宋体" w:hAnsi="宋体" w:eastAsia="宋体" w:cs="宋体"/>
                <w:color w:val="000000"/>
                <w:sz w:val="24"/>
                <w:szCs w:val="24"/>
                <w:highlight w:val="none"/>
                <w:lang w:val="en-US" w:eastAsia="zh-CN"/>
              </w:rPr>
            </w:r>
            <w:r/>
          </w:p>
        </w:tc>
        <w:tc>
          <w:tcPr>
            <w:tcW w:w="944"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ascii="宋体" w:hAnsi="宋体" w:eastAsia="宋体" w:cs="宋体"/>
                <w:color w:val="000000"/>
                <w:sz w:val="24"/>
                <w:szCs w:val="24"/>
                <w:highlight w:val="none"/>
              </w:rPr>
            </w:r>
            <w:r/>
          </w:p>
        </w:tc>
        <w:tc>
          <w:tcPr>
            <w:tcW w:w="3390" w:type="dxa"/>
            <w:vAlign w:val="center"/>
            <w:textDirection w:val="lrTb"/>
            <w:noWrap w:val="false"/>
          </w:tcPr>
          <w:p>
            <w:pPr>
              <w:pStyle w:val="1068"/>
              <w:ind w:left="0" w:firstLine="480"/>
              <w:keepLines w:val="0"/>
              <w:keepNext w:val="0"/>
              <w:pageBreakBefore w:val="0"/>
              <w:spacing w:line="400" w:lineRule="exact"/>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甲方安排的整改任务，未及时完成的，扣</w:t>
            </w:r>
            <w:r>
              <w:rPr>
                <w:rFonts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eastAsia="zh-CN"/>
              </w:rPr>
              <w:t xml:space="preserve">分。</w:t>
            </w:r>
            <w:r>
              <w:rPr>
                <w:rFonts w:ascii="宋体" w:hAnsi="宋体" w:eastAsia="宋体" w:cs="宋体"/>
                <w:color w:val="000000"/>
                <w:sz w:val="24"/>
                <w:szCs w:val="24"/>
                <w:highlight w:val="none"/>
                <w:lang w:eastAsia="zh-CN"/>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r>
        <w:trPr>
          <w:trHeight w:val="879"/>
        </w:trPr>
        <w:tc>
          <w:tcPr>
            <w:gridSpan w:val="3"/>
            <w:tcW w:w="8512" w:type="dxa"/>
            <w:vAlign w:val="center"/>
            <w:textDirection w:val="lrTb"/>
            <w:noWrap w:val="false"/>
          </w:tcPr>
          <w:p>
            <w:pPr>
              <w:pStyle w:val="1068"/>
              <w:ind w:left="0"/>
              <w:jc w:val="left"/>
              <w:keepLines w:val="0"/>
              <w:keepNext w:val="0"/>
              <w:pageBreakBefore w:val="0"/>
              <w:spacing w:line="40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得分汇总</w:t>
            </w:r>
            <w:r>
              <w:rPr>
                <w:rFonts w:ascii="宋体" w:hAnsi="宋体" w:eastAsia="宋体" w:cs="宋体"/>
                <w:b/>
                <w:bCs/>
                <w:color w:val="000000"/>
                <w:sz w:val="24"/>
                <w:szCs w:val="24"/>
                <w:highlight w:val="none"/>
              </w:rPr>
            </w:r>
            <w:r/>
          </w:p>
        </w:tc>
        <w:tc>
          <w:tcPr>
            <w:tcW w:w="414" w:type="dxa"/>
            <w:vAlign w:val="center"/>
            <w:textDirection w:val="lrTb"/>
            <w:noWrap w:val="false"/>
          </w:tcPr>
          <w:p>
            <w:pPr>
              <w:pStyle w:val="1068"/>
              <w:ind w:left="0"/>
              <w:keepLines w:val="0"/>
              <w:keepNext w:val="0"/>
              <w:pageBreakBefore w:val="0"/>
              <w:spacing w:line="40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68"/>
        <w:ind w:right="0"/>
        <w:jc w:val="center"/>
        <w:keepLines w:val="0"/>
        <w:keepNext w:val="0"/>
        <w:pageBreakBefore w:val="0"/>
        <w:spacing w:line="360" w:lineRule="auto"/>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hint="eastAsia" w:ascii="宋体" w:hAnsi="宋体"/>
          <w:b/>
          <w:color w:val="000000"/>
          <w:sz w:val="36"/>
          <w:szCs w:val="36"/>
          <w:highlight w:val="none"/>
          <w:lang w:val="en-US" w:eastAsia="zh-CN"/>
        </w:rPr>
        <w:t xml:space="preserve">保洁</w:t>
      </w:r>
      <w:r>
        <w:rPr>
          <w:rFonts w:hint="eastAsia" w:ascii="宋体" w:hAnsi="宋体"/>
          <w:b/>
          <w:color w:val="000000"/>
          <w:sz w:val="36"/>
          <w:szCs w:val="36"/>
          <w:highlight w:val="none"/>
        </w:rPr>
        <w:t xml:space="preserve">劳务作业项目管理考核评分表（50分）</w:t>
      </w:r>
      <w:r>
        <w:rPr>
          <w:rFonts w:ascii="宋体" w:hAnsi="宋体"/>
          <w:b/>
          <w:color w:val="000000"/>
          <w:sz w:val="36"/>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331"/>
        <w:gridCol w:w="3170"/>
        <w:gridCol w:w="3430"/>
        <w:gridCol w:w="774"/>
      </w:tblGrid>
      <w:tr>
        <w:trPr>
          <w:trHeight w:val="600"/>
        </w:trPr>
        <w:tc>
          <w:tcPr>
            <w:tcW w:w="313"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项目</w:t>
            </w:r>
            <w:r>
              <w:rPr>
                <w:rFonts w:ascii="宋体" w:hAnsi="宋体" w:eastAsia="宋体" w:cs="宋体"/>
                <w:b/>
                <w:bCs/>
                <w:color w:val="000000"/>
                <w:sz w:val="24"/>
                <w:szCs w:val="24"/>
                <w:highlight w:val="none"/>
              </w:rPr>
            </w:r>
            <w:r/>
          </w:p>
        </w:tc>
        <w:tc>
          <w:tcPr>
            <w:tcW w:w="7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小类名称</w:t>
            </w:r>
            <w:r>
              <w:rPr>
                <w:rFonts w:ascii="宋体" w:hAnsi="宋体" w:eastAsia="宋体" w:cs="宋体"/>
                <w:b/>
                <w:bCs/>
                <w:color w:val="000000"/>
                <w:sz w:val="24"/>
                <w:szCs w:val="24"/>
                <w:highlight w:val="none"/>
              </w:rPr>
            </w:r>
            <w:r/>
          </w:p>
        </w:tc>
        <w:tc>
          <w:tcPr>
            <w:tcW w:w="170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作业要求</w:t>
            </w:r>
            <w:r>
              <w:rPr>
                <w:rFonts w:ascii="宋体" w:hAnsi="宋体" w:eastAsia="宋体" w:cs="宋体"/>
                <w:b/>
                <w:bCs/>
                <w:color w:val="000000"/>
                <w:sz w:val="24"/>
                <w:szCs w:val="24"/>
                <w:highlight w:val="none"/>
              </w:rPr>
            </w:r>
            <w:r/>
          </w:p>
        </w:tc>
        <w:tc>
          <w:tcPr>
            <w:tcW w:w="184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评分细则及扣分标准</w:t>
            </w:r>
            <w:r>
              <w:rPr>
                <w:rFonts w:ascii="宋体" w:hAnsi="宋体" w:eastAsia="宋体" w:cs="宋体"/>
                <w:b/>
                <w:bCs/>
                <w:color w:val="000000"/>
                <w:sz w:val="24"/>
                <w:szCs w:val="24"/>
                <w:highlight w:val="none"/>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
              </w:rPr>
              <w:t xml:space="preserve">扣分</w:t>
            </w:r>
            <w:r>
              <w:rPr>
                <w:rFonts w:hint="eastAsia" w:ascii="宋体" w:hAnsi="宋体" w:eastAsia="宋体" w:cs="宋体"/>
                <w:b/>
                <w:bCs/>
                <w:color w:val="000000"/>
                <w:sz w:val="24"/>
                <w:szCs w:val="24"/>
                <w:highlight w:val="none"/>
                <w:lang w:eastAsia="zh-CN"/>
              </w:rPr>
            </w:r>
            <w:r/>
          </w:p>
        </w:tc>
      </w:tr>
      <w:tr>
        <w:trPr>
          <w:trHeight w:val="525"/>
        </w:trPr>
        <w:tc>
          <w:tcPr>
            <w:tcW w:w="313" w:type="dxa"/>
            <w:vAlign w:val="center"/>
            <w:vMerge w:val="restart"/>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一、作业质量考核</w:t>
            </w: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（一）道路及绿化带保洁</w:t>
            </w: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道路清扫保洁，无积尘，路面无沙石，窨井口保持通畅，边角无淤泥，无瓜皮果壳、纸屑、烟蒂、废弃物等，无垃圾包、暴露垃圾、污水沟及动物尸体</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发现有瓜皮果壳、纸屑、烟蒂、废弃物，一处扣0.1分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65"/>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发现有污水，窨井口不通畅，一处扣0.</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742"/>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发现有积尘、边角有淤泥、路面有沙石、垃圾包、暴露垃圾及动物尸体，一处扣0.</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74"/>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路面、绿化带及公共场所无焚烧垃圾现象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发现焚烧现象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一处扣0.3分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绿化带、绿化隔离带、行道树穴内无烟头、杂物、垃圾、建筑垃圾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绿化带、绿化隔离带、行道树穴有烟头(每1平方米为1处）、杂物、垃圾、建筑垃圾，发现一处扣0.2分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道路上无乱堆乱放生活垃圾和建筑垃圾，无占用道路和绿化带现象，作业单位及时处理或上报存在问题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未及时处理或上报，一次扣0.2分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园区、社区村组专人负责清扫保洁、无垃圾包、暴露垃圾、污水积存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发现有垃圾包、暴露垃圾、污水积存，一处扣0.</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（二）高速公路出入口保洁</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高速公路出入口无垃圾包，暴露垃圾，无积尘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发现有垃圾包、暴露垃圾、积尘，一处扣0.2分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（三）绿道、绿地清扫保洁</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街头绿地无烟头、杂物、垃圾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绿地有烟头(每平方米≧3个）、杂物、垃圾，发现一处扣0.2分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(四)道板保洁</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道板定时冲洗无积尘、无油污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道板有积尘、有油污痕迹，一处扣0.3分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(五)盘口、斑马线保洁</w:t>
            </w:r>
            <w:r>
              <w:rPr>
                <w:rFonts w:hint="eastAsia" w:ascii="宋体" w:hAnsi="宋体" w:eastAsia="宋体" w:cs="宋体"/>
                <w:color w:val="000000"/>
                <w:sz w:val="24"/>
                <w:szCs w:val="24"/>
                <w:highlight w:val="none"/>
                <w:lang w:bidi="ar"/>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盘口、斑马线无污迹、积尘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盘口、斑马线有明显积尘、污迹，一处扣0.3分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(六)道路、道板、绿化带落叶清扫</w:t>
            </w:r>
            <w:r>
              <w:rPr>
                <w:rFonts w:hint="eastAsia" w:ascii="宋体" w:hAnsi="宋体" w:eastAsia="宋体" w:cs="宋体"/>
                <w:color w:val="000000"/>
                <w:sz w:val="24"/>
                <w:szCs w:val="24"/>
                <w:highlight w:val="none"/>
                <w:lang w:bidi="ar"/>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道路、道板无明显大片落叶堆积</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发现落叶未及时清扫的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一次扣0.5分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(七)路面渣土、混凝土管理</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路面遗漏渣土、混凝土及时处理并上报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未及时处理并上报，一次扣0.2分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（八）果壳箱、垃圾桶保洁</w:t>
            </w: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果壳箱、垃圾桶设施完好，箱体、桶体干净整洁、无乱张贴、乱涂写、箱内(桶内)垃圾及时清理，周边无垃圾，箱体、桶体垃圾分类标识干净、清晰</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发现果壳箱、垃圾桶破损</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一处扣0.1分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发现果壳箱(垃圾桶)内垃圾超出檐口，箱体(桶体)不整洁，有乱张贴、乱涂写，一处扣0.2分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表面垃圾分类标识缺失、有污迹，一处扣0.2分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发现果壳箱(垃圾桶)周边脏乱，一处扣0.2分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垃圾桶设置规范</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垃圾桶设置必须经过批准，擅自设置垃圾桶的，一处扣0.2分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垃圾桶设置间隔距离≧100米，地面必须硬化，不符合规定的每处扣0.2分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(九)清扫任务</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未按合同规定时间完成清扫任务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发现一次扣</w:t>
            </w:r>
            <w:r>
              <w:rPr>
                <w:rFonts w:ascii="宋体" w:hAnsi="宋体" w:eastAsia="宋体" w:cs="宋体"/>
                <w:color w:val="000000"/>
                <w:sz w:val="24"/>
                <w:szCs w:val="24"/>
                <w:highlight w:val="none"/>
                <w:lang w:bidi="ar"/>
              </w:rPr>
              <w:t xml:space="preserve">0.5</w:t>
            </w:r>
            <w:r>
              <w:rPr>
                <w:rFonts w:hint="eastAsia" w:ascii="宋体" w:hAnsi="宋体" w:eastAsia="宋体" w:cs="宋体"/>
                <w:color w:val="000000"/>
                <w:sz w:val="24"/>
                <w:szCs w:val="24"/>
                <w:highlight w:val="none"/>
                <w:lang w:bidi="ar"/>
              </w:rPr>
              <w:t xml:space="preserve">分，因不可抗因素不能及时完成清扫任务的，需提前向上报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（十）公厕管理</w:t>
            </w: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公厕设施完好，排水通畅，无粪便淤塞，保洁及时，内部整洁，厕所内无明显臭味，无乱张贴、乱涂写</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公厕收费、设施破损或缺失，发现一次扣0.1分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公厕排水不畅，粪便淤塞，发现一次扣0.2分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公厕内外脏乱，有乱张贴乱涂写，发现一处扣0.1分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公厕设施维修需挂维修牌，维修时间参照市级长效管理考核细则，维修时间超过五个工作日的需书面上报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维修中未挂维修牌的，发现一处扣0.2分；未按规定时间完成修理的，每处扣0.2分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并根据修理时间进行累计扣分，未及时上报的每处扣0.5分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专人看管公厕，工作时间工人不得无故脱岗，因故缺岗的需提前做好补岗工作</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发现无故脱岗或未做好补岗工作的，每次扣1分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(十一)转运站管理</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管理用房(辅助用房)干净、整洁，不得堆放垃圾杂物、不得损坏消防设施，不得有安全隐患</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管理用房(辅助用房)不干净、整洁，发现一项不符合规定的扣0.2分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有安全隐患的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每处扣1分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设施设备运行按规定开启，不得用作它途或擅自关闭</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发现未按规定开启设施设备的，扣1分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转运站不得用作它途及擅自关闭，需调整用途的必须上报区环管中心批准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擅自关闭或用作它途的，每发现一处扣</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健全设备管理制度，做好压缩设备、水泵、中转箱等设备日常维修、维护和保养的管理台账</w:t>
            </w: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制度、台账资料不完整的，每项扣0.2分</w:t>
            </w:r>
            <w:r>
              <w:rPr>
                <w:rFonts w:ascii="宋体" w:hAnsi="宋体" w:eastAsia="宋体" w:cs="宋体"/>
                <w:color w:val="000000"/>
                <w:sz w:val="24"/>
                <w:szCs w:val="24"/>
                <w:highlight w:val="none"/>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做好设施设备的定时保养检查工作，确保设施设备正常运转</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未按时保养设施、设备的，按扣</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不得使用假冒伪劣或指标不符合要求的环保耗材</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发现假冒伪劣或指标不符合要求环保耗材的，扣</w:t>
            </w:r>
            <w:r>
              <w:rPr>
                <w:rFonts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(十二)公厕、转运站内部管理</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公厕、转运站、工人休息点等环卫设施标示标语要明确清晰，外部显眼处按要求明确公示开放时间，并按时开放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标识标语字迹模糊不清的，每处扣0.2分；未按公示时间准时开放，每次扣0.2分；未明确公示开放时间的，每处扣0.5分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做好公厕、转运站、工人休息点等环卫设施的用水用电管理，车辆不允许进入室内充电，不得私拉乱接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发现不符合规定的，每处扣1分；未做好管理，发现漏水可偷电现象每次扣1分；用水用电量超出核定表范围的费用自行承担，并进行年度考核，每超出一处扣1分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做好公厕、转运站、工人休息点等环卫设施的安全管理，出现重大安全事故或质量事故，应第一时间上报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因管理不到位，出现火灾等重大安全事故的，</w:t>
            </w:r>
            <w:r>
              <w:rPr>
                <w:rFonts w:hint="eastAsia" w:ascii="宋体" w:hAnsi="宋体" w:eastAsia="宋体" w:cs="宋体"/>
                <w:b/>
                <w:color w:val="000000"/>
                <w:sz w:val="24"/>
                <w:szCs w:val="24"/>
                <w:highlight w:val="none"/>
                <w:lang w:bidi="ar"/>
              </w:rPr>
              <w:t xml:space="preserve">即为</w:t>
            </w:r>
            <w:r>
              <w:rPr>
                <w:rFonts w:ascii="宋体" w:hAnsi="宋体" w:eastAsia="宋体" w:cs="宋体"/>
                <w:b/>
                <w:color w:val="000000"/>
                <w:sz w:val="24"/>
                <w:szCs w:val="24"/>
                <w:highlight w:val="none"/>
                <w:lang w:bidi="ar"/>
              </w:rPr>
              <w:t xml:space="preserve">不合格</w:t>
            </w:r>
            <w:r>
              <w:rPr>
                <w:rFonts w:hint="eastAsia" w:ascii="宋体" w:hAnsi="宋体" w:eastAsia="宋体" w:cs="宋体"/>
                <w:b/>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未及时上报的，扣</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（十三）环卫车辆作业考核</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区内机扫、洒水、清洗等车辆必须安装GPS视频监控系统，并确保正常运转</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作业车辆未安装GPS的每辆扣1分，GPS因人为遮挡、拔除电源等人为原因运行不正常的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每辆扣0.</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机械化作业路段，作业时间、频次达到《常州市城市道路机械化作业管理办法》中的规定</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作业车辆未按规定完成作业频次的，每条道路扣0.2分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99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车辆作业时按规定开启警示灯或发送警示信号，喷水压尘、刷盘放置到位，扫地、清洗车车速不超过12公里/小时，洒水车车速不超过30公里/小时，冲洗车车速不超过15公里/小时，清运车辆不超过65公里/小时，进入焚烧厂时的车速不超过15公里/小时</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开启警示灯或未发送警示信号，喷水压尘、刷盘放置不到位，扫地车、清洗车车速超过12公里/小时，洒水车车速超过30公里/小时，冲洗车车速超过15公里/小时，清运车辆车速超过65公里/小时，进入焚烧厂时的车速超过15公里/小时的，每发现一处扣0.2分/项</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车容车貌保持干净、整洁，生活垃圾转运箱箱体保持干净、整洁，无破损和锈蚀现象，运输过程中无跑冒滴漏、垃圾外挂现象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车容车貌不达要求的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每发现一处扣0.2分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箱体破损、跑冒滴漏和垃圾外挂的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每发现一处扣0.2分；污水滴漏超过60滴/分钟的，扣</w:t>
            </w:r>
            <w:r>
              <w:rPr>
                <w:rFonts w:ascii="宋体" w:hAnsi="宋体" w:eastAsia="宋体" w:cs="宋体"/>
                <w:color w:val="000000"/>
                <w:sz w:val="24"/>
                <w:szCs w:val="24"/>
                <w:highlight w:val="none"/>
                <w:lang w:bidi="ar"/>
              </w:rPr>
              <w:t xml:space="preserve">0.2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严禁私自外接污水清运</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发现有私自清运污水进入焚烧厂或垃圾转运站处理的情况，按扣</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环卫清扫车辆按作业任务规范作业，严禁空驶漏扫以及扬尘、边扫边漏现象存在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作业车辆不按作业任务完成作业，无客观原因(如路边停车、道路维修等)出现不扫、漏扫情况，发现一次扣1分；清扫过程中出现大面积扬尘和边扫边漏的，发现一次扣0.5分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restart"/>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二、安全和文明作业考核</w:t>
            </w: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(一)安全教育工作</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加强安全教育工作，并做好台账，每月组织开展不少于1次的全员安全培训工作</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无台账的发现一项不符合规定的扣0.2分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未按计划组织培训每次扣0.5分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(二)安全管理制度和措施</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遵守甲方安全管理制度和措施，切实履行安全主体责任，并加强安全自检管理工作</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未遵守甲方管理制度和措施的，发现一项扣0.2分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未进行安全自检工作的，每次扣0.5分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(三)车辆安全</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健全环卫车辆维护管理制度，建立车辆自检及报修台账</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制度、台账资料不完整的，每项扣1分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做好车辆的日常保养和自检工作，专人负责车辆的日常安全管理，发生重大安全责任事故应第一时间上报，普通安全责任事故的应在24小时内上报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发生安全责任事故造成车辆及其它损失的，扣</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分。(交通事故按责任比例划分)</w:t>
            </w:r>
            <w:r>
              <w:rPr>
                <w:rFonts w:ascii="宋体" w:hAnsi="宋体" w:eastAsia="宋体" w:cs="宋体"/>
                <w:color w:val="000000"/>
                <w:sz w:val="24"/>
                <w:szCs w:val="24"/>
                <w:highlight w:val="none"/>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未及时上</w:t>
            </w:r>
            <w:r>
              <w:rPr>
                <w:rFonts w:hint="eastAsia" w:ascii="宋体" w:hAnsi="宋体" w:eastAsia="宋体" w:cs="宋体"/>
                <w:color w:val="000000"/>
                <w:sz w:val="24"/>
                <w:szCs w:val="24"/>
                <w:highlight w:val="none"/>
                <w:lang w:val="en-US" w:eastAsia="zh-CN" w:bidi="ar"/>
              </w:rPr>
              <w:t xml:space="preserve">报</w:t>
            </w:r>
            <w:r>
              <w:rPr>
                <w:rFonts w:hint="eastAsia" w:ascii="宋体" w:hAnsi="宋体" w:eastAsia="宋体" w:cs="宋体"/>
                <w:color w:val="000000"/>
                <w:sz w:val="24"/>
                <w:szCs w:val="24"/>
                <w:highlight w:val="none"/>
                <w:lang w:bidi="ar"/>
              </w:rPr>
              <w:t xml:space="preserve">的，扣</w:t>
            </w:r>
            <w:r>
              <w:rPr>
                <w:rFonts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(四)作业人员安全管理</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作业人员严格遵守交通法规作业</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未按交通法规进行作业的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一次扣0.5分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作业人员作业时必须按规定着环卫工作服</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未按规定着环卫工作服的，每人扣0.1分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(五)作业人员劳动纪律</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按规定时间上岗完成规定的作业量</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未按规定时间上岗的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每次扣0.</w:t>
            </w:r>
            <w:r>
              <w:rPr>
                <w:rFonts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t xml:space="preserve">分/人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(六)意外险购买</w:t>
            </w:r>
            <w:r>
              <w:rPr>
                <w:rFonts w:ascii="宋体" w:hAnsi="宋体" w:eastAsia="宋体" w:cs="宋体"/>
                <w:color w:val="000000"/>
                <w:sz w:val="24"/>
                <w:szCs w:val="24"/>
                <w:highlight w:val="none"/>
              </w:rPr>
            </w:r>
            <w:r/>
          </w:p>
        </w:tc>
        <w:tc>
          <w:tcPr>
            <w:tcW w:w="170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为作业人员购买人身意外险</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发现未购买作业人员人身意外险，每人扣0.2分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restart"/>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(七)舆情、市民投诉</w:t>
            </w:r>
            <w:r>
              <w:rPr>
                <w:rFonts w:ascii="宋体" w:hAnsi="宋体" w:eastAsia="宋体" w:cs="宋体"/>
                <w:color w:val="000000"/>
                <w:sz w:val="24"/>
                <w:szCs w:val="24"/>
                <w:highlight w:val="none"/>
              </w:rPr>
            </w:r>
            <w:r/>
          </w:p>
        </w:tc>
        <w:tc>
          <w:tcPr>
            <w:tcW w:w="1706" w:type="dxa"/>
            <w:vAlign w:val="center"/>
            <w:vMerge w:val="restart"/>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做好日常服务工作，无相关投诉，无不良舆情</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有市民投诉经查证属实的，每次扣0.5分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形成网络舆情的，每次扣1分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因生活垃圾收运造成市民投诉或相关部门反映的、经查证属实的，扣0.5分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continue"/>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vMerge w:val="continue"/>
            <w:textDirection w:val="lrTb"/>
            <w:noWrap w:val="false"/>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因媒体负面曝光的，经查证属实的，扣</w:t>
            </w:r>
            <w:r>
              <w:rPr>
                <w:rFonts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trHeight w:val="600"/>
        </w:trPr>
        <w:tc>
          <w:tcPr>
            <w:tcW w:w="313" w:type="dxa"/>
            <w:vAlign w:val="center"/>
            <w:vMerge w:val="restart"/>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三、其它工作考核</w:t>
            </w:r>
            <w:r>
              <w:rPr>
                <w:rFonts w:ascii="宋体" w:hAnsi="宋体" w:eastAsia="宋体" w:cs="宋体"/>
                <w:color w:val="000000"/>
                <w:sz w:val="24"/>
                <w:szCs w:val="24"/>
                <w:highlight w:val="none"/>
              </w:rPr>
            </w:r>
            <w:r/>
          </w:p>
        </w:tc>
        <w:tc>
          <w:tcPr>
            <w:tcW w:w="716" w:type="dxa"/>
            <w:vAlign w:val="center"/>
            <w:vMerge w:val="restart"/>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(一)市、区、镇级考核</w:t>
            </w: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市城市长效管理考核、文明城市考核、卫生城市考核</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被市城市长效管理考评扣分，一个</w:t>
            </w:r>
            <w:r>
              <w:rPr>
                <w:rFonts w:ascii="宋体" w:hAnsi="宋体" w:eastAsia="宋体" w:cs="宋体"/>
                <w:color w:val="000000"/>
                <w:sz w:val="24"/>
                <w:szCs w:val="24"/>
                <w:highlight w:val="none"/>
                <w:lang w:bidi="ar"/>
              </w:rPr>
              <w:t xml:space="preserve">问题</w:t>
            </w:r>
            <w:r>
              <w:rPr>
                <w:rFonts w:hint="eastAsia" w:ascii="宋体" w:hAnsi="宋体" w:eastAsia="宋体" w:cs="宋体"/>
                <w:color w:val="000000"/>
                <w:sz w:val="24"/>
                <w:szCs w:val="24"/>
                <w:highlight w:val="none"/>
                <w:lang w:bidi="ar"/>
              </w:rPr>
              <w:t xml:space="preserve">扣</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区级城市长效管理考核、文明城市考核、卫生城市考核</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被区城市长效管理考评和区环卫处考评扣分，一个</w:t>
            </w:r>
            <w:r>
              <w:rPr>
                <w:rFonts w:ascii="宋体" w:hAnsi="宋体" w:eastAsia="宋体" w:cs="宋体"/>
                <w:color w:val="000000"/>
                <w:sz w:val="24"/>
                <w:szCs w:val="24"/>
                <w:highlight w:val="none"/>
                <w:lang w:bidi="ar"/>
              </w:rPr>
              <w:t xml:space="preserve">问题</w:t>
            </w:r>
            <w:r>
              <w:rPr>
                <w:rFonts w:hint="eastAsia" w:ascii="宋体" w:hAnsi="宋体" w:eastAsia="宋体" w:cs="宋体"/>
                <w:color w:val="000000"/>
                <w:sz w:val="24"/>
                <w:szCs w:val="24"/>
                <w:highlight w:val="none"/>
                <w:lang w:bidi="ar"/>
              </w:rPr>
              <w:t xml:space="preserve">扣</w:t>
            </w:r>
            <w:r>
              <w:rPr>
                <w:rFonts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vMerge w:val="continue"/>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镇级城市长效管理考核、文明城市考核、卫生城市考核</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被镇考评组日常管理考评扣分，一个</w:t>
            </w:r>
            <w:r>
              <w:rPr>
                <w:rFonts w:ascii="宋体" w:hAnsi="宋体" w:eastAsia="宋体" w:cs="宋体"/>
                <w:color w:val="000000"/>
                <w:sz w:val="24"/>
                <w:szCs w:val="24"/>
                <w:highlight w:val="none"/>
                <w:lang w:bidi="ar"/>
              </w:rPr>
              <w:t xml:space="preserve">问题</w:t>
            </w:r>
            <w:r>
              <w:rPr>
                <w:rFonts w:hint="eastAsia" w:ascii="宋体" w:hAnsi="宋体" w:eastAsia="宋体" w:cs="宋体"/>
                <w:color w:val="000000"/>
                <w:sz w:val="24"/>
                <w:szCs w:val="24"/>
                <w:highlight w:val="none"/>
                <w:lang w:bidi="ar"/>
              </w:rPr>
              <w:t xml:space="preserve">扣</w:t>
            </w:r>
            <w:r>
              <w:rPr>
                <w:rFonts w:ascii="宋体" w:hAnsi="宋体" w:eastAsia="宋体" w:cs="宋体"/>
                <w:color w:val="000000"/>
                <w:sz w:val="24"/>
                <w:szCs w:val="24"/>
                <w:highlight w:val="none"/>
                <w:lang w:bidi="ar"/>
              </w:rPr>
              <w:t xml:space="preserve">0.2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(二)下达的工作任务管理</w:t>
            </w: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按要求完成下达的各项业务工作任务</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未能按规定时间和标准完成的</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每次扣5分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(三)重大活动、雨雪灾害天气保障工作</w:t>
            </w: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按相关规定和预案做好保障和应急工作</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未按规定做好保障和应急工作的，每次扣5分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tcW w:w="313" w:type="dxa"/>
            <w:vAlign w:val="center"/>
            <w:vMerge w:val="continue"/>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6" w:type="dxa"/>
            <w:vAlign w:val="center"/>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（四）资源保障</w:t>
            </w:r>
            <w:r>
              <w:rPr>
                <w:rFonts w:ascii="宋体" w:hAnsi="宋体" w:eastAsia="宋体" w:cs="宋体"/>
                <w:color w:val="000000"/>
                <w:sz w:val="24"/>
                <w:szCs w:val="24"/>
                <w:highlight w:val="none"/>
              </w:rPr>
            </w:r>
            <w:r/>
          </w:p>
        </w:tc>
        <w:tc>
          <w:tcPr>
            <w:tcW w:w="1706" w:type="dxa"/>
            <w:vAlign w:val="center"/>
            <w:textDirection w:val="lrTb"/>
            <w:noWrap/>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有健全的组织机构及服务制度，联系顺畅、沟通有效</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846"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服务组织机构及人员职责不清，遇事推诿，联系困难等，每次扣5分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416" w:type="dxa"/>
            <w:vAlign w:val="bottom"/>
            <w:textDirection w:val="lrTb"/>
            <w:noWrap/>
          </w:tcPr>
          <w:p>
            <w:pPr>
              <w:pStyle w:val="1068"/>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00"/>
        </w:trPr>
        <w:tc>
          <w:tcPr>
            <w:gridSpan w:val="4"/>
            <w:tcW w:w="8514" w:type="dxa"/>
            <w:vAlign w:val="center"/>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得分汇总</w:t>
            </w:r>
            <w:r>
              <w:rPr>
                <w:rFonts w:ascii="宋体" w:hAnsi="宋体" w:eastAsia="宋体" w:cs="宋体"/>
                <w:color w:val="000000"/>
                <w:sz w:val="24"/>
                <w:szCs w:val="24"/>
                <w:highlight w:val="none"/>
              </w:rPr>
            </w:r>
            <w:r/>
          </w:p>
        </w:tc>
        <w:tc>
          <w:tcPr>
            <w:tcW w:w="416" w:type="dxa"/>
            <w:vAlign w:val="bottom"/>
            <w:textDirection w:val="lrTb"/>
            <w:noWrap/>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1068"/>
        <w:ind w:right="0"/>
        <w:jc w:val="center"/>
        <w:keepLines w:val="0"/>
        <w:keepNext w:val="0"/>
        <w:pageBreakBefore w:val="0"/>
        <w:spacing w:line="360" w:lineRule="auto"/>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07"/>
        <w:spacing w:line="360" w:lineRule="auto"/>
        <w:rPr>
          <w:rFonts w:hint="eastAsia" w:ascii="宋体" w:hAnsi="宋体" w:eastAsia="宋体" w:cs="宋体"/>
          <w:color w:val="000000"/>
          <w:sz w:val="24"/>
          <w:szCs w:val="24"/>
          <w:highlight w:val="none"/>
        </w:rPr>
      </w:pPr>
      <w:r/>
      <w:bookmarkStart w:id="816" w:name="_Toc99301426"/>
      <w:r>
        <w:rPr>
          <w:rFonts w:hint="eastAsia" w:ascii="宋体" w:hAnsi="宋体" w:eastAsia="宋体" w:cs="宋体"/>
          <w:b/>
          <w:color w:val="000000"/>
          <w:sz w:val="24"/>
          <w:szCs w:val="24"/>
          <w:highlight w:val="none"/>
          <w:lang w:val="zh-CN"/>
        </w:rPr>
        <w:t xml:space="preserve">招标人（以下称甲</w:t>
      </w:r>
      <w:r>
        <w:rPr>
          <w:rFonts w:hint="eastAsia" w:ascii="宋体" w:hAnsi="宋体" w:eastAsia="宋体" w:cs="宋体"/>
          <w:b/>
          <w:color w:val="000000"/>
          <w:sz w:val="24"/>
          <w:szCs w:val="24"/>
          <w:highlight w:val="none"/>
        </w:rPr>
        <w:t xml:space="preserve">方）: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110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投标人（</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r>
      <w:r/>
    </w:p>
    <w:p>
      <w:pPr>
        <w:pStyle w:val="1084"/>
        <w:ind w:firstLine="55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p>
    <w:p>
      <w:pPr>
        <w:pStyle w:val="110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068"/>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乙方根据甲方需求提供下列服务：         ，</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0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107"/>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元</w:t>
      </w:r>
      <w:r>
        <w:rPr>
          <w:rFonts w:hint="eastAsia" w:ascii="宋体" w:hAnsi="宋体" w:eastAsia="宋体" w:cs="宋体"/>
          <w:b/>
          <w:color w:val="000000"/>
          <w:sz w:val="24"/>
          <w:szCs w:val="24"/>
          <w:highlight w:val="none"/>
        </w:rPr>
        <w:t xml:space="preserve">（小写       ）。 </w:t>
      </w:r>
      <w:r>
        <w:rPr>
          <w:rFonts w:hint="eastAsia" w:ascii="宋体" w:hAnsi="宋体" w:eastAsia="宋体" w:cs="宋体"/>
          <w:b/>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color w:val="000000"/>
          <w:sz w:val="24"/>
          <w:szCs w:val="24"/>
          <w:highlight w:val="none"/>
        </w:rPr>
      </w:r>
      <w:r/>
    </w:p>
    <w:p>
      <w:pPr>
        <w:pStyle w:val="110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第三条 合同履行期限</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w:t>
      </w:r>
      <w:r>
        <w:rPr>
          <w:rFonts w:hint="eastAsia" w:ascii="宋体" w:hAnsi="宋体" w:eastAsia="宋体" w:cs="宋体"/>
          <w:color w:val="000000"/>
          <w:sz w:val="24"/>
          <w:szCs w:val="24"/>
          <w:highlight w:val="none"/>
        </w:rPr>
      </w:r>
      <w:r/>
    </w:p>
    <w:p>
      <w:pPr>
        <w:pStyle w:val="110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 组成本合同的有关文件</w:t>
      </w:r>
      <w:r>
        <w:rPr>
          <w:rFonts w:hint="eastAsia" w:ascii="宋体" w:hAnsi="宋体" w:eastAsia="宋体" w:cs="宋体"/>
          <w:b/>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（1）招标采购文件（编号：   ）           （2）乙方提供的投标文件； </w:t>
      </w:r>
      <w:r>
        <w:rPr>
          <w:rFonts w:hint="eastAsia" w:ascii="宋体" w:hAnsi="宋体" w:eastAsia="宋体" w:cs="宋体"/>
          <w:color w:val="000000"/>
          <w:sz w:val="24"/>
          <w:szCs w:val="24"/>
          <w:highlight w:val="none"/>
        </w:rPr>
      </w:r>
      <w:r/>
    </w:p>
    <w:p>
      <w:pPr>
        <w:pStyle w:val="11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（3）中标通知书；                        （4）甲乙双方商定的其他文件等。</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第五条 合同款结算及支付</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3.结算原则：固定总价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rPr>
        <w:t xml:space="preserve">4.付款方式：</w:t>
      </w:r>
      <w:r>
        <w:rPr>
          <w:rFonts w:hint="eastAsia" w:ascii="宋体" w:hAnsi="宋体" w:eastAsia="宋体" w:cs="宋体"/>
          <w:b/>
          <w:bCs/>
          <w:color w:val="000000"/>
          <w:sz w:val="24"/>
          <w:szCs w:val="24"/>
          <w:highlight w:val="none"/>
          <w:lang w:val="en-US" w:eastAsia="zh-CN" w:bidi="ar"/>
        </w:rPr>
        <w:t xml:space="preserve">上半年付至全年合同价的40%,下半年至全年合同价的80%,全年合同款的15%作为全年度每月点评会奖惩金发放。全年合同款的5%作为年度考核费用，待确保乙方结清给工人的全部工资、奖金、福利及其他应付的经费后，结合全年度的考核情况，在协议期满后次月一次性结清（无息）。</w:t>
      </w:r>
      <w:r>
        <w:rPr>
          <w:rFonts w:hint="eastAsia" w:ascii="宋体" w:hAnsi="宋体" w:eastAsia="宋体" w:cs="宋体"/>
          <w:b/>
          <w:bCs/>
          <w:color w:val="000000"/>
          <w:sz w:val="24"/>
          <w:szCs w:val="24"/>
          <w:highlight w:val="none"/>
          <w:u w:val="none"/>
          <w:lang w:val="en-US" w:eastAsia="zh-CN" w:bidi="ar"/>
        </w:rPr>
      </w:r>
      <w:r/>
    </w:p>
    <w:p>
      <w:pPr>
        <w:pStyle w:val="1068"/>
        <w:ind w:firstLine="482"/>
        <w:spacing w:line="360" w:lineRule="auto"/>
        <w:rPr>
          <w:rFonts w:ascii="宋体" w:hAnsi="宋体" w:eastAsia="宋体" w:cs="宋体"/>
          <w:b/>
          <w:bCs w:val="0"/>
          <w:color w:val="000000"/>
          <w:sz w:val="24"/>
          <w:szCs w:val="24"/>
          <w:highlight w:val="none"/>
          <w:lang w:val="en-US"/>
        </w:rPr>
      </w:pPr>
      <w:r>
        <w:rPr>
          <w:rFonts w:hint="eastAsia" w:ascii="宋体" w:hAnsi="宋体" w:eastAsia="宋体" w:cs="宋体"/>
          <w:b/>
          <w:bCs w:val="0"/>
          <w:color w:val="000000"/>
          <w:sz w:val="24"/>
          <w:szCs w:val="24"/>
          <w:highlight w:val="none"/>
        </w:rPr>
        <w:t xml:space="preserve">第六条</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双方权利义务</w:t>
      </w:r>
      <w:r>
        <w:rPr>
          <w:rFonts w:ascii="宋体" w:hAnsi="宋体" w:eastAsia="宋体" w:cs="宋体"/>
          <w:b/>
          <w:bCs w:val="0"/>
          <w:color w:val="000000"/>
          <w:sz w:val="24"/>
          <w:szCs w:val="24"/>
          <w:highlight w:val="none"/>
          <w:lang w:val="en-US"/>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1.甲方权利义务</w:t>
      </w:r>
      <w:r>
        <w:rPr>
          <w:rFonts w:hint="eastAsia" w:ascii="宋体" w:hAnsi="宋体" w:eastAsia="宋体" w:cs="宋体"/>
          <w:b/>
          <w:bCs/>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(1)负责施工现场的协调，在乙方进场施工前确保具备施工条件。</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(2)向乙方提供施工过程中所需的技术资料、参数及图纸类信息。</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(3)根据甲方绿化养护、环卫保洁作业工作要求以及乙方响应文件中的承诺，对乙方提供的服务及履行本合同情况实行验收考核，甲方有义务在适当范围内公开考核结果。</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(4)因突发事件及重大活动，甲方有权调动乙方人员、设备，乙方应服从安排予以配合。</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按《市政府关于进一步完善常州市城市长效综合管理考核工作的实施意见》、《常州市城市环卫作业质量考核办法》和《常州市新北区环境卫生作业考评细则》,甲方对乙方养护管理工作、环卫保洁作业工作进行检查考核，并打分，根据考核结果支付养护及保洁服务费用。</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(6)按照合同约定付款方式及时支付项目款。</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(7)向乙方明确环卫保洁作业范围、保洁标准、作业频次及管控要求，提供保洁作业必要的管理规范，对乙方保洁质量进行日常巡查、监督、整改督办。</w:t>
      </w:r>
      <w:r>
        <w:rPr>
          <w:rFonts w:hint="eastAsia" w:ascii="宋体" w:hAnsi="宋体" w:eastAsia="宋体" w:cs="宋体"/>
          <w:color w:val="000000"/>
          <w:sz w:val="24"/>
          <w:szCs w:val="24"/>
          <w:highlight w:val="none"/>
        </w:rPr>
      </w:r>
      <w:r/>
    </w:p>
    <w:p>
      <w:pPr>
        <w:pStyle w:val="106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(8)重大活动、专项整治期间，甲方有权要求乙方加派保洁人员、增加清扫频次，乙方须无条件配合。</w:t>
      </w:r>
      <w:r>
        <w:rPr>
          <w:rFonts w:hint="eastAsia" w:ascii="宋体" w:hAnsi="宋体" w:eastAsia="宋体" w:cs="宋体"/>
          <w:color w:val="000000"/>
          <w:sz w:val="24"/>
          <w:szCs w:val="24"/>
          <w:highlight w:val="none"/>
        </w:rPr>
      </w:r>
      <w:r/>
    </w:p>
    <w:p>
      <w:pPr>
        <w:pStyle w:val="106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2.乙方权利义务</w:t>
      </w:r>
      <w:r>
        <w:rPr>
          <w:rFonts w:hint="eastAsia" w:ascii="宋体" w:hAnsi="宋体" w:eastAsia="宋体" w:cs="宋体"/>
          <w:b/>
          <w:bCs/>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(1)乙方根据绿地养护作业技术规范、绿化养护作业质量标准和有关要求，积极主动保质保量地完成绿化养护作业工作。</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(2)乙方在施工过程中应采取施工安全措施，确保项目及其人员、材料、设备和设施的安全，防止因项目施工造成的人身伤害和财产损失。</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(3)乙方应对其履行合同所雇佣的全部人员工伤事故承担责任。</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(4)由于乙方原因在施工场地内及其毗邻地带造成的第三者人员伤亡和财产损失，由乙方负责赔偿。</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(5)乙方需配备专职巡查人员，就下列项目展开巡查工作，专职巡视资料员日常巡查内容：</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①作业区域有无私开、私挖现象；</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②作业区域内各类绿化植物有无私自修剪现象；</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③作业区域内有无苗木偷盗、绿化带毁绿种菜现象；</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④作业区域内有无苗木死亡、空秃及病虫害现象；</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⑤作业区域内环卫保洁情况，排查白色垃圾、堆积杂物、卫生死角、垃圾留存等问题；</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⑥其他各类甲方另行规定的巡查内容。</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(6)接受并主动配合甲方及行业管理部门的检查、考核、整改要求。</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(7)养护、保洁范围之外的突击性、突发性工作，乙方必须服从甲方的安排，不得无故拖延。</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(9)绿化带绿化缺失、苗木偷盗、未经行政许可开挖的绿化恢复等应由乙方负责及时补植和修复。</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(10)负责作业范围内绿化带、绿地周边、作业配套区域内的环卫保洁工作，常态化清理白色垃圾、枯枝落叶、杂草、碎石、建筑垃圾、生活垃圾及各类漂浮杂物；</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(11)及时清理雨水篦、绿化沟、绿化带边角、树穴内积存垃圾、淤泥杂物，保持区域内环境卫生干净整洁，无卫生死角；</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(12)合理配置保洁人员、保洁工具及清运设备，做到垃圾日产日清，严禁就地焚烧、随意填埋垃圾；</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(13)养护作业产生的修剪枝条、枯木、渣土、废弃物料等，由乙方统一收集、清运处置，不得滞留作业现场；</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(14)严格遵照常州市及薛家镇城市长效综合管理保洁标准开展作业，做好扬尘管控、污渍清理，遇雨雪、大风等恶劣天气，及时开展雨后清淤、落叶清扫、断枝清理工作；</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(15)做好保洁物资、垃圾分类管理，规范作业流程，接受甲方卫生考核，对甲方提出的保洁问题限期整改。</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2.甲方未按合同规定的期限向乙方支付的，每逾期1天甲方向乙方偿付欠款总额的5‰滞纳金，但累计滞纳金总额不超过欠款总额的5% 。</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3.乙方未按本合同的规定和“服务承诺”提供伴随服务的，甲方有权提前解除本合同，同时乙方应按合同总价款的5%向甲方承担违约责任。</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6.其他未尽事宜，以《民法典》等有关法律法规规定为准，无相关规定的，双方协商解决。</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 诚实信用 </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1068"/>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2.本合同一式伍份，甲乙双方各执贰份，代理机构执壹份存档。</w:t>
      </w:r>
      <w:r>
        <w:rPr>
          <w:rFonts w:hint="eastAsia" w:ascii="宋体" w:hAnsi="宋体" w:eastAsia="宋体" w:cs="宋体"/>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6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113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委托代理人：</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传真：                         </w:t>
            </w:r>
            <w:r>
              <w:rPr>
                <w:rFonts w:hint="eastAsia" w:ascii="宋体" w:hAnsi="宋体" w:eastAsia="宋体" w:cs="宋体"/>
                <w:b/>
                <w:bCs/>
                <w:color w:val="000000"/>
                <w:sz w:val="24"/>
                <w:szCs w:val="24"/>
                <w:highlight w:val="none"/>
              </w:rPr>
            </w:r>
            <w:r/>
          </w:p>
        </w:tc>
        <w:tc>
          <w:tcPr>
            <w:tcW w:w="4332" w:type="dxa"/>
            <w:vAlign w:val="top"/>
            <w:textDirection w:val="lrTb"/>
            <w:noWrap w:val="false"/>
          </w:tcPr>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    方：</w:t>
            </w:r>
            <w:r>
              <w:rPr>
                <w:rFonts w:hint="eastAsia" w:ascii="宋体" w:hAnsi="宋体" w:eastAsia="宋体" w:cs="宋体"/>
                <w:b/>
                <w:bCs/>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委托代理人： </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w:t>
            </w:r>
            <w:r>
              <w:rPr>
                <w:rFonts w:hint="eastAsia" w:ascii="宋体" w:hAnsi="宋体" w:eastAsia="宋体" w:cs="宋体"/>
                <w:color w:val="000000"/>
                <w:sz w:val="24"/>
                <w:szCs w:val="24"/>
                <w:highlight w:val="none"/>
              </w:rPr>
            </w:r>
            <w:r/>
          </w:p>
          <w:p>
            <w:pPr>
              <w:pStyle w:val="1068"/>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开户银行：        账号：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r>
    </w:tbl>
    <w:p>
      <w:pPr>
        <w:pStyle w:val="1068"/>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1068"/>
        <w:spacing w:line="400" w:lineRule="exact"/>
        <w:rPr>
          <w:rFonts w:ascii="宋体" w:hAnsi="宋体" w:cs="宋体"/>
          <w:b/>
          <w:bCs/>
          <w:color w:val="000000"/>
          <w:szCs w:val="21"/>
          <w:highlight w:val="none"/>
        </w:rPr>
      </w:pPr>
      <w:r>
        <w:rPr>
          <w:rFonts w:ascii="宋体" w:hAnsi="宋体" w:cs="宋体"/>
          <w:b/>
          <w:bCs/>
          <w:color w:val="000000"/>
          <w:szCs w:val="21"/>
          <w:highlight w:val="none"/>
        </w:rPr>
      </w:r>
      <w:r/>
    </w:p>
    <w:p>
      <w:pPr>
        <w:pStyle w:val="1068"/>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6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8"/>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68"/>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68"/>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8"/>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68"/>
        <w:rPr>
          <w:rFonts w:ascii="宋体" w:hAnsi="宋体"/>
          <w:b/>
          <w:color w:val="000000"/>
          <w:spacing w:val="20"/>
          <w:szCs w:val="21"/>
          <w:highlight w:val="none"/>
        </w:rPr>
      </w:pPr>
      <w:r>
        <w:rPr>
          <w:rFonts w:ascii="宋体" w:hAnsi="宋体"/>
          <w:b/>
          <w:color w:val="000000"/>
          <w:spacing w:val="20"/>
          <w:szCs w:val="21"/>
          <w:highlight w:val="none"/>
        </w:rPr>
      </w:r>
      <w:r/>
    </w:p>
    <w:p>
      <w:pPr>
        <w:pStyle w:val="1068"/>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68"/>
        <w:jc w:val="center"/>
        <w:rPr>
          <w:rFonts w:ascii="宋体" w:hAnsi="宋体"/>
          <w:color w:val="000000"/>
          <w:szCs w:val="21"/>
          <w:highlight w:val="none"/>
        </w:rPr>
      </w:pPr>
      <w:r>
        <w:rPr>
          <w:rFonts w:ascii="宋体" w:hAnsi="宋体"/>
          <w:color w:val="000000"/>
          <w:szCs w:val="21"/>
          <w:highlight w:val="none"/>
        </w:rPr>
      </w:r>
      <w:r/>
    </w:p>
    <w:p>
      <w:pPr>
        <w:pStyle w:val="106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6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8"/>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8"/>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8"/>
        <w:jc w:val="center"/>
        <w:rPr>
          <w:rFonts w:ascii="宋体" w:hAnsi="宋体"/>
          <w:b/>
          <w:color w:val="000000"/>
          <w:sz w:val="32"/>
          <w:szCs w:val="32"/>
          <w:highlight w:val="none"/>
        </w:rPr>
      </w:pPr>
      <w:r>
        <w:rPr>
          <w:rFonts w:ascii="宋体" w:hAnsi="宋体"/>
          <w:b/>
          <w:color w:val="000000"/>
          <w:sz w:val="32"/>
          <w:szCs w:val="32"/>
          <w:highlight w:val="none"/>
        </w:rPr>
      </w:r>
      <w:r/>
    </w:p>
    <w:p>
      <w:pPr>
        <w:pStyle w:val="1068"/>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68"/>
        <w:rPr>
          <w:rFonts w:ascii="宋体" w:hAnsi="宋体"/>
          <w:b/>
          <w:color w:val="000000"/>
          <w:highlight w:val="none"/>
        </w:rPr>
      </w:pPr>
      <w:r>
        <w:rPr>
          <w:rFonts w:ascii="宋体" w:hAnsi="宋体"/>
          <w:b/>
          <w:color w:val="000000"/>
          <w:highlight w:val="none"/>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1"/>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6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4"/>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4"/>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68"/>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68"/>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2-1中小企业声明函</w:t>
      </w:r>
      <w:r>
        <w:rPr>
          <w:rFonts w:ascii="宋体" w:hAnsi="宋体"/>
          <w:color w:val="000000"/>
          <w:sz w:val="24"/>
          <w:szCs w:val="20"/>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资格证明文件部分</w:t>
      </w:r>
      <w:r>
        <w:rPr>
          <w:rFonts w:ascii="宋体" w:hAnsi="宋体"/>
          <w:color w:val="000000"/>
          <w:sz w:val="24"/>
          <w:highlight w:val="none"/>
        </w:rPr>
        <w:t xml:space="preserve">无需提供《中小企业声明函》。</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（4）其他</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olor w:val="000000"/>
          <w:sz w:val="24"/>
          <w:highlight w:val="none"/>
        </w:rPr>
      </w:r>
      <w:r/>
    </w:p>
    <w:p>
      <w:pPr>
        <w:pStyle w:val="106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68"/>
        <w:jc w:val="center"/>
        <w:spacing w:before="240" w:after="240"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（采购文件中明确的所属行业）</w:t>
      </w:r>
      <w:r>
        <w:rPr>
          <w:rFonts w:ascii="宋体" w:hAnsi="宋体"/>
          <w:color w:val="000000"/>
          <w:spacing w:val="6"/>
          <w:sz w:val="24"/>
          <w:highlight w:val="none"/>
        </w:rPr>
        <w:t xml:space="preserve">行业；承建（承接）企业为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68"/>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68"/>
        <w:jc w:val="left"/>
        <w:rPr>
          <w:rFonts w:ascii="宋体" w:hAnsi="宋体"/>
          <w:color w:val="000000"/>
          <w:sz w:val="24"/>
          <w:szCs w:val="21"/>
          <w:highlight w:val="none"/>
        </w:rPr>
      </w:pPr>
      <w:r>
        <w:rPr>
          <w:rFonts w:ascii="宋体" w:hAnsi="宋体"/>
          <w:color w:val="000000"/>
          <w:sz w:val="24"/>
          <w:szCs w:val="21"/>
          <w:highlight w:val="none"/>
        </w:rPr>
      </w:r>
      <w:r/>
    </w:p>
    <w:p>
      <w:pPr>
        <w:pStyle w:val="1068"/>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8"/>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68"/>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68"/>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残疾人福利性单位声明函格式</w:t>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8"/>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68"/>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68"/>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8"/>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日  期：</w:t>
      </w: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68"/>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r>
      <w:r/>
    </w:p>
    <w:p>
      <w:pPr>
        <w:pStyle w:val="1068"/>
        <w:spacing w:line="360" w:lineRule="auto"/>
        <w:tabs>
          <w:tab w:val="left" w:pos="8280" w:leader="none"/>
        </w:tabs>
        <w:rPr>
          <w:rFonts w:ascii="宋体" w:hAnsi="宋体"/>
          <w:b/>
          <w:color w:val="000000"/>
          <w:sz w:val="24"/>
          <w:szCs w:val="20"/>
          <w:highlight w:val="none"/>
        </w:rPr>
      </w:pPr>
      <w:r>
        <w:rPr>
          <w:rFonts w:ascii="宋体" w:hAnsi="宋体"/>
          <w:color w:val="000000"/>
          <w:sz w:val="24"/>
          <w:szCs w:val="20"/>
          <w:highlight w:val="none"/>
        </w:rPr>
        <w:br w:type="page" w:clear="all"/>
      </w: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68"/>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68"/>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8"/>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Toc195842921"/>
      <w:r/>
      <w:bookmarkStart w:id="818" w:name="_Toc127151556"/>
      <w:r/>
      <w:bookmarkStart w:id="819" w:name="_Ref467988698"/>
      <w:r/>
      <w:bookmarkStart w:id="820" w:name="_Toc480942349"/>
      <w:r/>
      <w:bookmarkStart w:id="821" w:name="_Toc142311058"/>
      <w:r/>
      <w:bookmarkStart w:id="822" w:name="_Toc520356217"/>
      <w:r/>
      <w:bookmarkStart w:id="823" w:name="_Toc226965829"/>
      <w:r/>
      <w:bookmarkStart w:id="824" w:name="_Toc150480794"/>
      <w:r/>
      <w:bookmarkStart w:id="825" w:name="_Toc226965746"/>
      <w:r/>
      <w:bookmarkStart w:id="826" w:name="_Toc150774761"/>
      <w:r/>
      <w:bookmarkStart w:id="827" w:name="_Toc226337252"/>
      <w:r/>
      <w:bookmarkStart w:id="828" w:name="_Toc226309800"/>
      <w:r>
        <w:rPr>
          <w:rFonts w:hint="eastAsia" w:ascii="宋体" w:hAnsi="宋体"/>
          <w:b/>
          <w:color w:val="000000"/>
          <w:sz w:val="32"/>
          <w:szCs w:val="32"/>
          <w:highlight w:val="none"/>
        </w:rPr>
      </w:r>
      <w:r/>
    </w:p>
    <w:p>
      <w:pPr>
        <w:pStyle w:val="106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6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6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6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6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6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68"/>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68"/>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68"/>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68"/>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6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68"/>
        <w:jc w:val="left"/>
        <w:widowControl/>
        <w:rPr>
          <w:rFonts w:hint="eastAsia" w:ascii="宋体" w:hAnsi="宋体"/>
          <w:b/>
          <w:color w:val="000000"/>
          <w:sz w:val="24"/>
          <w:highlight w:val="none"/>
        </w:rPr>
      </w:pPr>
      <w:r/>
      <w:bookmarkStart w:id="829" w:name="_Hlt520355938"/>
      <w:r/>
      <w:bookmarkEnd w:id="829"/>
      <w:r/>
      <w:bookmarkStart w:id="830" w:name="_Hlt520356243"/>
      <w:r/>
      <w:bookmarkEnd w:id="830"/>
      <w:r>
        <w:rPr>
          <w:rFonts w:ascii="宋体" w:hAnsi="宋体"/>
          <w:color w:val="000000"/>
          <w:sz w:val="24"/>
          <w:highlight w:val="none"/>
        </w:rPr>
        <w:br w:type="page" w:clear="all"/>
      </w: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ascii="宋体" w:hAnsi="宋体"/>
          <w:color w:val="000000"/>
          <w:sz w:val="24"/>
          <w:highlight w:val="none"/>
        </w:rPr>
      </w:r>
      <w:r/>
    </w:p>
    <w:p>
      <w:pPr>
        <w:pStyle w:val="108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6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8"/>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6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68"/>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68"/>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6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0"/>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6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68"/>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6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6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6"/>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68"/>
        <w:spacing w:line="400" w:lineRule="exact"/>
        <w:rPr>
          <w:rFonts w:ascii="宋体" w:hAnsi="宋体" w:cs="宋体"/>
          <w:color w:val="000000"/>
          <w:sz w:val="24"/>
          <w:highlight w:val="none"/>
        </w:rPr>
      </w:pPr>
      <w:r>
        <w:rPr>
          <w:rFonts w:ascii="宋体" w:hAnsi="宋体" w:cs="宋体"/>
          <w:color w:val="000000"/>
          <w:sz w:val="24"/>
          <w:highlight w:val="none"/>
        </w:rPr>
      </w:r>
      <w:r/>
    </w:p>
    <w:p>
      <w:pPr>
        <w:pStyle w:val="1080"/>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80"/>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6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0"/>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6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8"/>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8"/>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68"/>
        <w:ind w:firstLine="640"/>
        <w:rPr>
          <w:rFonts w:ascii="宋体" w:hAnsi="宋体"/>
          <w:color w:val="000000"/>
          <w:highlight w:val="none"/>
        </w:rPr>
      </w:pPr>
      <w:r>
        <w:rPr>
          <w:rFonts w:ascii="宋体" w:hAnsi="宋体"/>
          <w:color w:val="000000"/>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6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5"/>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bookmarkStart w:id="831" w:name="_Hlt520274393"/>
      <w:r/>
      <w:bookmarkEnd w:id="831"/>
      <w:r/>
      <w:bookmarkStart w:id="832" w:name="_Hlt520274121"/>
      <w:r/>
      <w:bookmarkEnd w:id="832"/>
      <w:r/>
      <w:bookmarkStart w:id="833" w:name="_Hlt520343392"/>
      <w:r/>
      <w:bookmarkEnd w:id="833"/>
      <w:r/>
      <w:bookmarkStart w:id="834" w:name="_Hlt520273711"/>
      <w:r/>
      <w:bookmarkEnd w:id="834"/>
      <w:r/>
      <w:bookmarkStart w:id="835" w:name="_Hlt520271212"/>
      <w:r/>
      <w:bookmarkEnd w:id="835"/>
      <w:r/>
      <w:bookmarkStart w:id="836" w:name="_Hlt520274065"/>
      <w:r/>
      <w:bookmarkEnd w:id="836"/>
      <w:r/>
      <w:bookmarkStart w:id="837" w:name="_Hlt520274407"/>
      <w:r/>
      <w:bookmarkEnd w:id="837"/>
      <w:r/>
      <w:bookmarkStart w:id="838" w:name="_Hlt520350918"/>
      <w:r/>
      <w:bookmarkEnd w:id="838"/>
      <w:r/>
      <w:bookmarkStart w:id="839" w:name="_Hlt520343000"/>
      <w:r/>
      <w:bookmarkEnd w:id="839"/>
      <w:r/>
      <w:bookmarkStart w:id="840" w:name="_Hlt520355504"/>
      <w:r/>
      <w:bookmarkEnd w:id="840"/>
      <w:r/>
      <w:bookmarkStart w:id="841" w:name="_Toc150480795"/>
      <w:r/>
      <w:bookmarkStart w:id="842" w:name="_Ref467988705"/>
      <w:r/>
      <w:bookmarkStart w:id="843" w:name="_Toc265228395"/>
      <w:r/>
      <w:bookmarkStart w:id="844" w:name="_Toc520356218"/>
      <w:r/>
      <w:bookmarkStart w:id="845" w:name="_Toc226965747"/>
      <w:r/>
      <w:bookmarkStart w:id="846" w:name="_Toc480942350"/>
      <w:r/>
      <w:bookmarkStart w:id="847" w:name="_Toc305158899"/>
      <w:r/>
      <w:bookmarkStart w:id="848" w:name="_Toc226965830"/>
      <w:r/>
      <w:bookmarkStart w:id="849" w:name="_Toc195842922"/>
      <w:r/>
      <w:bookmarkStart w:id="850" w:name="_Toc305158825"/>
      <w:r/>
      <w:bookmarkStart w:id="851" w:name="_Toc226309801"/>
      <w:r/>
      <w:bookmarkStart w:id="852" w:name="_Toc127151557"/>
      <w:r/>
      <w:bookmarkStart w:id="853" w:name="_Toc226337253"/>
      <w:r/>
      <w:bookmarkStart w:id="854" w:name="_Toc142311059"/>
      <w:r/>
      <w:bookmarkStart w:id="855" w:name="_Toc264969247"/>
      <w:r/>
      <w:bookmarkStart w:id="856"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jc w:val="center"/>
        <w:spacing w:line="360" w:lineRule="exact"/>
        <w:rPr>
          <w:rFonts w:hint="eastAsia" w:ascii="宋体" w:hAnsi="宋体"/>
          <w:b/>
          <w:color w:val="000000"/>
          <w:sz w:val="36"/>
          <w:szCs w:val="36"/>
          <w:highlight w:val="none"/>
        </w:rPr>
      </w:pPr>
      <w:r/>
      <w:bookmarkStart w:id="857" w:name="_Toc264969248"/>
      <w:r/>
      <w:bookmarkStart w:id="858" w:name="_Toc226965748"/>
      <w:r/>
      <w:bookmarkStart w:id="859" w:name="_Toc265228396"/>
      <w:r/>
      <w:bookmarkStart w:id="860" w:name="_Toc226965831"/>
      <w:r/>
      <w:bookmarkStart w:id="861" w:name="_Toc164608672"/>
      <w:r/>
      <w:bookmarkStart w:id="862" w:name="_Toc305158826"/>
      <w:r/>
      <w:bookmarkStart w:id="863" w:name="_Toc226309802"/>
      <w:r/>
      <w:bookmarkStart w:id="864" w:name="_Toc226337254"/>
      <w:r/>
      <w:bookmarkStart w:id="865" w:name="_Toc164608827"/>
      <w:r/>
      <w:bookmarkStart w:id="866" w:name="_Toc195842923"/>
      <w:r/>
      <w:bookmarkStart w:id="867" w:name="_Toc305158900"/>
      <w:r>
        <w:rPr>
          <w:rFonts w:hint="eastAsia" w:ascii="宋体" w:hAnsi="宋体"/>
          <w:b/>
          <w:color w:val="000000"/>
          <w:sz w:val="36"/>
          <w:szCs w:val="36"/>
          <w:highlight w:val="none"/>
        </w:rPr>
      </w:r>
      <w:r/>
    </w:p>
    <w:p>
      <w:pPr>
        <w:pStyle w:val="1068"/>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68"/>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6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68"/>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68"/>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8"/>
              <w:jc w:val="center"/>
              <w:tabs>
                <w:tab w:val="left" w:pos="5580" w:leader="none"/>
              </w:tabs>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元/三年</w:t>
            </w:r>
            <w:r>
              <w:rPr>
                <w:rFonts w:ascii="宋体" w:hAnsi="宋体" w:eastAsia="宋体"/>
                <w:color w:val="000000"/>
                <w:sz w:val="24"/>
                <w:highlight w:val="none"/>
                <w:lang w:val="en-US" w:eastAsia="zh-CN"/>
              </w:rPr>
            </w:r>
            <w:r/>
          </w:p>
        </w:tc>
        <w:tc>
          <w:tcPr>
            <w:tcW w:w="1182" w:type="dxa"/>
            <w:vAlign w:val="center"/>
            <w:textDirection w:val="lrTb"/>
            <w:noWrap w:val="false"/>
          </w:tcPr>
          <w:p>
            <w:pPr>
              <w:pStyle w:val="1068"/>
              <w:jc w:val="center"/>
              <w:tabs>
                <w:tab w:val="left" w:pos="5580" w:leader="none"/>
              </w:tabs>
              <w:rPr>
                <w:rFonts w:ascii="宋体" w:hAnsi="宋体"/>
                <w:color w:val="000000"/>
                <w:sz w:val="24"/>
                <w:highlight w:val="none"/>
              </w:rPr>
            </w:pPr>
            <w:r>
              <w:rPr>
                <w:rFonts w:hint="eastAsia" w:ascii="宋体" w:hAnsi="宋体"/>
                <w:color w:val="000000"/>
                <w:sz w:val="24"/>
                <w:highlight w:val="none"/>
                <w:lang w:val="en-US" w:eastAsia="zh-CN"/>
              </w:rPr>
              <w:t xml:space="preserve">元/三年</w:t>
            </w:r>
            <w:r>
              <w:rPr>
                <w:rFonts w:ascii="宋体" w:hAnsi="宋体"/>
                <w:color w:val="000000"/>
                <w:sz w:val="24"/>
                <w:highlight w:val="none"/>
              </w:rPr>
            </w:r>
            <w:r/>
          </w:p>
        </w:tc>
      </w:tr>
    </w:tbl>
    <w:p>
      <w:pPr>
        <w:pStyle w:val="1068"/>
        <w:jc w:val="left"/>
        <w:rPr>
          <w:rFonts w:ascii="宋体" w:hAnsi="宋体"/>
          <w:color w:val="000000"/>
          <w:sz w:val="24"/>
          <w:highlight w:val="none"/>
        </w:rPr>
      </w:pPr>
      <w:r>
        <w:rPr>
          <w:rFonts w:ascii="宋体" w:hAnsi="宋体"/>
          <w:color w:val="000000"/>
          <w:sz w:val="24"/>
          <w:highlight w:val="none"/>
        </w:rPr>
      </w:r>
      <w:r/>
    </w:p>
    <w:p>
      <w:pPr>
        <w:pStyle w:val="1068"/>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68"/>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bookmarkStart w:id="868" w:name="_Toc226965749"/>
      <w:r/>
      <w:bookmarkStart w:id="869" w:name="_Toc226965832"/>
      <w:r/>
      <w:bookmarkStart w:id="870" w:name="_Toc150480796"/>
      <w:r/>
      <w:bookmarkStart w:id="871" w:name="_Toc226309803"/>
      <w:r/>
      <w:bookmarkStart w:id="872" w:name="_Toc264969249"/>
      <w:r/>
      <w:bookmarkStart w:id="873" w:name="_Toc142311060"/>
      <w:r/>
      <w:bookmarkStart w:id="874" w:name="_Toc226337255"/>
      <w:r/>
      <w:bookmarkStart w:id="875" w:name="_Toc305158901"/>
      <w:r/>
      <w:bookmarkStart w:id="876" w:name="_Toc150774763"/>
      <w:r/>
      <w:bookmarkStart w:id="877" w:name="_Toc265228397"/>
      <w:r/>
      <w:bookmarkStart w:id="878" w:name="_Toc305158827"/>
      <w:r/>
      <w:bookmarkStart w:id="879" w:name="_Toc195842924"/>
      <w:r/>
      <w:bookmarkStart w:id="880" w:name="_Toc127151558"/>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6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68"/>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68"/>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lang w:val="en-US" w:eastAsia="zh-CN"/>
        </w:rPr>
      </w:pPr>
      <w:r/>
      <w:bookmarkStart w:id="881" w:name="_Toc305158904"/>
      <w:r/>
      <w:bookmarkStart w:id="882" w:name="_Toc150480798"/>
      <w:r/>
      <w:bookmarkStart w:id="883" w:name="_Toc195842927"/>
      <w:r/>
      <w:bookmarkStart w:id="884" w:name="_Toc264969252"/>
      <w:r/>
      <w:bookmarkStart w:id="885" w:name="_Toc127151562"/>
      <w:r/>
      <w:bookmarkStart w:id="886" w:name="_Toc226965835"/>
      <w:r/>
      <w:bookmarkStart w:id="887" w:name="_Toc305158830"/>
      <w:r/>
      <w:bookmarkStart w:id="888" w:name="_Toc265228400"/>
      <w:r/>
      <w:bookmarkStart w:id="889" w:name="_Toc226965752"/>
      <w:r/>
      <w:bookmarkStart w:id="890" w:name="_Toc226337258"/>
      <w:r/>
      <w:bookmarkStart w:id="891" w:name="_Toc142311062"/>
      <w:r/>
      <w:bookmarkStart w:id="892" w:name="_Toc226309806"/>
      <w:r/>
      <w:bookmarkStart w:id="893" w:name="_Toc150774765"/>
      <w:r/>
      <w:bookmarkStart w:id="894" w:name="_Toc305158829"/>
      <w:r/>
      <w:bookmarkStart w:id="895" w:name="_Toc226309805"/>
      <w:r/>
      <w:bookmarkStart w:id="896" w:name="_Toc142311061"/>
      <w:r/>
      <w:bookmarkStart w:id="897" w:name="_Toc195842926"/>
      <w:r/>
      <w:bookmarkStart w:id="898" w:name="_Toc226337257"/>
      <w:r/>
      <w:bookmarkStart w:id="899" w:name="_Toc264969251"/>
      <w:r/>
      <w:bookmarkStart w:id="900" w:name="_Toc265228399"/>
      <w:r/>
      <w:bookmarkStart w:id="901" w:name="_Toc150774764"/>
      <w:r/>
      <w:bookmarkStart w:id="902" w:name="_Toc226965751"/>
      <w:r/>
      <w:bookmarkStart w:id="903" w:name="_Toc127151561"/>
      <w:r/>
      <w:bookmarkStart w:id="904" w:name="_Toc150480797"/>
      <w:r/>
      <w:bookmarkStart w:id="905" w:name="_Toc305158903"/>
      <w:r/>
      <w:bookmarkStart w:id="906" w:name="_Toc226965834"/>
      <w:r>
        <w:rPr>
          <w:rFonts w:hint="eastAsia" w:ascii="宋体" w:hAnsi="宋体" w:eastAsia="宋体" w:cs="宋体"/>
          <w:b/>
          <w:bCs/>
          <w:color w:val="000000"/>
          <w:sz w:val="24"/>
          <w:szCs w:val="24"/>
          <w:highlight w:val="none"/>
          <w:lang w:val="en-US" w:eastAsia="zh-CN"/>
        </w:rPr>
      </w:r>
      <w:r/>
    </w:p>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2026-2028年薛家道路保洁、绿化养护项目报价表</w:t>
      </w:r>
      <w:r>
        <w:rPr>
          <w:rFonts w:hint="eastAsia" w:ascii="宋体" w:hAnsi="宋体" w:eastAsia="宋体" w:cs="宋体"/>
          <w:b/>
          <w:bCs/>
          <w:color w:val="000000"/>
          <w:sz w:val="24"/>
          <w:szCs w:val="24"/>
          <w:highlight w:val="none"/>
          <w:lang w:val="en-US" w:eastAsia="zh-CN"/>
        </w:rPr>
      </w:r>
      <w:r/>
    </w:p>
    <w:tbl>
      <w:tblPr>
        <w:tblStyle w:val="11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889"/>
        <w:gridCol w:w="2295"/>
        <w:gridCol w:w="616"/>
        <w:gridCol w:w="475"/>
        <w:gridCol w:w="1485"/>
        <w:gridCol w:w="1485"/>
        <w:gridCol w:w="1485"/>
      </w:tblGrid>
      <w:tr>
        <w:trPr/>
        <w:tc>
          <w:tcPr>
            <w:tcW w:w="553"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gridSpan w:val="2"/>
            <w:tcW w:w="3184"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项目名称</w:t>
            </w:r>
            <w:r>
              <w:rPr>
                <w:rFonts w:hint="eastAsia" w:ascii="宋体" w:hAnsi="宋体" w:eastAsia="宋体" w:cs="宋体"/>
                <w:b/>
                <w:bCs/>
                <w:color w:val="000000"/>
                <w:sz w:val="24"/>
                <w:szCs w:val="24"/>
                <w:highlight w:val="none"/>
                <w:vertAlign w:val="baseline"/>
                <w:lang w:val="en-US" w:eastAsia="zh-CN"/>
              </w:rPr>
            </w:r>
            <w:r/>
          </w:p>
        </w:tc>
        <w:tc>
          <w:tcPr>
            <w:tcW w:w="616"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rPr>
              <w:t xml:space="preserve">单位</w:t>
            </w:r>
            <w:r>
              <w:rPr>
                <w:rFonts w:hint="eastAsia" w:ascii="宋体" w:hAnsi="宋体" w:eastAsia="宋体" w:cs="宋体"/>
                <w:b/>
                <w:bCs/>
                <w:color w:val="000000"/>
                <w:sz w:val="24"/>
                <w:szCs w:val="24"/>
                <w:highlight w:val="none"/>
                <w:vertAlign w:val="baseline"/>
                <w:lang w:val="en-US" w:eastAsia="zh-CN" w:bidi="ar-SA"/>
              </w:rPr>
            </w:r>
            <w:r/>
          </w:p>
        </w:tc>
        <w:tc>
          <w:tcPr>
            <w:tcW w:w="47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数量</w:t>
            </w:r>
            <w:r>
              <w:rPr>
                <w:rFonts w:hint="eastAsia" w:ascii="宋体" w:hAnsi="宋体" w:eastAsia="宋体" w:cs="宋体"/>
                <w:b/>
                <w:bCs/>
                <w:color w:val="000000"/>
                <w:sz w:val="24"/>
                <w:szCs w:val="24"/>
                <w:highlight w:val="none"/>
                <w:vertAlign w:val="baseline"/>
                <w:lang w:val="en-US" w:eastAsia="zh-CN"/>
              </w:rPr>
            </w:r>
            <w:r/>
          </w:p>
        </w:tc>
        <w:tc>
          <w:tcPr>
            <w:tcW w:w="148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vertAlign w:val="baseline"/>
                <w:lang w:val="en-US" w:eastAsia="zh-CN"/>
              </w:rPr>
            </w:r>
            <w:r/>
          </w:p>
        </w:tc>
        <w:tc>
          <w:tcPr>
            <w:tcW w:w="148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tc>
        <w:tc>
          <w:tcPr>
            <w:tcW w:w="148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tc>
      </w:tr>
      <w:tr>
        <w:trPr/>
        <w:tc>
          <w:tcPr>
            <w:tcW w:w="553"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gridSpan w:val="2"/>
            <w:tcW w:w="3184"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道路保洁</w:t>
            </w:r>
            <w:r>
              <w:rPr>
                <w:rFonts w:hint="eastAsia" w:ascii="宋体" w:hAnsi="宋体" w:eastAsia="宋体" w:cs="宋体"/>
                <w:color w:val="000000"/>
                <w:sz w:val="24"/>
                <w:szCs w:val="24"/>
                <w:highlight w:val="none"/>
                <w:vertAlign w:val="baseline"/>
                <w:lang w:val="en-US" w:eastAsia="zh-CN"/>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53"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gridSpan w:val="2"/>
            <w:tcW w:w="3184"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公厕、垃圾中转站水电费及维修</w:t>
            </w:r>
            <w:r>
              <w:rPr>
                <w:rFonts w:hint="eastAsia" w:ascii="宋体" w:hAnsi="宋体" w:eastAsia="宋体" w:cs="宋体"/>
                <w:color w:val="000000"/>
                <w:sz w:val="24"/>
                <w:szCs w:val="24"/>
                <w:highlight w:val="none"/>
                <w:vertAlign w:val="baseline"/>
                <w:lang w:val="en-US" w:eastAsia="zh-CN"/>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53"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889" w:type="dxa"/>
            <w:vAlign w:val="center"/>
            <w:vMerge w:val="restart"/>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绿化养护</w:t>
            </w:r>
            <w:r>
              <w:rPr>
                <w:rFonts w:hint="eastAsia" w:ascii="宋体" w:hAnsi="宋体" w:eastAsia="宋体" w:cs="宋体"/>
                <w:color w:val="000000"/>
                <w:sz w:val="24"/>
                <w:szCs w:val="24"/>
                <w:highlight w:val="none"/>
                <w:vertAlign w:val="baseline"/>
                <w:lang w:val="en-US" w:eastAsia="zh-CN"/>
              </w:rPr>
            </w:r>
            <w:r/>
          </w:p>
        </w:tc>
        <w:tc>
          <w:tcPr>
            <w:tcW w:w="229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镇区绿化</w:t>
            </w:r>
            <w:r>
              <w:rPr>
                <w:rFonts w:hint="eastAsia" w:ascii="宋体" w:hAnsi="宋体" w:eastAsia="宋体" w:cs="宋体"/>
                <w:color w:val="000000"/>
                <w:sz w:val="24"/>
                <w:szCs w:val="24"/>
                <w:highlight w:val="none"/>
                <w:vertAlign w:val="baseline"/>
                <w:lang w:val="en-US" w:eastAsia="zh-CN"/>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553"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889" w:type="dxa"/>
            <w:vAlign w:val="center"/>
            <w:vMerge w:val="continue"/>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29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外围绿化</w:t>
            </w:r>
            <w:r>
              <w:rPr>
                <w:rFonts w:hint="eastAsia" w:ascii="宋体" w:hAnsi="宋体" w:eastAsia="宋体" w:cs="宋体"/>
                <w:color w:val="000000"/>
                <w:sz w:val="24"/>
                <w:szCs w:val="24"/>
                <w:highlight w:val="none"/>
                <w:vertAlign w:val="baseline"/>
                <w:lang w:val="en-US" w:eastAsia="zh-CN" w:bidi="ar-SA"/>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bidi="ar-SA"/>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tcW w:w="553"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rPr>
                <w:rFonts w:hint="eastAsia" w:ascii="宋体" w:hAnsi="宋体" w:eastAsia="宋体" w:cs="宋体"/>
                <w:color w:val="000000"/>
                <w:sz w:val="24"/>
                <w:szCs w:val="24"/>
                <w:highlight w:val="none"/>
                <w:vertAlign w:val="baseline"/>
                <w:lang w:val="en-US" w:eastAsia="zh-CN"/>
              </w:rPr>
            </w:r>
            <w:r/>
          </w:p>
        </w:tc>
        <w:tc>
          <w:tcPr>
            <w:tcW w:w="889" w:type="dxa"/>
            <w:vAlign w:val="top"/>
            <w:vMerge w:val="continue"/>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295"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城际铁路和沪宁高速沿线</w:t>
            </w:r>
            <w:r>
              <w:rPr>
                <w:rFonts w:hint="eastAsia" w:ascii="宋体" w:hAnsi="宋体" w:eastAsia="宋体" w:cs="宋体"/>
                <w:color w:val="000000"/>
                <w:sz w:val="24"/>
                <w:szCs w:val="24"/>
                <w:highlight w:val="none"/>
                <w:vertAlign w:val="baseline"/>
                <w:lang w:val="en-US" w:eastAsia="zh-CN"/>
              </w:rPr>
            </w:r>
            <w:r/>
          </w:p>
        </w:tc>
        <w:tc>
          <w:tcPr>
            <w:tcW w:w="616"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项</w:t>
            </w:r>
            <w:r>
              <w:rPr>
                <w:rFonts w:hint="eastAsia" w:ascii="宋体" w:hAnsi="宋体" w:eastAsia="宋体" w:cs="宋体"/>
                <w:color w:val="000000"/>
                <w:sz w:val="24"/>
                <w:szCs w:val="24"/>
                <w:highlight w:val="none"/>
                <w:vertAlign w:val="baseline"/>
                <w:lang w:val="en-US" w:eastAsia="zh-CN" w:bidi="ar-SA"/>
              </w:rPr>
            </w:r>
            <w:r/>
          </w:p>
        </w:tc>
        <w:tc>
          <w:tcPr>
            <w:tcW w:w="475" w:type="dxa"/>
            <w:vAlign w:val="center"/>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vertAlign w:val="baseline"/>
                <w:lang w:val="en-US" w:eastAsia="zh-CN" w:bidi="ar-SA"/>
              </w:rPr>
            </w:r>
            <w:r/>
          </w:p>
        </w:tc>
      </w:tr>
      <w:tr>
        <w:trPr/>
        <w:tc>
          <w:tcPr>
            <w:gridSpan w:val="5"/>
            <w:tcW w:w="4828"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hint="eastAsia" w:ascii="宋体" w:hAnsi="宋体" w:eastAsia="宋体" w:cs="宋体"/>
                <w:b/>
                <w:bCs/>
                <w:color w:val="000000"/>
                <w:sz w:val="24"/>
                <w:szCs w:val="24"/>
                <w:highlight w:val="none"/>
                <w:vertAlign w:val="baseline"/>
                <w:lang w:val="en-US" w:eastAsia="zh-CN" w:bidi="ar-SA"/>
              </w:rPr>
            </w:pPr>
            <w:r>
              <w:rPr>
                <w:rFonts w:hint="eastAsia" w:ascii="宋体" w:hAnsi="宋体" w:eastAsia="宋体" w:cs="宋体"/>
                <w:b/>
                <w:bCs/>
                <w:color w:val="000000"/>
                <w:sz w:val="24"/>
                <w:szCs w:val="24"/>
                <w:highlight w:val="none"/>
                <w:vertAlign w:val="baseline"/>
                <w:lang w:val="en-US" w:eastAsia="zh-CN"/>
              </w:rPr>
              <w:t xml:space="preserve">合计</w:t>
            </w:r>
            <w:r>
              <w:rPr>
                <w:rFonts w:hint="eastAsia" w:ascii="宋体" w:hAnsi="宋体" w:eastAsia="宋体" w:cs="宋体"/>
                <w:b/>
                <w:bCs/>
                <w:color w:val="000000"/>
                <w:sz w:val="24"/>
                <w:szCs w:val="24"/>
                <w:highlight w:val="none"/>
                <w:vertAlign w:val="baseline"/>
                <w:lang w:val="en-US" w:eastAsia="zh-CN" w:bidi="ar-SA"/>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8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gridSpan w:val="5"/>
            <w:tcW w:w="4828" w:type="dxa"/>
            <w:vAlign w:val="top"/>
            <w:textDirection w:val="lrTb"/>
            <w:noWrap w:val="false"/>
          </w:tcPr>
          <w:p>
            <w:pPr>
              <w:pStyle w:val="1080"/>
              <w:jc w:val="center"/>
              <w:keepLines w:val="0"/>
              <w:keepNext w:val="0"/>
              <w:pageBreakBefore w:val="0"/>
              <w:spacing w:before="0" w:line="400" w:lineRule="exact"/>
              <w:widowControl w:val="off"/>
              <w:tabs>
                <w:tab w:val="left" w:pos="567" w:leader="none"/>
              </w:tabs>
              <w:rPr>
                <w:rFonts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三年合计</w:t>
            </w:r>
            <w:r>
              <w:rPr>
                <w:rFonts w:ascii="宋体" w:hAnsi="宋体" w:eastAsia="宋体" w:cs="宋体"/>
                <w:b/>
                <w:bCs/>
                <w:color w:val="000000"/>
                <w:sz w:val="24"/>
                <w:szCs w:val="24"/>
                <w:highlight w:val="none"/>
                <w:vertAlign w:val="baseline"/>
                <w:lang w:val="en-US" w:eastAsia="zh-CN"/>
              </w:rPr>
            </w:r>
            <w:r/>
          </w:p>
        </w:tc>
        <w:tc>
          <w:tcPr>
            <w:gridSpan w:val="3"/>
            <w:tcW w:w="4455" w:type="dxa"/>
            <w:vAlign w:val="top"/>
            <w:textDirection w:val="lrTb"/>
            <w:noWrap w:val="false"/>
          </w:tcPr>
          <w:p>
            <w:pPr>
              <w:pStyle w:val="1080"/>
              <w:jc w:val="right"/>
              <w:keepLines w:val="0"/>
              <w:keepNext w:val="0"/>
              <w:pageBreakBefore w:val="0"/>
              <w:spacing w:before="0" w:line="400" w:lineRule="exact"/>
              <w:widowControl w:val="off"/>
              <w:tabs>
                <w:tab w:val="left" w:pos="567" w:leader="none"/>
              </w:tabs>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1.薛家道路保洁报价表</w:t>
      </w:r>
      <w:r>
        <w:rPr>
          <w:rFonts w:hint="eastAsia" w:ascii="宋体" w:hAnsi="宋体" w:eastAsia="宋体" w:cs="宋体"/>
          <w:b/>
          <w:bCs/>
          <w:color w:val="000000"/>
          <w:sz w:val="24"/>
          <w:szCs w:val="24"/>
          <w:highlight w:val="none"/>
          <w:lang w:val="en-US" w:eastAsia="zh-CN"/>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811"/>
        <w:gridCol w:w="2662"/>
        <w:gridCol w:w="1977"/>
        <w:gridCol w:w="1214"/>
        <w:gridCol w:w="1199"/>
        <w:gridCol w:w="1418"/>
      </w:tblGrid>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路名</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长宽（</w:t>
            </w:r>
            <w:r>
              <w:rPr>
                <w:rFonts w:hint="eastAsia" w:ascii="宋体" w:hAnsi="宋体" w:eastAsia="宋体" w:cs="宋体"/>
                <w:b/>
                <w:bCs/>
                <w:color w:val="000000"/>
                <w:sz w:val="24"/>
                <w:szCs w:val="24"/>
                <w:highlight w:val="none"/>
                <w:lang w:val="en-US" w:eastAsia="zh-CN" w:bidi="ar"/>
              </w:rPr>
              <w:t xml:space="preserve">m</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面积（㎡）</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道板（㎡）</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2600*22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57200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包括新晨路</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奥园路南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凤翔路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建业路南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薛冶路南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漕河园区路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后肖园区路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勤奋路南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正强路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富强路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126*9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富康路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凤玉路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4400*12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52800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漕河路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南漕河路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中山路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4920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庆南电镀厂西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南广场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116783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龙城大道-</w:t>
            </w:r>
            <w:r>
              <w:rPr>
                <w:rStyle w:val="1322"/>
                <w:rFonts w:hint="eastAsia" w:ascii="宋体" w:hAnsi="宋体" w:eastAsia="宋体" w:cs="宋体"/>
                <w:color w:val="000000"/>
                <w:sz w:val="24"/>
                <w:szCs w:val="24"/>
                <w:highlight w:val="none"/>
                <w:lang w:bidi="ar"/>
              </w:rPr>
              <w:t xml:space="preserve">黄河路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148630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河海路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春江路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114040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德胜河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113260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龙城大道-</w:t>
            </w:r>
            <w:r>
              <w:rPr>
                <w:rStyle w:val="1322"/>
                <w:rFonts w:hint="eastAsia" w:ascii="宋体" w:hAnsi="宋体" w:eastAsia="宋体" w:cs="宋体"/>
                <w:color w:val="000000"/>
                <w:sz w:val="24"/>
                <w:szCs w:val="24"/>
                <w:highlight w:val="none"/>
                <w:lang w:bidi="ar"/>
              </w:rPr>
              <w:t xml:space="preserve">黄河路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79200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机场路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春江路指示牌-</w:t>
            </w:r>
            <w:r>
              <w:rPr>
                <w:rStyle w:val="1322"/>
                <w:rFonts w:hint="eastAsia" w:ascii="宋体" w:hAnsi="宋体" w:eastAsia="宋体" w:cs="宋体"/>
                <w:color w:val="000000"/>
                <w:sz w:val="24"/>
                <w:szCs w:val="24"/>
                <w:highlight w:val="none"/>
                <w:lang w:bidi="ar"/>
              </w:rPr>
              <w:t xml:space="preserve">彩钢厂围墙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187200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机场路绿道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天山路-</w:t>
            </w:r>
            <w:r>
              <w:rPr>
                <w:rStyle w:val="1322"/>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汉江路绿道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w:t>
            </w:r>
            <w:r>
              <w:rPr>
                <w:rStyle w:val="1322"/>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吕汤路（黄河路至运河路）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4500*18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81000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吕西路（黄河路至汉江路）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汉江路（德胜河至吕西桥）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河海路（吕汤路至吕西路）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吕墅工业园区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德胜北路（吕汤路至德胜桥）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17500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清明路（德胜南路至德胜北路）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吕墅小学门前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200*120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德胜南路（吕汤路至吕墅中学）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吕墅四路（吕墅西路-</w:t>
            </w:r>
            <w:r>
              <w:rPr>
                <w:rStyle w:val="1323"/>
                <w:rFonts w:hint="eastAsia" w:ascii="宋体" w:hAnsi="宋体" w:eastAsia="宋体" w:cs="宋体"/>
                <w:color w:val="000000"/>
                <w:sz w:val="24"/>
                <w:szCs w:val="24"/>
                <w:highlight w:val="none"/>
                <w:lang w:bidi="ar"/>
              </w:rPr>
              <w:t xml:space="preserve">吕汤路）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吕墅二路（汉江路-</w:t>
            </w:r>
            <w:r>
              <w:rPr>
                <w:rStyle w:val="1323"/>
                <w:rFonts w:hint="eastAsia" w:ascii="宋体" w:hAnsi="宋体" w:eastAsia="宋体" w:cs="宋体"/>
                <w:color w:val="000000"/>
                <w:sz w:val="24"/>
                <w:szCs w:val="24"/>
                <w:highlight w:val="none"/>
                <w:lang w:bidi="ar"/>
              </w:rPr>
              <w:t xml:space="preserve">吕四路）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Style w:val="1323"/>
                <w:rFonts w:hint="eastAsia" w:ascii="宋体" w:hAnsi="宋体" w:eastAsia="宋体" w:cs="宋体"/>
                <w:color w:val="000000"/>
                <w:sz w:val="24"/>
                <w:szCs w:val="24"/>
                <w:highlight w:val="none"/>
                <w:lang w:bidi="ar"/>
              </w:rPr>
              <w:t xml:space="preserve">春江路南端、红河路、漕河路</w:t>
            </w:r>
            <w:r>
              <w:rPr>
                <w:rFonts w:hint="eastAsia" w:ascii="宋体" w:hAnsi="宋体" w:eastAsia="宋体" w:cs="宋体"/>
                <w:color w:val="000000"/>
                <w:sz w:val="24"/>
                <w:szCs w:val="24"/>
                <w:highlight w:val="none"/>
                <w:lang w:bidi="ar"/>
              </w:rPr>
              <w:t xml:space="preserve">9</w:t>
            </w:r>
            <w:r>
              <w:rPr>
                <w:rStyle w:val="1323"/>
                <w:rFonts w:hint="eastAsia" w:ascii="宋体" w:hAnsi="宋体" w:eastAsia="宋体" w:cs="宋体"/>
                <w:color w:val="000000"/>
                <w:sz w:val="24"/>
                <w:szCs w:val="24"/>
                <w:highlight w:val="none"/>
                <w:lang w:bidi="ar"/>
              </w:rPr>
              <w:t xml:space="preserve">号、晨光树脂门前、多棱多路、龙江北路</w:t>
            </w:r>
            <w:r>
              <w:rPr>
                <w:rFonts w:hint="eastAsia" w:ascii="宋体" w:hAnsi="宋体" w:eastAsia="宋体" w:cs="宋体"/>
                <w:color w:val="000000"/>
                <w:sz w:val="24"/>
                <w:szCs w:val="24"/>
                <w:highlight w:val="none"/>
                <w:lang w:bidi="ar"/>
              </w:rPr>
              <w:t xml:space="preserve">10-1</w:t>
            </w:r>
            <w:r>
              <w:rPr>
                <w:rStyle w:val="1323"/>
                <w:rFonts w:hint="eastAsia" w:ascii="宋体" w:hAnsi="宋体" w:eastAsia="宋体" w:cs="宋体"/>
                <w:color w:val="000000"/>
                <w:sz w:val="24"/>
                <w:szCs w:val="24"/>
                <w:highlight w:val="none"/>
                <w:lang w:bidi="ar"/>
              </w:rPr>
              <w:t xml:space="preserve">门前道路等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16617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中心公园保洁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164600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易腐垃圾处理点5</w:t>
            </w:r>
            <w:r>
              <w:rPr>
                <w:rStyle w:val="1322"/>
                <w:rFonts w:hint="eastAsia" w:ascii="宋体" w:hAnsi="宋体" w:eastAsia="宋体" w:cs="宋体"/>
                <w:color w:val="000000"/>
                <w:sz w:val="24"/>
                <w:szCs w:val="24"/>
                <w:highlight w:val="none"/>
                <w:lang w:bidi="ar"/>
              </w:rPr>
              <w:t xml:space="preserve">个</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顺园路北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1000*22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奥园路北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建业路北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薛冶路北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勤奋北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春江路北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1200*24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科勒路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280*20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丰田路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780*12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9360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金融路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1350*12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16200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6148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932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瀛平路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2700*10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27000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24735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730*30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21900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丽园路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3300*11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22106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锦园路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900*7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希望路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2520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10580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南北街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6860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北环西路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360*9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580*7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对窑路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450*7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3150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常蒸厂西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240*4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庆南电镀厂西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530*9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4770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玉龙桥下</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325*40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玉龙桥匝道</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550*14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7700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5752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农贸市场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7568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颜塘公园</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16662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政府周边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新七路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1280</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lang w:bidi="ar"/>
              </w:rPr>
              <w:t xml:space="preserve">*12</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15360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虎丘路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330</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lang w:bidi="ar"/>
              </w:rPr>
              <w:t xml:space="preserve">*12</w:t>
            </w:r>
            <w:r>
              <w:rPr>
                <w:rStyle w:val="1322"/>
                <w:rFonts w:hint="eastAsia" w:ascii="宋体" w:hAnsi="宋体" w:eastAsia="宋体" w:cs="宋体"/>
                <w:color w:val="000000"/>
                <w:sz w:val="24"/>
                <w:szCs w:val="24"/>
                <w:highlight w:val="none"/>
                <w:lang w:bidi="ar"/>
              </w:rPr>
              <w:t xml:space="preserve">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3960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黄河路-</w:t>
            </w:r>
            <w:r>
              <w:rPr>
                <w:rStyle w:val="1322"/>
                <w:rFonts w:hint="eastAsia" w:ascii="宋体" w:hAnsi="宋体" w:eastAsia="宋体" w:cs="宋体"/>
                <w:color w:val="000000"/>
                <w:sz w:val="24"/>
                <w:szCs w:val="24"/>
                <w:highlight w:val="none"/>
                <w:lang w:bidi="ar"/>
              </w:rPr>
              <w:t xml:space="preserve">龙魏路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69000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玉龙路</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黄河路-</w:t>
            </w:r>
            <w:r>
              <w:rPr>
                <w:rStyle w:val="1322"/>
                <w:rFonts w:hint="eastAsia" w:ascii="宋体" w:hAnsi="宋体" w:eastAsia="宋体" w:cs="宋体"/>
                <w:color w:val="000000"/>
                <w:sz w:val="24"/>
                <w:szCs w:val="24"/>
                <w:highlight w:val="none"/>
                <w:lang w:bidi="ar"/>
              </w:rPr>
              <w:t xml:space="preserve">玉龙桥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黄河西路</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龙江路-</w:t>
            </w:r>
            <w:r>
              <w:rPr>
                <w:rStyle w:val="1322"/>
                <w:rFonts w:hint="eastAsia" w:ascii="宋体" w:hAnsi="宋体" w:eastAsia="宋体" w:cs="宋体"/>
                <w:color w:val="000000"/>
                <w:sz w:val="24"/>
                <w:szCs w:val="24"/>
                <w:highlight w:val="none"/>
                <w:lang w:bidi="ar"/>
              </w:rPr>
              <w:t xml:space="preserve">包家桥</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186000</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13200</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冲洒5</w:t>
            </w:r>
            <w:r>
              <w:rPr>
                <w:rStyle w:val="1322"/>
                <w:rFonts w:hint="eastAsia" w:ascii="宋体" w:hAnsi="宋体" w:eastAsia="宋体" w:cs="宋体"/>
                <w:color w:val="000000"/>
                <w:sz w:val="24"/>
                <w:szCs w:val="24"/>
                <w:highlight w:val="none"/>
                <w:lang w:bidi="ar"/>
              </w:rPr>
              <w:t xml:space="preserve">遍</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top"/>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生命健康产业园区保洁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419336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吴家场、对窑村保洁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新增农民乐园，扣除松林别墅</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103160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雁荡公园、北广场、雁荡河两侧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29000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646"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春江路北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1047米*30米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奥园路南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5000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其他薛家镇区域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道路为覆盖死角</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薛家园区道路</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河海路-龙江路</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5400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2700112</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
              </w:rPr>
              <w:t xml:space="preserve">185141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总计</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2885253</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c>
          <w:tcPr>
            <w:gridSpan w:val="3"/>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pStyle w:val="106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费用合计</w:t>
            </w:r>
            <w:r>
              <w:rPr>
                <w:rFonts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831"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2.公厕、垃圾中转站水电费及维修报价表</w:t>
      </w:r>
      <w:r>
        <w:rPr>
          <w:rFonts w:hint="eastAsia" w:ascii="宋体" w:hAnsi="宋体" w:eastAsia="宋体" w:cs="宋体"/>
          <w:b/>
          <w:bCs/>
          <w:color w:val="000000"/>
          <w:sz w:val="24"/>
          <w:szCs w:val="24"/>
          <w:highlight w:val="none"/>
          <w:lang w:val="en-US"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42"/>
        <w:gridCol w:w="1856"/>
        <w:gridCol w:w="1469"/>
        <w:gridCol w:w="1577"/>
        <w:gridCol w:w="1555"/>
        <w:gridCol w:w="1589"/>
      </w:tblGrid>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rPr>
              <w:t xml:space="preserve">公厕水电费及维修费</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公厕名称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吕墅幼儿园旁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吕墅菜场南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九村东侧商铺公厕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国土所公厕</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七天小公园</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薛家北街公厕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步行街公厕</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临平路公厕</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both"/>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二、</w:t>
            </w:r>
            <w:r>
              <w:rPr>
                <w:rFonts w:hint="eastAsia" w:ascii="宋体" w:hAnsi="宋体" w:eastAsia="宋体" w:cs="宋体"/>
                <w:b/>
                <w:bCs/>
                <w:color w:val="000000"/>
                <w:sz w:val="24"/>
                <w:szCs w:val="24"/>
                <w:highlight w:val="none"/>
                <w:lang w:val="en-US" w:eastAsia="zh-CN"/>
              </w:rPr>
              <w:t xml:space="preserve">垃圾中转站维修费</w:t>
            </w:r>
            <w:r>
              <w:rPr>
                <w:rFonts w:hint="eastAsia" w:ascii="宋体" w:hAnsi="宋体" w:eastAsia="宋体" w:cs="宋体"/>
                <w:color w:val="000000"/>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pStyle w:val="10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pStyle w:val="10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中转站</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三、总计</w:t>
            </w:r>
            <w:r>
              <w:rPr>
                <w:rFonts w:hint="eastAsia" w:ascii="宋体" w:hAnsi="宋体" w:eastAsia="宋体" w:cs="宋体"/>
                <w:color w:val="000000"/>
                <w:sz w:val="24"/>
                <w:szCs w:val="24"/>
                <w:highlight w:val="none"/>
                <w:lang w:bidi="ar"/>
              </w:rPr>
            </w:r>
            <w:r/>
          </w:p>
        </w:tc>
        <w:tc>
          <w:tcPr>
            <w:gridSpan w:val="4"/>
            <w:tcBorders>
              <w:top w:val="single" w:color="000000" w:sz="4" w:space="0"/>
              <w:left w:val="single" w:color="000000" w:sz="4" w:space="0"/>
              <w:bottom w:val="single" w:color="000000" w:sz="4" w:space="0"/>
              <w:right w:val="single" w:color="000000" w:sz="4" w:space="0"/>
            </w:tcBorders>
            <w:tcW w:w="6190" w:type="dxa"/>
            <w:vAlign w:val="center"/>
            <w:textDirection w:val="lrTb"/>
            <w:noWrap w:val="false"/>
          </w:tcPr>
          <w:p>
            <w:pPr>
              <w:pStyle w:val="1068"/>
              <w:jc w:val="center"/>
              <w:rPr>
                <w:rFonts w:ascii="宋体" w:hAnsi="宋体" w:eastAsia="宋体" w:cs="宋体"/>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公厕水电费+公厕维修费+垃圾中转站维修费</w:t>
            </w:r>
            <w:r>
              <w:rPr>
                <w:rFonts w:ascii="宋体" w:hAnsi="宋体" w:eastAsia="宋体" w:cs="宋体"/>
                <w:color w:val="000000"/>
                <w:sz w:val="24"/>
                <w:szCs w:val="24"/>
                <w:highlight w:val="none"/>
                <w:lang w:val="en-US"/>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年份</w:t>
            </w:r>
            <w:r>
              <w:rPr>
                <w:rFonts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2026年</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2027年</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2028年</w:t>
            </w:r>
            <w:r>
              <w:rPr>
                <w:rFonts w:hint="eastAsia" w:ascii="宋体" w:hAnsi="宋体" w:eastAsia="宋体" w:cs="宋体"/>
                <w:color w:val="000000"/>
                <w:sz w:val="24"/>
                <w:szCs w:val="24"/>
                <w:highlight w:val="none"/>
                <w:lang w:val="en-US" w:eastAsia="zh-CN" w:bidi="ar-SA"/>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单年总计</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6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注：2025年10月1日-2027年9月30日部分公厕维保期内，维保期内公厕不再支付维保费，维保外的公厕维保费用为4000元/座/年。</w:t>
            </w:r>
            <w:r>
              <w:rPr>
                <w:rFonts w:hint="eastAsia" w:ascii="宋体" w:hAnsi="宋体" w:eastAsia="宋体" w:cs="宋体"/>
                <w:color w:val="000000"/>
                <w:sz w:val="24"/>
                <w:szCs w:val="24"/>
                <w:highlight w:val="none"/>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3.镇区绿化养护报价表</w:t>
      </w:r>
      <w:r>
        <w:rPr>
          <w:rFonts w:hint="eastAsia" w:ascii="宋体" w:hAnsi="宋体" w:eastAsia="宋体" w:cs="宋体"/>
          <w:b/>
          <w:bCs/>
          <w:color w:val="000000"/>
          <w:sz w:val="24"/>
          <w:szCs w:val="24"/>
          <w:highlight w:val="none"/>
          <w:lang w:val="en-US"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226"/>
        <w:gridCol w:w="1874"/>
        <w:gridCol w:w="1465"/>
        <w:gridCol w:w="1579"/>
        <w:gridCol w:w="1556"/>
        <w:gridCol w:w="1588"/>
      </w:tblGrid>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rPr>
              <w:t xml:space="preserve">公厕水电费及维修费</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公厕名称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吕墅幼儿园旁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吕墅菜场南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商贸中心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童子路南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九村东侧商铺公厕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国土所公厕</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七天小公园</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庆阳路公厕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北广场公厕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薛家北街公厕</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松林桥</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步行街公厕</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中心公园北</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临平路公厕</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both"/>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二、</w:t>
            </w:r>
            <w:r>
              <w:rPr>
                <w:rFonts w:hint="eastAsia" w:ascii="宋体" w:hAnsi="宋体" w:eastAsia="宋体" w:cs="宋体"/>
                <w:b/>
                <w:bCs/>
                <w:color w:val="000000"/>
                <w:sz w:val="24"/>
                <w:szCs w:val="24"/>
                <w:highlight w:val="none"/>
                <w:lang w:val="en-US" w:eastAsia="zh-CN"/>
              </w:rPr>
              <w:t xml:space="preserve">垃圾中转站维修费</w:t>
            </w:r>
            <w:r>
              <w:rPr>
                <w:rFonts w:hint="eastAsia" w:ascii="宋体" w:hAnsi="宋体" w:eastAsia="宋体" w:cs="宋体"/>
                <w:color w:val="000000"/>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水电费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2026年维保费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2027年维保费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2028年维保费</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val="en-US" w:eastAsia="zh-CN"/>
              </w:rPr>
            </w:r>
            <w:r/>
          </w:p>
          <w:p>
            <w:pPr>
              <w:pStyle w:val="1068"/>
              <w:jc w:val="center"/>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元/年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
              </w:rPr>
            </w:r>
            <w:r/>
          </w:p>
        </w:tc>
      </w:tr>
      <w:tr>
        <w:trPr>
          <w:trHeight w:val="51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pStyle w:val="10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68"/>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中转站</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068"/>
              <w:jc w:val="center"/>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三、总计</w:t>
            </w:r>
            <w:r>
              <w:rPr>
                <w:rFonts w:hint="eastAsia" w:ascii="宋体" w:hAnsi="宋体" w:eastAsia="宋体" w:cs="宋体"/>
                <w:color w:val="000000"/>
                <w:sz w:val="24"/>
                <w:szCs w:val="24"/>
                <w:highlight w:val="none"/>
                <w:lang w:bidi="ar"/>
              </w:rPr>
            </w:r>
            <w:r/>
          </w:p>
        </w:tc>
        <w:tc>
          <w:tcPr>
            <w:gridSpan w:val="4"/>
            <w:tcBorders>
              <w:top w:val="single" w:color="000000" w:sz="4" w:space="0"/>
              <w:left w:val="single" w:color="000000" w:sz="4" w:space="0"/>
              <w:bottom w:val="single" w:color="000000" w:sz="4" w:space="0"/>
              <w:right w:val="single" w:color="000000" w:sz="4" w:space="0"/>
            </w:tcBorders>
            <w:tcW w:w="6188" w:type="dxa"/>
            <w:vAlign w:val="center"/>
            <w:textDirection w:val="lrTb"/>
            <w:noWrap w:val="false"/>
          </w:tcPr>
          <w:p>
            <w:pPr>
              <w:pStyle w:val="1068"/>
              <w:jc w:val="center"/>
              <w:rPr>
                <w:rFonts w:ascii="宋体" w:hAnsi="宋体" w:eastAsia="宋体" w:cs="宋体"/>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公厕水电费+公厕维修费+垃圾中转站维修费</w:t>
            </w:r>
            <w:r>
              <w:rPr>
                <w:rFonts w:ascii="宋体" w:hAnsi="宋体" w:eastAsia="宋体" w:cs="宋体"/>
                <w:color w:val="000000"/>
                <w:sz w:val="24"/>
                <w:szCs w:val="24"/>
                <w:highlight w:val="none"/>
                <w:lang w:val="en-US"/>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3100" w:type="dxa"/>
            <w:vAlign w:val="center"/>
            <w:textDirection w:val="lrTb"/>
            <w:noWrap/>
          </w:tcPr>
          <w:p>
            <w:pPr>
              <w:pStyle w:val="1068"/>
              <w:jc w:val="center"/>
              <w:rPr>
                <w:rFonts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单年总计</w:t>
            </w:r>
            <w:r>
              <w:rPr>
                <w:rFonts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06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06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288" w:type="dxa"/>
            <w:vAlign w:val="center"/>
            <w:textDirection w:val="lrTb"/>
            <w:noWrap/>
          </w:tcPr>
          <w:p>
            <w:pPr>
              <w:pStyle w:val="106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注：2025年10月1日-2027年9月30日部分公厕维保期内，维保期内公厕不再支付维保费，维保外的公厕维保费用为4000元/座/年。</w:t>
            </w:r>
            <w:r>
              <w:rPr>
                <w:rFonts w:hint="eastAsia" w:ascii="宋体" w:hAnsi="宋体" w:eastAsia="宋体" w:cs="宋体"/>
                <w:color w:val="000000"/>
                <w:sz w:val="24"/>
                <w:szCs w:val="24"/>
                <w:highlight w:val="none"/>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4.外围绿化养护报价表</w:t>
      </w:r>
      <w:r>
        <w:rPr>
          <w:rFonts w:hint="eastAsia" w:ascii="宋体" w:hAnsi="宋体" w:eastAsia="宋体" w:cs="宋体"/>
          <w:b/>
          <w:bCs/>
          <w:color w:val="000000"/>
          <w:sz w:val="24"/>
          <w:szCs w:val="24"/>
          <w:highlight w:val="none"/>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050"/>
        <w:gridCol w:w="1241"/>
        <w:gridCol w:w="1252"/>
        <w:gridCol w:w="1475"/>
        <w:gridCol w:w="1560"/>
      </w:tblGrid>
      <w:tr>
        <w:trPr>
          <w:trHeight w:val="30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Style w:val="1324"/>
                <w:rFonts w:hint="eastAsia" w:ascii="宋体" w:hAnsi="宋体" w:eastAsia="宋体" w:cs="宋体"/>
                <w:color w:val="000000"/>
                <w:sz w:val="24"/>
                <w:szCs w:val="24"/>
                <w:highlight w:val="none"/>
                <w:lang w:bidi="ar"/>
              </w:rPr>
              <w:t xml:space="preserve">面积（m</w:t>
            </w:r>
            <w:r>
              <w:rPr>
                <w:rStyle w:val="1325"/>
                <w:rFonts w:hint="eastAsia" w:ascii="宋体" w:hAnsi="宋体" w:eastAsia="宋体" w:cs="宋体"/>
                <w:color w:val="000000"/>
                <w:sz w:val="24"/>
                <w:szCs w:val="24"/>
                <w:highlight w:val="none"/>
                <w:lang w:bidi="ar"/>
              </w:rPr>
              <w:t xml:space="preserve">2</w:t>
            </w:r>
            <w:r>
              <w:rPr>
                <w:rStyle w:val="1324"/>
                <w:rFonts w:hint="eastAsia" w:ascii="宋体" w:hAnsi="宋体" w:eastAsia="宋体" w:cs="宋体"/>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w:t>
            </w:r>
            <w:r>
              <w:rPr>
                <w:rStyle w:val="1324"/>
                <w:rFonts w:hint="eastAsia" w:ascii="宋体" w:hAnsi="宋体" w:eastAsia="宋体" w:cs="宋体"/>
                <w:color w:val="000000"/>
                <w:sz w:val="24"/>
                <w:szCs w:val="24"/>
                <w:highlight w:val="none"/>
                <w:lang w:bidi="ar"/>
              </w:rPr>
              <w:t xml:space="preserve">m</w:t>
            </w:r>
            <w:r>
              <w:rPr>
                <w:rStyle w:val="1325"/>
                <w:rFonts w:hint="eastAsia" w:ascii="宋体" w:hAnsi="宋体" w:eastAsia="宋体" w:cs="宋体"/>
                <w:color w:val="000000"/>
                <w:sz w:val="24"/>
                <w:szCs w:val="24"/>
                <w:highlight w:val="none"/>
                <w:lang w:bidi="ar"/>
              </w:rPr>
              <w:t xml:space="preserve">2</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雁荡河水利风景区</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49"/>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中心公园廉政广场草坪</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7500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四季常青(包含草籽)</w:t>
            </w:r>
            <w:r>
              <w:rPr>
                <w:rFonts w:hint="eastAsia" w:ascii="宋体" w:hAnsi="宋体" w:eastAsia="宋体" w:cs="宋体"/>
                <w:color w:val="000000"/>
                <w:sz w:val="24"/>
                <w:szCs w:val="24"/>
                <w:highlight w:val="none"/>
                <w:lang w:val="en-US" w:eastAsia="zh-CN"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中心广场绿化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44858</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北漕河路新增道路绿化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38"/>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建业路新增道路绿化（薛冶路西、北漕河路中间以南-河海路）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南漕河路新增道路绿化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瀛平路新增道路绿化（建业路-春江路）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9450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新晨路新增道路绿化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129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镇区工业园区道路绿化苗圃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170301</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新龙河泵站苗圃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16667</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8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龙江高架东-科勒路北侧苗圃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882"/>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龙江路高架东-科勒路南侧苗圃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72369.5</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78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滨河绿地苗圃（叶家苗圃）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凤凰湖壹号东侧地块绿化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四季常青(包含草籽)</w:t>
            </w: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河道绿化</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区镇交接处、部分企业门前及无人养护区域</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河海路与建业路东北侧苗圃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4624</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龙江路与龙城大道苗圃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玉龙路与龙城大道苗圃</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42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富康路支路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525"/>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丽园路（薛冶路-春江路）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春江路（瀛平路-丽园路）</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悠活城（顺园路西）</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汉江路慢行道（一期）</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15000</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凤翔路改造</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7838</w:t>
            </w:r>
            <w:r>
              <w:rPr>
                <w:rFonts w:hint="eastAsia" w:ascii="宋体" w:hAnsi="宋体" w:eastAsia="宋体" w:cs="宋体"/>
                <w:color w:val="000000"/>
                <w:sz w:val="24"/>
                <w:szCs w:val="24"/>
                <w:highlight w:val="none"/>
                <w:lang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70"/>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val="en-US" w:eastAsia="zh-CN"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顺园路(正强路-汉江路)</w:t>
            </w:r>
            <w:r>
              <w:rPr>
                <w:rFonts w:hint="eastAsia" w:ascii="宋体" w:hAnsi="宋体" w:eastAsia="宋体" w:cs="宋体"/>
                <w:color w:val="000000"/>
                <w:sz w:val="24"/>
                <w:szCs w:val="24"/>
                <w:highlight w:val="none"/>
                <w:lang w:val="en-US" w:eastAsia="zh-CN"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37560</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897"/>
        </w:trPr>
        <w:tc>
          <w:tcPr>
            <w:tcW w:w="379"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w:t>
            </w:r>
            <w:r>
              <w:rPr>
                <w:rFonts w:hint="eastAsia" w:ascii="宋体" w:hAnsi="宋体" w:eastAsia="宋体" w:cs="宋体"/>
                <w:color w:val="000000"/>
                <w:sz w:val="24"/>
                <w:szCs w:val="24"/>
                <w:highlight w:val="none"/>
                <w:lang w:val="en-US" w:eastAsia="zh-CN" w:bidi="ar"/>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童子河南段，北童子河，建业河</w:t>
            </w:r>
            <w:r>
              <w:rPr>
                <w:rFonts w:hint="eastAsia" w:ascii="宋体" w:hAnsi="宋体" w:eastAsia="宋体" w:cs="宋体"/>
                <w:color w:val="000000"/>
                <w:sz w:val="24"/>
                <w:szCs w:val="24"/>
                <w:highlight w:val="none"/>
                <w:lang w:val="en-US" w:eastAsia="zh-CN"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14447</w:t>
            </w:r>
            <w:r>
              <w:rPr>
                <w:rFonts w:hint="eastAsia" w:ascii="宋体" w:hAnsi="宋体" w:eastAsia="宋体" w:cs="宋体"/>
                <w:color w:val="000000"/>
                <w:sz w:val="24"/>
                <w:szCs w:val="24"/>
                <w:highlight w:val="none"/>
                <w:lang w:val="en-US" w:eastAsia="zh-CN" w:bidi="ar"/>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r>
      <w:tr>
        <w:trPr>
          <w:trHeight w:val="270"/>
        </w:trPr>
        <w:tc>
          <w:tcPr>
            <w:tcW w:w="379" w:type="dxa"/>
            <w:vAlign w:val="top"/>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w:t>
            </w:r>
            <w:r>
              <w:rPr>
                <w:rFonts w:hint="eastAsia" w:ascii="宋体" w:hAnsi="宋体" w:eastAsia="宋体" w:cs="宋体"/>
                <w:color w:val="000000"/>
                <w:sz w:val="24"/>
                <w:szCs w:val="24"/>
                <w:highlight w:val="none"/>
                <w:lang w:bidi="ar"/>
              </w:rPr>
            </w:r>
            <w:r/>
          </w:p>
        </w:tc>
        <w:tc>
          <w:tcPr>
            <w:tcW w:w="668"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594614.5</w:t>
            </w:r>
            <w:r>
              <w:rPr>
                <w:rFonts w:hint="eastAsia" w:ascii="宋体" w:hAnsi="宋体" w:eastAsia="宋体" w:cs="宋体"/>
                <w:color w:val="000000"/>
                <w:sz w:val="24"/>
                <w:szCs w:val="24"/>
                <w:highlight w:val="none"/>
                <w:lang w:val="en-US" w:eastAsia="zh-CN"/>
              </w:rPr>
            </w:r>
            <w:r/>
          </w:p>
        </w:tc>
        <w:tc>
          <w:tcPr>
            <w:tcW w:w="67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794"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5.城际铁路和沪宁高速沿线报价表</w:t>
      </w:r>
      <w:r>
        <w:rPr>
          <w:rFonts w:hint="eastAsia" w:ascii="宋体" w:hAnsi="宋体" w:eastAsia="宋体" w:cs="宋体"/>
          <w:b/>
          <w:bCs/>
          <w:color w:val="000000"/>
          <w:sz w:val="24"/>
          <w:szCs w:val="24"/>
          <w:highlight w:val="none"/>
          <w:lang w:val="en-US" w:eastAsia="zh-CN"/>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14"/>
        <w:gridCol w:w="2862"/>
        <w:gridCol w:w="859"/>
        <w:gridCol w:w="1159"/>
        <w:gridCol w:w="1404"/>
        <w:gridCol w:w="2290"/>
      </w:tblGrid>
      <w:tr>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绿地名称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面积（</w:t>
            </w:r>
            <w:r>
              <w:rPr>
                <w:rFonts w:hint="eastAsia" w:ascii="宋体" w:hAnsi="宋体" w:eastAsia="宋体" w:cs="宋体"/>
                <w:b/>
                <w:bCs/>
                <w:color w:val="000000"/>
                <w:sz w:val="24"/>
                <w:szCs w:val="24"/>
                <w:highlight w:val="none"/>
                <w:lang w:bidi="ar"/>
              </w:rPr>
              <w:t xml:space="preserve">亩</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单价</w:t>
            </w:r>
            <w:r>
              <w:rPr>
                <w:rFonts w:hint="eastAsia" w:ascii="宋体" w:hAnsi="宋体" w:eastAsia="宋体" w:cs="宋体"/>
                <w:b/>
                <w:bCs/>
                <w:color w:val="000000"/>
                <w:sz w:val="24"/>
                <w:szCs w:val="24"/>
                <w:highlight w:val="none"/>
                <w:lang w:bidi="ar"/>
              </w:rPr>
            </w:r>
            <w:r/>
          </w:p>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元/亩/年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val="en-US" w:eastAsia="zh-CN" w:bidi="ar"/>
              </w:rPr>
              <w:t xml:space="preserve">/年</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城际铁路和沪宁高速沿线</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949.2</w:t>
            </w: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1068"/>
              <w:jc w:val="center"/>
              <w:keepLines w:val="0"/>
              <w:keepNext w:val="0"/>
              <w:pageBreakBefore w:val="0"/>
              <w:spacing w:line="40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1068"/>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tc>
      </w:tr>
    </w:tbl>
    <w:p>
      <w:pPr>
        <w:pStyle w:val="106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68"/>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68"/>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68"/>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68"/>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68"/>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6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6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bl>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68"/>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6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6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8"/>
              <w:jc w:val="center"/>
              <w:rPr>
                <w:rFonts w:ascii="宋体" w:hAnsi="宋体"/>
                <w:color w:val="000000"/>
                <w:sz w:val="24"/>
                <w:highlight w:val="none"/>
              </w:rPr>
            </w:pPr>
            <w:r>
              <w:rPr>
                <w:rFonts w:ascii="宋体" w:hAnsi="宋体"/>
                <w:color w:val="000000"/>
                <w:sz w:val="24"/>
                <w:highlight w:val="none"/>
              </w:rPr>
            </w:r>
            <w:r/>
          </w:p>
        </w:tc>
      </w:tr>
    </w:tbl>
    <w:p>
      <w:pPr>
        <w:pStyle w:val="106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8"/>
        <w:rPr>
          <w:rFonts w:ascii="宋体" w:hAnsi="宋体"/>
          <w:color w:val="000000"/>
          <w:sz w:val="24"/>
          <w:szCs w:val="20"/>
          <w:highlight w:val="none"/>
        </w:rPr>
      </w:pPr>
      <w:r>
        <w:rPr>
          <w:rFonts w:ascii="宋体" w:hAnsi="宋体"/>
          <w:color w:val="000000"/>
          <w:sz w:val="24"/>
          <w:szCs w:val="20"/>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lang w:val="en-US" w:eastAsia="zh-CN"/>
        </w:rPr>
        <w:t xml:space="preserve">9</w:t>
      </w:r>
      <w:r>
        <w:rPr>
          <w:rFonts w:hint="eastAsia" w:ascii="宋体" w:hAnsi="宋体"/>
          <w:b/>
          <w:color w:val="000000"/>
          <w:sz w:val="24"/>
          <w:szCs w:val="20"/>
          <w:highlight w:val="none"/>
        </w:rPr>
        <w:t xml:space="preserve">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2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29"/>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2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2"/>
          <w:rFonts w:hint="eastAsia" w:ascii="方正魏碑_GBK" w:hAnsi="方正魏碑_GBK" w:eastAsia="方正魏碑_GBK" w:cs="方正魏碑_GBK"/>
          <w:color w:val="000000"/>
          <w:highlight w:val="none"/>
          <w:u w:val="single"/>
          <w:shd w:val="clear" w:color="auto" w:fill="ffffff"/>
        </w:rPr>
        <w:t xml:space="preserve">（产品名称1）</w:t>
      </w:r>
      <w:r>
        <w:rPr>
          <w:rStyle w:val="1142"/>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2"/>
          <w:rFonts w:hint="eastAsia" w:ascii="方正魏碑_GBK" w:hAnsi="方正魏碑_GBK" w:eastAsia="方正魏碑_GBK" w:cs="方正魏碑_GBK"/>
          <w:color w:val="000000"/>
          <w:highlight w:val="none"/>
          <w:u w:val="single"/>
          <w:shd w:val="clear" w:color="auto" w:fill="ffffff"/>
        </w:rPr>
        <w:t xml:space="preserve">（厂名）</w:t>
      </w:r>
      <w:r>
        <w:rPr>
          <w:rStyle w:val="1142"/>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2"/>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2"/>
          <w:rFonts w:hint="eastAsia" w:ascii="方正魏碑_GBK" w:hAnsi="方正魏碑_GBK" w:eastAsia="方正魏碑_GBK" w:cs="方正魏碑_GBK"/>
          <w:color w:val="000000"/>
          <w:highlight w:val="none"/>
          <w:u w:val="single"/>
          <w:shd w:val="clear" w:color="auto" w:fill="ffffff"/>
        </w:rPr>
        <w:t xml:space="preserve">（规定</w:t>
      </w:r>
      <w:r>
        <w:rPr>
          <w:rStyle w:val="1142"/>
          <w:rFonts w:ascii="方正魏碑_GBK" w:hAnsi="方正魏碑_GBK" w:eastAsia="方正魏碑_GBK" w:cs="方正魏碑_GBK"/>
          <w:color w:val="000000"/>
          <w:highlight w:val="none"/>
          <w:u w:val="single"/>
          <w:shd w:val="clear" w:color="auto" w:fill="ffffff"/>
        </w:rPr>
        <w:t xml:space="preserve">比例</w:t>
      </w:r>
      <w:r>
        <w:rPr>
          <w:rStyle w:val="1142"/>
          <w:rFonts w:hint="eastAsia" w:ascii="方正魏碑_GBK" w:hAnsi="方正魏碑_GBK" w:eastAsia="方正魏碑_GBK" w:cs="方正魏碑_GBK"/>
          <w:color w:val="000000"/>
          <w:highlight w:val="none"/>
          <w:u w:val="single"/>
          <w:shd w:val="clear" w:color="auto" w:fill="ffffff"/>
        </w:rPr>
        <w:t xml:space="preserve">）</w:t>
      </w:r>
      <w:r>
        <w:rPr>
          <w:rStyle w:val="1142"/>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2"/>
          <w:rFonts w:hint="eastAsia" w:ascii="方正魏碑_GBK" w:hAnsi="方正魏碑_GBK" w:eastAsia="方正魏碑_GBK" w:cs="方正魏碑_GBK"/>
          <w:color w:val="000000"/>
          <w:highlight w:val="none"/>
          <w:u w:val="single"/>
          <w:shd w:val="clear" w:color="auto" w:fill="ffffff"/>
        </w:rPr>
        <w:t xml:space="preserve">（关键</w:t>
      </w:r>
      <w:r>
        <w:rPr>
          <w:rStyle w:val="1142"/>
          <w:rFonts w:ascii="方正魏碑_GBK" w:hAnsi="方正魏碑_GBK" w:eastAsia="方正魏碑_GBK" w:cs="方正魏碑_GBK"/>
          <w:color w:val="000000"/>
          <w:highlight w:val="none"/>
          <w:u w:val="single"/>
          <w:shd w:val="clear" w:color="auto" w:fill="ffffff"/>
        </w:rPr>
        <w:t xml:space="preserve">组件</w:t>
      </w:r>
      <w:r>
        <w:rPr>
          <w:rStyle w:val="1142"/>
          <w:rFonts w:hint="eastAsia" w:ascii="方正魏碑_GBK" w:hAnsi="方正魏碑_GBK" w:eastAsia="方正魏碑_GBK" w:cs="方正魏碑_GBK"/>
          <w:color w:val="000000"/>
          <w:highlight w:val="none"/>
          <w:u w:val="single"/>
          <w:shd w:val="clear" w:color="auto" w:fill="ffffff"/>
        </w:rPr>
        <w:t xml:space="preserve">）</w:t>
      </w:r>
      <w:r>
        <w:rPr>
          <w:rStyle w:val="1142"/>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2"/>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2"/>
          <w:rFonts w:hint="eastAsia" w:ascii="方正魏碑_GBK" w:hAnsi="方正魏碑_GBK" w:eastAsia="方正魏碑_GBK" w:cs="方正魏碑_GBK"/>
          <w:color w:val="000000"/>
          <w:highlight w:val="none"/>
          <w:u w:val="single"/>
          <w:shd w:val="clear" w:color="auto" w:fill="ffffff"/>
        </w:rPr>
        <w:t xml:space="preserve">（关键工序）</w:t>
      </w:r>
      <w:r>
        <w:rPr>
          <w:rStyle w:val="1142"/>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2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2"/>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2"/>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2"/>
          <w:rFonts w:hint="eastAsia" w:ascii="方正魏碑_GBK" w:hAnsi="方正魏碑_GBK" w:eastAsia="方正魏碑_GBK" w:cs="方正魏碑_GBK"/>
          <w:color w:val="000000"/>
          <w:highlight w:val="none"/>
          <w:u w:val="single"/>
          <w:shd w:val="clear" w:color="auto" w:fill="ffffff"/>
        </w:rPr>
        <w:t xml:space="preserve">（规定</w:t>
      </w:r>
      <w:r>
        <w:rPr>
          <w:rStyle w:val="1142"/>
          <w:rFonts w:ascii="方正魏碑_GBK" w:hAnsi="方正魏碑_GBK" w:eastAsia="方正魏碑_GBK" w:cs="方正魏碑_GBK"/>
          <w:color w:val="000000"/>
          <w:highlight w:val="none"/>
          <w:u w:val="single"/>
          <w:shd w:val="clear" w:color="auto" w:fill="ffffff"/>
        </w:rPr>
        <w:t xml:space="preserve">比例</w:t>
      </w:r>
      <w:r>
        <w:rPr>
          <w:rStyle w:val="114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2"/>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2"/>
          <w:rFonts w:hint="eastAsia" w:ascii="方正魏碑_GBK" w:hAnsi="方正魏碑_GBK" w:eastAsia="方正魏碑_GBK" w:cs="方正魏碑_GBK"/>
          <w:color w:val="000000"/>
          <w:highlight w:val="none"/>
          <w:u w:val="single"/>
          <w:shd w:val="clear" w:color="auto" w:fill="ffffff"/>
        </w:rPr>
        <w:t xml:space="preserve">（关键</w:t>
      </w:r>
      <w:r>
        <w:rPr>
          <w:rStyle w:val="1142"/>
          <w:rFonts w:ascii="方正魏碑_GBK" w:hAnsi="方正魏碑_GBK" w:eastAsia="方正魏碑_GBK" w:cs="方正魏碑_GBK"/>
          <w:color w:val="000000"/>
          <w:highlight w:val="none"/>
          <w:u w:val="single"/>
          <w:shd w:val="clear" w:color="auto" w:fill="ffffff"/>
        </w:rPr>
        <w:t xml:space="preserve">组件</w:t>
      </w:r>
      <w:r>
        <w:rPr>
          <w:rStyle w:val="114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2"/>
          <w:rFonts w:hint="eastAsia" w:ascii="方正魏碑_GBK" w:hAnsi="方正魏碑_GBK" w:eastAsia="方正魏碑_GBK" w:cs="方正魏碑_GBK"/>
          <w:color w:val="000000"/>
          <w:highlight w:val="none"/>
          <w:u w:val="single"/>
          <w:shd w:val="clear" w:color="auto" w:fill="ffffff"/>
        </w:rPr>
        <w:t xml:space="preserve">（产品名称</w:t>
      </w:r>
      <w:r>
        <w:rPr>
          <w:rStyle w:val="1142"/>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2"/>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2"/>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2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29"/>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29"/>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29"/>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29"/>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2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29"/>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68"/>
        <w:spacing w:line="360" w:lineRule="auto"/>
        <w:rPr>
          <w:rFonts w:ascii="宋体" w:hAnsi="宋体"/>
          <w:b/>
          <w:color w:val="000000"/>
          <w:sz w:val="24"/>
          <w:szCs w:val="20"/>
          <w:highlight w:val="none"/>
        </w:rPr>
        <w:outlineLvl w:val="2"/>
      </w:pPr>
      <w:r>
        <w:rPr>
          <w:rFonts w:hint="eastAsia" w:ascii="宋体" w:hAnsi="宋体"/>
          <w:b/>
          <w:color w:val="000000"/>
          <w:sz w:val="24"/>
          <w:highlight w:val="none"/>
        </w:rPr>
        <w:br w:type="page" w:clear="all"/>
      </w:r>
      <w:r>
        <w:rPr>
          <w:rFonts w:hint="eastAsia" w:ascii="宋体" w:hAnsi="宋体" w:eastAsia="宋体" w:cs="Times New Roman"/>
          <w:b/>
          <w:color w:val="000000"/>
          <w:sz w:val="24"/>
          <w:highlight w:val="none"/>
          <w:lang w:val="en-US" w:eastAsia="zh-CN"/>
        </w:rPr>
        <w:t xml:space="preserve">10</w:t>
      </w:r>
      <w:r>
        <w:rPr>
          <w:rFonts w:hint="eastAsia" w:ascii="宋体" w:hAnsi="宋体" w:eastAsia="宋体" w:cs="Times New Roman"/>
          <w:b/>
          <w:color w:val="000000"/>
          <w:sz w:val="24"/>
          <w:highlight w:val="none"/>
        </w:rPr>
        <w:t xml:space="preserve">  项目实</w:t>
      </w:r>
      <w:r>
        <w:rPr>
          <w:rFonts w:hint="eastAsia" w:ascii="宋体" w:hAnsi="宋体"/>
          <w:b/>
          <w:color w:val="000000"/>
          <w:sz w:val="24"/>
          <w:highlight w:val="none"/>
        </w:rPr>
        <w:t xml:space="preserve">施方案等，包括但不限于如下主题：</w:t>
      </w:r>
      <w:r>
        <w:rPr>
          <w:rFonts w:ascii="宋体" w:hAnsi="宋体"/>
          <w:b/>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6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6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68"/>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68"/>
        <w:spacing w:line="360" w:lineRule="auto"/>
        <w:rPr>
          <w:rFonts w:ascii="宋体" w:hAnsi="宋体"/>
          <w:b/>
          <w:color w:val="000000"/>
          <w:sz w:val="24"/>
          <w:highlight w:val="none"/>
        </w:rPr>
        <w:outlineLvl w:val="2"/>
      </w:pPr>
      <w:r>
        <w:rPr>
          <w:rFonts w:hint="eastAsia" w:ascii="宋体" w:hAnsi="宋体"/>
          <w:b/>
          <w:color w:val="000000"/>
          <w:sz w:val="24"/>
          <w:highlight w:val="none"/>
        </w:rPr>
        <w:br w:type="page" w:clear="all"/>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6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68"/>
        <w:spacing w:line="360" w:lineRule="auto"/>
        <w:rPr>
          <w:rFonts w:ascii="宋体" w:hAnsi="宋体"/>
          <w:color w:val="000000"/>
          <w:sz w:val="22"/>
          <w:highlight w:val="none"/>
        </w:rPr>
      </w:pPr>
      <w:r>
        <w:rPr>
          <w:rFonts w:ascii="宋体" w:hAnsi="宋体"/>
          <w:color w:val="000000"/>
          <w:sz w:val="22"/>
          <w:highlight w:val="none"/>
        </w:rPr>
      </w:r>
      <w:r/>
    </w:p>
    <w:p>
      <w:pPr>
        <w:pStyle w:val="106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6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6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6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68"/>
        <w:spacing w:line="360" w:lineRule="auto"/>
        <w:rPr>
          <w:rFonts w:ascii="宋体" w:hAnsi="宋体"/>
          <w:color w:val="000000"/>
          <w:sz w:val="24"/>
          <w:highlight w:val="none"/>
        </w:rPr>
      </w:pPr>
      <w:r>
        <w:rPr>
          <w:rFonts w:ascii="宋体" w:hAnsi="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397"/>
      <w:r/>
      <w:bookmarkStart w:id="908" w:name="_Toc288738839"/>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68"/>
        <w:rPr>
          <w:rFonts w:ascii="宋体" w:hAnsi="宋体"/>
          <w:color w:val="000000"/>
          <w:sz w:val="24"/>
          <w:szCs w:val="20"/>
          <w:highlight w:val="none"/>
        </w:rPr>
      </w:pPr>
      <w:r>
        <w:rPr>
          <w:rFonts w:ascii="宋体" w:hAnsi="宋体"/>
          <w:color w:val="000000"/>
          <w:sz w:val="24"/>
          <w:szCs w:val="20"/>
          <w:highlight w:val="none"/>
        </w:rPr>
      </w:r>
      <w:r/>
    </w:p>
    <w:p>
      <w:pPr>
        <w:pStyle w:val="106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06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6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6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68"/>
        <w:spacing w:line="360" w:lineRule="auto"/>
        <w:rPr>
          <w:rFonts w:ascii="宋体" w:hAnsi="宋体" w:cs="宋体"/>
          <w:color w:val="000000"/>
          <w:sz w:val="24"/>
          <w:highlight w:val="none"/>
        </w:rPr>
      </w:pPr>
      <w:r>
        <w:rPr>
          <w:rFonts w:ascii="宋体" w:hAnsi="宋体" w:cs="宋体"/>
          <w:color w:val="000000"/>
          <w:sz w:val="24"/>
          <w:highlight w:val="none"/>
        </w:rPr>
      </w:r>
      <w:r/>
    </w:p>
    <w:p>
      <w:pPr>
        <w:pStyle w:val="106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8"/>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lang w:val="en-US" w:eastAsia="zh-CN"/>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6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8"/>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rPr>
          <w:rFonts w:ascii="宋体" w:hAnsi="宋体"/>
          <w:color w:val="000000"/>
          <w:sz w:val="36"/>
          <w:szCs w:val="36"/>
          <w:highlight w:val="none"/>
        </w:rPr>
      </w:pPr>
      <w:r>
        <w:rPr>
          <w:rFonts w:ascii="宋体" w:hAnsi="宋体"/>
          <w:color w:val="000000"/>
          <w:sz w:val="36"/>
          <w:szCs w:val="36"/>
          <w:highlight w:val="none"/>
        </w:rPr>
      </w:r>
      <w:r/>
    </w:p>
    <w:p>
      <w:pPr>
        <w:pStyle w:val="1068"/>
        <w:jc w:val="center"/>
        <w:spacing w:line="360" w:lineRule="auto"/>
        <w:rPr>
          <w:rFonts w:hint="eastAsia" w:ascii="微软雅黑" w:hAnsi="微软雅黑" w:eastAsia="微软雅黑" w:cs="微软雅黑"/>
          <w:bCs/>
          <w:color w:val="000000"/>
          <w:sz w:val="24"/>
          <w:highlight w:val="none"/>
        </w:rPr>
      </w:pPr>
      <w:r>
        <w:rPr>
          <w:rFonts w:hint="eastAsia" w:ascii="微软雅黑" w:hAnsi="微软雅黑" w:eastAsia="微软雅黑" w:cs="微软雅黑"/>
          <w:b/>
          <w:color w:val="000000"/>
          <w:sz w:val="28"/>
          <w:szCs w:val="28"/>
          <w:highlight w:val="none"/>
        </w:rPr>
        <w:t xml:space="preserve">本招标文件的最终解释权归常州市城投建设工程招标有限公司所有</w:t>
      </w:r>
      <w:r>
        <w:rPr>
          <w:rFonts w:hint="eastAsia" w:ascii="微软雅黑" w:hAnsi="微软雅黑" w:eastAsia="微软雅黑" w:cs="微软雅黑"/>
          <w:bCs/>
          <w:color w:val="000000"/>
          <w:sz w:val="24"/>
          <w:highlight w:val="none"/>
        </w:rPr>
        <w:t xml:space="preserve">。</w:t>
      </w:r>
      <w:r>
        <w:rPr>
          <w:rFonts w:hint="eastAsia" w:ascii="微软雅黑" w:hAnsi="微软雅黑" w:eastAsia="微软雅黑" w:cs="微软雅黑"/>
          <w:bCs/>
          <w:color w:val="000000"/>
          <w:sz w:val="24"/>
          <w:highlight w:val="none"/>
        </w:rPr>
      </w:r>
      <w:r/>
    </w:p>
    <w:p>
      <w:pPr>
        <w:pStyle w:val="1068"/>
        <w:jc w:val="center"/>
        <w:rPr>
          <w:rFonts w:hint="eastAsia" w:ascii="微软雅黑" w:hAnsi="微软雅黑" w:eastAsia="微软雅黑" w:cs="微软雅黑"/>
          <w:b/>
          <w:color w:val="000000"/>
          <w:sz w:val="32"/>
          <w:highlight w:val="none"/>
        </w:rPr>
      </w:pPr>
      <w:r>
        <w:rPr>
          <w:rFonts w:hint="eastAsia" w:ascii="微软雅黑" w:hAnsi="微软雅黑" w:eastAsia="微软雅黑" w:cs="微软雅黑"/>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360"/>
      <w:tabs>
        <w:tab w:val="center" w:pos="4153" w:leader="none"/>
        <w:tab w:val="right" w:pos="8306" w:leader="none"/>
      </w:tabs>
      <w:rPr>
        <w:rStyle w:val="1140"/>
      </w:rPr>
      <w:framePr w:wrap="around" w:vAnchor="text" w:hAnchor="margin" w:y="1"/>
    </w:pPr>
    <w:r>
      <w:rPr>
        <w:rStyle w:val="1140"/>
      </w:rPr>
    </w:r>
    <w:r/>
  </w:p>
  <w:p>
    <w:pPr>
      <w:pStyle w:val="111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center" w:y="1"/>
    </w:pPr>
    <w:r>
      <w:fldChar w:fldCharType="begin"/>
    </w:r>
    <w:r>
      <w:rPr>
        <w:rStyle w:val="1140"/>
      </w:rPr>
      <w:instrText xml:space="preserve">PAGE  </w:instrText>
    </w:r>
    <w:r>
      <w:fldChar w:fldCharType="end"/>
    </w:r>
    <w:r>
      <w:rPr>
        <w:rStyle w:val="1140"/>
      </w:rPr>
    </w:r>
    <w:r/>
  </w:p>
  <w:p>
    <w:pPr>
      <w:pStyle w:val="111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r>
    <w:r/>
  </w:p>
  <w:p>
    <w:pPr>
      <w:pStyle w:val="111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6"/>
      <w:ind w:right="360"/>
      <w:tabs>
        <w:tab w:val="center" w:pos="4153" w:leader="none"/>
        <w:tab w:val="right" w:pos="8306" w:leader="none"/>
      </w:tabs>
    </w:pPr>
    <w:r/>
    <w:r/>
  </w:p>
  <w:p>
    <w:pPr>
      <w:pStyle w:val="10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p>
    <w:pPr>
      <w:pStyle w:val="106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8"/>
        <w:ind w:left="4941" w:hanging="1140"/>
        <w:tabs>
          <w:tab w:val="num" w:pos="4941" w:leader="none"/>
        </w:tabs>
      </w:pPr>
      <w:rPr>
        <w:rFonts w:hint="eastAsia"/>
      </w:rPr>
    </w:lvl>
    <w:lvl w:ilvl="1">
      <w:start w:val="1"/>
      <w:numFmt w:val="lowerLetter"/>
      <w:isLgl w:val="false"/>
      <w:suff w:val="tab"/>
      <w:lvlText w:val="%2)"/>
      <w:lvlJc w:val="left"/>
      <w:pPr>
        <w:pStyle w:val="1068"/>
        <w:ind w:left="4641" w:hanging="420"/>
        <w:tabs>
          <w:tab w:val="num" w:pos="4641" w:leader="none"/>
        </w:tabs>
      </w:pPr>
    </w:lvl>
    <w:lvl w:ilvl="2">
      <w:start w:val="1"/>
      <w:numFmt w:val="lowerRoman"/>
      <w:isLgl w:val="false"/>
      <w:suff w:val="tab"/>
      <w:lvlText w:val="%3."/>
      <w:lvlJc w:val="right"/>
      <w:pPr>
        <w:pStyle w:val="1068"/>
        <w:ind w:left="5061" w:hanging="420"/>
        <w:tabs>
          <w:tab w:val="num" w:pos="5061" w:leader="none"/>
        </w:tabs>
      </w:pPr>
    </w:lvl>
    <w:lvl w:ilvl="3">
      <w:start w:val="1"/>
      <w:numFmt w:val="decimal"/>
      <w:isLgl w:val="false"/>
      <w:suff w:val="tab"/>
      <w:lvlText w:val="%4."/>
      <w:lvlJc w:val="left"/>
      <w:pPr>
        <w:pStyle w:val="1068"/>
        <w:ind w:left="5481" w:hanging="420"/>
        <w:tabs>
          <w:tab w:val="num" w:pos="5481" w:leader="none"/>
        </w:tabs>
      </w:pPr>
    </w:lvl>
    <w:lvl w:ilvl="4">
      <w:start w:val="1"/>
      <w:numFmt w:val="lowerLetter"/>
      <w:isLgl w:val="false"/>
      <w:suff w:val="tab"/>
      <w:lvlText w:val="%5)"/>
      <w:lvlJc w:val="left"/>
      <w:pPr>
        <w:pStyle w:val="1068"/>
        <w:ind w:left="5901" w:hanging="420"/>
        <w:tabs>
          <w:tab w:val="num" w:pos="5901" w:leader="none"/>
        </w:tabs>
      </w:pPr>
    </w:lvl>
    <w:lvl w:ilvl="5">
      <w:start w:val="1"/>
      <w:numFmt w:val="lowerRoman"/>
      <w:isLgl w:val="false"/>
      <w:suff w:val="tab"/>
      <w:lvlText w:val="%6."/>
      <w:lvlJc w:val="right"/>
      <w:pPr>
        <w:pStyle w:val="1068"/>
        <w:ind w:left="6321" w:hanging="420"/>
        <w:tabs>
          <w:tab w:val="num" w:pos="6321" w:leader="none"/>
        </w:tabs>
      </w:pPr>
    </w:lvl>
    <w:lvl w:ilvl="6">
      <w:start w:val="1"/>
      <w:numFmt w:val="decimal"/>
      <w:isLgl w:val="false"/>
      <w:suff w:val="tab"/>
      <w:lvlText w:val="%7."/>
      <w:lvlJc w:val="left"/>
      <w:pPr>
        <w:pStyle w:val="1068"/>
        <w:ind w:left="6741" w:hanging="420"/>
        <w:tabs>
          <w:tab w:val="num" w:pos="6741" w:leader="none"/>
        </w:tabs>
      </w:pPr>
    </w:lvl>
    <w:lvl w:ilvl="7">
      <w:start w:val="1"/>
      <w:numFmt w:val="lowerLetter"/>
      <w:isLgl w:val="false"/>
      <w:suff w:val="tab"/>
      <w:lvlText w:val="%8)"/>
      <w:lvlJc w:val="left"/>
      <w:pPr>
        <w:pStyle w:val="1068"/>
        <w:ind w:left="7161" w:hanging="420"/>
        <w:tabs>
          <w:tab w:val="num" w:pos="7161" w:leader="none"/>
        </w:tabs>
      </w:pPr>
    </w:lvl>
    <w:lvl w:ilvl="8">
      <w:start w:val="1"/>
      <w:numFmt w:val="lowerRoman"/>
      <w:isLgl w:val="false"/>
      <w:suff w:val="tab"/>
      <w:lvlText w:val="%9."/>
      <w:lvlJc w:val="right"/>
      <w:pPr>
        <w:pStyle w:val="1068"/>
        <w:ind w:left="7581" w:hanging="420"/>
        <w:tabs>
          <w:tab w:val="num" w:pos="7581" w:leader="none"/>
        </w:tabs>
      </w:pPr>
    </w:lvl>
  </w:abstractNum>
  <w:abstractNum w:abstractNumId="1">
    <w:multiLevelType w:val="hybridMultilevel"/>
    <w:lvl w:ilvl="0">
      <w:start w:val="1"/>
      <w:numFmt w:val="decimal"/>
      <w:pStyle w:val="1176"/>
      <w:isLgl w:val="false"/>
      <w:suff w:val="tab"/>
      <w:lvlText w:val="%1."/>
      <w:lvlJc w:val="left"/>
      <w:pPr>
        <w:pStyle w:val="1068"/>
        <w:ind w:left="420" w:hanging="420"/>
      </w:pPr>
    </w:lvl>
    <w:lvl w:ilvl="1">
      <w:start w:val="1"/>
      <w:numFmt w:val="decimal"/>
      <w:isLgl w:val="false"/>
      <w:suff w:val="tab"/>
      <w:lvlText w:val="（%2）"/>
      <w:lvlJc w:val="left"/>
      <w:pPr>
        <w:pStyle w:val="1068"/>
        <w:ind w:left="1140" w:hanging="720"/>
        <w:tabs>
          <w:tab w:val="num" w:pos="1140" w:leader="none"/>
        </w:tabs>
      </w:pPr>
      <w:rPr>
        <w:rFonts w:hint="eastAsia"/>
      </w:r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2">
    <w:multiLevelType w:val="hybridMultilevel"/>
    <w:lvl w:ilvl="0">
      <w:start w:val="1"/>
      <w:numFmt w:val="lowerLetter"/>
      <w:pStyle w:val="1251"/>
      <w:isLgl w:val="false"/>
      <w:suff w:val="tab"/>
      <w:lvlText w:val="%1)"/>
      <w:lvlJc w:val="left"/>
      <w:pPr>
        <w:pStyle w:val="1068"/>
        <w:ind w:left="902" w:hanging="420"/>
      </w:pPr>
      <w:rPr>
        <w:color w:val="000000"/>
      </w:rPr>
    </w:lvl>
    <w:lvl w:ilvl="1">
      <w:start w:val="1"/>
      <w:numFmt w:val="lowerLetter"/>
      <w:isLgl w:val="false"/>
      <w:suff w:val="tab"/>
      <w:lvlText w:val="%2)"/>
      <w:lvlJc w:val="left"/>
      <w:pPr>
        <w:pStyle w:val="1068"/>
        <w:ind w:left="1322" w:hanging="420"/>
      </w:pPr>
    </w:lvl>
    <w:lvl w:ilvl="2">
      <w:start w:val="1"/>
      <w:numFmt w:val="lowerRoman"/>
      <w:isLgl w:val="false"/>
      <w:suff w:val="tab"/>
      <w:lvlText w:val="%3."/>
      <w:lvlJc w:val="right"/>
      <w:pPr>
        <w:pStyle w:val="1068"/>
        <w:ind w:left="1742" w:hanging="420"/>
      </w:pPr>
    </w:lvl>
    <w:lvl w:ilvl="3">
      <w:start w:val="1"/>
      <w:numFmt w:val="decimal"/>
      <w:isLgl w:val="false"/>
      <w:suff w:val="tab"/>
      <w:lvlText w:val="%4."/>
      <w:lvlJc w:val="left"/>
      <w:pPr>
        <w:pStyle w:val="1068"/>
        <w:ind w:left="2162" w:hanging="420"/>
      </w:pPr>
    </w:lvl>
    <w:lvl w:ilvl="4">
      <w:start w:val="1"/>
      <w:numFmt w:val="lowerLetter"/>
      <w:isLgl w:val="false"/>
      <w:suff w:val="tab"/>
      <w:lvlText w:val="%5)"/>
      <w:lvlJc w:val="left"/>
      <w:pPr>
        <w:pStyle w:val="1068"/>
        <w:ind w:left="2582" w:hanging="420"/>
      </w:pPr>
    </w:lvl>
    <w:lvl w:ilvl="5">
      <w:start w:val="1"/>
      <w:numFmt w:val="lowerRoman"/>
      <w:isLgl w:val="false"/>
      <w:suff w:val="tab"/>
      <w:lvlText w:val="%6."/>
      <w:lvlJc w:val="right"/>
      <w:pPr>
        <w:pStyle w:val="1068"/>
        <w:ind w:left="3002" w:hanging="420"/>
      </w:pPr>
    </w:lvl>
    <w:lvl w:ilvl="6">
      <w:start w:val="1"/>
      <w:numFmt w:val="decimal"/>
      <w:isLgl w:val="false"/>
      <w:suff w:val="tab"/>
      <w:lvlText w:val="%7."/>
      <w:lvlJc w:val="left"/>
      <w:pPr>
        <w:pStyle w:val="1068"/>
        <w:ind w:left="3422" w:hanging="420"/>
      </w:pPr>
    </w:lvl>
    <w:lvl w:ilvl="7">
      <w:start w:val="1"/>
      <w:numFmt w:val="lowerLetter"/>
      <w:isLgl w:val="false"/>
      <w:suff w:val="tab"/>
      <w:lvlText w:val="%8)"/>
      <w:lvlJc w:val="left"/>
      <w:pPr>
        <w:pStyle w:val="1068"/>
        <w:ind w:left="3842" w:hanging="420"/>
      </w:pPr>
    </w:lvl>
    <w:lvl w:ilvl="8">
      <w:start w:val="1"/>
      <w:numFmt w:val="lowerRoman"/>
      <w:isLgl w:val="false"/>
      <w:suff w:val="tab"/>
      <w:lvlText w:val="%9."/>
      <w:lvlJc w:val="right"/>
      <w:pPr>
        <w:pStyle w:val="1068"/>
        <w:ind w:left="4262" w:hanging="420"/>
      </w:pPr>
    </w:lvl>
  </w:abstractNum>
  <w:abstractNum w:abstractNumId="3">
    <w:multiLevelType w:val="hybridMultilevel"/>
    <w:lvl w:ilvl="0">
      <w:start w:val="1"/>
      <w:numFmt w:val="decimal"/>
      <w:pStyle w:val="1221"/>
      <w:isLgl w:val="false"/>
      <w:suff w:val="tab"/>
      <w:lvlText w:val="%1."/>
      <w:lvlJc w:val="left"/>
      <w:pPr>
        <w:pStyle w:val="106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0"/>
      <w:isLgl w:val="false"/>
      <w:suff w:val="nothing"/>
      <w:lvlText w:val="%1　"/>
      <w:lvlJc w:val="left"/>
      <w:pPr>
        <w:pStyle w:val="106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8"/>
        <w:ind w:left="-25" w:firstLine="0"/>
      </w:pPr>
      <w:rPr>
        <w:rFonts w:ascii="Times New Roman" w:hAnsi="Times New Roman" w:eastAsia="黑体"/>
        <w:b/>
        <w:i w:val="0"/>
        <w:sz w:val="28"/>
      </w:rPr>
    </w:lvl>
    <w:lvl w:ilvl="3">
      <w:start w:val="1"/>
      <w:numFmt w:val="decimal"/>
      <w:pStyle w:val="1206"/>
      <w:isLgl w:val="false"/>
      <w:suff w:val="nothing"/>
      <w:lvlText w:val="%1.%2.%3.%4　"/>
      <w:lvlJc w:val="left"/>
      <w:pPr>
        <w:pStyle w:val="106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8"/>
        <w:ind w:left="-25" w:firstLine="0"/>
      </w:pPr>
      <w:rPr>
        <w:rFonts w:ascii="Times New Roman" w:hAnsi="Times New Roman" w:eastAsia="宋体"/>
        <w:b/>
        <w:i w:val="0"/>
        <w:sz w:val="28"/>
      </w:rPr>
    </w:lvl>
    <w:lvl w:ilvl="6">
      <w:start w:val="1"/>
      <w:numFmt w:val="lowerLetter"/>
      <w:pStyle w:val="1227"/>
      <w:isLgl w:val="false"/>
      <w:suff w:val="tab"/>
      <w:lvlText w:val="%7) "/>
      <w:lvlJc w:val="left"/>
      <w:pPr>
        <w:pStyle w:val="1068"/>
        <w:ind w:left="-125" w:firstLine="400"/>
        <w:tabs>
          <w:tab w:val="num" w:pos="635" w:leader="none"/>
        </w:tabs>
      </w:pPr>
      <w:rPr>
        <w:rFonts w:ascii="Times New Roman" w:hAnsi="Times New Roman" w:eastAsia="宋体"/>
        <w:b/>
        <w:i w:val="0"/>
        <w:color w:val="000000"/>
        <w:sz w:val="28"/>
        <w:u w:val="none"/>
      </w:rPr>
    </w:lvl>
    <w:lvl w:ilvl="7">
      <w:start w:val="1"/>
      <w:numFmt w:val="decimal"/>
      <w:pStyle w:val="1190"/>
      <w:isLgl w:val="false"/>
      <w:suff w:val="tab"/>
      <w:lvlText w:val="%8) "/>
      <w:lvlJc w:val="left"/>
      <w:pPr>
        <w:pStyle w:val="106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8"/>
        <w:ind w:left="768" w:hanging="360"/>
        <w:tabs>
          <w:tab w:val="num" w:pos="768" w:leader="none"/>
        </w:tabs>
      </w:pPr>
      <w:rPr>
        <w:rFonts w:hint="eastAsia"/>
      </w:rPr>
    </w:lvl>
    <w:lvl w:ilvl="1">
      <w:start w:val="1"/>
      <w:numFmt w:val="decimal"/>
      <w:pStyle w:val="1208"/>
      <w:isLgl w:val="false"/>
      <w:suff w:val="tab"/>
      <w:lvlText w:val="%2、"/>
      <w:lvlJc w:val="left"/>
      <w:pPr>
        <w:pStyle w:val="1068"/>
        <w:ind w:left="1188" w:hanging="360"/>
        <w:tabs>
          <w:tab w:val="num" w:pos="1188" w:leader="none"/>
        </w:tabs>
      </w:pPr>
      <w:rPr>
        <w:rFonts w:hint="eastAsia"/>
      </w:rPr>
    </w:lvl>
    <w:lvl w:ilvl="2">
      <w:start w:val="1"/>
      <w:numFmt w:val="decimal"/>
      <w:isLgl w:val="false"/>
      <w:suff w:val="tab"/>
      <w:lvlText w:val="（%3）"/>
      <w:lvlJc w:val="left"/>
      <w:pPr>
        <w:pStyle w:val="1068"/>
        <w:ind w:left="1968" w:hanging="720"/>
        <w:tabs>
          <w:tab w:val="num" w:pos="1968" w:leader="none"/>
        </w:tabs>
      </w:pPr>
      <w:rPr>
        <w:rFonts w:hint="eastAsia"/>
        <w:u w:val="none"/>
      </w:rPr>
    </w:lvl>
    <w:lvl w:ilvl="3">
      <w:start w:val="1"/>
      <w:numFmt w:val="decimal"/>
      <w:isLgl w:val="false"/>
      <w:suff w:val="tab"/>
      <w:lvlText w:val="%4."/>
      <w:lvlJc w:val="left"/>
      <w:pPr>
        <w:pStyle w:val="1068"/>
        <w:ind w:left="2088" w:hanging="420"/>
        <w:tabs>
          <w:tab w:val="num" w:pos="2088" w:leader="none"/>
        </w:tabs>
      </w:pPr>
    </w:lvl>
    <w:lvl w:ilvl="4">
      <w:start w:val="1"/>
      <w:numFmt w:val="lowerLetter"/>
      <w:isLgl w:val="false"/>
      <w:suff w:val="tab"/>
      <w:lvlText w:val="%5)"/>
      <w:lvlJc w:val="left"/>
      <w:pPr>
        <w:pStyle w:val="1068"/>
        <w:ind w:left="2508" w:hanging="420"/>
        <w:tabs>
          <w:tab w:val="num" w:pos="2508" w:leader="none"/>
        </w:tabs>
      </w:pPr>
    </w:lvl>
    <w:lvl w:ilvl="5">
      <w:start w:val="1"/>
      <w:numFmt w:val="lowerRoman"/>
      <w:isLgl w:val="false"/>
      <w:suff w:val="tab"/>
      <w:lvlText w:val="%6."/>
      <w:lvlJc w:val="right"/>
      <w:pPr>
        <w:pStyle w:val="1068"/>
        <w:ind w:left="2928" w:hanging="420"/>
        <w:tabs>
          <w:tab w:val="num" w:pos="2928" w:leader="none"/>
        </w:tabs>
      </w:pPr>
    </w:lvl>
    <w:lvl w:ilvl="6">
      <w:start w:val="1"/>
      <w:numFmt w:val="decimal"/>
      <w:isLgl w:val="false"/>
      <w:suff w:val="tab"/>
      <w:lvlText w:val="%7."/>
      <w:lvlJc w:val="left"/>
      <w:pPr>
        <w:pStyle w:val="1068"/>
        <w:ind w:left="3348" w:hanging="420"/>
        <w:tabs>
          <w:tab w:val="num" w:pos="3348" w:leader="none"/>
        </w:tabs>
      </w:pPr>
    </w:lvl>
    <w:lvl w:ilvl="7">
      <w:start w:val="1"/>
      <w:numFmt w:val="lowerLetter"/>
      <w:isLgl w:val="false"/>
      <w:suff w:val="tab"/>
      <w:lvlText w:val="%8)"/>
      <w:lvlJc w:val="left"/>
      <w:pPr>
        <w:pStyle w:val="1068"/>
        <w:ind w:left="3768" w:hanging="420"/>
        <w:tabs>
          <w:tab w:val="num" w:pos="3768" w:leader="none"/>
        </w:tabs>
      </w:pPr>
    </w:lvl>
    <w:lvl w:ilvl="8">
      <w:start w:val="1"/>
      <w:numFmt w:val="lowerRoman"/>
      <w:isLgl w:val="false"/>
      <w:suff w:val="tab"/>
      <w:lvlText w:val="%9."/>
      <w:lvlJc w:val="right"/>
      <w:pPr>
        <w:pStyle w:val="106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8"/>
        <w:ind w:left="900" w:hanging="900"/>
        <w:tabs>
          <w:tab w:val="num" w:pos="900" w:leader="none"/>
        </w:tabs>
      </w:pPr>
      <w:rPr>
        <w:rFonts w:hint="eastAsia"/>
        <w:b/>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7">
    <w:multiLevelType w:val="hybridMultilevel"/>
    <w:lvl w:ilvl="0">
      <w:start w:val="1"/>
      <w:numFmt w:val="decimal"/>
      <w:pStyle w:val="1175"/>
      <w:isLgl w:val="false"/>
      <w:suff w:val="tab"/>
      <w:lvlText w:val="%1)"/>
      <w:lvlJc w:val="left"/>
      <w:pPr>
        <w:pStyle w:val="1068"/>
        <w:ind w:left="420" w:hanging="420"/>
      </w:pPr>
    </w:lvl>
    <w:lvl w:ilvl="1">
      <w:start w:val="1"/>
      <w:numFmt w:val="lowerLetter"/>
      <w:isLgl w:val="false"/>
      <w:suff w:val="tab"/>
      <w:lvlText w:val="%2)"/>
      <w:lvlJc w:val="left"/>
      <w:pPr>
        <w:pStyle w:val="1068"/>
        <w:ind w:left="840" w:hanging="420"/>
      </w:p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8">
    <w:multiLevelType w:val="hybridMultilevel"/>
    <w:lvl w:ilvl="0">
      <w:start w:val="1"/>
      <w:numFmt w:val="decimal"/>
      <w:pStyle w:val="1276"/>
      <w:isLgl w:val="false"/>
      <w:suff w:val="tab"/>
      <w:lvlText w:val="%1"/>
      <w:lvlJc w:val="left"/>
      <w:pPr>
        <w:pStyle w:val="1068"/>
        <w:ind w:left="680" w:hanging="680"/>
      </w:pPr>
      <w:rPr>
        <w:rFonts w:hint="eastAsia" w:ascii="宋体" w:hAnsi="宋体" w:eastAsia="宋体"/>
      </w:rPr>
    </w:lvl>
    <w:lvl w:ilvl="1">
      <w:start w:val="1"/>
      <w:numFmt w:val="decimal"/>
      <w:pStyle w:val="1277"/>
      <w:isLgl w:val="false"/>
      <w:suff w:val="tab"/>
      <w:lvlText w:val="%1.%2"/>
      <w:lvlJc w:val="left"/>
      <w:pPr>
        <w:pStyle w:val="1068"/>
        <w:ind w:left="851" w:hanging="851"/>
      </w:pPr>
      <w:rPr>
        <w:rFonts w:hint="eastAsia" w:ascii="宋体" w:hAnsi="宋体" w:eastAsia="宋体"/>
        <w:color w:val="000000"/>
      </w:rPr>
    </w:lvl>
    <w:lvl w:ilvl="2">
      <w:start w:val="1"/>
      <w:numFmt w:val="decimal"/>
      <w:pStyle w:val="1278"/>
      <w:isLgl w:val="false"/>
      <w:suff w:val="tab"/>
      <w:lvlText w:val="%1.%2.%3"/>
      <w:lvlJc w:val="left"/>
      <w:pPr>
        <w:pStyle w:val="1068"/>
        <w:ind w:left="851" w:hanging="851"/>
      </w:pPr>
      <w:rPr>
        <w:rFonts w:hint="eastAsia"/>
      </w:rPr>
    </w:lvl>
    <w:lvl w:ilvl="3">
      <w:start w:val="1"/>
      <w:numFmt w:val="decimal"/>
      <w:isLgl w:val="false"/>
      <w:suff w:val="tab"/>
      <w:lvlText w:val="%1.%2.%3.%4"/>
      <w:lvlJc w:val="left"/>
      <w:pPr>
        <w:pStyle w:val="1068"/>
        <w:ind w:left="680" w:hanging="680"/>
      </w:pPr>
      <w:rPr>
        <w:rFonts w:hint="eastAsia"/>
      </w:rPr>
    </w:lvl>
    <w:lvl w:ilvl="4">
      <w:start w:val="1"/>
      <w:numFmt w:val="decimal"/>
      <w:isLgl w:val="false"/>
      <w:suff w:val="tab"/>
      <w:lvlText w:val="%1.%2.%3.%4.%5"/>
      <w:lvlJc w:val="left"/>
      <w:pPr>
        <w:pStyle w:val="1068"/>
        <w:ind w:left="680" w:hanging="680"/>
      </w:pPr>
      <w:rPr>
        <w:rFonts w:hint="eastAsia"/>
      </w:rPr>
    </w:lvl>
    <w:lvl w:ilvl="5">
      <w:start w:val="1"/>
      <w:numFmt w:val="decimal"/>
      <w:isLgl w:val="false"/>
      <w:suff w:val="tab"/>
      <w:lvlText w:val="%1.%2.%3.%4.%5.%6"/>
      <w:lvlJc w:val="left"/>
      <w:pPr>
        <w:pStyle w:val="1068"/>
        <w:ind w:left="680" w:hanging="680"/>
      </w:pPr>
      <w:rPr>
        <w:rFonts w:hint="eastAsia"/>
      </w:rPr>
    </w:lvl>
    <w:lvl w:ilvl="6">
      <w:start w:val="1"/>
      <w:numFmt w:val="decimal"/>
      <w:isLgl w:val="false"/>
      <w:suff w:val="tab"/>
      <w:lvlText w:val="%1.%2.%3.%4.%5.%6.%7"/>
      <w:lvlJc w:val="left"/>
      <w:pPr>
        <w:pStyle w:val="1068"/>
        <w:ind w:left="680" w:hanging="680"/>
      </w:pPr>
      <w:rPr>
        <w:rFonts w:hint="eastAsia"/>
      </w:rPr>
    </w:lvl>
    <w:lvl w:ilvl="7">
      <w:start w:val="1"/>
      <w:numFmt w:val="decimal"/>
      <w:isLgl w:val="false"/>
      <w:suff w:val="tab"/>
      <w:lvlText w:val="%1.%2.%3.%4.%5.%6.%7.%8"/>
      <w:lvlJc w:val="left"/>
      <w:pPr>
        <w:pStyle w:val="1068"/>
        <w:ind w:left="680" w:hanging="680"/>
      </w:pPr>
      <w:rPr>
        <w:rFonts w:hint="eastAsia"/>
      </w:rPr>
    </w:lvl>
    <w:lvl w:ilvl="8">
      <w:start w:val="1"/>
      <w:numFmt w:val="decimal"/>
      <w:isLgl w:val="false"/>
      <w:suff w:val="tab"/>
      <w:lvlText w:val="%1.%2.%3.%4.%5.%6.%7.%8.%9"/>
      <w:lvlJc w:val="left"/>
      <w:pPr>
        <w:pStyle w:val="1068"/>
        <w:ind w:left="680" w:hanging="680"/>
      </w:pPr>
      <w:rPr>
        <w:rFonts w:hint="eastAsia"/>
      </w:rPr>
    </w:lvl>
  </w:abstractNum>
  <w:abstractNum w:abstractNumId="9">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8"/>
    <w:next w:val="1068"/>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8"/>
    <w:next w:val="1068"/>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8"/>
    <w:next w:val="1068"/>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8"/>
    <w:next w:val="1068"/>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8"/>
    <w:next w:val="1068"/>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8"/>
    <w:next w:val="1068"/>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8"/>
    <w:next w:val="106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8"/>
    <w:next w:val="1068"/>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8"/>
    <w:next w:val="1068"/>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1068"/>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1068"/>
    <w:next w:val="1068"/>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8"/>
    <w:next w:val="1068"/>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8"/>
    <w:next w:val="1068"/>
    <w:link w:val="915"/>
    <w:uiPriority w:val="29"/>
    <w:qFormat/>
    <w:pPr>
      <w:ind w:left="720" w:right="720"/>
    </w:pPr>
    <w:rPr>
      <w:i/>
    </w:rPr>
  </w:style>
  <w:style w:type="character" w:styleId="915">
    <w:name w:val="Quote Char"/>
    <w:link w:val="914"/>
    <w:uiPriority w:val="29"/>
    <w:rPr>
      <w:i/>
    </w:rPr>
  </w:style>
  <w:style w:type="paragraph" w:styleId="916">
    <w:name w:val="Intense Quote"/>
    <w:basedOn w:val="1068"/>
    <w:next w:val="106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name w:val="Intense Quote Char"/>
    <w:link w:val="916"/>
    <w:uiPriority w:val="30"/>
    <w:rPr>
      <w:i/>
    </w:rPr>
  </w:style>
  <w:style w:type="paragraph" w:styleId="918">
    <w:name w:val="Header"/>
    <w:basedOn w:val="1068"/>
    <w:link w:val="919"/>
    <w:uiPriority w:val="99"/>
    <w:unhideWhenUsed/>
    <w:pPr>
      <w:spacing w:after="0" w:line="240" w:lineRule="auto"/>
      <w:tabs>
        <w:tab w:val="center" w:pos="7143" w:leader="none"/>
        <w:tab w:val="right" w:pos="14287" w:leader="none"/>
      </w:tabs>
    </w:pPr>
  </w:style>
  <w:style w:type="character" w:styleId="919">
    <w:name w:val="Header Char"/>
    <w:link w:val="918"/>
    <w:uiPriority w:val="99"/>
  </w:style>
  <w:style w:type="paragraph" w:styleId="920">
    <w:name w:val="Footer"/>
    <w:basedOn w:val="1068"/>
    <w:link w:val="923"/>
    <w:uiPriority w:val="99"/>
    <w:unhideWhenUsed/>
    <w:pPr>
      <w:spacing w:after="0" w:line="240" w:lineRule="auto"/>
      <w:tabs>
        <w:tab w:val="center" w:pos="7143" w:leader="none"/>
        <w:tab w:val="right" w:pos="14287" w:leader="none"/>
      </w:tabs>
    </w:pPr>
  </w:style>
  <w:style w:type="character" w:styleId="921">
    <w:name w:val="Footer Char"/>
    <w:link w:val="920"/>
    <w:uiPriority w:val="99"/>
  </w:style>
  <w:style w:type="paragraph" w:styleId="922">
    <w:name w:val="Caption"/>
    <w:basedOn w:val="1068"/>
    <w:next w:val="1068"/>
    <w:uiPriority w:val="35"/>
    <w:semiHidden/>
    <w:unhideWhenUsed/>
    <w:qFormat/>
    <w:pPr>
      <w:spacing w:line="276" w:lineRule="auto"/>
    </w:pPr>
    <w:rPr>
      <w:b/>
      <w:bCs/>
      <w:color w:val="4f81bd" w:themeColor="accent1"/>
      <w:sz w:val="18"/>
      <w:szCs w:val="18"/>
    </w:rPr>
  </w:style>
  <w:style w:type="character" w:styleId="923">
    <w:name w:val="Caption Char"/>
    <w:basedOn w:val="922"/>
    <w:link w:val="920"/>
    <w:uiPriority w:val="99"/>
  </w:style>
  <w:style w:type="table" w:styleId="9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Hyperlink"/>
    <w:uiPriority w:val="99"/>
    <w:unhideWhenUsed/>
    <w:rPr>
      <w:color w:val="0000ff" w:themeColor="hyperlink"/>
      <w:u w:val="single"/>
    </w:rPr>
  </w:style>
  <w:style w:type="paragraph" w:styleId="1051">
    <w:name w:val="footnote text"/>
    <w:basedOn w:val="1068"/>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uiPriority w:val="99"/>
    <w:unhideWhenUsed/>
    <w:rPr>
      <w:vertAlign w:val="superscript"/>
    </w:rPr>
  </w:style>
  <w:style w:type="paragraph" w:styleId="1054">
    <w:name w:val="endnote text"/>
    <w:basedOn w:val="1068"/>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uiPriority w:val="99"/>
    <w:semiHidden/>
    <w:unhideWhenUsed/>
    <w:rPr>
      <w:vertAlign w:val="superscript"/>
    </w:rPr>
  </w:style>
  <w:style w:type="paragraph" w:styleId="1057">
    <w:name w:val="toc 1"/>
    <w:basedOn w:val="1068"/>
    <w:next w:val="1068"/>
    <w:uiPriority w:val="39"/>
    <w:unhideWhenUsed/>
    <w:pPr>
      <w:ind w:left="0" w:right="0" w:firstLine="0"/>
      <w:spacing w:after="57"/>
    </w:pPr>
  </w:style>
  <w:style w:type="paragraph" w:styleId="1058">
    <w:name w:val="toc 2"/>
    <w:basedOn w:val="1068"/>
    <w:next w:val="1068"/>
    <w:uiPriority w:val="39"/>
    <w:unhideWhenUsed/>
    <w:pPr>
      <w:ind w:left="283" w:right="0" w:firstLine="0"/>
      <w:spacing w:after="57"/>
    </w:pPr>
  </w:style>
  <w:style w:type="paragraph" w:styleId="1059">
    <w:name w:val="toc 3"/>
    <w:basedOn w:val="1068"/>
    <w:next w:val="1068"/>
    <w:uiPriority w:val="39"/>
    <w:unhideWhenUsed/>
    <w:pPr>
      <w:ind w:left="567" w:right="0" w:firstLine="0"/>
      <w:spacing w:after="57"/>
    </w:pPr>
  </w:style>
  <w:style w:type="paragraph" w:styleId="1060">
    <w:name w:val="toc 4"/>
    <w:basedOn w:val="1068"/>
    <w:next w:val="1068"/>
    <w:uiPriority w:val="39"/>
    <w:unhideWhenUsed/>
    <w:pPr>
      <w:ind w:left="850" w:right="0" w:firstLine="0"/>
      <w:spacing w:after="57"/>
    </w:pPr>
  </w:style>
  <w:style w:type="paragraph" w:styleId="1061">
    <w:name w:val="toc 5"/>
    <w:basedOn w:val="1068"/>
    <w:next w:val="1068"/>
    <w:uiPriority w:val="39"/>
    <w:unhideWhenUsed/>
    <w:pPr>
      <w:ind w:left="1134" w:right="0" w:firstLine="0"/>
      <w:spacing w:after="57"/>
    </w:pPr>
  </w:style>
  <w:style w:type="paragraph" w:styleId="1062">
    <w:name w:val="toc 6"/>
    <w:basedOn w:val="1068"/>
    <w:next w:val="1068"/>
    <w:uiPriority w:val="39"/>
    <w:unhideWhenUsed/>
    <w:pPr>
      <w:ind w:left="1417" w:right="0" w:firstLine="0"/>
      <w:spacing w:after="57"/>
    </w:pPr>
  </w:style>
  <w:style w:type="paragraph" w:styleId="1063">
    <w:name w:val="toc 7"/>
    <w:basedOn w:val="1068"/>
    <w:next w:val="1068"/>
    <w:uiPriority w:val="39"/>
    <w:unhideWhenUsed/>
    <w:pPr>
      <w:ind w:left="1701" w:right="0" w:firstLine="0"/>
      <w:spacing w:after="57"/>
    </w:pPr>
  </w:style>
  <w:style w:type="paragraph" w:styleId="1064">
    <w:name w:val="toc 8"/>
    <w:basedOn w:val="1068"/>
    <w:next w:val="1068"/>
    <w:uiPriority w:val="39"/>
    <w:unhideWhenUsed/>
    <w:pPr>
      <w:ind w:left="1984" w:right="0" w:firstLine="0"/>
      <w:spacing w:after="57"/>
    </w:pPr>
  </w:style>
  <w:style w:type="paragraph" w:styleId="1065">
    <w:name w:val="toc 9"/>
    <w:basedOn w:val="1068"/>
    <w:next w:val="1068"/>
    <w:uiPriority w:val="39"/>
    <w:unhideWhenUsed/>
    <w:pPr>
      <w:ind w:left="2268" w:right="0" w:firstLine="0"/>
      <w:spacing w:after="57"/>
    </w:p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80"/>
    <w:link w:val="1068"/>
    <w:qFormat/>
    <w:pPr>
      <w:jc w:val="both"/>
      <w:widowControl w:val="off"/>
    </w:pPr>
    <w:rPr>
      <w:sz w:val="21"/>
      <w:szCs w:val="24"/>
      <w:lang w:val="en-US" w:eastAsia="zh-CN" w:bidi="ar-SA"/>
    </w:rPr>
  </w:style>
  <w:style w:type="paragraph" w:styleId="1069">
    <w:name w:val="标题 1"/>
    <w:basedOn w:val="1068"/>
    <w:next w:val="1068"/>
    <w:link w:val="1082"/>
    <w:qFormat/>
    <w:pPr>
      <w:jc w:val="center"/>
      <w:keepLines/>
      <w:keepNext/>
      <w:spacing w:before="240" w:after="120" w:line="300" w:lineRule="auto"/>
      <w:outlineLvl w:val="0"/>
    </w:pPr>
    <w:rPr>
      <w:rFonts w:ascii="宋体"/>
      <w:b/>
      <w:sz w:val="32"/>
      <w:szCs w:val="20"/>
    </w:rPr>
  </w:style>
  <w:style w:type="paragraph" w:styleId="1070">
    <w:name w:val="标题 2"/>
    <w:basedOn w:val="1068"/>
    <w:next w:val="1084"/>
    <w:link w:val="1083"/>
    <w:qFormat/>
    <w:pPr>
      <w:jc w:val="center"/>
      <w:keepLines/>
      <w:keepNext/>
      <w:spacing w:before="120" w:line="300" w:lineRule="auto"/>
      <w:outlineLvl w:val="1"/>
    </w:pPr>
    <w:rPr>
      <w:rFonts w:ascii="Arial" w:hAnsi="Arial" w:eastAsia="黑体"/>
      <w:b/>
      <w:sz w:val="30"/>
      <w:szCs w:val="20"/>
    </w:rPr>
  </w:style>
  <w:style w:type="paragraph" w:styleId="1071">
    <w:name w:val="标题 3"/>
    <w:basedOn w:val="1068"/>
    <w:next w:val="1084"/>
    <w:link w:val="1086"/>
    <w:qFormat/>
    <w:pPr>
      <w:jc w:val="left"/>
      <w:keepLines/>
      <w:keepNext/>
      <w:spacing w:before="360" w:after="120"/>
      <w:outlineLvl w:val="2"/>
    </w:pPr>
    <w:rPr>
      <w:rFonts w:ascii="宋体"/>
      <w:b/>
      <w:sz w:val="24"/>
      <w:szCs w:val="20"/>
      <w:u w:val="single"/>
    </w:rPr>
  </w:style>
  <w:style w:type="paragraph" w:styleId="1072">
    <w:name w:val="标题 4"/>
    <w:basedOn w:val="1068"/>
    <w:next w:val="1068"/>
    <w:link w:val="1087"/>
    <w:qFormat/>
    <w:pPr>
      <w:keepLines/>
      <w:keepNext/>
      <w:spacing w:before="280" w:after="290" w:line="376" w:lineRule="atLeast"/>
      <w:outlineLvl w:val="3"/>
    </w:pPr>
    <w:rPr>
      <w:rFonts w:ascii="Arial" w:hAnsi="Arial" w:eastAsia="黑体"/>
      <w:b/>
      <w:sz w:val="28"/>
      <w:szCs w:val="20"/>
    </w:rPr>
  </w:style>
  <w:style w:type="paragraph" w:styleId="1073">
    <w:name w:val="标题 5"/>
    <w:basedOn w:val="1068"/>
    <w:next w:val="1068"/>
    <w:link w:val="1088"/>
    <w:qFormat/>
    <w:pPr>
      <w:keepLines/>
      <w:keepNext/>
      <w:spacing w:before="280" w:after="290" w:line="376" w:lineRule="atLeast"/>
      <w:outlineLvl w:val="4"/>
    </w:pPr>
    <w:rPr>
      <w:b/>
      <w:sz w:val="28"/>
      <w:szCs w:val="20"/>
    </w:rPr>
  </w:style>
  <w:style w:type="paragraph" w:styleId="1074">
    <w:name w:val="标题 6"/>
    <w:basedOn w:val="1068"/>
    <w:next w:val="1068"/>
    <w:link w:val="1089"/>
    <w:qFormat/>
    <w:pPr>
      <w:keepLines/>
      <w:keepNext/>
      <w:spacing w:before="240" w:after="64" w:line="320" w:lineRule="atLeast"/>
      <w:outlineLvl w:val="5"/>
    </w:pPr>
    <w:rPr>
      <w:rFonts w:ascii="Arial" w:hAnsi="Arial" w:eastAsia="黑体"/>
      <w:b/>
      <w:sz w:val="24"/>
      <w:szCs w:val="20"/>
    </w:rPr>
  </w:style>
  <w:style w:type="paragraph" w:styleId="1075">
    <w:name w:val="标题 7"/>
    <w:basedOn w:val="1068"/>
    <w:next w:val="1068"/>
    <w:link w:val="1090"/>
    <w:qFormat/>
    <w:pPr>
      <w:keepLines/>
      <w:keepNext/>
      <w:spacing w:before="240" w:after="64" w:line="320" w:lineRule="atLeast"/>
      <w:outlineLvl w:val="6"/>
    </w:pPr>
    <w:rPr>
      <w:b/>
      <w:sz w:val="24"/>
      <w:szCs w:val="20"/>
    </w:rPr>
  </w:style>
  <w:style w:type="paragraph" w:styleId="1076">
    <w:name w:val="标题 8"/>
    <w:basedOn w:val="1068"/>
    <w:next w:val="1068"/>
    <w:link w:val="1091"/>
    <w:qFormat/>
    <w:pPr>
      <w:keepLines/>
      <w:keepNext/>
      <w:spacing w:before="240" w:after="64" w:line="320" w:lineRule="atLeast"/>
      <w:outlineLvl w:val="7"/>
    </w:pPr>
    <w:rPr>
      <w:rFonts w:ascii="Arial" w:hAnsi="Arial" w:eastAsia="黑体"/>
      <w:sz w:val="24"/>
      <w:szCs w:val="20"/>
    </w:rPr>
  </w:style>
  <w:style w:type="paragraph" w:styleId="1077">
    <w:name w:val="标题 9"/>
    <w:basedOn w:val="1068"/>
    <w:next w:val="1068"/>
    <w:link w:val="1092"/>
    <w:qFormat/>
    <w:pPr>
      <w:keepLines/>
      <w:keepNext/>
      <w:spacing w:before="240" w:after="64" w:line="320" w:lineRule="atLeast"/>
      <w:outlineLvl w:val="8"/>
    </w:pPr>
    <w:rPr>
      <w:rFonts w:ascii="Arial" w:hAnsi="Arial" w:eastAsia="黑体"/>
      <w:szCs w:val="20"/>
    </w:rPr>
  </w:style>
  <w:style w:type="character" w:styleId="1078">
    <w:name w:val="默认段落字体"/>
    <w:next w:val="1078"/>
    <w:link w:val="1068"/>
    <w:uiPriority w:val="1"/>
    <w:unhideWhenUsed/>
    <w:qFormat/>
  </w:style>
  <w:style w:type="table" w:styleId="1079">
    <w:name w:val="普通表格"/>
    <w:next w:val="1079"/>
    <w:link w:val="1068"/>
    <w:uiPriority w:val="99"/>
    <w:unhideWhenUsed/>
    <w:qFormat/>
    <w:tblPr/>
  </w:style>
  <w:style w:type="paragraph" w:styleId="1080">
    <w:name w:val="正文文本"/>
    <w:basedOn w:val="1068"/>
    <w:next w:val="1068"/>
    <w:link w:val="1081"/>
    <w:qFormat/>
    <w:pPr>
      <w:spacing w:before="120" w:line="22" w:lineRule="atLeast"/>
      <w:tabs>
        <w:tab w:val="left" w:pos="567" w:leader="none"/>
      </w:tabs>
    </w:pPr>
    <w:rPr>
      <w:rFonts w:ascii="宋体" w:hAnsi="宋体"/>
      <w:sz w:val="24"/>
    </w:rPr>
  </w:style>
  <w:style w:type="character" w:styleId="1081">
    <w:name w:val="正文文本 字符1"/>
    <w:next w:val="1081"/>
    <w:link w:val="1080"/>
    <w:qFormat/>
    <w:rPr>
      <w:rFonts w:ascii="宋体" w:hAnsi="宋体"/>
      <w:sz w:val="24"/>
      <w:szCs w:val="24"/>
    </w:rPr>
  </w:style>
  <w:style w:type="character" w:styleId="1082">
    <w:name w:val="标题 1 字符"/>
    <w:next w:val="1082"/>
    <w:link w:val="1069"/>
    <w:qFormat/>
    <w:rPr>
      <w:rFonts w:ascii="宋体"/>
      <w:b/>
      <w:sz w:val="32"/>
    </w:rPr>
  </w:style>
  <w:style w:type="character" w:styleId="1083">
    <w:name w:val="标题 2 字符"/>
    <w:next w:val="1083"/>
    <w:link w:val="1070"/>
    <w:qFormat/>
    <w:rPr>
      <w:rFonts w:ascii="Arial" w:hAnsi="Arial" w:eastAsia="黑体"/>
      <w:b/>
      <w:sz w:val="30"/>
      <w:lang w:val="en-US" w:eastAsia="zh-CN" w:bidi="ar-SA"/>
    </w:rPr>
  </w:style>
  <w:style w:type="paragraph" w:styleId="1084">
    <w:name w:val="正文缩进"/>
    <w:basedOn w:val="1068"/>
    <w:next w:val="1068"/>
    <w:link w:val="1085"/>
    <w:uiPriority w:val="99"/>
    <w:qFormat/>
    <w:pPr>
      <w:ind w:firstLine="420"/>
      <w:jc w:val="left"/>
    </w:pPr>
    <w:rPr>
      <w:rFonts w:ascii="宋体"/>
      <w:sz w:val="24"/>
    </w:rPr>
  </w:style>
  <w:style w:type="character" w:styleId="1085">
    <w:name w:val="正文缩进 字符1"/>
    <w:next w:val="1085"/>
    <w:link w:val="1084"/>
    <w:qFormat/>
    <w:rPr>
      <w:rFonts w:ascii="宋体" w:eastAsia="宋体"/>
      <w:sz w:val="24"/>
      <w:szCs w:val="24"/>
      <w:lang w:val="en-US" w:eastAsia="zh-CN" w:bidi="ar-SA"/>
    </w:rPr>
  </w:style>
  <w:style w:type="character" w:styleId="1086">
    <w:name w:val="标题 3 字符"/>
    <w:next w:val="1086"/>
    <w:link w:val="1071"/>
    <w:qFormat/>
    <w:rPr>
      <w:rFonts w:ascii="宋体" w:eastAsia="宋体"/>
      <w:b/>
      <w:sz w:val="24"/>
      <w:u w:val="single"/>
      <w:lang w:val="en-US" w:eastAsia="zh-CN" w:bidi="ar-SA"/>
    </w:rPr>
  </w:style>
  <w:style w:type="character" w:styleId="1087">
    <w:name w:val="标题 4 字符"/>
    <w:next w:val="1087"/>
    <w:link w:val="1072"/>
    <w:qFormat/>
    <w:rPr>
      <w:rFonts w:ascii="Arial" w:hAnsi="Arial" w:eastAsia="黑体"/>
      <w:b/>
      <w:sz w:val="28"/>
    </w:rPr>
  </w:style>
  <w:style w:type="character" w:styleId="1088">
    <w:name w:val="标题 5 字符"/>
    <w:next w:val="1088"/>
    <w:link w:val="1073"/>
    <w:qFormat/>
    <w:rPr>
      <w:b/>
      <w:sz w:val="28"/>
    </w:rPr>
  </w:style>
  <w:style w:type="character" w:styleId="1089">
    <w:name w:val="标题 6 字符"/>
    <w:next w:val="1089"/>
    <w:link w:val="1074"/>
    <w:qFormat/>
    <w:rPr>
      <w:rFonts w:ascii="Arial" w:hAnsi="Arial" w:eastAsia="黑体"/>
      <w:b/>
      <w:sz w:val="24"/>
    </w:rPr>
  </w:style>
  <w:style w:type="character" w:styleId="1090">
    <w:name w:val="标题 7 字符"/>
    <w:next w:val="1090"/>
    <w:link w:val="1075"/>
    <w:qFormat/>
    <w:rPr>
      <w:b/>
      <w:sz w:val="24"/>
    </w:rPr>
  </w:style>
  <w:style w:type="character" w:styleId="1091">
    <w:name w:val="标题 8 字符"/>
    <w:next w:val="1091"/>
    <w:link w:val="1076"/>
    <w:qFormat/>
    <w:rPr>
      <w:rFonts w:ascii="Arial" w:hAnsi="Arial" w:eastAsia="黑体"/>
      <w:sz w:val="24"/>
    </w:rPr>
  </w:style>
  <w:style w:type="character" w:styleId="1092">
    <w:name w:val="标题 9 字符"/>
    <w:next w:val="1092"/>
    <w:link w:val="1077"/>
    <w:qFormat/>
    <w:rPr>
      <w:rFonts w:ascii="Arial" w:hAnsi="Arial" w:eastAsia="黑体"/>
      <w:sz w:val="21"/>
    </w:rPr>
  </w:style>
  <w:style w:type="paragraph" w:styleId="1093">
    <w:name w:val="目录 7"/>
    <w:basedOn w:val="1068"/>
    <w:next w:val="1068"/>
    <w:link w:val="1068"/>
    <w:qFormat/>
    <w:pPr>
      <w:ind w:left="2520"/>
    </w:pPr>
  </w:style>
  <w:style w:type="paragraph" w:styleId="1094">
    <w:name w:val="题注"/>
    <w:basedOn w:val="1068"/>
    <w:next w:val="1068"/>
    <w:link w:val="1068"/>
    <w:qFormat/>
    <w:pPr>
      <w:spacing w:line="480" w:lineRule="auto"/>
    </w:pPr>
    <w:rPr>
      <w:rFonts w:ascii="华文中宋" w:hAnsi="华文中宋" w:eastAsia="华文中宋"/>
      <w:sz w:val="36"/>
      <w:szCs w:val="20"/>
    </w:rPr>
  </w:style>
  <w:style w:type="paragraph" w:styleId="1095">
    <w:name w:val="文档结构图"/>
    <w:basedOn w:val="1068"/>
    <w:next w:val="1095"/>
    <w:link w:val="1096"/>
    <w:qFormat/>
    <w:pPr>
      <w:shd w:val="clear" w:color="auto" w:fill="000080"/>
    </w:pPr>
  </w:style>
  <w:style w:type="character" w:styleId="1096">
    <w:name w:val="文档结构图 字符"/>
    <w:next w:val="1096"/>
    <w:link w:val="1095"/>
    <w:qFormat/>
    <w:rPr>
      <w:sz w:val="21"/>
      <w:szCs w:val="24"/>
      <w:shd w:val="clear" w:color="auto" w:fill="000080"/>
    </w:rPr>
  </w:style>
  <w:style w:type="paragraph" w:styleId="1097">
    <w:name w:val="批注文字"/>
    <w:basedOn w:val="1068"/>
    <w:next w:val="1097"/>
    <w:link w:val="1098"/>
    <w:uiPriority w:val="99"/>
    <w:qFormat/>
    <w:pPr>
      <w:jc w:val="left"/>
    </w:pPr>
  </w:style>
  <w:style w:type="character" w:styleId="1098">
    <w:name w:val="批注文字 字符1"/>
    <w:next w:val="1098"/>
    <w:link w:val="1097"/>
    <w:uiPriority w:val="99"/>
    <w:qFormat/>
    <w:rPr>
      <w:sz w:val="21"/>
      <w:szCs w:val="24"/>
    </w:rPr>
  </w:style>
  <w:style w:type="paragraph" w:styleId="1099">
    <w:name w:val="正文文本 3"/>
    <w:basedOn w:val="1068"/>
    <w:next w:val="1099"/>
    <w:link w:val="1100"/>
    <w:qFormat/>
    <w:pPr>
      <w:spacing w:after="120"/>
    </w:pPr>
    <w:rPr>
      <w:sz w:val="16"/>
      <w:szCs w:val="16"/>
    </w:rPr>
  </w:style>
  <w:style w:type="character" w:styleId="1100">
    <w:name w:val="正文文本 3 字符"/>
    <w:next w:val="1100"/>
    <w:link w:val="1099"/>
    <w:qFormat/>
    <w:rPr>
      <w:sz w:val="16"/>
      <w:szCs w:val="16"/>
    </w:rPr>
  </w:style>
  <w:style w:type="paragraph" w:styleId="1101">
    <w:name w:val="正文文本缩进"/>
    <w:basedOn w:val="1068"/>
    <w:next w:val="1101"/>
    <w:link w:val="1102"/>
    <w:qFormat/>
    <w:pPr>
      <w:ind w:firstLine="570"/>
      <w:spacing w:line="360" w:lineRule="auto"/>
    </w:pPr>
    <w:rPr>
      <w:sz w:val="24"/>
    </w:rPr>
  </w:style>
  <w:style w:type="character" w:styleId="1102">
    <w:name w:val="正文文本缩进 字符"/>
    <w:next w:val="1102"/>
    <w:link w:val="1101"/>
    <w:qFormat/>
    <w:rPr>
      <w:rFonts w:eastAsia="宋体"/>
      <w:sz w:val="24"/>
      <w:szCs w:val="24"/>
      <w:lang w:val="en-US" w:eastAsia="zh-CN" w:bidi="ar-SA"/>
    </w:rPr>
  </w:style>
  <w:style w:type="paragraph" w:styleId="1103">
    <w:name w:val="列表 2"/>
    <w:basedOn w:val="1068"/>
    <w:next w:val="1103"/>
    <w:link w:val="1068"/>
    <w:qFormat/>
    <w:pPr>
      <w:ind w:left="100" w:hanging="200"/>
    </w:pPr>
  </w:style>
  <w:style w:type="paragraph" w:styleId="1104">
    <w:name w:val="文本块"/>
    <w:basedOn w:val="1068"/>
    <w:next w:val="1104"/>
    <w:link w:val="1068"/>
    <w:qFormat/>
    <w:pPr>
      <w:ind w:left="480" w:right="-341" w:firstLine="513"/>
      <w:widowControl/>
    </w:pPr>
    <w:rPr>
      <w:sz w:val="24"/>
      <w:szCs w:val="20"/>
    </w:rPr>
  </w:style>
  <w:style w:type="paragraph" w:styleId="1105">
    <w:name w:val="目录 5"/>
    <w:basedOn w:val="1068"/>
    <w:next w:val="1068"/>
    <w:link w:val="1068"/>
    <w:qFormat/>
    <w:pPr>
      <w:ind w:left="1680"/>
    </w:pPr>
  </w:style>
  <w:style w:type="paragraph" w:styleId="1106">
    <w:name w:val="目录 3"/>
    <w:basedOn w:val="1068"/>
    <w:next w:val="1068"/>
    <w:link w:val="1068"/>
    <w:uiPriority w:val="39"/>
    <w:qFormat/>
    <w:pPr>
      <w:ind w:left="840"/>
    </w:pPr>
  </w:style>
  <w:style w:type="paragraph" w:styleId="1107">
    <w:name w:val="纯文本"/>
    <w:basedOn w:val="1068"/>
    <w:next w:val="1084"/>
    <w:link w:val="1108"/>
    <w:uiPriority w:val="99"/>
    <w:qFormat/>
    <w:rPr>
      <w:rFonts w:hint="eastAsia" w:ascii="宋体" w:hAnsi="Courier New"/>
      <w:szCs w:val="20"/>
    </w:rPr>
  </w:style>
  <w:style w:type="character" w:styleId="1108">
    <w:name w:val="纯文本 字符2"/>
    <w:next w:val="1108"/>
    <w:link w:val="1107"/>
    <w:qFormat/>
    <w:rPr>
      <w:rFonts w:hint="eastAsia" w:ascii="宋体" w:hAnsi="Courier New" w:eastAsia="宋体" w:cs="宋体"/>
      <w:sz w:val="21"/>
    </w:rPr>
  </w:style>
  <w:style w:type="paragraph" w:styleId="1109">
    <w:name w:val="目录 8"/>
    <w:basedOn w:val="1068"/>
    <w:next w:val="1068"/>
    <w:link w:val="1068"/>
    <w:qFormat/>
    <w:pPr>
      <w:ind w:left="2940"/>
    </w:pPr>
  </w:style>
  <w:style w:type="paragraph" w:styleId="1110">
    <w:name w:val="日期"/>
    <w:basedOn w:val="1068"/>
    <w:next w:val="1068"/>
    <w:link w:val="1111"/>
    <w:qFormat/>
    <w:pPr>
      <w:ind w:left="100"/>
    </w:pPr>
    <w:rPr>
      <w:rFonts w:ascii="仿宋_GB2312" w:hAnsi="宋体" w:eastAsia="仿宋_GB2312"/>
      <w:color w:val="000000"/>
      <w:sz w:val="24"/>
    </w:rPr>
  </w:style>
  <w:style w:type="character" w:styleId="1111">
    <w:name w:val="日期 字符"/>
    <w:next w:val="1111"/>
    <w:link w:val="1110"/>
    <w:qFormat/>
    <w:rPr>
      <w:rFonts w:ascii="仿宋_GB2312" w:hAnsi="宋体" w:eastAsia="仿宋_GB2312"/>
      <w:color w:val="000000"/>
      <w:sz w:val="24"/>
      <w:szCs w:val="24"/>
    </w:rPr>
  </w:style>
  <w:style w:type="paragraph" w:styleId="1112">
    <w:name w:val="正文文本缩进 2"/>
    <w:basedOn w:val="1068"/>
    <w:next w:val="1112"/>
    <w:link w:val="1113"/>
    <w:qFormat/>
    <w:pPr>
      <w:ind w:firstLine="480"/>
    </w:pPr>
    <w:rPr>
      <w:rFonts w:ascii="仿宋_GB2312" w:eastAsia="仿宋_GB2312"/>
      <w:sz w:val="24"/>
    </w:rPr>
  </w:style>
  <w:style w:type="character" w:styleId="1113">
    <w:name w:val="正文文本缩进 2 字符"/>
    <w:next w:val="1113"/>
    <w:link w:val="1112"/>
    <w:qFormat/>
    <w:rPr>
      <w:rFonts w:ascii="仿宋_GB2312" w:eastAsia="仿宋_GB2312"/>
      <w:sz w:val="24"/>
      <w:szCs w:val="24"/>
    </w:rPr>
  </w:style>
  <w:style w:type="paragraph" w:styleId="1114">
    <w:name w:val="批注框文本"/>
    <w:basedOn w:val="1068"/>
    <w:next w:val="1114"/>
    <w:link w:val="1115"/>
    <w:qFormat/>
    <w:rPr>
      <w:sz w:val="18"/>
      <w:szCs w:val="18"/>
    </w:rPr>
  </w:style>
  <w:style w:type="character" w:styleId="1115">
    <w:name w:val="批注框文本 字符"/>
    <w:next w:val="1115"/>
    <w:link w:val="1114"/>
    <w:qFormat/>
    <w:rPr>
      <w:sz w:val="18"/>
      <w:szCs w:val="18"/>
    </w:rPr>
  </w:style>
  <w:style w:type="paragraph" w:styleId="1116">
    <w:name w:val="页脚"/>
    <w:basedOn w:val="1068"/>
    <w:next w:val="1116"/>
    <w:link w:val="1117"/>
    <w:uiPriority w:val="99"/>
    <w:qFormat/>
    <w:pPr>
      <w:jc w:val="left"/>
      <w:tabs>
        <w:tab w:val="center" w:pos="4153" w:leader="none"/>
        <w:tab w:val="right" w:pos="8306" w:leader="none"/>
      </w:tabs>
    </w:pPr>
    <w:rPr>
      <w:rFonts w:ascii="宋体"/>
      <w:sz w:val="18"/>
      <w:szCs w:val="20"/>
    </w:rPr>
  </w:style>
  <w:style w:type="character" w:styleId="1117">
    <w:name w:val="页脚 字符"/>
    <w:next w:val="1117"/>
    <w:link w:val="1116"/>
    <w:uiPriority w:val="99"/>
    <w:qFormat/>
    <w:rPr>
      <w:rFonts w:ascii="宋体" w:eastAsia="宋体"/>
      <w:sz w:val="18"/>
      <w:lang w:val="en-US" w:eastAsia="zh-CN" w:bidi="ar-SA"/>
    </w:rPr>
  </w:style>
  <w:style w:type="paragraph" w:styleId="1118">
    <w:name w:val="页眉"/>
    <w:basedOn w:val="1068"/>
    <w:next w:val="1118"/>
    <w:link w:val="1119"/>
    <w:qFormat/>
    <w:pPr>
      <w:jc w:val="center"/>
      <w:tabs>
        <w:tab w:val="center" w:pos="4153" w:leader="none"/>
        <w:tab w:val="right" w:pos="8306" w:leader="none"/>
      </w:tabs>
      <w:pBdr>
        <w:bottom w:val="single" w:color="000000" w:sz="6" w:space="1"/>
      </w:pBdr>
    </w:pPr>
    <w:rPr>
      <w:sz w:val="18"/>
      <w:szCs w:val="18"/>
    </w:rPr>
  </w:style>
  <w:style w:type="character" w:styleId="1119">
    <w:name w:val="页眉 字符"/>
    <w:next w:val="1119"/>
    <w:link w:val="1118"/>
    <w:qFormat/>
    <w:rPr>
      <w:rFonts w:eastAsia="宋体"/>
      <w:sz w:val="18"/>
      <w:szCs w:val="18"/>
      <w:lang w:val="en-US" w:eastAsia="zh-CN" w:bidi="ar-SA"/>
    </w:rPr>
  </w:style>
  <w:style w:type="paragraph" w:styleId="1120">
    <w:name w:val="目录 1"/>
    <w:basedOn w:val="1068"/>
    <w:next w:val="1068"/>
    <w:link w:val="1068"/>
    <w:uiPriority w:val="39"/>
    <w:qFormat/>
    <w:pPr>
      <w:spacing w:line="300" w:lineRule="auto"/>
      <w:tabs>
        <w:tab w:val="left" w:pos="1050" w:leader="none"/>
        <w:tab w:val="right" w:pos="8937" w:leader="dot"/>
      </w:tabs>
    </w:pPr>
    <w:rPr>
      <w:rFonts w:ascii="宋体" w:hAnsi="宋体"/>
      <w:b/>
      <w:sz w:val="24"/>
    </w:rPr>
  </w:style>
  <w:style w:type="paragraph" w:styleId="1121">
    <w:name w:val="目录 4"/>
    <w:basedOn w:val="1068"/>
    <w:next w:val="1068"/>
    <w:link w:val="1068"/>
    <w:qFormat/>
    <w:pPr>
      <w:ind w:left="1260"/>
    </w:pPr>
  </w:style>
  <w:style w:type="paragraph" w:styleId="1122">
    <w:name w:val="目录 6"/>
    <w:basedOn w:val="1068"/>
    <w:next w:val="1068"/>
    <w:link w:val="1068"/>
    <w:qFormat/>
    <w:pPr>
      <w:ind w:left="2100"/>
    </w:pPr>
  </w:style>
  <w:style w:type="paragraph" w:styleId="1123">
    <w:name w:val="正文文本缩进 3"/>
    <w:basedOn w:val="1068"/>
    <w:next w:val="1123"/>
    <w:link w:val="1124"/>
    <w:qFormat/>
    <w:pPr>
      <w:ind w:left="720" w:firstLine="480"/>
      <w:jc w:val="left"/>
      <w:spacing w:before="120" w:line="22" w:lineRule="atLeast"/>
    </w:pPr>
    <w:rPr>
      <w:rFonts w:ascii="宋体"/>
      <w:sz w:val="24"/>
      <w:szCs w:val="20"/>
    </w:rPr>
  </w:style>
  <w:style w:type="character" w:styleId="1124">
    <w:name w:val="正文文本缩进 3 字符"/>
    <w:next w:val="1124"/>
    <w:link w:val="1123"/>
    <w:qFormat/>
    <w:rPr>
      <w:rFonts w:ascii="宋体"/>
      <w:sz w:val="24"/>
    </w:rPr>
  </w:style>
  <w:style w:type="paragraph" w:styleId="1125">
    <w:name w:val="目录 2"/>
    <w:basedOn w:val="1068"/>
    <w:next w:val="1068"/>
    <w:link w:val="1068"/>
    <w:uiPriority w:val="39"/>
    <w:qFormat/>
    <w:pPr>
      <w:ind w:left="420"/>
      <w:spacing w:line="312" w:lineRule="auto"/>
      <w:tabs>
        <w:tab w:val="right" w:pos="8937" w:leader="dot"/>
      </w:tabs>
    </w:pPr>
  </w:style>
  <w:style w:type="paragraph" w:styleId="1126">
    <w:name w:val="目录 9"/>
    <w:basedOn w:val="1068"/>
    <w:next w:val="1068"/>
    <w:link w:val="1068"/>
    <w:qFormat/>
    <w:pPr>
      <w:ind w:left="3360"/>
    </w:pPr>
  </w:style>
  <w:style w:type="paragraph" w:styleId="1127">
    <w:name w:val="HTML 预设格式"/>
    <w:basedOn w:val="1068"/>
    <w:next w:val="1127"/>
    <w:link w:val="11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8">
    <w:name w:val="HTML 预设格式 字符"/>
    <w:next w:val="1128"/>
    <w:link w:val="1127"/>
    <w:qFormat/>
    <w:rPr>
      <w:rFonts w:ascii="宋体" w:hAnsi="宋体" w:cs="宋体"/>
      <w:sz w:val="24"/>
      <w:szCs w:val="24"/>
    </w:rPr>
  </w:style>
  <w:style w:type="paragraph" w:styleId="1129">
    <w:name w:val="普通(网站)"/>
    <w:basedOn w:val="1068"/>
    <w:next w:val="1129"/>
    <w:link w:val="1068"/>
    <w:uiPriority w:val="99"/>
    <w:unhideWhenUsed/>
    <w:qFormat/>
    <w:pPr>
      <w:jc w:val="left"/>
      <w:spacing w:before="100" w:beforeAutospacing="1" w:after="100" w:afterAutospacing="1"/>
      <w:widowControl/>
    </w:pPr>
    <w:rPr>
      <w:rFonts w:ascii="宋体" w:hAnsi="宋体" w:cs="宋体"/>
      <w:sz w:val="24"/>
    </w:rPr>
  </w:style>
  <w:style w:type="paragraph" w:styleId="1130">
    <w:name w:val="索引 1"/>
    <w:basedOn w:val="1068"/>
    <w:next w:val="1068"/>
    <w:link w:val="1068"/>
    <w:qFormat/>
    <w:rPr>
      <w:szCs w:val="20"/>
    </w:rPr>
  </w:style>
  <w:style w:type="paragraph" w:styleId="1131">
    <w:name w:val="标题"/>
    <w:basedOn w:val="1068"/>
    <w:next w:val="1131"/>
    <w:link w:val="1132"/>
    <w:qFormat/>
    <w:pPr>
      <w:jc w:val="center"/>
      <w:outlineLvl w:val="0"/>
    </w:pPr>
    <w:rPr>
      <w:b/>
      <w:sz w:val="32"/>
      <w:szCs w:val="20"/>
    </w:rPr>
  </w:style>
  <w:style w:type="character" w:styleId="1132">
    <w:name w:val="标题 字符"/>
    <w:next w:val="1132"/>
    <w:link w:val="1131"/>
    <w:qFormat/>
    <w:rPr>
      <w:b/>
      <w:sz w:val="32"/>
    </w:rPr>
  </w:style>
  <w:style w:type="paragraph" w:styleId="1133">
    <w:name w:val="批注主题"/>
    <w:basedOn w:val="1097"/>
    <w:next w:val="1097"/>
    <w:link w:val="1134"/>
    <w:qFormat/>
    <w:rPr>
      <w:b/>
      <w:bCs/>
    </w:rPr>
  </w:style>
  <w:style w:type="character" w:styleId="1134">
    <w:name w:val="批注主题 字符"/>
    <w:next w:val="1134"/>
    <w:link w:val="1133"/>
    <w:qFormat/>
    <w:rPr>
      <w:rFonts w:ascii="Times New Roman" w:hAnsi="Times New Roman" w:eastAsia="宋体" w:cs="Times New Roman"/>
      <w:b/>
      <w:bCs/>
      <w:sz w:val="21"/>
      <w:szCs w:val="24"/>
      <w:lang w:val="en-US" w:eastAsia="zh-CN" w:bidi="ar-SA"/>
    </w:rPr>
  </w:style>
  <w:style w:type="paragraph" w:styleId="1135">
    <w:name w:val="正文首行缩进 2"/>
    <w:basedOn w:val="1101"/>
    <w:next w:val="1135"/>
    <w:link w:val="1136"/>
    <w:qFormat/>
    <w:pPr>
      <w:ind w:left="420" w:firstLine="420"/>
      <w:spacing w:after="120" w:line="480" w:lineRule="exact"/>
    </w:pPr>
    <w:rPr>
      <w:szCs w:val="20"/>
    </w:rPr>
  </w:style>
  <w:style w:type="character" w:styleId="1136">
    <w:name w:val="正文文本首行缩进 2 字符"/>
    <w:next w:val="1136"/>
    <w:link w:val="1135"/>
    <w:qFormat/>
    <w:rPr>
      <w:rFonts w:eastAsia="宋体"/>
      <w:sz w:val="24"/>
      <w:szCs w:val="24"/>
      <w:lang w:val="en-US" w:eastAsia="zh-CN" w:bidi="ar-SA"/>
    </w:rPr>
  </w:style>
  <w:style w:type="table" w:styleId="1137">
    <w:name w:val="网格型"/>
    <w:basedOn w:val="1079"/>
    <w:next w:val="1137"/>
    <w:link w:val="1068"/>
    <w:uiPriority w:val="39"/>
    <w:qFormat/>
    <w:tblPr/>
  </w:style>
  <w:style w:type="table" w:styleId="1138">
    <w:name w:val="中等深浅网格 1 - 强调文字颜色 2"/>
    <w:basedOn w:val="1079"/>
    <w:next w:val="1138"/>
    <w:link w:val="1068"/>
    <w:qFormat/>
    <w:rPr>
      <w:sz w:val="21"/>
      <w:szCs w:val="24"/>
    </w:rPr>
    <w:tblPr/>
  </w:style>
  <w:style w:type="character" w:styleId="1139">
    <w:name w:val="要点"/>
    <w:next w:val="1139"/>
    <w:link w:val="1068"/>
    <w:qFormat/>
    <w:rPr>
      <w:b/>
      <w:bCs/>
    </w:rPr>
  </w:style>
  <w:style w:type="character" w:styleId="1140">
    <w:name w:val="页码"/>
    <w:next w:val="1140"/>
    <w:link w:val="1068"/>
    <w:qFormat/>
  </w:style>
  <w:style w:type="character" w:styleId="1141">
    <w:name w:val="已访问的超链接"/>
    <w:basedOn w:val="1078"/>
    <w:next w:val="1141"/>
    <w:link w:val="1068"/>
    <w:qFormat/>
    <w:rPr>
      <w:color w:val="333333"/>
      <w:u w:val="none"/>
    </w:rPr>
  </w:style>
  <w:style w:type="character" w:styleId="1142">
    <w:name w:val="强调"/>
    <w:next w:val="1142"/>
    <w:link w:val="1068"/>
    <w:qFormat/>
    <w:rPr>
      <w:color w:val="cc0033"/>
    </w:rPr>
  </w:style>
  <w:style w:type="character" w:styleId="1143">
    <w:name w:val="超链接"/>
    <w:basedOn w:val="1078"/>
    <w:next w:val="1143"/>
    <w:link w:val="1068"/>
    <w:uiPriority w:val="99"/>
    <w:qFormat/>
    <w:rPr>
      <w:color w:val="333333"/>
      <w:u w:val="none"/>
    </w:rPr>
  </w:style>
  <w:style w:type="character" w:styleId="1144">
    <w:name w:val="批注引用"/>
    <w:next w:val="1144"/>
    <w:link w:val="1068"/>
    <w:uiPriority w:val="99"/>
    <w:qFormat/>
    <w:rPr>
      <w:sz w:val="21"/>
      <w:szCs w:val="21"/>
    </w:rPr>
  </w:style>
  <w:style w:type="character" w:styleId="1145">
    <w:name w:val="HTML 引文"/>
    <w:next w:val="1145"/>
    <w:link w:val="1068"/>
    <w:qFormat/>
    <w:rPr>
      <w:i/>
      <w:iCs/>
    </w:rPr>
  </w:style>
  <w:style w:type="character" w:styleId="1146">
    <w:name w:val="批注文字 字符"/>
    <w:next w:val="1146"/>
    <w:link w:val="1068"/>
    <w:uiPriority w:val="99"/>
    <w:qFormat/>
    <w:rPr>
      <w:rFonts w:ascii="Times New Roman" w:hAnsi="Times New Roman" w:eastAsia="宋体" w:cs="Times New Roman"/>
      <w:sz w:val="24"/>
      <w:lang w:val="en-US" w:eastAsia="zh-CN" w:bidi="ar-SA"/>
    </w:rPr>
  </w:style>
  <w:style w:type="character" w:styleId="1147">
    <w:name w:val="c21"/>
    <w:next w:val="1147"/>
    <w:link w:val="1068"/>
    <w:qFormat/>
    <w:rPr>
      <w:rFonts w:ascii="ˎ̥" w:hAnsi="ˎ̥"/>
      <w:color w:val="000000"/>
      <w:sz w:val="20"/>
      <w:szCs w:val="20"/>
      <w:u w:val="none"/>
    </w:rPr>
  </w:style>
  <w:style w:type="character" w:styleId="1148">
    <w:name w:val="title4"/>
    <w:next w:val="1148"/>
    <w:link w:val="1068"/>
    <w:qFormat/>
    <w:rPr>
      <w:b/>
      <w:bCs/>
      <w:color w:val="1d87b3"/>
      <w:sz w:val="15"/>
      <w:szCs w:val="15"/>
    </w:rPr>
  </w:style>
  <w:style w:type="character" w:styleId="1149">
    <w:name w:val="标题 2 Char Char"/>
    <w:next w:val="1149"/>
    <w:link w:val="1068"/>
    <w:qFormat/>
    <w:rPr>
      <w:rFonts w:ascii="Arial" w:hAnsi="Arial" w:eastAsia="黑体"/>
      <w:b/>
      <w:bCs/>
      <w:sz w:val="32"/>
      <w:szCs w:val="32"/>
      <w:lang w:val="en-US" w:eastAsia="zh-CN" w:bidi="ar-SA"/>
    </w:rPr>
  </w:style>
  <w:style w:type="character" w:styleId="1150">
    <w:name w:val="black1"/>
    <w:next w:val="1150"/>
    <w:link w:val="1068"/>
    <w:qFormat/>
    <w:rPr>
      <w:color w:val="000000"/>
    </w:rPr>
  </w:style>
  <w:style w:type="character" w:styleId="1151">
    <w:name w:val="street-address"/>
    <w:next w:val="1151"/>
    <w:link w:val="1068"/>
    <w:qFormat/>
  </w:style>
  <w:style w:type="character" w:styleId="1152">
    <w:name w:val="locality"/>
    <w:next w:val="1152"/>
    <w:link w:val="1068"/>
    <w:qFormat/>
  </w:style>
  <w:style w:type="character" w:styleId="1153">
    <w:name w:val="正文文本缩进 Char1"/>
    <w:next w:val="1153"/>
    <w:link w:val="1154"/>
    <w:qFormat/>
    <w:rPr>
      <w:rFonts w:ascii="宋体" w:hAnsi="宋体" w:eastAsia="宋体"/>
      <w:sz w:val="24"/>
      <w:szCs w:val="24"/>
      <w:lang w:bidi="ar-SA"/>
    </w:rPr>
  </w:style>
  <w:style w:type="paragraph" w:styleId="1154">
    <w:name w:val="正文文本缩进1"/>
    <w:basedOn w:val="1068"/>
    <w:next w:val="1154"/>
    <w:link w:val="1153"/>
    <w:qFormat/>
    <w:pPr>
      <w:ind w:firstLine="480"/>
      <w:spacing w:line="480" w:lineRule="exact"/>
    </w:pPr>
    <w:rPr>
      <w:rFonts w:ascii="宋体" w:hAnsi="宋体"/>
      <w:sz w:val="24"/>
    </w:rPr>
  </w:style>
  <w:style w:type="character" w:styleId="1155">
    <w:name w:val="Char Char11"/>
    <w:next w:val="1155"/>
    <w:link w:val="1068"/>
    <w:qFormat/>
    <w:rPr>
      <w:rFonts w:ascii="宋体" w:eastAsia="宋体"/>
      <w:b/>
      <w:sz w:val="24"/>
      <w:u w:val="single"/>
      <w:lang w:val="en-US" w:eastAsia="zh-CN" w:bidi="ar-SA"/>
    </w:rPr>
  </w:style>
  <w:style w:type="character" w:styleId="1156">
    <w:name w:val="txt"/>
    <w:next w:val="1156"/>
    <w:link w:val="1068"/>
    <w:qFormat/>
  </w:style>
  <w:style w:type="character" w:styleId="1157">
    <w:name w:val="正文缩进 Char Char"/>
    <w:next w:val="1157"/>
    <w:link w:val="1158"/>
    <w:qFormat/>
    <w:rPr>
      <w:rFonts w:ascii="宋体" w:eastAsia="宋体"/>
      <w:color w:val="000000"/>
      <w:sz w:val="28"/>
      <w:lang w:bidi="ar-SA"/>
    </w:rPr>
  </w:style>
  <w:style w:type="paragraph" w:styleId="1158">
    <w:name w:val="正文缩进1"/>
    <w:basedOn w:val="1068"/>
    <w:next w:val="1158"/>
    <w:link w:val="1157"/>
    <w:qFormat/>
    <w:pPr>
      <w:ind w:firstLine="567"/>
      <w:spacing w:line="480" w:lineRule="exact"/>
      <w:widowControl/>
    </w:pPr>
    <w:rPr>
      <w:rFonts w:ascii="宋体"/>
      <w:color w:val="000000"/>
      <w:sz w:val="28"/>
      <w:szCs w:val="20"/>
    </w:rPr>
  </w:style>
  <w:style w:type="character" w:styleId="1159">
    <w:name w:val="普通文字1 Char1"/>
    <w:next w:val="1159"/>
    <w:link w:val="1068"/>
    <w:qFormat/>
    <w:rPr>
      <w:rFonts w:ascii="宋体" w:hAnsi="Courier New" w:eastAsia="宋体"/>
      <w:sz w:val="21"/>
      <w:lang w:val="en-US" w:eastAsia="zh-CN" w:bidi="ar-SA"/>
    </w:rPr>
  </w:style>
  <w:style w:type="character" w:styleId="1160">
    <w:name w:val="chanpin1"/>
    <w:next w:val="1160"/>
    <w:link w:val="1068"/>
    <w:qFormat/>
    <w:rPr>
      <w:rFonts w:ascii="ˎ̥" w:hAnsi="ˎ̥"/>
      <w:color w:val="000000"/>
      <w:sz w:val="20"/>
      <w:szCs w:val="20"/>
      <w:u w:val="none"/>
    </w:rPr>
  </w:style>
  <w:style w:type="character" w:styleId="1161">
    <w:name w:val="列表段落 字符"/>
    <w:next w:val="1161"/>
    <w:link w:val="1162"/>
    <w:uiPriority w:val="34"/>
    <w:qFormat/>
    <w:rPr>
      <w:rFonts w:ascii="Calibri" w:hAnsi="Calibri" w:eastAsia="宋体"/>
      <w:sz w:val="21"/>
      <w:szCs w:val="22"/>
      <w:lang w:val="en-US" w:eastAsia="zh-CN" w:bidi="ar-SA"/>
    </w:rPr>
  </w:style>
  <w:style w:type="paragraph" w:styleId="1162">
    <w:name w:val="列表段落"/>
    <w:basedOn w:val="1068"/>
    <w:next w:val="1162"/>
    <w:link w:val="1161"/>
    <w:uiPriority w:val="34"/>
    <w:qFormat/>
    <w:pPr>
      <w:ind w:firstLine="420"/>
    </w:pPr>
    <w:rPr>
      <w:rFonts w:ascii="Calibri" w:hAnsi="Calibri"/>
      <w:szCs w:val="22"/>
    </w:rPr>
  </w:style>
  <w:style w:type="character" w:styleId="1163">
    <w:name w:val="标题 3 Char Char"/>
    <w:next w:val="1163"/>
    <w:link w:val="1068"/>
    <w:qFormat/>
    <w:rPr>
      <w:rFonts w:eastAsia="宋体"/>
      <w:b/>
      <w:bCs/>
      <w:sz w:val="32"/>
      <w:szCs w:val="32"/>
      <w:lang w:val="en-US" w:eastAsia="zh-CN" w:bidi="ar-SA"/>
    </w:rPr>
  </w:style>
  <w:style w:type="character" w:styleId="1164">
    <w:name w:val="段1 Char"/>
    <w:next w:val="1164"/>
    <w:link w:val="1068"/>
    <w:qFormat/>
    <w:rPr>
      <w:rFonts w:ascii="宋体" w:eastAsia="宋体"/>
      <w:sz w:val="24"/>
      <w:lang w:val="en-US" w:eastAsia="zh-CN" w:bidi="ar-SA"/>
    </w:rPr>
  </w:style>
  <w:style w:type="character" w:styleId="1165">
    <w:name w:val="chanpin拷贝"/>
    <w:next w:val="1165"/>
    <w:link w:val="1068"/>
    <w:qFormat/>
  </w:style>
  <w:style w:type="character" w:styleId="1166">
    <w:name w:val="纯文本 Char1"/>
    <w:next w:val="1166"/>
    <w:link w:val="1068"/>
    <w:uiPriority w:val="99"/>
    <w:qFormat/>
    <w:rPr>
      <w:rFonts w:ascii="宋体" w:hAnsi="Courier New" w:eastAsia="宋体"/>
      <w:sz w:val="21"/>
      <w:lang w:val="en-US" w:eastAsia="zh-CN" w:bidi="ar-SA"/>
    </w:rPr>
  </w:style>
  <w:style w:type="character" w:styleId="1167">
    <w:name w:val="apple-style-span"/>
    <w:next w:val="1167"/>
    <w:link w:val="1068"/>
    <w:qFormat/>
    <w:rPr>
      <w:rFonts w:cs="Times New Roman"/>
    </w:rPr>
  </w:style>
  <w:style w:type="paragraph" w:styleId="1168">
    <w:name w:val="二级条标题"/>
    <w:basedOn w:val="1169"/>
    <w:next w:val="1068"/>
    <w:link w:val="1068"/>
    <w:qFormat/>
    <w:pPr>
      <w:numPr>
        <w:ilvl w:val="0"/>
        <w:numId w:val="0"/>
      </w:numPr>
      <w:ind w:hanging="840"/>
      <w:tabs>
        <w:tab w:val="left" w:pos="360" w:leader="none"/>
        <w:tab w:val="left" w:pos="840" w:leader="none"/>
      </w:tabs>
      <w:outlineLvl w:val="2"/>
    </w:pPr>
    <w:rPr>
      <w:rFonts w:ascii="宋体" w:eastAsia="宋体"/>
      <w:b w:val="0"/>
    </w:rPr>
  </w:style>
  <w:style w:type="paragraph" w:styleId="1169">
    <w:name w:val="一级条标题"/>
    <w:basedOn w:val="1170"/>
    <w:next w:val="1068"/>
    <w:link w:val="1068"/>
    <w:qFormat/>
    <w:pPr>
      <w:numPr>
        <w:ilvl w:val="1"/>
      </w:numPr>
      <w:ind w:left="0" w:hanging="840"/>
      <w:tabs>
        <w:tab w:val="left" w:pos="360" w:leader="none"/>
        <w:tab w:val="left" w:pos="840" w:leader="none"/>
      </w:tabs>
      <w:outlineLvl w:val="1"/>
    </w:pPr>
  </w:style>
  <w:style w:type="paragraph" w:styleId="1170">
    <w:name w:val="章标题"/>
    <w:next w:val="1068"/>
    <w:link w:val="106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1">
    <w:name w:val="font7"/>
    <w:basedOn w:val="1068"/>
    <w:next w:val="1171"/>
    <w:link w:val="1068"/>
    <w:qFormat/>
    <w:pPr>
      <w:jc w:val="left"/>
      <w:spacing w:before="100" w:beforeAutospacing="1" w:after="100" w:afterAutospacing="1"/>
      <w:widowControl/>
    </w:pPr>
    <w:rPr>
      <w:rFonts w:eastAsia="Arial Unicode MS"/>
      <w:b/>
      <w:bCs/>
      <w:color w:val="000000"/>
      <w:sz w:val="20"/>
      <w:szCs w:val="20"/>
    </w:rPr>
  </w:style>
  <w:style w:type="paragraph" w:styleId="1172">
    <w:name w:val="字元 字元"/>
    <w:basedOn w:val="1068"/>
    <w:next w:val="1172"/>
    <w:link w:val="1068"/>
    <w:qFormat/>
    <w:rPr>
      <w:rFonts w:ascii="Tahoma" w:hAnsi="Tahoma"/>
      <w:sz w:val="24"/>
      <w:szCs w:val="20"/>
    </w:rPr>
  </w:style>
  <w:style w:type="paragraph" w:styleId="1173">
    <w:name w:val="Char3 Char Char Char"/>
    <w:basedOn w:val="1068"/>
    <w:next w:val="1173"/>
    <w:link w:val="1068"/>
    <w:qFormat/>
    <w:rPr>
      <w:rFonts w:ascii="Tahoma" w:hAnsi="Tahoma"/>
      <w:sz w:val="24"/>
      <w:szCs w:val="20"/>
    </w:rPr>
  </w:style>
  <w:style w:type="paragraph" w:styleId="1174">
    <w:name w:val="font6"/>
    <w:basedOn w:val="1068"/>
    <w:next w:val="1174"/>
    <w:link w:val="1068"/>
    <w:qFormat/>
    <w:pPr>
      <w:jc w:val="left"/>
      <w:spacing w:before="100" w:beforeAutospacing="1" w:after="100" w:afterAutospacing="1"/>
      <w:widowControl/>
    </w:pPr>
    <w:rPr>
      <w:rFonts w:ascii="宋体" w:hAnsi="宋体" w:cs="宋体"/>
      <w:sz w:val="20"/>
      <w:szCs w:val="20"/>
    </w:rPr>
  </w:style>
  <w:style w:type="paragraph" w:styleId="1175">
    <w:name w:val="项目编号2"/>
    <w:basedOn w:val="1176"/>
    <w:next w:val="1175"/>
    <w:link w:val="1068"/>
    <w:qFormat/>
    <w:pPr>
      <w:numPr>
        <w:numId w:val="3"/>
      </w:numPr>
    </w:pPr>
  </w:style>
  <w:style w:type="paragraph" w:styleId="1176">
    <w:name w:val="项目编号1"/>
    <w:basedOn w:val="1068"/>
    <w:next w:val="1176"/>
    <w:link w:val="1068"/>
    <w:qFormat/>
    <w:pPr>
      <w:numPr>
        <w:ilvl w:val="0"/>
        <w:numId w:val="2"/>
      </w:numPr>
      <w:spacing w:before="100" w:beforeAutospacing="1" w:after="100" w:afterAutospacing="1" w:line="360" w:lineRule="auto"/>
    </w:pPr>
    <w:rPr>
      <w:sz w:val="24"/>
    </w:rPr>
  </w:style>
  <w:style w:type="paragraph" w:styleId="1177">
    <w:name w:val="图中文字"/>
    <w:basedOn w:val="1068"/>
    <w:next w:val="1177"/>
    <w:link w:val="1068"/>
    <w:qFormat/>
    <w:pPr>
      <w:jc w:val="center"/>
      <w:spacing w:line="0" w:lineRule="atLeast"/>
    </w:pPr>
    <w:rPr>
      <w:sz w:val="24"/>
      <w:szCs w:val="20"/>
    </w:rPr>
  </w:style>
  <w:style w:type="paragraph" w:styleId="1178">
    <w:name w:val="xl46"/>
    <w:basedOn w:val="1068"/>
    <w:next w:val="1178"/>
    <w:link w:val="106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9">
    <w:name w:val="xl25"/>
    <w:basedOn w:val="1068"/>
    <w:next w:val="1179"/>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2"/>
    <w:basedOn w:val="1068"/>
    <w:next w:val="1180"/>
    <w:link w:val="1068"/>
    <w:qFormat/>
    <w:rPr>
      <w:rFonts w:ascii="Tahoma" w:hAnsi="Tahoma"/>
      <w:sz w:val="24"/>
      <w:szCs w:val="20"/>
    </w:rPr>
  </w:style>
  <w:style w:type="paragraph" w:styleId="1181">
    <w:name w:val="xl35"/>
    <w:basedOn w:val="1068"/>
    <w:next w:val="1181"/>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2">
    <w:name w:val="xl40"/>
    <w:basedOn w:val="1068"/>
    <w:next w:val="118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name w:val="xl52"/>
    <w:basedOn w:val="1068"/>
    <w:next w:val="118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4">
    <w:name w:val="xl43"/>
    <w:basedOn w:val="1068"/>
    <w:next w:val="1184"/>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5">
    <w:name w:val="background1"/>
    <w:basedOn w:val="1068"/>
    <w:next w:val="1185"/>
    <w:link w:val="1068"/>
    <w:qFormat/>
    <w:pPr>
      <w:jc w:val="left"/>
      <w:spacing w:before="100" w:beforeAutospacing="1" w:after="100" w:afterAutospacing="1"/>
      <w:widowControl/>
    </w:pPr>
    <w:rPr>
      <w:rFonts w:ascii="宋体" w:hAnsi="宋体" w:cs="宋体"/>
      <w:sz w:val="24"/>
    </w:rPr>
  </w:style>
  <w:style w:type="paragraph" w:styleId="1186">
    <w:name w:val="Char Char Char Char Char Char Char"/>
    <w:basedOn w:val="1068"/>
    <w:next w:val="1186"/>
    <w:link w:val="1068"/>
    <w:qFormat/>
    <w:pPr>
      <w:ind w:firstLine="200"/>
      <w:spacing w:line="360" w:lineRule="auto"/>
    </w:pPr>
    <w:rPr>
      <w:rFonts w:eastAsia="仿宋_GB2312"/>
      <w:sz w:val="24"/>
    </w:rPr>
  </w:style>
  <w:style w:type="paragraph" w:styleId="1187">
    <w:name w:val="xl38"/>
    <w:basedOn w:val="1068"/>
    <w:next w:val="1187"/>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8">
    <w:name w:val="xl36"/>
    <w:basedOn w:val="1068"/>
    <w:next w:val="1188"/>
    <w:link w:val="106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name w:val="正文 + 宋体"/>
    <w:basedOn w:val="1068"/>
    <w:next w:val="1189"/>
    <w:link w:val="1068"/>
    <w:qFormat/>
    <w:pPr>
      <w:ind w:left="360" w:hanging="360"/>
      <w:jc w:val="left"/>
      <w:widowControl/>
    </w:pPr>
    <w:rPr>
      <w:rFonts w:ascii="宋体" w:hAnsi="宋体" w:cs="宋体"/>
      <w:b/>
      <w:bCs/>
      <w:color w:val="000000"/>
      <w:sz w:val="18"/>
      <w:szCs w:val="18"/>
    </w:rPr>
  </w:style>
  <w:style w:type="paragraph" w:styleId="1190">
    <w:name w:val="正文列项_数字"/>
    <w:basedOn w:val="1068"/>
    <w:next w:val="1190"/>
    <w:link w:val="1068"/>
    <w:qFormat/>
    <w:pPr>
      <w:numPr>
        <w:ilvl w:val="7"/>
        <w:numId w:val="1"/>
      </w:numPr>
      <w:ind w:left="680" w:hanging="150"/>
      <w:spacing w:line="460" w:lineRule="exact"/>
      <w:tabs>
        <w:tab w:val="clear" w:pos="860" w:leader="none"/>
      </w:tabs>
      <w:outlineLvl w:val="7"/>
    </w:pPr>
    <w:rPr>
      <w:rFonts w:ascii="宋体"/>
      <w:sz w:val="28"/>
      <w:szCs w:val="20"/>
    </w:rPr>
  </w:style>
  <w:style w:type="paragraph" w:styleId="1191">
    <w:name w:val="xl39"/>
    <w:basedOn w:val="1068"/>
    <w:next w:val="119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37"/>
    <w:basedOn w:val="1068"/>
    <w:next w:val="1192"/>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xl32"/>
    <w:basedOn w:val="1068"/>
    <w:next w:val="119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font8"/>
    <w:basedOn w:val="1068"/>
    <w:next w:val="1194"/>
    <w:link w:val="1068"/>
    <w:qFormat/>
    <w:pPr>
      <w:jc w:val="left"/>
      <w:spacing w:before="100" w:beforeAutospacing="1" w:after="100" w:afterAutospacing="1"/>
      <w:widowControl/>
    </w:pPr>
    <w:rPr>
      <w:sz w:val="36"/>
      <w:szCs w:val="36"/>
    </w:rPr>
  </w:style>
  <w:style w:type="paragraph" w:styleId="1195">
    <w:name w:val="Char"/>
    <w:basedOn w:val="1068"/>
    <w:next w:val="1195"/>
    <w:link w:val="1068"/>
    <w:qFormat/>
    <w:pPr>
      <w:tabs>
        <w:tab w:val="left" w:pos="360" w:leader="none"/>
      </w:tabs>
    </w:pPr>
    <w:rPr>
      <w:sz w:val="24"/>
    </w:rPr>
  </w:style>
  <w:style w:type="paragraph" w:styleId="1196">
    <w:name w:val="Char Char Char Char Char Char Char Char Char Char Char Char Char Char Char Char"/>
    <w:basedOn w:val="1068"/>
    <w:next w:val="1196"/>
    <w:link w:val="1068"/>
    <w:qFormat/>
    <w:pPr>
      <w:jc w:val="center"/>
      <w:spacing w:after="160" w:line="240" w:lineRule="exact"/>
      <w:widowControl/>
    </w:pPr>
    <w:rPr>
      <w:rFonts w:ascii="宋体" w:hAnsi="宋体"/>
      <w:b/>
      <w:sz w:val="30"/>
      <w:szCs w:val="30"/>
      <w:lang w:eastAsia="en-US"/>
    </w:rPr>
  </w:style>
  <w:style w:type="paragraph" w:styleId="1197">
    <w:name w:val="xl45"/>
    <w:basedOn w:val="1068"/>
    <w:next w:val="1197"/>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8">
    <w:name w:val="Char Char1 Char Char Char Char Char Char"/>
    <w:basedOn w:val="1068"/>
    <w:next w:val="1198"/>
    <w:link w:val="1068"/>
    <w:qFormat/>
    <w:pPr>
      <w:jc w:val="left"/>
      <w:spacing w:after="160" w:line="240" w:lineRule="exact"/>
      <w:widowControl/>
    </w:pPr>
    <w:rPr>
      <w:rFonts w:ascii="Verdana" w:hAnsi="Verdana" w:eastAsia="仿宋_GB2312"/>
      <w:sz w:val="24"/>
      <w:szCs w:val="20"/>
      <w:lang w:eastAsia="en-US"/>
    </w:rPr>
  </w:style>
  <w:style w:type="paragraph" w:styleId="1199">
    <w:name w:val="Char Char1"/>
    <w:basedOn w:val="1095"/>
    <w:next w:val="1199"/>
    <w:link w:val="1068"/>
    <w:qFormat/>
    <w:rPr>
      <w:rFonts w:ascii="Tahoma" w:hAnsi="Tahoma"/>
      <w:sz w:val="24"/>
    </w:rPr>
  </w:style>
  <w:style w:type="paragraph" w:styleId="1200">
    <w:name w:val="xl26"/>
    <w:basedOn w:val="1068"/>
    <w:next w:val="1200"/>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1">
    <w:name w:val="xl30"/>
    <w:basedOn w:val="1068"/>
    <w:next w:val="1201"/>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xl41"/>
    <w:basedOn w:val="1068"/>
    <w:next w:val="1202"/>
    <w:link w:val="10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样式 宋体 五号 行距: 单倍行距"/>
    <w:basedOn w:val="1068"/>
    <w:next w:val="1203"/>
    <w:link w:val="1068"/>
    <w:qFormat/>
    <w:pPr>
      <w:jc w:val="left"/>
    </w:pPr>
    <w:rPr>
      <w:rFonts w:ascii="宋体" w:hAnsi="宋体"/>
      <w:szCs w:val="20"/>
    </w:rPr>
  </w:style>
  <w:style w:type="paragraph" w:styleId="1204">
    <w:name w:val="Char1 Char Char Char1"/>
    <w:basedOn w:val="1068"/>
    <w:next w:val="1204"/>
    <w:link w:val="1068"/>
    <w:qFormat/>
    <w:rPr>
      <w:rFonts w:ascii="Tahoma" w:hAnsi="Tahoma" w:cs="仿宋_GB2312"/>
      <w:sz w:val="24"/>
      <w:szCs w:val="28"/>
    </w:rPr>
  </w:style>
  <w:style w:type="paragraph" w:styleId="1205">
    <w:name w:val="四级条标题"/>
    <w:basedOn w:val="1206"/>
    <w:next w:val="1068"/>
    <w:link w:val="1068"/>
    <w:qFormat/>
    <w:pPr>
      <w:numPr>
        <w:ilvl w:val="4"/>
      </w:numPr>
      <w:ind w:left="0" w:hanging="840"/>
      <w:tabs>
        <w:tab w:val="left" w:pos="360" w:leader="none"/>
        <w:tab w:val="left" w:pos="840" w:leader="none"/>
      </w:tabs>
      <w:outlineLvl w:val="4"/>
    </w:pPr>
  </w:style>
  <w:style w:type="paragraph" w:styleId="1206">
    <w:name w:val="三级条标题"/>
    <w:basedOn w:val="1168"/>
    <w:next w:val="1068"/>
    <w:link w:val="1068"/>
    <w:qFormat/>
    <w:pPr>
      <w:numPr>
        <w:ilvl w:val="3"/>
        <w:numId w:val="1"/>
      </w:numPr>
      <w:ind w:left="0" w:hanging="840"/>
      <w:tabs>
        <w:tab w:val="left" w:pos="360" w:leader="none"/>
        <w:tab w:val="left" w:pos="840" w:leader="none"/>
      </w:tabs>
      <w:outlineLvl w:val="3"/>
    </w:pPr>
  </w:style>
  <w:style w:type="paragraph" w:styleId="1207">
    <w:name w:val="??"/>
    <w:next w:val="1207"/>
    <w:link w:val="1068"/>
    <w:qFormat/>
    <w:pPr>
      <w:jc w:val="both"/>
      <w:widowControl w:val="off"/>
    </w:pPr>
    <w:rPr>
      <w:sz w:val="21"/>
      <w:lang w:val="en-US" w:eastAsia="en-US" w:bidi="ar-SA"/>
    </w:rPr>
  </w:style>
  <w:style w:type="paragraph" w:styleId="1208">
    <w:name w:val="样式 标题 2 + 宋体 五号 行距: 单倍行距"/>
    <w:basedOn w:val="1070"/>
    <w:next w:val="1208"/>
    <w:link w:val="106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9">
    <w:name w:val="List Paragraph1"/>
    <w:basedOn w:val="1068"/>
    <w:next w:val="1209"/>
    <w:link w:val="1068"/>
    <w:qFormat/>
    <w:pPr>
      <w:ind w:firstLine="420"/>
    </w:pPr>
    <w:rPr>
      <w:rFonts w:ascii="Calibri" w:hAnsi="Calibri"/>
      <w:szCs w:val="22"/>
    </w:rPr>
  </w:style>
  <w:style w:type="paragraph" w:styleId="1210">
    <w:name w:val="项目符号1"/>
    <w:basedOn w:val="1211"/>
    <w:next w:val="1210"/>
    <w:link w:val="1068"/>
    <w:qFormat/>
    <w:pPr>
      <w:ind w:left="-25" w:firstLine="0"/>
    </w:pPr>
  </w:style>
  <w:style w:type="paragraph" w:styleId="1211">
    <w:name w:val="正文文本样式"/>
    <w:basedOn w:val="1068"/>
    <w:next w:val="1211"/>
    <w:link w:val="1068"/>
    <w:qFormat/>
    <w:pPr>
      <w:ind w:firstLine="482"/>
      <w:spacing w:line="360" w:lineRule="auto"/>
    </w:pPr>
    <w:rPr>
      <w:rFonts w:cs="宋体"/>
      <w:sz w:val="24"/>
      <w:szCs w:val="20"/>
    </w:rPr>
  </w:style>
  <w:style w:type="paragraph" w:styleId="1212">
    <w:name w:val="xl27"/>
    <w:basedOn w:val="1068"/>
    <w:next w:val="121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3">
    <w:name w:val="font5"/>
    <w:basedOn w:val="1068"/>
    <w:next w:val="1213"/>
    <w:link w:val="1068"/>
    <w:qFormat/>
    <w:pPr>
      <w:jc w:val="left"/>
      <w:spacing w:before="100" w:beforeAutospacing="1" w:after="100" w:afterAutospacing="1"/>
      <w:widowControl/>
    </w:pPr>
    <w:rPr>
      <w:rFonts w:ascii="宋体" w:hAnsi="宋体" w:cs="宋体"/>
      <w:sz w:val="18"/>
      <w:szCs w:val="18"/>
    </w:rPr>
  </w:style>
  <w:style w:type="paragraph" w:styleId="1214">
    <w:name w:val="五级条标题"/>
    <w:basedOn w:val="1205"/>
    <w:next w:val="1068"/>
    <w:link w:val="1068"/>
    <w:qFormat/>
    <w:pPr>
      <w:numPr>
        <w:ilvl w:val="5"/>
      </w:numPr>
      <w:ind w:left="0" w:hanging="840"/>
      <w:tabs>
        <w:tab w:val="left" w:pos="360" w:leader="none"/>
        <w:tab w:val="left" w:pos="840" w:leader="none"/>
      </w:tabs>
      <w:outlineLvl w:val="5"/>
    </w:pPr>
  </w:style>
  <w:style w:type="paragraph" w:styleId="1215">
    <w:name w:val="xl49"/>
    <w:basedOn w:val="1068"/>
    <w:next w:val="1215"/>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6">
    <w:name w:val="文档正文"/>
    <w:basedOn w:val="1068"/>
    <w:next w:val="1216"/>
    <w:link w:val="1068"/>
    <w:qFormat/>
    <w:pPr>
      <w:spacing w:before="120" w:after="120" w:line="180" w:lineRule="auto"/>
    </w:pPr>
    <w:rPr>
      <w:rFonts w:ascii="Arial" w:hAnsi="Arial"/>
      <w:szCs w:val="20"/>
    </w:rPr>
  </w:style>
  <w:style w:type="paragraph" w:styleId="1217">
    <w:name w:val="xl33"/>
    <w:basedOn w:val="1068"/>
    <w:next w:val="1217"/>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xl42"/>
    <w:basedOn w:val="1068"/>
    <w:next w:val="1218"/>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9">
    <w:name w:val="Char Char Char1 Char"/>
    <w:basedOn w:val="1068"/>
    <w:next w:val="1219"/>
    <w:link w:val="1068"/>
    <w:qFormat/>
    <w:rPr>
      <w:rFonts w:ascii="Tahoma" w:hAnsi="Tahoma"/>
      <w:sz w:val="24"/>
      <w:szCs w:val="20"/>
    </w:rPr>
  </w:style>
  <w:style w:type="paragraph" w:styleId="1220">
    <w:name w:val="xl44"/>
    <w:basedOn w:val="1068"/>
    <w:next w:val="1220"/>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1">
    <w:name w:val="1名"/>
    <w:basedOn w:val="1068"/>
    <w:next w:val="1221"/>
    <w:link w:val="1068"/>
    <w:qFormat/>
    <w:pPr>
      <w:numPr>
        <w:ilvl w:val="0"/>
        <w:numId w:val="5"/>
      </w:numPr>
      <w:spacing w:before="120"/>
      <w:tabs>
        <w:tab w:val="left" w:pos="360" w:leader="none"/>
      </w:tabs>
    </w:pPr>
    <w:rPr>
      <w:rFonts w:ascii="宋体"/>
      <w:sz w:val="28"/>
      <w:szCs w:val="20"/>
    </w:rPr>
  </w:style>
  <w:style w:type="paragraph" w:styleId="1222">
    <w:name w:val="font9"/>
    <w:basedOn w:val="1068"/>
    <w:next w:val="1222"/>
    <w:link w:val="1068"/>
    <w:qFormat/>
    <w:pPr>
      <w:jc w:val="left"/>
      <w:spacing w:before="100" w:beforeAutospacing="1" w:after="100" w:afterAutospacing="1"/>
      <w:widowControl/>
    </w:pPr>
    <w:rPr>
      <w:rFonts w:hint="eastAsia" w:ascii="宋体" w:hAnsi="宋体" w:cs="Arial Unicode MS"/>
      <w:color w:val="000000"/>
      <w:sz w:val="20"/>
      <w:szCs w:val="20"/>
    </w:rPr>
  </w:style>
  <w:style w:type="paragraph" w:styleId="1223">
    <w:name w:val="Char Char Char1 Char1"/>
    <w:basedOn w:val="1068"/>
    <w:next w:val="1223"/>
    <w:link w:val="1068"/>
    <w:qFormat/>
    <w:rPr>
      <w:rFonts w:ascii="Tahoma" w:hAnsi="Tahoma"/>
      <w:sz w:val="24"/>
      <w:szCs w:val="20"/>
    </w:rPr>
  </w:style>
  <w:style w:type="paragraph" w:styleId="1224">
    <w:name w:val="Char Char Char Char Char Char Char Char Char Char"/>
    <w:basedOn w:val="1068"/>
    <w:next w:val="1224"/>
    <w:link w:val="1068"/>
    <w:qFormat/>
  </w:style>
  <w:style w:type="paragraph" w:styleId="1225">
    <w:name w:val="Char Char1 Char Char Char Char Char Char Char Char"/>
    <w:basedOn w:val="1068"/>
    <w:next w:val="1225"/>
    <w:link w:val="1068"/>
    <w:qFormat/>
    <w:pPr>
      <w:jc w:val="left"/>
      <w:spacing w:after="160" w:line="240" w:lineRule="exact"/>
      <w:widowControl/>
    </w:pPr>
    <w:rPr>
      <w:rFonts w:ascii="Verdana" w:hAnsi="Verdana"/>
      <w:sz w:val="20"/>
      <w:szCs w:val="20"/>
      <w:lang w:eastAsia="en-US"/>
    </w:rPr>
  </w:style>
  <w:style w:type="paragraph" w:styleId="1226">
    <w:name w:val="Char1"/>
    <w:basedOn w:val="1068"/>
    <w:next w:val="1226"/>
    <w:link w:val="1068"/>
    <w:qFormat/>
    <w:pPr>
      <w:tabs>
        <w:tab w:val="left" w:pos="360" w:leader="none"/>
      </w:tabs>
    </w:pPr>
    <w:rPr>
      <w:sz w:val="24"/>
    </w:rPr>
  </w:style>
  <w:style w:type="paragraph" w:styleId="1227">
    <w:name w:val="正文列项_字母"/>
    <w:basedOn w:val="1068"/>
    <w:next w:val="1227"/>
    <w:link w:val="1068"/>
    <w:qFormat/>
    <w:pPr>
      <w:numPr>
        <w:ilvl w:val="6"/>
        <w:numId w:val="1"/>
      </w:numPr>
      <w:ind w:left="480" w:hanging="180"/>
      <w:spacing w:line="460" w:lineRule="exact"/>
      <w:tabs>
        <w:tab w:val="clear" w:pos="635" w:leader="none"/>
      </w:tabs>
      <w:outlineLvl w:val="6"/>
    </w:pPr>
    <w:rPr>
      <w:rFonts w:ascii="宋体"/>
      <w:sz w:val="28"/>
      <w:szCs w:val="20"/>
    </w:rPr>
  </w:style>
  <w:style w:type="paragraph" w:styleId="1228">
    <w:name w:val="xl28"/>
    <w:basedOn w:val="1068"/>
    <w:next w:val="1228"/>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9">
    <w:name w:val="xl47"/>
    <w:basedOn w:val="1068"/>
    <w:next w:val="1229"/>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默认段落字体 Para Char Char Char Char"/>
    <w:basedOn w:val="1068"/>
    <w:next w:val="1230"/>
    <w:link w:val="1068"/>
    <w:qFormat/>
    <w:rPr>
      <w:rFonts w:ascii="Arial" w:hAnsi="Arial" w:cs="Arial"/>
      <w:szCs w:val="21"/>
    </w:rPr>
  </w:style>
  <w:style w:type="paragraph" w:styleId="1231">
    <w:name w:val="xl48"/>
    <w:basedOn w:val="1068"/>
    <w:next w:val="123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2">
    <w:name w:val="xl31"/>
    <w:basedOn w:val="1068"/>
    <w:next w:val="1232"/>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xl53"/>
    <w:basedOn w:val="1068"/>
    <w:next w:val="123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Char Char Char"/>
    <w:basedOn w:val="1068"/>
    <w:next w:val="1234"/>
    <w:link w:val="1068"/>
    <w:qFormat/>
    <w:rPr>
      <w:rFonts w:ascii="Tahoma" w:hAnsi="Tahoma"/>
      <w:sz w:val="24"/>
      <w:szCs w:val="20"/>
    </w:rPr>
  </w:style>
  <w:style w:type="paragraph" w:styleId="1235">
    <w:name w:val="xl50"/>
    <w:basedOn w:val="1068"/>
    <w:next w:val="1235"/>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6">
    <w:name w:val="缺省文本"/>
    <w:basedOn w:val="1068"/>
    <w:next w:val="1236"/>
    <w:link w:val="1068"/>
    <w:qFormat/>
    <w:pPr>
      <w:jc w:val="left"/>
    </w:pPr>
    <w:rPr>
      <w:sz w:val="24"/>
    </w:rPr>
  </w:style>
  <w:style w:type="paragraph" w:styleId="1237">
    <w:name w:val="Char Char Char1"/>
    <w:basedOn w:val="1068"/>
    <w:next w:val="1237"/>
    <w:link w:val="1068"/>
    <w:qFormat/>
    <w:rPr>
      <w:rFonts w:ascii="Tahoma" w:hAnsi="Tahoma"/>
      <w:sz w:val="24"/>
      <w:szCs w:val="20"/>
    </w:rPr>
  </w:style>
  <w:style w:type="paragraph" w:styleId="1238">
    <w:name w:val="Char Char Char Char Char Char Char1"/>
    <w:basedOn w:val="1068"/>
    <w:next w:val="1238"/>
    <w:link w:val="1068"/>
    <w:qFormat/>
    <w:pPr>
      <w:ind w:firstLine="200"/>
      <w:spacing w:line="360" w:lineRule="auto"/>
    </w:pPr>
    <w:rPr>
      <w:rFonts w:eastAsia="仿宋_GB2312"/>
      <w:sz w:val="24"/>
    </w:rPr>
  </w:style>
  <w:style w:type="paragraph" w:styleId="1239">
    <w:name w:val="xl51"/>
    <w:basedOn w:val="1068"/>
    <w:next w:val="1239"/>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样式2"/>
    <w:basedOn w:val="1130"/>
    <w:next w:val="1240"/>
    <w:link w:val="1068"/>
    <w:qFormat/>
    <w:pPr>
      <w:jc w:val="center"/>
      <w:spacing w:line="360" w:lineRule="auto"/>
    </w:pPr>
    <w:rPr>
      <w:sz w:val="24"/>
    </w:rPr>
  </w:style>
  <w:style w:type="paragraph" w:styleId="1241">
    <w:name w:val="xl24"/>
    <w:basedOn w:val="1068"/>
    <w:next w:val="1241"/>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xl29"/>
    <w:basedOn w:val="1068"/>
    <w:next w:val="124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3">
    <w:name w:val="正文 + 楷体_GB2312"/>
    <w:basedOn w:val="1068"/>
    <w:next w:val="1243"/>
    <w:link w:val="1068"/>
    <w:qFormat/>
    <w:pPr>
      <w:jc w:val="left"/>
      <w:widowControl/>
    </w:pPr>
    <w:rPr>
      <w:rFonts w:ascii="楷体_GB2312" w:eastAsia="楷体_GB2312" w:cs="Arial"/>
      <w:sz w:val="24"/>
    </w:rPr>
  </w:style>
  <w:style w:type="paragraph" w:styleId="1244">
    <w:name w:val="xl34"/>
    <w:basedOn w:val="1068"/>
    <w:next w:val="1244"/>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5">
    <w:name w:val="1 Char Char Char Char"/>
    <w:basedOn w:val="1068"/>
    <w:next w:val="1245"/>
    <w:link w:val="1068"/>
    <w:qFormat/>
    <w:rPr>
      <w:rFonts w:ascii="Tahoma" w:hAnsi="Tahoma"/>
      <w:sz w:val="24"/>
      <w:szCs w:val="20"/>
    </w:rPr>
  </w:style>
  <w:style w:type="paragraph" w:styleId="1246">
    <w:name w:val="Default"/>
    <w:next w:val="1246"/>
    <w:link w:val="1068"/>
    <w:qFormat/>
    <w:pPr>
      <w:widowControl w:val="off"/>
    </w:pPr>
    <w:rPr>
      <w:rFonts w:ascii="Symbol" w:hAnsi="Symbol" w:cs="Symbol"/>
      <w:color w:val="000000"/>
      <w:sz w:val="24"/>
      <w:szCs w:val="24"/>
      <w:lang w:val="en-US" w:eastAsia="zh-CN" w:bidi="ar-SA"/>
    </w:rPr>
  </w:style>
  <w:style w:type="paragraph" w:styleId="1247">
    <w:name w:val="列出段落1"/>
    <w:basedOn w:val="1068"/>
    <w:next w:val="1247"/>
    <w:link w:val="1068"/>
    <w:qFormat/>
    <w:pPr>
      <w:ind w:firstLine="420"/>
    </w:pPr>
    <w:rPr>
      <w:rFonts w:ascii="Calibri" w:hAnsi="Calibri"/>
      <w:szCs w:val="22"/>
    </w:rPr>
  </w:style>
  <w:style w:type="paragraph" w:styleId="1248">
    <w:name w:val="default"/>
    <w:basedOn w:val="1068"/>
    <w:next w:val="1248"/>
    <w:link w:val="1068"/>
    <w:qFormat/>
    <w:pPr>
      <w:jc w:val="left"/>
      <w:spacing w:before="100" w:beforeAutospacing="1" w:after="100" w:afterAutospacing="1"/>
      <w:widowControl/>
    </w:pPr>
    <w:rPr>
      <w:rFonts w:ascii="宋体" w:hAnsi="宋体" w:cs="宋体"/>
      <w:sz w:val="24"/>
    </w:rPr>
  </w:style>
  <w:style w:type="paragraph" w:styleId="1249">
    <w:name w:val="字元 字元1"/>
    <w:basedOn w:val="1068"/>
    <w:next w:val="1249"/>
    <w:link w:val="1068"/>
    <w:qFormat/>
    <w:rPr>
      <w:rFonts w:ascii="Tahoma" w:hAnsi="Tahoma"/>
      <w:sz w:val="24"/>
      <w:szCs w:val="20"/>
    </w:rPr>
  </w:style>
  <w:style w:type="paragraph" w:styleId="1250">
    <w:name w:val="_Style 160"/>
    <w:next w:val="1250"/>
    <w:link w:val="1068"/>
    <w:qFormat/>
    <w:rPr>
      <w:sz w:val="21"/>
      <w:szCs w:val="24"/>
      <w:lang w:val="en-US" w:eastAsia="zh-CN" w:bidi="ar-SA"/>
    </w:rPr>
  </w:style>
  <w:style w:type="paragraph" w:styleId="1251">
    <w:name w:val="项目编号3"/>
    <w:basedOn w:val="1211"/>
    <w:next w:val="1251"/>
    <w:link w:val="1068"/>
    <w:qFormat/>
    <w:pPr>
      <w:numPr>
        <w:ilvl w:val="0"/>
        <w:numId w:val="6"/>
      </w:numPr>
    </w:pPr>
  </w:style>
  <w:style w:type="paragraph" w:styleId="1252">
    <w:name w:val="Char21"/>
    <w:basedOn w:val="1068"/>
    <w:next w:val="1252"/>
    <w:link w:val="1068"/>
    <w:qFormat/>
    <w:rPr>
      <w:rFonts w:ascii="Tahoma" w:hAnsi="Tahoma"/>
      <w:sz w:val="24"/>
      <w:szCs w:val="20"/>
    </w:rPr>
  </w:style>
  <w:style w:type="paragraph" w:styleId="1253">
    <w:name w:val="表格文字"/>
    <w:basedOn w:val="1101"/>
    <w:next w:val="1253"/>
    <w:link w:val="1068"/>
    <w:qFormat/>
    <w:pPr>
      <w:ind w:firstLine="0"/>
      <w:spacing w:before="20" w:after="20" w:line="240" w:lineRule="auto"/>
    </w:pPr>
    <w:rPr>
      <w:rFonts w:ascii="Century Gothic" w:hAnsi="Century Gothic"/>
      <w:sz w:val="20"/>
      <w:szCs w:val="20"/>
    </w:rPr>
  </w:style>
  <w:style w:type="paragraph" w:styleId="1254">
    <w:name w:val="Char Char Char Char Char Char Char Char Char Char1"/>
    <w:basedOn w:val="1068"/>
    <w:next w:val="1254"/>
    <w:link w:val="1068"/>
    <w:qFormat/>
    <w:rPr>
      <w:rFonts w:ascii="宋体" w:hAnsi="宋体" w:cs="Courier New"/>
      <w:sz w:val="32"/>
      <w:szCs w:val="32"/>
    </w:rPr>
  </w:style>
  <w:style w:type="paragraph" w:styleId="1255">
    <w:name w:val="正文文本样式 加粗"/>
    <w:basedOn w:val="1211"/>
    <w:next w:val="1255"/>
    <w:link w:val="1068"/>
    <w:qFormat/>
    <w:rPr>
      <w:b/>
    </w:rPr>
  </w:style>
  <w:style w:type="paragraph" w:styleId="1256">
    <w:name w:val="Char2 Char Char Char Char Char Char"/>
    <w:basedOn w:val="1068"/>
    <w:next w:val="1256"/>
    <w:link w:val="1068"/>
    <w:qFormat/>
    <w:pPr>
      <w:jc w:val="center"/>
      <w:spacing w:line="400" w:lineRule="exact"/>
      <w:widowControl/>
    </w:pPr>
  </w:style>
  <w:style w:type="paragraph" w:styleId="1257">
    <w:name w:val="Char Char4"/>
    <w:basedOn w:val="1068"/>
    <w:next w:val="1257"/>
    <w:link w:val="1068"/>
    <w:qFormat/>
    <w:pPr>
      <w:jc w:val="center"/>
      <w:spacing w:line="400" w:lineRule="exact"/>
      <w:widowControl/>
    </w:pPr>
  </w:style>
  <w:style w:type="paragraph" w:styleId="1258">
    <w:name w:val="Char3 Char Char Char1"/>
    <w:basedOn w:val="1068"/>
    <w:next w:val="1258"/>
    <w:link w:val="1068"/>
    <w:qFormat/>
    <w:rPr>
      <w:rFonts w:ascii="Tahoma" w:hAnsi="Tahoma"/>
      <w:sz w:val="24"/>
      <w:szCs w:val="20"/>
    </w:rPr>
  </w:style>
  <w:style w:type="paragraph" w:styleId="1259">
    <w:name w:val="无间隔"/>
    <w:next w:val="1259"/>
    <w:link w:val="1068"/>
    <w:qFormat/>
    <w:pPr>
      <w:jc w:val="both"/>
      <w:widowControl w:val="off"/>
    </w:pPr>
    <w:rPr>
      <w:sz w:val="21"/>
      <w:szCs w:val="24"/>
      <w:lang w:val="en-US" w:eastAsia="zh-CN" w:bidi="ar-SA"/>
    </w:rPr>
  </w:style>
  <w:style w:type="paragraph" w:styleId="1260">
    <w:name w:val="22222222222222"/>
    <w:basedOn w:val="1068"/>
    <w:next w:val="1260"/>
    <w:link w:val="1068"/>
    <w:qFormat/>
    <w:pPr>
      <w:ind w:firstLine="480"/>
      <w:jc w:val="left"/>
      <w:spacing w:line="360" w:lineRule="auto"/>
      <w:widowControl/>
    </w:pPr>
    <w:rPr>
      <w:color w:val="ff0000"/>
      <w:sz w:val="24"/>
      <w:szCs w:val="20"/>
    </w:rPr>
  </w:style>
  <w:style w:type="character" w:styleId="1261">
    <w:name w:val="中等深浅网格 1 - 强调文字颜色 2 Char"/>
    <w:next w:val="1261"/>
    <w:link w:val="1262"/>
    <w:qFormat/>
    <w:rPr>
      <w:sz w:val="21"/>
      <w:szCs w:val="24"/>
      <w:lang w:val="zh-CN" w:eastAsia="zh-CN" w:bidi="ar-SA"/>
    </w:rPr>
  </w:style>
  <w:style w:type="paragraph" w:styleId="1262">
    <w:name w:val="1"/>
    <w:next w:val="1262"/>
    <w:link w:val="1261"/>
    <w:qFormat/>
    <w:rPr>
      <w:sz w:val="21"/>
      <w:szCs w:val="24"/>
      <w:lang w:val="zh-CN" w:eastAsia="zh-CN" w:bidi="ar-SA"/>
    </w:rPr>
  </w:style>
  <w:style w:type="paragraph" w:styleId="1263">
    <w:name w:val="图文"/>
    <w:basedOn w:val="1068"/>
    <w:next w:val="1263"/>
    <w:link w:val="1068"/>
    <w:qFormat/>
    <w:pPr>
      <w:spacing w:after="50" w:line="360" w:lineRule="auto"/>
    </w:pPr>
    <w:rPr>
      <w:sz w:val="24"/>
    </w:rPr>
  </w:style>
  <w:style w:type="paragraph" w:styleId="1264">
    <w:name w:val="xl23"/>
    <w:basedOn w:val="1068"/>
    <w:next w:val="1264"/>
    <w:link w:val="1068"/>
    <w:qFormat/>
    <w:pPr>
      <w:spacing w:before="100" w:beforeAutospacing="1" w:after="100" w:afterAutospacing="1" w:line="360" w:lineRule="auto"/>
      <w:widowControl/>
    </w:pPr>
    <w:rPr>
      <w:sz w:val="24"/>
      <w:szCs w:val="20"/>
    </w:rPr>
  </w:style>
  <w:style w:type="paragraph" w:styleId="1265">
    <w:name w:val="正文表格"/>
    <w:basedOn w:val="1068"/>
    <w:next w:val="1265"/>
    <w:link w:val="1266"/>
    <w:qFormat/>
    <w:pPr>
      <w:jc w:val="left"/>
    </w:pPr>
    <w:rPr>
      <w:rFonts w:ascii="宋体" w:hAnsi="宋体"/>
      <w:color w:val="000000"/>
      <w:szCs w:val="21"/>
    </w:rPr>
  </w:style>
  <w:style w:type="character" w:styleId="1266">
    <w:name w:val="正文表格 Char"/>
    <w:next w:val="1266"/>
    <w:link w:val="1265"/>
    <w:qFormat/>
    <w:rPr>
      <w:rFonts w:ascii="宋体" w:hAnsi="宋体"/>
      <w:color w:val="000000"/>
      <w:sz w:val="21"/>
      <w:szCs w:val="21"/>
    </w:rPr>
  </w:style>
  <w:style w:type="paragraph" w:styleId="1267">
    <w:name w:val="正文重点"/>
    <w:basedOn w:val="1068"/>
    <w:next w:val="1267"/>
    <w:link w:val="1268"/>
    <w:qFormat/>
    <w:pPr>
      <w:ind w:firstLine="482"/>
      <w:jc w:val="left"/>
      <w:spacing w:line="360" w:lineRule="auto"/>
    </w:pPr>
    <w:rPr>
      <w:b/>
      <w:sz w:val="24"/>
      <w:szCs w:val="20"/>
    </w:rPr>
  </w:style>
  <w:style w:type="character" w:styleId="1268">
    <w:name w:val="正文重点 Char"/>
    <w:next w:val="1268"/>
    <w:link w:val="1267"/>
    <w:qFormat/>
    <w:rPr>
      <w:b/>
      <w:sz w:val="24"/>
    </w:rPr>
  </w:style>
  <w:style w:type="paragraph" w:styleId="1269">
    <w:name w:val="标题1-附件"/>
    <w:basedOn w:val="1069"/>
    <w:next w:val="1269"/>
    <w:link w:val="1068"/>
    <w:qFormat/>
    <w:pPr>
      <w:jc w:val="left"/>
    </w:pPr>
    <w:rPr>
      <w:sz w:val="24"/>
      <w:szCs w:val="24"/>
    </w:rPr>
  </w:style>
  <w:style w:type="paragraph" w:styleId="1270">
    <w:name w:val="正文小标题"/>
    <w:basedOn w:val="1068"/>
    <w:next w:val="1084"/>
    <w:link w:val="1271"/>
    <w:qFormat/>
    <w:pPr>
      <w:ind w:firstLine="482"/>
      <w:jc w:val="left"/>
      <w:spacing w:before="312" w:after="312"/>
    </w:pPr>
    <w:rPr>
      <w:rFonts w:ascii="宋体" w:hAnsi="宋体"/>
      <w:b/>
      <w:i/>
      <w:color w:val="ff0000"/>
      <w:sz w:val="24"/>
      <w:szCs w:val="20"/>
    </w:rPr>
  </w:style>
  <w:style w:type="character" w:styleId="1271">
    <w:name w:val="正文小标题 Char"/>
    <w:next w:val="1271"/>
    <w:link w:val="1270"/>
    <w:qFormat/>
    <w:rPr>
      <w:rFonts w:ascii="宋体" w:hAnsi="宋体"/>
      <w:b/>
      <w:i/>
      <w:color w:val="ff0000"/>
      <w:sz w:val="24"/>
    </w:rPr>
  </w:style>
  <w:style w:type="paragraph" w:styleId="1272">
    <w:name w:val="正文大标题"/>
    <w:basedOn w:val="1270"/>
    <w:next w:val="1084"/>
    <w:link w:val="1273"/>
    <w:qFormat/>
    <w:pPr>
      <w:jc w:val="center"/>
    </w:pPr>
    <w:rPr>
      <w:i w:val="0"/>
      <w:color w:val="000000"/>
      <w:sz w:val="28"/>
      <w:szCs w:val="21"/>
    </w:rPr>
  </w:style>
  <w:style w:type="character" w:styleId="1273">
    <w:name w:val="正文大标题 Char"/>
    <w:next w:val="1273"/>
    <w:link w:val="1272"/>
    <w:qFormat/>
    <w:rPr>
      <w:rFonts w:ascii="宋体" w:hAnsi="宋体"/>
      <w:b/>
      <w:color w:val="000000"/>
      <w:sz w:val="28"/>
      <w:szCs w:val="21"/>
    </w:rPr>
  </w:style>
  <w:style w:type="paragraph" w:styleId="1274">
    <w:name w:val="注释"/>
    <w:basedOn w:val="1068"/>
    <w:next w:val="1274"/>
    <w:link w:val="1275"/>
    <w:qFormat/>
    <w:pPr>
      <w:ind w:left="420" w:hanging="420"/>
      <w:jc w:val="left"/>
    </w:pPr>
    <w:rPr>
      <w:rFonts w:ascii="宋体" w:hAnsi="宋体"/>
      <w:szCs w:val="21"/>
    </w:rPr>
  </w:style>
  <w:style w:type="character" w:styleId="1275">
    <w:name w:val="注释 Char"/>
    <w:next w:val="1275"/>
    <w:link w:val="1274"/>
    <w:qFormat/>
    <w:rPr>
      <w:rFonts w:ascii="宋体" w:hAnsi="宋体"/>
      <w:sz w:val="21"/>
      <w:szCs w:val="21"/>
    </w:rPr>
  </w:style>
  <w:style w:type="paragraph" w:styleId="1276">
    <w:name w:val="正文须知-1级"/>
    <w:basedOn w:val="1068"/>
    <w:next w:val="1068"/>
    <w:link w:val="1068"/>
    <w:qFormat/>
    <w:pPr>
      <w:numPr>
        <w:ilvl w:val="0"/>
        <w:numId w:val="7"/>
      </w:numPr>
      <w:spacing w:line="300" w:lineRule="auto"/>
    </w:pPr>
    <w:rPr>
      <w:rFonts w:ascii="宋体" w:hAnsi="Calibri"/>
      <w:sz w:val="24"/>
      <w:szCs w:val="21"/>
    </w:rPr>
  </w:style>
  <w:style w:type="paragraph" w:styleId="1277">
    <w:name w:val="正文须知-2级"/>
    <w:basedOn w:val="1068"/>
    <w:next w:val="1277"/>
    <w:link w:val="1068"/>
    <w:qFormat/>
    <w:pPr>
      <w:numPr>
        <w:ilvl w:val="1"/>
        <w:numId w:val="7"/>
      </w:numPr>
      <w:spacing w:line="300" w:lineRule="auto"/>
    </w:pPr>
    <w:rPr>
      <w:rFonts w:ascii="宋体" w:hAnsi="Calibri"/>
      <w:sz w:val="24"/>
      <w:szCs w:val="21"/>
    </w:rPr>
  </w:style>
  <w:style w:type="paragraph" w:styleId="1278">
    <w:name w:val="正文须知-3级"/>
    <w:basedOn w:val="1068"/>
    <w:next w:val="1278"/>
    <w:link w:val="1068"/>
    <w:qFormat/>
    <w:pPr>
      <w:numPr>
        <w:ilvl w:val="2"/>
        <w:numId w:val="7"/>
      </w:numPr>
      <w:ind w:hanging="355"/>
      <w:spacing w:line="300" w:lineRule="auto"/>
    </w:pPr>
    <w:rPr>
      <w:rFonts w:ascii="宋体" w:hAnsi="Calibri"/>
      <w:sz w:val="24"/>
      <w:szCs w:val="21"/>
    </w:rPr>
  </w:style>
  <w:style w:type="character" w:styleId="1279">
    <w:name w:val="纯文本 字符"/>
    <w:next w:val="1279"/>
    <w:link w:val="1068"/>
    <w:uiPriority w:val="99"/>
    <w:qFormat/>
    <w:rPr>
      <w:rFonts w:ascii="宋体" w:hAnsi="Courier New" w:eastAsia="宋体" w:cs="Times New Roman"/>
      <w:sz w:val="21"/>
      <w:szCs w:val="21"/>
      <w:lang w:val="en-US" w:eastAsia="zh-CN" w:bidi="ar-SA"/>
    </w:rPr>
  </w:style>
  <w:style w:type="paragraph" w:styleId="1280">
    <w:name w:val="表格1"/>
    <w:basedOn w:val="1068"/>
    <w:next w:val="1280"/>
    <w:link w:val="1068"/>
    <w:qFormat/>
    <w:pPr>
      <w:ind w:firstLine="480"/>
      <w:jc w:val="center"/>
    </w:pPr>
    <w:rPr>
      <w:sz w:val="24"/>
      <w:szCs w:val="20"/>
    </w:rPr>
  </w:style>
  <w:style w:type="character" w:styleId="1281">
    <w:name w:val="纯文本 字符1"/>
    <w:next w:val="1281"/>
    <w:link w:val="1068"/>
    <w:qFormat/>
    <w:rPr>
      <w:rFonts w:ascii="宋体" w:hAnsi="Courier New"/>
    </w:rPr>
  </w:style>
  <w:style w:type="character" w:styleId="1282">
    <w:name w:val="bjh-p"/>
    <w:next w:val="1282"/>
    <w:link w:val="1068"/>
    <w:qFormat/>
  </w:style>
  <w:style w:type="paragraph" w:styleId="1283">
    <w:name w:val="无标题条"/>
    <w:next w:val="1068"/>
    <w:link w:val="1068"/>
    <w:qFormat/>
    <w:pPr>
      <w:jc w:val="both"/>
    </w:pPr>
    <w:rPr>
      <w:sz w:val="21"/>
      <w:lang w:val="en-US" w:eastAsia="zh-CN" w:bidi="ar-SA"/>
    </w:rPr>
  </w:style>
  <w:style w:type="character" w:styleId="1284">
    <w:name w:val="正文格式 Char"/>
    <w:next w:val="1284"/>
    <w:link w:val="1285"/>
    <w:qFormat/>
    <w:rPr>
      <w:rFonts w:ascii="宋体" w:hAnsi="宋体"/>
      <w:sz w:val="24"/>
      <w:szCs w:val="24"/>
      <w:lang w:val="en-GB"/>
    </w:rPr>
  </w:style>
  <w:style w:type="paragraph" w:styleId="1285">
    <w:name w:val="正文格式"/>
    <w:basedOn w:val="1068"/>
    <w:next w:val="1285"/>
    <w:link w:val="1284"/>
    <w:qFormat/>
    <w:pPr>
      <w:ind w:firstLine="480"/>
      <w:spacing w:line="360" w:lineRule="auto"/>
    </w:pPr>
    <w:rPr>
      <w:rFonts w:ascii="宋体" w:hAnsi="宋体"/>
      <w:sz w:val="24"/>
      <w:lang w:val="en-GB"/>
    </w:rPr>
  </w:style>
  <w:style w:type="character" w:styleId="1286">
    <w:name w:val="标题 3 Char"/>
    <w:next w:val="1286"/>
    <w:link w:val="1068"/>
    <w:qFormat/>
    <w:rPr>
      <w:rFonts w:ascii="宋体" w:eastAsia="宋体"/>
      <w:b/>
      <w:sz w:val="24"/>
      <w:u w:val="single"/>
      <w:lang w:val="en-US" w:eastAsia="zh-CN" w:bidi="ar-SA"/>
    </w:rPr>
  </w:style>
  <w:style w:type="character" w:styleId="1287">
    <w:name w:val="正文缩进 Char"/>
    <w:next w:val="1287"/>
    <w:link w:val="1068"/>
    <w:qFormat/>
    <w:rPr>
      <w:rFonts w:ascii="宋体" w:eastAsia="宋体"/>
      <w:sz w:val="24"/>
      <w:szCs w:val="24"/>
      <w:lang w:val="en-US" w:eastAsia="zh-CN" w:bidi="ar-SA"/>
    </w:rPr>
  </w:style>
  <w:style w:type="character" w:styleId="1288">
    <w:name w:val="Char Char111"/>
    <w:next w:val="1288"/>
    <w:link w:val="1068"/>
    <w:qFormat/>
    <w:rPr>
      <w:rFonts w:ascii="宋体" w:eastAsia="宋体"/>
      <w:b/>
      <w:sz w:val="24"/>
      <w:u w:val="single"/>
      <w:lang w:val="en-US" w:eastAsia="zh-CN" w:bidi="ar-SA"/>
    </w:rPr>
  </w:style>
  <w:style w:type="character" w:styleId="1289">
    <w:name w:val="正文文本缩进 Char"/>
    <w:next w:val="1289"/>
    <w:link w:val="1068"/>
    <w:qFormat/>
    <w:rPr>
      <w:rFonts w:eastAsia="宋体"/>
      <w:sz w:val="24"/>
      <w:szCs w:val="24"/>
      <w:lang w:val="en-US" w:eastAsia="zh-CN" w:bidi="ar-SA"/>
    </w:rPr>
  </w:style>
  <w:style w:type="character" w:styleId="1290">
    <w:name w:val="列出段落 Char"/>
    <w:next w:val="1290"/>
    <w:link w:val="1068"/>
    <w:qFormat/>
    <w:rPr>
      <w:rFonts w:ascii="Calibri" w:hAnsi="Calibri" w:eastAsia="宋体"/>
      <w:sz w:val="21"/>
      <w:szCs w:val="22"/>
      <w:lang w:val="en-US" w:eastAsia="zh-CN" w:bidi="ar-SA"/>
    </w:rPr>
  </w:style>
  <w:style w:type="character" w:styleId="1291">
    <w:name w:val="页眉 Char"/>
    <w:next w:val="1291"/>
    <w:link w:val="1068"/>
    <w:qFormat/>
    <w:rPr>
      <w:rFonts w:eastAsia="宋体"/>
      <w:sz w:val="18"/>
      <w:szCs w:val="18"/>
      <w:lang w:val="en-US" w:eastAsia="zh-CN" w:bidi="ar-SA"/>
    </w:rPr>
  </w:style>
  <w:style w:type="character" w:styleId="1292">
    <w:name w:val="标题 2 Char"/>
    <w:next w:val="1292"/>
    <w:link w:val="1068"/>
    <w:qFormat/>
    <w:rPr>
      <w:rFonts w:ascii="Arial" w:hAnsi="Arial" w:eastAsia="黑体"/>
      <w:b/>
      <w:sz w:val="30"/>
      <w:lang w:val="en-US" w:eastAsia="zh-CN" w:bidi="ar-SA"/>
    </w:rPr>
  </w:style>
  <w:style w:type="paragraph" w:styleId="1293">
    <w:name w:val="字元 字元2"/>
    <w:basedOn w:val="1068"/>
    <w:next w:val="1293"/>
    <w:link w:val="1068"/>
    <w:qFormat/>
    <w:rPr>
      <w:rFonts w:ascii="Tahoma" w:hAnsi="Tahoma"/>
      <w:sz w:val="24"/>
      <w:szCs w:val="20"/>
    </w:rPr>
  </w:style>
  <w:style w:type="paragraph" w:styleId="1294">
    <w:name w:val="Char3 Char Char Char2"/>
    <w:basedOn w:val="1068"/>
    <w:next w:val="1294"/>
    <w:link w:val="1068"/>
    <w:qFormat/>
    <w:rPr>
      <w:rFonts w:ascii="Tahoma" w:hAnsi="Tahoma"/>
      <w:sz w:val="24"/>
      <w:szCs w:val="20"/>
    </w:rPr>
  </w:style>
  <w:style w:type="paragraph" w:styleId="1295">
    <w:name w:val="正文文本缩进2"/>
    <w:basedOn w:val="1068"/>
    <w:next w:val="1295"/>
    <w:link w:val="1068"/>
    <w:qFormat/>
    <w:pPr>
      <w:ind w:firstLine="480"/>
      <w:spacing w:line="480" w:lineRule="exact"/>
    </w:pPr>
    <w:rPr>
      <w:rFonts w:ascii="宋体" w:hAnsi="宋体"/>
      <w:sz w:val="24"/>
      <w:lang w:val="zh-CN" w:eastAsia="zh-CN"/>
    </w:rPr>
  </w:style>
  <w:style w:type="paragraph" w:styleId="1296">
    <w:name w:val="Char3"/>
    <w:basedOn w:val="1068"/>
    <w:next w:val="1296"/>
    <w:link w:val="1068"/>
    <w:qFormat/>
    <w:pPr>
      <w:tabs>
        <w:tab w:val="left" w:pos="360" w:leader="none"/>
      </w:tabs>
    </w:pPr>
    <w:rPr>
      <w:sz w:val="24"/>
    </w:rPr>
  </w:style>
  <w:style w:type="paragraph" w:styleId="1297">
    <w:name w:val="Char Char Char Char Char Char Char Char Char Char Char Char Char Char Char Char1"/>
    <w:basedOn w:val="1068"/>
    <w:next w:val="1297"/>
    <w:link w:val="1068"/>
    <w:qFormat/>
    <w:pPr>
      <w:jc w:val="center"/>
      <w:spacing w:after="160" w:line="240" w:lineRule="exact"/>
      <w:widowControl/>
    </w:pPr>
    <w:rPr>
      <w:rFonts w:ascii="宋体" w:hAnsi="宋体"/>
      <w:b/>
      <w:sz w:val="30"/>
      <w:szCs w:val="30"/>
      <w:lang w:eastAsia="en-US"/>
    </w:rPr>
  </w:style>
  <w:style w:type="paragraph" w:styleId="1298">
    <w:name w:val="Char Char1 Char Char Char Char Char Char1"/>
    <w:basedOn w:val="1068"/>
    <w:next w:val="1298"/>
    <w:link w:val="1068"/>
    <w:qFormat/>
    <w:pPr>
      <w:jc w:val="left"/>
      <w:spacing w:after="160" w:line="240" w:lineRule="exact"/>
      <w:widowControl/>
    </w:pPr>
    <w:rPr>
      <w:rFonts w:ascii="Verdana" w:hAnsi="Verdana" w:eastAsia="仿宋_GB2312"/>
      <w:sz w:val="24"/>
      <w:szCs w:val="20"/>
      <w:lang w:eastAsia="en-US"/>
    </w:rPr>
  </w:style>
  <w:style w:type="paragraph" w:styleId="1299">
    <w:name w:val="列出段落2"/>
    <w:basedOn w:val="1068"/>
    <w:next w:val="1299"/>
    <w:link w:val="1068"/>
    <w:qFormat/>
    <w:pPr>
      <w:ind w:firstLine="420"/>
    </w:pPr>
    <w:rPr>
      <w:rFonts w:ascii="Calibri" w:hAnsi="Calibri"/>
      <w:szCs w:val="22"/>
    </w:rPr>
  </w:style>
  <w:style w:type="paragraph" w:styleId="1300">
    <w:name w:val="Char Char Char1 Char2"/>
    <w:basedOn w:val="1068"/>
    <w:next w:val="1300"/>
    <w:link w:val="1068"/>
    <w:qFormat/>
    <w:rPr>
      <w:rFonts w:ascii="Tahoma" w:hAnsi="Tahoma"/>
      <w:sz w:val="24"/>
      <w:szCs w:val="20"/>
    </w:rPr>
  </w:style>
  <w:style w:type="paragraph" w:styleId="1301">
    <w:name w:val="Char Char Char2"/>
    <w:basedOn w:val="1068"/>
    <w:next w:val="1301"/>
    <w:link w:val="1068"/>
    <w:qFormat/>
    <w:rPr>
      <w:rFonts w:ascii="Tahoma" w:hAnsi="Tahoma"/>
      <w:sz w:val="24"/>
      <w:szCs w:val="20"/>
    </w:rPr>
  </w:style>
  <w:style w:type="paragraph" w:styleId="1302">
    <w:name w:val="Char Char Char Char Char Char Char2"/>
    <w:basedOn w:val="1068"/>
    <w:next w:val="1302"/>
    <w:link w:val="1068"/>
    <w:qFormat/>
    <w:pPr>
      <w:ind w:firstLine="200"/>
      <w:spacing w:line="360" w:lineRule="auto"/>
    </w:pPr>
    <w:rPr>
      <w:rFonts w:eastAsia="仿宋_GB2312"/>
      <w:sz w:val="24"/>
    </w:rPr>
  </w:style>
  <w:style w:type="paragraph" w:styleId="1303">
    <w:name w:val="正文缩进2"/>
    <w:basedOn w:val="1068"/>
    <w:next w:val="1303"/>
    <w:link w:val="1068"/>
    <w:qFormat/>
    <w:pPr>
      <w:ind w:firstLine="567"/>
      <w:spacing w:line="480" w:lineRule="exact"/>
      <w:widowControl/>
    </w:pPr>
    <w:rPr>
      <w:rFonts w:ascii="宋体"/>
      <w:color w:val="000000"/>
      <w:sz w:val="28"/>
      <w:szCs w:val="20"/>
      <w:lang w:val="zh-CN" w:eastAsia="zh-CN"/>
    </w:rPr>
  </w:style>
  <w:style w:type="paragraph" w:styleId="1304">
    <w:name w:val="Revision"/>
    <w:next w:val="1304"/>
    <w:link w:val="1068"/>
    <w:qFormat/>
    <w:rPr>
      <w:sz w:val="21"/>
      <w:szCs w:val="24"/>
      <w:lang w:val="en-US" w:eastAsia="zh-CN" w:bidi="ar-SA"/>
    </w:rPr>
  </w:style>
  <w:style w:type="paragraph" w:styleId="1305">
    <w:name w:val="Char22"/>
    <w:basedOn w:val="1068"/>
    <w:next w:val="1305"/>
    <w:link w:val="1068"/>
    <w:qFormat/>
    <w:rPr>
      <w:rFonts w:ascii="Tahoma" w:hAnsi="Tahoma"/>
      <w:sz w:val="24"/>
      <w:szCs w:val="20"/>
    </w:rPr>
  </w:style>
  <w:style w:type="paragraph" w:styleId="1306">
    <w:name w:val="Char Char Char Char Char Char Char Char Char Char2"/>
    <w:basedOn w:val="1068"/>
    <w:next w:val="1306"/>
    <w:link w:val="1068"/>
    <w:qFormat/>
    <w:rPr>
      <w:rFonts w:ascii="宋体" w:hAnsi="宋体" w:cs="Courier New"/>
      <w:sz w:val="32"/>
      <w:szCs w:val="32"/>
    </w:rPr>
  </w:style>
  <w:style w:type="paragraph" w:styleId="1307">
    <w:name w:val="Char2 Char Char Char Char Char Char1"/>
    <w:basedOn w:val="1068"/>
    <w:next w:val="1307"/>
    <w:link w:val="1068"/>
    <w:qFormat/>
    <w:pPr>
      <w:jc w:val="center"/>
      <w:spacing w:line="400" w:lineRule="exact"/>
      <w:widowControl/>
    </w:pPr>
  </w:style>
  <w:style w:type="character" w:styleId="1308">
    <w:name w:val="页脚 Char"/>
    <w:next w:val="1308"/>
    <w:link w:val="1068"/>
    <w:qFormat/>
    <w:rPr>
      <w:rFonts w:ascii="宋体" w:eastAsia="宋体"/>
      <w:sz w:val="18"/>
      <w:lang w:val="en-US" w:eastAsia="zh-CN" w:bidi="ar-SA"/>
    </w:rPr>
  </w:style>
  <w:style w:type="paragraph" w:styleId="1309">
    <w:name w:val="Char Char41"/>
    <w:basedOn w:val="1068"/>
    <w:next w:val="1309"/>
    <w:link w:val="1068"/>
    <w:qFormat/>
    <w:pPr>
      <w:jc w:val="center"/>
      <w:spacing w:line="400" w:lineRule="exact"/>
      <w:widowControl/>
    </w:pPr>
  </w:style>
  <w:style w:type="character" w:styleId="1310">
    <w:name w:val="批注文字 Char"/>
    <w:next w:val="1310"/>
    <w:link w:val="1068"/>
    <w:uiPriority w:val="99"/>
    <w:qFormat/>
    <w:rPr>
      <w:sz w:val="21"/>
      <w:szCs w:val="24"/>
    </w:rPr>
  </w:style>
  <w:style w:type="character" w:styleId="1311">
    <w:name w:val="标题 Char"/>
    <w:next w:val="1311"/>
    <w:link w:val="1068"/>
    <w:qFormat/>
    <w:rPr>
      <w:b/>
      <w:sz w:val="32"/>
    </w:rPr>
  </w:style>
  <w:style w:type="paragraph" w:styleId="1312">
    <w:name w:val="图例"/>
    <w:basedOn w:val="1068"/>
    <w:next w:val="1312"/>
    <w:link w:val="1068"/>
    <w:qFormat/>
    <w:pPr>
      <w:jc w:val="center"/>
      <w:spacing w:before="120" w:after="120" w:line="360" w:lineRule="auto"/>
    </w:pPr>
    <w:rPr>
      <w:rFonts w:eastAsia="仿宋_GB2312"/>
      <w:b/>
      <w:sz w:val="24"/>
      <w:szCs w:val="20"/>
    </w:rPr>
  </w:style>
  <w:style w:type="table" w:styleId="1313">
    <w:name w:val="Table Normal"/>
    <w:next w:val="1313"/>
    <w:link w:val="1068"/>
    <w:uiPriority w:val="2"/>
    <w:unhideWhenUsed/>
    <w:qFormat/>
    <w:pPr>
      <w:widowControl w:val="off"/>
    </w:pPr>
    <w:rPr>
      <w:rFonts w:ascii="Calibri" w:hAnsi="Calibri"/>
      <w:sz w:val="22"/>
      <w:szCs w:val="22"/>
      <w:lang w:val="en-US" w:eastAsia="en-US" w:bidi="ar-SA"/>
    </w:rPr>
    <w:tblPr/>
  </w:style>
  <w:style w:type="paragraph" w:styleId="1314">
    <w:name w:val="Table Paragraph"/>
    <w:basedOn w:val="1068"/>
    <w:next w:val="1314"/>
    <w:link w:val="1068"/>
    <w:uiPriority w:val="1"/>
    <w:qFormat/>
    <w:pPr>
      <w:jc w:val="left"/>
    </w:pPr>
    <w:rPr>
      <w:rFonts w:ascii="宋体" w:hAnsi="宋体" w:cs="宋体"/>
      <w:sz w:val="22"/>
      <w:szCs w:val="22"/>
      <w:lang w:eastAsia="en-US"/>
    </w:rPr>
  </w:style>
  <w:style w:type="paragraph" w:styleId="1315">
    <w:name w:val="成文日期"/>
    <w:basedOn w:val="1068"/>
    <w:next w:val="1315"/>
    <w:link w:val="1316"/>
    <w:qFormat/>
    <w:pPr>
      <w:ind w:right="400" w:firstLine="200"/>
      <w:jc w:val="right"/>
      <w:spacing w:line="570" w:lineRule="exact"/>
    </w:pPr>
    <w:rPr>
      <w:rFonts w:ascii="仿宋_GB2312" w:eastAsia="仿宋_GB2312"/>
      <w:sz w:val="32"/>
      <w:szCs w:val="20"/>
    </w:rPr>
  </w:style>
  <w:style w:type="character" w:styleId="1316">
    <w:name w:val="成文日期 Char"/>
    <w:next w:val="1316"/>
    <w:link w:val="1315"/>
    <w:rPr>
      <w:rFonts w:ascii="仿宋_GB2312" w:eastAsia="仿宋_GB2312"/>
      <w:sz w:val="32"/>
    </w:rPr>
  </w:style>
  <w:style w:type="paragraph" w:styleId="1317">
    <w:name w:val="修订"/>
    <w:next w:val="1317"/>
    <w:link w:val="1068"/>
    <w:uiPriority w:val="99"/>
    <w:unhideWhenUsed/>
    <w:rPr>
      <w:sz w:val="21"/>
      <w:szCs w:val="24"/>
      <w:lang w:val="en-US" w:eastAsia="zh-CN" w:bidi="ar-SA"/>
    </w:rPr>
  </w:style>
  <w:style w:type="character" w:styleId="1318">
    <w:name w:val="正文缩进 字符"/>
    <w:next w:val="1318"/>
    <w:link w:val="1068"/>
    <w:uiPriority w:val="99"/>
    <w:qFormat/>
    <w:rPr>
      <w:rFonts w:ascii="宋体" w:hAnsi="Times New Roman" w:eastAsia="宋体" w:cs="Times New Roman"/>
      <w:sz w:val="24"/>
    </w:rPr>
  </w:style>
  <w:style w:type="character" w:styleId="1319">
    <w:name w:val="正文文本 字符"/>
    <w:next w:val="1319"/>
    <w:link w:val="1068"/>
    <w:qFormat/>
    <w:rPr>
      <w:rFonts w:ascii="宋体" w:hAnsi="宋体"/>
      <w:sz w:val="24"/>
      <w:szCs w:val="24"/>
    </w:rPr>
  </w:style>
  <w:style w:type="paragraph" w:styleId="1320">
    <w:name w:val="纯文本1"/>
    <w:next w:val="1121"/>
    <w:link w:val="1068"/>
    <w:qFormat/>
    <w:pPr>
      <w:jc w:val="both"/>
      <w:widowControl w:val="off"/>
    </w:pPr>
    <w:rPr>
      <w:rFonts w:ascii="宋体" w:hAnsi="宋体"/>
      <w:sz w:val="26"/>
      <w:szCs w:val="24"/>
      <w:lang w:val="en-US" w:eastAsia="zh-CN" w:bidi="ar-SA"/>
    </w:rPr>
  </w:style>
  <w:style w:type="paragraph" w:styleId="1321">
    <w:name w:val="AONormal"/>
    <w:next w:val="1321"/>
    <w:link w:val="1068"/>
    <w:qFormat/>
    <w:pPr>
      <w:ind w:firstLine="440"/>
      <w:spacing w:line="400" w:lineRule="exact"/>
    </w:pPr>
    <w:rPr>
      <w:rFonts w:ascii="华文楷体" w:hAnsi="华文楷体" w:eastAsia="华文楷体" w:cs="华文楷体"/>
      <w:sz w:val="22"/>
      <w:szCs w:val="21"/>
      <w:lang w:val="en-US" w:eastAsia="zh-CN" w:bidi="ar-SA"/>
    </w:rPr>
  </w:style>
  <w:style w:type="character" w:styleId="1322">
    <w:name w:val="font11"/>
    <w:basedOn w:val="1078"/>
    <w:next w:val="1322"/>
    <w:link w:val="1068"/>
    <w:qFormat/>
    <w:rPr>
      <w:rFonts w:hint="eastAsia" w:ascii="微软雅黑" w:hAnsi="微软雅黑" w:eastAsia="微软雅黑" w:cs="微软雅黑"/>
      <w:color w:val="000000"/>
      <w:sz w:val="24"/>
      <w:szCs w:val="24"/>
      <w:u w:val="none"/>
    </w:rPr>
  </w:style>
  <w:style w:type="character" w:styleId="1323">
    <w:name w:val="font31"/>
    <w:basedOn w:val="1078"/>
    <w:next w:val="1323"/>
    <w:link w:val="1068"/>
    <w:qFormat/>
    <w:rPr>
      <w:rFonts w:hint="eastAsia" w:ascii="微软雅黑" w:hAnsi="微软雅黑" w:eastAsia="微软雅黑" w:cs="微软雅黑"/>
      <w:color w:val="000000"/>
      <w:sz w:val="24"/>
      <w:szCs w:val="24"/>
      <w:u w:val="none"/>
    </w:rPr>
  </w:style>
  <w:style w:type="character" w:styleId="1324">
    <w:name w:val="font21"/>
    <w:basedOn w:val="1078"/>
    <w:next w:val="1324"/>
    <w:link w:val="1068"/>
    <w:qFormat/>
    <w:rPr>
      <w:rFonts w:hint="eastAsia" w:ascii="宋体" w:hAnsi="宋体" w:eastAsia="宋体" w:cs="宋体"/>
      <w:b/>
      <w:bCs/>
      <w:color w:val="000000"/>
      <w:sz w:val="28"/>
      <w:szCs w:val="28"/>
      <w:u w:val="none"/>
    </w:rPr>
  </w:style>
  <w:style w:type="character" w:styleId="1325">
    <w:name w:val="font41"/>
    <w:basedOn w:val="1078"/>
    <w:next w:val="1325"/>
    <w:link w:val="1068"/>
    <w:qFormat/>
    <w:rPr>
      <w:rFonts w:hint="eastAsia" w:ascii="宋体" w:hAnsi="宋体" w:eastAsia="宋体" w:cs="宋体"/>
      <w:b/>
      <w:bCs/>
      <w:color w:val="000000"/>
      <w:sz w:val="28"/>
      <w:szCs w:val="28"/>
      <w:u w:val="none"/>
      <w:vertAlign w:val="superscript"/>
    </w:rPr>
  </w:style>
  <w:style w:type="character" w:styleId="1326">
    <w:name w:val="font61"/>
    <w:basedOn w:val="1078"/>
    <w:next w:val="1326"/>
    <w:link w:val="1068"/>
    <w:qFormat/>
    <w:rPr>
      <w:rFonts w:hint="eastAsia" w:ascii="宋体" w:hAnsi="宋体" w:eastAsia="宋体" w:cs="宋体"/>
      <w:color w:val="000000"/>
      <w:sz w:val="28"/>
      <w:szCs w:val="28"/>
      <w:u w:val="none"/>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9</cp:revision>
  <dcterms:created xsi:type="dcterms:W3CDTF">2022-05-30T08:08:00Z</dcterms:created>
  <dcterms:modified xsi:type="dcterms:W3CDTF">2026-05-21T06:11:06Z</dcterms:modified>
</cp:coreProperties>
</file>