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pPr w:leftFromText="180" w:rightFromText="180" w:vertAnchor="text" w:horzAnchor="page" w:tblpX="1233" w:tblpY="1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0"/>
      </w:tblGrid>
      <w:tr w14:paraId="4438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7" w:hRule="atLeast"/>
        </w:trPr>
        <w:tc>
          <w:tcPr>
            <w:tcW w:w="9100" w:type="dxa"/>
            <w:vAlign w:val="bottom"/>
          </w:tcPr>
          <w:p w14:paraId="12BCE83A">
            <w:pPr>
              <w:bidi w:val="0"/>
              <w:rPr>
                <w:rFonts w:hint="eastAsia"/>
                <w:b/>
                <w:bCs/>
              </w:rPr>
            </w:pPr>
            <w:bookmarkStart w:id="0" w:name="_GoBack"/>
            <w:bookmarkEnd w:id="0"/>
            <w:r>
              <w:rPr>
                <w:rFonts w:hint="eastAsia"/>
                <w:b/>
                <w:bCs/>
              </w:rPr>
              <w:t>一、工程概况</w:t>
            </w:r>
          </w:p>
          <w:p w14:paraId="7729E8E6">
            <w:pPr>
              <w:bidi w:val="0"/>
              <w:rPr>
                <w:rFonts w:hint="eastAsia"/>
                <w:lang w:val="en-US" w:eastAsia="zh-CN"/>
              </w:rPr>
            </w:pPr>
            <w:r>
              <w:rPr>
                <w:rFonts w:hint="eastAsia"/>
                <w:lang w:val="en-US" w:eastAsia="zh-CN"/>
              </w:rPr>
              <w:t>宿迁市公安局洋河新区分局营房装修改造项目，本工程位于洋河新区。项目包括装修改造工程。</w:t>
            </w:r>
          </w:p>
          <w:p w14:paraId="55367297">
            <w:pPr>
              <w:bidi w:val="0"/>
              <w:rPr>
                <w:rFonts w:hint="eastAsia"/>
                <w:b/>
                <w:bCs/>
              </w:rPr>
            </w:pPr>
            <w:r>
              <w:rPr>
                <w:rFonts w:hint="eastAsia"/>
                <w:b/>
                <w:bCs/>
              </w:rPr>
              <w:t>二、工程量清单编制依据</w:t>
            </w:r>
          </w:p>
          <w:p w14:paraId="520DCF70">
            <w:pPr>
              <w:bidi w:val="0"/>
              <w:rPr>
                <w:rFonts w:hint="eastAsia"/>
                <w:lang w:val="en-US" w:eastAsia="zh-CN"/>
              </w:rPr>
            </w:pPr>
            <w:r>
              <w:rPr>
                <w:rFonts w:hint="eastAsia"/>
                <w:lang w:val="en-US" w:eastAsia="zh-CN"/>
              </w:rPr>
              <w:t>1、发包人提供设计的《宿迁市公安局洋河新区分局营房装修改造项目》（电子版）图纸；</w:t>
            </w:r>
          </w:p>
          <w:p w14:paraId="52D766FD">
            <w:pPr>
              <w:bidi w:val="0"/>
            </w:pPr>
            <w:r>
              <w:t>2、《建设工程工程量清单计价规范》（GB50500-2013）；</w:t>
            </w:r>
          </w:p>
          <w:p w14:paraId="2E34EA35">
            <w:pPr>
              <w:bidi w:val="0"/>
            </w:pPr>
            <w:r>
              <w:t>3、《江苏省建筑与装饰工程计价定额》（2014）；</w:t>
            </w:r>
          </w:p>
          <w:p w14:paraId="2B44CD3C">
            <w:pPr>
              <w:bidi w:val="0"/>
            </w:pPr>
            <w:r>
              <w:t>4、《江苏省安装工程计价定额》（2014）；</w:t>
            </w:r>
          </w:p>
          <w:p w14:paraId="58230013">
            <w:pPr>
              <w:bidi w:val="0"/>
            </w:pPr>
            <w:r>
              <w:rPr>
                <w:rFonts w:hint="eastAsia"/>
                <w:lang w:val="en-US" w:eastAsia="zh-CN"/>
              </w:rPr>
              <w:t>5</w:t>
            </w:r>
            <w:r>
              <w:t>、《江苏省建设工程费用定额》（2014）及配套文件；</w:t>
            </w:r>
          </w:p>
          <w:p w14:paraId="01B06D72">
            <w:pPr>
              <w:bidi w:val="0"/>
            </w:pPr>
            <w:r>
              <w:rPr>
                <w:rFonts w:hint="eastAsia"/>
                <w:lang w:val="en-US" w:eastAsia="zh-CN"/>
              </w:rPr>
              <w:t>6</w:t>
            </w:r>
            <w:r>
              <w:t>、苏政发[2011]3号《江苏省政府关于调整地方教育附加等政府性基金有关政策的通知》；</w:t>
            </w:r>
          </w:p>
          <w:p w14:paraId="59881152">
            <w:pPr>
              <w:bidi w:val="0"/>
            </w:pPr>
            <w:r>
              <w:rPr>
                <w:rFonts w:hint="eastAsia"/>
                <w:lang w:val="en-US" w:eastAsia="zh-CN"/>
              </w:rPr>
              <w:t>7</w:t>
            </w:r>
            <w:r>
              <w:t>、苏建函价〔2018〕298号关于“省住房城乡建设厅关于建筑业增值税计价政策调整的通知”；</w:t>
            </w:r>
          </w:p>
          <w:p w14:paraId="24BCF9A7">
            <w:pPr>
              <w:bidi w:val="0"/>
            </w:pPr>
            <w:r>
              <w:rPr>
                <w:rFonts w:hint="eastAsia"/>
                <w:lang w:val="en-US" w:eastAsia="zh-CN"/>
              </w:rPr>
              <w:t>8</w:t>
            </w:r>
            <w:r>
              <w:t>、苏建[2018]第24号“省住房城乡建设厅关于调整建设工程按质论价等费用计取方法的公告”；</w:t>
            </w:r>
          </w:p>
          <w:p w14:paraId="71242274">
            <w:pPr>
              <w:bidi w:val="0"/>
            </w:pPr>
            <w:r>
              <w:rPr>
                <w:rFonts w:hint="eastAsia"/>
                <w:lang w:val="en-US" w:eastAsia="zh-CN"/>
              </w:rPr>
              <w:t>9</w:t>
            </w:r>
            <w:r>
              <w:t>、苏建函价〔2019〕178号“省住房城乡建设厅关于调整建设工程计价增值税税率的通知 ”；</w:t>
            </w:r>
          </w:p>
          <w:p w14:paraId="609FBA19">
            <w:pPr>
              <w:bidi w:val="0"/>
              <w:rPr>
                <w:rFonts w:hint="eastAsia"/>
              </w:rPr>
            </w:pPr>
            <w:r>
              <w:t>11、省市建设行政主管部门发布的有关工程造价方面的文件及政策性规定；</w:t>
            </w:r>
          </w:p>
          <w:p w14:paraId="227C4195">
            <w:pPr>
              <w:bidi w:val="0"/>
              <w:rPr>
                <w:rFonts w:hint="eastAsia"/>
                <w:b/>
                <w:bCs/>
              </w:rPr>
            </w:pPr>
            <w:r>
              <w:rPr>
                <w:rFonts w:hint="eastAsia"/>
                <w:b/>
                <w:bCs/>
                <w:lang w:val="en-US" w:eastAsia="zh-CN"/>
              </w:rPr>
              <w:t>三、</w:t>
            </w:r>
            <w:r>
              <w:rPr>
                <w:rFonts w:hint="eastAsia"/>
                <w:b/>
                <w:bCs/>
              </w:rPr>
              <w:t>根据</w:t>
            </w:r>
            <w:r>
              <w:rPr>
                <w:rFonts w:hint="eastAsia"/>
                <w:b/>
                <w:bCs/>
                <w:lang w:eastAsia="zh-CN"/>
              </w:rPr>
              <w:t>发包人</w:t>
            </w:r>
            <w:r>
              <w:rPr>
                <w:rFonts w:hint="eastAsia"/>
                <w:b/>
                <w:bCs/>
              </w:rPr>
              <w:t>要求，结合工程具体情况，本清单</w:t>
            </w:r>
            <w:r>
              <w:rPr>
                <w:rFonts w:hint="eastAsia"/>
                <w:b/>
                <w:bCs/>
                <w:lang w:eastAsia="zh-CN"/>
              </w:rPr>
              <w:t>做</w:t>
            </w:r>
            <w:r>
              <w:rPr>
                <w:rFonts w:hint="eastAsia"/>
                <w:b/>
                <w:bCs/>
              </w:rPr>
              <w:t>如下说明：</w:t>
            </w:r>
          </w:p>
          <w:p w14:paraId="4890B607">
            <w:pPr>
              <w:bidi w:val="0"/>
            </w:pPr>
            <w:r>
              <w:t>本工程招标的范围：</w:t>
            </w:r>
          </w:p>
          <w:p w14:paraId="06B4DC62">
            <w:pPr>
              <w:numPr>
                <w:ilvl w:val="0"/>
                <w:numId w:val="0"/>
              </w:numPr>
              <w:bidi w:val="0"/>
              <w:ind w:leftChars="200"/>
              <w:rPr>
                <w:rFonts w:hint="eastAsia"/>
                <w:color w:val="auto"/>
                <w:lang w:val="en-US" w:eastAsia="zh-CN"/>
              </w:rPr>
            </w:pPr>
            <w:r>
              <w:rPr>
                <w:rFonts w:hint="eastAsia"/>
                <w:color w:val="auto"/>
                <w:lang w:val="en-US" w:eastAsia="zh-CN"/>
              </w:rPr>
              <w:t>1、本工程混凝土采用商品混凝土，砂浆采用预拌砂浆；</w:t>
            </w:r>
          </w:p>
          <w:p w14:paraId="2248C91C">
            <w:pPr>
              <w:numPr>
                <w:ilvl w:val="0"/>
                <w:numId w:val="0"/>
              </w:numPr>
              <w:bidi w:val="0"/>
              <w:ind w:leftChars="200"/>
              <w:rPr>
                <w:rFonts w:hint="eastAsia"/>
                <w:color w:val="auto"/>
                <w:lang w:val="en-US" w:eastAsia="zh-CN"/>
              </w:rPr>
            </w:pPr>
            <w:r>
              <w:rPr>
                <w:rFonts w:hint="eastAsia" w:ascii="Symbol" w:hAnsi="Symbol" w:eastAsia="宋体" w:cs="Symbol"/>
                <w:sz w:val="24"/>
                <w:lang w:val="en-US" w:eastAsia="zh-CN"/>
              </w:rPr>
              <w:t>2、</w:t>
            </w:r>
            <w:r>
              <w:rPr>
                <w:rFonts w:hint="eastAsia"/>
                <w:color w:val="auto"/>
                <w:lang w:val="en-US" w:eastAsia="zh-CN"/>
              </w:rPr>
              <w:t>本工程改造范围内所有拆除、清理、清运、修补、恢复、找平、收口等未单独列项的工作内容，均由投标人综合考虑并包含在投标报价中，竣工结算时不再另行计量与调整。</w:t>
            </w:r>
          </w:p>
          <w:p w14:paraId="263C5E7B">
            <w:pPr>
              <w:numPr>
                <w:ilvl w:val="0"/>
                <w:numId w:val="0"/>
              </w:numPr>
              <w:bidi w:val="0"/>
              <w:ind w:leftChars="200"/>
              <w:rPr>
                <w:rFonts w:hint="eastAsia"/>
                <w:color w:val="auto"/>
                <w:lang w:val="en-US" w:eastAsia="zh-CN"/>
              </w:rPr>
            </w:pPr>
            <w:r>
              <w:rPr>
                <w:rFonts w:hint="eastAsia"/>
                <w:color w:val="auto"/>
                <w:lang w:val="en-US" w:eastAsia="zh-CN"/>
              </w:rPr>
              <w:t>2、因拆改施工引起的原有结构、墙面、地面、顶面、管线等破损修复及成品保护费用，均视为已包含在相应清单项目报价内，结算不作调整。</w:t>
            </w:r>
          </w:p>
          <w:p w14:paraId="7C65C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color w:val="auto"/>
                <w:lang w:val="en-US" w:eastAsia="zh-CN"/>
              </w:rPr>
            </w:pPr>
            <w:r>
              <w:rPr>
                <w:rFonts w:hint="eastAsia" w:ascii="Symbol" w:hAnsi="Symbol" w:eastAsia="宋体" w:cs="Symbol"/>
                <w:sz w:val="24"/>
                <w:lang w:val="en-US" w:eastAsia="zh-CN"/>
              </w:rPr>
              <w:t>3、</w:t>
            </w:r>
            <w:r>
              <w:rPr>
                <w:rFonts w:hint="eastAsia"/>
                <w:color w:val="auto"/>
                <w:lang w:val="en-US" w:eastAsia="zh-CN"/>
              </w:rPr>
              <w:t>改造过程中涉及的局部剔凿、开槽、封堵、修补、防水修复等未列项内容，均由投标人综合考虑，后期不另行签证及调整。</w:t>
            </w:r>
          </w:p>
          <w:p w14:paraId="7BCA70A2">
            <w:pPr>
              <w:numPr>
                <w:ilvl w:val="0"/>
                <w:numId w:val="0"/>
              </w:numPr>
              <w:bidi w:val="0"/>
              <w:ind w:leftChars="200"/>
              <w:rPr>
                <w:rFonts w:hint="eastAsia"/>
                <w:color w:val="auto"/>
                <w:lang w:val="en-US" w:eastAsia="zh-CN"/>
              </w:rPr>
            </w:pPr>
            <w:r>
              <w:rPr>
                <w:rFonts w:hint="eastAsia"/>
                <w:color w:val="auto"/>
                <w:lang w:val="en-US" w:eastAsia="zh-CN"/>
              </w:rPr>
              <w:t>4、投标人应充分踏勘现场，对原有建筑状况、隐蔽管线、结构尺寸偏差、基层缺陷等情况自行判断，相关处理费用均包含在报价内，结算不予调整。</w:t>
            </w:r>
          </w:p>
          <w:p w14:paraId="3AEB549A">
            <w:pPr>
              <w:numPr>
                <w:ilvl w:val="0"/>
                <w:numId w:val="0"/>
              </w:numPr>
              <w:bidi w:val="0"/>
              <w:ind w:leftChars="200"/>
              <w:rPr>
                <w:rFonts w:hint="eastAsia"/>
                <w:color w:val="auto"/>
                <w:lang w:val="en-US" w:eastAsia="zh-CN"/>
              </w:rPr>
            </w:pPr>
            <w:r>
              <w:rPr>
                <w:rFonts w:hint="eastAsia"/>
                <w:color w:val="auto"/>
                <w:lang w:val="en-US" w:eastAsia="zh-CN"/>
              </w:rPr>
              <w:t>5、施工中因拆改导致的垃圾清运、成品保护、临时封堵、安全防护等未列项费用，均由投标人综合考虑，不再另行计费。</w:t>
            </w:r>
          </w:p>
          <w:p w14:paraId="389C23F4">
            <w:pPr>
              <w:numPr>
                <w:ilvl w:val="0"/>
                <w:numId w:val="0"/>
              </w:numPr>
              <w:bidi w:val="0"/>
              <w:ind w:leftChars="200"/>
              <w:rPr>
                <w:rFonts w:hint="eastAsia"/>
                <w:color w:val="auto"/>
                <w:lang w:val="en-US" w:eastAsia="zh-CN"/>
              </w:rPr>
            </w:pPr>
            <w:r>
              <w:rPr>
                <w:rFonts w:hint="eastAsia"/>
                <w:color w:val="auto"/>
                <w:lang w:val="en-US" w:eastAsia="zh-CN"/>
              </w:rPr>
              <w:t>6、本工程拆改与新建、安装等工序交叉施工所需的配合费、返工修复费、二次施工费等，均视为已包含在投标报价中，不另行调整。</w:t>
            </w:r>
          </w:p>
          <w:p w14:paraId="18750787">
            <w:pPr>
              <w:numPr>
                <w:ilvl w:val="0"/>
                <w:numId w:val="0"/>
              </w:numPr>
              <w:bidi w:val="0"/>
              <w:ind w:firstLine="480" w:firstLineChars="200"/>
              <w:rPr>
                <w:rFonts w:hint="eastAsia"/>
                <w:color w:val="auto"/>
                <w:lang w:val="en-US" w:eastAsia="zh-CN"/>
              </w:rPr>
            </w:pPr>
            <w:r>
              <w:rPr>
                <w:rFonts w:hint="eastAsia"/>
                <w:color w:val="auto"/>
                <w:lang w:val="en-US" w:eastAsia="zh-CN"/>
              </w:rPr>
              <w:t>7、因设计未明确、现场实际需要发生的零星拆改、修补、整改等内容，均由投标人综合考虑，结算不再调整。</w:t>
            </w:r>
          </w:p>
          <w:p w14:paraId="6D131F14">
            <w:pPr>
              <w:numPr>
                <w:ilvl w:val="0"/>
                <w:numId w:val="0"/>
              </w:numPr>
              <w:bidi w:val="0"/>
              <w:ind w:firstLine="480" w:firstLineChars="200"/>
              <w:rPr>
                <w:rFonts w:hint="eastAsia"/>
                <w:color w:val="auto"/>
                <w:lang w:val="en-US" w:eastAsia="zh-CN"/>
              </w:rPr>
            </w:pPr>
            <w:r>
              <w:rPr>
                <w:rFonts w:hint="eastAsia"/>
                <w:color w:val="auto"/>
                <w:lang w:val="en-US" w:eastAsia="zh-CN"/>
              </w:rPr>
              <w:t>8、涉及墙体开槽及恢复、打孔及修复、整体系统调试等均由投标人综合考虑，结算不再调整。</w:t>
            </w:r>
          </w:p>
          <w:p w14:paraId="6BA32EE8">
            <w:pPr>
              <w:numPr>
                <w:ilvl w:val="0"/>
                <w:numId w:val="0"/>
              </w:numPr>
              <w:bidi w:val="0"/>
              <w:ind w:firstLine="480" w:firstLineChars="200"/>
              <w:rPr>
                <w:rFonts w:hint="default"/>
                <w:color w:val="auto"/>
                <w:lang w:val="en-US" w:eastAsia="zh-CN"/>
              </w:rPr>
            </w:pPr>
          </w:p>
          <w:p w14:paraId="6B1479F5">
            <w:pPr>
              <w:bidi w:val="0"/>
              <w:rPr>
                <w:rFonts w:hint="eastAsia"/>
                <w:b/>
                <w:bCs/>
                <w:lang w:val="en-US" w:eastAsia="zh-CN"/>
              </w:rPr>
            </w:pPr>
            <w:r>
              <w:rPr>
                <w:rFonts w:hint="eastAsia"/>
                <w:b/>
                <w:bCs/>
                <w:lang w:val="en-US" w:eastAsia="zh-CN"/>
              </w:rPr>
              <w:t>四、其他部分：</w:t>
            </w:r>
          </w:p>
          <w:p w14:paraId="7CE2DA1F">
            <w:pPr>
              <w:bidi w:val="0"/>
            </w:pPr>
            <w:r>
              <w:rPr>
                <w:rFonts w:hint="eastAsia"/>
                <w:lang w:val="en-US" w:eastAsia="zh-CN"/>
              </w:rPr>
              <w:t>1</w:t>
            </w:r>
            <w:r>
              <w:t>、本项目不组织统一踏勘，投标单位可自行踏勘现场后，综合考虑各项</w:t>
            </w:r>
            <w:r>
              <w:rPr>
                <w:rFonts w:hint="eastAsia"/>
              </w:rPr>
              <w:t>前期临时设施、安全文明等必要措施</w:t>
            </w:r>
            <w:r>
              <w:t>；</w:t>
            </w:r>
          </w:p>
          <w:p w14:paraId="2C99CF74">
            <w:pPr>
              <w:bidi w:val="0"/>
            </w:pPr>
            <w:r>
              <w:rPr>
                <w:rFonts w:hint="eastAsia"/>
                <w:lang w:val="en-US" w:eastAsia="zh-CN"/>
              </w:rPr>
              <w:t>2</w:t>
            </w:r>
            <w:r>
              <w:t>、投标单位应在措施费中综合考虑临时办公场所相关费用（进场后根据建设单位要求配置相应数量的建设单位及监理单位办公室、会议室）；</w:t>
            </w:r>
          </w:p>
          <w:p w14:paraId="0864D129">
            <w:pPr>
              <w:bidi w:val="0"/>
            </w:pPr>
            <w:r>
              <w:rPr>
                <w:rFonts w:hint="eastAsia"/>
                <w:lang w:val="en-US" w:eastAsia="zh-CN"/>
              </w:rPr>
              <w:t>3</w:t>
            </w:r>
            <w:r>
              <w:t>、场地周边现有沥青混凝土道路使用时应注意保护路面、管网、各种设施设备及其附近绿化苗木，项目完成后，需进行恢复，如有破损，应照价赔偿，在进度款中扣除；</w:t>
            </w:r>
          </w:p>
          <w:p w14:paraId="19E20C72">
            <w:pPr>
              <w:bidi w:val="0"/>
            </w:pPr>
            <w:r>
              <w:rPr>
                <w:rFonts w:hint="eastAsia"/>
                <w:lang w:val="en-US" w:eastAsia="zh-CN"/>
              </w:rPr>
              <w:t>4</w:t>
            </w:r>
            <w:r>
              <w:t>、投标人在收到工程量清单时须对图纸设计内容、清单的项目特征描述、工程量进行复核，充分考虑完成清单项目所需要的所有施工工艺，招标人所发布的清单特征是清单项目的必要描述而非清单项目的所有工作内容，如果本说明提出因设计不详、设计矛盾或招标人的原因对部分做法进行调整的，以本说明为准，其他一律以施工图和工程量清单计价规范为准；工程量清单编制说明或项目特征描述未尽之处，详见设计施工图纸及相关设计、技术规范，各投标人在投标报价中应充分考虑其相关费用，按照图纸相关做法及相关规范要求报价；如果清单项目特征描述有错误、不完整、工程量计算规则理解有偏差或认为控制价中的单价不合理等情况，必须在招标答疑时以书面形式向招标人提出，招标人将书面回复；如未提出，招标人在收到投标人报价时将认定投标人认可清单项目特征描述、图纸要求及工程量计算规则，已将各项风险范围内的成本费用分摊到综合单价中，后期不予调整。投标人的不平衡报价策略所带来的一切风险和损失由投标人承担</w:t>
            </w:r>
            <w:r>
              <w:rPr>
                <w:rFonts w:hint="eastAsia"/>
              </w:rPr>
              <w:t>；</w:t>
            </w:r>
          </w:p>
          <w:p w14:paraId="0588C93A">
            <w:pPr>
              <w:bidi w:val="0"/>
            </w:pPr>
            <w:r>
              <w:rPr>
                <w:rFonts w:hint="eastAsia"/>
                <w:lang w:val="en-US" w:eastAsia="zh-CN"/>
              </w:rPr>
              <w:t>5</w:t>
            </w:r>
            <w:r>
              <w:t>、投标人应对措施项目清单进行核对，在投标报价时应充分考虑赶工措施费、施工组织和技术措施（可以根据企业自身的实际情况和施工组织设计所采取的技术措施综合考虑，内容与深度应满足措施项目计价的需要），如投标人认为招标清单措施项目中有缺项、描述错误的，由投标人根据自身实际需要、实际情况、拟定的施工组织设计及施工方案，充分考虑施工工艺及技术规范要求，将相关成本及一切安装相关费用综合考虑到投标报价中</w:t>
            </w:r>
            <w:r>
              <w:rPr>
                <w:rFonts w:hint="eastAsia"/>
              </w:rPr>
              <w:t>；</w:t>
            </w:r>
          </w:p>
          <w:p w14:paraId="098482C4">
            <w:pPr>
              <w:bidi w:val="0"/>
            </w:pPr>
            <w:r>
              <w:rPr>
                <w:rFonts w:hint="eastAsia"/>
                <w:lang w:val="en-US" w:eastAsia="zh-CN"/>
              </w:rPr>
              <w:t>6</w:t>
            </w:r>
            <w:r>
              <w:rPr>
                <w:rFonts w:hint="eastAsia"/>
              </w:rPr>
              <w:t>、</w:t>
            </w:r>
            <w:r>
              <w:t>现场临时围墙、道路、亮化、喷雾、防扬尘等措施需满足当地建设行政主管部门及环保部门要求；水、电、路、施工便道、临时道路、场地硬化的修建、土源及运土距离、土方（垃圾）开挖、回填、堆放、转运、地下水位问题、降排水、基坑支护、设备场内外运输、起重吊装、对现场已完工成品的保护、以及材料二次搬运、二次加工、现场安装、保险、凿洞、开槽、修补、垃圾清理（垃圾堆放点应满足招标人及安全文明施工要求）等一系列辅助工程等因素，完成并符合设计方及招标人后期要求的效果，投标人报价时应全面考量上述因素对施工成本和施工工期、其他可能对工程造成的影响并增加的费用等，各投标人在投标报价中综合考虑，不论实际采用何种措施方案，结算时不予调整。</w:t>
            </w:r>
          </w:p>
          <w:p w14:paraId="7C10495A">
            <w:pPr>
              <w:bidi w:val="0"/>
            </w:pPr>
            <w:r>
              <w:rPr>
                <w:rFonts w:hint="eastAsia"/>
                <w:lang w:val="en-US" w:eastAsia="zh-CN"/>
              </w:rPr>
              <w:t>7</w:t>
            </w:r>
            <w:r>
              <w:t>、投标人对本项目主要材料（包括图纸中需要而二次深化设计的内容）请进行充分市场调研，综合考虑各方面因素后报价；投标人所供应材料用料及施工质量在符合本合同要求的同时，必须符合国家现行有关施工及验收规范要求，如：门窗须提供样品经建设单位确认后方可采购、制作、安装；涂料根据施工图及效果图提供颜色、样品（色卡）须经建设单位确认后方可采购进场施工等。</w:t>
            </w:r>
          </w:p>
          <w:p w14:paraId="30A33BB5">
            <w:pPr>
              <w:bidi w:val="0"/>
            </w:pPr>
            <w:r>
              <w:rPr>
                <w:rFonts w:hint="eastAsia"/>
                <w:lang w:val="en-US" w:eastAsia="zh-CN"/>
              </w:rPr>
              <w:t>8</w:t>
            </w:r>
            <w:r>
              <w:t>、所有门窗做法需满足设计、规范及验收标准，如：相关特殊门含闭门器、外窗带纱扇轨道、增设附框等，包括并不限于门窗密封、防水、保温、填缝、灌浆等细部节点做法，结算时不另增加费用，窗淋水试验投标人自行考虑计入总报价中，结算时不予调整；</w:t>
            </w:r>
          </w:p>
          <w:p w14:paraId="2F75C3D7">
            <w:pPr>
              <w:bidi w:val="0"/>
            </w:pPr>
            <w:r>
              <w:rPr>
                <w:rFonts w:hint="eastAsia"/>
                <w:lang w:val="en-US" w:eastAsia="zh-CN"/>
              </w:rPr>
              <w:t>9</w:t>
            </w:r>
            <w:r>
              <w:t>、除清单已列明的内容外，所有涉及需要进行植筋、穿墙、穿板、打洞、开槽、穿梁、绕梁、套管、开孔、 封堵、修补等一系列相关内容、各材质面检修孔，出风口，各类灯具开孔、不锈钢折弯打胶， 块料、石材等的镜面打磨、开孔、磨边倒角、酸洗打蜡、成品保护及各部位需要美缝等工艺施工、不同材质间的收边、因原造型改变，而产生的管道、柱、墙包封，应按图纸或现行规范进行包封处理等工艺；综合考虑因环境、气候等因素增加的混凝土外加剂；木材、钢材面所需的防火、防腐、防锈、探伤、预埋等处理、涂料油漆（应满足抗污耐擦洗的性能参数），所有木质构件要做防白蚁措施，所有裸露金属构件均做镀锌防锈处理，所有材料的颜色型号规格（由发包方选定）等，均应按图纸要求施工，且满足相关规范要求，所需费用投标人应自行考虑在相应报价内，结算时不予调整；</w:t>
            </w:r>
          </w:p>
          <w:p w14:paraId="3C3076BD">
            <w:pPr>
              <w:bidi w:val="0"/>
              <w:ind w:left="0" w:leftChars="0" w:firstLine="0" w:firstLineChars="0"/>
              <w:rPr>
                <w:rFonts w:hint="default"/>
                <w:lang w:val="en-US" w:eastAsia="zh-CN"/>
              </w:rPr>
            </w:pPr>
          </w:p>
          <w:p w14:paraId="626292DB">
            <w:pPr>
              <w:bidi w:val="0"/>
              <w:rPr>
                <w:rFonts w:hint="eastAsia"/>
                <w:b/>
                <w:color w:val="auto"/>
                <w:szCs w:val="30"/>
              </w:rPr>
            </w:pPr>
            <w:r>
              <w:rPr>
                <w:rFonts w:hint="eastAsia"/>
                <w:b/>
                <w:bCs/>
                <w:lang w:val="en-US" w:eastAsia="zh-CN"/>
              </w:rPr>
              <w:t>五</w:t>
            </w:r>
            <w:r>
              <w:rPr>
                <w:b/>
                <w:bCs/>
              </w:rPr>
              <w:t>、工程量清单编制总说明未尽之处，各投标人充分勘察现场，并在投标报价中应充分考虑其相关费用。</w:t>
            </w:r>
          </w:p>
        </w:tc>
      </w:tr>
    </w:tbl>
    <w:p w14:paraId="4F6996DD">
      <w:pPr>
        <w:tabs>
          <w:tab w:val="left" w:pos="1688"/>
        </w:tabs>
        <w:bidi w:val="0"/>
        <w:ind w:left="0" w:leftChars="0" w:firstLine="0" w:firstLineChars="0"/>
        <w:rPr>
          <w:rFonts w:hint="eastAsia" w:eastAsia="宋体"/>
          <w:b/>
          <w:bCs/>
          <w:lang w:eastAsia="zh-CN"/>
        </w:rPr>
      </w:pPr>
    </w:p>
    <w:p w14:paraId="301BEC30"/>
    <w:sectPr>
      <w:headerReference r:id="rId7" w:type="first"/>
      <w:footerReference r:id="rId10" w:type="first"/>
      <w:headerReference r:id="rId5" w:type="default"/>
      <w:footerReference r:id="rId8" w:type="default"/>
      <w:headerReference r:id="rId6" w:type="even"/>
      <w:footerReference r:id="rId9" w:type="even"/>
      <w:pgSz w:w="11906" w:h="16838"/>
      <w:pgMar w:top="775" w:right="1146" w:bottom="1440" w:left="1240" w:header="57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74EA">
    <w:pPr>
      <w:pStyle w:val="4"/>
      <w:tabs>
        <w:tab w:val="clear" w:pos="4153"/>
        <w:tab w:val="clear" w:pos="8306"/>
      </w:tabs>
      <w:rPr>
        <w:rFonts w:hint="eastAsia"/>
        <w:sz w:val="24"/>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8831">
    <w:pPr>
      <w:pStyle w:val="4"/>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48909">
    <w:pPr>
      <w:pStyle w:val="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F3DC">
    <w:pPr>
      <w:jc w:val="center"/>
      <w:rPr>
        <w:rFonts w:hint="eastAsia"/>
        <w:b/>
        <w:color w:val="0000FF"/>
        <w:sz w:val="24"/>
      </w:rPr>
    </w:pPr>
  </w:p>
  <w:p w14:paraId="4BD09256">
    <w:pPr>
      <w:pStyle w:val="3"/>
      <w:spacing w:line="440" w:lineRule="exact"/>
      <w:jc w:val="center"/>
      <w:rPr>
        <w:rFonts w:hint="eastAsia"/>
        <w:b/>
        <w:sz w:val="32"/>
        <w:szCs w:val="32"/>
      </w:rPr>
    </w:pPr>
    <w:r>
      <w:rPr>
        <w:rFonts w:hint="eastAsia"/>
        <w:b/>
        <w:sz w:val="36"/>
        <w:szCs w:val="36"/>
        <w:lang w:val="en-US" w:eastAsia="zh-CN"/>
      </w:rPr>
      <w:t>工程量清单编制</w:t>
    </w:r>
    <w:r>
      <w:rPr>
        <w:rFonts w:hint="eastAsia"/>
        <w:b/>
        <w:sz w:val="36"/>
        <w:szCs w:val="36"/>
      </w:rPr>
      <w:t xml:space="preserve">总说明  </w:t>
    </w:r>
    <w:r>
      <w:rPr>
        <w:rFonts w:hint="eastAsia"/>
        <w:b/>
        <w:sz w:val="32"/>
        <w:szCs w:val="32"/>
      </w:rPr>
      <w:t xml:space="preserve">  </w:t>
    </w:r>
  </w:p>
  <w:p w14:paraId="229E3D1B">
    <w:pPr>
      <w:numPr>
        <w:ilvl w:val="0"/>
        <w:numId w:val="0"/>
      </w:numPr>
      <w:ind w:leftChars="0"/>
      <w:rPr>
        <w:rFonts w:hint="eastAsia"/>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C929">
    <w:pPr>
      <w:pStyle w:val="5"/>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11AE">
    <w:pPr>
      <w:pStyle w:val="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DUwNzE5M2RmZTg2MThlZjlhZjdhNDM1NDBhZTcifQ=="/>
  </w:docVars>
  <w:rsids>
    <w:rsidRoot w:val="00000000"/>
    <w:rsid w:val="010704BA"/>
    <w:rsid w:val="05C54BC0"/>
    <w:rsid w:val="08397A80"/>
    <w:rsid w:val="0EA77988"/>
    <w:rsid w:val="15054CF4"/>
    <w:rsid w:val="1B22790C"/>
    <w:rsid w:val="1C0116B1"/>
    <w:rsid w:val="1D8A0DAA"/>
    <w:rsid w:val="1FB725AC"/>
    <w:rsid w:val="2ED935AF"/>
    <w:rsid w:val="309B7875"/>
    <w:rsid w:val="3FAD49CA"/>
    <w:rsid w:val="411B26DE"/>
    <w:rsid w:val="41A72A70"/>
    <w:rsid w:val="41F5374F"/>
    <w:rsid w:val="44E24A8F"/>
    <w:rsid w:val="54992DEC"/>
    <w:rsid w:val="59666AA4"/>
    <w:rsid w:val="6205667E"/>
    <w:rsid w:val="63657425"/>
    <w:rsid w:val="654F262C"/>
    <w:rsid w:val="66107785"/>
    <w:rsid w:val="71092799"/>
    <w:rsid w:val="7730111A"/>
    <w:rsid w:val="7AD75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482" w:firstLineChars="200"/>
      <w:jc w:val="both"/>
    </w:pPr>
    <w:rPr>
      <w:rFonts w:ascii="宋体" w:hAnsi="宋体" w:eastAsia="宋体" w:cs="Times New Roman"/>
      <w:kern w:val="2"/>
      <w:sz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cs="Courier New"/>
      <w:sz w:val="21"/>
      <w:szCs w:val="21"/>
    </w:rPr>
  </w:style>
  <w:style w:type="paragraph" w:styleId="4">
    <w:name w:val="footer"/>
    <w:basedOn w:val="1"/>
    <w:qFormat/>
    <w:uiPriority w:val="0"/>
    <w:pPr>
      <w:tabs>
        <w:tab w:val="center" w:pos="4153"/>
        <w:tab w:val="right" w:pos="8306"/>
      </w:tabs>
      <w:jc w:val="left"/>
    </w:pPr>
    <w:rPr>
      <w:sz w:val="18"/>
      <w:szCs w:val="18"/>
    </w:rPr>
  </w:style>
  <w:style w:type="paragraph" w:styleId="5">
    <w:name w:val="header"/>
    <w:basedOn w:val="1"/>
    <w:qFormat/>
    <w:uiPriority w:val="0"/>
    <w:pPr>
      <w:pBdr>
        <w:bottom w:val="single" w:color="000000" w:sz="6" w:space="1"/>
      </w:pBdr>
      <w:tabs>
        <w:tab w:val="center" w:pos="4153"/>
        <w:tab w:val="right" w:pos="8306"/>
      </w:tabs>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1"/>
    <w:qFormat/>
    <w:uiPriority w:val="0"/>
    <w:pPr>
      <w:spacing w:line="312" w:lineRule="auto"/>
      <w:ind w:firstLine="420"/>
    </w:p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2706</Words>
  <Characters>2749</Characters>
  <TotalTime>3</TotalTime>
  <ScaleCrop>false</ScaleCrop>
  <LinksUpToDate>false</LinksUpToDate>
  <CharactersWithSpaces>2752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2026-04-12T17:07:00Z</dcterms:created>
  <dc:creator>wang</dc:creator>
  <cp:lastModifiedBy>会飞的鱼_1420509964</cp:lastModifiedBy>
  <dcterms:modified xsi:type="dcterms:W3CDTF">2026-05-08T05:39:37Z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eyJoZGlkIjoiMmRhOTBkMjEyOTRiODNlZmY3MGJlY2JmYjQ1ODMxNWUiLCJ1c2VySWQiOiIyODE0NDYxNSJ9</vt:lpwstr>
  </property>
  <property fmtid="{D5CDD505-2E9C-101B-9397-08002B2CF9AE}" pid="3" name="KSOProductBuildVer">
    <vt:lpwstr>2052-12.1.0.25865</vt:lpwstr>
  </property>
  <property fmtid="{D5CDD505-2E9C-101B-9397-08002B2CF9AE}" pid="4" name="ICV">
    <vt:lpwstr>D2CBD0334DB04538AF9175A14108B7AF_12</vt:lpwstr>
  </property>
</Properties>
</file>