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JSZC-320581-SZJZ-G2026-0014</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项目名称：常熟经开区智慧园区平台二期项目</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4</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2</w:t>
      </w:r>
      <w:r>
        <w:rPr>
          <w:rFonts w:ascii="Arial" w:hAnsi="Arial" w:eastAsia="宋体" w:cs="Times New Roman"/>
          <w:b/>
          <w:bCs/>
          <w:color w:val="000000"/>
          <w:sz w:val="32"/>
          <w:szCs w:val="24"/>
        </w:rPr>
        <w:t xml:space="preserve">0</w:t>
      </w:r>
      <w:r>
        <w:rPr>
          <w:rFonts w:hint="eastAsia" w:ascii="Arial" w:hAnsi="Arial" w:eastAsia="宋体" w:cs="Times New Roman"/>
          <w:b/>
          <w:bCs/>
          <w:color w:val="000000"/>
          <w:sz w:val="32"/>
          <w:szCs w:val="24"/>
        </w:rPr>
        <w:t xml:space="preserve">日</w:t>
      </w:r>
      <w:r/>
    </w:p>
    <w:p>
      <w:pPr>
        <w:jc w:val="left"/>
        <w:widowControl/>
        <w:rPr>
          <w:rFonts w:ascii="Arial" w:hAnsi="Arial" w:eastAsia="宋体" w:cs="Times New Roman"/>
          <w:b/>
          <w:bCs/>
          <w:color w:val="000000"/>
          <w:sz w:val="32"/>
          <w:szCs w:val="24"/>
        </w:rPr>
      </w:pPr>
      <w:r>
        <w:rPr>
          <w:rFonts w:ascii="Arial" w:hAnsi="Arial" w:eastAsia="宋体" w:cs="Times New Roman"/>
          <w:b/>
          <w:bCs/>
          <w:color w:val="000000"/>
          <w:sz w:val="32"/>
          <w:szCs w:val="24"/>
        </w:rPr>
        <w:br w:type="page" w:clear="all"/>
      </w:r>
      <w:r/>
    </w:p>
    <w:p>
      <w:pPr>
        <w:ind w:firstLine="420"/>
        <w:jc w:val="center"/>
        <w:spacing w:before="240" w:line="259" w:lineRule="auto"/>
        <w:widowControl/>
        <w:rPr>
          <w:rFonts w:ascii="等线 Light" w:hAnsi="等线 Light" w:eastAsia="黑体" w:cs="Times New Roman"/>
          <w:b/>
          <w:bCs/>
          <w:sz w:val="32"/>
          <w:szCs w:val="32"/>
        </w:rPr>
      </w:pPr>
      <w:r/>
      <w:bookmarkStart w:id="0" w:name="_Toc120614210"/>
      <w:r/>
      <w:bookmarkStart w:id="1" w:name="_Toc513029200"/>
      <w:r/>
      <w:bookmarkStart w:id="2" w:name="_Toc523127445"/>
      <w:r/>
      <w:bookmarkStart w:id="3" w:name="_Toc20823272"/>
      <w:r/>
      <w:bookmarkStart w:id="4" w:name="_Toc479757206"/>
      <w:r/>
      <w:bookmarkStart w:id="5" w:name="_Toc16938516"/>
      <w:r>
        <w:rPr>
          <w:rFonts w:ascii="等线 Light" w:hAnsi="等线 Light" w:eastAsia="黑体" w:cs="Times New Roman"/>
          <w:b/>
          <w:bCs/>
          <w:sz w:val="32"/>
          <w:szCs w:val="32"/>
          <w:lang w:val="zh-CN"/>
        </w:rPr>
        <w:t xml:space="preserve">目录</w:t>
      </w:r>
      <w:r/>
    </w:p>
    <w:p>
      <w:pPr>
        <w:pStyle w:val="894"/>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27573319" w:anchor="_Toc227573319" w:history="1">
        <w:r>
          <w:rPr>
            <w:rStyle w:val="919"/>
            <w:rFonts w:ascii="宋体" w:hAnsi="宋体"/>
          </w:rPr>
          <w:t xml:space="preserve">第一章  投标邀请</w:t>
        </w:r>
        <w:r>
          <w:tab/>
        </w:r>
        <w:r>
          <w:fldChar w:fldCharType="begin"/>
        </w:r>
        <w:r>
          <w:instrText xml:space="preserve"> PAGEREF _Toc227573319 \h </w:instrText>
        </w:r>
        <w:r>
          <w:fldChar w:fldCharType="separate"/>
        </w:r>
        <w:r>
          <w:t xml:space="preserve">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20" w:anchor="_Toc227573320" w:history="1">
        <w:r>
          <w:rPr>
            <w:rStyle w:val="919"/>
            <w:rFonts w:ascii="Times New Roman" w:hAnsi="Times New Roman"/>
          </w:rPr>
          <w:t xml:space="preserve">一、项目基本情况</w:t>
        </w:r>
        <w:r>
          <w:tab/>
        </w:r>
        <w:r>
          <w:fldChar w:fldCharType="begin"/>
        </w:r>
        <w:r>
          <w:instrText xml:space="preserve"> PAGEREF _Toc227573320 \h </w:instrText>
        </w:r>
        <w:r>
          <w:fldChar w:fldCharType="separate"/>
        </w:r>
        <w:r>
          <w:t xml:space="preserve">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21" w:anchor="_Toc227573321" w:history="1">
        <w:r>
          <w:rPr>
            <w:rStyle w:val="919"/>
            <w:rFonts w:ascii="Times New Roman" w:hAnsi="Times New Roman"/>
          </w:rPr>
          <w:t xml:space="preserve">二、申请人的资格要求</w:t>
        </w:r>
        <w:r>
          <w:tab/>
        </w:r>
        <w:r>
          <w:fldChar w:fldCharType="begin"/>
        </w:r>
        <w:r>
          <w:instrText xml:space="preserve"> PAGEREF _Toc227573321 \h </w:instrText>
        </w:r>
        <w:r>
          <w:fldChar w:fldCharType="separate"/>
        </w:r>
        <w:r>
          <w:t xml:space="preserve">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22" w:anchor="_Toc227573322" w:history="1">
        <w:r>
          <w:rPr>
            <w:rStyle w:val="919"/>
            <w:rFonts w:ascii="Times New Roman" w:hAnsi="Times New Roman"/>
          </w:rPr>
          <w:t xml:space="preserve">三、获取招标文件</w:t>
        </w:r>
        <w:r>
          <w:tab/>
        </w:r>
        <w:r>
          <w:fldChar w:fldCharType="begin"/>
        </w:r>
        <w:r>
          <w:instrText xml:space="preserve"> PAGEREF _Toc227573322 \h </w:instrText>
        </w:r>
        <w:r>
          <w:fldChar w:fldCharType="separate"/>
        </w:r>
        <w:r>
          <w:t xml:space="preserve">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23" w:anchor="_Toc227573323" w:history="1">
        <w:r>
          <w:rPr>
            <w:rStyle w:val="919"/>
            <w:rFonts w:ascii="Times New Roman" w:hAnsi="Times New Roman"/>
          </w:rPr>
          <w:t xml:space="preserve">四、提交投标文件截止时间、开标时间和地点</w:t>
        </w:r>
        <w:r>
          <w:tab/>
        </w:r>
        <w:r>
          <w:fldChar w:fldCharType="begin"/>
        </w:r>
        <w:r>
          <w:instrText xml:space="preserve"> PAGEREF _Toc227573323 \h </w:instrText>
        </w:r>
        <w:r>
          <w:fldChar w:fldCharType="separate"/>
        </w:r>
        <w:r>
          <w:t xml:space="preserve">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24" w:anchor="_Toc227573324" w:history="1">
        <w:r>
          <w:rPr>
            <w:rStyle w:val="919"/>
            <w:rFonts w:ascii="Times New Roman" w:hAnsi="Times New Roman"/>
          </w:rPr>
          <w:t xml:space="preserve">五、公告期限</w:t>
        </w:r>
        <w:r>
          <w:tab/>
        </w:r>
        <w:r>
          <w:fldChar w:fldCharType="begin"/>
        </w:r>
        <w:r>
          <w:instrText xml:space="preserve"> PAGEREF _Toc227573324 \h </w:instrText>
        </w:r>
        <w:r>
          <w:fldChar w:fldCharType="separate"/>
        </w:r>
        <w:r>
          <w:t xml:space="preserve">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25" w:anchor="_Toc227573325" w:history="1">
        <w:r>
          <w:rPr>
            <w:rStyle w:val="919"/>
            <w:rFonts w:ascii="Times New Roman" w:hAnsi="Times New Roman"/>
          </w:rPr>
          <w:t xml:space="preserve">六、其他补充事宜</w:t>
        </w:r>
        <w:r>
          <w:tab/>
        </w:r>
        <w:r>
          <w:fldChar w:fldCharType="begin"/>
        </w:r>
        <w:r>
          <w:instrText xml:space="preserve"> PAGEREF _Toc227573325 \h </w:instrText>
        </w:r>
        <w:r>
          <w:fldChar w:fldCharType="separate"/>
        </w:r>
        <w:r>
          <w:t xml:space="preserve">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26" w:anchor="_Toc227573326" w:history="1">
        <w:r>
          <w:rPr>
            <w:rStyle w:val="919"/>
            <w:rFonts w:ascii="Times New Roman" w:hAnsi="Times New Roman"/>
          </w:rPr>
          <w:t xml:space="preserve">七、本次招标联系方式</w:t>
        </w:r>
        <w:r>
          <w:tab/>
        </w:r>
        <w:r>
          <w:fldChar w:fldCharType="begin"/>
        </w:r>
        <w:r>
          <w:instrText xml:space="preserve"> PAGEREF _Toc227573326 \h </w:instrText>
        </w:r>
        <w:r>
          <w:fldChar w:fldCharType="separate"/>
        </w:r>
        <w:r>
          <w:t xml:space="preserve">5</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27573327" w:anchor="_Toc227573327" w:history="1">
        <w:r>
          <w:rPr>
            <w:rStyle w:val="919"/>
            <w:rFonts w:ascii="宋体" w:hAnsi="宋体"/>
          </w:rPr>
          <w:t xml:space="preserve">第二章  投标人须知</w:t>
        </w:r>
        <w:r>
          <w:tab/>
        </w:r>
        <w:r>
          <w:fldChar w:fldCharType="begin"/>
        </w:r>
        <w:r>
          <w:instrText xml:space="preserve"> PAGEREF _Toc227573327 \h </w:instrText>
        </w:r>
        <w:r>
          <w:fldChar w:fldCharType="separate"/>
        </w:r>
        <w:r>
          <w:t xml:space="preserve">6</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28" w:anchor="_Toc227573328" w:history="1">
        <w:r>
          <w:rPr>
            <w:rStyle w:val="919"/>
            <w:rFonts w:ascii="Times New Roman" w:hAnsi="Times New Roman"/>
          </w:rPr>
          <w:t xml:space="preserve">一、总则</w:t>
        </w:r>
        <w:r>
          <w:tab/>
        </w:r>
        <w:r>
          <w:fldChar w:fldCharType="begin"/>
        </w:r>
        <w:r>
          <w:instrText xml:space="preserve"> PAGEREF _Toc227573328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29" w:anchor="_Toc227573329" w:history="1">
        <w:r>
          <w:rPr>
            <w:rStyle w:val="919"/>
            <w:rFonts w:ascii="宋体" w:hAnsi="宋体" w:cs="Arial"/>
          </w:rPr>
          <w:t xml:space="preserve">1、采购方式及适用法律</w:t>
        </w:r>
        <w:r>
          <w:tab/>
        </w:r>
        <w:r>
          <w:fldChar w:fldCharType="begin"/>
        </w:r>
        <w:r>
          <w:instrText xml:space="preserve"> PAGEREF _Toc227573329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30" w:anchor="_Toc227573330" w:history="1">
        <w:r>
          <w:rPr>
            <w:rStyle w:val="919"/>
            <w:rFonts w:ascii="宋体" w:hAnsi="宋体" w:cs="Arial"/>
          </w:rPr>
          <w:t xml:space="preserve">2、定义</w:t>
        </w:r>
        <w:r>
          <w:tab/>
        </w:r>
        <w:r>
          <w:fldChar w:fldCharType="begin"/>
        </w:r>
        <w:r>
          <w:instrText xml:space="preserve"> PAGEREF _Toc227573330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31" w:anchor="_Toc227573331" w:history="1">
        <w:r>
          <w:rPr>
            <w:rStyle w:val="919"/>
            <w:rFonts w:ascii="宋体" w:hAnsi="宋体" w:cs="Arial"/>
          </w:rPr>
          <w:t xml:space="preserve">3、合格的投标人</w:t>
        </w:r>
        <w:r>
          <w:tab/>
        </w:r>
        <w:r>
          <w:fldChar w:fldCharType="begin"/>
        </w:r>
        <w:r>
          <w:instrText xml:space="preserve"> PAGEREF _Toc227573331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32" w:anchor="_Toc227573332" w:history="1">
        <w:r>
          <w:rPr>
            <w:rStyle w:val="919"/>
            <w:rFonts w:ascii="宋体" w:hAnsi="宋体" w:cs="Arial"/>
          </w:rPr>
          <w:t xml:space="preserve">4、投标费用</w:t>
        </w:r>
        <w:r>
          <w:tab/>
        </w:r>
        <w:r>
          <w:fldChar w:fldCharType="begin"/>
        </w:r>
        <w:r>
          <w:instrText xml:space="preserve"> PAGEREF _Toc227573332 \h </w:instrText>
        </w:r>
        <w:r>
          <w:fldChar w:fldCharType="separate"/>
        </w:r>
        <w:r>
          <w:t xml:space="preserve">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33" w:anchor="_Toc227573333" w:history="1">
        <w:r>
          <w:rPr>
            <w:rStyle w:val="919"/>
            <w:rFonts w:ascii="宋体" w:hAnsi="宋体" w:cs="Arial"/>
          </w:rPr>
          <w:t xml:space="preserve">5、招标文件的约束力</w:t>
        </w:r>
        <w:r>
          <w:tab/>
        </w:r>
        <w:r>
          <w:fldChar w:fldCharType="begin"/>
        </w:r>
        <w:r>
          <w:instrText xml:space="preserve"> PAGEREF _Toc227573333 \h </w:instrText>
        </w:r>
        <w:r>
          <w:fldChar w:fldCharType="separate"/>
        </w:r>
        <w:r>
          <w:t xml:space="preserve">7</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34" w:anchor="_Toc227573334" w:history="1">
        <w:r>
          <w:rPr>
            <w:rStyle w:val="919"/>
            <w:rFonts w:ascii="Times New Roman" w:hAnsi="Times New Roman"/>
          </w:rPr>
          <w:t xml:space="preserve">二、招标文件</w:t>
        </w:r>
        <w:r>
          <w:tab/>
        </w:r>
        <w:r>
          <w:fldChar w:fldCharType="begin"/>
        </w:r>
        <w:r>
          <w:instrText xml:space="preserve"> PAGEREF _Toc227573334 \h </w:instrText>
        </w:r>
        <w:r>
          <w:fldChar w:fldCharType="separate"/>
        </w:r>
        <w:r>
          <w:t xml:space="preserve">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35" w:anchor="_Toc227573335" w:history="1">
        <w:r>
          <w:rPr>
            <w:rStyle w:val="919"/>
            <w:rFonts w:ascii="宋体" w:hAnsi="宋体" w:cs="Arial"/>
          </w:rPr>
          <w:t xml:space="preserve">6、招标文件构成</w:t>
        </w:r>
        <w:r>
          <w:tab/>
        </w:r>
        <w:r>
          <w:fldChar w:fldCharType="begin"/>
        </w:r>
        <w:r>
          <w:instrText xml:space="preserve"> PAGEREF _Toc227573335 \h </w:instrText>
        </w:r>
        <w:r>
          <w:fldChar w:fldCharType="separate"/>
        </w:r>
        <w:r>
          <w:t xml:space="preserve">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36" w:anchor="_Toc227573336" w:history="1">
        <w:r>
          <w:rPr>
            <w:rStyle w:val="919"/>
            <w:rFonts w:ascii="宋体" w:hAnsi="宋体" w:cs="Arial"/>
          </w:rPr>
          <w:t xml:space="preserve">7、招标文件的澄清、修改</w:t>
        </w:r>
        <w:r>
          <w:tab/>
        </w:r>
        <w:r>
          <w:fldChar w:fldCharType="begin"/>
        </w:r>
        <w:r>
          <w:instrText xml:space="preserve"> PAGEREF _Toc227573336 \h </w:instrText>
        </w:r>
        <w:r>
          <w:fldChar w:fldCharType="separate"/>
        </w:r>
        <w:r>
          <w:t xml:space="preserve">7</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37" w:anchor="_Toc227573337" w:history="1">
        <w:r>
          <w:rPr>
            <w:rStyle w:val="919"/>
            <w:rFonts w:ascii="Times New Roman" w:hAnsi="Times New Roman"/>
          </w:rPr>
          <w:t xml:space="preserve">三、投标文件的编制</w:t>
        </w:r>
        <w:r>
          <w:tab/>
        </w:r>
        <w:r>
          <w:fldChar w:fldCharType="begin"/>
        </w:r>
        <w:r>
          <w:instrText xml:space="preserve"> PAGEREF _Toc227573337 \h </w:instrText>
        </w:r>
        <w:r>
          <w:fldChar w:fldCharType="separate"/>
        </w:r>
        <w:r>
          <w:t xml:space="preserve">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38" w:anchor="_Toc227573338" w:history="1">
        <w:r>
          <w:rPr>
            <w:rStyle w:val="919"/>
            <w:rFonts w:ascii="宋体" w:hAnsi="宋体" w:cs="Arial"/>
          </w:rPr>
          <w:t xml:space="preserve">8、投标文件的语言及度量衡单位</w:t>
        </w:r>
        <w:r>
          <w:tab/>
        </w:r>
        <w:r>
          <w:fldChar w:fldCharType="begin"/>
        </w:r>
        <w:r>
          <w:instrText xml:space="preserve"> PAGEREF _Toc227573338 \h </w:instrText>
        </w:r>
        <w:r>
          <w:fldChar w:fldCharType="separate"/>
        </w:r>
        <w:r>
          <w:t xml:space="preserve">7</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39" w:anchor="_Toc227573339" w:history="1">
        <w:r>
          <w:rPr>
            <w:rStyle w:val="919"/>
            <w:rFonts w:ascii="宋体" w:hAnsi="宋体" w:cs="Arial"/>
          </w:rPr>
          <w:t xml:space="preserve">9、投标文件构成</w:t>
        </w:r>
        <w:r>
          <w:tab/>
        </w:r>
        <w:r>
          <w:fldChar w:fldCharType="begin"/>
        </w:r>
        <w:r>
          <w:instrText xml:space="preserve"> PAGEREF _Toc227573339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40" w:anchor="_Toc227573340" w:history="1">
        <w:r>
          <w:rPr>
            <w:rStyle w:val="919"/>
            <w:rFonts w:ascii="宋体" w:hAnsi="宋体" w:cs="Arial"/>
          </w:rPr>
          <w:t xml:space="preserve">10、证明投标人及投标标的符合招标文件规定的文件</w:t>
        </w:r>
        <w:r>
          <w:tab/>
        </w:r>
        <w:r>
          <w:fldChar w:fldCharType="begin"/>
        </w:r>
        <w:r>
          <w:instrText xml:space="preserve"> PAGEREF _Toc227573340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41" w:anchor="_Toc227573341" w:history="1">
        <w:r>
          <w:rPr>
            <w:rStyle w:val="919"/>
            <w:rFonts w:ascii="宋体" w:hAnsi="宋体" w:cs="Arial"/>
          </w:rPr>
          <w:t xml:space="preserve">11、投标函和开标一览表</w:t>
        </w:r>
        <w:r>
          <w:tab/>
        </w:r>
        <w:r>
          <w:fldChar w:fldCharType="begin"/>
        </w:r>
        <w:r>
          <w:instrText xml:space="preserve"> PAGEREF _Toc227573341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42" w:anchor="_Toc227573342" w:history="1">
        <w:r>
          <w:rPr>
            <w:rStyle w:val="919"/>
            <w:rFonts w:ascii="宋体" w:hAnsi="宋体" w:cs="Arial"/>
          </w:rPr>
          <w:t xml:space="preserve">12、其他</w:t>
        </w:r>
        <w:r>
          <w:tab/>
        </w:r>
        <w:r>
          <w:fldChar w:fldCharType="begin"/>
        </w:r>
        <w:r>
          <w:instrText xml:space="preserve"> PAGEREF _Toc227573342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43" w:anchor="_Toc227573343" w:history="1">
        <w:r>
          <w:rPr>
            <w:rStyle w:val="919"/>
            <w:rFonts w:ascii="宋体" w:hAnsi="宋体" w:cs="Arial"/>
          </w:rPr>
          <w:t xml:space="preserve">13、投标有效期</w:t>
        </w:r>
        <w:r>
          <w:tab/>
        </w:r>
        <w:r>
          <w:fldChar w:fldCharType="begin"/>
        </w:r>
        <w:r>
          <w:instrText xml:space="preserve"> PAGEREF _Toc227573343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44" w:anchor="_Toc227573344" w:history="1">
        <w:r>
          <w:rPr>
            <w:rStyle w:val="919"/>
            <w:rFonts w:ascii="宋体" w:hAnsi="宋体" w:cs="Arial"/>
          </w:rPr>
          <w:t xml:space="preserve">14、投标有效期的延长</w:t>
        </w:r>
        <w:r>
          <w:tab/>
        </w:r>
        <w:r>
          <w:fldChar w:fldCharType="begin"/>
        </w:r>
        <w:r>
          <w:instrText xml:space="preserve"> PAGEREF _Toc227573344 \h </w:instrText>
        </w:r>
        <w:r>
          <w:fldChar w:fldCharType="separate"/>
        </w:r>
        <w:r>
          <w:t xml:space="preserve">8</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45" w:anchor="_Toc227573345" w:history="1">
        <w:r>
          <w:rPr>
            <w:rStyle w:val="919"/>
            <w:rFonts w:ascii="Times New Roman" w:hAnsi="Times New Roman"/>
          </w:rPr>
          <w:t xml:space="preserve">四、投标文件的递交</w:t>
        </w:r>
        <w:r>
          <w:tab/>
        </w:r>
        <w:r>
          <w:fldChar w:fldCharType="begin"/>
        </w:r>
        <w:r>
          <w:instrText xml:space="preserve"> PAGEREF _Toc227573345 \h </w:instrText>
        </w:r>
        <w:r>
          <w:fldChar w:fldCharType="separate"/>
        </w:r>
        <w:r>
          <w:t xml:space="preserve">8</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46" w:anchor="_Toc227573346" w:history="1">
        <w:r>
          <w:rPr>
            <w:rStyle w:val="919"/>
            <w:rFonts w:ascii="宋体" w:hAnsi="宋体" w:cs="Arial"/>
          </w:rPr>
          <w:t xml:space="preserve">15、电子投标文件的递交</w:t>
        </w:r>
        <w:r>
          <w:tab/>
        </w:r>
        <w:r>
          <w:fldChar w:fldCharType="begin"/>
        </w:r>
        <w:r>
          <w:instrText xml:space="preserve"> PAGEREF _Toc227573346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47" w:anchor="_Toc227573347" w:history="1">
        <w:r>
          <w:rPr>
            <w:rStyle w:val="919"/>
            <w:rFonts w:ascii="宋体" w:hAnsi="宋体" w:cs="Arial"/>
          </w:rPr>
          <w:t xml:space="preserve">16、投标截止日期</w:t>
        </w:r>
        <w:r>
          <w:tab/>
        </w:r>
        <w:r>
          <w:fldChar w:fldCharType="begin"/>
        </w:r>
        <w:r>
          <w:instrText xml:space="preserve"> PAGEREF _Toc227573347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48" w:anchor="_Toc227573348" w:history="1">
        <w:r>
          <w:rPr>
            <w:rStyle w:val="919"/>
            <w:rFonts w:ascii="宋体" w:hAnsi="宋体" w:cs="Arial"/>
          </w:rPr>
          <w:t xml:space="preserve">17、投标文件的拒收</w:t>
        </w:r>
        <w:r>
          <w:tab/>
        </w:r>
        <w:r>
          <w:fldChar w:fldCharType="begin"/>
        </w:r>
        <w:r>
          <w:instrText xml:space="preserve"> PAGEREF _Toc227573348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49" w:anchor="_Toc227573349" w:history="1">
        <w:r>
          <w:rPr>
            <w:rStyle w:val="919"/>
            <w:rFonts w:ascii="宋体" w:hAnsi="宋体" w:cs="Arial"/>
          </w:rPr>
          <w:t xml:space="preserve">18、投标文件的撤回和修改</w:t>
        </w:r>
        <w:r>
          <w:tab/>
        </w:r>
        <w:r>
          <w:fldChar w:fldCharType="begin"/>
        </w:r>
        <w:r>
          <w:instrText xml:space="preserve"> PAGEREF _Toc227573349 \h </w:instrText>
        </w:r>
        <w:r>
          <w:fldChar w:fldCharType="separate"/>
        </w:r>
        <w:r>
          <w:t xml:space="preserve">9</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50" w:anchor="_Toc227573350" w:history="1">
        <w:r>
          <w:rPr>
            <w:rStyle w:val="919"/>
            <w:rFonts w:ascii="Times New Roman" w:hAnsi="Times New Roman"/>
          </w:rPr>
          <w:t xml:space="preserve">五、开标与评标</w:t>
        </w:r>
        <w:r>
          <w:tab/>
        </w:r>
        <w:r>
          <w:fldChar w:fldCharType="begin"/>
        </w:r>
        <w:r>
          <w:instrText xml:space="preserve"> PAGEREF _Toc227573350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51" w:anchor="_Toc227573351" w:history="1">
        <w:r>
          <w:rPr>
            <w:rStyle w:val="919"/>
            <w:rFonts w:ascii="宋体" w:hAnsi="宋体" w:cs="Arial"/>
          </w:rPr>
          <w:t xml:space="preserve">19、开标</w:t>
        </w:r>
        <w:r>
          <w:tab/>
        </w:r>
        <w:r>
          <w:fldChar w:fldCharType="begin"/>
        </w:r>
        <w:r>
          <w:instrText xml:space="preserve"> PAGEREF _Toc227573351 \h </w:instrText>
        </w:r>
        <w:r>
          <w:fldChar w:fldCharType="separate"/>
        </w:r>
        <w:r>
          <w:t xml:space="preserve">9</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52" w:anchor="_Toc227573352" w:history="1">
        <w:r>
          <w:rPr>
            <w:rStyle w:val="919"/>
            <w:rFonts w:ascii="宋体" w:hAnsi="宋体" w:cs="Arial"/>
          </w:rPr>
          <w:t xml:space="preserve">20、评标委员会</w:t>
        </w:r>
        <w:r>
          <w:tab/>
        </w:r>
        <w:r>
          <w:fldChar w:fldCharType="begin"/>
        </w:r>
        <w:r>
          <w:instrText xml:space="preserve"> PAGEREF _Toc227573352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53" w:anchor="_Toc227573353" w:history="1">
        <w:r>
          <w:rPr>
            <w:rStyle w:val="919"/>
            <w:rFonts w:ascii="宋体" w:hAnsi="宋体" w:cs="Arial"/>
          </w:rPr>
          <w:t xml:space="preserve">21．评标过程的保密与公正</w:t>
        </w:r>
        <w:r>
          <w:tab/>
        </w:r>
        <w:r>
          <w:fldChar w:fldCharType="begin"/>
        </w:r>
        <w:r>
          <w:instrText xml:space="preserve"> PAGEREF _Toc227573353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54" w:anchor="_Toc227573354" w:history="1">
        <w:r>
          <w:rPr>
            <w:rStyle w:val="919"/>
            <w:rFonts w:ascii="宋体" w:hAnsi="宋体" w:cs="Arial"/>
          </w:rPr>
          <w:t xml:space="preserve">22．投标文件的澄清</w:t>
        </w:r>
        <w:r>
          <w:tab/>
        </w:r>
        <w:r>
          <w:fldChar w:fldCharType="begin"/>
        </w:r>
        <w:r>
          <w:instrText xml:space="preserve"> PAGEREF _Toc227573354 \h </w:instrText>
        </w:r>
        <w:r>
          <w:fldChar w:fldCharType="separate"/>
        </w:r>
        <w:r>
          <w:t xml:space="preserve">10</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55" w:anchor="_Toc227573355" w:history="1">
        <w:r>
          <w:rPr>
            <w:rStyle w:val="919"/>
            <w:rFonts w:ascii="宋体" w:hAnsi="宋体" w:cs="Arial"/>
          </w:rPr>
          <w:t xml:space="preserve">23、对投标文件的初审</w:t>
        </w:r>
        <w:r>
          <w:tab/>
        </w:r>
        <w:r>
          <w:fldChar w:fldCharType="begin"/>
        </w:r>
        <w:r>
          <w:instrText xml:space="preserve"> PAGEREF _Toc227573355 \h </w:instrText>
        </w:r>
        <w:r>
          <w:fldChar w:fldCharType="separate"/>
        </w:r>
        <w:r>
          <w:t xml:space="preserve">11</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56" w:anchor="_Toc227573356" w:history="1">
        <w:r>
          <w:rPr>
            <w:rStyle w:val="919"/>
            <w:rFonts w:ascii="宋体" w:hAnsi="宋体" w:cs="Arial"/>
          </w:rPr>
          <w:t xml:space="preserve">24、无效投标条款和废标条款</w:t>
        </w:r>
        <w:r>
          <w:tab/>
        </w:r>
        <w:r>
          <w:fldChar w:fldCharType="begin"/>
        </w:r>
        <w:r>
          <w:instrText xml:space="preserve"> PAGEREF _Toc227573356 \h </w:instrText>
        </w:r>
        <w:r>
          <w:fldChar w:fldCharType="separate"/>
        </w:r>
        <w:r>
          <w:t xml:space="preserve">13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57" w:anchor="_Toc227573357" w:history="1">
        <w:r>
          <w:rPr>
            <w:rStyle w:val="919"/>
            <w:rFonts w:ascii="Times New Roman" w:hAnsi="Times New Roman"/>
          </w:rPr>
          <w:t xml:space="preserve">六、定标</w:t>
        </w:r>
        <w:r>
          <w:tab/>
        </w:r>
        <w:r>
          <w:fldChar w:fldCharType="begin"/>
        </w:r>
        <w:r>
          <w:instrText xml:space="preserve"> PAGEREF _Toc227573357 \h </w:instrText>
        </w:r>
        <w:r>
          <w:fldChar w:fldCharType="separate"/>
        </w:r>
        <w:r>
          <w:t xml:space="preserve">14</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58" w:anchor="_Toc227573358" w:history="1">
        <w:r>
          <w:rPr>
            <w:rStyle w:val="919"/>
            <w:rFonts w:ascii="宋体" w:hAnsi="宋体" w:cs="Arial"/>
          </w:rPr>
          <w:t xml:space="preserve">25、确定中标单位</w:t>
        </w:r>
        <w:r>
          <w:tab/>
        </w:r>
        <w:r>
          <w:fldChar w:fldCharType="begin"/>
        </w:r>
        <w:r>
          <w:instrText xml:space="preserve"> PAGEREF _Toc227573358 \h </w:instrText>
        </w:r>
        <w:r>
          <w:fldChar w:fldCharType="separate"/>
        </w:r>
        <w:r>
          <w:t xml:space="preserve">14</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59" w:anchor="_Toc227573359" w:history="1">
        <w:r>
          <w:rPr>
            <w:rStyle w:val="919"/>
            <w:rFonts w:ascii="宋体" w:hAnsi="宋体" w:cs="Arial"/>
          </w:rPr>
          <w:t xml:space="preserve">26、质疑处理</w:t>
        </w:r>
        <w:r>
          <w:tab/>
        </w:r>
        <w:r>
          <w:fldChar w:fldCharType="begin"/>
        </w:r>
        <w:r>
          <w:instrText xml:space="preserve"> PAGEREF _Toc227573359 \h </w:instrText>
        </w:r>
        <w:r>
          <w:fldChar w:fldCharType="separate"/>
        </w:r>
        <w:r>
          <w:t xml:space="preserve">14</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60" w:anchor="_Toc227573360" w:history="1">
        <w:r>
          <w:rPr>
            <w:rStyle w:val="919"/>
            <w:rFonts w:ascii="宋体" w:hAnsi="宋体" w:cs="Arial"/>
          </w:rPr>
          <w:t xml:space="preserve">27、中标通知书</w:t>
        </w:r>
        <w:r>
          <w:tab/>
        </w:r>
        <w:r>
          <w:fldChar w:fldCharType="begin"/>
        </w:r>
        <w:r>
          <w:instrText xml:space="preserve"> PAGEREF _Toc227573360 \h </w:instrText>
        </w:r>
        <w:r>
          <w:fldChar w:fldCharType="separate"/>
        </w:r>
        <w:r>
          <w:t xml:space="preserve">15</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61" w:anchor="_Toc227573361" w:history="1">
        <w:r>
          <w:rPr>
            <w:rStyle w:val="919"/>
            <w:rFonts w:ascii="Times New Roman" w:hAnsi="Times New Roman"/>
          </w:rPr>
          <w:t xml:space="preserve">七、授予合同</w:t>
        </w:r>
        <w:r>
          <w:tab/>
        </w:r>
        <w:r>
          <w:fldChar w:fldCharType="begin"/>
        </w:r>
        <w:r>
          <w:instrText xml:space="preserve"> PAGEREF _Toc227573361 \h </w:instrText>
        </w:r>
        <w:r>
          <w:fldChar w:fldCharType="separate"/>
        </w:r>
        <w:r>
          <w:t xml:space="preserve">16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62" w:anchor="_Toc227573362" w:history="1">
        <w:r>
          <w:rPr>
            <w:rStyle w:val="919"/>
            <w:rFonts w:ascii="宋体" w:hAnsi="宋体" w:cs="Arial"/>
          </w:rPr>
          <w:t xml:space="preserve">28、签订合同</w:t>
        </w:r>
        <w:r>
          <w:tab/>
        </w:r>
        <w:r>
          <w:fldChar w:fldCharType="begin"/>
        </w:r>
        <w:r>
          <w:instrText xml:space="preserve"> PAGEREF _Toc227573362 \h </w:instrText>
        </w:r>
        <w:r>
          <w:fldChar w:fldCharType="separate"/>
        </w:r>
        <w:r>
          <w:t xml:space="preserve">16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63" w:anchor="_Toc227573363" w:history="1">
        <w:r>
          <w:rPr>
            <w:rStyle w:val="919"/>
            <w:rFonts w:ascii="宋体" w:hAnsi="宋体" w:cs="Arial"/>
          </w:rPr>
          <w:t xml:space="preserve">29、货物或服务的追加</w:t>
        </w:r>
        <w:r>
          <w:tab/>
        </w:r>
        <w:r>
          <w:fldChar w:fldCharType="begin"/>
        </w:r>
        <w:r>
          <w:instrText xml:space="preserve"> PAGEREF _Toc227573363 \h </w:instrText>
        </w:r>
        <w:r>
          <w:fldChar w:fldCharType="separate"/>
        </w:r>
        <w:r>
          <w:t xml:space="preserve">16</w:t>
        </w:r>
        <w:r>
          <w:fldChar w:fldCharType="end"/>
        </w:r>
      </w:hyperlink>
      <w:r/>
      <w:r/>
    </w:p>
    <w:p>
      <w:pPr>
        <w:pStyle w:val="883"/>
        <w:tabs>
          <w:tab w:val="right" w:pos="9736" w:leader="dot"/>
        </w:tabs>
        <w:rPr>
          <w:rFonts w:asciiTheme="minorHAnsi" w:hAnsiTheme="minorHAnsi" w:eastAsiaTheme="minorEastAsia" w:cstheme="minorBidi"/>
          <w:smallCaps w:val="0"/>
          <w:sz w:val="21"/>
        </w:rPr>
      </w:pPr>
      <w:r/>
      <w:hyperlink w:tooltip="#_Toc227573364" w:anchor="_Toc227573364" w:history="1">
        <w:r>
          <w:rPr>
            <w:rStyle w:val="919"/>
            <w:rFonts w:ascii="宋体" w:hAnsi="宋体" w:cs="Arial"/>
          </w:rPr>
          <w:t xml:space="preserve">30、政府采购信用融资政策</w:t>
        </w:r>
        <w:r>
          <w:tab/>
        </w:r>
        <w:r>
          <w:fldChar w:fldCharType="begin"/>
        </w:r>
        <w:r>
          <w:instrText xml:space="preserve"> PAGEREF _Toc227573364 \h </w:instrText>
        </w:r>
        <w:r>
          <w:fldChar w:fldCharType="separate"/>
        </w:r>
        <w:r>
          <w:t xml:space="preserve">16</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27573365" w:anchor="_Toc227573365" w:history="1">
        <w:r>
          <w:rPr>
            <w:rStyle w:val="919"/>
            <w:rFonts w:ascii="宋体" w:hAnsi="宋体"/>
          </w:rPr>
          <w:t xml:space="preserve">第三章  合同文本</w:t>
        </w:r>
        <w:r>
          <w:tab/>
        </w:r>
        <w:r>
          <w:fldChar w:fldCharType="begin"/>
        </w:r>
        <w:r>
          <w:instrText xml:space="preserve"> PAGEREF _Toc227573365 \h </w:instrText>
        </w:r>
        <w:r>
          <w:fldChar w:fldCharType="separate"/>
        </w:r>
        <w:r>
          <w:t xml:space="preserve">17</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27573366" w:anchor="_Toc227573366" w:history="1">
        <w:r>
          <w:rPr>
            <w:rStyle w:val="919"/>
            <w:rFonts w:ascii="宋体" w:hAnsi="宋体"/>
          </w:rPr>
          <w:t xml:space="preserve">第四章  采购需求</w:t>
        </w:r>
        <w:r>
          <w:tab/>
        </w:r>
        <w:r>
          <w:fldChar w:fldCharType="begin"/>
        </w:r>
        <w:r>
          <w:instrText xml:space="preserve"> PAGEREF _Toc227573366 \h </w:instrText>
        </w:r>
        <w:r>
          <w:fldChar w:fldCharType="separate"/>
        </w:r>
        <w:r>
          <w:t xml:space="preserve">23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67" w:anchor="_Toc227573367" w:history="1">
        <w:r>
          <w:rPr>
            <w:rStyle w:val="919"/>
            <w:rFonts w:ascii="Times New Roman" w:hAnsi="Times New Roman"/>
          </w:rPr>
          <w:t xml:space="preserve">一、项目说明：</w:t>
        </w:r>
        <w:r>
          <w:tab/>
        </w:r>
        <w:r>
          <w:fldChar w:fldCharType="begin"/>
        </w:r>
        <w:r>
          <w:instrText xml:space="preserve"> PAGEREF _Toc227573367 \h </w:instrText>
        </w:r>
        <w:r>
          <w:fldChar w:fldCharType="separate"/>
        </w:r>
        <w:r>
          <w:t xml:space="preserve">23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68" w:anchor="_Toc227573368" w:history="1">
        <w:r>
          <w:rPr>
            <w:rStyle w:val="919"/>
            <w:rFonts w:ascii="Times New Roman" w:hAnsi="Times New Roman"/>
          </w:rPr>
          <w:t xml:space="preserve">二、项目实施要求：</w:t>
        </w:r>
        <w:r>
          <w:tab/>
        </w:r>
        <w:r>
          <w:fldChar w:fldCharType="begin"/>
        </w:r>
        <w:r>
          <w:instrText xml:space="preserve"> PAGEREF _Toc227573368 \h </w:instrText>
        </w:r>
        <w:r>
          <w:fldChar w:fldCharType="separate"/>
        </w:r>
        <w:r>
          <w:t xml:space="preserve">23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69" w:anchor="_Toc227573369" w:history="1">
        <w:r>
          <w:rPr>
            <w:rStyle w:val="919"/>
            <w:rFonts w:ascii="Times New Roman" w:hAnsi="Times New Roman"/>
          </w:rPr>
          <w:t xml:space="preserve">三、人员配置要求</w:t>
        </w:r>
        <w:r>
          <w:tab/>
        </w:r>
        <w:r>
          <w:fldChar w:fldCharType="begin"/>
        </w:r>
        <w:r>
          <w:instrText xml:space="preserve"> PAGEREF _Toc227573369 \h </w:instrText>
        </w:r>
        <w:r>
          <w:fldChar w:fldCharType="separate"/>
        </w:r>
        <w:r>
          <w:t xml:space="preserve">35</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70" w:anchor="_Toc227573370" w:history="1">
        <w:r>
          <w:rPr>
            <w:rStyle w:val="919"/>
            <w:rFonts w:ascii="Times New Roman" w:hAnsi="Times New Roman"/>
          </w:rPr>
          <w:t xml:space="preserve">四、报价要求</w:t>
        </w:r>
        <w:r>
          <w:tab/>
        </w:r>
        <w:r>
          <w:fldChar w:fldCharType="begin"/>
        </w:r>
        <w:r>
          <w:instrText xml:space="preserve"> PAGEREF _Toc227573370 \h </w:instrText>
        </w:r>
        <w:r>
          <w:fldChar w:fldCharType="separate"/>
        </w:r>
        <w:r>
          <w:t xml:space="preserve">36</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71" w:anchor="_Toc227573371" w:history="1">
        <w:r>
          <w:rPr>
            <w:rStyle w:val="919"/>
            <w:rFonts w:ascii="Times New Roman" w:hAnsi="Times New Roman"/>
          </w:rPr>
          <w:t xml:space="preserve">五、验收要求：</w:t>
        </w:r>
        <w:r>
          <w:tab/>
        </w:r>
        <w:r>
          <w:fldChar w:fldCharType="begin"/>
        </w:r>
        <w:r>
          <w:instrText xml:space="preserve"> PAGEREF _Toc227573371 \h </w:instrText>
        </w:r>
        <w:r>
          <w:fldChar w:fldCharType="separate"/>
        </w:r>
        <w:r>
          <w:t xml:space="preserve">36</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72" w:anchor="_Toc227573372" w:history="1">
        <w:r>
          <w:rPr>
            <w:rStyle w:val="919"/>
            <w:rFonts w:ascii="Times New Roman" w:hAnsi="Times New Roman"/>
          </w:rPr>
          <w:t xml:space="preserve">六、运维服务要求：</w:t>
        </w:r>
        <w:r>
          <w:tab/>
        </w:r>
        <w:r>
          <w:fldChar w:fldCharType="begin"/>
        </w:r>
        <w:r>
          <w:instrText xml:space="preserve"> PAGEREF _Toc227573372 \h </w:instrText>
        </w:r>
        <w:r>
          <w:fldChar w:fldCharType="separate"/>
        </w:r>
        <w:r>
          <w:t xml:space="preserve">36</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73" w:anchor="_Toc227573373" w:history="1">
        <w:r>
          <w:rPr>
            <w:rStyle w:val="919"/>
            <w:rFonts w:ascii="Times New Roman" w:hAnsi="Times New Roman"/>
          </w:rPr>
          <w:t xml:space="preserve">七、其他要求：</w:t>
        </w:r>
        <w:r>
          <w:tab/>
        </w:r>
        <w:r>
          <w:fldChar w:fldCharType="begin"/>
        </w:r>
        <w:r>
          <w:instrText xml:space="preserve"> PAGEREF _Toc227573373 \h </w:instrText>
        </w:r>
        <w:r>
          <w:fldChar w:fldCharType="separate"/>
        </w:r>
        <w:r>
          <w:t xml:space="preserve">37</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74" w:anchor="_Toc227573374" w:history="1">
        <w:r>
          <w:rPr>
            <w:rStyle w:val="919"/>
            <w:rFonts w:ascii="Times New Roman" w:hAnsi="Times New Roman"/>
          </w:rPr>
          <w:t xml:space="preserve">八、实质性要求：</w:t>
        </w:r>
        <w:r>
          <w:tab/>
        </w:r>
        <w:r>
          <w:fldChar w:fldCharType="begin"/>
        </w:r>
        <w:r>
          <w:instrText xml:space="preserve"> PAGEREF _Toc227573374 \h </w:instrText>
        </w:r>
        <w:r>
          <w:fldChar w:fldCharType="separate"/>
        </w:r>
        <w:r>
          <w:t xml:space="preserve">38</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27573375" w:anchor="_Toc227573375" w:history="1">
        <w:r>
          <w:rPr>
            <w:rStyle w:val="919"/>
            <w:rFonts w:ascii="宋体" w:hAnsi="宋体"/>
          </w:rPr>
          <w:t xml:space="preserve">第五章  评标方法与评标标准</w:t>
        </w:r>
        <w:r>
          <w:tab/>
        </w:r>
        <w:r>
          <w:fldChar w:fldCharType="begin"/>
        </w:r>
        <w:r>
          <w:instrText xml:space="preserve"> PAGEREF _Toc227573375 \h </w:instrText>
        </w:r>
        <w:r>
          <w:fldChar w:fldCharType="separate"/>
        </w:r>
        <w:r>
          <w:t xml:space="preserve">39</w:t>
        </w:r>
        <w:r>
          <w:fldChar w:fldCharType="end"/>
        </w:r>
      </w:hyperlink>
      <w:r/>
      <w:r/>
    </w:p>
    <w:p>
      <w:pPr>
        <w:pStyle w:val="894"/>
        <w:tabs>
          <w:tab w:val="right" w:pos="9736" w:leader="dot"/>
        </w:tabs>
        <w:rPr>
          <w:rFonts w:asciiTheme="minorHAnsi" w:hAnsiTheme="minorHAnsi" w:eastAsiaTheme="minorEastAsia" w:cstheme="minorBidi"/>
          <w:b w:val="0"/>
          <w:bCs w:val="0"/>
          <w:caps w:val="0"/>
          <w:sz w:val="21"/>
          <w:u w:val="none"/>
        </w:rPr>
      </w:pPr>
      <w:r/>
      <w:hyperlink w:tooltip="#_Toc227573376" w:anchor="_Toc227573376" w:history="1">
        <w:r>
          <w:rPr>
            <w:rStyle w:val="919"/>
            <w:rFonts w:ascii="宋体" w:hAnsi="宋体"/>
          </w:rPr>
          <w:t xml:space="preserve">第六章  投标文件格式</w:t>
        </w:r>
        <w:r>
          <w:tab/>
        </w:r>
        <w:r>
          <w:fldChar w:fldCharType="begin"/>
        </w:r>
        <w:r>
          <w:instrText xml:space="preserve"> PAGEREF _Toc227573376 \h </w:instrText>
        </w:r>
        <w:r>
          <w:fldChar w:fldCharType="separate"/>
        </w:r>
        <w:r>
          <w:t xml:space="preserve">47</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77" w:anchor="_Toc227573377" w:history="1">
        <w:r>
          <w:rPr>
            <w:rStyle w:val="919"/>
            <w:rFonts w:ascii="Times New Roman" w:hAnsi="Times New Roman"/>
          </w:rPr>
          <w:t xml:space="preserve">投标文件目录</w:t>
        </w:r>
        <w:r>
          <w:tab/>
        </w:r>
        <w:r>
          <w:fldChar w:fldCharType="begin"/>
        </w:r>
        <w:r>
          <w:instrText xml:space="preserve"> PAGEREF _Toc227573377 \h </w:instrText>
        </w:r>
        <w:r>
          <w:fldChar w:fldCharType="separate"/>
        </w:r>
        <w:r>
          <w:t xml:space="preserve">48</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78" w:anchor="_Toc227573378" w:history="1">
        <w:r>
          <w:rPr>
            <w:rStyle w:val="919"/>
            <w:rFonts w:ascii="宋体" w:hAnsi="宋体"/>
          </w:rPr>
          <w:t xml:space="preserve">附件1 开标一览表</w:t>
        </w:r>
        <w:r>
          <w:tab/>
        </w:r>
        <w:r>
          <w:fldChar w:fldCharType="begin"/>
        </w:r>
        <w:r>
          <w:instrText xml:space="preserve"> PAGEREF _Toc227573378 \h </w:instrText>
        </w:r>
        <w:r>
          <w:fldChar w:fldCharType="separate"/>
        </w:r>
        <w:r>
          <w:t xml:space="preserve">50</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79" w:anchor="_Toc227573379" w:history="1">
        <w:r>
          <w:rPr>
            <w:rStyle w:val="919"/>
            <w:rFonts w:ascii="宋体" w:hAnsi="宋体"/>
          </w:rPr>
          <w:t xml:space="preserve">附件2 具有履行合同所必需的设备和专业技术能力的声明函</w:t>
        </w:r>
        <w:r>
          <w:tab/>
        </w:r>
        <w:r>
          <w:fldChar w:fldCharType="begin"/>
        </w:r>
        <w:r>
          <w:instrText xml:space="preserve"> PAGEREF _Toc227573379 \h </w:instrText>
        </w:r>
        <w:r>
          <w:fldChar w:fldCharType="separate"/>
        </w:r>
        <w:r>
          <w:t xml:space="preserve">51</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0" w:anchor="_Toc227573380" w:history="1">
        <w:r>
          <w:rPr>
            <w:rStyle w:val="919"/>
            <w:rFonts w:ascii="宋体" w:hAnsi="宋体"/>
          </w:rPr>
          <w:t xml:space="preserve">附件3 承诺说明</w:t>
        </w:r>
        <w:r>
          <w:tab/>
        </w:r>
        <w:r>
          <w:fldChar w:fldCharType="begin"/>
        </w:r>
        <w:r>
          <w:instrText xml:space="preserve"> PAGEREF _Toc227573380 \h </w:instrText>
        </w:r>
        <w:r>
          <w:fldChar w:fldCharType="separate"/>
        </w:r>
        <w:r>
          <w:t xml:space="preserve">52</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1" w:anchor="_Toc227573381" w:history="1">
        <w:r>
          <w:rPr>
            <w:rStyle w:val="919"/>
            <w:rFonts w:ascii="宋体" w:hAnsi="宋体"/>
          </w:rPr>
          <w:t xml:space="preserve">附件4 中小企业声明函</w:t>
        </w:r>
        <w:r>
          <w:tab/>
        </w:r>
        <w:r>
          <w:fldChar w:fldCharType="begin"/>
        </w:r>
        <w:r>
          <w:instrText xml:space="preserve"> PAGEREF _Toc227573381 \h </w:instrText>
        </w:r>
        <w:r>
          <w:fldChar w:fldCharType="separate"/>
        </w:r>
        <w:r>
          <w:t xml:space="preserve">53</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2" w:anchor="_Toc227573382" w:history="1">
        <w:r>
          <w:rPr>
            <w:rStyle w:val="919"/>
            <w:rFonts w:ascii="宋体" w:hAnsi="宋体"/>
          </w:rPr>
          <w:t xml:space="preserve">附件5 残疾人福利性单位声明函</w:t>
        </w:r>
        <w:r>
          <w:tab/>
        </w:r>
        <w:r>
          <w:fldChar w:fldCharType="begin"/>
        </w:r>
        <w:r>
          <w:instrText xml:space="preserve"> PAGEREF _Toc227573382 \h </w:instrText>
        </w:r>
        <w:r>
          <w:fldChar w:fldCharType="separate"/>
        </w:r>
        <w:r>
          <w:t xml:space="preserve">54</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3" w:anchor="_Toc227573383" w:history="1">
        <w:r>
          <w:rPr>
            <w:rStyle w:val="919"/>
            <w:rFonts w:ascii="宋体" w:hAnsi="宋体"/>
          </w:rPr>
          <w:t xml:space="preserve">附件6 投标函</w:t>
        </w:r>
        <w:r>
          <w:tab/>
        </w:r>
        <w:r>
          <w:fldChar w:fldCharType="begin"/>
        </w:r>
        <w:r>
          <w:instrText xml:space="preserve"> PAGEREF _Toc227573383 \h </w:instrText>
        </w:r>
        <w:r>
          <w:fldChar w:fldCharType="separate"/>
        </w:r>
        <w:r>
          <w:t xml:space="preserve">55</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4" w:anchor="_Toc227573384" w:history="1">
        <w:r>
          <w:rPr>
            <w:rStyle w:val="919"/>
            <w:rFonts w:ascii="宋体" w:hAnsi="宋体"/>
          </w:rPr>
          <w:t xml:space="preserve">附件7 法人授权书</w:t>
        </w:r>
        <w:r>
          <w:tab/>
        </w:r>
        <w:r>
          <w:fldChar w:fldCharType="begin"/>
        </w:r>
        <w:r>
          <w:instrText xml:space="preserve"> PAGEREF _Toc227573384 \h </w:instrText>
        </w:r>
        <w:r>
          <w:fldChar w:fldCharType="separate"/>
        </w:r>
        <w:r>
          <w:t xml:space="preserve">56</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5" w:anchor="_Toc227573385" w:history="1">
        <w:r>
          <w:rPr>
            <w:rStyle w:val="919"/>
            <w:rFonts w:ascii="宋体" w:hAnsi="宋体"/>
          </w:rPr>
          <w:t xml:space="preserve">附件8 实质性要求响应表</w:t>
        </w:r>
        <w:r>
          <w:tab/>
        </w:r>
        <w:r>
          <w:fldChar w:fldCharType="begin"/>
        </w:r>
        <w:r>
          <w:instrText xml:space="preserve"> PAGEREF _Toc227573385 \h </w:instrText>
        </w:r>
        <w:r>
          <w:fldChar w:fldCharType="separate"/>
        </w:r>
        <w:r>
          <w:t xml:space="preserve">57</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6" w:anchor="_Toc227573386" w:history="1">
        <w:r>
          <w:rPr>
            <w:rStyle w:val="919"/>
            <w:rFonts w:ascii="宋体" w:hAnsi="宋体"/>
          </w:rPr>
          <w:t xml:space="preserve">附件9 报价明细表</w:t>
        </w:r>
        <w:r>
          <w:tab/>
        </w:r>
        <w:r>
          <w:fldChar w:fldCharType="begin"/>
        </w:r>
        <w:r>
          <w:instrText xml:space="preserve"> PAGEREF _Toc227573386 \h </w:instrText>
        </w:r>
        <w:r>
          <w:fldChar w:fldCharType="separate"/>
        </w:r>
        <w:r>
          <w:t xml:space="preserve">58</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7" w:anchor="_Toc227573387" w:history="1">
        <w:r>
          <w:rPr>
            <w:rStyle w:val="919"/>
            <w:rFonts w:ascii="宋体" w:hAnsi="宋体"/>
          </w:rPr>
          <w:t xml:space="preserve">附件10 服务要求响应及偏离表</w:t>
        </w:r>
        <w:r>
          <w:tab/>
        </w:r>
        <w:r>
          <w:fldChar w:fldCharType="begin"/>
        </w:r>
        <w:r>
          <w:instrText xml:space="preserve"> PAGEREF _Toc227573387 \h </w:instrText>
        </w:r>
        <w:r>
          <w:fldChar w:fldCharType="separate"/>
        </w:r>
        <w:r>
          <w:t xml:space="preserve">59</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8" w:anchor="_Toc227573388" w:history="1">
        <w:r>
          <w:rPr>
            <w:rStyle w:val="919"/>
            <w:rFonts w:ascii="宋体" w:hAnsi="宋体"/>
          </w:rPr>
          <w:t xml:space="preserve">附件11 项目方案</w:t>
        </w:r>
        <w:r>
          <w:tab/>
        </w:r>
        <w:r>
          <w:fldChar w:fldCharType="begin"/>
        </w:r>
        <w:r>
          <w:instrText xml:space="preserve"> PAGEREF _Toc227573388 \h </w:instrText>
        </w:r>
        <w:r>
          <w:fldChar w:fldCharType="separate"/>
        </w:r>
        <w:r>
          <w:t xml:space="preserve">60</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89" w:anchor="_Toc227573389" w:history="1">
        <w:r>
          <w:rPr>
            <w:rStyle w:val="919"/>
            <w:rFonts w:ascii="宋体" w:hAnsi="宋体"/>
          </w:rPr>
          <w:t xml:space="preserve">附件12 人员配备情况</w:t>
        </w:r>
        <w:r>
          <w:tab/>
        </w:r>
        <w:r>
          <w:fldChar w:fldCharType="begin"/>
        </w:r>
        <w:r>
          <w:instrText xml:space="preserve"> PAGEREF _Toc227573389 \h </w:instrText>
        </w:r>
        <w:r>
          <w:fldChar w:fldCharType="separate"/>
        </w:r>
        <w:r>
          <w:t xml:space="preserve">61</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90" w:anchor="_Toc227573390" w:history="1">
        <w:r>
          <w:rPr>
            <w:rStyle w:val="919"/>
            <w:rFonts w:ascii="宋体" w:hAnsi="宋体"/>
          </w:rPr>
          <w:t xml:space="preserve">附件13 商务要求响应及偏离表</w:t>
        </w:r>
        <w:r>
          <w:tab/>
        </w:r>
        <w:r>
          <w:fldChar w:fldCharType="begin"/>
        </w:r>
        <w:r>
          <w:instrText xml:space="preserve"> PAGEREF _Toc227573390 \h </w:instrText>
        </w:r>
        <w:r>
          <w:fldChar w:fldCharType="separate"/>
        </w:r>
        <w:r>
          <w:t xml:space="preserve">62</w:t>
        </w:r>
        <w:r>
          <w:fldChar w:fldCharType="end"/>
        </w:r>
      </w:hyperlink>
      <w:r/>
      <w:r/>
    </w:p>
    <w:p>
      <w:pPr>
        <w:pStyle w:val="905"/>
        <w:tabs>
          <w:tab w:val="right" w:pos="9736" w:leader="dot"/>
        </w:tabs>
        <w:rPr>
          <w:rFonts w:asciiTheme="minorHAnsi" w:hAnsiTheme="minorHAnsi" w:eastAsiaTheme="minorEastAsia" w:cstheme="minorBidi"/>
          <w:b w:val="0"/>
          <w:bCs w:val="0"/>
          <w:smallCaps w:val="0"/>
          <w:sz w:val="21"/>
        </w:rPr>
      </w:pPr>
      <w:r/>
      <w:hyperlink w:tooltip="#_Toc227573391" w:anchor="_Toc227573391" w:history="1">
        <w:r>
          <w:rPr>
            <w:rStyle w:val="919"/>
            <w:rFonts w:ascii="宋体" w:hAnsi="宋体"/>
          </w:rPr>
          <w:t xml:space="preserve">附件14 业绩一览表</w:t>
        </w:r>
        <w:r>
          <w:tab/>
        </w:r>
        <w:r>
          <w:fldChar w:fldCharType="begin"/>
        </w:r>
        <w:r>
          <w:instrText xml:space="preserve"> PAGEREF _Toc227573391 \h </w:instrText>
        </w:r>
        <w:r>
          <w:fldChar w:fldCharType="separate"/>
        </w:r>
        <w:r>
          <w:t xml:space="preserve">63</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27573319"/>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常熟经开区智慧园区平台二期项目</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5</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12</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09</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00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35393621"/>
      <w:r/>
      <w:bookmarkStart w:id="10" w:name="_Toc163508266"/>
      <w:r/>
      <w:bookmarkStart w:id="11" w:name="_Toc35393790"/>
      <w:r/>
      <w:bookmarkStart w:id="12" w:name="_Toc28359079"/>
      <w:r/>
      <w:bookmarkStart w:id="13" w:name="_Toc28359002"/>
      <w:r/>
      <w:bookmarkStart w:id="14" w:name="_Toc163508341"/>
      <w:r/>
      <w:bookmarkStart w:id="15" w:name="_Toc38985263"/>
      <w:r/>
      <w:bookmarkStart w:id="16" w:name="_Toc227573320"/>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JSZC-320581-SZJZ-G2026-0014</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项目名称：常熟经开区智慧园区平台二期项目</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283.00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最高限价：</w:t>
      </w:r>
      <w:r>
        <w:rPr>
          <w:rFonts w:hint="eastAsia" w:ascii="Times New Roman" w:hAnsi="Times New Roman" w:eastAsia="宋体" w:cs="Times New Roman"/>
          <w:color w:val="000000"/>
          <w:sz w:val="24"/>
          <w:szCs w:val="24"/>
        </w:rPr>
        <w:t xml:space="preserve">人民币</w:t>
      </w:r>
      <w:r>
        <w:rPr>
          <w:rFonts w:ascii="Times New Roman" w:hAnsi="Times New Roman" w:eastAsia="宋体" w:cs="Times New Roman"/>
          <w:color w:val="000000"/>
          <w:sz w:val="24"/>
          <w:szCs w:val="24"/>
        </w:rPr>
        <w:t xml:space="preserve">283.00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采购需求概况：</w:t>
      </w:r>
      <w:bookmarkStart w:id="18" w:name="OLE_LINK9"/>
      <w:r/>
      <w:bookmarkStart w:id="19" w:name="OLE_LINK10"/>
      <w:r/>
      <w:bookmarkStart w:id="20" w:name="OLE_LINK2"/>
      <w:r/>
      <w:bookmarkStart w:id="21" w:name="OLE_LINK1"/>
      <w:r>
        <w:rPr>
          <w:rFonts w:hint="eastAsia" w:ascii="Calibri" w:hAnsi="Calibri" w:eastAsia="宋体" w:cs="Times New Roman"/>
          <w:sz w:val="24"/>
          <w:szCs w:val="24"/>
        </w:rPr>
        <w:t xml:space="preserve">常熟经济技术开发区管理委员会</w:t>
      </w:r>
      <w:bookmarkEnd w:id="18"/>
      <w:r/>
      <w:bookmarkEnd w:id="19"/>
      <w:r>
        <w:rPr>
          <w:rFonts w:hint="eastAsia" w:ascii="Calibri" w:hAnsi="Calibri" w:eastAsia="宋体" w:cs="Times New Roman"/>
          <w:sz w:val="24"/>
          <w:szCs w:val="24"/>
        </w:rPr>
        <w:t xml:space="preserve">所需的常熟经开区智慧园区平台二期项目。</w:t>
      </w:r>
      <w:bookmarkEnd w:id="20"/>
      <w:r/>
      <w:bookmarkEnd w:id="21"/>
      <w:r/>
      <w:r/>
    </w:p>
    <w:p>
      <w:pPr>
        <w:ind w:firstLine="480"/>
        <w:spacing w:line="460" w:lineRule="exact"/>
        <w:rPr>
          <w:rFonts w:ascii="Calibri" w:hAnsi="Calibri"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合同履行期限：</w:t>
      </w:r>
      <w:r>
        <w:rPr>
          <w:rFonts w:ascii="Times New Roman" w:hAnsi="Times New Roman" w:eastAsia="宋体" w:cs="Times New Roman"/>
          <w:color w:val="000000"/>
          <w:sz w:val="24"/>
          <w:szCs w:val="24"/>
        </w:rPr>
        <w:t xml:space="preserve">2026</w:t>
      </w:r>
      <w:r>
        <w:rPr>
          <w:rFonts w:ascii="Times New Roman" w:hAnsi="Times New Roman" w:eastAsia="宋体" w:cs="Times New Roman"/>
          <w:color w:val="000000"/>
          <w:sz w:val="24"/>
          <w:szCs w:val="24"/>
        </w:rPr>
        <w:t xml:space="preserve">年</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月</w:t>
      </w:r>
      <w:r>
        <w:rPr>
          <w:rFonts w:ascii="Times New Roman" w:hAnsi="Times New Roman" w:eastAsia="宋体" w:cs="Times New Roman"/>
          <w:color w:val="000000"/>
          <w:sz w:val="24"/>
          <w:szCs w:val="24"/>
        </w:rPr>
        <w:t xml:space="preserve">30</w:t>
      </w:r>
      <w:r>
        <w:rPr>
          <w:rFonts w:ascii="Times New Roman" w:hAnsi="Times New Roman" w:eastAsia="宋体" w:cs="Times New Roman"/>
          <w:color w:val="000000"/>
          <w:sz w:val="24"/>
          <w:szCs w:val="24"/>
        </w:rPr>
        <w:t xml:space="preserve">日前项目整体全部完成并上线运行。</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8.</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22" w:name="_Toc28359003"/>
      <w:r/>
      <w:bookmarkStart w:id="23" w:name="_Toc163508342"/>
      <w:r/>
      <w:bookmarkStart w:id="24" w:name="_Toc28359080"/>
      <w:r/>
      <w:bookmarkStart w:id="25" w:name="_Toc38985264"/>
      <w:r/>
      <w:bookmarkStart w:id="26" w:name="_Toc35393791"/>
      <w:r/>
      <w:bookmarkStart w:id="27" w:name="_Toc163508267"/>
      <w:r/>
      <w:bookmarkStart w:id="28" w:name="_Toc35393622"/>
      <w:r/>
      <w:bookmarkStart w:id="29" w:name="_Toc227573321"/>
      <w:r>
        <w:rPr>
          <w:rFonts w:hint="eastAsia" w:ascii="Times New Roman" w:hAnsi="Times New Roman" w:eastAsia="宋体" w:cs="Times New Roman"/>
          <w:b/>
          <w:bCs/>
          <w:color w:val="000000"/>
          <w:sz w:val="24"/>
          <w:szCs w:val="24"/>
        </w:rPr>
        <w:t xml:space="preserve">二、申请人的资格要求</w:t>
      </w:r>
      <w:bookmarkEnd w:id="22"/>
      <w:r/>
      <w:bookmarkEnd w:id="23"/>
      <w:r/>
      <w:bookmarkEnd w:id="24"/>
      <w:r/>
      <w:bookmarkEnd w:id="25"/>
      <w:r/>
      <w:bookmarkEnd w:id="26"/>
      <w:r/>
      <w:bookmarkEnd w:id="27"/>
      <w:r/>
      <w:bookmarkEnd w:id="28"/>
      <w:r/>
      <w:bookmarkEnd w:id="29"/>
      <w:r/>
      <w:r/>
    </w:p>
    <w:p>
      <w:pPr>
        <w:ind w:firstLine="480"/>
        <w:spacing w:line="460" w:lineRule="exact"/>
        <w:rPr>
          <w:rFonts w:ascii="Times New Roman" w:hAnsi="Times New Roman" w:eastAsia="宋体" w:cs="Times New Roman"/>
          <w:sz w:val="24"/>
          <w:szCs w:val="24"/>
        </w:rPr>
      </w:pPr>
      <w:r/>
      <w:bookmarkStart w:id="30" w:name="_Toc35393623"/>
      <w:r/>
      <w:bookmarkStart w:id="31" w:name="_Toc35393792"/>
      <w:r/>
      <w:bookmarkStart w:id="32" w:name="_Toc28359004"/>
      <w:r/>
      <w:bookmarkStart w:id="33" w:name="_Toc28359081"/>
      <w:r/>
      <w:bookmarkStart w:id="34" w:name="_Toc38985265"/>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ff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w:t>
      </w:r>
      <w:r>
        <w:rPr>
          <w:rFonts w:hint="eastAsia" w:ascii="Times New Roman" w:hAnsi="Times New Roman" w:eastAsia="宋体" w:cs="Times New Roman"/>
          <w:color w:val="000000"/>
          <w:sz w:val="24"/>
          <w:szCs w:val="24"/>
        </w:rPr>
        <w:t xml:space="preserve">无</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5" w:name="_Toc163508268"/>
      <w:r/>
      <w:bookmarkStart w:id="36" w:name="_Toc163508343"/>
      <w:r/>
      <w:bookmarkStart w:id="37" w:name="_Toc227573322"/>
      <w:r>
        <w:rPr>
          <w:rFonts w:hint="eastAsia" w:ascii="Times New Roman" w:hAnsi="Times New Roman" w:eastAsia="宋体" w:cs="Times New Roman"/>
          <w:b/>
          <w:bCs/>
          <w:color w:val="000000"/>
          <w:sz w:val="24"/>
          <w:szCs w:val="24"/>
        </w:rPr>
        <w:t xml:space="preserve">三、获取招标文件</w:t>
      </w:r>
      <w:bookmarkStart w:id="38" w:name="_Toc28359082"/>
      <w:r/>
      <w:bookmarkStart w:id="39" w:name="_Toc28359005"/>
      <w:r/>
      <w:bookmarkStart w:id="40" w:name="_Toc38985266"/>
      <w:r/>
      <w:bookmarkStart w:id="41" w:name="_Toc35393793"/>
      <w:r/>
      <w:bookmarkStart w:id="42" w:name="_Toc35393624"/>
      <w:r/>
      <w:bookmarkEnd w:id="30"/>
      <w:r/>
      <w:bookmarkEnd w:id="31"/>
      <w:r/>
      <w:bookmarkEnd w:id="32"/>
      <w:r/>
      <w:bookmarkEnd w:id="33"/>
      <w:r/>
      <w:bookmarkEnd w:id="34"/>
      <w:r/>
      <w:bookmarkEnd w:id="35"/>
      <w:r/>
      <w:bookmarkEnd w:id="36"/>
      <w:r/>
      <w:bookmarkEnd w:id="37"/>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3" w:name="_Toc163508344"/>
      <w:r/>
      <w:bookmarkStart w:id="44" w:name="_Toc163508269"/>
      <w:r/>
      <w:bookmarkStart w:id="45" w:name="_Toc227573323"/>
      <w:r>
        <w:rPr>
          <w:rFonts w:hint="eastAsia" w:ascii="Times New Roman" w:hAnsi="Times New Roman" w:eastAsia="宋体" w:cs="Times New Roman"/>
          <w:b/>
          <w:bCs/>
          <w:color w:val="000000"/>
          <w:sz w:val="24"/>
          <w:szCs w:val="24"/>
        </w:rPr>
        <w:t xml:space="preserve">四、</w:t>
      </w:r>
      <w:bookmarkEnd w:id="38"/>
      <w:r/>
      <w:bookmarkEnd w:id="39"/>
      <w:r/>
      <w:bookmarkEnd w:id="40"/>
      <w:r/>
      <w:bookmarkEnd w:id="41"/>
      <w:r/>
      <w:bookmarkEnd w:id="42"/>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3"/>
      <w:r/>
      <w:bookmarkEnd w:id="44"/>
      <w:r/>
      <w:bookmarkEnd w:id="4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09</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”政府采购交易系统</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6" w:name="_Toc35393625"/>
      <w:r/>
      <w:bookmarkStart w:id="47" w:name="_Toc35393794"/>
      <w:r/>
      <w:bookmarkStart w:id="48" w:name="_Toc38985267"/>
      <w:r/>
      <w:bookmarkStart w:id="49" w:name="_Toc28359007"/>
      <w:r/>
      <w:bookmarkStart w:id="50" w:name="_Toc28359084"/>
      <w:r/>
      <w:bookmarkStart w:id="51" w:name="_Toc163508345"/>
      <w:r/>
      <w:bookmarkStart w:id="52" w:name="_Toc163508270"/>
      <w:r/>
      <w:bookmarkStart w:id="53" w:name="_Toc227573324"/>
      <w:r>
        <w:rPr>
          <w:rFonts w:hint="eastAsia" w:ascii="Times New Roman" w:hAnsi="Times New Roman" w:eastAsia="宋体" w:cs="Times New Roman"/>
          <w:b/>
          <w:bCs/>
          <w:color w:val="000000"/>
          <w:sz w:val="24"/>
          <w:szCs w:val="24"/>
        </w:rPr>
        <w:t xml:space="preserve">五、</w:t>
      </w:r>
      <w:bookmarkEnd w:id="46"/>
      <w:r/>
      <w:bookmarkEnd w:id="47"/>
      <w:r/>
      <w:bookmarkEnd w:id="48"/>
      <w:r/>
      <w:bookmarkEnd w:id="49"/>
      <w:r/>
      <w:bookmarkEnd w:id="50"/>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51"/>
      <w:r/>
      <w:bookmarkEnd w:id="52"/>
      <w:r/>
      <w:bookmarkEnd w:id="53"/>
      <w:r/>
      <w:r/>
    </w:p>
    <w:p>
      <w:pPr>
        <w:ind w:firstLine="480"/>
        <w:spacing w:line="460" w:lineRule="exact"/>
        <w:rPr>
          <w:rFonts w:ascii="Times New Roman" w:hAnsi="Times New Roman" w:eastAsia="宋体" w:cs="Times New Roman"/>
          <w:sz w:val="24"/>
          <w:szCs w:val="24"/>
        </w:rPr>
      </w:pPr>
      <w:r/>
      <w:bookmarkStart w:id="54" w:name="_Toc38985268"/>
      <w:r/>
      <w:bookmarkStart w:id="55" w:name="_Toc35393626"/>
      <w:r/>
      <w:bookmarkStart w:id="56" w:name="_Toc35393795"/>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7" w:name="_Toc163508271"/>
      <w:r/>
      <w:bookmarkStart w:id="58" w:name="_Toc163508346"/>
      <w:r/>
      <w:bookmarkStart w:id="59" w:name="_Toc227573325"/>
      <w:r>
        <w:rPr>
          <w:rFonts w:hint="eastAsia" w:ascii="Times New Roman" w:hAnsi="Times New Roman" w:eastAsia="宋体" w:cs="Times New Roman"/>
          <w:b/>
          <w:bCs/>
          <w:color w:val="000000"/>
          <w:sz w:val="24"/>
          <w:szCs w:val="24"/>
        </w:rPr>
        <w:t xml:space="preserve">六、其他补充事宜</w:t>
      </w:r>
      <w:bookmarkEnd w:id="54"/>
      <w:r/>
      <w:bookmarkEnd w:id="55"/>
      <w:r/>
      <w:bookmarkEnd w:id="56"/>
      <w:r/>
      <w:bookmarkEnd w:id="57"/>
      <w:r/>
      <w:bookmarkEnd w:id="58"/>
      <w:r/>
      <w:bookmarkEnd w:id="59"/>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60"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60"/>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ind w:firstLine="480"/>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本项目所属行业为</w:t>
      </w:r>
      <w:r>
        <w:rPr>
          <w:rFonts w:hint="eastAsia" w:ascii="宋体" w:hAnsi="宋体" w:eastAsia="宋体" w:cs="宋体"/>
          <w:color w:val="000000"/>
          <w:sz w:val="24"/>
          <w:szCs w:val="24"/>
        </w:rPr>
        <w:t xml:space="preserve">软件和信息技术服务</w:t>
      </w:r>
      <w:r>
        <w:rPr>
          <w:rFonts w:hint="eastAsia" w:ascii="宋体" w:hAnsi="宋体" w:eastAsia="宋体" w:cs="宋体"/>
          <w:color w:val="000000"/>
          <w:sz w:val="24"/>
          <w:szCs w:val="24"/>
        </w:rPr>
        <w:t xml:space="preserve">业。</w:t>
      </w:r>
      <w:r/>
    </w:p>
    <w:p>
      <w:pPr>
        <w:spacing w:line="460" w:lineRule="exact"/>
        <w:rPr>
          <w:rFonts w:ascii="Times New Roman" w:hAnsi="Times New Roman" w:eastAsia="宋体" w:cs="Times New Roman"/>
          <w:b/>
          <w:bCs/>
          <w:color w:val="000000"/>
          <w:sz w:val="24"/>
          <w:szCs w:val="24"/>
        </w:rPr>
        <w:outlineLvl w:val="1"/>
      </w:pPr>
      <w:r/>
      <w:bookmarkStart w:id="61" w:name="_Toc28359008"/>
      <w:r/>
      <w:bookmarkStart w:id="62" w:name="_Toc35393627"/>
      <w:r/>
      <w:bookmarkStart w:id="63" w:name="_Toc38985269"/>
      <w:r/>
      <w:bookmarkStart w:id="64" w:name="_Toc28359085"/>
      <w:r/>
      <w:bookmarkStart w:id="65" w:name="_Toc35393796"/>
      <w:r/>
      <w:bookmarkStart w:id="66" w:name="_Toc163508272"/>
      <w:r/>
      <w:bookmarkStart w:id="67" w:name="_Toc163508347"/>
      <w:r/>
      <w:bookmarkStart w:id="68" w:name="_Toc227573326"/>
      <w:r>
        <w:rPr>
          <w:rFonts w:hint="eastAsia" w:ascii="Times New Roman" w:hAnsi="Times New Roman" w:eastAsia="宋体" w:cs="Times New Roman"/>
          <w:b/>
          <w:bCs/>
          <w:color w:val="000000"/>
          <w:sz w:val="24"/>
          <w:szCs w:val="24"/>
        </w:rPr>
        <w:t xml:space="preserve">七、本次招标联系</w:t>
      </w:r>
      <w:bookmarkEnd w:id="61"/>
      <w:r/>
      <w:bookmarkEnd w:id="62"/>
      <w:r/>
      <w:bookmarkEnd w:id="63"/>
      <w:r/>
      <w:bookmarkEnd w:id="64"/>
      <w:r/>
      <w:bookmarkEnd w:id="65"/>
      <w:r>
        <w:rPr>
          <w:rFonts w:hint="eastAsia" w:ascii="Times New Roman" w:hAnsi="Times New Roman" w:eastAsia="宋体" w:cs="Times New Roman"/>
          <w:b/>
          <w:bCs/>
          <w:color w:val="000000"/>
          <w:sz w:val="24"/>
          <w:szCs w:val="24"/>
        </w:rPr>
        <w:t xml:space="preserve">方式</w:t>
      </w:r>
      <w:bookmarkEnd w:id="66"/>
      <w:r/>
      <w:bookmarkEnd w:id="67"/>
      <w:r/>
      <w:bookmarkEnd w:id="68"/>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常熟经济技术开发区管理委员会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常熟市通港路</w:t>
      </w:r>
      <w:r>
        <w:rPr>
          <w:rFonts w:ascii="Calibri" w:hAnsi="Calibri" w:eastAsia="宋体" w:cs="Times New Roman"/>
          <w:sz w:val="24"/>
          <w:szCs w:val="24"/>
        </w:rPr>
        <w:t xml:space="preserve">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9" w:name="_Toc28359009"/>
      <w:r/>
      <w:bookmarkStart w:id="70" w:name="_Toc28359086"/>
      <w:r>
        <w:rPr>
          <w:rFonts w:ascii="Times New Roman" w:hAnsi="Times New Roman" w:eastAsia="宋体" w:cs="Times New Roman"/>
          <w:sz w:val="24"/>
          <w:szCs w:val="24"/>
        </w:rPr>
        <w:t xml:space="preserve">0512-52331652</w:t>
      </w:r>
      <w:bookmarkEnd w:id="69"/>
      <w:r/>
      <w:bookmarkEnd w:id="70"/>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71" w:name="_Toc28359010"/>
      <w:r/>
      <w:bookmarkStart w:id="72" w:name="_Toc28359087"/>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（蒋晰妍、俞静）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项目联系人：蒋晰妍、俞静</w:t>
      </w:r>
      <w:r>
        <w:rPr>
          <w:rFonts w:hint="eastAsia" w:ascii="Times New Roman" w:hAnsi="Times New Roman" w:eastAsia="宋体" w:cs="Times New Roman"/>
          <w:sz w:val="24"/>
          <w:szCs w:val="24"/>
        </w:rPr>
        <w:t xml:space="preserve"> </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71"/>
      <w:r/>
      <w:bookmarkEnd w:id="72"/>
      <w:r/>
      <w:r/>
    </w:p>
    <w:p>
      <w:pPr>
        <w:jc w:val="center"/>
        <w:rPr>
          <w:rFonts w:ascii="宋体" w:hAnsi="宋体" w:eastAsia="宋体" w:cs="Times New Roman"/>
          <w:b/>
          <w:color w:val="000000"/>
          <w:sz w:val="44"/>
          <w:szCs w:val="44"/>
        </w:rPr>
        <w:outlineLvl w:val="0"/>
      </w:pPr>
      <w:r/>
      <w:bookmarkStart w:id="73" w:name="_Toc120614211"/>
      <w:r/>
      <w:bookmarkStart w:id="74" w:name="_Toc163508273"/>
      <w:r/>
      <w:bookmarkStart w:id="75" w:name="_Toc163508348"/>
      <w:r/>
      <w:bookmarkStart w:id="76" w:name="_Toc227573327"/>
      <w:r>
        <w:rPr>
          <w:rFonts w:hint="eastAsia" w:ascii="宋体" w:hAnsi="宋体" w:eastAsia="宋体" w:cs="Times New Roman"/>
          <w:b/>
          <w:color w:val="000000"/>
          <w:sz w:val="44"/>
          <w:szCs w:val="44"/>
        </w:rPr>
        <w:t xml:space="preserve">第二章  </w:t>
      </w:r>
      <w:bookmarkStart w:id="77" w:name="_Toc120614213"/>
      <w:r/>
      <w:bookmarkStart w:id="78" w:name="_Toc20823274"/>
      <w:r/>
      <w:bookmarkStart w:id="79" w:name="_Toc16938518"/>
      <w:r/>
      <w:bookmarkStart w:id="80" w:name="_Toc513029202"/>
      <w:r/>
      <w:bookmarkEnd w:id="1"/>
      <w:r/>
      <w:bookmarkEnd w:id="2"/>
      <w:r/>
      <w:bookmarkEnd w:id="3"/>
      <w:r/>
      <w:bookmarkEnd w:id="4"/>
      <w:r/>
      <w:bookmarkEnd w:id="5"/>
      <w:r/>
      <w:bookmarkEnd w:id="73"/>
      <w:r>
        <w:rPr>
          <w:rFonts w:hint="eastAsia" w:ascii="宋体" w:hAnsi="宋体" w:eastAsia="宋体" w:cs="Times New Roman"/>
          <w:b/>
          <w:color w:val="000000"/>
          <w:sz w:val="44"/>
          <w:szCs w:val="44"/>
        </w:rPr>
        <w:t xml:space="preserve">投标人须知</w:t>
      </w:r>
      <w:bookmarkEnd w:id="74"/>
      <w:r/>
      <w:bookmarkEnd w:id="75"/>
      <w:r/>
      <w:bookmarkEnd w:id="77"/>
      <w:r/>
      <w:bookmarkEnd w:id="78"/>
      <w:r/>
      <w:bookmarkEnd w:id="79"/>
      <w:r/>
      <w:bookmarkEnd w:id="80"/>
      <w:r/>
      <w:bookmarkEnd w:id="76"/>
      <w:r/>
      <w:r/>
    </w:p>
    <w:p>
      <w:pPr>
        <w:spacing w:before="145" w:after="145" w:line="460" w:lineRule="exact"/>
        <w:rPr>
          <w:rFonts w:ascii="Times New Roman" w:hAnsi="Times New Roman" w:eastAsia="宋体" w:cs="Times New Roman"/>
          <w:b/>
          <w:bCs/>
          <w:color w:val="000000"/>
          <w:sz w:val="28"/>
          <w:szCs w:val="28"/>
        </w:rPr>
        <w:outlineLvl w:val="1"/>
      </w:pPr>
      <w:r/>
      <w:bookmarkStart w:id="81" w:name="_Toc513029203"/>
      <w:r/>
      <w:bookmarkStart w:id="82" w:name="_Toc163508274"/>
      <w:r/>
      <w:bookmarkStart w:id="83" w:name="_Toc120614214"/>
      <w:r/>
      <w:bookmarkStart w:id="84" w:name="_Toc163508349"/>
      <w:r/>
      <w:bookmarkStart w:id="85" w:name="_Toc20823275"/>
      <w:r/>
      <w:bookmarkStart w:id="86" w:name="_Toc16938519"/>
      <w:r/>
      <w:bookmarkStart w:id="87" w:name="_Toc227573328"/>
      <w:r>
        <w:rPr>
          <w:rFonts w:hint="eastAsia" w:ascii="Times New Roman" w:hAnsi="Times New Roman" w:eastAsia="宋体" w:cs="Times New Roman"/>
          <w:b/>
          <w:bCs/>
          <w:color w:val="000000"/>
          <w:sz w:val="28"/>
          <w:szCs w:val="28"/>
        </w:rPr>
        <w:t xml:space="preserve">一、总则</w:t>
      </w:r>
      <w:bookmarkEnd w:id="81"/>
      <w:r/>
      <w:bookmarkEnd w:id="82"/>
      <w:r/>
      <w:bookmarkEnd w:id="83"/>
      <w:r/>
      <w:bookmarkEnd w:id="84"/>
      <w:r/>
      <w:bookmarkEnd w:id="85"/>
      <w:r/>
      <w:bookmarkEnd w:id="86"/>
      <w:r/>
      <w:bookmarkEnd w:id="87"/>
      <w:r/>
      <w:r/>
    </w:p>
    <w:p>
      <w:pPr>
        <w:ind w:firstLine="420"/>
        <w:rPr>
          <w:rFonts w:ascii="宋体" w:hAnsi="宋体" w:eastAsia="宋体" w:cs="Arial"/>
          <w:color w:val="000000"/>
          <w:sz w:val="28"/>
          <w:szCs w:val="28"/>
        </w:rPr>
        <w:outlineLvl w:val="2"/>
      </w:pPr>
      <w:r/>
      <w:bookmarkStart w:id="88" w:name="_Hlt16619475"/>
      <w:r/>
      <w:bookmarkStart w:id="89" w:name="_Toc458694821"/>
      <w:r/>
      <w:bookmarkStart w:id="90" w:name="_Toc20823276"/>
      <w:r/>
      <w:bookmarkStart w:id="91" w:name="_Toc513029204"/>
      <w:r/>
      <w:bookmarkStart w:id="92" w:name="_Toc16938520"/>
      <w:r/>
      <w:bookmarkStart w:id="93" w:name="_Toc163508350"/>
      <w:r/>
      <w:bookmarkStart w:id="94" w:name="_Toc163508275"/>
      <w:r/>
      <w:bookmarkStart w:id="95" w:name="_Toc227573329"/>
      <w:r/>
      <w:bookmarkEnd w:id="88"/>
      <w:r>
        <w:rPr>
          <w:rFonts w:hint="eastAsia" w:ascii="宋体" w:hAnsi="宋体" w:eastAsia="宋体" w:cs="Arial"/>
          <w:color w:val="000000"/>
          <w:sz w:val="28"/>
          <w:szCs w:val="28"/>
        </w:rPr>
        <w:t xml:space="preserve">1</w:t>
      </w:r>
      <w:bookmarkEnd w:id="89"/>
      <w:r>
        <w:rPr>
          <w:rFonts w:hint="eastAsia" w:ascii="宋体" w:hAnsi="宋体" w:eastAsia="宋体" w:cs="Arial"/>
          <w:color w:val="000000"/>
          <w:sz w:val="28"/>
          <w:szCs w:val="28"/>
        </w:rPr>
        <w:t xml:space="preserve">、采购方式</w:t>
      </w:r>
      <w:bookmarkEnd w:id="90"/>
      <w:r/>
      <w:bookmarkEnd w:id="91"/>
      <w:r/>
      <w:bookmarkEnd w:id="92"/>
      <w:r>
        <w:rPr>
          <w:rFonts w:hint="eastAsia" w:ascii="宋体" w:hAnsi="宋体" w:eastAsia="宋体" w:cs="Arial"/>
          <w:color w:val="000000"/>
          <w:sz w:val="28"/>
          <w:szCs w:val="28"/>
        </w:rPr>
        <w:t xml:space="preserve">及适用法律</w:t>
      </w:r>
      <w:bookmarkEnd w:id="93"/>
      <w:r/>
      <w:bookmarkEnd w:id="94"/>
      <w:r/>
      <w:bookmarkEnd w:id="95"/>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1.3 </w:t>
      </w:r>
      <w:r>
        <w:rPr>
          <w:rFonts w:ascii="Times New Roman" w:hAnsi="Times New Roman" w:eastAsia="宋体" w:cs="Times New Roman"/>
          <w:color w:val="000000"/>
          <w:sz w:val="24"/>
          <w:szCs w:val="21"/>
        </w:rPr>
        <w:t xml:space="preserve">在本项目政府采购活动过程中，如果所执行的标准有更新的，按照最新标准执行。</w:t>
      </w:r>
      <w:r/>
    </w:p>
    <w:p>
      <w:pPr>
        <w:ind w:firstLine="420"/>
        <w:rPr>
          <w:rFonts w:ascii="宋体" w:hAnsi="宋体" w:eastAsia="宋体" w:cs="Arial"/>
          <w:color w:val="000000"/>
          <w:sz w:val="28"/>
          <w:szCs w:val="28"/>
        </w:rPr>
        <w:outlineLvl w:val="2"/>
      </w:pPr>
      <w:r/>
      <w:bookmarkStart w:id="96" w:name="_Toc163508276"/>
      <w:r/>
      <w:bookmarkStart w:id="97" w:name="_Toc163508351"/>
      <w:r/>
      <w:bookmarkStart w:id="98" w:name="_Toc227573330"/>
      <w:r>
        <w:rPr>
          <w:rFonts w:ascii="宋体" w:hAnsi="宋体" w:eastAsia="宋体" w:cs="Arial"/>
          <w:color w:val="000000"/>
          <w:sz w:val="28"/>
          <w:szCs w:val="28"/>
        </w:rPr>
        <w:t xml:space="preserve">2、定义</w:t>
      </w:r>
      <w:bookmarkEnd w:id="96"/>
      <w:r/>
      <w:bookmarkEnd w:id="97"/>
      <w:r/>
      <w:bookmarkEnd w:id="98"/>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9" w:name="_Toc20823277"/>
      <w:r/>
      <w:bookmarkStart w:id="100" w:name="_Toc513029205"/>
      <w:r/>
      <w:bookmarkStart w:id="101" w:name="_Toc163508352"/>
      <w:r/>
      <w:bookmarkStart w:id="102" w:name="_Toc16938521"/>
      <w:r/>
      <w:bookmarkStart w:id="103" w:name="_Toc163508277"/>
      <w:r/>
      <w:bookmarkStart w:id="104" w:name="_Toc227573331"/>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9"/>
      <w:r/>
      <w:bookmarkEnd w:id="100"/>
      <w:r/>
      <w:bookmarkEnd w:id="101"/>
      <w:r/>
      <w:bookmarkEnd w:id="102"/>
      <w:r/>
      <w:bookmarkEnd w:id="103"/>
      <w:r/>
      <w:bookmarkEnd w:id="10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5" w:name="_Toc513029207"/>
      <w:r/>
      <w:bookmarkStart w:id="106" w:name="_Toc462564067"/>
      <w:r/>
      <w:bookmarkStart w:id="107" w:name="_Toc20823279"/>
      <w:r/>
      <w:bookmarkStart w:id="108" w:name="_Toc16938523"/>
      <w:r/>
      <w:bookmarkStart w:id="109" w:name="_Toc163508353"/>
      <w:r/>
      <w:bookmarkStart w:id="110" w:name="_Toc163508278"/>
      <w:r/>
      <w:bookmarkStart w:id="111" w:name="_Toc227573332"/>
      <w:r>
        <w:rPr>
          <w:rFonts w:hint="eastAsia" w:ascii="宋体" w:hAnsi="宋体" w:eastAsia="宋体" w:cs="Arial"/>
          <w:color w:val="000000"/>
          <w:sz w:val="28"/>
          <w:szCs w:val="28"/>
        </w:rPr>
        <w:t xml:space="preserve">4、投标费用</w:t>
      </w:r>
      <w:bookmarkEnd w:id="105"/>
      <w:r/>
      <w:bookmarkEnd w:id="106"/>
      <w:r/>
      <w:bookmarkEnd w:id="107"/>
      <w:r/>
      <w:bookmarkEnd w:id="108"/>
      <w:r/>
      <w:bookmarkEnd w:id="109"/>
      <w:r/>
      <w:bookmarkEnd w:id="110"/>
      <w:r/>
      <w:bookmarkEnd w:id="111"/>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highlight w:val="yellow"/>
        </w:rPr>
        <w:t xml:space="preserve">4</w:t>
      </w:r>
      <w:r>
        <w:rPr>
          <w:rFonts w:ascii="Times New Roman" w:hAnsi="Times New Roman" w:eastAsia="宋体" w:cs="Times New Roman"/>
          <w:color w:val="000000"/>
          <w:sz w:val="24"/>
          <w:szCs w:val="21"/>
          <w:highlight w:val="yellow"/>
        </w:rPr>
        <w:t xml:space="preserve">.3 </w:t>
      </w:r>
      <w:r>
        <w:rPr>
          <w:rFonts w:hint="eastAsia" w:ascii="Times New Roman" w:hAnsi="Times New Roman" w:eastAsia="宋体" w:cs="Times New Roman"/>
          <w:color w:val="000000"/>
          <w:sz w:val="24"/>
          <w:szCs w:val="21"/>
          <w:highlight w:val="yellow"/>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1</w:t>
      </w:r>
      <w:r>
        <w:rPr>
          <w:rFonts w:hint="eastAsia" w:ascii="Times New Roman" w:hAnsi="Times New Roman" w:eastAsia="宋体" w:cs="Times New Roman"/>
          <w:color w:val="000000"/>
          <w:sz w:val="24"/>
          <w:szCs w:val="21"/>
        </w:rPr>
        <w:t xml:space="preserve">）费用标准：根据采购预算并参照中华人民共和国国家计划委员会计价格</w:t>
      </w:r>
      <w:r>
        <w:rPr>
          <w:rFonts w:ascii="Times New Roman" w:hAnsi="Times New Roman" w:eastAsia="宋体" w:cs="Times New Roman"/>
          <w:color w:val="000000"/>
          <w:sz w:val="24"/>
          <w:szCs w:val="21"/>
        </w:rPr>
        <w:t xml:space="preserve">[2002]1980</w:t>
      </w:r>
      <w:r>
        <w:rPr>
          <w:rFonts w:hint="eastAsia" w:ascii="Times New Roman" w:hAnsi="Times New Roman" w:eastAsia="宋体" w:cs="Times New Roman"/>
          <w:color w:val="000000"/>
          <w:sz w:val="24"/>
          <w:szCs w:val="21"/>
        </w:rPr>
        <w:t xml:space="preserve">号文标准的</w:t>
      </w:r>
      <w:r>
        <w:rPr>
          <w:rFonts w:ascii="Times New Roman" w:hAnsi="Times New Roman" w:eastAsia="宋体" w:cs="Times New Roman"/>
          <w:color w:val="000000"/>
          <w:sz w:val="24"/>
          <w:szCs w:val="21"/>
        </w:rPr>
        <w:t xml:space="preserve">29</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计算，不足</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000</w:t>
      </w:r>
      <w:r>
        <w:rPr>
          <w:rFonts w:hint="eastAsia" w:ascii="Times New Roman" w:hAnsi="Times New Roman" w:eastAsia="宋体" w:cs="Times New Roman"/>
          <w:color w:val="000000"/>
          <w:sz w:val="24"/>
          <w:szCs w:val="21"/>
        </w:rPr>
        <w:t xml:space="preserve">元的按</w:t>
      </w:r>
      <w:r>
        <w:rPr>
          <w:rFonts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000</w:t>
      </w:r>
      <w:r>
        <w:rPr>
          <w:rFonts w:hint="eastAsia" w:ascii="Times New Roman" w:hAnsi="Times New Roman" w:eastAsia="宋体" w:cs="Times New Roman"/>
          <w:color w:val="000000"/>
          <w:sz w:val="24"/>
          <w:szCs w:val="21"/>
        </w:rPr>
        <w:t xml:space="preserve">元计取</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）确定</w:t>
      </w:r>
      <w:r>
        <w:rPr>
          <w:rFonts w:ascii="Times New Roman" w:hAnsi="Times New Roman" w:eastAsia="宋体" w:cs="Times New Roman"/>
          <w:color w:val="000000"/>
          <w:sz w:val="24"/>
          <w:szCs w:val="21"/>
        </w:rPr>
        <w:t xml:space="preserve">标准的依据：</w:t>
      </w:r>
      <w:r>
        <w:rPr>
          <w:rFonts w:hint="eastAsia" w:ascii="Times New Roman" w:hAnsi="Times New Roman" w:eastAsia="宋体" w:cs="Times New Roman"/>
          <w:color w:val="000000"/>
          <w:sz w:val="24"/>
          <w:szCs w:val="21"/>
        </w:rPr>
        <w:t xml:space="preserve">中华人民共和国国家计划委员会计价格</w:t>
      </w:r>
      <w:r>
        <w:rPr>
          <w:rFonts w:ascii="Times New Roman" w:hAnsi="Times New Roman" w:eastAsia="宋体" w:cs="Times New Roman"/>
          <w:color w:val="000000"/>
          <w:sz w:val="24"/>
          <w:szCs w:val="21"/>
        </w:rPr>
        <w:t xml:space="preserve">[2002]1980</w:t>
      </w:r>
      <w:r>
        <w:rPr>
          <w:rFonts w:hint="eastAsia" w:ascii="Times New Roman" w:hAnsi="Times New Roman" w:eastAsia="宋体" w:cs="Times New Roman"/>
          <w:color w:val="000000"/>
          <w:sz w:val="24"/>
          <w:szCs w:val="21"/>
        </w:rPr>
        <w:t xml:space="preserve">号文标准</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）费用金额：人民币</w:t>
      </w:r>
      <w:r>
        <w:rPr>
          <w:rFonts w:ascii="Times New Roman" w:hAnsi="Times New Roman" w:eastAsia="宋体" w:cs="Times New Roman"/>
          <w:color w:val="000000"/>
          <w:sz w:val="24"/>
          <w:szCs w:val="21"/>
        </w:rPr>
        <w:t xml:space="preserve">8595</w:t>
      </w:r>
      <w:r>
        <w:rPr>
          <w:rFonts w:hint="eastAsia" w:ascii="Times New Roman" w:hAnsi="Times New Roman" w:eastAsia="宋体" w:cs="Times New Roman"/>
          <w:color w:val="000000"/>
          <w:sz w:val="24"/>
          <w:szCs w:val="21"/>
        </w:rPr>
        <w:t xml:space="preserve">元。</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4</w:t>
      </w:r>
      <w:r>
        <w:rPr>
          <w:rFonts w:hint="eastAsia" w:ascii="Times New Roman" w:hAnsi="Times New Roman" w:eastAsia="宋体" w:cs="Times New Roman"/>
          <w:color w:val="000000"/>
          <w:sz w:val="24"/>
          <w:szCs w:val="21"/>
        </w:rPr>
        <w:t xml:space="preserve">）采购代理服务费的支付：</w:t>
      </w:r>
      <w:r>
        <w:rPr>
          <w:rFonts w:ascii="Times New Roman" w:hAnsi="Times New Roman" w:eastAsia="宋体" w:cs="Times New Roman"/>
          <w:color w:val="000000"/>
          <w:sz w:val="24"/>
          <w:szCs w:val="21"/>
        </w:rPr>
        <w:t xml:space="preserve">本项目采购代理服务费因不在采购人年度预算内原因，无法由采购人支付，遂本次由中标人支付，在代理机构发中标通知书时由中标人向代理机构支付，一次性付清。</w:t>
      </w:r>
      <w:bookmarkStart w:id="112" w:name="_GoBack"/>
      <w:r/>
      <w:bookmarkEnd w:id="112"/>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13" w:name="_Toc163508354"/>
      <w:r/>
      <w:bookmarkStart w:id="114" w:name="_Toc163508279"/>
      <w:r/>
      <w:bookmarkStart w:id="115" w:name="_Toc227573333"/>
      <w:r>
        <w:rPr>
          <w:rFonts w:hint="eastAsia" w:ascii="宋体" w:hAnsi="宋体" w:eastAsia="宋体" w:cs="Arial"/>
          <w:color w:val="000000"/>
          <w:sz w:val="28"/>
          <w:szCs w:val="28"/>
        </w:rPr>
        <w:t xml:space="preserve">5、招标文件的约束力</w:t>
      </w:r>
      <w:bookmarkEnd w:id="113"/>
      <w:r/>
      <w:bookmarkEnd w:id="114"/>
      <w:r/>
      <w:bookmarkEnd w:id="115"/>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6" w:name="_Toc120614215"/>
      <w:r/>
      <w:bookmarkStart w:id="117" w:name="_Toc163508280"/>
      <w:r/>
      <w:bookmarkStart w:id="118" w:name="_Toc163508355"/>
      <w:r/>
      <w:bookmarkStart w:id="119" w:name="_Toc513029209"/>
      <w:r/>
      <w:bookmarkStart w:id="120" w:name="_Toc20823281"/>
      <w:r/>
      <w:bookmarkStart w:id="121" w:name="_Toc16938525"/>
      <w:r/>
      <w:bookmarkStart w:id="122" w:name="_Toc227573334"/>
      <w:r>
        <w:rPr>
          <w:rFonts w:hint="eastAsia" w:ascii="Times New Roman" w:hAnsi="Times New Roman" w:eastAsia="宋体" w:cs="Times New Roman"/>
          <w:b/>
          <w:bCs/>
          <w:color w:val="000000"/>
          <w:sz w:val="28"/>
          <w:szCs w:val="28"/>
        </w:rPr>
        <w:t xml:space="preserve">二、招标文件</w:t>
      </w:r>
      <w:bookmarkEnd w:id="116"/>
      <w:r/>
      <w:bookmarkEnd w:id="117"/>
      <w:r/>
      <w:bookmarkEnd w:id="118"/>
      <w:r/>
      <w:bookmarkEnd w:id="119"/>
      <w:r/>
      <w:bookmarkEnd w:id="120"/>
      <w:r/>
      <w:bookmarkEnd w:id="121"/>
      <w:r/>
      <w:bookmarkEnd w:id="122"/>
      <w:r/>
      <w:r/>
    </w:p>
    <w:p>
      <w:pPr>
        <w:ind w:firstLine="420"/>
        <w:rPr>
          <w:rFonts w:ascii="宋体" w:hAnsi="宋体" w:eastAsia="宋体" w:cs="Arial"/>
          <w:color w:val="000000"/>
          <w:sz w:val="28"/>
          <w:szCs w:val="28"/>
        </w:rPr>
        <w:outlineLvl w:val="2"/>
      </w:pPr>
      <w:r/>
      <w:bookmarkStart w:id="123" w:name="_Toc163508281"/>
      <w:r/>
      <w:bookmarkStart w:id="124" w:name="_Toc20823282"/>
      <w:r/>
      <w:bookmarkStart w:id="125" w:name="_Toc513029210"/>
      <w:r/>
      <w:bookmarkStart w:id="126" w:name="_Toc163508356"/>
      <w:r/>
      <w:bookmarkStart w:id="127" w:name="_Toc16938526"/>
      <w:r/>
      <w:bookmarkStart w:id="128" w:name="_Toc227573335"/>
      <w:r>
        <w:rPr>
          <w:rFonts w:hint="eastAsia" w:ascii="宋体" w:hAnsi="宋体" w:eastAsia="宋体" w:cs="Arial"/>
          <w:color w:val="000000"/>
          <w:sz w:val="28"/>
          <w:szCs w:val="28"/>
        </w:rPr>
        <w:t xml:space="preserve">6、招标文件构成</w:t>
      </w:r>
      <w:bookmarkEnd w:id="123"/>
      <w:r/>
      <w:bookmarkEnd w:id="124"/>
      <w:r/>
      <w:bookmarkEnd w:id="125"/>
      <w:r/>
      <w:bookmarkEnd w:id="126"/>
      <w:r/>
      <w:bookmarkEnd w:id="127"/>
      <w:r/>
      <w:bookmarkEnd w:id="128"/>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9" w:name="_Toc163508357"/>
      <w:r/>
      <w:bookmarkStart w:id="130" w:name="_Toc163508282"/>
      <w:r/>
      <w:bookmarkStart w:id="131" w:name="_Toc227573336"/>
      <w:r/>
      <w:bookmarkStart w:id="132" w:name="_Toc462564070"/>
      <w:r/>
      <w:bookmarkStart w:id="133" w:name="_Toc20823283"/>
      <w:r/>
      <w:bookmarkStart w:id="134" w:name="_Toc16938527"/>
      <w:r/>
      <w:bookmarkStart w:id="135" w:name="_Toc513029211"/>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9"/>
      <w:r/>
      <w:bookmarkEnd w:id="130"/>
      <w:r/>
      <w:bookmarkEnd w:id="131"/>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6" w:name="_Toc163508358"/>
      <w:r/>
      <w:bookmarkStart w:id="137" w:name="_Toc20823285"/>
      <w:r/>
      <w:bookmarkStart w:id="138" w:name="_Toc462564072"/>
      <w:r/>
      <w:bookmarkStart w:id="139" w:name="_Toc163508283"/>
      <w:r/>
      <w:bookmarkStart w:id="140" w:name="_Toc16938529"/>
      <w:r/>
      <w:bookmarkStart w:id="141" w:name="_Toc513029213"/>
      <w:r/>
      <w:bookmarkStart w:id="142" w:name="_Toc120614216"/>
      <w:r/>
      <w:bookmarkStart w:id="143" w:name="_Toc227573337"/>
      <w:r/>
      <w:bookmarkEnd w:id="132"/>
      <w:r/>
      <w:bookmarkEnd w:id="133"/>
      <w:r/>
      <w:bookmarkEnd w:id="134"/>
      <w:r/>
      <w:bookmarkEnd w:id="135"/>
      <w:r>
        <w:rPr>
          <w:rFonts w:hint="eastAsia" w:ascii="Times New Roman" w:hAnsi="Times New Roman" w:eastAsia="宋体" w:cs="Times New Roman"/>
          <w:b/>
          <w:bCs/>
          <w:color w:val="000000"/>
          <w:sz w:val="28"/>
          <w:szCs w:val="28"/>
        </w:rPr>
        <w:t xml:space="preserve">三、投标文件的编制</w:t>
      </w:r>
      <w:bookmarkEnd w:id="136"/>
      <w:r/>
      <w:bookmarkEnd w:id="137"/>
      <w:r/>
      <w:bookmarkEnd w:id="138"/>
      <w:r/>
      <w:bookmarkEnd w:id="139"/>
      <w:r/>
      <w:bookmarkEnd w:id="140"/>
      <w:r/>
      <w:bookmarkEnd w:id="141"/>
      <w:r/>
      <w:bookmarkEnd w:id="142"/>
      <w:r/>
      <w:bookmarkEnd w:id="143"/>
      <w:r/>
      <w:r/>
    </w:p>
    <w:p>
      <w:pPr>
        <w:ind w:firstLine="420"/>
        <w:rPr>
          <w:rFonts w:ascii="宋体" w:hAnsi="宋体" w:eastAsia="宋体" w:cs="Arial"/>
          <w:color w:val="000000"/>
          <w:sz w:val="28"/>
          <w:szCs w:val="28"/>
        </w:rPr>
        <w:outlineLvl w:val="2"/>
      </w:pPr>
      <w:r/>
      <w:bookmarkStart w:id="144" w:name="_Toc163508284"/>
      <w:r/>
      <w:bookmarkStart w:id="145" w:name="_Toc513029214"/>
      <w:r/>
      <w:bookmarkStart w:id="146" w:name="_Toc16938530"/>
      <w:r/>
      <w:bookmarkStart w:id="147" w:name="_Toc462564073"/>
      <w:r/>
      <w:bookmarkStart w:id="148" w:name="_Toc20823286"/>
      <w:r/>
      <w:bookmarkStart w:id="149" w:name="_Toc163508359"/>
      <w:r/>
      <w:bookmarkStart w:id="150" w:name="_Toc227573338"/>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44"/>
      <w:r/>
      <w:bookmarkEnd w:id="145"/>
      <w:r/>
      <w:bookmarkEnd w:id="146"/>
      <w:r/>
      <w:bookmarkEnd w:id="147"/>
      <w:r/>
      <w:bookmarkEnd w:id="148"/>
      <w:r/>
      <w:bookmarkEnd w:id="149"/>
      <w:r/>
      <w:bookmarkEnd w:id="150"/>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51" w:name="_Toc462564074"/>
      <w:r/>
      <w:bookmarkStart w:id="152" w:name="_Toc16938531"/>
      <w:r/>
      <w:bookmarkStart w:id="153" w:name="_Toc163508285"/>
      <w:r/>
      <w:bookmarkStart w:id="154" w:name="_Toc163508360"/>
      <w:r/>
      <w:bookmarkStart w:id="155" w:name="_Toc513029215"/>
      <w:r/>
      <w:bookmarkStart w:id="156" w:name="_Toc20823287"/>
      <w:r/>
      <w:bookmarkStart w:id="157" w:name="_Toc227573339"/>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51"/>
      <w:r/>
      <w:bookmarkEnd w:id="152"/>
      <w:r/>
      <w:bookmarkEnd w:id="153"/>
      <w:r/>
      <w:bookmarkEnd w:id="154"/>
      <w:r/>
      <w:bookmarkEnd w:id="155"/>
      <w:r/>
      <w:bookmarkEnd w:id="156"/>
      <w:r/>
      <w:bookmarkEnd w:id="157"/>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8" w:name="_Hlt26670360"/>
      <w:r/>
      <w:bookmarkStart w:id="159" w:name="_Hlt26668975"/>
      <w:r/>
      <w:bookmarkStart w:id="160" w:name="_Hlt26954838"/>
      <w:r/>
      <w:bookmarkStart w:id="161" w:name="_Toc513029219"/>
      <w:r/>
      <w:bookmarkStart w:id="162" w:name="_Toc49090509"/>
      <w:r/>
      <w:bookmarkStart w:id="163" w:name="_Toc163508286"/>
      <w:r/>
      <w:bookmarkStart w:id="164" w:name="_Toc14577357"/>
      <w:r/>
      <w:bookmarkStart w:id="165" w:name="_Toc163508361"/>
      <w:r/>
      <w:bookmarkStart w:id="166" w:name="_Toc227573340"/>
      <w:r/>
      <w:bookmarkStart w:id="167" w:name="_Toc513029216"/>
      <w:r/>
      <w:bookmarkStart w:id="168" w:name="_Toc14577354"/>
      <w:r/>
      <w:bookmarkStart w:id="169" w:name="_Toc49090507"/>
      <w:r/>
      <w:bookmarkStart w:id="170" w:name="_Toc49090508"/>
      <w:r/>
      <w:bookmarkStart w:id="171" w:name="_Toc14577355"/>
      <w:r/>
      <w:bookmarkEnd w:id="158"/>
      <w:r/>
      <w:bookmarkEnd w:id="159"/>
      <w:r/>
      <w:bookmarkEnd w:id="160"/>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61"/>
      <w:r/>
      <w:bookmarkEnd w:id="162"/>
      <w:r/>
      <w:bookmarkEnd w:id="163"/>
      <w:r/>
      <w:bookmarkEnd w:id="164"/>
      <w:r/>
      <w:bookmarkEnd w:id="165"/>
      <w:r/>
      <w:bookmarkEnd w:id="166"/>
      <w:r/>
      <w:bookmarkEnd w:id="167"/>
      <w:r/>
      <w:bookmarkEnd w:id="168"/>
      <w:r/>
      <w:bookmarkEnd w:id="169"/>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72" w:name="_Toc163508362"/>
      <w:r/>
      <w:bookmarkStart w:id="173" w:name="_Toc163508287"/>
      <w:r/>
      <w:bookmarkStart w:id="174" w:name="_Toc227573341"/>
      <w:r/>
      <w:bookmarkEnd w:id="170"/>
      <w:r/>
      <w:bookmarkEnd w:id="171"/>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72"/>
      <w:r/>
      <w:bookmarkEnd w:id="173"/>
      <w:r/>
      <w:bookmarkEnd w:id="174"/>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5" w:name="_Toc163508363"/>
      <w:r/>
      <w:bookmarkStart w:id="176" w:name="_Toc163508288"/>
      <w:r/>
      <w:bookmarkStart w:id="177" w:name="_Toc227573342"/>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w:t>
      </w:r>
      <w:bookmarkStart w:id="178" w:name="_Toc163508291"/>
      <w:r/>
      <w:bookmarkStart w:id="179" w:name="_Toc163508366"/>
      <w:r/>
      <w:bookmarkStart w:id="180" w:name="_Toc49090510"/>
      <w:r/>
      <w:bookmarkStart w:id="181" w:name="_Toc14577359"/>
      <w:r/>
      <w:bookmarkEnd w:id="175"/>
      <w:r/>
      <w:bookmarkEnd w:id="176"/>
      <w:r>
        <w:rPr>
          <w:rFonts w:hint="eastAsia" w:ascii="宋体" w:hAnsi="宋体" w:eastAsia="宋体" w:cs="Arial"/>
          <w:color w:val="000000"/>
          <w:sz w:val="28"/>
          <w:szCs w:val="28"/>
        </w:rPr>
        <w:t xml:space="preserve">其他</w:t>
      </w:r>
      <w:bookmarkEnd w:id="178"/>
      <w:r/>
      <w:bookmarkEnd w:id="179"/>
      <w:r/>
      <w:bookmarkEnd w:id="177"/>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82" w:name="_Toc163508367"/>
      <w:r/>
      <w:bookmarkStart w:id="183" w:name="_Toc163508292"/>
      <w:r/>
      <w:bookmarkStart w:id="184" w:name="_Toc49090511"/>
      <w:r/>
      <w:bookmarkStart w:id="185" w:name="_Toc14577360"/>
      <w:r/>
      <w:bookmarkStart w:id="186" w:name="_Toc227573343"/>
      <w:r/>
      <w:bookmarkEnd w:id="180"/>
      <w:r/>
      <w:bookmarkEnd w:id="181"/>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、投标有效期</w:t>
      </w:r>
      <w:bookmarkEnd w:id="182"/>
      <w:r/>
      <w:bookmarkEnd w:id="183"/>
      <w:r/>
      <w:bookmarkEnd w:id="184"/>
      <w:r/>
      <w:bookmarkEnd w:id="185"/>
      <w:r/>
      <w:bookmarkEnd w:id="186"/>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87" w:name="_Toc163508293"/>
      <w:r/>
      <w:bookmarkStart w:id="188" w:name="_Toc163508368"/>
      <w:r/>
      <w:bookmarkStart w:id="189" w:name="_Toc227573344"/>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、投标有效期的延长</w:t>
      </w:r>
      <w:bookmarkEnd w:id="187"/>
      <w:r/>
      <w:bookmarkEnd w:id="188"/>
      <w:r/>
      <w:bookmarkEnd w:id="189"/>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0" w:name="_Hlt26954852"/>
      <w:r/>
      <w:bookmarkStart w:id="191" w:name="_Hlt26954739"/>
      <w:r/>
      <w:bookmarkStart w:id="192" w:name="_Toc163508294"/>
      <w:r/>
      <w:bookmarkStart w:id="193" w:name="_Toc120614217"/>
      <w:r/>
      <w:bookmarkStart w:id="194" w:name="_Toc20823296"/>
      <w:r/>
      <w:bookmarkStart w:id="195" w:name="_Toc163508369"/>
      <w:r/>
      <w:bookmarkStart w:id="196" w:name="_Toc513029224"/>
      <w:r/>
      <w:bookmarkStart w:id="197" w:name="_Toc16938540"/>
      <w:r/>
      <w:bookmarkStart w:id="198" w:name="_Toc227573345"/>
      <w:r/>
      <w:bookmarkEnd w:id="190"/>
      <w:r/>
      <w:bookmarkEnd w:id="191"/>
      <w:r>
        <w:rPr>
          <w:rFonts w:hint="eastAsia" w:ascii="Times New Roman" w:hAnsi="Times New Roman" w:eastAsia="宋体" w:cs="Times New Roman"/>
          <w:b/>
          <w:bCs/>
          <w:color w:val="000000"/>
          <w:sz w:val="28"/>
          <w:szCs w:val="28"/>
        </w:rPr>
        <w:t xml:space="preserve">四、投标文件的递交</w:t>
      </w:r>
      <w:bookmarkEnd w:id="192"/>
      <w:r/>
      <w:bookmarkEnd w:id="193"/>
      <w:r/>
      <w:bookmarkEnd w:id="194"/>
      <w:r/>
      <w:bookmarkEnd w:id="195"/>
      <w:r/>
      <w:bookmarkEnd w:id="196"/>
      <w:r/>
      <w:bookmarkEnd w:id="197"/>
      <w:r/>
      <w:bookmarkEnd w:id="198"/>
      <w:r/>
      <w:r/>
    </w:p>
    <w:p>
      <w:pPr>
        <w:ind w:firstLine="420"/>
        <w:rPr>
          <w:rFonts w:ascii="宋体" w:hAnsi="宋体" w:eastAsia="宋体" w:cs="Arial"/>
          <w:color w:val="000000"/>
          <w:sz w:val="28"/>
          <w:szCs w:val="28"/>
        </w:rPr>
        <w:outlineLvl w:val="2"/>
      </w:pPr>
      <w:r/>
      <w:bookmarkStart w:id="199" w:name="_Toc513029225"/>
      <w:r/>
      <w:bookmarkStart w:id="200" w:name="_Toc16938541"/>
      <w:r/>
      <w:bookmarkStart w:id="201" w:name="_Toc20823297"/>
      <w:r/>
      <w:bookmarkStart w:id="202" w:name="_Toc462564084"/>
      <w:r/>
      <w:bookmarkStart w:id="203" w:name="_Toc163508370"/>
      <w:r/>
      <w:bookmarkStart w:id="204" w:name="_Toc163508295"/>
      <w:r/>
      <w:bookmarkStart w:id="205" w:name="_Toc227573346"/>
      <w:r>
        <w:rPr>
          <w:rFonts w:ascii="宋体" w:hAnsi="宋体" w:eastAsia="宋体" w:cs="Arial"/>
          <w:color w:val="000000"/>
          <w:sz w:val="28"/>
          <w:szCs w:val="28"/>
        </w:rPr>
        <w:t xml:space="preserve">15</w:t>
      </w:r>
      <w:r>
        <w:rPr>
          <w:rFonts w:hint="eastAsia" w:ascii="宋体" w:hAnsi="宋体" w:eastAsia="宋体" w:cs="Arial"/>
          <w:color w:val="000000"/>
          <w:sz w:val="28"/>
          <w:szCs w:val="28"/>
        </w:rPr>
        <w:t xml:space="preserve">、电子投标文件</w:t>
      </w:r>
      <w:bookmarkEnd w:id="199"/>
      <w:r/>
      <w:bookmarkEnd w:id="200"/>
      <w:r/>
      <w:bookmarkEnd w:id="201"/>
      <w:r/>
      <w:bookmarkEnd w:id="202"/>
      <w:r>
        <w:rPr>
          <w:rFonts w:hint="eastAsia" w:ascii="宋体" w:hAnsi="宋体" w:eastAsia="宋体" w:cs="Arial"/>
          <w:color w:val="000000"/>
          <w:sz w:val="28"/>
          <w:szCs w:val="28"/>
        </w:rPr>
        <w:t xml:space="preserve">的递交</w:t>
      </w:r>
      <w:bookmarkEnd w:id="203"/>
      <w:r/>
      <w:bookmarkEnd w:id="204"/>
      <w:r/>
      <w:bookmarkEnd w:id="205"/>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06" w:name="_Toc16938542"/>
      <w:r/>
      <w:bookmarkStart w:id="207" w:name="_Toc20823298"/>
      <w:r/>
      <w:bookmarkStart w:id="208" w:name="_Toc513029226"/>
      <w:r/>
      <w:r/>
    </w:p>
    <w:p>
      <w:pPr>
        <w:ind w:firstLine="420"/>
        <w:rPr>
          <w:rFonts w:ascii="宋体" w:hAnsi="宋体" w:eastAsia="宋体" w:cs="Arial"/>
          <w:color w:val="000000"/>
          <w:sz w:val="28"/>
          <w:szCs w:val="28"/>
        </w:rPr>
        <w:outlineLvl w:val="2"/>
      </w:pPr>
      <w:r/>
      <w:bookmarkStart w:id="209" w:name="_Toc163508371"/>
      <w:r/>
      <w:bookmarkStart w:id="210" w:name="_Toc163508296"/>
      <w:r/>
      <w:bookmarkStart w:id="211" w:name="_Toc227573347"/>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、投标截止日期</w:t>
      </w:r>
      <w:bookmarkEnd w:id="206"/>
      <w:r/>
      <w:bookmarkEnd w:id="207"/>
      <w:r/>
      <w:bookmarkEnd w:id="208"/>
      <w:r/>
      <w:bookmarkEnd w:id="209"/>
      <w:r/>
      <w:bookmarkEnd w:id="210"/>
      <w:r/>
      <w:bookmarkEnd w:id="211"/>
      <w:r/>
      <w:r/>
    </w:p>
    <w:p>
      <w:pPr>
        <w:ind w:firstLine="480"/>
        <w:spacing w:line="50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16</w:t>
      </w:r>
      <w:r>
        <w:rPr>
          <w:rFonts w:hint="eastAsia" w:ascii="Times New Roman" w:hAnsi="Times New Roman" w:eastAsia="宋体" w:cs="Times New Roman"/>
          <w:i/>
          <w:sz w:val="24"/>
          <w:szCs w:val="24"/>
          <w:u w:val="single"/>
        </w:rPr>
        <w:t xml:space="preserve">.1 </w:t>
      </w:r>
      <w:r>
        <w:rPr>
          <w:rFonts w:hint="eastAsia" w:ascii="Times New Roman" w:hAnsi="Times New Roman" w:eastAsia="宋体" w:cs="Times New Roman"/>
          <w:i/>
          <w:sz w:val="24"/>
          <w:szCs w:val="24"/>
          <w:u w:val="single"/>
        </w:rPr>
        <w:t xml:space="preserve">投标人上传电子投标文件的时间不得迟于招标公告中规定的投标截止时间。</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投标人应充分考虑到网络环境、网络带宽等风险因素，如因投标人自身原因造成的电子投标文件上传不成功的按照本招标文件第二章第</w:t>
      </w:r>
      <w:r>
        <w:rPr>
          <w:rFonts w:hint="eastAsia" w:ascii="Times New Roman" w:hAnsi="Times New Roman" w:eastAsia="宋体" w:cs="Times New Roman"/>
          <w:sz w:val="24"/>
          <w:szCs w:val="24"/>
        </w:rPr>
        <w:t xml:space="preserve">27.1.2</w:t>
      </w:r>
      <w:r>
        <w:rPr>
          <w:rFonts w:hint="eastAsia" w:ascii="Times New Roman" w:hAnsi="Times New Roman" w:eastAsia="宋体" w:cs="Times New Roman"/>
          <w:sz w:val="24"/>
          <w:szCs w:val="24"/>
        </w:rPr>
        <w:t xml:space="preserve">条规定做无效投标处理。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12" w:name="_Toc16938543"/>
      <w:r/>
      <w:bookmarkStart w:id="213" w:name="_Toc20823299"/>
      <w:r/>
      <w:bookmarkStart w:id="214" w:name="_Toc513029227"/>
      <w:r/>
      <w:bookmarkStart w:id="215" w:name="_Toc163508372"/>
      <w:r/>
      <w:bookmarkStart w:id="216" w:name="_Toc163508297"/>
      <w:r/>
      <w:bookmarkStart w:id="217" w:name="_Toc227573348"/>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、投标文件</w:t>
      </w:r>
      <w:bookmarkEnd w:id="212"/>
      <w:r/>
      <w:bookmarkEnd w:id="213"/>
      <w:r/>
      <w:bookmarkEnd w:id="214"/>
      <w:r>
        <w:rPr>
          <w:rFonts w:hint="eastAsia" w:ascii="宋体" w:hAnsi="宋体" w:eastAsia="宋体" w:cs="Arial"/>
          <w:color w:val="000000"/>
          <w:sz w:val="28"/>
          <w:szCs w:val="28"/>
        </w:rPr>
        <w:t xml:space="preserve">的拒收</w:t>
      </w:r>
      <w:bookmarkEnd w:id="215"/>
      <w:r/>
      <w:bookmarkEnd w:id="216"/>
      <w:r/>
      <w:bookmarkEnd w:id="217"/>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18" w:name="_Toc20823300"/>
      <w:r/>
      <w:bookmarkStart w:id="219" w:name="_Toc16938544"/>
      <w:r/>
      <w:bookmarkStart w:id="220" w:name="_Toc513029228"/>
      <w:r/>
      <w:bookmarkStart w:id="221" w:name="_Toc163508373"/>
      <w:r/>
      <w:bookmarkStart w:id="222" w:name="_Toc163508298"/>
      <w:r/>
      <w:bookmarkStart w:id="223" w:name="_Toc227573349"/>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、投标文件的撤回和修改</w:t>
      </w:r>
      <w:bookmarkEnd w:id="218"/>
      <w:r/>
      <w:bookmarkEnd w:id="219"/>
      <w:r/>
      <w:bookmarkEnd w:id="220"/>
      <w:r/>
      <w:bookmarkEnd w:id="221"/>
      <w:r/>
      <w:bookmarkEnd w:id="222"/>
      <w:r/>
      <w:bookmarkEnd w:id="22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投标文件的撤回</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电子投标文件的撤回</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投标人可在投标截止时间前，撤回其电子投标文件，具体操作方法见《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投标人撤回电子投标文件，则认为其不再参与本项目投标活动。</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投标文件的修改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投标人可在投标截止时间前，对其电子投标文件进行修改，具体操作方法见《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在投标截止时间之后，投标人不得对其电子投标文件作任何修改。</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24" w:name="_Toc20823301"/>
      <w:r/>
      <w:bookmarkStart w:id="225" w:name="_Toc120614218"/>
      <w:r/>
      <w:bookmarkStart w:id="226" w:name="_Toc513029229"/>
      <w:r/>
      <w:bookmarkStart w:id="227" w:name="_Toc163508374"/>
      <w:r/>
      <w:bookmarkStart w:id="228" w:name="_Toc163508299"/>
      <w:r/>
      <w:bookmarkStart w:id="229" w:name="_Toc16938545"/>
      <w:r/>
      <w:bookmarkStart w:id="230" w:name="_Toc227573350"/>
      <w:r>
        <w:rPr>
          <w:rFonts w:hint="eastAsia" w:ascii="Times New Roman" w:hAnsi="Times New Roman" w:eastAsia="宋体" w:cs="Times New Roman"/>
          <w:b/>
          <w:bCs/>
          <w:color w:val="000000"/>
          <w:sz w:val="28"/>
          <w:szCs w:val="28"/>
        </w:rPr>
        <w:t xml:space="preserve">五、开标与评标</w:t>
      </w:r>
      <w:bookmarkEnd w:id="224"/>
      <w:r/>
      <w:bookmarkEnd w:id="225"/>
      <w:r/>
      <w:bookmarkEnd w:id="226"/>
      <w:r/>
      <w:bookmarkEnd w:id="227"/>
      <w:r/>
      <w:bookmarkEnd w:id="228"/>
      <w:r/>
      <w:bookmarkEnd w:id="229"/>
      <w:r/>
      <w:bookmarkEnd w:id="230"/>
      <w:r/>
      <w:r/>
    </w:p>
    <w:p>
      <w:pPr>
        <w:ind w:firstLine="420"/>
        <w:rPr>
          <w:rFonts w:ascii="宋体" w:hAnsi="宋体" w:eastAsia="宋体" w:cs="Arial"/>
          <w:color w:val="000000"/>
          <w:sz w:val="28"/>
          <w:szCs w:val="28"/>
        </w:rPr>
        <w:outlineLvl w:val="2"/>
      </w:pPr>
      <w:r/>
      <w:bookmarkStart w:id="231" w:name="_Toc513029230"/>
      <w:r/>
      <w:bookmarkStart w:id="232" w:name="_Toc16938546"/>
      <w:r/>
      <w:bookmarkStart w:id="233" w:name="_Toc163508375"/>
      <w:r/>
      <w:bookmarkStart w:id="234" w:name="_Toc20823302"/>
      <w:r/>
      <w:bookmarkStart w:id="235" w:name="_Toc163508300"/>
      <w:r/>
      <w:bookmarkStart w:id="236" w:name="_Toc227573351"/>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、开标</w:t>
      </w:r>
      <w:bookmarkEnd w:id="231"/>
      <w:r/>
      <w:bookmarkEnd w:id="232"/>
      <w:r/>
      <w:bookmarkEnd w:id="233"/>
      <w:r/>
      <w:bookmarkEnd w:id="234"/>
      <w:r/>
      <w:bookmarkEnd w:id="235"/>
      <w:r/>
      <w:bookmarkEnd w:id="23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代理机构将在招标公告中规定的时间和地点组织公开开标。投标人应当按照《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参加开标活动</w:t>
      </w:r>
      <w:r>
        <w:rPr>
          <w:rFonts w:hint="eastAsia" w:ascii="Times New Roman" w:hAnsi="Times New Roman" w:eastAsia="宋体" w:cs="Times New Roman"/>
          <w:sz w:val="24"/>
          <w:szCs w:val="24"/>
        </w:rPr>
        <w:t xml:space="preserve">和在苏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系统规定的时间内对投标文件进行解密。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开标仪式由代理机构组织。苏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系统将自动对</w:t>
      </w:r>
      <w:r>
        <w:rPr>
          <w:rFonts w:ascii="Times New Roman" w:hAnsi="Times New Roman" w:eastAsia="宋体" w:cs="Times New Roman"/>
          <w:sz w:val="24"/>
          <w:szCs w:val="24"/>
        </w:rPr>
        <w:t xml:space="preserve">项目进行开标，</w:t>
      </w:r>
      <w:r>
        <w:rPr>
          <w:rFonts w:hint="eastAsia" w:ascii="Times New Roman" w:hAnsi="Times New Roman" w:eastAsia="宋体" w:cs="Times New Roman"/>
          <w:sz w:val="24"/>
          <w:szCs w:val="24"/>
        </w:rPr>
        <w:t xml:space="preserve">并宣布各投标人名称和投标价格。</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投标人在开标过程中涉及到的投标文件解密、开标结果确认等工作，应按照《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》规定执行。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投标人如果对开标过程和开标记录有疑义，应当根据《操作手册》规定提出，如苏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系统中《开标记录表》宣布后</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分钟内未提出的，视同认可开标结果。</w:t>
      </w:r>
      <w:r/>
    </w:p>
    <w:p>
      <w:pPr>
        <w:ind w:firstLine="420"/>
        <w:rPr>
          <w:rFonts w:ascii="宋体" w:hAnsi="宋体" w:eastAsia="宋体" w:cs="Arial"/>
          <w:color w:val="000000"/>
          <w:sz w:val="28"/>
          <w:szCs w:val="28"/>
        </w:rPr>
        <w:outlineLvl w:val="2"/>
      </w:pPr>
      <w:r/>
      <w:bookmarkStart w:id="237" w:name="_Toc163508376"/>
      <w:r/>
      <w:bookmarkStart w:id="238" w:name="_Toc163508301"/>
      <w:r/>
      <w:bookmarkStart w:id="239" w:name="_Toc227573352"/>
      <w:r/>
      <w:bookmarkStart w:id="240" w:name="_Toc513029231"/>
      <w:r/>
      <w:bookmarkStart w:id="241" w:name="_Toc16938547"/>
      <w:r/>
      <w:bookmarkStart w:id="242" w:name="_Toc20823303"/>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、评标委员会</w:t>
      </w:r>
      <w:bookmarkEnd w:id="237"/>
      <w:r/>
      <w:bookmarkEnd w:id="238"/>
      <w:r/>
      <w:bookmarkEnd w:id="239"/>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开标后，代理机构将立即组织评标委员会（以下简称评委会）进行评标。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评委会由采购人代表和有关技术、经济等方面的专家组成，</w:t>
      </w:r>
      <w:r>
        <w:rPr>
          <w:rFonts w:hint="eastAsia" w:ascii="Times New Roman" w:hAnsi="Times New Roman" w:eastAsia="宋体" w:cs="Times New Roman"/>
          <w:sz w:val="24"/>
          <w:szCs w:val="24"/>
        </w:rPr>
        <w:t xml:space="preserve">且人员</w:t>
      </w:r>
      <w:r>
        <w:rPr>
          <w:rFonts w:hint="eastAsia" w:ascii="Times New Roman" w:hAnsi="Times New Roman" w:eastAsia="宋体" w:cs="Times New Roman"/>
          <w:sz w:val="24"/>
          <w:szCs w:val="24"/>
        </w:rPr>
        <w:t xml:space="preserve">构成符合政府采购有关规定。</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评委会独立工作，负责评审所有投标文件并确定中标</w:t>
      </w:r>
      <w:r>
        <w:rPr>
          <w:rFonts w:hint="eastAsia" w:ascii="Times New Roman" w:hAnsi="Times New Roman" w:eastAsia="宋体" w:cs="Times New Roman"/>
          <w:sz w:val="24"/>
          <w:szCs w:val="24"/>
        </w:rPr>
        <w:t xml:space="preserve">侯选人</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243" w:name="_Toc163508377"/>
      <w:r/>
      <w:bookmarkStart w:id="244" w:name="_Toc163508302"/>
      <w:r/>
      <w:bookmarkStart w:id="245" w:name="_Toc22757335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．评标过程的保密与公正</w:t>
      </w:r>
      <w:bookmarkEnd w:id="243"/>
      <w:r/>
      <w:bookmarkEnd w:id="244"/>
      <w:r/>
      <w:bookmarkEnd w:id="245"/>
      <w:r/>
      <w:bookmarkEnd w:id="240"/>
      <w:r/>
      <w:bookmarkEnd w:id="241"/>
      <w:r/>
      <w:bookmarkEnd w:id="242"/>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在评标过程中，投标人不得以任何行为影响评标过程，否则其投标文件将被作为无效投标文件。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代理机构和评委会不向未中标的投标人解释未中标原因，也不公布评标过程中的相关细节。</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采用综合评分法的项目，未中标的投标人可于中标结果公告期限届满之日起通过苏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系统查看自己的评审得分及排序情况。</w:t>
      </w:r>
      <w:r/>
    </w:p>
    <w:p>
      <w:pPr>
        <w:ind w:firstLine="420"/>
        <w:rPr>
          <w:rFonts w:ascii="宋体" w:hAnsi="宋体" w:eastAsia="宋体" w:cs="Arial"/>
          <w:color w:val="000000"/>
          <w:sz w:val="28"/>
          <w:szCs w:val="28"/>
        </w:rPr>
        <w:outlineLvl w:val="2"/>
      </w:pPr>
      <w:r/>
      <w:bookmarkStart w:id="246" w:name="_Toc513029232"/>
      <w:r/>
      <w:bookmarkStart w:id="247" w:name="_Toc163508303"/>
      <w:r/>
      <w:bookmarkStart w:id="248" w:name="_Toc163508378"/>
      <w:r/>
      <w:bookmarkStart w:id="249" w:name="_Toc20823304"/>
      <w:r/>
      <w:bookmarkStart w:id="250" w:name="_Toc16938548"/>
      <w:r/>
      <w:bookmarkStart w:id="251" w:name="_Toc22757335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．投标文件的澄清</w:t>
      </w:r>
      <w:bookmarkEnd w:id="246"/>
      <w:r/>
      <w:bookmarkEnd w:id="247"/>
      <w:r/>
      <w:bookmarkEnd w:id="248"/>
      <w:r/>
      <w:bookmarkEnd w:id="249"/>
      <w:r/>
      <w:bookmarkEnd w:id="250"/>
      <w:r/>
      <w:bookmarkEnd w:id="251"/>
      <w:r/>
      <w:r/>
    </w:p>
    <w:p>
      <w:pPr>
        <w:ind w:firstLine="480"/>
        <w:spacing w:line="500" w:lineRule="exact"/>
        <w:rPr>
          <w:rFonts w:ascii="Times New Roman" w:hAnsi="Times New Roman" w:eastAsia="宋体" w:cs="Times New Roman"/>
          <w:sz w:val="24"/>
          <w:szCs w:val="24"/>
        </w:rPr>
      </w:pPr>
      <w:r/>
      <w:bookmarkStart w:id="252" w:name="_Toc513029233"/>
      <w:r/>
      <w:bookmarkStart w:id="253" w:name="_Toc16938549"/>
      <w:r/>
      <w:bookmarkStart w:id="254" w:name="_Toc20823305"/>
      <w:r>
        <w:rPr>
          <w:rFonts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评标期间，评委会对投标文件中含义不明确、同类问题表述不一致或者有明显文字和计算错误的内容</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，有权要求投标人</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必要的澄清、说明或者补正。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投标人的澄清、说明或者补正不得超出投标文件的范围或者改变投标文件的实质性内容。</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评标</w:t>
      </w:r>
      <w:r>
        <w:rPr>
          <w:rFonts w:ascii="Times New Roman" w:hAnsi="Times New Roman" w:eastAsia="宋体" w:cs="Times New Roman"/>
          <w:sz w:val="24"/>
          <w:szCs w:val="24"/>
        </w:rPr>
        <w:t xml:space="preserve">委员会并非对每个投标人都做澄清要求</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需要供应商进行澄清、说明和补正的，评委会将通过苏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系统向供应商发出“澄清要求函”，接到“澄清要求函”的投标人应当按照要求在苏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系统中提交“澄清响应函”并加盖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电子公章。澄清、说明和补正的内容作为投标文件的补充部分，具体操作方式见《</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55" w:name="_Toc163508304"/>
      <w:r/>
      <w:bookmarkStart w:id="256" w:name="_Toc163508379"/>
      <w:r/>
      <w:bookmarkStart w:id="257" w:name="_Toc227573355"/>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、对投标文件的初审</w:t>
      </w:r>
      <w:bookmarkEnd w:id="252"/>
      <w:r/>
      <w:bookmarkEnd w:id="253"/>
      <w:r/>
      <w:bookmarkEnd w:id="254"/>
      <w:r/>
      <w:bookmarkEnd w:id="255"/>
      <w:r/>
      <w:bookmarkEnd w:id="256"/>
      <w:r/>
      <w:bookmarkEnd w:id="257"/>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投标文件初审分为资格审查和符合性审查。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采购人在进行资格性审查的同时，将在中国政府采购网</w:t>
      </w:r>
      <w:r>
        <w:rPr>
          <w:rFonts w:hint="eastAsia" w:ascii="Times New Roman" w:hAnsi="Times New Roman" w:eastAsia="宋体" w:cs="Times New Roman"/>
          <w:sz w:val="24"/>
          <w:szCs w:val="24"/>
        </w:rPr>
        <w:t xml:space="preserve">(http://www.ccgp.gov.cn/search/cr/)</w:t>
      </w:r>
      <w:r>
        <w:rPr>
          <w:rFonts w:hint="eastAsia" w:ascii="Times New Roman" w:hAnsi="Times New Roman" w:eastAsia="宋体" w:cs="Times New Roman"/>
          <w:sz w:val="24"/>
          <w:szCs w:val="24"/>
        </w:rPr>
        <w:t xml:space="preserve">、信用中国（</w:t>
      </w:r>
      <w:r>
        <w:rPr>
          <w:rFonts w:hint="eastAsia" w:ascii="Times New Roman" w:hAnsi="Times New Roman" w:eastAsia="宋体" w:cs="Times New Roman"/>
          <w:sz w:val="24"/>
          <w:szCs w:val="24"/>
        </w:rPr>
        <w:t xml:space="preserve">https://www.creditchina.gov.cn/</w:t>
      </w:r>
      <w:r>
        <w:rPr>
          <w:rFonts w:hint="eastAsia" w:ascii="Times New Roman" w:hAnsi="Times New Roman" w:eastAsia="宋体" w:cs="Times New Roman"/>
          <w:sz w:val="24"/>
          <w:szCs w:val="24"/>
        </w:rPr>
        <w:t xml:space="preserve">）、信用江苏（</w:t>
      </w:r>
      <w:r>
        <w:rPr>
          <w:rFonts w:hint="eastAsia" w:ascii="Times New Roman" w:hAnsi="Times New Roman" w:eastAsia="宋体" w:cs="Times New Roman"/>
          <w:sz w:val="24"/>
          <w:szCs w:val="24"/>
        </w:rPr>
        <w:t xml:space="preserve">http://credit.jiangsu.gov.cn/</w:t>
      </w:r>
      <w:r>
        <w:rPr>
          <w:rFonts w:hint="eastAsia" w:ascii="Times New Roman" w:hAnsi="Times New Roman" w:eastAsia="宋体" w:cs="Times New Roman"/>
          <w:sz w:val="24"/>
          <w:szCs w:val="24"/>
        </w:rPr>
        <w:t xml:space="preserve">）、信用中国（江苏苏州）（</w:t>
      </w:r>
      <w:r>
        <w:rPr>
          <w:rFonts w:hint="eastAsia" w:ascii="Times New Roman" w:hAnsi="Times New Roman" w:eastAsia="宋体" w:cs="Times New Roman"/>
          <w:sz w:val="24"/>
          <w:szCs w:val="24"/>
        </w:rPr>
        <w:t xml:space="preserve">https://credit.suzhou.gov.cn/</w:t>
      </w:r>
      <w:r>
        <w:rPr>
          <w:rFonts w:hint="eastAsia" w:ascii="Times New Roman" w:hAnsi="Times New Roman" w:eastAsia="宋体" w:cs="Times New Roman"/>
          <w:sz w:val="24"/>
          <w:szCs w:val="24"/>
        </w:rPr>
        <w:t xml:space="preserve">）等查询投标人的信用记录，以确定投标人是否具备投标资格</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查询结果留存并归档。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接受联合体的项目，两个以上的自然人、法人或者其他组织组成一个联合体，以一个供应商的身份共同参加政府采购活动的</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联合体成员中任何一方存在不良信用记录的，视同联合体存在不良应用记录。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.1.2 </w:t>
      </w:r>
      <w:r>
        <w:rPr>
          <w:rFonts w:hint="eastAsia" w:ascii="Times New Roman" w:hAnsi="Times New Roman" w:eastAsia="宋体" w:cs="Times New Roman"/>
          <w:sz w:val="24"/>
          <w:szCs w:val="24"/>
        </w:rPr>
        <w:t xml:space="preserve">符合性审查：依据招标文件的规定，由评委会从投标文件的有效性、完整性和对招标文件的响应程度进行审查，以确定是否对招标文件的实质性要求</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响应。</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.1.3 </w:t>
      </w:r>
      <w:r>
        <w:rPr>
          <w:rFonts w:hint="eastAsia" w:ascii="Times New Roman" w:hAnsi="Times New Roman" w:eastAsia="宋体" w:cs="Times New Roman"/>
          <w:sz w:val="24"/>
          <w:szCs w:val="24"/>
        </w:rPr>
        <w:t xml:space="preserve">未通过资格审查或符合性审查的投标人，代理机构将在苏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系统中告知未通过资格审查或符合性审查的原因，评审结束后，代理机构将不再告知未通过资格审查或符合性审查的原因。</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结论。评委决定投标文件的</w:t>
      </w:r>
      <w:r>
        <w:rPr>
          <w:rFonts w:hint="eastAsia" w:ascii="Times New Roman" w:hAnsi="Times New Roman" w:eastAsia="宋体" w:cs="Times New Roman"/>
          <w:sz w:val="24"/>
          <w:szCs w:val="24"/>
        </w:rPr>
        <w:t xml:space="preserve">响应性只根据</w:t>
      </w:r>
      <w:r>
        <w:rPr>
          <w:rFonts w:hint="eastAsia" w:ascii="Times New Roman" w:hAnsi="Times New Roman" w:eastAsia="宋体" w:cs="Times New Roman"/>
          <w:sz w:val="24"/>
          <w:szCs w:val="24"/>
        </w:rPr>
        <w:t xml:space="preserve">投标文件本身的内容，而不寻求外部的证据。</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）投标文件中开标一览表内容与投标文件中相应内容不一致的，以开标一览表为准。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）大写金额和小写金额不一致的，以大写金额为准。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）单价金额小数点或者百分比有明显错位的，以开标一览表的总价为准，并修改单价。</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）总价金额与按单价汇总金额不一致的，以单价金额计算结果为准。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同时出现两种以上错误的，按照前款规定的顺序修正。</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评委会将按上述修正错误的方法调整投标文件中的投标报价，并</w:t>
      </w:r>
      <w:r>
        <w:rPr>
          <w:rFonts w:ascii="Times New Roman" w:hAnsi="Times New Roman" w:eastAsia="宋体" w:cs="Times New Roman"/>
          <w:sz w:val="24"/>
          <w:szCs w:val="24"/>
        </w:rPr>
        <w:t xml:space="preserve">通过</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系统告知</w:t>
      </w:r>
      <w:r>
        <w:rPr>
          <w:rFonts w:ascii="Times New Roman" w:hAnsi="Times New Roman" w:eastAsia="宋体" w:cs="Times New Roman"/>
          <w:sz w:val="24"/>
          <w:szCs w:val="24"/>
        </w:rPr>
        <w:t xml:space="preserve">投标人，</w:t>
      </w:r>
      <w:r>
        <w:rPr>
          <w:rFonts w:hint="eastAsia" w:ascii="Times New Roman" w:hAnsi="Times New Roman" w:eastAsia="宋体" w:cs="Times New Roman"/>
          <w:sz w:val="24"/>
          <w:szCs w:val="24"/>
        </w:rPr>
        <w:t xml:space="preserve">调整后的价格应对投标人具有约束力。如果投标人不接受修正后的价格，则其投标将被拒绝。</w:t>
      </w:r>
      <w:r/>
    </w:p>
    <w:p>
      <w:pPr>
        <w:ind w:firstLine="480"/>
        <w:spacing w:line="500" w:lineRule="exact"/>
        <w:rPr>
          <w:rFonts w:ascii="Times New Roman" w:hAnsi="Times New Roman" w:eastAsia="宋体" w:cs="Times New Roman"/>
          <w:sz w:val="24"/>
          <w:szCs w:val="24"/>
        </w:rPr>
      </w:pPr>
      <w:r/>
      <w:bookmarkStart w:id="258" w:name="_Toc16938550"/>
      <w:r/>
      <w:bookmarkStart w:id="259" w:name="_Toc513029234"/>
      <w:r/>
      <w:bookmarkStart w:id="260" w:name="_Toc20823306"/>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t xml:space="preserve">采用最低评标价法的采购项目，提供相同品牌产品的不同投标人参加同一合同项下投标的，以其中通过资格审查、符合性审查且报价最低的参加评标；报价相同的，由</w:t>
      </w:r>
      <w:r>
        <w:rPr>
          <w:rFonts w:hint="eastAsia" w:ascii="Times New Roman" w:hAnsi="Times New Roman" w:eastAsia="宋体" w:cs="Times New Roman"/>
          <w:sz w:val="24"/>
          <w:szCs w:val="24"/>
        </w:rPr>
        <w:t xml:space="preserve">评委会按照招标文件规定的方式（招标文件未规定的通过</w:t>
      </w:r>
      <w:r>
        <w:rPr>
          <w:rFonts w:ascii="Times New Roman" w:hAnsi="Times New Roman" w:eastAsia="宋体" w:cs="Times New Roman"/>
          <w:sz w:val="24"/>
          <w:szCs w:val="24"/>
        </w:rPr>
        <w:t xml:space="preserve">随机抽取</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方式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确定一个参加评标的投标人，其他投标无效。</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Times New Roman" w:hAnsi="Times New Roman" w:eastAsia="宋体" w:cs="Times New Roman"/>
          <w:sz w:val="24"/>
          <w:szCs w:val="24"/>
        </w:rPr>
        <w:t xml:space="preserve">评委会根据招标文件规定的方式（招标文件未规定的采取随机抽取的方式）</w:t>
      </w:r>
      <w:r>
        <w:rPr>
          <w:rFonts w:ascii="Times New Roman" w:hAnsi="Times New Roman" w:eastAsia="宋体" w:cs="Times New Roman"/>
          <w:sz w:val="24"/>
          <w:szCs w:val="24"/>
        </w:rPr>
        <w:t xml:space="preserve">确定</w:t>
      </w:r>
      <w:r>
        <w:rPr>
          <w:rFonts w:hint="eastAsia" w:ascii="Times New Roman" w:hAnsi="Times New Roman" w:eastAsia="宋体" w:cs="Times New Roman"/>
          <w:sz w:val="24"/>
          <w:szCs w:val="24"/>
        </w:rPr>
        <w:t xml:space="preserve">一个中标候选人</w:t>
      </w:r>
      <w:r>
        <w:rPr>
          <w:rFonts w:ascii="Times New Roman" w:hAnsi="Times New Roman" w:eastAsia="宋体" w:cs="Times New Roman"/>
          <w:sz w:val="24"/>
          <w:szCs w:val="24"/>
        </w:rPr>
        <w:t xml:space="preserve">，其他同品牌投标人不作为中标候选人。</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非单一产品采购项目，招标文件中</w:t>
      </w:r>
      <w:r>
        <w:rPr>
          <w:rFonts w:hint="eastAsia" w:ascii="Times New Roman" w:hAnsi="Times New Roman" w:eastAsia="宋体" w:cs="Times New Roman"/>
          <w:sz w:val="24"/>
          <w:szCs w:val="24"/>
        </w:rPr>
        <w:t xml:space="preserve">将载明其中的核心产品</w:t>
      </w:r>
      <w:r>
        <w:rPr>
          <w:rFonts w:ascii="Times New Roman" w:hAnsi="Times New Roman" w:eastAsia="宋体" w:cs="Times New Roman"/>
          <w:sz w:val="24"/>
          <w:szCs w:val="24"/>
        </w:rPr>
        <w:t xml:space="preserve">。多家投标人提供的核心产品品牌相同的，按前两款规定处理。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投标人在开、评标全过程中应保持通讯畅通，及时登录苏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系统查阅</w:t>
      </w:r>
      <w:r>
        <w:rPr>
          <w:rFonts w:ascii="Times New Roman" w:hAnsi="Times New Roman" w:eastAsia="宋体" w:cs="Times New Roman"/>
          <w:sz w:val="24"/>
          <w:szCs w:val="24"/>
        </w:rPr>
        <w:t xml:space="preserve">、答复相关</w:t>
      </w:r>
      <w:r>
        <w:rPr>
          <w:rFonts w:hint="eastAsia" w:ascii="Times New Roman" w:hAnsi="Times New Roman" w:eastAsia="宋体" w:cs="Times New Roman"/>
          <w:sz w:val="24"/>
          <w:szCs w:val="24"/>
        </w:rPr>
        <w:t xml:space="preserve">信息</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并安排专人与代理机构及评委会联系。</w:t>
      </w:r>
      <w:r/>
    </w:p>
    <w:p>
      <w:pPr>
        <w:ind w:firstLine="420"/>
        <w:rPr>
          <w:rFonts w:ascii="宋体" w:hAnsi="宋体" w:eastAsia="宋体" w:cs="Arial"/>
          <w:color w:val="000000"/>
          <w:sz w:val="28"/>
          <w:szCs w:val="28"/>
        </w:rPr>
        <w:outlineLvl w:val="2"/>
      </w:pPr>
      <w:r/>
      <w:bookmarkStart w:id="261" w:name="_Toc163508305"/>
      <w:r/>
      <w:bookmarkStart w:id="262" w:name="_Toc163508380"/>
      <w:r/>
      <w:bookmarkStart w:id="263" w:name="_Toc227573356"/>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w:t>
      </w:r>
      <w:bookmarkEnd w:id="258"/>
      <w:r/>
      <w:bookmarkEnd w:id="259"/>
      <w:r/>
      <w:bookmarkEnd w:id="260"/>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61"/>
      <w:r/>
      <w:bookmarkEnd w:id="262"/>
      <w:r/>
      <w:bookmarkEnd w:id="263"/>
      <w:r/>
      <w:r/>
    </w:p>
    <w:p>
      <w:pPr>
        <w:ind w:firstLine="480"/>
        <w:spacing w:line="500" w:lineRule="exact"/>
        <w:rPr>
          <w:rFonts w:ascii="Times New Roman" w:hAnsi="Times New Roman" w:eastAsia="宋体" w:cs="Times New Roman"/>
          <w:sz w:val="24"/>
          <w:szCs w:val="24"/>
        </w:rPr>
      </w:pPr>
      <w:r/>
      <w:bookmarkStart w:id="264" w:name="_Toc513029235"/>
      <w:r/>
      <w:bookmarkStart w:id="265" w:name="_Toc20823307"/>
      <w:r/>
      <w:bookmarkStart w:id="266" w:name="_Toc16938551"/>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无效投标条款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 </w:t>
      </w:r>
      <w:r>
        <w:rPr>
          <w:rFonts w:hint="eastAsia" w:ascii="Times New Roman" w:hAnsi="Times New Roman" w:eastAsia="宋体" w:cs="Times New Roman"/>
          <w:sz w:val="24"/>
          <w:szCs w:val="24"/>
        </w:rPr>
        <w:t xml:space="preserve">投标人在苏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系统规定的时间内未成功解密电子投标文件的。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投标人未按照招标文件要求上传电子投标文件的。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同一投标人提交两个</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含</w:t>
      </w:r>
      <w:r>
        <w:rPr>
          <w:rFonts w:ascii="Times New Roman" w:hAnsi="Times New Roman" w:eastAsia="宋体" w:cs="Times New Roman"/>
          <w:sz w:val="24"/>
          <w:szCs w:val="24"/>
        </w:rPr>
        <w:t xml:space="preserve">两个）</w:t>
      </w:r>
      <w:r>
        <w:rPr>
          <w:rFonts w:hint="eastAsia" w:ascii="Times New Roman" w:hAnsi="Times New Roman" w:eastAsia="宋体" w:cs="Times New Roman"/>
          <w:sz w:val="24"/>
          <w:szCs w:val="24"/>
        </w:rPr>
        <w:t xml:space="preserve">以上不同的</w:t>
      </w:r>
      <w:r>
        <w:rPr>
          <w:rFonts w:ascii="Times New Roman" w:hAnsi="Times New Roman" w:eastAsia="宋体" w:cs="Times New Roman"/>
          <w:sz w:val="24"/>
          <w:szCs w:val="24"/>
        </w:rPr>
        <w:t xml:space="preserve">投标报价的。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投标人不具备招标文件中规定资格要求的。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投标人的报价超过了采购预算或最高限价的。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未通过符合性审查的。</w:t>
      </w:r>
      <w:r/>
    </w:p>
    <w:p>
      <w:pPr>
        <w:ind w:firstLine="480"/>
        <w:spacing w:line="50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不符合招标文件中规定的实质性要求和条件的</w:t>
      </w:r>
      <w:r>
        <w:rPr>
          <w:rFonts w:hint="eastAsia" w:ascii="Times New Roman" w:hAnsi="Times New Roman" w:eastAsia="宋体" w:cs="Times New Roman"/>
          <w:i/>
          <w:sz w:val="24"/>
          <w:szCs w:val="24"/>
          <w:u w:val="single"/>
        </w:rPr>
        <w:t xml:space="preserve">（本招标文件中斜体且有下划线部分为实质性要求和条件）。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w:t>
      </w:r>
      <w:r>
        <w:rPr>
          <w:rFonts w:hint="eastAsia" w:ascii="Times New Roman" w:hAnsi="Times New Roman" w:eastAsia="宋体" w:cs="Times New Roman"/>
          <w:sz w:val="24"/>
          <w:szCs w:val="24"/>
        </w:rPr>
        <w:t xml:space="preserve">200</w:t>
      </w:r>
      <w:r>
        <w:rPr>
          <w:rFonts w:hint="eastAsia" w:ascii="Times New Roman" w:hAnsi="Times New Roman" w:eastAsia="宋体" w:cs="Times New Roman"/>
          <w:sz w:val="24"/>
          <w:szCs w:val="24"/>
        </w:rPr>
        <w:t xml:space="preserve">万元以上罚款的不良信用记录。</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评标委员会认为投标人的报价明显低于其他通过符合性审查投标人的报价，有可能影响产品质量或者不能诚信履约的，将通过苏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本项目采购产品被财政部、</w:t>
      </w:r>
      <w:r>
        <w:rPr>
          <w:rFonts w:hint="eastAsia" w:ascii="Times New Roman" w:hAnsi="Times New Roman" w:eastAsia="宋体" w:cs="Times New Roman"/>
          <w:sz w:val="24"/>
          <w:szCs w:val="24"/>
        </w:rPr>
        <w:t xml:space="preserve">国家发改委</w:t>
      </w:r>
      <w:r>
        <w:rPr>
          <w:rFonts w:hint="eastAsia" w:ascii="Times New Roman" w:hAnsi="Times New Roman" w:eastAsia="宋体" w:cs="Times New Roman"/>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投标文件未按照招标文件要求加盖</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电子公章的。</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24.1.12 </w:t>
      </w:r>
      <w:r>
        <w:rPr>
          <w:rFonts w:ascii="Times New Roman" w:hAnsi="Times New Roman" w:eastAsia="宋体" w:cs="Times New Roman"/>
          <w:sz w:val="24"/>
          <w:szCs w:val="24"/>
        </w:rPr>
        <w:t xml:space="preserve">投标人所投标产品不符合招标文件中所列国家强制性标准的。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其他法律、法规及本招标文件规定的属无效投标的情形。</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废标条款</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符合专业条件的供应商或者对招标文件作实质响应的供应商不足三家的。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出现影响采购公正的违法、违规行为的。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.2.3</w:t>
      </w:r>
      <w:r>
        <w:rPr>
          <w:rFonts w:hint="eastAsia" w:ascii="Times New Roman" w:hAnsi="Times New Roman" w:eastAsia="宋体" w:cs="Times New Roman"/>
          <w:sz w:val="24"/>
          <w:szCs w:val="24"/>
        </w:rPr>
        <w:t xml:space="preserve">因重大变故，采购任务取消的。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评标委员会认定招标文件存在歧义、重大缺陷导致评审工作无法进行。</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.2.5 </w:t>
      </w:r>
      <w:r>
        <w:rPr>
          <w:rFonts w:hint="eastAsia" w:ascii="Times New Roman" w:hAnsi="Times New Roman" w:eastAsia="宋体" w:cs="Times New Roman"/>
          <w:sz w:val="24"/>
          <w:szCs w:val="24"/>
        </w:rPr>
        <w:t xml:space="preserve">因苏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w:t>
      </w:r>
      <w:r>
        <w:rPr>
          <w:rFonts w:ascii="Times New Roman" w:hAnsi="Times New Roman" w:eastAsia="宋体" w:cs="Times New Roman"/>
          <w:sz w:val="24"/>
          <w:szCs w:val="24"/>
        </w:rPr>
        <w:t xml:space="preserve">系统故障原因造成开标不成功</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67" w:name="_Toc120614219"/>
      <w:r/>
      <w:bookmarkStart w:id="268" w:name="_Toc163508306"/>
      <w:r/>
      <w:bookmarkStart w:id="269" w:name="_Toc163508381"/>
      <w:r/>
      <w:bookmarkStart w:id="270" w:name="_Toc227573357"/>
      <w:r>
        <w:rPr>
          <w:rFonts w:hint="eastAsia" w:ascii="Times New Roman" w:hAnsi="Times New Roman" w:eastAsia="宋体" w:cs="Times New Roman"/>
          <w:b/>
          <w:bCs/>
          <w:color w:val="000000"/>
          <w:sz w:val="28"/>
          <w:szCs w:val="28"/>
        </w:rPr>
        <w:t xml:space="preserve">六、</w:t>
      </w:r>
      <w:bookmarkEnd w:id="264"/>
      <w:r/>
      <w:bookmarkEnd w:id="265"/>
      <w:r/>
      <w:bookmarkEnd w:id="266"/>
      <w:r>
        <w:rPr>
          <w:rFonts w:hint="eastAsia" w:ascii="Times New Roman" w:hAnsi="Times New Roman" w:eastAsia="宋体" w:cs="Times New Roman"/>
          <w:b/>
          <w:bCs/>
          <w:color w:val="000000"/>
          <w:sz w:val="28"/>
          <w:szCs w:val="28"/>
        </w:rPr>
        <w:t xml:space="preserve">定标</w:t>
      </w:r>
      <w:bookmarkEnd w:id="267"/>
      <w:r/>
      <w:bookmarkEnd w:id="268"/>
      <w:r/>
      <w:bookmarkEnd w:id="269"/>
      <w:r/>
      <w:bookmarkEnd w:id="270"/>
      <w:r/>
      <w:r/>
    </w:p>
    <w:p>
      <w:pPr>
        <w:ind w:firstLine="420"/>
        <w:rPr>
          <w:rFonts w:ascii="宋体" w:hAnsi="宋体" w:eastAsia="宋体" w:cs="Arial"/>
          <w:color w:val="000000"/>
          <w:sz w:val="28"/>
          <w:szCs w:val="28"/>
        </w:rPr>
        <w:outlineLvl w:val="2"/>
      </w:pPr>
      <w:r/>
      <w:bookmarkStart w:id="271" w:name="_Toc513029238"/>
      <w:r/>
      <w:bookmarkStart w:id="272" w:name="_Toc16938554"/>
      <w:r/>
      <w:bookmarkStart w:id="273" w:name="_Toc20823310"/>
      <w:r/>
      <w:bookmarkStart w:id="274" w:name="_Toc163508382"/>
      <w:r/>
      <w:bookmarkStart w:id="275" w:name="_Toc163508307"/>
      <w:r/>
      <w:bookmarkStart w:id="276" w:name="_Toc227573358"/>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w:t>
      </w:r>
      <w:bookmarkEnd w:id="271"/>
      <w:r>
        <w:rPr>
          <w:rFonts w:hint="eastAsia" w:ascii="宋体" w:hAnsi="宋体" w:eastAsia="宋体" w:cs="Arial"/>
          <w:color w:val="000000"/>
          <w:sz w:val="28"/>
          <w:szCs w:val="28"/>
        </w:rPr>
        <w:t xml:space="preserve">确定</w:t>
      </w:r>
      <w:bookmarkEnd w:id="272"/>
      <w:r/>
      <w:bookmarkEnd w:id="273"/>
      <w:r>
        <w:rPr>
          <w:rFonts w:hint="eastAsia" w:ascii="宋体" w:hAnsi="宋体" w:eastAsia="宋体" w:cs="Arial"/>
          <w:color w:val="000000"/>
          <w:sz w:val="28"/>
          <w:szCs w:val="28"/>
        </w:rPr>
        <w:t xml:space="preserve">中标单位</w:t>
      </w:r>
      <w:bookmarkEnd w:id="274"/>
      <w:r/>
      <w:bookmarkEnd w:id="275"/>
      <w:r/>
      <w:bookmarkEnd w:id="276"/>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中标候选人的选取原则和数量见招标文件第五章规定。</w:t>
      </w:r>
      <w:r>
        <w:rPr>
          <w:rFonts w:hint="eastAsia" w:ascii="Times New Roman" w:hAnsi="Times New Roman" w:eastAsia="宋体" w:cs="Times New Roman"/>
          <w:sz w:val="24"/>
          <w:szCs w:val="24"/>
        </w:rPr>
        <w:t xml:space="preserve"> </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采购人或采购人委托评委会根据评委会推荐的中标候选人确定中标人。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代理机构将在指定媒体上发布中标公告，公告期限为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个工作日。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若有充分证据证明，中标人出现下列情况之一的，一经查实，将被取消中标资格：</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提供虚假材料谋取中标的。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向采购人、代理机构行贿或者提供其他不正当利益的。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属于本文件规定的无效条件，但在评标过程中又未被评委会发现的。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与采购人或者其他供应商恶意串通的。</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采取不正当手段诋毁、排挤其他供应商的。</w:t>
      </w:r>
      <w:r/>
    </w:p>
    <w:p>
      <w:pPr>
        <w:ind w:firstLine="480"/>
        <w:spacing w:line="500" w:lineRule="exact"/>
        <w:rPr>
          <w:rFonts w:ascii="Times New Roman" w:hAnsi="Times New Roman" w:eastAsia="宋体" w:cs="Times New Roman"/>
          <w:sz w:val="24"/>
          <w:szCs w:val="24"/>
        </w:rPr>
      </w:pPr>
      <w:r/>
      <w:bookmarkStart w:id="277" w:name="_Toc200451960"/>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 </w:t>
      </w:r>
      <w:r>
        <w:rPr>
          <w:rFonts w:ascii="Times New Roman" w:hAnsi="Times New Roman" w:eastAsia="宋体" w:cs="Times New Roman"/>
          <w:sz w:val="24"/>
          <w:szCs w:val="24"/>
        </w:rPr>
        <w:t xml:space="preserve">有下列情形之一的，</w:t>
      </w:r>
      <w:r>
        <w:rPr>
          <w:rFonts w:hint="eastAsia" w:ascii="Times New Roman" w:hAnsi="Times New Roman" w:eastAsia="宋体" w:cs="Times New Roman"/>
          <w:sz w:val="24"/>
          <w:szCs w:val="24"/>
        </w:rPr>
        <w:t xml:space="preserve">视为投标人</w:t>
      </w:r>
      <w:r>
        <w:rPr>
          <w:rFonts w:ascii="Times New Roman" w:hAnsi="Times New Roman" w:eastAsia="宋体" w:cs="Times New Roman"/>
          <w:sz w:val="24"/>
          <w:szCs w:val="24"/>
        </w:rPr>
        <w:t xml:space="preserve">串通</w:t>
      </w:r>
      <w:r>
        <w:rPr>
          <w:rFonts w:hint="eastAsia" w:ascii="Times New Roman" w:hAnsi="Times New Roman" w:eastAsia="宋体" w:cs="Times New Roman"/>
          <w:sz w:val="24"/>
          <w:szCs w:val="24"/>
        </w:rPr>
        <w:t xml:space="preserve">投标，投标无效：</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不同投标人的投标文件由同一单位或者个人编制；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不同投标人委托同一单位或者个人办理投标事宜；</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不同投标人的投标文件载明的项目管理成员或者联系人员为同一人；</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不同投标人的投标文件异常一致或者投标报价呈规律性差异。</w:t>
      </w:r>
      <w:r/>
    </w:p>
    <w:p>
      <w:pPr>
        <w:ind w:firstLine="420"/>
        <w:rPr>
          <w:rFonts w:ascii="宋体" w:hAnsi="宋体" w:eastAsia="宋体" w:cs="Arial"/>
          <w:color w:val="000000"/>
          <w:sz w:val="28"/>
          <w:szCs w:val="28"/>
        </w:rPr>
        <w:outlineLvl w:val="2"/>
      </w:pPr>
      <w:r/>
      <w:bookmarkStart w:id="278" w:name="_Toc163508308"/>
      <w:r/>
      <w:bookmarkStart w:id="279" w:name="_Toc163508383"/>
      <w:r/>
      <w:bookmarkStart w:id="280" w:name="_Toc227573359"/>
      <w:r>
        <w:rPr>
          <w:rFonts w:ascii="宋体" w:hAnsi="宋体" w:eastAsia="宋体" w:cs="Arial"/>
          <w:color w:val="000000"/>
          <w:sz w:val="28"/>
          <w:szCs w:val="28"/>
        </w:rPr>
        <w:t xml:space="preserve">26</w:t>
      </w:r>
      <w:r>
        <w:rPr>
          <w:rFonts w:hint="eastAsia" w:ascii="宋体" w:hAnsi="宋体" w:eastAsia="宋体" w:cs="Arial"/>
          <w:color w:val="000000"/>
          <w:sz w:val="28"/>
          <w:szCs w:val="28"/>
        </w:rPr>
        <w:t xml:space="preserve">、质疑处理</w:t>
      </w:r>
      <w:bookmarkEnd w:id="277"/>
      <w:r/>
      <w:bookmarkEnd w:id="278"/>
      <w:r/>
      <w:bookmarkEnd w:id="279"/>
      <w:r/>
      <w:bookmarkEnd w:id="28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提出质疑的投标</w:t>
      </w:r>
      <w:r>
        <w:rPr>
          <w:rFonts w:ascii="Times New Roman" w:hAnsi="Times New Roman" w:eastAsia="宋体" w:cs="Times New Roman"/>
          <w:sz w:val="24"/>
          <w:szCs w:val="24"/>
        </w:rPr>
        <w:t xml:space="preserve">人</w:t>
      </w:r>
      <w:r>
        <w:rPr>
          <w:rFonts w:hint="eastAsia" w:ascii="Times New Roman" w:hAnsi="Times New Roman" w:eastAsia="宋体" w:cs="Times New Roman"/>
          <w:sz w:val="24"/>
          <w:szCs w:val="24"/>
        </w:rPr>
        <w:t xml:space="preserve">应当是参与所质疑项目采购活动的供应商。潜在投标人依法获取其可质疑的采购文件的，可以对采购文件提出质疑。请将</w:t>
      </w:r>
      <w:bookmarkStart w:id="281" w:name="_Hlk98510751"/>
      <w:r>
        <w:rPr>
          <w:rFonts w:hint="eastAsia" w:ascii="Times New Roman" w:hAnsi="Times New Roman"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Times New Roman" w:hAnsi="Times New Roman" w:eastAsia="宋体" w:cs="Times New Roman"/>
          <w:sz w:val="24"/>
          <w:szCs w:val="24"/>
        </w:rPr>
        <w:t xml:space="preserve">等</w:t>
      </w:r>
      <w:bookmarkEnd w:id="281"/>
      <w:r>
        <w:rPr>
          <w:rFonts w:hint="eastAsia" w:ascii="Times New Roman" w:hAnsi="Times New Roman" w:eastAsia="宋体" w:cs="Times New Roman"/>
          <w:sz w:val="24"/>
          <w:szCs w:val="24"/>
        </w:rPr>
        <w:t xml:space="preserve">必要的证明材料与质疑</w:t>
      </w:r>
      <w:r>
        <w:rPr>
          <w:rFonts w:hint="eastAsia" w:ascii="Times New Roman" w:hAnsi="Times New Roman" w:eastAsia="宋体" w:cs="Times New Roman"/>
          <w:sz w:val="24"/>
          <w:szCs w:val="24"/>
        </w:rPr>
        <w:t xml:space="preserve">函一起</w:t>
      </w:r>
      <w:r>
        <w:rPr>
          <w:rFonts w:hint="eastAsia" w:ascii="Times New Roman" w:hAnsi="Times New Roman" w:eastAsia="宋体" w:cs="Times New Roman"/>
          <w:sz w:val="24"/>
          <w:szCs w:val="24"/>
        </w:rPr>
        <w:t xml:space="preserve">递交，否则不予受理。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投标人认为采购文件、采购过程和采购结果使自己的权益受到损害的，可以在知道或应知其权益受到损害之日起七个工作日内，以书面形式根据下述</w:t>
      </w:r>
      <w:r>
        <w:rPr>
          <w:rFonts w:hint="eastAsia" w:ascii="Times New Roman" w:hAnsi="Times New Roman" w:eastAsia="宋体" w:cs="Times New Roman"/>
          <w:sz w:val="24"/>
          <w:szCs w:val="24"/>
        </w:rPr>
        <w:t xml:space="preserve">29.4</w:t>
      </w:r>
      <w:r>
        <w:rPr>
          <w:rFonts w:hint="eastAsia" w:ascii="Times New Roman" w:hAnsi="Times New Roman" w:eastAsia="宋体" w:cs="Times New Roman"/>
          <w:sz w:val="24"/>
          <w:szCs w:val="24"/>
        </w:rPr>
        <w:t xml:space="preserve">条款的规定向代理机构或采购人提出质疑。上述应知其权益受到损害之日，是指：</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.2.1</w:t>
      </w:r>
      <w:r>
        <w:rPr>
          <w:rFonts w:ascii="Times New Roman" w:hAnsi="Times New Roman" w:eastAsia="宋体" w:cs="Times New Roman"/>
          <w:sz w:val="24"/>
          <w:szCs w:val="24"/>
        </w:rPr>
        <w:t xml:space="preserve">对可以质疑的采购文件提出质疑的，为收到采购文件之日或者采购文件公告期限届满之日；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.2.2</w:t>
      </w:r>
      <w:r>
        <w:rPr>
          <w:rFonts w:ascii="Times New Roman" w:hAnsi="Times New Roman" w:eastAsia="宋体" w:cs="Times New Roman"/>
          <w:sz w:val="24"/>
          <w:szCs w:val="24"/>
        </w:rPr>
        <w:t xml:space="preserve">对采购过程提出质疑的，为各采购程序环节结束之日；</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.2.3</w:t>
      </w:r>
      <w:r>
        <w:rPr>
          <w:rFonts w:ascii="Times New Roman" w:hAnsi="Times New Roman" w:eastAsia="宋体" w:cs="Times New Roman"/>
          <w:sz w:val="24"/>
          <w:szCs w:val="24"/>
        </w:rPr>
        <w:t xml:space="preserve">对中标或者成交结果提出质疑的，为中标或者成交结果公告期限届满之日。</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投标人应当在法定质疑期内一次性提出针对同一采购程序环节的质疑。投标人如在法定期限内对同一采购程序环节提出多次质疑的，代理机构、</w:t>
      </w:r>
      <w:r>
        <w:rPr>
          <w:rFonts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将只对投标人第一次质疑</w:t>
      </w:r>
      <w:r>
        <w:rPr>
          <w:rFonts w:hint="eastAsia" w:ascii="Times New Roman" w:hAnsi="Times New Roman" w:eastAsia="宋体" w:cs="Times New Roman"/>
          <w:sz w:val="24"/>
          <w:szCs w:val="24"/>
        </w:rPr>
        <w:t xml:space="preserve">作出</w:t>
      </w:r>
      <w:r>
        <w:rPr>
          <w:rFonts w:hint="eastAsia"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质疑</w:t>
      </w:r>
      <w:r>
        <w:rPr>
          <w:rFonts w:hint="eastAsia" w:ascii="Times New Roman" w:hAnsi="Times New Roman" w:eastAsia="宋体" w:cs="Times New Roman"/>
          <w:sz w:val="24"/>
          <w:szCs w:val="24"/>
        </w:rPr>
        <w:t xml:space="preserve">函必须</w:t>
      </w:r>
      <w:r>
        <w:rPr>
          <w:rFonts w:hint="eastAsia" w:ascii="Times New Roman" w:hAnsi="Times New Roman" w:eastAsia="宋体" w:cs="Times New Roman"/>
          <w:sz w:val="24"/>
          <w:szCs w:val="24"/>
        </w:rPr>
        <w:t xml:space="preserve">按照</w:t>
      </w:r>
      <w:r>
        <w:rPr>
          <w:rFonts w:hint="eastAsia" w:ascii="Times New Roman" w:hAnsi="Times New Roman" w:eastAsia="宋体" w:cs="Times New Roman"/>
          <w:sz w:val="24"/>
          <w:szCs w:val="24"/>
        </w:rPr>
        <w:t xml:space="preserve">https://czju.suzhou.gov.cn/zfcg/html/content/20180305093615738.shtml</w:t>
      </w:r>
      <w:r>
        <w:rPr>
          <w:rFonts w:hint="eastAsia" w:ascii="Times New Roman" w:hAnsi="Times New Roman" w:eastAsia="宋体" w:cs="Times New Roman"/>
          <w:sz w:val="24"/>
          <w:szCs w:val="24"/>
        </w:rPr>
        <w:t xml:space="preserve">的下载中心下载的范本进行填写。投标人如组成联合体参加投标，要求签字、盖章之处，联合体各方均须按要求签字、盖章。</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.4 </w:t>
      </w:r>
      <w:r>
        <w:rPr>
          <w:rFonts w:hint="eastAsia" w:ascii="Times New Roman" w:hAnsi="Times New Roman" w:eastAsia="宋体" w:cs="Times New Roman"/>
          <w:sz w:val="24"/>
          <w:szCs w:val="24"/>
        </w:rPr>
        <w:t xml:space="preserve">投标人对</w:t>
      </w:r>
      <w:r>
        <w:rPr>
          <w:rFonts w:ascii="Times New Roman" w:hAnsi="Times New Roman" w:eastAsia="宋体" w:cs="Times New Roman"/>
          <w:sz w:val="24"/>
          <w:szCs w:val="24"/>
        </w:rPr>
        <w:t xml:space="preserve">采购方式、</w:t>
      </w:r>
      <w:r>
        <w:rPr>
          <w:rFonts w:hint="eastAsia" w:ascii="Times New Roman" w:hAnsi="Times New Roman" w:eastAsia="宋体" w:cs="Times New Roman"/>
          <w:sz w:val="24"/>
          <w:szCs w:val="24"/>
        </w:rPr>
        <w:t xml:space="preserve">招标文件中采购</w:t>
      </w:r>
      <w:r>
        <w:rPr>
          <w:rFonts w:ascii="Times New Roman" w:hAnsi="Times New Roman" w:eastAsia="宋体" w:cs="Times New Roman"/>
          <w:sz w:val="24"/>
          <w:szCs w:val="24"/>
        </w:rPr>
        <w:t xml:space="preserve">需求、</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资格条件、</w:t>
      </w:r>
      <w:r>
        <w:rPr>
          <w:rFonts w:hint="eastAsia" w:ascii="Times New Roman" w:hAnsi="Times New Roman" w:eastAsia="宋体" w:cs="Times New Roman"/>
          <w:sz w:val="24"/>
          <w:szCs w:val="24"/>
        </w:rPr>
        <w:t xml:space="preserve">评标方法</w:t>
      </w:r>
      <w:r>
        <w:rPr>
          <w:rFonts w:ascii="Times New Roman" w:hAnsi="Times New Roman" w:eastAsia="宋体" w:cs="Times New Roman"/>
          <w:sz w:val="24"/>
          <w:szCs w:val="24"/>
        </w:rPr>
        <w:t xml:space="preserve">和评标标准、合同文本</w:t>
      </w:r>
      <w:r>
        <w:rPr>
          <w:rFonts w:hint="eastAsia" w:ascii="Times New Roman" w:hAnsi="Times New Roman" w:eastAsia="宋体" w:cs="Times New Roman"/>
          <w:sz w:val="24"/>
          <w:szCs w:val="24"/>
        </w:rPr>
        <w:t xml:space="preserve">及</w:t>
      </w:r>
      <w:r>
        <w:rPr>
          <w:rFonts w:ascii="Times New Roman" w:hAnsi="Times New Roman" w:eastAsia="宋体" w:cs="Times New Roman"/>
          <w:sz w:val="24"/>
          <w:szCs w:val="24"/>
        </w:rPr>
        <w:t xml:space="preserve">资格</w:t>
      </w:r>
      <w:r>
        <w:rPr>
          <w:rFonts w:hint="eastAsia" w:ascii="Times New Roman" w:hAnsi="Times New Roman" w:eastAsia="宋体" w:cs="Times New Roman"/>
          <w:sz w:val="24"/>
          <w:szCs w:val="24"/>
        </w:rPr>
        <w:t xml:space="preserve">审查结果、评标结果等的</w:t>
      </w:r>
      <w:r>
        <w:rPr>
          <w:rFonts w:ascii="Times New Roman" w:hAnsi="Times New Roman" w:eastAsia="宋体" w:cs="Times New Roman"/>
          <w:sz w:val="24"/>
          <w:szCs w:val="24"/>
        </w:rPr>
        <w:t xml:space="preserve">询问</w:t>
      </w:r>
      <w:r>
        <w:rPr>
          <w:rFonts w:hint="eastAsia" w:ascii="Times New Roman" w:hAnsi="Times New Roman" w:eastAsia="宋体" w:cs="Times New Roman"/>
          <w:sz w:val="24"/>
          <w:szCs w:val="24"/>
        </w:rPr>
        <w:t xml:space="preserve">、质疑</w:t>
      </w:r>
      <w:r>
        <w:rPr>
          <w:rFonts w:ascii="Times New Roman" w:hAnsi="Times New Roman" w:eastAsia="宋体" w:cs="Times New Roman"/>
          <w:sz w:val="24"/>
          <w:szCs w:val="24"/>
        </w:rPr>
        <w:t xml:space="preserve">请向代理机构提出，由代理机构</w:t>
      </w:r>
      <w:r>
        <w:rPr>
          <w:rFonts w:hint="eastAsia" w:ascii="Times New Roman" w:hAnsi="Times New Roman" w:eastAsia="宋体" w:cs="Times New Roman"/>
          <w:sz w:val="24"/>
          <w:szCs w:val="24"/>
        </w:rPr>
        <w:t xml:space="preserve">负责</w:t>
      </w:r>
      <w:r>
        <w:rPr>
          <w:rFonts w:ascii="Times New Roman" w:hAnsi="Times New Roman" w:eastAsia="宋体" w:cs="Times New Roman"/>
          <w:sz w:val="24"/>
          <w:szCs w:val="24"/>
        </w:rPr>
        <w:t xml:space="preserve">答复。</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代理机构只接收以纸质原件形式送达的质疑</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建议投标人尽量通过邮寄方式提交质疑（代理机构不接受未填写快递运单的快件）。</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采购人、代理机构质疑接收人及联系方式：详见招标文件“第一章</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投标邀请”中“七、本次招标联系方式”下有关联系方式。</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 </w:t>
      </w:r>
      <w:r>
        <w:rPr>
          <w:rFonts w:hint="eastAsia" w:ascii="Times New Roman" w:hAnsi="Times New Roman" w:eastAsia="宋体" w:cs="Times New Roman"/>
          <w:sz w:val="24"/>
          <w:szCs w:val="24"/>
        </w:rPr>
        <w:t xml:space="preserve">以下情形的质疑不予受理</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.5.1 </w:t>
      </w:r>
      <w:r>
        <w:rPr>
          <w:rFonts w:hint="eastAsia" w:ascii="Times New Roman" w:hAnsi="Times New Roman" w:eastAsia="宋体" w:cs="Times New Roman"/>
          <w:sz w:val="24"/>
          <w:szCs w:val="24"/>
        </w:rPr>
        <w:t xml:space="preserve">内容不符合《政府采购质疑和投诉办法》第十二条规定的质疑。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.5.2 </w:t>
      </w:r>
      <w:r>
        <w:rPr>
          <w:rFonts w:hint="eastAsia" w:ascii="Times New Roman" w:hAnsi="Times New Roman" w:eastAsia="宋体" w:cs="Times New Roman"/>
          <w:sz w:val="24"/>
          <w:szCs w:val="24"/>
        </w:rPr>
        <w:t xml:space="preserve">超出政府采购法定期限的质疑。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.5.3 </w:t>
      </w:r>
      <w:r>
        <w:rPr>
          <w:rFonts w:hint="eastAsia" w:ascii="Times New Roman" w:hAnsi="Times New Roman" w:eastAsia="宋体" w:cs="Times New Roman"/>
          <w:sz w:val="24"/>
          <w:szCs w:val="24"/>
        </w:rPr>
        <w:t xml:space="preserve">以传真、电子邮件等方式递交的非纸质原件形式的质疑。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.5.4 </w:t>
      </w:r>
      <w:r>
        <w:rPr>
          <w:rFonts w:hint="eastAsia" w:ascii="Times New Roman" w:hAnsi="Times New Roman" w:eastAsia="宋体" w:cs="Times New Roman"/>
          <w:sz w:val="24"/>
          <w:szCs w:val="24"/>
        </w:rPr>
        <w:t xml:space="preserve">未参加投标活动的投标人或在投标活动中自身权益未受到损害的投标人所提出的质疑。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投标人组成联合体参加投标，联合体中任何一方或多方未按要求签字、盖章的质疑。</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w:t>
      </w:r>
      <w:r>
        <w:rPr>
          <w:rFonts w:hint="eastAsia" w:ascii="Times New Roman" w:hAnsi="Times New Roman" w:eastAsia="宋体" w:cs="Times New Roman"/>
          <w:sz w:val="24"/>
          <w:szCs w:val="24"/>
        </w:rPr>
        <w:t xml:space="preserve">.6  </w:t>
      </w:r>
      <w:r>
        <w:rPr>
          <w:rFonts w:hint="eastAsia" w:ascii="Times New Roman" w:hAnsi="Times New Roman" w:eastAsia="宋体" w:cs="Times New Roman"/>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82" w:name="_Toc163508384"/>
      <w:r/>
      <w:bookmarkStart w:id="283" w:name="_Toc163508309"/>
      <w:r/>
      <w:bookmarkStart w:id="284" w:name="_Toc227573360"/>
      <w:r>
        <w:rPr>
          <w:rFonts w:ascii="宋体" w:hAnsi="宋体" w:eastAsia="宋体" w:cs="Arial"/>
          <w:color w:val="000000"/>
          <w:sz w:val="28"/>
          <w:szCs w:val="28"/>
        </w:rPr>
        <w:t xml:space="preserve">27</w:t>
      </w:r>
      <w:r>
        <w:rPr>
          <w:rFonts w:hint="eastAsia" w:ascii="宋体" w:hAnsi="宋体" w:eastAsia="宋体" w:cs="Arial"/>
          <w:color w:val="000000"/>
          <w:sz w:val="28"/>
          <w:szCs w:val="28"/>
        </w:rPr>
        <w:t xml:space="preserve">、中标通知书</w:t>
      </w:r>
      <w:bookmarkEnd w:id="282"/>
      <w:r/>
      <w:bookmarkEnd w:id="283"/>
      <w:r/>
      <w:bookmarkEnd w:id="28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.l </w:t>
      </w:r>
      <w:r>
        <w:rPr>
          <w:rFonts w:hint="eastAsia" w:ascii="Times New Roman" w:hAnsi="Times New Roman" w:eastAsia="宋体" w:cs="Times New Roman"/>
          <w:sz w:val="24"/>
          <w:szCs w:val="24"/>
        </w:rPr>
        <w:t xml:space="preserve">中标结果确定后，代理机构将向中标人发出中标通知书。请中标人在中标结果公告届满之日起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使用</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系统及时下载中标通知书。因系统存储空间有限，自中标结果公告届满之日起</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日后，苏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系统不再保证提供下载中标通知书服务</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因未及时下载而造成的不利后果由中标人自行承担。</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85" w:name="_Toc120614220"/>
      <w:r/>
      <w:bookmarkStart w:id="286" w:name="_Toc163508385"/>
      <w:r/>
      <w:bookmarkStart w:id="287" w:name="_Toc163508310"/>
      <w:r/>
      <w:bookmarkStart w:id="288" w:name="_Toc227573361"/>
      <w:r/>
      <w:bookmarkStart w:id="289" w:name="_Toc513029236"/>
      <w:r/>
      <w:bookmarkStart w:id="290" w:name="_Toc20823308"/>
      <w:r/>
      <w:bookmarkStart w:id="291" w:name="_Toc16938552"/>
      <w:r>
        <w:rPr>
          <w:rFonts w:hint="eastAsia" w:ascii="Times New Roman" w:hAnsi="Times New Roman" w:eastAsia="宋体" w:cs="Times New Roman"/>
          <w:b/>
          <w:bCs/>
          <w:color w:val="000000"/>
          <w:sz w:val="28"/>
          <w:szCs w:val="28"/>
        </w:rPr>
        <w:t xml:space="preserve">七、授予合同</w:t>
      </w:r>
      <w:bookmarkEnd w:id="285"/>
      <w:r/>
      <w:bookmarkEnd w:id="286"/>
      <w:r/>
      <w:bookmarkEnd w:id="287"/>
      <w:r/>
      <w:bookmarkEnd w:id="288"/>
      <w:r/>
      <w:r/>
    </w:p>
    <w:p>
      <w:pPr>
        <w:ind w:firstLine="420"/>
        <w:rPr>
          <w:rFonts w:ascii="宋体" w:hAnsi="宋体" w:eastAsia="宋体" w:cs="Arial"/>
          <w:color w:val="000000"/>
          <w:sz w:val="28"/>
          <w:szCs w:val="28"/>
        </w:rPr>
        <w:outlineLvl w:val="2"/>
      </w:pPr>
      <w:r/>
      <w:bookmarkStart w:id="292" w:name="_Toc163508311"/>
      <w:r/>
      <w:bookmarkStart w:id="293" w:name="_Toc163508386"/>
      <w:r/>
      <w:bookmarkStart w:id="294" w:name="_Toc227573362"/>
      <w:r/>
      <w:bookmarkStart w:id="295" w:name="_Toc513029237"/>
      <w:r/>
      <w:bookmarkStart w:id="296" w:name="_Toc20823309"/>
      <w:r/>
      <w:bookmarkStart w:id="297" w:name="_Toc16938553"/>
      <w:r/>
      <w:bookmarkEnd w:id="289"/>
      <w:r/>
      <w:bookmarkEnd w:id="290"/>
      <w:r/>
      <w:bookmarkEnd w:id="291"/>
      <w:r>
        <w:rPr>
          <w:rFonts w:ascii="宋体" w:hAnsi="宋体" w:eastAsia="宋体" w:cs="Arial"/>
          <w:color w:val="000000"/>
          <w:sz w:val="28"/>
          <w:szCs w:val="28"/>
        </w:rPr>
        <w:t xml:space="preserve">28</w:t>
      </w:r>
      <w:r>
        <w:rPr>
          <w:rFonts w:hint="eastAsia" w:ascii="宋体" w:hAnsi="宋体" w:eastAsia="宋体" w:cs="Arial"/>
          <w:color w:val="000000"/>
          <w:sz w:val="28"/>
          <w:szCs w:val="28"/>
        </w:rPr>
        <w:t xml:space="preserve">、签订合同</w:t>
      </w:r>
      <w:bookmarkEnd w:id="292"/>
      <w:r/>
      <w:bookmarkEnd w:id="293"/>
      <w:r/>
      <w:bookmarkEnd w:id="294"/>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.l</w:t>
      </w:r>
      <w:r>
        <w:rPr>
          <w:rFonts w:hint="eastAsia" w:ascii="Times New Roman" w:hAnsi="Times New Roman" w:eastAsia="宋体" w:cs="Times New Roman"/>
          <w:sz w:val="24"/>
          <w:szCs w:val="24"/>
        </w:rPr>
        <w:t xml:space="preserve">中标人应当在中标通知书发出之日起三十日（招标文件中有另外</w:t>
      </w:r>
      <w:r>
        <w:rPr>
          <w:rFonts w:ascii="Times New Roman" w:hAnsi="Times New Roman" w:eastAsia="宋体" w:cs="Times New Roman"/>
          <w:sz w:val="24"/>
          <w:szCs w:val="24"/>
        </w:rPr>
        <w:t xml:space="preserve">要求的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以另外要求为准</w:t>
      </w:r>
      <w:r>
        <w:rPr>
          <w:rFonts w:hint="eastAsia" w:ascii="Times New Roman" w:hAnsi="Times New Roman" w:eastAsia="宋体" w:cs="Times New Roman"/>
          <w:sz w:val="24"/>
          <w:szCs w:val="24"/>
        </w:rPr>
        <w:t xml:space="preserve">）内，按照招标文件确定的事项与采购人签订政府采购合同。</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招标文件、中标人的投标文件及招标过程中有关澄清、承诺文件均应作为合同附件。</w:t>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.3 </w:t>
      </w:r>
      <w:r>
        <w:rPr>
          <w:rFonts w:hint="eastAsia" w:ascii="Times New Roman" w:hAnsi="Times New Roman" w:eastAsia="宋体" w:cs="Times New Roman"/>
          <w:sz w:val="24"/>
          <w:szCs w:val="24"/>
        </w:rPr>
        <w:t xml:space="preserve">签订合同后，</w:t>
      </w:r>
      <w:r>
        <w:rPr>
          <w:rFonts w:hint="eastAsia" w:ascii="Times New Roman" w:hAnsi="Times New Roman" w:eastAsia="宋体" w:cs="Times New Roman"/>
          <w:i/>
          <w:sz w:val="24"/>
          <w:szCs w:val="24"/>
          <w:u w:val="single"/>
        </w:rPr>
        <w:t xml:space="preserve">中标人不得将合同标的进行转包</w:t>
      </w:r>
      <w:r>
        <w:rPr>
          <w:rFonts w:hint="eastAsia" w:ascii="Times New Roman" w:hAnsi="Times New Roman"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298" w:name="_Toc163508312"/>
      <w:r/>
      <w:bookmarkStart w:id="299" w:name="_Toc163508387"/>
      <w:r/>
      <w:bookmarkStart w:id="300" w:name="_Toc227573363"/>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298"/>
      <w:r/>
      <w:bookmarkEnd w:id="299"/>
      <w:r/>
      <w:bookmarkEnd w:id="300"/>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政府采购合同履行中，采购人需追加与合同标的相同的货物或</w:t>
      </w:r>
      <w:r>
        <w:rPr>
          <w:rFonts w:ascii="Times New Roman" w:hAnsi="Times New Roman" w:eastAsia="宋体" w:cs="Times New Roman"/>
          <w:sz w:val="24"/>
          <w:szCs w:val="24"/>
        </w:rPr>
        <w:t xml:space="preserve">服务</w:t>
      </w:r>
      <w:r>
        <w:rPr>
          <w:rFonts w:hint="eastAsia" w:ascii="Times New Roman" w:hAnsi="Times New Roman" w:eastAsia="宋体" w:cs="Times New Roman"/>
          <w:sz w:val="24"/>
          <w:szCs w:val="24"/>
        </w:rPr>
        <w:t xml:space="preserve">的，在不改变合同其他条款的前提下，可以与中标人协商签订补充合同，但所有补充合同的采购金额不超过原合同金额</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w:t>
      </w:r>
      <w:r/>
    </w:p>
    <w:p>
      <w:pPr>
        <w:ind w:firstLine="420"/>
        <w:rPr>
          <w:rFonts w:ascii="宋体" w:hAnsi="宋体" w:eastAsia="宋体" w:cs="Arial"/>
          <w:color w:val="000000"/>
          <w:sz w:val="28"/>
          <w:szCs w:val="28"/>
        </w:rPr>
        <w:outlineLvl w:val="2"/>
      </w:pPr>
      <w:r/>
      <w:bookmarkStart w:id="301" w:name="_Toc163508313"/>
      <w:r/>
      <w:bookmarkStart w:id="302" w:name="_Toc163508388"/>
      <w:r/>
      <w:bookmarkStart w:id="303" w:name="_Toc227573364"/>
      <w:r/>
      <w:bookmarkStart w:id="304" w:name="_Toc120614221"/>
      <w:r/>
      <w:bookmarkStart w:id="305" w:name="_Toc16938558"/>
      <w:r/>
      <w:bookmarkStart w:id="306" w:name="_Toc20823314"/>
      <w:r/>
      <w:bookmarkStart w:id="307" w:name="_Toc513029242"/>
      <w:r/>
      <w:bookmarkStart w:id="308" w:name="_Toc479757207"/>
      <w:r/>
      <w:bookmarkEnd w:id="295"/>
      <w:r/>
      <w:bookmarkEnd w:id="296"/>
      <w:r/>
      <w:bookmarkEnd w:id="297"/>
      <w:r>
        <w:rPr>
          <w:rFonts w:ascii="宋体" w:hAnsi="宋体" w:eastAsia="宋体" w:cs="Arial"/>
          <w:color w:val="000000"/>
          <w:sz w:val="28"/>
          <w:szCs w:val="28"/>
        </w:rPr>
        <w:t xml:space="preserve">30</w:t>
      </w:r>
      <w:r>
        <w:rPr>
          <w:rFonts w:hint="eastAsia" w:ascii="宋体" w:hAnsi="宋体" w:eastAsia="宋体" w:cs="Arial"/>
          <w:color w:val="000000"/>
          <w:sz w:val="28"/>
          <w:szCs w:val="28"/>
        </w:rPr>
        <w:t xml:space="preserve">、政府采购信用融资政策</w:t>
      </w:r>
      <w:bookmarkEnd w:id="301"/>
      <w:r/>
      <w:bookmarkEnd w:id="302"/>
      <w:r/>
      <w:bookmarkEnd w:id="30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30.1 </w:t>
      </w:r>
      <w:r>
        <w:rPr>
          <w:rFonts w:hint="eastAsia" w:ascii="Times New Roman" w:hAnsi="Times New Roman"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09" w:name="_Toc163508389"/>
      <w:r/>
      <w:bookmarkStart w:id="310" w:name="_Toc163508314"/>
      <w:r/>
      <w:bookmarkStart w:id="311" w:name="_Toc227573365"/>
      <w:r>
        <w:rPr>
          <w:rFonts w:hint="eastAsia" w:ascii="宋体" w:hAnsi="宋体" w:eastAsia="宋体" w:cs="Times New Roman"/>
          <w:b/>
          <w:color w:val="000000"/>
          <w:sz w:val="44"/>
          <w:szCs w:val="44"/>
        </w:rPr>
        <w:t xml:space="preserve">第三章  合同</w:t>
      </w:r>
      <w:bookmarkEnd w:id="304"/>
      <w:r/>
      <w:bookmarkEnd w:id="305"/>
      <w:r/>
      <w:bookmarkEnd w:id="306"/>
      <w:r/>
      <w:bookmarkEnd w:id="307"/>
      <w:r/>
      <w:bookmarkEnd w:id="308"/>
      <w:r>
        <w:rPr>
          <w:rFonts w:hint="eastAsia" w:ascii="宋体" w:hAnsi="宋体" w:eastAsia="宋体" w:cs="Times New Roman"/>
          <w:b/>
          <w:color w:val="000000"/>
          <w:sz w:val="44"/>
          <w:szCs w:val="44"/>
        </w:rPr>
        <w:t xml:space="preserve">文本</w:t>
      </w:r>
      <w:bookmarkEnd w:id="309"/>
      <w:r/>
      <w:bookmarkEnd w:id="310"/>
      <w:r/>
      <w:bookmarkEnd w:id="311"/>
      <w:r/>
      <w:r/>
    </w:p>
    <w:p>
      <w:pPr>
        <w:ind w:right="-27"/>
        <w:jc w:val="center"/>
        <w:spacing w:line="660" w:lineRule="exact"/>
        <w:tabs>
          <w:tab w:val="left" w:pos="0" w:leader="none"/>
        </w:tabs>
        <w:rPr>
          <w:rFonts w:ascii="宋体" w:hAnsi="宋体" w:eastAsia="宋体" w:cs="宋体"/>
          <w:bCs/>
          <w:color w:val="000000"/>
          <w:sz w:val="36"/>
          <w:szCs w:val="36"/>
        </w:rPr>
      </w:pPr>
      <w:r/>
      <w:bookmarkStart w:id="312" w:name="_Hlt16619369"/>
      <w:r/>
      <w:bookmarkStart w:id="313" w:name="_Toc20823346"/>
      <w:r/>
      <w:bookmarkStart w:id="314" w:name="_Hlt16619350"/>
      <w:r/>
      <w:bookmarkStart w:id="315" w:name="_Toc16938590"/>
      <w:r/>
      <w:bookmarkStart w:id="316" w:name="_Toc120614244"/>
      <w:r/>
      <w:bookmarkStart w:id="317" w:name="_Toc462564139"/>
      <w:r/>
      <w:bookmarkStart w:id="318" w:name="_Toc479757211"/>
      <w:r/>
      <w:bookmarkEnd w:id="312"/>
      <w:r>
        <w:rPr>
          <w:rFonts w:hint="eastAsia" w:ascii="宋体" w:hAnsi="宋体" w:eastAsia="宋体" w:cs="宋体"/>
          <w:bCs/>
          <w:color w:val="000000"/>
          <w:sz w:val="36"/>
          <w:szCs w:val="36"/>
        </w:rPr>
        <w:t xml:space="preserve">常熟市政府采购服务合同</w:t>
      </w:r>
      <w:r/>
    </w:p>
    <w:p>
      <w:pPr>
        <w:jc w:val="right"/>
        <w:spacing w:line="660" w:lineRule="exact"/>
        <w:rPr>
          <w:rFonts w:ascii="宋体" w:hAnsi="宋体" w:eastAsia="宋体" w:cs="宋体"/>
          <w:bCs/>
          <w:sz w:val="24"/>
          <w:szCs w:val="24"/>
        </w:rPr>
      </w:pPr>
      <w:r>
        <w:rPr>
          <w:rFonts w:hint="eastAsia" w:ascii="宋体" w:hAnsi="宋体" w:eastAsia="宋体" w:cs="宋体"/>
          <w:bCs/>
          <w:color w:val="000000"/>
          <w:sz w:val="24"/>
          <w:szCs w:val="24"/>
        </w:rPr>
        <w:t xml:space="preserve">编号：</w:t>
      </w:r>
      <w:r/>
    </w:p>
    <w:p>
      <w:pPr>
        <w:jc w:val="right"/>
        <w:spacing w:line="440" w:lineRule="exact"/>
        <w:rPr>
          <w:rFonts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w:t>
      </w:r>
      <w:r>
        <w:rPr>
          <w:rFonts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p>
    <w:p>
      <w:pPr>
        <w:ind w:right="-27"/>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常熟经开区智慧园区平台二期项目</w:t>
      </w:r>
      <w:r>
        <w:rPr>
          <w:rFonts w:hint="eastAsia" w:ascii="宋体" w:hAnsi="宋体" w:eastAsia="宋体" w:cs="宋体"/>
          <w:bCs/>
          <w:color w:val="000000"/>
          <w:sz w:val="24"/>
          <w:szCs w:val="24"/>
        </w:rPr>
        <w:t xml:space="preserve">项目</w:t>
      </w:r>
      <w:r>
        <w:rPr>
          <w:rFonts w:hint="eastAsia" w:ascii="宋体" w:hAnsi="宋体" w:eastAsia="宋体" w:cs="宋体"/>
          <w:bCs/>
          <w:color w:val="000000"/>
          <w:sz w:val="24"/>
          <w:szCs w:val="24"/>
        </w:rPr>
        <w:t xml:space="preserve">（项目编号：</w:t>
      </w:r>
      <w:r>
        <w:rPr>
          <w:rFonts w:ascii="宋体" w:hAnsi="宋体" w:eastAsia="宋体" w:cs="Times New Roman"/>
          <w:color w:val="000000"/>
          <w:sz w:val="24"/>
          <w:szCs w:val="24"/>
          <w:u w:val="single"/>
        </w:rPr>
        <w:t xml:space="preserve">JSZC-320581-SZJZ-G2026-0014</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第一条 定义</w:t>
      </w:r>
      <w:r/>
    </w:p>
    <w:p>
      <w:pPr>
        <w:ind w:right="-27" w:firstLine="56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1.3</w:t>
      </w:r>
      <w:r>
        <w:rPr>
          <w:rFonts w:hint="eastAsia" w:ascii="宋体" w:hAnsi="宋体" w:eastAsia="宋体" w:cs="宋体"/>
          <w:bCs/>
          <w:i/>
          <w:color w:val="000000"/>
          <w:sz w:val="24"/>
          <w:szCs w:val="24"/>
          <w:u w:val="single"/>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1.4</w:t>
      </w:r>
      <w:r>
        <w:rPr>
          <w:rFonts w:hint="eastAsia" w:ascii="宋体" w:hAnsi="宋体" w:eastAsia="宋体" w:cs="宋体"/>
          <w:bCs/>
          <w:i/>
          <w:color w:val="000000"/>
          <w:sz w:val="24"/>
          <w:szCs w:val="24"/>
          <w:u w:val="single"/>
        </w:rPr>
        <w:t xml:space="preserve">服务：提供本合同规定的乙方承担的</w:t>
      </w:r>
      <w:r>
        <w:rPr>
          <w:rFonts w:hint="eastAsia" w:ascii="宋体" w:hAnsi="宋体" w:eastAsia="宋体" w:cs="Times New Roman"/>
          <w:i/>
          <w:color w:val="000000"/>
          <w:sz w:val="24"/>
          <w:szCs w:val="24"/>
          <w:u w:val="single"/>
        </w:rPr>
        <w:t xml:space="preserve">常熟经开区智慧园区平台二期项目</w:t>
      </w:r>
      <w:r>
        <w:rPr>
          <w:rFonts w:hint="eastAsia" w:ascii="宋体" w:hAnsi="宋体" w:eastAsia="宋体" w:cs="宋体"/>
          <w:bCs/>
          <w:i/>
          <w:color w:val="000000"/>
          <w:sz w:val="24"/>
          <w:szCs w:val="24"/>
          <w:u w:val="single"/>
        </w:rPr>
        <w:t xml:space="preserve">服务及相关工作。</w:t>
      </w:r>
      <w:r/>
    </w:p>
    <w:p>
      <w:pPr>
        <w:ind w:right="-27" w:firstLine="500"/>
        <w:spacing w:line="44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1.5</w:t>
      </w:r>
      <w:r>
        <w:rPr>
          <w:rFonts w:hint="eastAsia" w:ascii="宋体" w:hAnsi="宋体" w:eastAsia="宋体" w:cs="宋体"/>
          <w:bCs/>
          <w:i/>
          <w:color w:val="000000"/>
          <w:sz w:val="24"/>
          <w:szCs w:val="24"/>
          <w:u w:val="single"/>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第二条 组成本合同的文件</w:t>
      </w:r>
      <w:r/>
    </w:p>
    <w:p>
      <w:pPr>
        <w:ind w:right="-27" w:firstLine="54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2</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i/>
          <w:color w:val="000000"/>
          <w:sz w:val="24"/>
          <w:szCs w:val="24"/>
          <w:u w:val="single"/>
        </w:rPr>
      </w:pPr>
      <w:r/>
      <w:bookmarkStart w:id="319" w:name="_Hlk144021334"/>
      <w:r>
        <w:rPr>
          <w:rFonts w:hint="eastAsia" w:ascii="宋体" w:hAnsi="宋体" w:eastAsia="宋体" w:cs="Times New Roman"/>
          <w:i/>
          <w:color w:val="000000"/>
          <w:sz w:val="24"/>
          <w:szCs w:val="24"/>
          <w:u w:val="single"/>
        </w:rPr>
        <w:t xml:space="preserve">2</w:t>
      </w:r>
      <w:r>
        <w:rPr>
          <w:rFonts w:ascii="宋体" w:hAnsi="宋体" w:eastAsia="宋体" w:cs="Times New Roman"/>
          <w:i/>
          <w:color w:val="000000"/>
          <w:sz w:val="24"/>
          <w:szCs w:val="24"/>
          <w:u w:val="single"/>
        </w:rPr>
        <w:t xml:space="preserve">.2</w:t>
      </w:r>
      <w:r>
        <w:rPr>
          <w:rFonts w:hint="eastAsia" w:ascii="宋体" w:hAnsi="宋体" w:eastAsia="宋体" w:cs="Times New Roman"/>
          <w:i/>
          <w:color w:val="000000"/>
          <w:sz w:val="24"/>
          <w:szCs w:val="24"/>
          <w:u w:val="single"/>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2.3</w:t>
      </w:r>
      <w:r>
        <w:rPr>
          <w:rFonts w:hint="eastAsia" w:ascii="宋体" w:hAnsi="宋体" w:eastAsia="宋体" w:cs="Times New Roman"/>
          <w:i/>
          <w:color w:val="000000"/>
          <w:sz w:val="24"/>
          <w:szCs w:val="24"/>
          <w:u w:val="single"/>
        </w:rPr>
        <w:t xml:space="preserve">乙方文件应当符合采购文件确定的原则，如果乙方文件中的表述，形式上符合招标文件原则，但具体内容对甲方不利、对乙方有利的，视为背离采购文件，不予适用。</w:t>
      </w:r>
      <w:bookmarkEnd w:id="319"/>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第三条 合同内容</w:t>
      </w:r>
      <w:r/>
    </w:p>
    <w:p>
      <w:pPr>
        <w:ind w:right="-27" w:firstLine="480"/>
        <w:spacing w:line="420" w:lineRule="exact"/>
        <w:tabs>
          <w:tab w:val="left" w:pos="0" w:leader="none"/>
        </w:tabs>
        <w:rPr>
          <w:rFonts w:ascii="宋体" w:hAnsi="宋体" w:eastAsia="宋体" w:cs="宋体"/>
          <w:bCs/>
          <w:i/>
          <w:sz w:val="24"/>
          <w:szCs w:val="24"/>
          <w:u w:val="single"/>
        </w:rPr>
      </w:pPr>
      <w:r>
        <w:rPr>
          <w:rFonts w:ascii="宋体" w:hAnsi="宋体" w:eastAsia="宋体" w:cs="宋体"/>
          <w:bCs/>
          <w:i/>
          <w:color w:val="000000"/>
          <w:sz w:val="24"/>
          <w:szCs w:val="24"/>
          <w:u w:val="single"/>
        </w:rPr>
        <w:t xml:space="preserve">3.1</w:t>
      </w:r>
      <w:r>
        <w:rPr>
          <w:rFonts w:hint="eastAsia" w:ascii="宋体" w:hAnsi="宋体" w:eastAsia="宋体" w:cs="宋体"/>
          <w:bCs/>
          <w:i/>
          <w:color w:val="000000"/>
          <w:sz w:val="24"/>
          <w:szCs w:val="24"/>
          <w:u w:val="single"/>
        </w:rPr>
        <w:t xml:space="preserve">服务内容：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3.2</w:t>
      </w:r>
      <w:r>
        <w:rPr>
          <w:rFonts w:hint="eastAsia" w:ascii="宋体" w:hAnsi="宋体" w:eastAsia="宋体" w:cs="宋体"/>
          <w:bCs/>
          <w:i/>
          <w:color w:val="000000"/>
          <w:sz w:val="24"/>
          <w:szCs w:val="24"/>
          <w:u w:val="single"/>
        </w:rPr>
        <w:t xml:space="preserve">服务期限：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3.3</w:t>
      </w:r>
      <w:r>
        <w:rPr>
          <w:rFonts w:hint="eastAsia" w:ascii="宋体" w:hAnsi="宋体" w:eastAsia="宋体" w:cs="宋体"/>
          <w:bCs/>
          <w:i/>
          <w:color w:val="000000"/>
          <w:sz w:val="24"/>
          <w:szCs w:val="24"/>
          <w:u w:val="single"/>
        </w:rPr>
        <w:t xml:space="preserve">乙方承诺上述服务由乙方自行完成，</w:t>
      </w:r>
      <w:r>
        <w:rPr>
          <w:rFonts w:hint="eastAsia" w:ascii="宋体" w:hAnsi="宋体" w:eastAsia="宋体" w:cs="宋体"/>
          <w:bCs/>
          <w:i/>
          <w:color w:val="000000"/>
          <w:sz w:val="24"/>
          <w:szCs w:val="24"/>
          <w:u w:val="single"/>
        </w:rPr>
        <w:t xml:space="preserve">不</w:t>
      </w:r>
      <w:r>
        <w:rPr>
          <w:rFonts w:hint="eastAsia" w:ascii="宋体" w:hAnsi="宋体" w:eastAsia="宋体" w:cs="宋体"/>
          <w:bCs/>
          <w:i/>
          <w:color w:val="000000"/>
          <w:sz w:val="24"/>
          <w:szCs w:val="24"/>
          <w:u w:val="single"/>
        </w:rPr>
        <w:t xml:space="preserve">转包予第三方完成。</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第四条 合同价款</w:t>
      </w:r>
      <w:r/>
    </w:p>
    <w:p>
      <w:pPr>
        <w:ind w:right="-27" w:firstLine="480"/>
        <w:spacing w:line="42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本合同项下      服务费用总金额为人民币</w:t>
      </w:r>
      <w:r>
        <w:rPr>
          <w:rFonts w:hint="eastAsia" w:ascii="宋体" w:hAnsi="宋体" w:eastAsia="宋体" w:cs="宋体"/>
          <w:bCs/>
          <w:i/>
          <w:color w:val="000000"/>
          <w:sz w:val="24"/>
          <w:szCs w:val="24"/>
          <w:u w:val="single"/>
        </w:rPr>
        <w:tab/>
      </w:r>
      <w:r>
        <w:rPr>
          <w:rFonts w:ascii="宋体" w:hAnsi="宋体" w:eastAsia="宋体" w:cs="宋体"/>
          <w:bCs/>
          <w:i/>
          <w:color w:val="000000"/>
          <w:sz w:val="24"/>
          <w:szCs w:val="24"/>
          <w:u w:val="single"/>
        </w:rPr>
        <w:t xml:space="preserve">       </w:t>
      </w:r>
      <w:r>
        <w:rPr>
          <w:rFonts w:hint="eastAsia" w:ascii="宋体" w:hAnsi="宋体" w:eastAsia="宋体" w:cs="宋体"/>
          <w:bCs/>
          <w:i/>
          <w:color w:val="000000"/>
          <w:sz w:val="24"/>
          <w:szCs w:val="24"/>
          <w:u w:val="single"/>
        </w:rPr>
        <w:t xml:space="preserve">元整（大写：      ）。</w:t>
      </w:r>
      <w:r>
        <w:rPr>
          <w:rFonts w:hint="eastAsia" w:ascii="宋体" w:hAnsi="宋体" w:eastAsia="宋体" w:cs="Times New Roman"/>
          <w:i/>
          <w:color w:val="000000"/>
          <w:sz w:val="24"/>
          <w:szCs w:val="24"/>
          <w:u w:val="single"/>
        </w:rPr>
        <w:t xml:space="preserve">本合同为固定总价合同</w:t>
      </w:r>
      <w:r>
        <w:rPr>
          <w:rFonts w:hint="eastAsia" w:ascii="宋体" w:hAnsi="宋体" w:eastAsia="宋体" w:cs="宋体"/>
          <w:bCs/>
          <w:i/>
          <w:color w:val="000000"/>
          <w:sz w:val="24"/>
          <w:szCs w:val="24"/>
          <w:u w:val="single"/>
        </w:rPr>
        <w:t xml:space="preserve">。</w:t>
      </w:r>
      <w:r/>
    </w:p>
    <w:p>
      <w:pPr>
        <w:ind w:right="-27" w:firstLine="482"/>
        <w:spacing w:line="46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第五条 支付结算 </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5.1</w:t>
      </w:r>
      <w:r>
        <w:rPr>
          <w:rFonts w:ascii="宋体" w:hAnsi="宋体" w:eastAsia="宋体" w:cs="Times New Roman"/>
          <w:i/>
          <w:color w:val="000000"/>
          <w:sz w:val="24"/>
          <w:szCs w:val="24"/>
          <w:u w:val="single"/>
        </w:rPr>
        <w:t xml:space="preserve"> 合同签订后七个工作日内，</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支付合同预付款，金额为合同总价的10%；</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5.2 项目整体上线试运行两个月后，</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支付合同总价的20%；</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5.3 验收通过后一个月内，</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支付合同总价的50%；</w:t>
      </w:r>
      <w:r/>
    </w:p>
    <w:p>
      <w:pPr>
        <w:ind w:right="-27" w:firstLine="480"/>
        <w:spacing w:line="440" w:lineRule="exact"/>
        <w:tabs>
          <w:tab w:val="left" w:pos="0" w:leader="none"/>
        </w:tabs>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5.4 验收通过满一年后一个月内，无质量、服务问题，</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支付合同总价的10%；</w:t>
      </w:r>
      <w:r/>
    </w:p>
    <w:p>
      <w:pPr>
        <w:ind w:left="420" w:right="-27"/>
        <w:spacing w:line="440" w:lineRule="exact"/>
        <w:tabs>
          <w:tab w:val="left" w:pos="0" w:leader="none"/>
        </w:tabs>
        <w:rPr>
          <w:rFonts w:ascii="宋体" w:hAnsi="宋体" w:eastAsia="宋体" w:cs="宋体"/>
          <w:bCs/>
          <w:i/>
          <w:color w:val="000000"/>
          <w:sz w:val="24"/>
          <w:szCs w:val="24"/>
          <w:u w:val="single"/>
        </w:rPr>
      </w:pPr>
      <w:r>
        <w:rPr>
          <w:rFonts w:ascii="宋体" w:hAnsi="宋体" w:eastAsia="宋体" w:cs="Times New Roman"/>
          <w:i/>
          <w:color w:val="000000"/>
          <w:sz w:val="24"/>
          <w:szCs w:val="24"/>
          <w:u w:val="single"/>
        </w:rPr>
        <w:t xml:space="preserve">5.5 验收通过满两年后一个月内，无质量、服务问题，</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向</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支付合同总价的10%。</w:t>
      </w:r>
      <w:r>
        <w:rPr>
          <w:rFonts w:hint="eastAsia" w:ascii="宋体" w:hAnsi="宋体" w:eastAsia="宋体" w:cs="Times New Roman"/>
          <w:i/>
          <w:color w:val="000000"/>
          <w:sz w:val="24"/>
          <w:szCs w:val="24"/>
          <w:u w:val="single"/>
        </w:rPr>
        <w:t xml:space="preserve">5</w:t>
      </w:r>
      <w:r>
        <w:rPr>
          <w:rFonts w:ascii="宋体" w:hAnsi="宋体" w:eastAsia="宋体" w:cs="Times New Roman"/>
          <w:i/>
          <w:color w:val="000000"/>
          <w:sz w:val="24"/>
          <w:szCs w:val="24"/>
          <w:u w:val="single"/>
        </w:rPr>
        <w:t xml:space="preserve">.6</w:t>
      </w:r>
      <w:r>
        <w:rPr>
          <w:rFonts w:hint="eastAsia" w:ascii="宋体" w:hAnsi="宋体" w:eastAsia="宋体" w:cs="Times New Roman"/>
          <w:i/>
          <w:color w:val="000000"/>
          <w:sz w:val="24"/>
          <w:szCs w:val="24"/>
          <w:u w:val="single"/>
        </w:rPr>
        <w:t xml:space="preserve">本合同项下所有款项允许通过数字人民币支付。</w:t>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第六条 验收办法</w:t>
      </w:r>
      <w:r/>
    </w:p>
    <w:p>
      <w:pPr>
        <w:ind w:right="-27" w:firstLine="480"/>
        <w:spacing w:before="120" w:after="120"/>
        <w:tabs>
          <w:tab w:val="left" w:pos="0" w:leader="none"/>
        </w:tabs>
        <w:rPr>
          <w:rFonts w:ascii="宋体" w:hAnsi="宋体" w:eastAsia="宋体" w:cs="Courier New"/>
          <w:sz w:val="24"/>
          <w:szCs w:val="24"/>
        </w:rPr>
      </w:pPr>
      <w:r>
        <w:rPr>
          <w:rFonts w:hint="eastAsia" w:ascii="宋体" w:hAnsi="宋体" w:eastAsia="宋体" w:cs="Courier New"/>
          <w:sz w:val="24"/>
          <w:szCs w:val="24"/>
        </w:rPr>
        <w:t xml:space="preserve">6.1甲方依法组织履约验收工作。</w:t>
      </w:r>
      <w:r/>
    </w:p>
    <w:p>
      <w:pPr>
        <w:ind w:firstLine="480"/>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6.2</w:t>
      </w:r>
      <w:r>
        <w:rPr>
          <w:rFonts w:ascii="Times New Roman" w:hAnsi="Times New Roman" w:eastAsia="宋体" w:cs="Times New Roman"/>
          <w:sz w:val="24"/>
          <w:szCs w:val="20"/>
        </w:rPr>
        <w:t xml:space="preserve">由</w:t>
      </w:r>
      <w:r>
        <w:rPr>
          <w:rFonts w:hint="eastAsia" w:ascii="Times New Roman" w:hAnsi="Times New Roman" w:eastAsia="宋体" w:cs="Times New Roman"/>
          <w:sz w:val="24"/>
          <w:szCs w:val="20"/>
        </w:rPr>
        <w:t xml:space="preserve">甲方</w:t>
      </w:r>
      <w:r>
        <w:rPr>
          <w:rFonts w:ascii="Times New Roman" w:hAnsi="Times New Roman" w:eastAsia="宋体" w:cs="Times New Roman"/>
          <w:sz w:val="24"/>
          <w:szCs w:val="20"/>
        </w:rPr>
        <w:t xml:space="preserve">组织相关业务部门及专家组成验收组对项目进行验收。</w:t>
      </w:r>
      <w:r/>
    </w:p>
    <w:p>
      <w:pPr>
        <w:ind w:firstLine="480"/>
        <w:spacing w:line="440" w:lineRule="exact"/>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6.3</w:t>
      </w:r>
      <w:r>
        <w:rPr>
          <w:rFonts w:ascii="Times New Roman" w:hAnsi="Times New Roman" w:eastAsia="宋体" w:cs="Times New Roman"/>
          <w:sz w:val="24"/>
          <w:szCs w:val="20"/>
        </w:rPr>
        <w:t xml:space="preserve">验收组对照合同内容、国家相关标准、行业通行标准、招标文件要求和</w:t>
      </w:r>
      <w:r>
        <w:rPr>
          <w:rFonts w:hint="eastAsia" w:ascii="Times New Roman" w:hAnsi="Times New Roman" w:eastAsia="宋体" w:cs="Times New Roman"/>
          <w:sz w:val="24"/>
          <w:szCs w:val="20"/>
        </w:rPr>
        <w:t xml:space="preserve">乙方</w:t>
      </w:r>
      <w:r>
        <w:rPr>
          <w:rFonts w:ascii="Times New Roman" w:hAnsi="Times New Roman" w:eastAsia="宋体" w:cs="Times New Roman"/>
          <w:sz w:val="24"/>
          <w:szCs w:val="20"/>
        </w:rPr>
        <w:t xml:space="preserve">投标文件的承诺等，逐项对常熟经开区智慧园区平台</w:t>
      </w:r>
      <w:r>
        <w:rPr>
          <w:rFonts w:hint="eastAsia" w:ascii="Times New Roman" w:hAnsi="Times New Roman" w:eastAsia="宋体" w:cs="Times New Roman"/>
          <w:sz w:val="24"/>
          <w:szCs w:val="20"/>
        </w:rPr>
        <w:t xml:space="preserve">二期</w:t>
      </w:r>
      <w:r>
        <w:rPr>
          <w:rFonts w:ascii="Times New Roman" w:hAnsi="Times New Roman" w:eastAsia="宋体" w:cs="Times New Roman"/>
          <w:sz w:val="24"/>
          <w:szCs w:val="20"/>
        </w:rPr>
        <w:t xml:space="preserve">建设情况进行评估验收。</w:t>
      </w:r>
      <w:r/>
    </w:p>
    <w:p>
      <w:pPr>
        <w:ind w:firstLine="480"/>
        <w:spacing w:line="440" w:lineRule="exact"/>
        <w:widowControl/>
        <w:rPr>
          <w:rFonts w:ascii="Times New Roman" w:hAnsi="Times New Roman" w:eastAsia="宋体" w:cs="Times New Roman"/>
          <w:b/>
          <w:sz w:val="24"/>
          <w:szCs w:val="24"/>
        </w:rPr>
      </w:pPr>
      <w:r>
        <w:rPr>
          <w:rFonts w:hint="eastAsia" w:ascii="Times New Roman" w:hAnsi="Times New Roman" w:eastAsia="宋体" w:cs="Times New Roman"/>
          <w:sz w:val="24"/>
          <w:szCs w:val="20"/>
        </w:rPr>
        <w:t xml:space="preserve">6.4</w:t>
      </w:r>
      <w:r>
        <w:rPr>
          <w:rFonts w:ascii="Times New Roman" w:hAnsi="Times New Roman" w:eastAsia="宋体" w:cs="Times New Roman"/>
          <w:sz w:val="24"/>
          <w:szCs w:val="20"/>
        </w:rPr>
        <w:t xml:space="preserve">验收组根据平台建设情况，形成正确、公正、客观的验收结论。</w:t>
      </w:r>
      <w:r>
        <w:rPr>
          <w:rFonts w:hint="eastAsia" w:ascii="Times New Roman" w:hAnsi="Times New Roman" w:eastAsia="宋体" w:cs="Times New Roman"/>
          <w:sz w:val="24"/>
          <w:szCs w:val="20"/>
        </w:rPr>
        <w:t xml:space="preserve">验收</w:t>
      </w:r>
      <w:r>
        <w:rPr>
          <w:rFonts w:ascii="Times New Roman" w:hAnsi="Times New Roman" w:eastAsia="宋体" w:cs="Times New Roman"/>
          <w:sz w:val="24"/>
          <w:szCs w:val="20"/>
        </w:rPr>
        <w:t xml:space="preserve">通过的，</w:t>
      </w:r>
      <w:r>
        <w:rPr>
          <w:rFonts w:hint="eastAsia" w:ascii="Times New Roman" w:hAnsi="Times New Roman" w:eastAsia="宋体" w:cs="Times New Roman"/>
          <w:sz w:val="24"/>
          <w:szCs w:val="20"/>
        </w:rPr>
        <w:t xml:space="preserve">甲方</w:t>
      </w:r>
      <w:r>
        <w:rPr>
          <w:rFonts w:hint="eastAsia" w:ascii="Times New Roman" w:hAnsi="Times New Roman" w:eastAsia="宋体" w:cs="Times New Roman"/>
          <w:sz w:val="24"/>
          <w:szCs w:val="20"/>
        </w:rPr>
        <w:t xml:space="preserve">支付</w:t>
      </w:r>
      <w:r>
        <w:rPr>
          <w:rFonts w:ascii="Times New Roman" w:hAnsi="Times New Roman" w:eastAsia="宋体" w:cs="Times New Roman"/>
          <w:sz w:val="24"/>
          <w:szCs w:val="20"/>
        </w:rPr>
        <w:t xml:space="preserve">对应款项，验收组有权对平台建设中存在的主要问题提出整改意见或建议，</w:t>
      </w:r>
      <w:r>
        <w:rPr>
          <w:rFonts w:hint="eastAsia" w:ascii="Times New Roman" w:hAnsi="Times New Roman" w:eastAsia="宋体" w:cs="Times New Roman"/>
          <w:sz w:val="24"/>
          <w:szCs w:val="20"/>
        </w:rPr>
        <w:t xml:space="preserve">乙方</w:t>
      </w:r>
      <w:r>
        <w:rPr>
          <w:rFonts w:ascii="Times New Roman" w:hAnsi="Times New Roman" w:eastAsia="宋体" w:cs="Times New Roman"/>
          <w:sz w:val="24"/>
          <w:szCs w:val="20"/>
        </w:rPr>
        <w:t xml:space="preserve">应在</w:t>
      </w:r>
      <w:r>
        <w:rPr>
          <w:rFonts w:hint="eastAsia" w:ascii="Times New Roman" w:hAnsi="Times New Roman" w:eastAsia="宋体" w:cs="Times New Roman"/>
          <w:sz w:val="24"/>
          <w:szCs w:val="20"/>
        </w:rPr>
        <w:t xml:space="preserve">甲方</w:t>
      </w:r>
      <w:r>
        <w:rPr>
          <w:rFonts w:ascii="Times New Roman" w:hAnsi="Times New Roman" w:eastAsia="宋体" w:cs="Times New Roman"/>
          <w:sz w:val="24"/>
          <w:szCs w:val="20"/>
        </w:rPr>
        <w:t xml:space="preserve">限定的时间内根据</w:t>
      </w:r>
      <w:r>
        <w:rPr>
          <w:rFonts w:hint="eastAsia" w:ascii="Times New Roman" w:hAnsi="Times New Roman" w:eastAsia="宋体" w:cs="Times New Roman"/>
          <w:sz w:val="24"/>
          <w:szCs w:val="20"/>
        </w:rPr>
        <w:t xml:space="preserve">甲方</w:t>
      </w:r>
      <w:r>
        <w:rPr>
          <w:rFonts w:ascii="Times New Roman" w:hAnsi="Times New Roman" w:eastAsia="宋体" w:cs="Times New Roman"/>
          <w:sz w:val="24"/>
          <w:szCs w:val="20"/>
        </w:rPr>
        <w:t xml:space="preserve">的要求进行补救措施，由此产生的一切费用及责任等均由</w:t>
      </w:r>
      <w:r>
        <w:rPr>
          <w:rFonts w:hint="eastAsia" w:ascii="Times New Roman" w:hAnsi="Times New Roman" w:eastAsia="宋体" w:cs="Times New Roman"/>
          <w:sz w:val="24"/>
          <w:szCs w:val="20"/>
        </w:rPr>
        <w:t xml:space="preserve">乙方</w:t>
      </w:r>
      <w:r>
        <w:rPr>
          <w:rFonts w:ascii="Times New Roman" w:hAnsi="Times New Roman" w:eastAsia="宋体" w:cs="Times New Roman"/>
          <w:sz w:val="24"/>
          <w:szCs w:val="20"/>
        </w:rPr>
        <w:t xml:space="preserve">承担</w:t>
      </w: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乙方</w:t>
      </w:r>
      <w:r>
        <w:rPr>
          <w:rFonts w:ascii="Times New Roman" w:hAnsi="Times New Roman" w:eastAsia="宋体" w:cs="Times New Roman"/>
          <w:b/>
          <w:sz w:val="24"/>
          <w:szCs w:val="24"/>
        </w:rPr>
        <w:t xml:space="preserve">整改后</w:t>
      </w:r>
      <w:r>
        <w:rPr>
          <w:rFonts w:hint="eastAsia" w:ascii="Times New Roman" w:hAnsi="Times New Roman" w:eastAsia="宋体" w:cs="Times New Roman"/>
          <w:b/>
          <w:sz w:val="24"/>
          <w:szCs w:val="24"/>
        </w:rPr>
        <w:t xml:space="preserve">由</w:t>
      </w:r>
      <w:r>
        <w:rPr>
          <w:rFonts w:hint="eastAsia" w:ascii="Times New Roman" w:hAnsi="Times New Roman" w:eastAsia="宋体" w:cs="Times New Roman"/>
          <w:b/>
          <w:sz w:val="24"/>
          <w:szCs w:val="24"/>
        </w:rPr>
        <w:t xml:space="preserve">甲方</w:t>
      </w:r>
      <w:r>
        <w:rPr>
          <w:rFonts w:ascii="Times New Roman" w:hAnsi="Times New Roman" w:eastAsia="宋体" w:cs="Times New Roman"/>
          <w:b/>
          <w:sz w:val="24"/>
          <w:szCs w:val="24"/>
        </w:rPr>
        <w:t xml:space="preserve">进行二次验收，验收通过的，</w:t>
      </w:r>
      <w:r>
        <w:rPr>
          <w:rFonts w:hint="eastAsia" w:ascii="Times New Roman" w:hAnsi="Times New Roman" w:eastAsia="宋体" w:cs="Times New Roman"/>
          <w:b/>
          <w:sz w:val="24"/>
          <w:szCs w:val="24"/>
        </w:rPr>
        <w:t xml:space="preserve">甲方</w:t>
      </w:r>
      <w:r>
        <w:rPr>
          <w:rFonts w:hint="eastAsia" w:ascii="Times New Roman" w:hAnsi="Times New Roman" w:eastAsia="宋体" w:cs="Times New Roman"/>
          <w:b/>
          <w:sz w:val="24"/>
          <w:szCs w:val="20"/>
        </w:rPr>
        <w:t xml:space="preserve">支付</w:t>
      </w:r>
      <w:r>
        <w:rPr>
          <w:rFonts w:ascii="Times New Roman" w:hAnsi="Times New Roman" w:eastAsia="宋体" w:cs="Times New Roman"/>
          <w:b/>
          <w:sz w:val="24"/>
          <w:szCs w:val="20"/>
        </w:rPr>
        <w:t xml:space="preserve">对应款项</w:t>
      </w:r>
      <w:r>
        <w:rPr>
          <w:rFonts w:hint="eastAsia" w:ascii="Times New Roman" w:hAnsi="Times New Roman" w:eastAsia="宋体" w:cs="Times New Roman"/>
          <w:b/>
          <w:sz w:val="24"/>
          <w:szCs w:val="20"/>
        </w:rPr>
        <w:t xml:space="preserve">，</w:t>
      </w:r>
      <w:r>
        <w:rPr>
          <w:rFonts w:ascii="Times New Roman" w:hAnsi="Times New Roman" w:eastAsia="宋体" w:cs="Times New Roman"/>
          <w:b/>
          <w:sz w:val="24"/>
          <w:szCs w:val="20"/>
        </w:rPr>
        <w:t xml:space="preserve">否则</w:t>
      </w:r>
      <w:r>
        <w:rPr>
          <w:rFonts w:hint="eastAsia" w:ascii="Times New Roman" w:hAnsi="Times New Roman" w:eastAsia="宋体" w:cs="Times New Roman"/>
          <w:b/>
          <w:sz w:val="24"/>
          <w:szCs w:val="20"/>
        </w:rPr>
        <w:t xml:space="preserve">甲方</w:t>
      </w:r>
      <w:r>
        <w:rPr>
          <w:rFonts w:ascii="Times New Roman" w:hAnsi="Times New Roman" w:eastAsia="宋体" w:cs="Times New Roman"/>
          <w:b/>
          <w:sz w:val="24"/>
          <w:szCs w:val="20"/>
        </w:rPr>
        <w:t xml:space="preserve">有权无条件</w:t>
      </w:r>
      <w:r>
        <w:rPr>
          <w:rFonts w:hint="eastAsia" w:ascii="Times New Roman" w:hAnsi="Times New Roman" w:eastAsia="宋体" w:cs="Times New Roman"/>
          <w:b/>
          <w:sz w:val="24"/>
          <w:szCs w:val="20"/>
        </w:rPr>
        <w:t xml:space="preserve">终止</w:t>
      </w:r>
      <w:r>
        <w:rPr>
          <w:rFonts w:ascii="Times New Roman" w:hAnsi="Times New Roman" w:eastAsia="宋体" w:cs="Times New Roman"/>
          <w:b/>
          <w:sz w:val="24"/>
          <w:szCs w:val="20"/>
        </w:rPr>
        <w:t xml:space="preserve">合同</w:t>
      </w:r>
      <w:r>
        <w:rPr>
          <w:rFonts w:hint="eastAsia" w:ascii="Times New Roman" w:hAnsi="Times New Roman" w:eastAsia="宋体" w:cs="Times New Roman"/>
          <w:b/>
          <w:sz w:val="24"/>
          <w:szCs w:val="20"/>
        </w:rPr>
        <w:t xml:space="preserve">，并</w:t>
      </w:r>
      <w:r>
        <w:rPr>
          <w:rFonts w:ascii="Times New Roman" w:hAnsi="Times New Roman" w:eastAsia="宋体" w:cs="Times New Roman"/>
          <w:b/>
          <w:sz w:val="24"/>
          <w:szCs w:val="20"/>
        </w:rPr>
        <w:t xml:space="preserve">不承担任何违约风险。</w:t>
      </w:r>
      <w:r/>
    </w:p>
    <w:p>
      <w:pPr>
        <w:ind w:right="-27" w:firstLine="482"/>
        <w:spacing w:line="46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第七条</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双方的其他权利义务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7.1甲方权利义务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7.2乙方权利义务</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7.2.1乙方权利</w:t>
      </w:r>
      <w:r/>
    </w:p>
    <w:p>
      <w:pPr>
        <w:ind w:right="-27" w:firstLine="48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7.2.2</w:t>
      </w:r>
      <w:r>
        <w:rPr>
          <w:rFonts w:hint="eastAsia" w:ascii="宋体" w:hAnsi="宋体" w:eastAsia="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1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①</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color w:val="000000"/>
          <w:sz w:val="24"/>
          <w:szCs w:val="24"/>
          <w:u w:val="single"/>
        </w:rPr>
        <w:t xml:space="preserve">20%</w:t>
      </w:r>
      <w:r>
        <w:rPr>
          <w:rFonts w:hint="eastAsia" w:ascii="宋体" w:hAnsi="宋体" w:eastAsia="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2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②</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3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③</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4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④</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5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⑤</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6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⑥</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7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⑦</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fldChar w:fldCharType="begin"/>
      </w:r>
      <w:r>
        <w:rPr>
          <w:rFonts w:ascii="宋体" w:hAnsi="宋体" w:eastAsia="宋体" w:cs="宋体"/>
          <w:bCs/>
          <w:color w:val="000000"/>
          <w:sz w:val="24"/>
          <w:szCs w:val="24"/>
        </w:rPr>
        <w:instrText xml:space="preserve"> </w:instrText>
      </w:r>
      <w:r>
        <w:rPr>
          <w:rFonts w:hint="eastAsia" w:ascii="宋体" w:hAnsi="宋体" w:eastAsia="宋体" w:cs="宋体"/>
          <w:bCs/>
          <w:color w:val="000000"/>
          <w:sz w:val="24"/>
          <w:szCs w:val="24"/>
        </w:rPr>
        <w:instrText xml:space="preserve">= 8 \* GB3</w:instrText>
      </w:r>
      <w:r>
        <w:rPr>
          <w:rFonts w:ascii="宋体" w:hAnsi="宋体" w:eastAsia="宋体" w:cs="宋体"/>
          <w:bCs/>
          <w:color w:val="000000"/>
          <w:sz w:val="24"/>
          <w:szCs w:val="24"/>
        </w:rPr>
        <w:instrText xml:space="preserve"> </w:instrText>
      </w:r>
      <w:r>
        <w:rPr>
          <w:rFonts w:ascii="宋体" w:hAnsi="宋体" w:eastAsia="宋体" w:cs="宋体"/>
          <w:bCs/>
          <w:color w:val="000000"/>
          <w:sz w:val="24"/>
          <w:szCs w:val="24"/>
        </w:rPr>
        <w:fldChar w:fldCharType="separate"/>
      </w:r>
      <w:r>
        <w:rPr>
          <w:rFonts w:hint="eastAsia" w:ascii="宋体" w:hAnsi="宋体" w:eastAsia="宋体" w:cs="宋体"/>
          <w:bCs/>
          <w:color w:val="000000"/>
          <w:sz w:val="24"/>
          <w:szCs w:val="24"/>
        </w:rPr>
        <w:t xml:space="preserve">⑧</w:t>
      </w:r>
      <w:r>
        <w:rPr>
          <w:rFonts w:ascii="宋体" w:hAnsi="宋体" w:eastAsia="宋体" w:cs="宋体"/>
          <w:bCs/>
          <w:color w:val="000000"/>
          <w:sz w:val="24"/>
          <w:szCs w:val="24"/>
        </w:rPr>
        <w:fldChar w:fldCharType="end"/>
      </w:r>
      <w:r>
        <w:rPr>
          <w:rFonts w:hint="eastAsia" w:ascii="宋体" w:hAnsi="宋体" w:eastAsia="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第八条 质量保证</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i/>
          <w:color w:val="000000"/>
          <w:sz w:val="24"/>
          <w:szCs w:val="24"/>
          <w:u w:val="single"/>
        </w:rPr>
        <w:t xml:space="preserve">乙方各项服务承诺指标及所采取的措施按照采购文件要求及相应文件的承诺予以确定。</w:t>
      </w:r>
      <w:r>
        <w:rPr>
          <w:rFonts w:hint="eastAsia" w:ascii="宋体" w:hAnsi="宋体" w:eastAsia="宋体" w:cs="宋体"/>
          <w:bCs/>
          <w:color w:val="000000"/>
          <w:sz w:val="24"/>
          <w:szCs w:val="24"/>
        </w:rPr>
        <w:t xml:space="preserve">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9.1</w:t>
      </w:r>
      <w:r>
        <w:rPr>
          <w:rFonts w:hint="eastAsia" w:ascii="宋体" w:hAnsi="宋体" w:eastAsia="宋体" w:cs="宋体"/>
          <w:bCs/>
          <w:color w:val="000000"/>
          <w:sz w:val="24"/>
          <w:szCs w:val="24"/>
        </w:rPr>
        <w:t xml:space="preserve">甲方未按合同规定期限向乙方支付合同价款的，每逾期一天向乙方偿付欠款总额</w:t>
      </w:r>
      <w:r>
        <w:rPr>
          <w:rFonts w:ascii="宋体" w:hAnsi="宋体" w:eastAsia="宋体" w:cs="宋体"/>
          <w:bCs/>
          <w:color w:val="000000"/>
          <w:sz w:val="24"/>
          <w:szCs w:val="24"/>
        </w:rPr>
        <w:t xml:space="preserve">0.5</w:t>
      </w:r>
      <w:r>
        <w:rPr>
          <w:rFonts w:hint="eastAsia" w:ascii="宋体" w:hAnsi="宋体" w:eastAsia="宋体" w:cs="宋体"/>
          <w:bCs/>
          <w:color w:val="000000"/>
          <w:sz w:val="24"/>
          <w:szCs w:val="24"/>
        </w:rPr>
        <w:t xml:space="preserve">％的滞纳金，但累计总额不超过欠款总额的</w:t>
      </w:r>
      <w:r>
        <w:rPr>
          <w:rFonts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％；甲方未按合同规定期限向乙方退还履约</w:t>
      </w:r>
      <w:r>
        <w:rPr>
          <w:rFonts w:ascii="宋体" w:hAnsi="宋体" w:eastAsia="宋体" w:cs="宋体"/>
          <w:bCs/>
          <w:color w:val="000000"/>
          <w:sz w:val="24"/>
          <w:szCs w:val="24"/>
        </w:rPr>
        <w:t xml:space="preserve">保证金</w:t>
      </w:r>
      <w:r>
        <w:rPr>
          <w:rFonts w:hint="eastAsia" w:ascii="宋体" w:hAnsi="宋体" w:eastAsia="宋体" w:cs="宋体"/>
          <w:bCs/>
          <w:color w:val="000000"/>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w:t>
      </w:r>
      <w:r>
        <w:rPr>
          <w:rFonts w:hint="eastAsia" w:ascii="宋体" w:hAnsi="宋体" w:eastAsia="宋体" w:cs="宋体"/>
          <w:bCs/>
          <w:color w:val="000000"/>
          <w:sz w:val="24"/>
          <w:szCs w:val="24"/>
        </w:rPr>
        <w:t xml:space="preserve">有下列情形之一的，乙方应当向甲方支付合同约定合同价款金额</w:t>
      </w:r>
      <w:r>
        <w:rPr>
          <w:rFonts w:ascii="宋体" w:hAnsi="宋体" w:eastAsia="宋体" w:cs="宋体"/>
          <w:bCs/>
          <w:color w:val="000000"/>
          <w:sz w:val="24"/>
          <w:szCs w:val="24"/>
        </w:rPr>
        <w:t xml:space="preserve">10%（或5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9.2.1</w:t>
      </w:r>
      <w:r>
        <w:rPr>
          <w:rFonts w:hint="eastAsia" w:ascii="宋体" w:hAnsi="宋体" w:eastAsia="宋体" w:cs="宋体"/>
          <w:bCs/>
          <w:color w:val="000000"/>
          <w:sz w:val="24"/>
          <w:szCs w:val="24"/>
        </w:rPr>
        <w:t xml:space="preserve">乙方服务团队成员未经甲方同意发生变更，经甲方要求恢复后，未在合理期限内（</w:t>
      </w:r>
      <w:r>
        <w:rPr>
          <w:rFonts w:ascii="宋体" w:hAnsi="宋体" w:eastAsia="宋体" w:cs="宋体"/>
          <w:bCs/>
          <w:color w:val="000000"/>
          <w:sz w:val="24"/>
          <w:szCs w:val="24"/>
        </w:rPr>
        <w:t xml:space="preserve">5</w:t>
      </w:r>
      <w:r>
        <w:rPr>
          <w:rFonts w:hint="eastAsia" w:ascii="宋体" w:hAnsi="宋体" w:eastAsia="宋体" w:cs="宋体"/>
          <w:bCs/>
          <w:color w:val="000000"/>
          <w:sz w:val="24"/>
          <w:szCs w:val="24"/>
        </w:rPr>
        <w:t xml:space="preserve">个</w:t>
      </w:r>
      <w:r>
        <w:rPr>
          <w:rFonts w:ascii="宋体" w:hAnsi="宋体" w:eastAsia="宋体" w:cs="宋体"/>
          <w:bCs/>
          <w:color w:val="000000"/>
          <w:sz w:val="24"/>
          <w:szCs w:val="24"/>
        </w:rPr>
        <w:t xml:space="preserve">工作</w:t>
      </w:r>
      <w:r>
        <w:rPr>
          <w:rFonts w:hint="eastAsia" w:ascii="宋体" w:hAnsi="宋体" w:eastAsia="宋体" w:cs="宋体"/>
          <w:bCs/>
          <w:color w:val="000000"/>
          <w:sz w:val="24"/>
          <w:szCs w:val="24"/>
        </w:rPr>
        <w:t xml:space="preserve">日内）恢复的；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.2.2</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rPr>
        <w:t xml:space="preserve">20%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.2.3</w:t>
      </w:r>
      <w:r>
        <w:rPr>
          <w:rFonts w:hint="eastAsia" w:ascii="宋体" w:hAnsi="宋体" w:eastAsia="宋体" w:cs="宋体"/>
          <w:bCs/>
          <w:color w:val="000000"/>
          <w:sz w:val="24"/>
          <w:szCs w:val="24"/>
        </w:rPr>
        <w:t xml:space="preserve">乙方人员无故未能按约定为甲方提供服务，服务期限内达到二人次的；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.2.4</w:t>
      </w:r>
      <w:r>
        <w:rPr>
          <w:rFonts w:hint="eastAsia" w:ascii="宋体" w:hAnsi="宋体" w:eastAsia="宋体" w:cs="宋体"/>
          <w:bCs/>
          <w:color w:val="000000"/>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.2.5因</w:t>
      </w:r>
      <w:r>
        <w:rPr>
          <w:rFonts w:hint="eastAsia" w:ascii="宋体" w:hAnsi="宋体" w:eastAsia="宋体" w:cs="宋体"/>
          <w:bCs/>
          <w:color w:val="000000"/>
          <w:sz w:val="24"/>
          <w:szCs w:val="24"/>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.2.6</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color w:val="000000"/>
          <w:sz w:val="24"/>
          <w:szCs w:val="24"/>
        </w:rPr>
        <w:t xml:space="preserve">9</w:t>
      </w:r>
      <w:r>
        <w:rPr>
          <w:rFonts w:ascii="宋体" w:hAnsi="宋体" w:eastAsia="宋体" w:cs="宋体"/>
          <w:bCs/>
          <w:color w:val="000000"/>
          <w:sz w:val="24"/>
          <w:szCs w:val="24"/>
        </w:rPr>
        <w:t xml:space="preserve">.2.7</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color w:val="000000"/>
          <w:sz w:val="24"/>
          <w:szCs w:val="24"/>
        </w:rPr>
        <w:t xml:space="preserve">10</w:t>
      </w:r>
      <w:r>
        <w:rPr>
          <w:rFonts w:hint="eastAsia" w:ascii="宋体" w:hAnsi="宋体" w:eastAsia="宋体" w:cs="宋体"/>
          <w:bCs/>
          <w:color w:val="000000"/>
          <w:sz w:val="24"/>
          <w:szCs w:val="24"/>
        </w:rPr>
        <w:t xml:space="preserve">％</w:t>
      </w:r>
      <w:r>
        <w:rPr>
          <w:rFonts w:ascii="宋体" w:hAnsi="宋体" w:eastAsia="宋体" w:cs="宋体"/>
          <w:bCs/>
          <w:color w:val="000000"/>
          <w:sz w:val="24"/>
          <w:szCs w:val="24"/>
        </w:rPr>
        <w:t xml:space="preserve">（或5</w:t>
      </w:r>
      <w:r>
        <w:rPr>
          <w:rFonts w:hint="eastAsia" w:ascii="宋体" w:hAnsi="宋体" w:eastAsia="宋体" w:cs="宋体"/>
          <w:bCs/>
          <w:color w:val="000000"/>
          <w:sz w:val="24"/>
          <w:szCs w:val="24"/>
        </w:rPr>
        <w:t xml:space="preserve">万元，</w:t>
      </w:r>
      <w:r>
        <w:rPr>
          <w:rFonts w:ascii="宋体" w:hAnsi="宋体" w:eastAsia="宋体" w:cs="宋体"/>
          <w:bCs/>
          <w:color w:val="000000"/>
          <w:sz w:val="24"/>
          <w:szCs w:val="24"/>
        </w:rPr>
        <w:t xml:space="preserve">以金额</w:t>
      </w:r>
      <w:r>
        <w:rPr>
          <w:rFonts w:hint="eastAsia" w:ascii="宋体" w:hAnsi="宋体" w:eastAsia="宋体" w:cs="宋体"/>
          <w:bCs/>
          <w:color w:val="000000"/>
          <w:sz w:val="24"/>
          <w:szCs w:val="24"/>
        </w:rPr>
        <w:t xml:space="preserve">较大</w:t>
      </w:r>
      <w:r>
        <w:rPr>
          <w:rFonts w:ascii="宋体" w:hAnsi="宋体" w:eastAsia="宋体" w:cs="宋体"/>
          <w:bCs/>
          <w:color w:val="000000"/>
          <w:sz w:val="24"/>
          <w:szCs w:val="24"/>
        </w:rPr>
        <w:t xml:space="preserve">的为准</w:t>
      </w:r>
      <w:r>
        <w:rPr>
          <w:rFonts w:hint="eastAsia" w:ascii="宋体" w:hAnsi="宋体" w:eastAsia="宋体" w:cs="宋体"/>
          <w:bCs/>
          <w:color w:val="000000"/>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9.</w:t>
      </w:r>
      <w:r>
        <w:rPr>
          <w:rFonts w:hint="eastAsia" w:ascii="宋体" w:hAnsi="宋体" w:eastAsia="宋体" w:cs="宋体"/>
          <w:bCs/>
          <w:color w:val="000000"/>
          <w:sz w:val="24"/>
          <w:szCs w:val="24"/>
        </w:rPr>
        <w:t xml:space="preserve">3乙方在承担上述9</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10.1</w:t>
      </w:r>
      <w:r>
        <w:rPr>
          <w:rFonts w:hint="eastAsia" w:ascii="宋体" w:hAnsi="宋体" w:eastAsia="宋体" w:cs="宋体"/>
          <w:bCs/>
          <w:color w:val="000000"/>
          <w:sz w:val="24"/>
          <w:szCs w:val="24"/>
        </w:rPr>
        <w:t xml:space="preserve">乙方单位总体服务能力发生下降，专业技术人员减员或资质下降人数达到</w:t>
      </w:r>
      <w:r>
        <w:rPr>
          <w:rFonts w:ascii="宋体" w:hAnsi="宋体" w:eastAsia="宋体" w:cs="宋体"/>
          <w:bCs/>
          <w:color w:val="000000"/>
          <w:sz w:val="24"/>
          <w:szCs w:val="24"/>
        </w:rPr>
        <w:t xml:space="preserve">30%</w:t>
      </w:r>
      <w:r>
        <w:rPr>
          <w:rFonts w:hint="eastAsia" w:ascii="宋体" w:hAnsi="宋体" w:eastAsia="宋体" w:cs="宋体"/>
          <w:bCs/>
          <w:color w:val="000000"/>
          <w:sz w:val="24"/>
          <w:szCs w:val="24"/>
        </w:rPr>
        <w:t xml:space="preserve">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10.2</w:t>
      </w:r>
      <w:r>
        <w:rPr>
          <w:rFonts w:hint="eastAsia" w:ascii="宋体" w:hAnsi="宋体" w:eastAsia="宋体" w:cs="宋体"/>
          <w:bCs/>
          <w:color w:val="000000"/>
          <w:sz w:val="24"/>
          <w:szCs w:val="24"/>
        </w:rPr>
        <w:t xml:space="preserve">乙方人员无故未能按约定</w:t>
      </w:r>
      <w:r>
        <w:rPr>
          <w:rFonts w:ascii="宋体" w:hAnsi="宋体" w:eastAsia="宋体" w:cs="宋体"/>
          <w:bCs/>
          <w:color w:val="000000"/>
          <w:sz w:val="24"/>
          <w:szCs w:val="24"/>
        </w:rPr>
        <w:t xml:space="preserve">为</w:t>
      </w:r>
      <w:r>
        <w:rPr>
          <w:rFonts w:hint="eastAsia" w:ascii="宋体" w:hAnsi="宋体" w:eastAsia="宋体" w:cs="宋体"/>
          <w:bCs/>
          <w:color w:val="000000"/>
          <w:sz w:val="24"/>
          <w:szCs w:val="24"/>
        </w:rPr>
        <w:t xml:space="preserve">甲方提供服务，服务期限内达到三人次的；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10.3</w:t>
      </w:r>
      <w:r>
        <w:rPr>
          <w:rFonts w:hint="eastAsia" w:ascii="宋体" w:hAnsi="宋体" w:eastAsia="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10.4因</w:t>
      </w:r>
      <w:r>
        <w:rPr>
          <w:rFonts w:hint="eastAsia" w:ascii="宋体" w:hAnsi="宋体" w:eastAsia="宋体" w:cs="宋体"/>
          <w:bCs/>
          <w:color w:val="000000"/>
          <w:sz w:val="24"/>
          <w:szCs w:val="24"/>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10.5</w:t>
      </w:r>
      <w:r>
        <w:rPr>
          <w:rFonts w:hint="eastAsia" w:ascii="宋体" w:hAnsi="宋体" w:eastAsia="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10.6</w:t>
      </w:r>
      <w:r>
        <w:rPr>
          <w:rFonts w:hint="eastAsia" w:ascii="宋体" w:hAnsi="宋体" w:eastAsia="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11.1</w:t>
      </w:r>
      <w:r>
        <w:rPr>
          <w:rFonts w:hint="eastAsia" w:ascii="宋体" w:hAnsi="宋体" w:eastAsia="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11.2</w:t>
      </w:r>
      <w:r>
        <w:rPr>
          <w:rFonts w:hint="eastAsia" w:ascii="宋体" w:hAnsi="宋体" w:eastAsia="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color w:val="000000"/>
          <w:sz w:val="24"/>
          <w:szCs w:val="24"/>
        </w:rPr>
        <w:t xml:space="preserve">本义务</w:t>
      </w:r>
      <w:r>
        <w:rPr>
          <w:rFonts w:hint="eastAsia" w:ascii="宋体" w:hAnsi="宋体" w:eastAsia="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11.3</w:t>
      </w:r>
      <w:r>
        <w:rPr>
          <w:rFonts w:hint="eastAsia" w:ascii="宋体" w:hAnsi="宋体" w:eastAsia="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color w:val="000000"/>
          <w:sz w:val="24"/>
          <w:szCs w:val="24"/>
        </w:rPr>
        <w:t xml:space="preserve">11.4</w:t>
      </w:r>
      <w:r>
        <w:rPr>
          <w:rFonts w:hint="eastAsia" w:ascii="宋体" w:hAnsi="宋体" w:eastAsia="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第十二条 合同的变更、中止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第十三条 合同的终止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 本合同因下列原因而终止：</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13.1.1 本合同正常履行完毕；</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13.1.3 任何一方行使解除权解除本合同；</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第十四条 合同的转让</w:t>
      </w:r>
      <w:r/>
    </w:p>
    <w:p>
      <w:pPr>
        <w:ind w:right="-27" w:firstLine="480"/>
        <w:spacing w:line="420" w:lineRule="exact"/>
        <w:tabs>
          <w:tab w:val="left" w:pos="0" w:leader="none"/>
        </w:tabs>
        <w:rPr>
          <w:rFonts w:ascii="宋体" w:hAnsi="宋体" w:eastAsia="宋体" w:cs="宋体"/>
          <w:bCs/>
          <w:i/>
          <w:sz w:val="24"/>
          <w:szCs w:val="24"/>
          <w:u w:val="single"/>
        </w:rPr>
      </w:pPr>
      <w:r>
        <w:rPr>
          <w:rFonts w:hint="eastAsia" w:ascii="宋体" w:hAnsi="宋体" w:eastAsia="宋体" w:cs="宋体"/>
          <w:bCs/>
          <w:i/>
          <w:color w:val="000000"/>
          <w:sz w:val="24"/>
          <w:szCs w:val="24"/>
          <w:u w:val="single"/>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第十五条 履约保证金</w:t>
      </w:r>
      <w:r/>
    </w:p>
    <w:p>
      <w:pPr>
        <w:ind w:right="-27" w:firstLine="48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i/>
          <w:color w:val="000000"/>
          <w:sz w:val="24"/>
          <w:szCs w:val="24"/>
          <w:u w:val="single"/>
        </w:rPr>
        <w:t xml:space="preserve">本项目不收取履约保证金。</w:t>
      </w:r>
      <w:r>
        <w:rPr>
          <w:rFonts w:ascii="宋体" w:hAnsi="宋体" w:eastAsia="宋体" w:cs="宋体"/>
          <w:bCs/>
          <w:color w:val="000000"/>
          <w:sz w:val="24"/>
          <w:szCs w:val="24"/>
        </w:rPr>
        <w:t xml:space="preserve"> </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i/>
          <w:color w:val="000000"/>
          <w:sz w:val="24"/>
          <w:szCs w:val="24"/>
          <w:u w:val="single"/>
        </w:rPr>
      </w:pPr>
      <w:r>
        <w:rPr>
          <w:rFonts w:hint="eastAsia" w:ascii="宋体" w:hAnsi="宋体" w:eastAsia="宋体" w:cs="宋体"/>
          <w:b/>
          <w:bCs/>
          <w:i/>
          <w:color w:val="000000"/>
          <w:sz w:val="24"/>
          <w:szCs w:val="24"/>
          <w:u w:val="single"/>
        </w:rPr>
        <w:t xml:space="preserve">第十七条 通知与送达</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甲乙双方因履行本合同需要向对方发送通知、文件、资料的，均以</w:t>
      </w:r>
      <w:r>
        <w:rPr>
          <w:rFonts w:hint="eastAsia" w:ascii="宋体" w:hAnsi="宋体" w:eastAsia="宋体" w:cs="宋体"/>
          <w:bCs/>
          <w:i/>
          <w:color w:val="000000"/>
          <w:sz w:val="24"/>
          <w:szCs w:val="24"/>
          <w:u w:val="single"/>
        </w:rPr>
        <w:t xml:space="preserve">下列联系</w:t>
      </w:r>
      <w:r>
        <w:rPr>
          <w:rFonts w:hint="eastAsia" w:ascii="宋体" w:hAnsi="宋体" w:eastAsia="宋体" w:cs="宋体"/>
          <w:bCs/>
          <w:i/>
          <w:color w:val="000000"/>
          <w:sz w:val="24"/>
          <w:szCs w:val="24"/>
          <w:u w:val="single"/>
        </w:rPr>
        <w:t xml:space="preserve">信息确定内容进行：</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.1.1</w:t>
      </w:r>
      <w:r>
        <w:rPr>
          <w:rFonts w:hint="eastAsia" w:ascii="宋体" w:hAnsi="宋体" w:eastAsia="宋体" w:cs="宋体"/>
          <w:bCs/>
          <w:i/>
          <w:color w:val="000000"/>
          <w:sz w:val="24"/>
          <w:szCs w:val="24"/>
          <w:u w:val="single"/>
        </w:rPr>
        <w:t xml:space="preserve">甲方联系信息：</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指定收件人：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送达地址：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指定电子收件方式：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.1.2</w:t>
      </w:r>
      <w:r>
        <w:rPr>
          <w:rFonts w:hint="eastAsia" w:ascii="宋体" w:hAnsi="宋体" w:eastAsia="宋体" w:cs="宋体"/>
          <w:bCs/>
          <w:i/>
          <w:color w:val="000000"/>
          <w:sz w:val="24"/>
          <w:szCs w:val="24"/>
          <w:u w:val="single"/>
        </w:rPr>
        <w:t xml:space="preserve">乙方联系信息：</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指定收件人：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送达地址：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指定电子收件方式：                           </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.2</w:t>
      </w:r>
      <w:r>
        <w:rPr>
          <w:rFonts w:hint="eastAsia" w:ascii="宋体" w:hAnsi="宋体" w:eastAsia="宋体" w:cs="宋体"/>
          <w:bCs/>
          <w:i/>
          <w:color w:val="000000"/>
          <w:sz w:val="24"/>
          <w:szCs w:val="24"/>
          <w:u w:val="single"/>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ascii="宋体" w:hAnsi="宋体" w:eastAsia="宋体" w:cs="宋体"/>
          <w:bCs/>
          <w:i/>
          <w:color w:val="000000"/>
          <w:sz w:val="24"/>
          <w:szCs w:val="24"/>
          <w:u w:val="single"/>
        </w:rPr>
        <w:t xml:space="preserve">1</w:t>
      </w:r>
      <w:r>
        <w:rPr>
          <w:rFonts w:hint="eastAsia" w:ascii="宋体" w:hAnsi="宋体" w:eastAsia="宋体" w:cs="宋体"/>
          <w:bCs/>
          <w:i/>
          <w:color w:val="000000"/>
          <w:sz w:val="24"/>
          <w:szCs w:val="24"/>
          <w:u w:val="single"/>
        </w:rPr>
        <w:t xml:space="preserve">7</w:t>
      </w:r>
      <w:r>
        <w:rPr>
          <w:rFonts w:ascii="宋体" w:hAnsi="宋体" w:eastAsia="宋体" w:cs="宋体"/>
          <w:bCs/>
          <w:i/>
          <w:color w:val="000000"/>
          <w:sz w:val="24"/>
          <w:szCs w:val="24"/>
          <w:u w:val="single"/>
        </w:rPr>
        <w:t xml:space="preserve">.3</w:t>
      </w:r>
      <w:r>
        <w:rPr>
          <w:rFonts w:hint="eastAsia" w:ascii="宋体" w:hAnsi="宋体" w:eastAsia="宋体" w:cs="宋体"/>
          <w:bCs/>
          <w:i/>
          <w:color w:val="000000"/>
          <w:sz w:val="24"/>
          <w:szCs w:val="24"/>
          <w:u w:val="single"/>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i/>
          <w:sz w:val="24"/>
          <w:szCs w:val="24"/>
          <w:u w:val="single"/>
        </w:rPr>
      </w:pPr>
      <w:r>
        <w:rPr>
          <w:rFonts w:hint="eastAsia" w:ascii="宋体" w:hAnsi="宋体" w:eastAsia="宋体" w:cs="宋体"/>
          <w:b/>
          <w:bCs/>
          <w:i/>
          <w:color w:val="000000"/>
          <w:sz w:val="24"/>
          <w:szCs w:val="24"/>
          <w:u w:val="single"/>
        </w:rPr>
        <w:t xml:space="preserve">第十八条 合同生效及其他</w:t>
      </w:r>
      <w:r/>
    </w:p>
    <w:p>
      <w:pPr>
        <w:ind w:right="-27" w:firstLine="480"/>
        <w:spacing w:line="440" w:lineRule="exact"/>
        <w:tabs>
          <w:tab w:val="left" w:pos="0" w:leader="none"/>
        </w:tabs>
        <w:rPr>
          <w:rFonts w:ascii="Calibri" w:hAnsi="Calibri" w:eastAsia="宋体" w:cs="Times New Roman"/>
          <w:b/>
          <w:i/>
          <w:sz w:val="24"/>
          <w:szCs w:val="24"/>
          <w:u w:val="single"/>
        </w:rPr>
      </w:pPr>
      <w:r>
        <w:rPr>
          <w:rFonts w:hint="eastAsia" w:ascii="宋体" w:hAnsi="宋体" w:eastAsia="宋体" w:cs="宋体"/>
          <w:bCs/>
          <w:i/>
          <w:color w:val="000000"/>
          <w:sz w:val="24"/>
          <w:szCs w:val="24"/>
          <w:u w:val="single"/>
        </w:rPr>
        <w:t xml:space="preserve">18.1 </w:t>
      </w:r>
      <w:r>
        <w:rPr>
          <w:rFonts w:hint="eastAsia" w:ascii="宋体" w:hAnsi="宋体" w:eastAsia="宋体" w:cs="Times New Roman"/>
          <w:i/>
          <w:color w:val="000000"/>
          <w:sz w:val="24"/>
          <w:szCs w:val="24"/>
          <w:u w:val="single"/>
        </w:rPr>
        <w:t xml:space="preserve">合同在双方加盖公章或</w:t>
      </w:r>
      <w:r>
        <w:rPr>
          <w:rFonts w:hint="eastAsia" w:ascii="宋体" w:hAnsi="宋体" w:eastAsia="宋体" w:cs="Times New Roman"/>
          <w:b/>
          <w:i/>
          <w:color w:val="000000"/>
          <w:sz w:val="24"/>
          <w:szCs w:val="24"/>
          <w:u w:val="single"/>
        </w:rPr>
        <w:t xml:space="preserve">双方法定代表人、授权代表签字后生效</w:t>
      </w:r>
      <w:r/>
    </w:p>
    <w:p>
      <w:pPr>
        <w:ind w:right="-27" w:firstLine="480"/>
        <w:spacing w:line="440" w:lineRule="exact"/>
        <w:tabs>
          <w:tab w:val="left" w:pos="0" w:leader="none"/>
        </w:tabs>
        <w:rPr>
          <w:rFonts w:ascii="Calibri" w:hAnsi="Calibri" w:eastAsia="宋体" w:cs="Times New Roman"/>
          <w:i/>
          <w:sz w:val="24"/>
          <w:szCs w:val="24"/>
          <w:u w:val="single"/>
        </w:rPr>
      </w:pPr>
      <w:r>
        <w:rPr>
          <w:rFonts w:hint="eastAsia" w:ascii="宋体" w:hAnsi="宋体" w:eastAsia="宋体" w:cs="宋体"/>
          <w:bCs/>
          <w:i/>
          <w:color w:val="000000"/>
          <w:sz w:val="24"/>
          <w:szCs w:val="24"/>
          <w:u w:val="single"/>
        </w:rPr>
        <w:t xml:space="preserve">18.2 </w:t>
      </w:r>
      <w:r>
        <w:rPr>
          <w:rFonts w:hint="eastAsia" w:ascii="宋体" w:hAnsi="宋体" w:eastAsia="宋体" w:cs="Times New Roman"/>
          <w:i/>
          <w:color w:val="000000"/>
          <w:sz w:val="24"/>
          <w:szCs w:val="24"/>
          <w:u w:val="single"/>
        </w:rPr>
        <w:t xml:space="preserve">本合同一式四份，以简体中文书写，甲方、乙方各执二份。</w:t>
      </w:r>
      <w:r/>
    </w:p>
    <w:p>
      <w:pPr>
        <w:ind w:right="-27" w:firstLine="480"/>
        <w:spacing w:line="440" w:lineRule="exact"/>
        <w:tabs>
          <w:tab w:val="left" w:pos="0" w:leader="none"/>
        </w:tabs>
        <w:rPr>
          <w:rFonts w:ascii="宋体" w:hAnsi="宋体" w:eastAsia="宋体" w:cs="宋体"/>
          <w:bCs/>
          <w:i/>
          <w:color w:val="000000"/>
          <w:sz w:val="24"/>
          <w:szCs w:val="24"/>
          <w:u w:val="single"/>
        </w:rPr>
      </w:pPr>
      <w:r>
        <w:rPr>
          <w:rFonts w:hint="eastAsia" w:ascii="宋体" w:hAnsi="宋体" w:eastAsia="宋体" w:cs="宋体"/>
          <w:bCs/>
          <w:i/>
          <w:color w:val="000000"/>
          <w:sz w:val="24"/>
          <w:szCs w:val="24"/>
          <w:u w:val="single"/>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color w:val="000000"/>
          <w:sz w:val="24"/>
          <w:szCs w:val="24"/>
        </w:rPr>
      </w:pPr>
      <w:r>
        <w:rPr>
          <w:rFonts w:ascii="宋体" w:hAnsi="宋体" w:eastAsia="宋体" w:cs="宋体"/>
          <w:bCs/>
          <w:color w:val="000000"/>
          <w:sz w:val="24"/>
          <w:szCs w:val="24"/>
        </w:rPr>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法定（授权）代表人（签字）：</w:t>
      </w:r>
      <w:r/>
    </w:p>
    <w:p>
      <w:pPr>
        <w:ind w:right="-27" w:firstLine="960"/>
        <w:spacing w:line="440" w:lineRule="exact"/>
        <w:tabs>
          <w:tab w:val="left" w:pos="0"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ind w:right="-27"/>
        <w:jc w:val="center"/>
        <w:spacing w:line="660" w:lineRule="exact"/>
        <w:tabs>
          <w:tab w:val="left" w:pos="0" w:leader="none"/>
        </w:tabs>
        <w:rPr>
          <w:rFonts w:ascii="宋体" w:hAnsi="宋体" w:eastAsia="宋体" w:cs="Times New Roman"/>
          <w:color w:val="000000"/>
          <w:sz w:val="24"/>
          <w:szCs w:val="24"/>
        </w:rPr>
      </w:pPr>
      <w:r>
        <w:rPr>
          <w:rFonts w:ascii="黑体" w:hAnsi="Courier New" w:eastAsia="黑体" w:cs="Courier New"/>
          <w:bCs/>
          <w:color w:val="000000"/>
          <w:sz w:val="44"/>
          <w:szCs w:val="21"/>
        </w:rPr>
        <w:br w:type="page" w:clear="all"/>
      </w:r>
      <w:r/>
    </w:p>
    <w:p>
      <w:pPr>
        <w:jc w:val="center"/>
        <w:rPr>
          <w:rFonts w:ascii="宋体" w:hAnsi="宋体" w:eastAsia="宋体" w:cs="Times New Roman"/>
          <w:b/>
          <w:color w:val="000000"/>
          <w:sz w:val="44"/>
          <w:szCs w:val="44"/>
        </w:rPr>
        <w:outlineLvl w:val="0"/>
      </w:pPr>
      <w:r/>
      <w:bookmarkStart w:id="320" w:name="_Toc226731608"/>
      <w:r/>
      <w:bookmarkStart w:id="321" w:name="_Toc227573366"/>
      <w:r/>
      <w:bookmarkStart w:id="322" w:name="_Toc163508315"/>
      <w:r/>
      <w:bookmarkStart w:id="323" w:name="_Toc163508390"/>
      <w:r>
        <w:rPr>
          <w:rFonts w:hint="eastAsia" w:ascii="宋体" w:hAnsi="宋体" w:eastAsia="宋体" w:cs="Times New Roman"/>
          <w:b/>
          <w:color w:val="000000"/>
          <w:sz w:val="44"/>
          <w:szCs w:val="44"/>
        </w:rPr>
        <w:t xml:space="preserve">第四章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0"/>
      <w:r/>
      <w:bookmarkEnd w:id="321"/>
      <w:r/>
      <w:r/>
    </w:p>
    <w:p>
      <w:pPr>
        <w:spacing w:line="440" w:lineRule="exact"/>
        <w:rPr>
          <w:rFonts w:ascii="Times New Roman" w:hAnsi="Times New Roman" w:eastAsia="宋体" w:cs="Times New Roman"/>
          <w:b/>
          <w:bCs/>
          <w:sz w:val="28"/>
          <w:szCs w:val="28"/>
        </w:rPr>
        <w:outlineLvl w:val="1"/>
      </w:pPr>
      <w:r/>
      <w:bookmarkStart w:id="324" w:name="_Toc226731609"/>
      <w:r/>
      <w:bookmarkStart w:id="325" w:name="_Toc227573367"/>
      <w:r>
        <w:rPr>
          <w:rFonts w:hint="eastAsia" w:ascii="Times New Roman" w:hAnsi="Times New Roman" w:eastAsia="宋体" w:cs="Times New Roman"/>
          <w:b/>
          <w:bCs/>
          <w:sz w:val="28"/>
          <w:szCs w:val="28"/>
        </w:rPr>
        <w:t xml:space="preserve">一、项目说明：</w:t>
      </w:r>
      <w:bookmarkEnd w:id="324"/>
      <w:r/>
      <w:bookmarkEnd w:id="325"/>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采购内容：常熟经济技术开发区管理委员会所需的常熟经开区智慧园区平台二期项目。</w:t>
      </w:r>
      <w:r>
        <w:rPr>
          <w:rFonts w:hint="eastAsia" w:ascii="Times New Roman" w:hAnsi="Times New Roman" w:eastAsia="宋体" w:cs="Times New Roman"/>
          <w:sz w:val="24"/>
          <w:szCs w:val="24"/>
        </w:rPr>
        <w:t xml:space="preserve">本项目为采购政务</w:t>
      </w:r>
      <w:r>
        <w:rPr>
          <w:rFonts w:hint="eastAsia" w:ascii="Times New Roman" w:hAnsi="Times New Roman" w:eastAsia="宋体" w:cs="Times New Roman"/>
          <w:sz w:val="24"/>
          <w:szCs w:val="24"/>
        </w:rPr>
        <w:t xml:space="preserve">业务</w:t>
      </w:r>
      <w:r>
        <w:rPr>
          <w:rFonts w:hint="eastAsia" w:ascii="Times New Roman" w:hAnsi="Times New Roman" w:eastAsia="宋体" w:cs="Times New Roman"/>
          <w:sz w:val="24"/>
          <w:szCs w:val="24"/>
        </w:rPr>
        <w:t xml:space="preserve">信息系统相关服务。</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服务范围</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合同履行期限：</w:t>
      </w:r>
      <w:r>
        <w:rPr>
          <w:rFonts w:ascii="Times New Roman" w:hAnsi="Times New Roman" w:eastAsia="宋体" w:cs="Times New Roman"/>
          <w:i/>
          <w:sz w:val="24"/>
          <w:szCs w:val="24"/>
          <w:u w:val="single"/>
        </w:rPr>
        <w:t xml:space="preserve">2026</w:t>
      </w:r>
      <w:r>
        <w:rPr>
          <w:rFonts w:ascii="Times New Roman" w:hAnsi="Times New Roman" w:eastAsia="宋体" w:cs="Times New Roman"/>
          <w:i/>
          <w:sz w:val="24"/>
          <w:szCs w:val="24"/>
          <w:u w:val="single"/>
        </w:rPr>
        <w:t xml:space="preserve">年</w:t>
      </w:r>
      <w:r>
        <w:rPr>
          <w:rFonts w:hint="eastAsia" w:ascii="Times New Roman" w:hAnsi="Times New Roman" w:eastAsia="宋体" w:cs="Times New Roman"/>
          <w:i/>
          <w:sz w:val="24"/>
          <w:szCs w:val="24"/>
          <w:u w:val="single"/>
        </w:rPr>
        <w:t xml:space="preserve">6</w:t>
      </w:r>
      <w:r>
        <w:rPr>
          <w:rFonts w:ascii="Times New Roman" w:hAnsi="Times New Roman" w:eastAsia="宋体" w:cs="Times New Roman"/>
          <w:i/>
          <w:sz w:val="24"/>
          <w:szCs w:val="24"/>
          <w:u w:val="single"/>
        </w:rPr>
        <w:t xml:space="preserve">月</w:t>
      </w:r>
      <w:r>
        <w:rPr>
          <w:rFonts w:hint="eastAsia"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日前项目整体全部完成并</w:t>
      </w:r>
      <w:r>
        <w:rPr>
          <w:rFonts w:hint="eastAsia" w:ascii="Times New Roman" w:hAnsi="Times New Roman" w:eastAsia="宋体" w:cs="Times New Roman"/>
          <w:i/>
          <w:sz w:val="24"/>
          <w:szCs w:val="24"/>
          <w:u w:val="single"/>
        </w:rPr>
        <w:t xml:space="preserve">上线</w:t>
      </w:r>
      <w:r>
        <w:rPr>
          <w:rFonts w:ascii="Times New Roman" w:hAnsi="Times New Roman" w:eastAsia="宋体" w:cs="Times New Roman"/>
          <w:i/>
          <w:sz w:val="24"/>
          <w:szCs w:val="24"/>
          <w:u w:val="single"/>
        </w:rPr>
        <w:t xml:space="preserve">运行。</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结算方式：总价合同</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付款方式：</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6.1 </w:t>
      </w:r>
      <w:r>
        <w:rPr>
          <w:rFonts w:ascii="Times New Roman" w:hAnsi="Times New Roman" w:eastAsia="宋体" w:cs="Times New Roman"/>
          <w:i/>
          <w:sz w:val="24"/>
          <w:szCs w:val="24"/>
          <w:u w:val="single"/>
        </w:rPr>
        <w:t xml:space="preserve">合同签订后七个工作日内，采购人向中标人支付合同预付款，金额为合同总价的</w:t>
      </w:r>
      <w:r>
        <w:rPr>
          <w:rFonts w:ascii="Times New Roman" w:hAnsi="Times New Roman" w:eastAsia="宋体" w:cs="Times New Roman"/>
          <w:i/>
          <w:sz w:val="24"/>
          <w:szCs w:val="24"/>
          <w:u w:val="single"/>
        </w:rPr>
        <w:t xml:space="preserve">10%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6.2 </w:t>
      </w:r>
      <w:r>
        <w:rPr>
          <w:rFonts w:ascii="Times New Roman" w:hAnsi="Times New Roman" w:eastAsia="宋体" w:cs="Times New Roman"/>
          <w:i/>
          <w:sz w:val="24"/>
          <w:szCs w:val="24"/>
          <w:u w:val="single"/>
        </w:rPr>
        <w:t xml:space="preserve">项目整体试运行</w:t>
      </w:r>
      <w:r>
        <w:rPr>
          <w:rFonts w:hint="eastAsia" w:ascii="Times New Roman" w:hAnsi="Times New Roman" w:eastAsia="宋体" w:cs="Times New Roman"/>
          <w:i/>
          <w:sz w:val="24"/>
          <w:szCs w:val="24"/>
          <w:u w:val="single"/>
        </w:rPr>
        <w:t xml:space="preserve">三</w:t>
      </w:r>
      <w:r>
        <w:rPr>
          <w:rFonts w:ascii="Times New Roman" w:hAnsi="Times New Roman" w:eastAsia="宋体" w:cs="Times New Roman"/>
          <w:i/>
          <w:sz w:val="24"/>
          <w:szCs w:val="24"/>
          <w:u w:val="single"/>
        </w:rPr>
        <w:t xml:space="preserve">个月后，采购人向中标人支付合同总价的</w:t>
      </w:r>
      <w:r>
        <w:rPr>
          <w:rFonts w:ascii="Times New Roman" w:hAnsi="Times New Roman" w:eastAsia="宋体" w:cs="Times New Roman"/>
          <w:i/>
          <w:sz w:val="24"/>
          <w:szCs w:val="24"/>
          <w:u w:val="single"/>
        </w:rPr>
        <w:t xml:space="preserve">20%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6.3 </w:t>
      </w:r>
      <w:r>
        <w:rPr>
          <w:rFonts w:ascii="Times New Roman" w:hAnsi="Times New Roman" w:eastAsia="宋体" w:cs="Times New Roman"/>
          <w:i/>
          <w:sz w:val="24"/>
          <w:szCs w:val="24"/>
          <w:u w:val="single"/>
        </w:rPr>
        <w:t xml:space="preserve">验收通过后一个月内，采购人向中标人支付合同总价的</w:t>
      </w:r>
      <w:r>
        <w:rPr>
          <w:rFonts w:ascii="Times New Roman" w:hAnsi="Times New Roman" w:eastAsia="宋体" w:cs="Times New Roman"/>
          <w:i/>
          <w:sz w:val="24"/>
          <w:szCs w:val="24"/>
          <w:u w:val="single"/>
        </w:rPr>
        <w:t xml:space="preserve">50%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6.4 </w:t>
      </w:r>
      <w:r>
        <w:rPr>
          <w:rFonts w:ascii="Times New Roman" w:hAnsi="Times New Roman" w:eastAsia="宋体" w:cs="Times New Roman"/>
          <w:i/>
          <w:sz w:val="24"/>
          <w:szCs w:val="24"/>
          <w:u w:val="single"/>
        </w:rPr>
        <w:t xml:space="preserve">验收通过满一年后一个月内，无质量、服务问题，采购人向中标人支付合同总价的</w:t>
      </w:r>
      <w:r>
        <w:rPr>
          <w:rFonts w:ascii="Times New Roman" w:hAnsi="Times New Roman" w:eastAsia="宋体" w:cs="Times New Roman"/>
          <w:i/>
          <w:sz w:val="24"/>
          <w:szCs w:val="24"/>
          <w:u w:val="single"/>
        </w:rPr>
        <w:t xml:space="preserve">10%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6.5 </w:t>
      </w:r>
      <w:r>
        <w:rPr>
          <w:rFonts w:ascii="Times New Roman" w:hAnsi="Times New Roman" w:eastAsia="宋体" w:cs="Times New Roman"/>
          <w:i/>
          <w:sz w:val="24"/>
          <w:szCs w:val="24"/>
          <w:u w:val="single"/>
        </w:rPr>
        <w:t xml:space="preserve">验收通过满两年后一个月内，无质量、服务问题，采购人向中标人支付合同总价的</w:t>
      </w:r>
      <w:r>
        <w:rPr>
          <w:rFonts w:ascii="Times New Roman" w:hAnsi="Times New Roman" w:eastAsia="宋体" w:cs="Times New Roman"/>
          <w:i/>
          <w:sz w:val="24"/>
          <w:szCs w:val="24"/>
          <w:u w:val="single"/>
        </w:rPr>
        <w:t xml:space="preserve">10%</w:t>
      </w:r>
      <w:r>
        <w:rPr>
          <w:rFonts w:hint="eastAsia" w:ascii="Times New Roman" w:hAnsi="Times New Roman" w:eastAsia="宋体" w:cs="Times New Roman"/>
          <w:i/>
          <w:sz w:val="24"/>
          <w:szCs w:val="24"/>
          <w:u w:val="single"/>
        </w:rPr>
        <w:t xml:space="preserve">。</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采云迁云后</w:t>
      </w:r>
      <w:r>
        <w:rPr>
          <w:rFonts w:ascii="Times New Roman" w:hAnsi="Times New Roman" w:eastAsia="宋体" w:cs="Times New Roman"/>
          <w:sz w:val="24"/>
          <w:szCs w:val="24"/>
        </w:rPr>
        <w:t xml:space="preserve">可能会出现系统无法访问等突发情况，（</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）如在供应商报名、投标或响应文件上传、投标或响应文件解密、唱标环节中出现系统无法访问的情形，等待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分钟如系统可以修复则继续开展采购活动，否则将通过发布更正公告推迟开标，或者</w:t>
      </w:r>
      <w:r>
        <w:rPr>
          <w:rFonts w:ascii="Times New Roman" w:hAnsi="Times New Roman" w:eastAsia="宋体" w:cs="Times New Roman"/>
          <w:sz w:val="24"/>
          <w:szCs w:val="24"/>
        </w:rPr>
        <w:t xml:space="preserve">发布废标公告</w:t>
      </w:r>
      <w:r>
        <w:rPr>
          <w:rFonts w:ascii="Times New Roman" w:hAnsi="Times New Roman" w:eastAsia="宋体" w:cs="Times New Roman"/>
          <w:sz w:val="24"/>
          <w:szCs w:val="24"/>
        </w:rPr>
        <w:t xml:space="preserve">重新开展采购活动；（</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）如在评审过程中出现系统无法访问的情形，等待</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分钟如系统可以修复则继续开展采购活动，否则将</w:t>
      </w:r>
      <w:r>
        <w:rPr>
          <w:rFonts w:ascii="Times New Roman" w:hAnsi="Times New Roman" w:eastAsia="宋体" w:cs="Times New Roman"/>
          <w:sz w:val="24"/>
          <w:szCs w:val="24"/>
        </w:rPr>
        <w:t xml:space="preserve">发布废标公告</w:t>
      </w:r>
      <w:r>
        <w:rPr>
          <w:rFonts w:ascii="Times New Roman" w:hAnsi="Times New Roman" w:eastAsia="宋体" w:cs="Times New Roman"/>
          <w:sz w:val="24"/>
          <w:szCs w:val="24"/>
        </w:rPr>
        <w:t xml:space="preserve">重新开展采购活动，或者在第二日系统修复后重新从采购评审专家库抽取专家并继续开展评审活动。</w:t>
      </w:r>
      <w:r/>
    </w:p>
    <w:p>
      <w:pPr>
        <w:spacing w:line="440" w:lineRule="exact"/>
        <w:rPr>
          <w:rFonts w:ascii="Times New Roman" w:hAnsi="Times New Roman" w:eastAsia="宋体" w:cs="Times New Roman"/>
          <w:b/>
          <w:bCs/>
          <w:sz w:val="28"/>
          <w:szCs w:val="28"/>
        </w:rPr>
        <w:outlineLvl w:val="1"/>
      </w:pPr>
      <w:r/>
      <w:bookmarkStart w:id="326" w:name="_Toc226731610"/>
      <w:r/>
      <w:bookmarkStart w:id="327" w:name="_Toc227573368"/>
      <w:r>
        <w:rPr>
          <w:rFonts w:hint="eastAsia" w:ascii="Times New Roman" w:hAnsi="Times New Roman" w:eastAsia="宋体" w:cs="Times New Roman"/>
          <w:b/>
          <w:bCs/>
          <w:sz w:val="28"/>
          <w:szCs w:val="28"/>
        </w:rPr>
        <w:t xml:space="preserve">二、项目实施要求：</w:t>
      </w:r>
      <w:bookmarkEnd w:id="326"/>
      <w:r/>
      <w:bookmarkEnd w:id="327"/>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（一）应用系统提升</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1.1.</w:t>
      </w:r>
      <w:r>
        <w:rPr>
          <w:rFonts w:hint="eastAsia" w:ascii="Times New Roman" w:hAnsi="Times New Roman" w:eastAsia="宋体" w:cs="Times New Roman"/>
          <w:b/>
          <w:bCs/>
          <w:sz w:val="24"/>
          <w:szCs w:val="24"/>
        </w:rPr>
        <w:t xml:space="preserve">环境质量升级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环境质量管控升级主要围绕</w:t>
      </w:r>
      <w:r>
        <w:rPr>
          <w:rFonts w:hint="eastAsia" w:ascii="Times New Roman" w:hAnsi="Times New Roman" w:eastAsia="宋体" w:cs="Times New Roman"/>
          <w:i/>
          <w:sz w:val="24"/>
          <w:szCs w:val="24"/>
          <w:u w:val="single"/>
        </w:rPr>
        <w:t xml:space="preserve">园区声</w:t>
      </w:r>
      <w:r>
        <w:rPr>
          <w:rFonts w:hint="eastAsia" w:ascii="Times New Roman" w:hAnsi="Times New Roman" w:eastAsia="宋体" w:cs="Times New Roman"/>
          <w:i/>
          <w:sz w:val="24"/>
          <w:szCs w:val="24"/>
          <w:u w:val="single"/>
        </w:rPr>
        <w:t xml:space="preserve">环境监测、水文监测及气象观测数据的统一接入与分析应用，对环境监测数据进行系统化整合，实现监测数据实时采集、历史数据管理、趋势分析和预警分析等功能，提升园区环境质量动态监测与综合</w:t>
      </w:r>
      <w:r>
        <w:rPr>
          <w:rFonts w:hint="eastAsia" w:ascii="Times New Roman" w:hAnsi="Times New Roman" w:eastAsia="宋体" w:cs="Times New Roman"/>
          <w:i/>
          <w:sz w:val="24"/>
          <w:szCs w:val="24"/>
          <w:u w:val="single"/>
        </w:rPr>
        <w:t xml:space="preserve">研</w:t>
      </w:r>
      <w:r>
        <w:rPr>
          <w:rFonts w:hint="eastAsia" w:ascii="Times New Roman" w:hAnsi="Times New Roman" w:eastAsia="宋体" w:cs="Times New Roman"/>
          <w:i/>
          <w:sz w:val="24"/>
          <w:szCs w:val="24"/>
          <w:u w:val="single"/>
        </w:rPr>
        <w:t xml:space="preserve">判能力。</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）声环境</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根据工业园区声环境监测管理要求和实施开展情况，对有历史监测记录以来的声环境监测点位、频次、监测时间、监测数据等进行统计汇总，列示应执行的标准名称、标准编号和管控限值，具备对既往监测数据进行趋势分析功能。</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同时实现已建成投用的工业园区声环境质量自动监测站点，监测数据接入系统，具备对自动监测数据的实时记录、超标预警预报、既往数据趋势分析等功能。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）同步水文、气象</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工业园区地表水监测站点所在水环境同步开展的水文在线监测，包括但不限于流速、流量、水温等。工业园区空气环境质量监测站点同步开展的气象观测，包括但不限于风速、风向、温度、湿度、气压等。建立园区水文与气象监测数据统一管理应用，实现对水文监测数据和气象观测数据的集中接入、统计分析和趋势</w:t>
      </w:r>
      <w:r>
        <w:rPr>
          <w:rFonts w:hint="eastAsia" w:ascii="Times New Roman" w:hAnsi="Times New Roman" w:eastAsia="宋体" w:cs="Times New Roman"/>
          <w:i/>
          <w:sz w:val="24"/>
          <w:szCs w:val="24"/>
          <w:u w:val="single"/>
        </w:rPr>
        <w:t xml:space="preserve">研</w:t>
      </w:r>
      <w:r>
        <w:rPr>
          <w:rFonts w:hint="eastAsia" w:ascii="Times New Roman" w:hAnsi="Times New Roman" w:eastAsia="宋体" w:cs="Times New Roman"/>
          <w:i/>
          <w:sz w:val="24"/>
          <w:szCs w:val="24"/>
          <w:u w:val="single"/>
        </w:rPr>
        <w:t xml:space="preserve">判，为环境质量分析和污染扩散</w:t>
      </w:r>
      <w:r>
        <w:rPr>
          <w:rFonts w:hint="eastAsia" w:ascii="Times New Roman" w:hAnsi="Times New Roman" w:eastAsia="宋体" w:cs="Times New Roman"/>
          <w:i/>
          <w:sz w:val="24"/>
          <w:szCs w:val="24"/>
          <w:u w:val="single"/>
        </w:rPr>
        <w:t xml:space="preserve">研判提供</w:t>
      </w:r>
      <w:r>
        <w:rPr>
          <w:rFonts w:hint="eastAsia" w:ascii="Times New Roman" w:hAnsi="Times New Roman" w:eastAsia="宋体" w:cs="Times New Roman"/>
          <w:i/>
          <w:sz w:val="24"/>
          <w:szCs w:val="24"/>
          <w:u w:val="single"/>
        </w:rPr>
        <w:t xml:space="preserve">数据支撑。</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1.2.</w:t>
      </w:r>
      <w:r>
        <w:rPr>
          <w:rFonts w:hint="eastAsia" w:ascii="Times New Roman" w:hAnsi="Times New Roman" w:eastAsia="宋体" w:cs="Times New Roman"/>
          <w:b/>
          <w:bCs/>
          <w:sz w:val="24"/>
          <w:szCs w:val="24"/>
        </w:rPr>
        <w:t xml:space="preserve">能源监控升级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能源监控升级主要围绕园区企业能源消耗数据的接入整合、统计分析和监管应用，构建园区能源使用监测与综合分析应用。对纳入重污染天气应急管控清单企业的生产设施和治污设施的用电监控进行集成管理。统计园区企业月度、季度和年度用水量、用电量、用气量、用汽量、用油量等，实现按行业、区域、类别等不同维度汇总分析功能；通过设定预警阈值，实现对能耗使用情况进行预警和预报。</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）园区企业能源（用电）监控数据接入</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实现对园区企业能源使用数据的统一采集与接入，构建园区能源数据基础库，实现对企业生产设施及污染治理设施能源使用情况的实时监测和集中管理，为能源监管和分析应用提供数据基础。</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）能源监控汇总</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对园区企业能源使用情况的多维度统计分析，通过构建能源统计分析模型，对能源消耗情况进行集中展示和趋势分析，支撑园区能源管理决策。</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1.3.</w:t>
      </w:r>
      <w:r>
        <w:rPr>
          <w:rFonts w:hint="eastAsia" w:ascii="Times New Roman" w:hAnsi="Times New Roman" w:eastAsia="宋体" w:cs="Times New Roman"/>
          <w:b/>
          <w:bCs/>
          <w:sz w:val="24"/>
          <w:szCs w:val="24"/>
        </w:rPr>
        <w:t xml:space="preserve">碳排放管理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围绕园区企业碳排放监测、核算和统计分析需求，建设碳排放管理应用，对园区企业碳排放核算数据进行统一汇集、统计与分析，形成园区碳排放数据管理体系。通过对企业碳排放核算结果、行业分布、排放强度以及</w:t>
      </w:r>
      <w:r>
        <w:rPr>
          <w:rFonts w:hint="eastAsia" w:ascii="Times New Roman" w:hAnsi="Times New Roman" w:eastAsia="宋体" w:cs="Times New Roman"/>
          <w:i/>
          <w:sz w:val="24"/>
          <w:szCs w:val="24"/>
          <w:u w:val="single"/>
        </w:rPr>
        <w:t xml:space="preserve">碳减排计划</w:t>
      </w:r>
      <w:r>
        <w:rPr>
          <w:rFonts w:hint="eastAsia" w:ascii="Times New Roman" w:hAnsi="Times New Roman" w:eastAsia="宋体" w:cs="Times New Roman"/>
          <w:i/>
          <w:sz w:val="24"/>
          <w:szCs w:val="24"/>
          <w:u w:val="single"/>
        </w:rPr>
        <w:t xml:space="preserve">等信息进行系统化管理和分析，掌握园区碳排放总体情况和变化趋势，为园区碳排放管理、节能减排以及绿色低碳发展提供数据支撑。</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）企业碳排放核算数据管理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建立企业碳排放核算数据管理模块，对企业碳排放核算结果及相关基础信息进行统一管理，实现企业碳排放数据的规范化归集与集中管理，为园区碳排放统计分析提供数据基础。</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）园区碳排放统计分析</w:t>
      </w:r>
      <w:r/>
    </w:p>
    <w:p>
      <w:pPr>
        <w:ind w:firstLine="480"/>
        <w:spacing w:line="440" w:lineRule="exact"/>
        <w:rPr>
          <w:rFonts w:ascii="宋体" w:hAnsi="宋体" w:eastAsia="宋体" w:cs="宋体"/>
          <w:spacing w:val="8"/>
          <w:sz w:val="24"/>
          <w:szCs w:val="24"/>
        </w:rPr>
      </w:pPr>
      <w:r>
        <w:rPr>
          <w:rFonts w:hint="eastAsia" w:ascii="Times New Roman" w:hAnsi="Times New Roman" w:eastAsia="宋体" w:cs="Times New Roman"/>
          <w:i/>
          <w:sz w:val="24"/>
          <w:szCs w:val="24"/>
          <w:u w:val="single"/>
        </w:rPr>
        <w:t xml:space="preserve">对园区企业碳排放数据进行汇总分析，形成园区碳排放总体情况统计，为园区碳排放管理和低碳发展决策提供数据支撑。</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1.4.</w:t>
      </w:r>
      <w:r>
        <w:rPr>
          <w:rFonts w:hint="eastAsia" w:ascii="Times New Roman" w:hAnsi="Times New Roman" w:eastAsia="宋体" w:cs="Times New Roman"/>
          <w:b/>
          <w:bCs/>
          <w:sz w:val="24"/>
          <w:szCs w:val="24"/>
        </w:rPr>
        <w:t xml:space="preserve">重污染天气应急管理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围绕重污染天气应急响应工作的全过程管理需求，建设园区重污染天气应急管理应用，实现重污染天气应急管理要求一键通知关联企业和接收企业反馈或上传应对措施落实情况等功能。系统化</w:t>
      </w:r>
      <w:r>
        <w:rPr>
          <w:rFonts w:hint="eastAsia" w:ascii="Times New Roman" w:hAnsi="Times New Roman" w:eastAsia="宋体" w:cs="Times New Roman"/>
          <w:i/>
          <w:sz w:val="24"/>
          <w:szCs w:val="24"/>
          <w:u w:val="single"/>
        </w:rPr>
        <w:t xml:space="preserve">记录重</w:t>
      </w:r>
      <w:r>
        <w:rPr>
          <w:rFonts w:hint="eastAsia" w:ascii="Times New Roman" w:hAnsi="Times New Roman" w:eastAsia="宋体" w:cs="Times New Roman"/>
          <w:i/>
          <w:sz w:val="24"/>
          <w:szCs w:val="24"/>
          <w:u w:val="single"/>
        </w:rPr>
        <w:t xml:space="preserve">污染天气应急</w:t>
      </w:r>
      <w:r>
        <w:rPr>
          <w:rFonts w:hint="eastAsia" w:ascii="Times New Roman" w:hAnsi="Times New Roman" w:eastAsia="宋体" w:cs="Times New Roman"/>
          <w:i/>
          <w:sz w:val="24"/>
          <w:szCs w:val="24"/>
          <w:u w:val="single"/>
        </w:rPr>
        <w:t xml:space="preserve">响应全</w:t>
      </w:r>
      <w:r>
        <w:rPr>
          <w:rFonts w:hint="eastAsia" w:ascii="Times New Roman" w:hAnsi="Times New Roman" w:eastAsia="宋体" w:cs="Times New Roman"/>
          <w:i/>
          <w:sz w:val="24"/>
          <w:szCs w:val="24"/>
          <w:u w:val="single"/>
        </w:rPr>
        <w:t xml:space="preserve">过程信息和和开展信息统计，包括但不限于重污染天气应急管理通知、管控周期、企业落实应急管</w:t>
      </w:r>
      <w:r>
        <w:rPr>
          <w:rFonts w:hint="eastAsia" w:ascii="Times New Roman" w:hAnsi="Times New Roman" w:eastAsia="宋体" w:cs="Times New Roman"/>
          <w:i/>
          <w:sz w:val="24"/>
          <w:szCs w:val="24"/>
          <w:u w:val="single"/>
        </w:rPr>
        <w:t xml:space="preserve">控采取</w:t>
      </w:r>
      <w:r>
        <w:rPr>
          <w:rFonts w:hint="eastAsia" w:ascii="Times New Roman" w:hAnsi="Times New Roman" w:eastAsia="宋体" w:cs="Times New Roman"/>
          <w:i/>
          <w:sz w:val="24"/>
          <w:szCs w:val="24"/>
          <w:u w:val="single"/>
        </w:rPr>
        <w:t xml:space="preserve">的措施、未响应或未及时响应的处理结果等。通过提升园区对应急响应工作的组织调度能力与执行监管能力，实现应急措施落实可追溯、响应过程可监管、执行成效可评估。</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）应急预警信息接收与发布</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实现上级重污染天气应急预警信息的统一接收、管理与发布，并将预警信息及时推送至园区相关企业和管理部门，确保应急响应信息快速传达、精准触达。</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）企业应急措施填报与反馈</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实现企业在重污染天气应急响应</w:t>
      </w:r>
      <w:r>
        <w:rPr>
          <w:rFonts w:hint="eastAsia" w:ascii="Times New Roman" w:hAnsi="Times New Roman" w:eastAsia="宋体" w:cs="Times New Roman"/>
          <w:i/>
          <w:sz w:val="24"/>
          <w:szCs w:val="24"/>
          <w:u w:val="single"/>
        </w:rPr>
        <w:t xml:space="preserve">期间对减排</w:t>
      </w:r>
      <w:r>
        <w:rPr>
          <w:rFonts w:hint="eastAsia" w:ascii="Times New Roman" w:hAnsi="Times New Roman" w:eastAsia="宋体" w:cs="Times New Roman"/>
          <w:i/>
          <w:sz w:val="24"/>
          <w:szCs w:val="24"/>
          <w:u w:val="single"/>
        </w:rPr>
        <w:t xml:space="preserve">措施落实情况进行线上填报和反馈，形成企业应急执行情况的动态管理台账。</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）应急响应过程监管</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对重污染天气应急响应期间的企业执行情况进行全过程监管，实现企业执行情况动态跟踪与异常预警。</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）应急响应统计分析</w:t>
      </w:r>
      <w:r/>
    </w:p>
    <w:p>
      <w:pPr>
        <w:ind w:firstLine="480"/>
        <w:spacing w:line="440" w:lineRule="exact"/>
        <w:rPr>
          <w:rFonts w:ascii="宋体" w:hAnsi="宋体" w:eastAsia="宋体" w:cs="宋体"/>
          <w:spacing w:val="8"/>
          <w:sz w:val="24"/>
          <w:szCs w:val="24"/>
        </w:rPr>
      </w:pPr>
      <w:r>
        <w:rPr>
          <w:rFonts w:hint="eastAsia" w:ascii="Times New Roman" w:hAnsi="Times New Roman" w:eastAsia="宋体" w:cs="Times New Roman"/>
          <w:i/>
          <w:sz w:val="24"/>
          <w:szCs w:val="24"/>
          <w:u w:val="single"/>
        </w:rPr>
        <w:t xml:space="preserve">对重污染天气应急</w:t>
      </w:r>
      <w:r>
        <w:rPr>
          <w:rFonts w:hint="eastAsia" w:ascii="Times New Roman" w:hAnsi="Times New Roman" w:eastAsia="宋体" w:cs="Times New Roman"/>
          <w:i/>
          <w:sz w:val="24"/>
          <w:szCs w:val="24"/>
          <w:u w:val="single"/>
        </w:rPr>
        <w:t xml:space="preserve">响应全</w:t>
      </w:r>
      <w:r>
        <w:rPr>
          <w:rFonts w:hint="eastAsia" w:ascii="Times New Roman" w:hAnsi="Times New Roman" w:eastAsia="宋体" w:cs="Times New Roman"/>
          <w:i/>
          <w:sz w:val="24"/>
          <w:szCs w:val="24"/>
          <w:u w:val="single"/>
        </w:rPr>
        <w:t xml:space="preserve">过程数据进行统计分析，为应急响应效果评估和管理决策提供数据支撑。</w:t>
      </w:r>
      <w:r/>
    </w:p>
    <w:p>
      <w:pPr>
        <w:ind w:firstLine="482"/>
        <w:spacing w:line="440" w:lineRule="exact"/>
        <w:rPr>
          <w:rFonts w:ascii="Times New Roman" w:hAnsi="Times New Roman" w:eastAsia="宋体" w:cs="Times New Roman"/>
          <w:b/>
          <w:bCs/>
          <w:i/>
          <w:sz w:val="24"/>
          <w:szCs w:val="24"/>
          <w:u w:val="single"/>
        </w:rPr>
      </w:pPr>
      <w:r>
        <w:rPr>
          <w:rFonts w:hint="eastAsia" w:ascii="Times New Roman" w:hAnsi="Times New Roman" w:eastAsia="宋体" w:cs="Times New Roman"/>
          <w:b/>
          <w:bCs/>
          <w:i/>
          <w:sz w:val="24"/>
          <w:szCs w:val="24"/>
          <w:u w:val="single"/>
        </w:rPr>
        <w:t xml:space="preserve">1.5.</w:t>
      </w:r>
      <w:r>
        <w:rPr>
          <w:rFonts w:hint="eastAsia" w:ascii="Times New Roman" w:hAnsi="Times New Roman" w:eastAsia="宋体" w:cs="Times New Roman"/>
          <w:b/>
          <w:bCs/>
          <w:i/>
          <w:sz w:val="24"/>
          <w:szCs w:val="24"/>
          <w:u w:val="single"/>
        </w:rPr>
        <w:t xml:space="preserve">企业环境风险管理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围绕园区企业环境风险源管理需求，建立企业环境风险信息档案管理应用，对企业环境风险统一管理，涵盖包括但不限于企业名称、危险化学品重大危险源类型、重大危险源级别、是否编制应急预案并备案，是否按照要求进行演练和总结，是否按照要求开展突发环境事件隐患排查治理，是否完善突发环境事件风险防控措施，企业环境风险等级、企业应急物资名称和数量等。实现企业环境风险信息可查询、可分析、可监管。</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）企业风险源信息管理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对园区企业涉及的危险化学品重大危险</w:t>
      </w:r>
      <w:r>
        <w:rPr>
          <w:rFonts w:hint="eastAsia" w:ascii="Times New Roman" w:hAnsi="Times New Roman" w:eastAsia="宋体" w:cs="Times New Roman"/>
          <w:i/>
          <w:sz w:val="24"/>
          <w:szCs w:val="24"/>
          <w:u w:val="single"/>
        </w:rPr>
        <w:t xml:space="preserve">源信息</w:t>
      </w:r>
      <w:r>
        <w:rPr>
          <w:rFonts w:hint="eastAsia" w:ascii="Times New Roman" w:hAnsi="Times New Roman" w:eastAsia="宋体" w:cs="Times New Roman"/>
          <w:i/>
          <w:sz w:val="24"/>
          <w:szCs w:val="24"/>
          <w:u w:val="single"/>
        </w:rPr>
        <w:t xml:space="preserve">进行统一登记和管理，包括重大危险源类型、危险物质名称、储存量、危险源级别以及分布位置等信息，实现企业风险</w:t>
      </w:r>
      <w:r>
        <w:rPr>
          <w:rFonts w:hint="eastAsia" w:ascii="Times New Roman" w:hAnsi="Times New Roman" w:eastAsia="宋体" w:cs="Times New Roman"/>
          <w:i/>
          <w:sz w:val="24"/>
          <w:szCs w:val="24"/>
          <w:u w:val="single"/>
        </w:rPr>
        <w:t xml:space="preserve">源信息</w:t>
      </w:r>
      <w:r>
        <w:rPr>
          <w:rFonts w:hint="eastAsia" w:ascii="Times New Roman" w:hAnsi="Times New Roman" w:eastAsia="宋体" w:cs="Times New Roman"/>
          <w:i/>
          <w:sz w:val="24"/>
          <w:szCs w:val="24"/>
          <w:u w:val="single"/>
        </w:rPr>
        <w:t xml:space="preserve">的结构化管理，并支持相关证明材料或附件上传。</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）企业风险等级管理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对企业环境风险等级进行登记和维护，记录企业环境风险等级划分情况及评估依据，支持对不同风险等级企业进行分类管理，并可按照风险等级进行统计分析，辅助管理人员识别园区重点风险企业。</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）企业风险档案维护</w:t>
      </w:r>
      <w:r/>
    </w:p>
    <w:p>
      <w:pPr>
        <w:ind w:firstLine="480"/>
        <w:spacing w:line="440" w:lineRule="exact"/>
        <w:rPr>
          <w:rFonts w:ascii="宋体" w:hAnsi="宋体" w:eastAsia="宋体" w:cs="宋体"/>
          <w:i/>
          <w:spacing w:val="8"/>
          <w:sz w:val="24"/>
          <w:szCs w:val="24"/>
          <w:u w:val="single"/>
        </w:rPr>
      </w:pPr>
      <w:r>
        <w:rPr>
          <w:rFonts w:hint="eastAsia" w:ascii="Times New Roman" w:hAnsi="Times New Roman" w:eastAsia="宋体" w:cs="Times New Roman"/>
          <w:i/>
          <w:sz w:val="24"/>
          <w:szCs w:val="24"/>
          <w:u w:val="single"/>
        </w:rPr>
        <w:t xml:space="preserve">建立企业环境风险档案，对企业环境风险相关信息进行统一管理，包括风险源信息、风险等级、风险防控措施等内容，支持档案信息的动态更新与历史记录留存，实现企业风险信息全过程可追溯。</w:t>
      </w:r>
      <w:r/>
    </w:p>
    <w:p>
      <w:pPr>
        <w:ind w:firstLine="482"/>
        <w:spacing w:line="440" w:lineRule="exact"/>
        <w:rPr>
          <w:rFonts w:ascii="Times New Roman" w:hAnsi="Times New Roman" w:eastAsia="宋体" w:cs="Times New Roman"/>
          <w:b/>
          <w:bCs/>
          <w:i/>
          <w:sz w:val="24"/>
          <w:szCs w:val="24"/>
          <w:u w:val="single"/>
        </w:rPr>
      </w:pPr>
      <w:r>
        <w:rPr>
          <w:rFonts w:hint="eastAsia" w:ascii="Times New Roman" w:hAnsi="Times New Roman" w:eastAsia="宋体" w:cs="Times New Roman"/>
          <w:b/>
          <w:bCs/>
          <w:i/>
          <w:sz w:val="24"/>
          <w:szCs w:val="24"/>
          <w:u w:val="single"/>
        </w:rPr>
        <w:t xml:space="preserve">1.6.</w:t>
      </w:r>
      <w:r>
        <w:rPr>
          <w:rFonts w:hint="eastAsia" w:ascii="Times New Roman" w:hAnsi="Times New Roman" w:eastAsia="宋体" w:cs="Times New Roman"/>
          <w:b/>
          <w:bCs/>
          <w:i/>
          <w:sz w:val="24"/>
          <w:szCs w:val="24"/>
          <w:u w:val="single"/>
        </w:rPr>
        <w:t xml:space="preserve">园区应急管理升级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围绕园区突发环境事件应急管理需求，构建园区环境风险应急管理应用，对园区环境风险源、应急物资、应急队伍以及应急处置体系等信息进行统一管理，实现园区环境风险防控与应急处置能力的数字化支撑。</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涵盖环境风险应急预案、环境风险评估、突发环境事件隐患排查治理、应急物资储备及应急处置救援体系建设等情况。</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）园区环境风险基础信息管理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对园区环境风险基础信息进行统一管理，包括园区环境风险等级、主要环境风险源以及风险防控相关基础数据，形成园区环境风险信息底图，为环境风险</w:t>
      </w:r>
      <w:r>
        <w:rPr>
          <w:rFonts w:hint="eastAsia" w:ascii="Times New Roman" w:hAnsi="Times New Roman" w:eastAsia="宋体" w:cs="Times New Roman"/>
          <w:i/>
          <w:sz w:val="24"/>
          <w:szCs w:val="24"/>
          <w:u w:val="single"/>
        </w:rPr>
        <w:t xml:space="preserve">研</w:t>
      </w:r>
      <w:r>
        <w:rPr>
          <w:rFonts w:hint="eastAsia" w:ascii="Times New Roman" w:hAnsi="Times New Roman" w:eastAsia="宋体" w:cs="Times New Roman"/>
          <w:i/>
          <w:sz w:val="24"/>
          <w:szCs w:val="24"/>
          <w:u w:val="single"/>
        </w:rPr>
        <w:t xml:space="preserve">判与应急处置提供基础支撑。</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）园区应急物资与应急设施管理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对园区应急物资储备和应急设施建设情况进行统一管理，掌握园区应急资源配置情况，为突发环境事件应急处置提供资源保障。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）园区应急队伍与指挥体系管理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建立园区应急队伍和应急指挥体系管理模块，对应急救援组织架构、人员配置以及指挥体系进行信息化管理，保障突发事件发生时应急力量能够快速响应。</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）环境风险隐患排查与治理管理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对园区企业开展的突发环境事件风险隐患排查及治理情况进行统一管理，形成隐患排查</w:t>
      </w:r>
      <w:r>
        <w:rPr>
          <w:rFonts w:hint="eastAsia" w:ascii="Times New Roman" w:hAnsi="Times New Roman" w:eastAsia="宋体" w:cs="Times New Roman"/>
          <w:i/>
          <w:sz w:val="24"/>
          <w:szCs w:val="24"/>
          <w:u w:val="single"/>
        </w:rPr>
        <w:t xml:space="preserve">治理台</w:t>
      </w:r>
      <w:r>
        <w:rPr>
          <w:rFonts w:hint="eastAsia" w:ascii="Times New Roman" w:hAnsi="Times New Roman" w:eastAsia="宋体" w:cs="Times New Roman"/>
          <w:i/>
          <w:sz w:val="24"/>
          <w:szCs w:val="24"/>
          <w:u w:val="single"/>
        </w:rPr>
        <w:t xml:space="preserve">账，实现隐患问题发现、整改和闭环管理。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）应急演练与应急事件案例管理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对园区开展的环境应急演练及历史突发环境事件处置情况进行统一管理，形成应急处置经验库，为园区应急能力提升提供参考。</w:t>
      </w:r>
      <w:r/>
    </w:p>
    <w:p>
      <w:pPr>
        <w:ind w:firstLine="482"/>
        <w:spacing w:line="440" w:lineRule="exact"/>
        <w:rPr>
          <w:rFonts w:ascii="Times New Roman" w:hAnsi="Times New Roman" w:eastAsia="宋体" w:cs="Times New Roman"/>
          <w:b/>
          <w:bCs/>
          <w:i/>
          <w:sz w:val="24"/>
          <w:szCs w:val="24"/>
          <w:u w:val="single"/>
        </w:rPr>
      </w:pPr>
      <w:r>
        <w:rPr>
          <w:rFonts w:hint="eastAsia" w:ascii="Times New Roman" w:hAnsi="Times New Roman" w:eastAsia="宋体" w:cs="Times New Roman"/>
          <w:b/>
          <w:bCs/>
          <w:i/>
          <w:sz w:val="24"/>
          <w:szCs w:val="24"/>
          <w:u w:val="single"/>
        </w:rPr>
        <w:t xml:space="preserve">1.7.</w:t>
      </w:r>
      <w:r>
        <w:rPr>
          <w:rFonts w:hint="eastAsia" w:ascii="Times New Roman" w:hAnsi="Times New Roman" w:eastAsia="宋体" w:cs="Times New Roman"/>
          <w:b/>
          <w:bCs/>
          <w:i/>
          <w:sz w:val="24"/>
          <w:szCs w:val="24"/>
          <w:u w:val="single"/>
        </w:rPr>
        <w:t xml:space="preserve">综合报表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围绕园区生态环境数据统计分析和信息汇总需求，建设综合报表管理模块，对园区环境质量监测数据、污染源监控数据、企业管理数据及应急管理数据等信息进行统一统计和分析。可自动生成各类规范报表，包括日报、周报、月报、季报、年报、超标报表、断线报表等。支持各类数据的横向和纵向自定义统计和分析功能，能根据需求生成关联报表和分析附件，具备报表打印、导出、查询、编辑等功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）多周期报表自动生成</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系统支持按照日报、周报、月报、季报和年报等周期自动生成各类统计报表，满足不同管理需求。</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）自定义统计分析报表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支持根据用户需求自定义统计维度，对不同数据进行横向或纵向统计分析，并生成个性化报表。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）报表查询与导出管理</w:t>
      </w:r>
      <w:r/>
    </w:p>
    <w:p>
      <w:pPr>
        <w:ind w:firstLine="480"/>
        <w:spacing w:line="440" w:lineRule="exact"/>
        <w:rPr>
          <w:rFonts w:ascii="宋体" w:hAnsi="宋体" w:eastAsia="宋体" w:cs="宋体"/>
          <w:spacing w:val="8"/>
          <w:sz w:val="24"/>
          <w:szCs w:val="24"/>
        </w:rPr>
      </w:pPr>
      <w:r>
        <w:rPr>
          <w:rFonts w:hint="eastAsia" w:ascii="Times New Roman" w:hAnsi="Times New Roman" w:eastAsia="宋体" w:cs="Times New Roman"/>
          <w:sz w:val="24"/>
          <w:szCs w:val="24"/>
        </w:rPr>
        <w:t xml:space="preserve">支持对系统生成的报表进行查询、打印和导出，并支持多种文件格式输出，方便数据共享与汇报使用。</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1.8.</w:t>
      </w:r>
      <w:r>
        <w:rPr>
          <w:rFonts w:hint="eastAsia" w:ascii="Times New Roman" w:hAnsi="Times New Roman" w:eastAsia="宋体" w:cs="Times New Roman"/>
          <w:b/>
          <w:bCs/>
          <w:sz w:val="24"/>
          <w:szCs w:val="24"/>
        </w:rPr>
        <w:t xml:space="preserve">移动应用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移动应用模块围绕园区生态环境移动监管需求，建设智慧园区移动端应用，实现园区环境质量信息、污染源监控预警信息以及企业环境管理档案等数据的移动端获取与查询，并支持数据填报、信息反馈等数据交互功能。通过移动端与智慧园区平台的协同联动，使园区管理人员能够在移动场景下实时获取园区生态环境运行信息，开展现场监管和信息反馈，提高园区生态环境监管工作的及时性和便捷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）环境监控信息移动查看</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提供园区环境质量监测数据及污染源监控信息的移动端查看功能，使管理人员能够随时掌握园区环境运行情况。</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）污染源监控预警信息查看</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i/>
          <w:sz w:val="24"/>
          <w:szCs w:val="24"/>
          <w:u w:val="single"/>
        </w:rPr>
        <w:t xml:space="preserve">移动应用提供污染源监控及预警信息展示功能，使管理人员能够及时掌握园区企业污染排放及预警情况。</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）企业环境管理档案查询</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提供企业生态环境管理信息的移动端查询功能，便于管理人员在现场了解企业相关环境管理情况。</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）移动信息</w:t>
      </w:r>
      <w:r>
        <w:rPr>
          <w:rFonts w:hint="eastAsia" w:ascii="Times New Roman" w:hAnsi="Times New Roman" w:eastAsia="宋体" w:cs="Times New Roman"/>
          <w:i/>
          <w:sz w:val="24"/>
          <w:szCs w:val="24"/>
          <w:u w:val="single"/>
        </w:rPr>
        <w:t xml:space="preserve">交互与</w:t>
      </w:r>
      <w:r>
        <w:rPr>
          <w:rFonts w:hint="eastAsia" w:ascii="Times New Roman" w:hAnsi="Times New Roman" w:eastAsia="宋体" w:cs="Times New Roman"/>
          <w:i/>
          <w:sz w:val="24"/>
          <w:szCs w:val="24"/>
          <w:u w:val="single"/>
        </w:rPr>
        <w:t xml:space="preserve">反馈</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建立移动端与智慧园区平台的信息交互机制，实现移动</w:t>
      </w:r>
      <w:r>
        <w:rPr>
          <w:rFonts w:hint="eastAsia" w:ascii="Times New Roman" w:hAnsi="Times New Roman" w:eastAsia="宋体" w:cs="Times New Roman"/>
          <w:i/>
          <w:sz w:val="24"/>
          <w:szCs w:val="24"/>
          <w:u w:val="single"/>
        </w:rPr>
        <w:t xml:space="preserve">端数据</w:t>
      </w:r>
      <w:r>
        <w:rPr>
          <w:rFonts w:hint="eastAsia" w:ascii="Times New Roman" w:hAnsi="Times New Roman" w:eastAsia="宋体" w:cs="Times New Roman"/>
          <w:i/>
          <w:sz w:val="24"/>
          <w:szCs w:val="24"/>
          <w:u w:val="single"/>
        </w:rPr>
        <w:t xml:space="preserve">填报和信息反馈功能，提高业务协同效率。</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系统可通过移动端向用户推送系统通知、预警信息及业务提醒，确保相关人员能够及时获取重要信息。</w:t>
      </w:r>
      <w:r/>
    </w:p>
    <w:p>
      <w:pPr>
        <w:ind w:firstLine="482"/>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b/>
          <w:bCs/>
          <w:sz w:val="24"/>
          <w:szCs w:val="24"/>
        </w:rPr>
        <w:t xml:space="preserve">1.9.</w:t>
      </w:r>
      <w:r>
        <w:rPr>
          <w:rFonts w:hint="eastAsia" w:ascii="Times New Roman" w:hAnsi="Times New Roman" w:eastAsia="宋体" w:cs="Times New Roman"/>
          <w:b/>
          <w:bCs/>
          <w:sz w:val="24"/>
          <w:szCs w:val="24"/>
        </w:rPr>
        <w:t xml:space="preserve">安全应用升级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对标《江苏省化工园区安全风险数字化监管平台数据交换规范》要求并结合安全管控需求，对安全监管板块安全基础管理、重大危险源安全管理、双重预防机制、特殊作业、人员定位等模块进行升级。旨在通过对接收集化工园区智慧园区平台的运行数据，全面掌握园区化工（危化品）企业和化工园区安全风险、安全生产运行状态，提高企业、园区安全管理水平和部门监管质效。</w:t>
      </w:r>
      <w:r/>
    </w:p>
    <w:p>
      <w:pPr>
        <w:ind w:firstLine="480"/>
        <w:spacing w:line="440" w:lineRule="exact"/>
        <w:rPr>
          <w:rFonts w:ascii="Times New Roman" w:hAnsi="Times New Roman" w:eastAsia="宋体" w:cs="Times New Roman"/>
          <w:i/>
          <w:sz w:val="24"/>
          <w:szCs w:val="24"/>
          <w:u w:val="single"/>
        </w:rPr>
      </w:pPr>
      <w:r/>
      <w:bookmarkStart w:id="328" w:name="_Toc9995"/>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）安全基础管理</w:t>
      </w:r>
      <w:bookmarkEnd w:id="328"/>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）园区基础信息</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园区基础信息模块要求进行模块完善。可实现以上模块数据表管理及维护功能，支持多维度统计分析。同时需要对园区基本信息、园区管理机构信息、园区禁限控目录、园区安全管理制度基本信息等模块进行升级，补充相应字段，完成数据汇集工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）企业基础信息</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w:t>
      </w:r>
      <w:r>
        <w:rPr>
          <w:rFonts w:hint="eastAsia" w:ascii="Times New Roman" w:hAnsi="Times New Roman" w:eastAsia="宋体" w:cs="Times New Roman"/>
          <w:i/>
          <w:sz w:val="24"/>
          <w:szCs w:val="24"/>
          <w:u w:val="single"/>
        </w:rPr>
        <w:t xml:space="preserve">照《江苏省化工园区安全风险数字化监管平台数据交换规范》中园区基础信息模块要求进行模块完善。可提供以上模块的数据接收接口，同步改造五位一体平台增加相应模块，完成数据推送工作，实现以上模块数据的展示及汇总统计。同时需要对企业基本信息、企业资质证照信息、企业危险源信息、重点监管化工工艺信息、企业危险化学品信息、企业“三同时”项目信息、企业设备设施基础信息、储罐拓展信息、仓库拓展信息、企业事故事件信息、企业评估报告基本信息、安全评估报告拓展信息、等级报告拓展信息等模块进行升级，补充相应字段，完成数据推送及展示工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）人员基本信息</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人员基本信息模块要求，需要对人员基本信息、人员资质证照信息、企业安全教育培训信息、企业人员安全教育培训信息等模块进行升级，补充相应字段，完成数据推送及展示工作。可对将园区管理人员、企业员工、</w:t>
      </w:r>
      <w:r>
        <w:rPr>
          <w:rFonts w:hint="eastAsia" w:ascii="Times New Roman" w:hAnsi="Times New Roman" w:eastAsia="宋体" w:cs="Times New Roman"/>
          <w:i/>
          <w:sz w:val="24"/>
          <w:szCs w:val="24"/>
          <w:u w:val="single"/>
        </w:rPr>
        <w:t xml:space="preserve">外来第三</w:t>
      </w:r>
      <w:r>
        <w:rPr>
          <w:rFonts w:hint="eastAsia" w:ascii="Times New Roman" w:hAnsi="Times New Roman" w:eastAsia="宋体" w:cs="Times New Roman"/>
          <w:i/>
          <w:sz w:val="24"/>
          <w:szCs w:val="24"/>
          <w:u w:val="single"/>
        </w:rPr>
        <w:t xml:space="preserve">方人员信息关联各相关模块进行调取校验，确认人员唯一性。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）装置开停车和大检修管理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按照《江苏省化工园区安全风险数字化监管平台数据交换规范》中人员基本信息模块要求，需要对装置开停车管理和大检修管理进行升级改造，补充相应字段，完成数据推送及展示工作。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）第三方单位信息</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第三方单位信息模块要求，需要对第三方单位基本信息、第三方单位资质证照信息、第三方单位人员信息、第三方单位人员资质证照信息、第三方单位安全教育培训记录、第三方单位服务记录信息、第三方单位人员服务记录、第三方单位违规记录信息等模块行升级改造，补充相应字段，完成数据推送及展示工作。第三方单位人员信息可与人员基本信息模块进行关联。</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）值班值守管理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中值班值守管理模块要求，需要对值班值守管理模块行升级改造，补充相应字段，完成数据推送及展示工作。值班人员关联人员基础信息表进行选择。</w:t>
      </w:r>
      <w:r/>
    </w:p>
    <w:p>
      <w:pPr>
        <w:ind w:firstLine="480"/>
        <w:spacing w:line="440" w:lineRule="exact"/>
        <w:rPr>
          <w:rFonts w:ascii="Times New Roman" w:hAnsi="Times New Roman" w:eastAsia="宋体" w:cs="Times New Roman"/>
          <w:i/>
          <w:sz w:val="24"/>
          <w:szCs w:val="24"/>
          <w:u w:val="single"/>
        </w:rPr>
      </w:pPr>
      <w:r/>
      <w:bookmarkStart w:id="329" w:name="_Toc30906"/>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）重大危险源安全管理</w:t>
      </w:r>
      <w:bookmarkEnd w:id="329"/>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）重大危险源在线监测及预警</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要求需新增重大危险源视频预警闭环处置信息管理模块，完成新数据表建设，数据推送及展示工作。可实现重大危险源视频智能识别的异常报警、推送、处置、消警的闭环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）重大风险管控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要求需新增重大风险预警闭环处置管理及警示通报信息模块，完成新数据表建设，实现数据的推送及展示工作。构建风险预警模型，根据预警级别自动完成预警信息处置，预警发送可采用警示通报方式，发送预警事件、警示通报内容，企业接收后进行预警原因及处置措施反馈。</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）评估</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评价管理及隐患管理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按照《江苏省化工园区安全风险数字化监管平台数据交换规范》要求需升级重大危险</w:t>
      </w:r>
      <w:r>
        <w:rPr>
          <w:rFonts w:hint="eastAsia" w:ascii="Times New Roman" w:hAnsi="Times New Roman" w:eastAsia="宋体" w:cs="Times New Roman"/>
          <w:i/>
          <w:sz w:val="24"/>
          <w:szCs w:val="24"/>
          <w:u w:val="single"/>
        </w:rPr>
        <w:t xml:space="preserve">源评价</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评估报告基本信息等模块，评价</w:t>
      </w: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评估报告汇总统计各企业评价评估报告上传情况，升级编制单位资质序列、编制单位资质等级、编制单位行业划分等相关字段。新增“三录入”检查任务信息、“三录入”检查项信息、“三录入”检查项评分细则信息、“三录入”隐患信息、“三录入”企业状态信息模块，实现数据的推送及展示工作。</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）专项检查管理</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可查看上级应急管理部门下发至园区企业各类安全风险隐患排查记录，如危险化学品重大危险源企业安全专项检查督导、部级专家指导服务、企业季节性排查、重点时段及节假日前排查等检查，查看相应企业隐患整改记录，可实现重大隐患及逾期未整改隐患预警提醒。</w:t>
      </w:r>
      <w:r/>
    </w:p>
    <w:p>
      <w:pPr>
        <w:ind w:firstLine="480"/>
        <w:spacing w:line="440" w:lineRule="exact"/>
        <w:rPr>
          <w:rFonts w:ascii="Times New Roman" w:hAnsi="Times New Roman" w:eastAsia="宋体" w:cs="Times New Roman"/>
          <w:i/>
          <w:sz w:val="24"/>
          <w:szCs w:val="24"/>
          <w:u w:val="single"/>
        </w:rPr>
      </w:pPr>
      <w:r/>
      <w:bookmarkStart w:id="330" w:name="_Toc3862"/>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）双重预防机制</w:t>
      </w:r>
      <w:bookmarkEnd w:id="330"/>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按照《江苏省化工（危化品）企业“五位一体”平台每日安全承诺公告数据对接标准》要求，新增安全风险承诺模块，接收园区化工企业每日安全风险承诺数据，可统计每日企业安全风险承诺率，针对未及时承诺企业进行预警提醒。</w:t>
      </w:r>
      <w:r/>
    </w:p>
    <w:p>
      <w:pPr>
        <w:ind w:firstLine="480"/>
        <w:spacing w:line="440" w:lineRule="exact"/>
        <w:rPr>
          <w:rFonts w:ascii="Times New Roman" w:hAnsi="Times New Roman" w:eastAsia="宋体" w:cs="Times New Roman"/>
          <w:i/>
          <w:sz w:val="24"/>
          <w:szCs w:val="24"/>
          <w:u w:val="single"/>
        </w:rPr>
      </w:pPr>
      <w:r/>
      <w:bookmarkStart w:id="331" w:name="_Toc17589"/>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）特殊作业管理</w:t>
      </w:r>
      <w:bookmarkEnd w:id="331"/>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建立特殊作业评分模型，对电子作业票进行结构化解析与多维度评分，能够对园区企业上报的特殊作业进行评测，覆盖申请、审批、验收全流程，支持自动打分、扣分分析、否决项识别，并将评分结果较差的企业推送预警信息。</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2.0.</w:t>
      </w:r>
      <w:r>
        <w:rPr>
          <w:rFonts w:hint="eastAsia" w:ascii="Times New Roman" w:hAnsi="Times New Roman" w:eastAsia="宋体" w:cs="Times New Roman"/>
          <w:b/>
          <w:bCs/>
          <w:sz w:val="24"/>
          <w:szCs w:val="24"/>
        </w:rPr>
        <w:t xml:space="preserve">人员定位监管升级</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人员定位监管是提升园区安全生产精细化水平的重要手段。针对化工企业人员流动性大、监管难度高的特点，本模块旨在建立覆盖园区所有化工企业的人员定位监管体系，实现人员位置实时可视、风险行为智能预警、报警事件闭环处置，全面提升园区对在岗人员的安全管控能力。</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）人员基础信息管理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建立统一的化工企业人员信息库，涵盖员工、承包商、访客等全部人员类别。信息库支持按企业、人员类别、岗位类型等多维度查询统计，为后续定位监管与预警分析提供准确的基础数据支撑。</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）区域边界信息管理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建立园区化工企业人员定位电子围栏信息表，明确各企业的重点管控区域、限制进入区域、高风险作业区域等边界范围。基于地理信息系统，在电子地图上可视化展示各类区域边界，支持按区域类型、所属企业等条件进行快速查询与定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）人员实时定位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基于电子地图，实时展示园区各企业人员的动态分布情况，支持人员位置的实时刷新与历史轨迹回放。系统自动汇总统计各企业在岗人员总数，并按员工、承包商、访客等类别进行分类统计，实现园区人员在岗情况的“一图感知、一目了然”。</w:t>
      </w:r>
      <w:r>
        <w:rPr>
          <w:rFonts w:hint="eastAsia" w:ascii="Times New Roman" w:hAnsi="Times New Roman" w:eastAsia="宋体" w:cs="Times New Roman"/>
          <w:sz w:val="24"/>
          <w:szCs w:val="24"/>
        </w:rPr>
        <w:t xml:space="preserve"> </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）人员聚集预警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基于实时定位数据，系统自动监测各区域的人员密度变化。当某一区域内人员数量超过预设阈值时，触发人员聚集预警，在电子地图上高亮显示聚集区域范围。监管人员可点击查看聚集区域的人员列表，快速了解聚集人员构成，为及时疏导与风险处置提供依据。</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）人员报警信息管理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系统统一汇聚展示园区企业人员相关的各类报警记录，包括人员越界报警、区域闯入报警、滞留超时报警、聚集报警等不同类型。支持按报警类型、发生时间、处置状态等多维度进行统计分析，并提供报警受理、任务派发、处置反馈、归档结案的完整闭环管理流程。</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）数据对接</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制定园区人员定位数据对接规范与标准化数据接口，接收各化工企业人员定位系统上传的人员基础信息、区域边界数据、实时定位数据、报警信息等。通过统一的数据接入，将企业级定位数据集成至园区业务平台，实现园区层面的集中监管与可视化展示。</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2.1.</w:t>
      </w:r>
      <w:r>
        <w:rPr>
          <w:rFonts w:hint="eastAsia" w:ascii="Times New Roman" w:hAnsi="Times New Roman" w:eastAsia="宋体" w:cs="Times New Roman"/>
          <w:b/>
          <w:bCs/>
          <w:sz w:val="24"/>
          <w:szCs w:val="24"/>
        </w:rPr>
        <w:t xml:space="preserve">网格化巡查升级</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在现有网格化巡查的基础上，需建立隐患分类功能，如工艺、仪表、设备、设计、管理等不同类型。支持对隐患按照时间、类型、闭环状态、企业等多维度统计分析，并形成企业的隐患画像。</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2.2.</w:t>
      </w:r>
      <w:r>
        <w:rPr>
          <w:rFonts w:hint="eastAsia" w:ascii="Times New Roman" w:hAnsi="Times New Roman" w:eastAsia="宋体" w:cs="Times New Roman"/>
          <w:b/>
          <w:bCs/>
          <w:sz w:val="24"/>
          <w:szCs w:val="24"/>
        </w:rPr>
        <w:t xml:space="preserve">产业管理应用</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）产业基础服务</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sz w:val="24"/>
          <w:szCs w:val="24"/>
        </w:rPr>
        <w:t xml:space="preserve">实现对园区企业经济运行数据的统一采集，包括开票、研发投入、产值、</w:t>
      </w:r>
      <w:r>
        <w:rPr>
          <w:rFonts w:hint="eastAsia" w:ascii="Times New Roman" w:hAnsi="Times New Roman" w:eastAsia="宋体" w:cs="Times New Roman"/>
          <w:sz w:val="24"/>
          <w:szCs w:val="24"/>
        </w:rPr>
        <w:t xml:space="preserve">研发占</w:t>
      </w:r>
      <w:r>
        <w:rPr>
          <w:rFonts w:hint="eastAsia" w:ascii="Times New Roman" w:hAnsi="Times New Roman" w:eastAsia="宋体" w:cs="Times New Roman"/>
          <w:sz w:val="24"/>
          <w:szCs w:val="24"/>
        </w:rPr>
        <w:t xml:space="preserve">比、亩均产值等，构建园区经济运行数据基础库，支持按照时间、企业等统计分析，通过构建工业企业资源集约利用综合评价计算方式，实现对区内化工企业的综合评价排名功能。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）产业链分析</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实现对园区企业主要原材料、副产品、产品等相关数据的统一采集，包括主要原材料价格、单一产品产值、产品价格等，构建园区数据基础库，通过构建企业画像模型，对区内化工企业生产运行情况进行集中展示和优良性分析，支撑园区产业管理决策。</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2.3.</w:t>
      </w:r>
      <w:r>
        <w:rPr>
          <w:rFonts w:hint="eastAsia" w:ascii="Times New Roman" w:hAnsi="Times New Roman" w:eastAsia="宋体" w:cs="Times New Roman"/>
          <w:b/>
          <w:bCs/>
          <w:sz w:val="24"/>
          <w:szCs w:val="24"/>
        </w:rPr>
        <w:t xml:space="preserve">易燃易爆有毒有害气体监测</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按照《江苏省化工园区安全风险数字化监管平台数据交换规范》要求需建设易燃易爆有毒有害气体泄漏监测预警功能，实现监测数据的实时推送及展示工作。配套在园区部署</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套气云成像设备，实现对挥发性气体泄漏情况的远程监测与可视化识别。气云成像设备可对空气中挥发性有机物（</w:t>
      </w:r>
      <w:r>
        <w:rPr>
          <w:rFonts w:hint="eastAsia" w:ascii="Times New Roman" w:hAnsi="Times New Roman" w:eastAsia="宋体" w:cs="Times New Roman"/>
          <w:sz w:val="24"/>
          <w:szCs w:val="24"/>
        </w:rPr>
        <w:t xml:space="preserve">VOCs</w:t>
      </w:r>
      <w:r>
        <w:rPr>
          <w:rFonts w:hint="eastAsia" w:ascii="Times New Roman" w:hAnsi="Times New Roman" w:eastAsia="宋体" w:cs="Times New Roman"/>
          <w:sz w:val="24"/>
          <w:szCs w:val="24"/>
        </w:rPr>
        <w:t xml:space="preserve">）及其他特定气体进行实时监测，对气体泄漏形成的气云进行动态成像展示，帮助管理人员快速识别潜在泄漏点位和扩散范围。设备采集的数据和图像信息可实时接入智慧园区平台，实现监测信息统一管理和联动展示。当监测到异常气体泄漏时，可及时触发预警信息，为园区开展环境风险防控和应急处置提供技术支撑。</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详细的设备参数要求见下表：</w:t>
      </w:r>
      <w:r/>
    </w:p>
    <w:p>
      <w:pPr>
        <w:ind w:firstLine="480"/>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表：气云成像设备参数一览表</w:t>
      </w:r>
      <w:r/>
    </w:p>
    <w:tbl>
      <w:tblPr>
        <w:tblStyle w:val="914"/>
        <w:tblW w:w="0" w:type="auto"/>
        <w:jc w:val="center"/>
        <w:tblBorders>
          <w:top w:val="single" w:color="auto" w:sz="12" w:space="0"/>
          <w:bottom w:val="single" w:color="auto" w:sz="12" w:space="0"/>
        </w:tblBorders>
        <w:tblLook w:val="04A0" w:firstRow="1" w:lastRow="0" w:firstColumn="1" w:lastColumn="0" w:noHBand="0" w:noVBand="1"/>
      </w:tblPr>
      <w:tblGrid>
        <w:gridCol w:w="1696"/>
        <w:gridCol w:w="7938"/>
      </w:tblGrid>
      <w:tr>
        <w:trPr>
          <w:jc w:val="center"/>
        </w:trPr>
        <w:tc>
          <w:tcPr>
            <w:tcW w:w="1696" w:type="dxa"/>
            <w:vAlign w:val="center"/>
            <w:textDirection w:val="lrTb"/>
            <w:noWrap w:val="false"/>
          </w:tcPr>
          <w:p>
            <w:pPr>
              <w:jc w:val="left"/>
              <w:widowControl/>
              <w:rPr>
                <w:rFonts w:ascii="楷体" w:hAnsi="楷体" w:cs="宋体"/>
                <w:b/>
                <w:color w:val="000000"/>
              </w:rPr>
            </w:pPr>
            <w:r>
              <w:rPr>
                <w:rFonts w:hint="eastAsia" w:ascii="楷体" w:hAnsi="楷体" w:cs="宋体"/>
                <w:b/>
                <w:color w:val="000000"/>
              </w:rPr>
              <w:t xml:space="preserve">设备名称</w:t>
            </w:r>
            <w:r/>
          </w:p>
        </w:tc>
        <w:tc>
          <w:tcPr>
            <w:tcW w:w="7938" w:type="dxa"/>
            <w:vAlign w:val="center"/>
            <w:textDirection w:val="lrTb"/>
            <w:noWrap w:val="false"/>
          </w:tcPr>
          <w:p>
            <w:pPr>
              <w:jc w:val="left"/>
              <w:widowControl/>
              <w:rPr>
                <w:rFonts w:ascii="楷体" w:hAnsi="楷体" w:cs="宋体"/>
                <w:b/>
                <w:color w:val="000000"/>
              </w:rPr>
            </w:pPr>
            <w:r>
              <w:rPr>
                <w:rFonts w:hint="eastAsia" w:ascii="楷体" w:hAnsi="楷体" w:cs="宋体"/>
                <w:b/>
                <w:color w:val="000000"/>
              </w:rPr>
              <w:t xml:space="preserve">参数</w:t>
            </w:r>
            <w:r/>
          </w:p>
        </w:tc>
      </w:tr>
      <w:tr>
        <w:trPr>
          <w:jc w:val="center"/>
        </w:trPr>
        <w:tc>
          <w:tcPr>
            <w:tcW w:w="1696" w:type="dxa"/>
            <w:vAlign w:val="center"/>
            <w:textDirection w:val="lrTb"/>
            <w:noWrap w:val="false"/>
          </w:tcPr>
          <w:p>
            <w:pPr>
              <w:jc w:val="left"/>
              <w:widowControl/>
              <w:rPr>
                <w:rFonts w:ascii="楷体" w:hAnsi="楷体" w:cs="宋体"/>
                <w:color w:val="000000"/>
              </w:rPr>
            </w:pPr>
            <w:r>
              <w:rPr>
                <w:b/>
                <w:bCs/>
                <w:sz w:val="24"/>
                <w:szCs w:val="24"/>
              </w:rPr>
              <w:t xml:space="preserve">热成像在线式气云摄像机</w:t>
            </w:r>
            <w:r/>
          </w:p>
        </w:tc>
        <w:tc>
          <w:tcPr>
            <w:tcW w:w="7938" w:type="dxa"/>
            <w:vAlign w:val="center"/>
            <w:textDirection w:val="lrTb"/>
            <w:noWrap w:val="false"/>
          </w:tcPr>
          <w:p>
            <w:pPr>
              <w:ind w:firstLine="480"/>
              <w:spacing w:line="440" w:lineRule="exact"/>
              <w:rPr>
                <w:sz w:val="24"/>
                <w:szCs w:val="24"/>
              </w:rPr>
            </w:pPr>
            <w:r>
              <w:rPr>
                <w:rFonts w:hint="eastAsia"/>
                <w:sz w:val="24"/>
                <w:szCs w:val="24"/>
              </w:rPr>
              <w:t xml:space="preserve">1.1</w:t>
            </w:r>
            <w:r>
              <w:rPr>
                <w:rFonts w:hint="eastAsia"/>
                <w:sz w:val="24"/>
                <w:szCs w:val="24"/>
              </w:rPr>
              <w:t xml:space="preserve">、热成像在线式气云摄像机，采用高灵敏度制冷型探测器，分辨率不小于</w:t>
            </w:r>
            <w:r>
              <w:rPr>
                <w:rFonts w:hint="eastAsia"/>
                <w:sz w:val="24"/>
                <w:szCs w:val="24"/>
              </w:rPr>
              <w:t xml:space="preserve">320x256</w:t>
            </w:r>
            <w:r>
              <w:rPr>
                <w:rFonts w:hint="eastAsia"/>
                <w:sz w:val="24"/>
                <w:szCs w:val="24"/>
              </w:rPr>
              <w:t xml:space="preserve">，像元尺寸不小于</w:t>
            </w:r>
            <w:r>
              <w:rPr>
                <w:rFonts w:hint="eastAsia"/>
                <w:sz w:val="24"/>
                <w:szCs w:val="24"/>
              </w:rPr>
              <w:t xml:space="preserve">30</w:t>
            </w:r>
            <w:r>
              <w:rPr>
                <w:rFonts w:hint="eastAsia"/>
                <w:sz w:val="24"/>
                <w:szCs w:val="24"/>
              </w:rPr>
              <w:t xml:space="preserve">μ</w:t>
            </w:r>
            <w:r>
              <w:rPr>
                <w:rFonts w:hint="eastAsia"/>
                <w:sz w:val="24"/>
                <w:szCs w:val="24"/>
              </w:rPr>
              <w:t xml:space="preserve">m</w:t>
            </w:r>
            <w:r>
              <w:rPr>
                <w:rFonts w:hint="eastAsia"/>
                <w:sz w:val="24"/>
                <w:szCs w:val="24"/>
              </w:rPr>
              <w:t xml:space="preserve">，光谱范围</w:t>
            </w:r>
            <w:r>
              <w:rPr>
                <w:rFonts w:hint="eastAsia"/>
                <w:sz w:val="24"/>
                <w:szCs w:val="24"/>
              </w:rPr>
              <w:t xml:space="preserve">3</w:t>
            </w:r>
            <w:r>
              <w:rPr>
                <w:rFonts w:hint="eastAsia"/>
                <w:sz w:val="24"/>
                <w:szCs w:val="24"/>
              </w:rPr>
              <w:t xml:space="preserve">μ</w:t>
            </w:r>
            <w:r>
              <w:rPr>
                <w:rFonts w:hint="eastAsia"/>
                <w:sz w:val="24"/>
                <w:szCs w:val="24"/>
              </w:rPr>
              <w:t xml:space="preserve">m</w:t>
            </w:r>
            <w:r>
              <w:rPr>
                <w:rFonts w:hint="eastAsia"/>
                <w:sz w:val="24"/>
                <w:szCs w:val="24"/>
              </w:rPr>
              <w:t xml:space="preserve">～</w:t>
            </w:r>
            <w:r>
              <w:rPr>
                <w:rFonts w:hint="eastAsia"/>
                <w:sz w:val="24"/>
                <w:szCs w:val="24"/>
              </w:rPr>
              <w:t xml:space="preserve">4</w:t>
            </w:r>
            <w:r>
              <w:rPr>
                <w:rFonts w:hint="eastAsia"/>
                <w:sz w:val="24"/>
                <w:szCs w:val="24"/>
              </w:rPr>
              <w:t xml:space="preserve">μ</w:t>
            </w:r>
            <w:r>
              <w:rPr>
                <w:rFonts w:hint="eastAsia"/>
                <w:sz w:val="24"/>
                <w:szCs w:val="24"/>
              </w:rPr>
              <w:t xml:space="preserve">m</w:t>
            </w:r>
            <w:r>
              <w:rPr>
                <w:rFonts w:hint="eastAsia"/>
                <w:sz w:val="24"/>
                <w:szCs w:val="24"/>
              </w:rPr>
              <w:t xml:space="preserve">，内置</w:t>
            </w:r>
            <w:r>
              <w:rPr>
                <w:rFonts w:hint="eastAsia"/>
                <w:sz w:val="24"/>
                <w:szCs w:val="24"/>
              </w:rPr>
              <w:t xml:space="preserve">CPU</w:t>
            </w:r>
            <w:r>
              <w:rPr>
                <w:rFonts w:hint="eastAsia"/>
                <w:sz w:val="24"/>
                <w:szCs w:val="24"/>
              </w:rPr>
              <w:t xml:space="preserve">、</w:t>
            </w:r>
            <w:r>
              <w:rPr>
                <w:rFonts w:hint="eastAsia"/>
                <w:sz w:val="24"/>
                <w:szCs w:val="24"/>
              </w:rPr>
              <w:t xml:space="preserve">NPU</w:t>
            </w:r>
            <w:r>
              <w:rPr>
                <w:rFonts w:hint="eastAsia"/>
                <w:sz w:val="24"/>
                <w:szCs w:val="24"/>
              </w:rPr>
              <w:t xml:space="preserve">、</w:t>
            </w:r>
            <w:r>
              <w:rPr>
                <w:rFonts w:hint="eastAsia"/>
                <w:sz w:val="24"/>
                <w:szCs w:val="24"/>
              </w:rPr>
              <w:t xml:space="preserve">GPU</w:t>
            </w:r>
            <w:r>
              <w:rPr>
                <w:rFonts w:hint="eastAsia"/>
                <w:sz w:val="24"/>
                <w:szCs w:val="24"/>
              </w:rPr>
              <w:t xml:space="preserve">芯片</w:t>
            </w:r>
            <w:r/>
          </w:p>
          <w:p>
            <w:pPr>
              <w:ind w:firstLine="480"/>
              <w:spacing w:line="440" w:lineRule="exact"/>
              <w:rPr>
                <w:sz w:val="24"/>
                <w:szCs w:val="24"/>
              </w:rPr>
            </w:pPr>
            <w:r>
              <w:rPr>
                <w:rFonts w:hint="eastAsia"/>
                <w:sz w:val="24"/>
                <w:szCs w:val="24"/>
              </w:rPr>
              <w:t xml:space="preserve">1.2</w:t>
            </w:r>
            <w:r>
              <w:rPr>
                <w:rFonts w:hint="eastAsia"/>
                <w:sz w:val="24"/>
                <w:szCs w:val="24"/>
              </w:rPr>
              <w:t xml:space="preserve">、图像模式应具有黑白、测温、气体渲染等图像模式</w:t>
            </w:r>
            <w:r/>
          </w:p>
          <w:p>
            <w:pPr>
              <w:ind w:firstLine="480"/>
              <w:spacing w:line="440" w:lineRule="exact"/>
              <w:rPr>
                <w:sz w:val="24"/>
                <w:szCs w:val="24"/>
              </w:rPr>
            </w:pPr>
            <w:r>
              <w:rPr>
                <w:rFonts w:hint="eastAsia"/>
                <w:sz w:val="24"/>
                <w:szCs w:val="24"/>
              </w:rPr>
              <w:t xml:space="preserve">1.3</w:t>
            </w:r>
            <w:r>
              <w:rPr>
                <w:rFonts w:hint="eastAsia"/>
                <w:sz w:val="24"/>
                <w:szCs w:val="24"/>
              </w:rPr>
              <w:t xml:space="preserve">、热成像镜头焦距不小于</w:t>
            </w:r>
            <w:r>
              <w:rPr>
                <w:rFonts w:hint="eastAsia"/>
                <w:sz w:val="24"/>
                <w:szCs w:val="24"/>
              </w:rPr>
              <w:t xml:space="preserve">50mm</w:t>
            </w:r>
            <w:r>
              <w:rPr>
                <w:rFonts w:hint="eastAsia"/>
                <w:sz w:val="24"/>
                <w:szCs w:val="24"/>
              </w:rPr>
              <w:t xml:space="preserve">；热成像视场角满足：水平：</w:t>
            </w:r>
            <w:r>
              <w:rPr>
                <w:sz w:val="24"/>
                <w:szCs w:val="24"/>
              </w:rPr>
              <w:t xml:space="preserve">8-14</w:t>
            </w:r>
            <w:r>
              <w:rPr>
                <w:rFonts w:hint="eastAsia"/>
                <w:sz w:val="24"/>
                <w:szCs w:val="24"/>
              </w:rPr>
              <w:t xml:space="preserve">°；垂直：</w:t>
            </w:r>
            <w:r>
              <w:rPr>
                <w:sz w:val="24"/>
                <w:szCs w:val="24"/>
              </w:rPr>
              <w:t xml:space="preserve">7-11</w:t>
            </w:r>
            <w:r>
              <w:rPr>
                <w:rFonts w:hint="eastAsia"/>
                <w:sz w:val="24"/>
                <w:szCs w:val="24"/>
              </w:rPr>
              <w:t xml:space="preserve">°</w:t>
            </w:r>
            <w:r/>
          </w:p>
          <w:p>
            <w:pPr>
              <w:ind w:firstLine="480"/>
              <w:spacing w:line="440" w:lineRule="exact"/>
              <w:rPr>
                <w:sz w:val="24"/>
                <w:szCs w:val="24"/>
              </w:rPr>
            </w:pPr>
            <w:r>
              <w:rPr>
                <w:rFonts w:hint="eastAsia"/>
                <w:sz w:val="24"/>
                <w:szCs w:val="24"/>
              </w:rPr>
              <w:t xml:space="preserve">1.4</w:t>
            </w:r>
            <w:r>
              <w:rPr>
                <w:rFonts w:hint="eastAsia"/>
                <w:sz w:val="24"/>
                <w:szCs w:val="24"/>
              </w:rPr>
              <w:t xml:space="preserve">、可见光镜头不小于</w:t>
            </w:r>
            <w:r>
              <w:rPr>
                <w:rFonts w:hint="eastAsia"/>
                <w:sz w:val="24"/>
                <w:szCs w:val="24"/>
              </w:rPr>
              <w:t xml:space="preserve">400</w:t>
            </w:r>
            <w:r>
              <w:rPr>
                <w:rFonts w:hint="eastAsia"/>
                <w:sz w:val="24"/>
                <w:szCs w:val="24"/>
              </w:rPr>
              <w:t xml:space="preserve">万像</w:t>
            </w:r>
            <w:r>
              <w:rPr>
                <w:rFonts w:hint="eastAsia"/>
                <w:sz w:val="24"/>
                <w:szCs w:val="24"/>
              </w:rPr>
              <w:t xml:space="preserve">素</w:t>
            </w:r>
            <w:r>
              <w:rPr>
                <w:rFonts w:hint="eastAsia"/>
                <w:sz w:val="24"/>
                <w:szCs w:val="24"/>
              </w:rPr>
              <w:t xml:space="preserve">1/1.8</w:t>
            </w:r>
            <w:r>
              <w:rPr>
                <w:rFonts w:hint="eastAsia"/>
                <w:sz w:val="24"/>
                <w:szCs w:val="24"/>
              </w:rPr>
              <w:t xml:space="preserve">英寸</w:t>
            </w:r>
            <w:r>
              <w:rPr>
                <w:rFonts w:hint="eastAsia"/>
                <w:sz w:val="24"/>
                <w:szCs w:val="24"/>
              </w:rPr>
              <w:t xml:space="preserve">CMOS</w:t>
            </w:r>
            <w:r>
              <w:rPr>
                <w:rFonts w:hint="eastAsia"/>
                <w:sz w:val="24"/>
                <w:szCs w:val="24"/>
              </w:rPr>
              <w:t xml:space="preserve">传感器，最大分辨率不低于</w:t>
            </w:r>
            <w:r>
              <w:rPr>
                <w:rFonts w:hint="eastAsia"/>
                <w:sz w:val="24"/>
                <w:szCs w:val="24"/>
              </w:rPr>
              <w:t xml:space="preserve">2688x1520</w:t>
            </w:r>
            <w:r/>
          </w:p>
          <w:p>
            <w:pPr>
              <w:ind w:firstLine="480"/>
              <w:spacing w:line="440" w:lineRule="exact"/>
              <w:rPr>
                <w:sz w:val="24"/>
                <w:szCs w:val="24"/>
              </w:rPr>
            </w:pPr>
            <w:r>
              <w:rPr>
                <w:rFonts w:hint="eastAsia"/>
                <w:sz w:val="24"/>
                <w:szCs w:val="24"/>
              </w:rPr>
              <w:t xml:space="preserve">1.5</w:t>
            </w:r>
            <w:r>
              <w:rPr>
                <w:rFonts w:hint="eastAsia"/>
                <w:sz w:val="24"/>
                <w:szCs w:val="24"/>
              </w:rPr>
              <w:t xml:space="preserve">、云台转动速度：水平：</w:t>
            </w:r>
            <w:r>
              <w:rPr>
                <w:rFonts w:hint="eastAsia"/>
                <w:sz w:val="24"/>
                <w:szCs w:val="24"/>
              </w:rPr>
              <w:t xml:space="preserve">0.1</w:t>
            </w:r>
            <w:r>
              <w:rPr>
                <w:rFonts w:hint="eastAsia"/>
                <w:sz w:val="24"/>
                <w:szCs w:val="24"/>
              </w:rPr>
              <w:t xml:space="preserve">°</w:t>
            </w:r>
            <w:r>
              <w:rPr>
                <w:rFonts w:hint="eastAsia"/>
                <w:sz w:val="24"/>
                <w:szCs w:val="24"/>
              </w:rPr>
              <w:t xml:space="preserve">/S~35</w:t>
            </w:r>
            <w:r>
              <w:rPr>
                <w:rFonts w:hint="eastAsia"/>
                <w:sz w:val="24"/>
                <w:szCs w:val="24"/>
              </w:rPr>
              <w:t xml:space="preserve">°</w:t>
            </w:r>
            <w:r>
              <w:rPr>
                <w:rFonts w:hint="eastAsia"/>
                <w:sz w:val="24"/>
                <w:szCs w:val="24"/>
              </w:rPr>
              <w:t xml:space="preserve">/S</w:t>
            </w:r>
            <w:r>
              <w:rPr>
                <w:rFonts w:hint="eastAsia"/>
                <w:sz w:val="24"/>
                <w:szCs w:val="24"/>
              </w:rPr>
              <w:t xml:space="preserve">可调；垂直</w:t>
            </w:r>
            <w:r>
              <w:rPr>
                <w:rFonts w:hint="eastAsia"/>
                <w:sz w:val="24"/>
                <w:szCs w:val="24"/>
              </w:rPr>
              <w:t xml:space="preserve">0.1</w:t>
            </w:r>
            <w:r>
              <w:rPr>
                <w:rFonts w:hint="eastAsia"/>
                <w:sz w:val="24"/>
                <w:szCs w:val="24"/>
              </w:rPr>
              <w:t xml:space="preserve">°</w:t>
            </w:r>
            <w:r>
              <w:rPr>
                <w:rFonts w:hint="eastAsia"/>
                <w:sz w:val="24"/>
                <w:szCs w:val="24"/>
              </w:rPr>
              <w:t xml:space="preserve">/S~35</w:t>
            </w:r>
            <w:r>
              <w:rPr>
                <w:rFonts w:hint="eastAsia"/>
                <w:sz w:val="24"/>
                <w:szCs w:val="24"/>
              </w:rPr>
              <w:t xml:space="preserve">°</w:t>
            </w:r>
            <w:r>
              <w:rPr>
                <w:rFonts w:hint="eastAsia"/>
                <w:sz w:val="24"/>
                <w:szCs w:val="24"/>
              </w:rPr>
              <w:t xml:space="preserve">/S</w:t>
            </w:r>
            <w:r>
              <w:rPr>
                <w:rFonts w:hint="eastAsia"/>
                <w:sz w:val="24"/>
                <w:szCs w:val="24"/>
              </w:rPr>
              <w:t xml:space="preserve">可调；云台旋转范围：水平：</w:t>
            </w:r>
            <w:r>
              <w:rPr>
                <w:rFonts w:hint="eastAsia"/>
                <w:sz w:val="24"/>
                <w:szCs w:val="24"/>
              </w:rPr>
              <w:t xml:space="preserve">0</w:t>
            </w:r>
            <w:r>
              <w:rPr>
                <w:rFonts w:hint="eastAsia"/>
                <w:sz w:val="24"/>
                <w:szCs w:val="24"/>
              </w:rPr>
              <w:t xml:space="preserve">°</w:t>
            </w:r>
            <w:r>
              <w:rPr>
                <w:rFonts w:hint="eastAsia"/>
                <w:sz w:val="24"/>
                <w:szCs w:val="24"/>
              </w:rPr>
              <w:t xml:space="preserve">~360</w:t>
            </w:r>
            <w:r>
              <w:rPr>
                <w:rFonts w:hint="eastAsia"/>
                <w:sz w:val="24"/>
                <w:szCs w:val="24"/>
              </w:rPr>
              <w:t xml:space="preserve">°连续旋转；垂直：</w:t>
            </w:r>
            <w:r>
              <w:rPr>
                <w:rFonts w:hint="eastAsia"/>
                <w:sz w:val="24"/>
                <w:szCs w:val="24"/>
              </w:rPr>
              <w:t xml:space="preserve">-45</w:t>
            </w:r>
            <w:r>
              <w:rPr>
                <w:rFonts w:hint="eastAsia"/>
                <w:sz w:val="24"/>
                <w:szCs w:val="24"/>
              </w:rPr>
              <w:t xml:space="preserve">°</w:t>
            </w:r>
            <w:r>
              <w:rPr>
                <w:rFonts w:hint="eastAsia"/>
                <w:sz w:val="24"/>
                <w:szCs w:val="24"/>
              </w:rPr>
              <w:t xml:space="preserve">~+45</w:t>
            </w:r>
            <w:r>
              <w:rPr>
                <w:rFonts w:hint="eastAsia"/>
                <w:sz w:val="24"/>
                <w:szCs w:val="24"/>
              </w:rPr>
              <w:t xml:space="preserve">°</w:t>
            </w:r>
            <w:r/>
          </w:p>
          <w:p>
            <w:pPr>
              <w:ind w:firstLine="480"/>
              <w:spacing w:line="440" w:lineRule="exact"/>
              <w:rPr>
                <w:sz w:val="24"/>
                <w:szCs w:val="24"/>
              </w:rPr>
            </w:pPr>
            <w:r>
              <w:rPr>
                <w:rFonts w:hint="eastAsia"/>
                <w:sz w:val="24"/>
                <w:szCs w:val="24"/>
              </w:rPr>
              <w:t xml:space="preserve">1.6</w:t>
            </w:r>
            <w:r>
              <w:rPr>
                <w:rFonts w:hint="eastAsia"/>
                <w:sz w:val="24"/>
                <w:szCs w:val="24"/>
              </w:rPr>
              <w:t xml:space="preserve">、最小可分辨温差（</w:t>
            </w:r>
            <w:r>
              <w:rPr>
                <w:rFonts w:hint="eastAsia"/>
                <w:sz w:val="24"/>
                <w:szCs w:val="24"/>
              </w:rPr>
              <w:t xml:space="preserve">MRTD</w:t>
            </w:r>
            <w:r>
              <w:rPr>
                <w:rFonts w:hint="eastAsia"/>
                <w:sz w:val="24"/>
                <w:szCs w:val="24"/>
              </w:rPr>
              <w:t xml:space="preserve">）≤</w:t>
            </w:r>
            <w:r>
              <w:rPr>
                <w:rFonts w:hint="eastAsia"/>
                <w:sz w:val="24"/>
                <w:szCs w:val="24"/>
              </w:rPr>
              <w:t xml:space="preserve">150mk</w:t>
            </w:r>
            <w:r>
              <w:rPr>
                <w:rFonts w:hint="eastAsia"/>
                <w:sz w:val="24"/>
                <w:szCs w:val="24"/>
              </w:rPr>
              <w:t xml:space="preserve">；噪声等效温差（</w:t>
            </w:r>
            <w:r>
              <w:rPr>
                <w:rFonts w:hint="eastAsia"/>
                <w:sz w:val="24"/>
                <w:szCs w:val="24"/>
              </w:rPr>
              <w:t xml:space="preserve">NETD</w:t>
            </w:r>
            <w:r>
              <w:rPr>
                <w:rFonts w:hint="eastAsia"/>
                <w:sz w:val="24"/>
                <w:szCs w:val="24"/>
              </w:rPr>
              <w:t xml:space="preserve">）≤</w:t>
            </w:r>
            <w:r>
              <w:rPr>
                <w:rFonts w:hint="eastAsia"/>
                <w:sz w:val="24"/>
                <w:szCs w:val="24"/>
              </w:rPr>
              <w:t xml:space="preserve">20mk</w:t>
            </w:r>
            <w:r/>
          </w:p>
          <w:p>
            <w:pPr>
              <w:ind w:firstLine="480"/>
              <w:spacing w:line="440" w:lineRule="exact"/>
              <w:rPr>
                <w:sz w:val="24"/>
                <w:szCs w:val="24"/>
              </w:rPr>
            </w:pPr>
            <w:r>
              <w:rPr>
                <w:rFonts w:hint="eastAsia"/>
                <w:b/>
                <w:bCs/>
                <w:sz w:val="24"/>
                <w:szCs w:val="24"/>
              </w:rPr>
              <w:t xml:space="preserve">1.7</w:t>
            </w:r>
            <w:r>
              <w:rPr>
                <w:rFonts w:hint="eastAsia"/>
                <w:b/>
                <w:bCs/>
                <w:sz w:val="24"/>
                <w:szCs w:val="24"/>
              </w:rPr>
              <w:t xml:space="preserve">、★支持对监控画面中出现的气体泄露、温度异常、明火火焰、区域入侵、越界入侵、人员异常行为等动作进行检测并给出提示（提供具有</w:t>
            </w:r>
            <w:r>
              <w:rPr>
                <w:rFonts w:hint="eastAsia"/>
                <w:b/>
                <w:bCs/>
                <w:sz w:val="24"/>
                <w:szCs w:val="24"/>
              </w:rPr>
              <w:t xml:space="preserve">CMA</w:t>
            </w:r>
            <w:r>
              <w:rPr>
                <w:rFonts w:hint="eastAsia"/>
                <w:b/>
                <w:bCs/>
                <w:sz w:val="24"/>
                <w:szCs w:val="24"/>
              </w:rPr>
              <w:t xml:space="preserve">和</w:t>
            </w:r>
            <w:r>
              <w:rPr>
                <w:rFonts w:hint="eastAsia"/>
                <w:b/>
                <w:bCs/>
                <w:sz w:val="24"/>
                <w:szCs w:val="24"/>
              </w:rPr>
              <w:t xml:space="preserve">CNAS</w:t>
            </w:r>
            <w:r>
              <w:rPr>
                <w:rFonts w:hint="eastAsia"/>
                <w:b/>
                <w:bCs/>
                <w:sz w:val="24"/>
                <w:szCs w:val="24"/>
              </w:rPr>
              <w:t xml:space="preserve">认证的检测报告证明）</w:t>
            </w:r>
            <w:r/>
          </w:p>
          <w:p>
            <w:pPr>
              <w:ind w:firstLine="480"/>
              <w:spacing w:line="440" w:lineRule="exact"/>
              <w:rPr>
                <w:sz w:val="24"/>
                <w:szCs w:val="24"/>
              </w:rPr>
            </w:pPr>
            <w:r>
              <w:rPr>
                <w:rFonts w:hint="eastAsia"/>
                <w:sz w:val="24"/>
                <w:szCs w:val="24"/>
              </w:rPr>
              <w:t xml:space="preserve">1.8</w:t>
            </w:r>
            <w:r>
              <w:rPr>
                <w:rFonts w:hint="eastAsia"/>
                <w:sz w:val="24"/>
                <w:szCs w:val="24"/>
              </w:rPr>
              <w:t xml:space="preserve">、支持对智能检测情况显示视频监控画面并给</w:t>
            </w:r>
            <w:r>
              <w:rPr>
                <w:rFonts w:hint="eastAsia"/>
                <w:sz w:val="24"/>
                <w:szCs w:val="24"/>
              </w:rPr>
              <w:t xml:space="preserve">出声光</w:t>
            </w:r>
            <w:r>
              <w:rPr>
                <w:rFonts w:hint="eastAsia"/>
                <w:sz w:val="24"/>
                <w:szCs w:val="24"/>
              </w:rPr>
              <w:t xml:space="preserve">报警提示：可自动生成报警信息并进行记录；可对报警视频进行回放</w:t>
            </w:r>
            <w:r/>
          </w:p>
          <w:p>
            <w:pPr>
              <w:ind w:firstLine="480"/>
              <w:spacing w:line="440" w:lineRule="exact"/>
              <w:rPr>
                <w:sz w:val="24"/>
                <w:szCs w:val="24"/>
              </w:rPr>
            </w:pPr>
            <w:r>
              <w:rPr>
                <w:rFonts w:hint="eastAsia"/>
                <w:sz w:val="24"/>
                <w:szCs w:val="24"/>
              </w:rPr>
              <w:t xml:space="preserve">1.9</w:t>
            </w:r>
            <w:r>
              <w:rPr>
                <w:rFonts w:hint="eastAsia"/>
                <w:sz w:val="24"/>
                <w:szCs w:val="24"/>
              </w:rPr>
              <w:t xml:space="preserve">、支持按时间、点位、状态等参数查询报警事件，显示对应的报警视频录像或图片，可回放查看报警视频或图片</w:t>
            </w:r>
            <w:r/>
          </w:p>
          <w:p>
            <w:pPr>
              <w:ind w:firstLine="480"/>
              <w:spacing w:line="440" w:lineRule="exact"/>
              <w:rPr>
                <w:sz w:val="24"/>
                <w:szCs w:val="24"/>
              </w:rPr>
            </w:pPr>
            <w:r>
              <w:rPr>
                <w:rFonts w:hint="eastAsia"/>
                <w:sz w:val="24"/>
                <w:szCs w:val="24"/>
              </w:rPr>
              <w:t xml:space="preserve">1.10</w:t>
            </w:r>
            <w:r>
              <w:rPr>
                <w:rFonts w:hint="eastAsia"/>
                <w:sz w:val="24"/>
                <w:szCs w:val="24"/>
              </w:rPr>
              <w:t xml:space="preserve">、可探测气体：甲烷、乙烷、丙烷、丁烷、乙烯、丙烯、苯、乙醇、乙苯、庚烷、己烷、异戊二烯、甲醇、</w:t>
            </w:r>
            <w:r>
              <w:rPr>
                <w:rFonts w:hint="eastAsia"/>
                <w:sz w:val="24"/>
                <w:szCs w:val="24"/>
              </w:rPr>
              <w:t xml:space="preserve">MEK</w:t>
            </w:r>
            <w:r>
              <w:rPr>
                <w:rFonts w:hint="eastAsia"/>
                <w:sz w:val="24"/>
                <w:szCs w:val="24"/>
              </w:rPr>
              <w:t xml:space="preserve">、</w:t>
            </w:r>
            <w:r>
              <w:rPr>
                <w:rFonts w:hint="eastAsia"/>
                <w:sz w:val="24"/>
                <w:szCs w:val="24"/>
              </w:rPr>
              <w:t xml:space="preserve">MIBK</w:t>
            </w:r>
            <w:r>
              <w:rPr>
                <w:rFonts w:hint="eastAsia"/>
                <w:sz w:val="24"/>
                <w:szCs w:val="24"/>
              </w:rPr>
              <w:t xml:space="preserve">、辛烷、戊烷、</w:t>
            </w:r>
            <w:r>
              <w:rPr>
                <w:rFonts w:hint="eastAsia"/>
                <w:sz w:val="24"/>
                <w:szCs w:val="24"/>
              </w:rPr>
              <w:t xml:space="preserve">1-</w:t>
            </w:r>
            <w:r>
              <w:rPr>
                <w:rFonts w:hint="eastAsia"/>
                <w:sz w:val="24"/>
                <w:szCs w:val="24"/>
              </w:rPr>
              <w:t xml:space="preserve">戊烯、甲苯、二甲苯等，气体探测灵敏度≤</w:t>
            </w:r>
            <w:r>
              <w:rPr>
                <w:rFonts w:hint="eastAsia"/>
                <w:sz w:val="24"/>
                <w:szCs w:val="24"/>
              </w:rPr>
              <w:t xml:space="preserve">0.001ml/s</w:t>
            </w:r>
            <w:r>
              <w:rPr>
                <w:rFonts w:hint="eastAsia"/>
                <w:sz w:val="24"/>
                <w:szCs w:val="24"/>
              </w:rPr>
              <w:t xml:space="preserve">，</w:t>
            </w:r>
            <w:r>
              <w:rPr>
                <w:rFonts w:hint="eastAsia"/>
                <w:sz w:val="24"/>
                <w:szCs w:val="24"/>
              </w:rPr>
              <w:t xml:space="preserve">100ppm*m</w:t>
            </w:r>
            <w:r/>
          </w:p>
          <w:p>
            <w:pPr>
              <w:ind w:firstLine="480"/>
              <w:spacing w:line="440" w:lineRule="exact"/>
              <w:rPr>
                <w:sz w:val="24"/>
                <w:szCs w:val="24"/>
              </w:rPr>
            </w:pPr>
            <w:r>
              <w:rPr>
                <w:rFonts w:hint="eastAsia"/>
                <w:b/>
                <w:bCs/>
                <w:sz w:val="24"/>
                <w:szCs w:val="24"/>
              </w:rPr>
              <w:t xml:space="preserve">1.11</w:t>
            </w:r>
            <w:r>
              <w:rPr>
                <w:rFonts w:hint="eastAsia"/>
                <w:b/>
                <w:bCs/>
                <w:sz w:val="24"/>
                <w:szCs w:val="24"/>
              </w:rPr>
              <w:t xml:space="preserve">、★从监控画面中出现指定泄漏气体，到给出报警时间应≤</w:t>
            </w:r>
            <w:r>
              <w:rPr>
                <w:rFonts w:hint="eastAsia"/>
                <w:b/>
                <w:bCs/>
                <w:sz w:val="24"/>
                <w:szCs w:val="24"/>
              </w:rPr>
              <w:t xml:space="preserve">3s</w:t>
            </w:r>
            <w:r>
              <w:rPr>
                <w:rFonts w:hint="eastAsia"/>
                <w:b/>
                <w:bCs/>
                <w:sz w:val="24"/>
                <w:szCs w:val="24"/>
              </w:rPr>
              <w:t xml:space="preserve">（提供具有</w:t>
            </w:r>
            <w:r>
              <w:rPr>
                <w:rFonts w:hint="eastAsia"/>
                <w:b/>
                <w:bCs/>
                <w:sz w:val="24"/>
                <w:szCs w:val="24"/>
              </w:rPr>
              <w:t xml:space="preserve">CMA</w:t>
            </w:r>
            <w:r>
              <w:rPr>
                <w:rFonts w:hint="eastAsia"/>
                <w:b/>
                <w:bCs/>
                <w:sz w:val="24"/>
                <w:szCs w:val="24"/>
              </w:rPr>
              <w:t xml:space="preserve">认证的检测报告证明或厂家确认的</w:t>
            </w:r>
            <w:r>
              <w:rPr>
                <w:rFonts w:hint="eastAsia"/>
                <w:b/>
                <w:bCs/>
                <w:sz w:val="24"/>
                <w:szCs w:val="24"/>
              </w:rPr>
              <w:t xml:space="preserve">官网截</w:t>
            </w:r>
            <w:r>
              <w:rPr>
                <w:rFonts w:hint="eastAsia"/>
                <w:b/>
                <w:bCs/>
                <w:sz w:val="24"/>
                <w:szCs w:val="24"/>
              </w:rPr>
              <w:t xml:space="preserve">图材料）</w:t>
            </w:r>
            <w:r/>
          </w:p>
          <w:p>
            <w:pPr>
              <w:ind w:firstLine="480"/>
              <w:spacing w:line="440" w:lineRule="exact"/>
              <w:rPr>
                <w:b/>
                <w:bCs/>
                <w:sz w:val="24"/>
                <w:szCs w:val="24"/>
              </w:rPr>
            </w:pPr>
            <w:r>
              <w:rPr>
                <w:rFonts w:hint="eastAsia"/>
                <w:b/>
                <w:bCs/>
                <w:sz w:val="24"/>
                <w:szCs w:val="24"/>
              </w:rPr>
              <w:t xml:space="preserve">1.12</w:t>
            </w:r>
            <w:r>
              <w:rPr>
                <w:rFonts w:hint="eastAsia"/>
                <w:b/>
                <w:bCs/>
                <w:sz w:val="24"/>
                <w:szCs w:val="24"/>
              </w:rPr>
              <w:t xml:space="preserve">、</w:t>
            </w:r>
            <w:r>
              <w:rPr>
                <w:rFonts w:hint="eastAsia"/>
                <w:sz w:val="24"/>
                <w:szCs w:val="24"/>
              </w:rPr>
              <w:t xml:space="preserve">★</w:t>
            </w:r>
            <w:r>
              <w:rPr>
                <w:rFonts w:hint="eastAsia"/>
                <w:b/>
                <w:bCs/>
                <w:sz w:val="24"/>
                <w:szCs w:val="24"/>
              </w:rPr>
              <w:t xml:space="preserve">支持对指定泄漏气体的浓度值进行显示（显示单位：</w:t>
            </w:r>
            <w:r>
              <w:rPr>
                <w:rFonts w:hint="eastAsia"/>
                <w:b/>
                <w:bCs/>
                <w:sz w:val="24"/>
                <w:szCs w:val="24"/>
              </w:rPr>
              <w:t xml:space="preserve">ppm.m</w:t>
            </w:r>
            <w:r>
              <w:rPr>
                <w:rFonts w:hint="eastAsia"/>
                <w:b/>
                <w:bCs/>
                <w:sz w:val="24"/>
                <w:szCs w:val="24"/>
              </w:rPr>
              <w:t xml:space="preserve">）；支持将泄漏气体实时渲染显示成彩色图像，并在可见光视频画面上叠加显示渲染的彩色图样流动轨迹（提供具有</w:t>
            </w:r>
            <w:r>
              <w:rPr>
                <w:rFonts w:hint="eastAsia"/>
                <w:b/>
                <w:bCs/>
                <w:sz w:val="24"/>
                <w:szCs w:val="24"/>
              </w:rPr>
              <w:t xml:space="preserve">CMA</w:t>
            </w:r>
            <w:r>
              <w:rPr>
                <w:rFonts w:hint="eastAsia"/>
                <w:b/>
                <w:bCs/>
                <w:sz w:val="24"/>
                <w:szCs w:val="24"/>
              </w:rPr>
              <w:t xml:space="preserve">和</w:t>
            </w:r>
            <w:r>
              <w:rPr>
                <w:rFonts w:hint="eastAsia"/>
                <w:b/>
                <w:bCs/>
                <w:sz w:val="24"/>
                <w:szCs w:val="24"/>
              </w:rPr>
              <w:t xml:space="preserve">CNAS</w:t>
            </w:r>
            <w:r>
              <w:rPr>
                <w:rFonts w:hint="eastAsia"/>
                <w:b/>
                <w:bCs/>
                <w:sz w:val="24"/>
                <w:szCs w:val="24"/>
              </w:rPr>
              <w:t xml:space="preserve">认证的检测报告证明）</w:t>
            </w:r>
            <w:r/>
          </w:p>
          <w:p>
            <w:pPr>
              <w:ind w:firstLine="480"/>
              <w:spacing w:line="440" w:lineRule="exact"/>
              <w:rPr>
                <w:sz w:val="24"/>
                <w:szCs w:val="24"/>
              </w:rPr>
            </w:pPr>
            <w:r>
              <w:rPr>
                <w:rFonts w:hint="eastAsia"/>
                <w:sz w:val="24"/>
                <w:szCs w:val="24"/>
              </w:rPr>
              <w:t xml:space="preserve">1.13</w:t>
            </w:r>
            <w:r>
              <w:rPr>
                <w:rFonts w:hint="eastAsia"/>
                <w:sz w:val="24"/>
                <w:szCs w:val="24"/>
              </w:rPr>
              <w:t xml:space="preserve">、最大气体探测覆盖半径不小于</w:t>
            </w:r>
            <w:r>
              <w:rPr>
                <w:rFonts w:hint="eastAsia"/>
                <w:sz w:val="24"/>
                <w:szCs w:val="24"/>
              </w:rPr>
              <w:t xml:space="preserve">1000m </w:t>
            </w:r>
            <w:r>
              <w:rPr>
                <w:rFonts w:hint="eastAsia"/>
                <w:sz w:val="24"/>
                <w:szCs w:val="24"/>
              </w:rPr>
              <w:t xml:space="preserve">测温范围：</w:t>
            </w:r>
            <w:r>
              <w:rPr>
                <w:rFonts w:hint="eastAsia"/>
                <w:sz w:val="24"/>
                <w:szCs w:val="24"/>
              </w:rPr>
              <w:t xml:space="preserve">-20</w:t>
            </w:r>
            <w:r>
              <w:rPr>
                <w:rFonts w:hint="eastAsia"/>
                <w:sz w:val="24"/>
                <w:szCs w:val="24"/>
              </w:rPr>
              <w:t xml:space="preserve">℃</w:t>
            </w:r>
            <w:r>
              <w:rPr>
                <w:rFonts w:hint="eastAsia"/>
                <w:sz w:val="24"/>
                <w:szCs w:val="24"/>
              </w:rPr>
              <w:t xml:space="preserve">~200</w:t>
            </w:r>
            <w:r>
              <w:rPr>
                <w:rFonts w:hint="eastAsia"/>
                <w:sz w:val="24"/>
                <w:szCs w:val="24"/>
              </w:rPr>
              <w:t xml:space="preserve">℃</w:t>
            </w:r>
            <w:r/>
          </w:p>
          <w:p>
            <w:pPr>
              <w:ind w:firstLine="480"/>
              <w:spacing w:line="440" w:lineRule="exact"/>
              <w:rPr>
                <w:sz w:val="24"/>
                <w:szCs w:val="24"/>
              </w:rPr>
            </w:pPr>
            <w:r>
              <w:rPr>
                <w:rFonts w:hint="eastAsia"/>
                <w:sz w:val="24"/>
                <w:szCs w:val="24"/>
              </w:rPr>
              <w:t xml:space="preserve">1.14</w:t>
            </w:r>
            <w:r>
              <w:rPr>
                <w:rFonts w:hint="eastAsia"/>
                <w:sz w:val="24"/>
                <w:szCs w:val="24"/>
              </w:rPr>
              <w:t xml:space="preserve">、支持通过</w:t>
            </w:r>
            <w:r>
              <w:rPr>
                <w:rFonts w:hint="eastAsia"/>
                <w:sz w:val="24"/>
                <w:szCs w:val="24"/>
              </w:rPr>
              <w:t xml:space="preserve">HTTP</w:t>
            </w:r>
            <w:r>
              <w:rPr>
                <w:rFonts w:hint="eastAsia"/>
                <w:sz w:val="24"/>
                <w:szCs w:val="24"/>
              </w:rPr>
              <w:t xml:space="preserve">协议对接口协议进行拓展</w:t>
            </w:r>
            <w:r/>
          </w:p>
          <w:p>
            <w:pPr>
              <w:ind w:firstLine="480"/>
              <w:spacing w:line="440" w:lineRule="exact"/>
              <w:rPr>
                <w:sz w:val="24"/>
                <w:szCs w:val="24"/>
              </w:rPr>
            </w:pPr>
            <w:r>
              <w:rPr>
                <w:rFonts w:hint="eastAsia"/>
                <w:b/>
                <w:bCs/>
                <w:sz w:val="24"/>
                <w:szCs w:val="24"/>
              </w:rPr>
              <w:t xml:space="preserve">1.15</w:t>
            </w:r>
            <w:r>
              <w:rPr>
                <w:rFonts w:hint="eastAsia"/>
                <w:b/>
                <w:bCs/>
                <w:sz w:val="24"/>
                <w:szCs w:val="24"/>
              </w:rPr>
              <w:t xml:space="preserve">、★应具备自检功能，可在运行过程中自动或定时对设备进行自检，当样机处于故障状态时，可给出故障报警信息并显示故障位置（提供具有</w:t>
            </w:r>
            <w:r>
              <w:rPr>
                <w:rFonts w:hint="eastAsia"/>
                <w:b/>
                <w:bCs/>
                <w:sz w:val="24"/>
                <w:szCs w:val="24"/>
              </w:rPr>
              <w:t xml:space="preserve">CMA</w:t>
            </w:r>
            <w:r>
              <w:rPr>
                <w:rFonts w:hint="eastAsia"/>
                <w:b/>
                <w:bCs/>
                <w:sz w:val="24"/>
                <w:szCs w:val="24"/>
              </w:rPr>
              <w:t xml:space="preserve">和</w:t>
            </w:r>
            <w:r>
              <w:rPr>
                <w:rFonts w:hint="eastAsia"/>
                <w:b/>
                <w:bCs/>
                <w:sz w:val="24"/>
                <w:szCs w:val="24"/>
              </w:rPr>
              <w:t xml:space="preserve">CNAS</w:t>
            </w:r>
            <w:r>
              <w:rPr>
                <w:rFonts w:hint="eastAsia"/>
                <w:b/>
                <w:bCs/>
                <w:sz w:val="24"/>
                <w:szCs w:val="24"/>
              </w:rPr>
              <w:t xml:space="preserve">认证的检测报告证明）</w:t>
            </w:r>
            <w:r/>
          </w:p>
          <w:p>
            <w:pPr>
              <w:ind w:firstLine="480"/>
              <w:spacing w:line="440" w:lineRule="exact"/>
              <w:rPr>
                <w:sz w:val="24"/>
                <w:szCs w:val="24"/>
              </w:rPr>
            </w:pPr>
            <w:r>
              <w:rPr>
                <w:rFonts w:hint="eastAsia"/>
                <w:sz w:val="24"/>
                <w:szCs w:val="24"/>
              </w:rPr>
              <w:t xml:space="preserve">1.16</w:t>
            </w:r>
            <w:r>
              <w:rPr>
                <w:rFonts w:hint="eastAsia"/>
                <w:sz w:val="24"/>
                <w:szCs w:val="24"/>
              </w:rPr>
              <w:t xml:space="preserve">、供电方式：</w:t>
            </w:r>
            <w:r>
              <w:rPr>
                <w:rFonts w:hint="eastAsia"/>
                <w:sz w:val="24"/>
                <w:szCs w:val="24"/>
              </w:rPr>
              <w:t xml:space="preserve">AC220V</w:t>
            </w:r>
            <w:r>
              <w:rPr>
                <w:rFonts w:hint="eastAsia"/>
                <w:sz w:val="24"/>
                <w:szCs w:val="24"/>
              </w:rPr>
              <w:t xml:space="preserve">；工作温度：</w:t>
            </w:r>
            <w:r>
              <w:rPr>
                <w:rFonts w:hint="eastAsia"/>
                <w:sz w:val="24"/>
                <w:szCs w:val="24"/>
              </w:rPr>
              <w:t xml:space="preserve">-40</w:t>
            </w:r>
            <w:r>
              <w:rPr>
                <w:rFonts w:hint="eastAsia"/>
                <w:sz w:val="24"/>
                <w:szCs w:val="24"/>
              </w:rPr>
              <w:t xml:space="preserve">℃</w:t>
            </w:r>
            <w:r>
              <w:rPr>
                <w:rFonts w:hint="eastAsia"/>
                <w:sz w:val="24"/>
                <w:szCs w:val="24"/>
              </w:rPr>
              <w:t xml:space="preserve">~60</w:t>
            </w:r>
            <w:r>
              <w:rPr>
                <w:rFonts w:hint="eastAsia"/>
                <w:sz w:val="24"/>
                <w:szCs w:val="24"/>
              </w:rPr>
              <w:t xml:space="preserve">℃；防护等级不低于</w:t>
            </w:r>
            <w:r>
              <w:rPr>
                <w:rFonts w:hint="eastAsia"/>
                <w:sz w:val="24"/>
                <w:szCs w:val="24"/>
              </w:rPr>
              <w:t xml:space="preserve">IP68</w:t>
            </w:r>
            <w:r/>
          </w:p>
          <w:p>
            <w:pPr>
              <w:ind w:firstLine="480"/>
              <w:spacing w:line="440" w:lineRule="exact"/>
              <w:rPr>
                <w:rFonts w:ascii="楷体" w:hAnsi="楷体" w:cs="宋体"/>
                <w:color w:val="000000"/>
              </w:rPr>
            </w:pPr>
            <w:r>
              <w:rPr>
                <w:rFonts w:hint="eastAsia"/>
                <w:b/>
                <w:bCs/>
                <w:sz w:val="24"/>
                <w:szCs w:val="24"/>
              </w:rPr>
              <w:t xml:space="preserve">1.17</w:t>
            </w:r>
            <w:r>
              <w:rPr>
                <w:rFonts w:hint="eastAsia"/>
                <w:b/>
                <w:bCs/>
                <w:sz w:val="24"/>
                <w:szCs w:val="24"/>
              </w:rPr>
              <w:t xml:space="preserve">、★防爆等级</w:t>
            </w:r>
            <w:r>
              <w:rPr>
                <w:rFonts w:hint="eastAsia"/>
                <w:b/>
                <w:bCs/>
                <w:sz w:val="24"/>
                <w:szCs w:val="24"/>
              </w:rPr>
              <w:t xml:space="preserve">Exd</w:t>
            </w:r>
            <w:r>
              <w:rPr>
                <w:rFonts w:hint="eastAsia"/>
                <w:b/>
                <w:bCs/>
                <w:sz w:val="24"/>
                <w:szCs w:val="24"/>
              </w:rPr>
              <w:t xml:space="preserve">Ⅱ</w:t>
            </w:r>
            <w:r>
              <w:rPr>
                <w:rFonts w:hint="eastAsia"/>
                <w:b/>
                <w:bCs/>
                <w:sz w:val="24"/>
                <w:szCs w:val="24"/>
              </w:rPr>
              <w:t xml:space="preserve">BT6 Gb/Ex tD A21 IP68 T80</w:t>
            </w:r>
            <w:r>
              <w:rPr>
                <w:rFonts w:hint="eastAsia"/>
                <w:b/>
                <w:bCs/>
                <w:sz w:val="24"/>
                <w:szCs w:val="24"/>
              </w:rPr>
              <w:t xml:space="preserve">℃（提供对应防爆等级的防爆合格证证明）</w:t>
            </w:r>
            <w:r/>
          </w:p>
        </w:tc>
      </w:tr>
    </w:tbl>
    <w:p>
      <w:pPr>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（二）</w:t>
      </w:r>
      <w:r>
        <w:rPr>
          <w:rFonts w:hint="eastAsia" w:ascii="Times New Roman" w:hAnsi="Times New Roman" w:eastAsia="宋体" w:cs="Times New Roman"/>
          <w:b/>
          <w:bCs/>
          <w:sz w:val="24"/>
          <w:szCs w:val="24"/>
        </w:rPr>
        <w:t xml:space="preserve"> </w:t>
      </w:r>
      <w:r>
        <w:rPr>
          <w:rFonts w:hint="eastAsia" w:ascii="Times New Roman" w:hAnsi="Times New Roman" w:eastAsia="宋体" w:cs="Times New Roman"/>
          <w:b/>
          <w:bCs/>
          <w:sz w:val="24"/>
          <w:szCs w:val="24"/>
        </w:rPr>
        <w:t xml:space="preserve">国产化应用环境改造与迁移</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2.1.</w:t>
      </w:r>
      <w:r>
        <w:rPr>
          <w:rFonts w:hint="eastAsia" w:ascii="Times New Roman" w:hAnsi="Times New Roman" w:eastAsia="宋体" w:cs="Times New Roman"/>
          <w:b/>
          <w:bCs/>
          <w:sz w:val="24"/>
          <w:szCs w:val="24"/>
        </w:rPr>
        <w:t xml:space="preserve">已有功能适配</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为适应国产化环境运行要求，对现有系统功能模块进行技术重构与架构优化，在保持原有业务功能基本不变的前提下，对系统架构、技术组件及数据访问方式进行改造，实现系统在国产操作系统及国产数据库环境下稳定运行。</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）适配功能模块</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）园区工作台</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智慧园区统一的应用工作台，包含智能搜索、业务中心、应用中心、事件中心等功能。</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）可视一张图</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实现园区概览及各专题信息统一集成展示，包括园区概况、安全专题、环保专题、应急专题、管廊专题等。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）园区档案管理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包括园区基础档案、环保档案、能源档案、封闭化档案等。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）企业档案管理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包括企业基础档案、企业概况、安全档案、环保档案等。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）环保管理应用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包括污染源在线监控、环境质量管理、特征污染物管理、危险废物管控、限值限量管理等。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）应急管理应用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包括应急基础管理、应急指挥调度、应急演练等。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hint="eastAsia" w:ascii="Times New Roman" w:hAnsi="Times New Roman" w:eastAsia="宋体" w:cs="Times New Roman"/>
          <w:sz w:val="24"/>
          <w:szCs w:val="24"/>
        </w:rPr>
        <w:t xml:space="preserve">）安全管理应用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包括安全基础管理、重大危险源安全管理、双重预防机制、特殊作业管理、易燃易爆有毒有害气体监测预警等。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）安全管理平台框架升级</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基于化工园区安全监管平台</w:t>
      </w:r>
      <w:r>
        <w:rPr>
          <w:rFonts w:hint="eastAsia" w:ascii="Times New Roman" w:hAnsi="Times New Roman" w:eastAsia="宋体" w:cs="Times New Roman"/>
          <w:sz w:val="24"/>
          <w:szCs w:val="24"/>
        </w:rPr>
        <w:t xml:space="preserve">V4.0</w:t>
      </w:r>
      <w:r>
        <w:rPr>
          <w:rFonts w:hint="eastAsia" w:ascii="Times New Roman" w:hAnsi="Times New Roman" w:eastAsia="宋体" w:cs="Times New Roman"/>
          <w:sz w:val="24"/>
          <w:szCs w:val="24"/>
        </w:rPr>
        <w:t xml:space="preserve">新架构与新要求，对平台进行整体技术升级。前端界面全面重构，优化交互体验与视觉呈现；后端业务逻辑重新梳理，提升系统响应速度与处理能力；整体技术</w:t>
      </w:r>
      <w:r>
        <w:rPr>
          <w:rFonts w:hint="eastAsia" w:ascii="Times New Roman" w:hAnsi="Times New Roman" w:eastAsia="宋体" w:cs="Times New Roman"/>
          <w:sz w:val="24"/>
          <w:szCs w:val="24"/>
        </w:rPr>
        <w:t xml:space="preserve">栈</w:t>
      </w:r>
      <w:r>
        <w:rPr>
          <w:rFonts w:hint="eastAsia" w:ascii="Times New Roman" w:hAnsi="Times New Roman" w:eastAsia="宋体" w:cs="Times New Roman"/>
          <w:sz w:val="24"/>
          <w:szCs w:val="24"/>
        </w:rPr>
        <w:t xml:space="preserve">向国产化环境适配，确保系统框架达到最新技术标准。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）网格巡检应用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包括巡检登记、网格信息管理、巡检记录、隐患记录、巡检统计等。</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）其他配套应用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包括视频监控中心、产品</w:t>
      </w:r>
      <w:r>
        <w:rPr>
          <w:rFonts w:hint="eastAsia" w:ascii="Times New Roman" w:hAnsi="Times New Roman" w:eastAsia="宋体" w:cs="Times New Roman"/>
          <w:sz w:val="24"/>
          <w:szCs w:val="24"/>
        </w:rPr>
        <w:t xml:space="preserve">互供应</w:t>
      </w:r>
      <w:r>
        <w:rPr>
          <w:rFonts w:hint="eastAsia" w:ascii="Times New Roman" w:hAnsi="Times New Roman" w:eastAsia="宋体" w:cs="Times New Roman"/>
          <w:sz w:val="24"/>
          <w:szCs w:val="24"/>
        </w:rPr>
        <w:t xml:space="preserve">用、承包商考评应用、动态填报应用、数据上报应用、电子地图、通讯录管理、企业门户应用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）改造技术路线</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本次改造以实现系统在国产化软硬件环境下稳定运行为目标，在保持原有业务功能基本不变的前提下，对系统运行环境、数据库系统、应用架构及相关技术组件进行适配改造。改造过程中遵循“环境先行、分层改造、逐步适配、平稳迁移”的原则，通过对平台运行环境和技术架构进行系统化调整，实现平台对国产操作系统和国产数据库的全面适配，确保系统在国产化环境下稳定、安全、高效运行。</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）操作系统适配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平台运行环境将统一迁移至国产化操作系统环境下运行。为确保系统在国产操作系统环境下稳定运行，需要对系统运行环境和相关组件进行适配改造，并经测试稳定运行。</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）数据库适配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现有系统数据库将由原数据库系统迁移至国产数据库。在数据库适配过程中，需要对数据库结构、数据类型、</w:t>
      </w:r>
      <w:r>
        <w:rPr>
          <w:rFonts w:hint="eastAsia" w:ascii="Times New Roman" w:hAnsi="Times New Roman" w:eastAsia="宋体" w:cs="Times New Roman"/>
          <w:sz w:val="24"/>
          <w:szCs w:val="24"/>
        </w:rPr>
        <w:t xml:space="preserve">SQL</w:t>
      </w:r>
      <w:r>
        <w:rPr>
          <w:rFonts w:hint="eastAsia" w:ascii="Times New Roman" w:hAnsi="Times New Roman" w:eastAsia="宋体" w:cs="Times New Roman"/>
          <w:sz w:val="24"/>
          <w:szCs w:val="24"/>
        </w:rPr>
        <w:t xml:space="preserve">语句及数据库对象进行兼容性改造，并经测试稳定运行。</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）应用系统架构改造</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为适应国产数据库和国产操作系统运行环境，需要对系统应用架构进行适配优化，提高系统对国产化环境的兼容性。</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）应用界面适配</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进行代码审查与兼容性改造，在国产操作系统等正常稳定情况下，确保软件功能完整和功能性能达标。包括页面样式改造、前端改造、地图改造、统计图改造等。</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）系统部署与运行环境重构</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在完成系统适配改造后，系统统一部署至国产化云平台运行，通过</w:t>
      </w:r>
      <w:r>
        <w:rPr>
          <w:rFonts w:hint="eastAsia" w:ascii="Times New Roman" w:hAnsi="Times New Roman" w:eastAsia="宋体" w:cs="Times New Roman"/>
          <w:sz w:val="24"/>
          <w:szCs w:val="24"/>
        </w:rPr>
        <w:t xml:space="preserve">云化部署</w:t>
      </w:r>
      <w:r>
        <w:rPr>
          <w:rFonts w:hint="eastAsia" w:ascii="Times New Roman" w:hAnsi="Times New Roman" w:eastAsia="宋体" w:cs="Times New Roman"/>
          <w:sz w:val="24"/>
          <w:szCs w:val="24"/>
        </w:rPr>
        <w:t xml:space="preserve">方式实现系统资源的统一管理和灵活扩展。</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在国产化</w:t>
      </w:r>
      <w:r>
        <w:rPr>
          <w:rFonts w:hint="eastAsia" w:ascii="Times New Roman" w:hAnsi="Times New Roman" w:eastAsia="宋体" w:cs="Times New Roman"/>
          <w:sz w:val="24"/>
          <w:szCs w:val="24"/>
        </w:rPr>
        <w:t xml:space="preserve">云环境</w:t>
      </w:r>
      <w:r>
        <w:rPr>
          <w:rFonts w:hint="eastAsia" w:ascii="Times New Roman" w:hAnsi="Times New Roman" w:eastAsia="宋体" w:cs="Times New Roman"/>
          <w:sz w:val="24"/>
          <w:szCs w:val="24"/>
        </w:rPr>
        <w:t xml:space="preserve">中规划系统运行所需的计算资源、存储资源及网络资源，构建系统运行所需的基础环境，完成系统应用服务、数据库服务及相关组件的部署配置，并通过云平台实现系统运行资源的统一管理。</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在系统部署完成后开展系统整体联调测试，包括功能测试、性能测试及稳定性测试，确保系统在国产化</w:t>
      </w:r>
      <w:r>
        <w:rPr>
          <w:rFonts w:hint="eastAsia" w:ascii="Times New Roman" w:hAnsi="Times New Roman" w:eastAsia="宋体" w:cs="Times New Roman"/>
          <w:sz w:val="24"/>
          <w:szCs w:val="24"/>
        </w:rPr>
        <w:t xml:space="preserve">云环境</w:t>
      </w:r>
      <w:r>
        <w:rPr>
          <w:rFonts w:hint="eastAsia" w:ascii="Times New Roman" w:hAnsi="Times New Roman" w:eastAsia="宋体" w:cs="Times New Roman"/>
          <w:sz w:val="24"/>
          <w:szCs w:val="24"/>
        </w:rPr>
        <w:t xml:space="preserve">下运行稳定可靠，并完成系统正式上线运行。</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2.2.</w:t>
      </w:r>
      <w:r>
        <w:rPr>
          <w:rFonts w:hint="eastAsia" w:ascii="Times New Roman" w:hAnsi="Times New Roman" w:eastAsia="宋体" w:cs="Times New Roman"/>
          <w:b/>
          <w:bCs/>
          <w:sz w:val="24"/>
          <w:szCs w:val="24"/>
        </w:rPr>
        <w:t xml:space="preserve">国产化环境迁移</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）业务应用迁移</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按照上述梳理平台业务模块，按要求将平台迁移至国产化云，并按实际需求实现数据交换和应用跨网穿透式访问，确保系统在国产化环境下可正常运行。</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）历史数据迁移</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梳理智慧园区平台所有业务历史数据的结构、来源、数据项定义、取值等现状，研究新旧数据库结构的差异，评估和选择数据移植的软硬件平台、选择数据移植方法、选择数据备份和恢复策略、设计数据移植、测试方案和数据迁移等。</w:t>
      </w:r>
      <w:r/>
    </w:p>
    <w:p>
      <w:pPr>
        <w:ind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）迁移数据重构</w:t>
      </w:r>
      <w:r/>
    </w:p>
    <w:p>
      <w:pPr>
        <w:ind w:firstLine="480"/>
        <w:spacing w:line="440" w:lineRule="exact"/>
        <w:rPr>
          <w:rFonts w:ascii="宋体" w:hAnsi="宋体" w:eastAsia="宋体" w:cs="宋体"/>
          <w:bCs/>
          <w:spacing w:val="8"/>
          <w:sz w:val="24"/>
          <w:szCs w:val="24"/>
        </w:rPr>
      </w:pPr>
      <w:r>
        <w:rPr>
          <w:rFonts w:hint="eastAsia" w:ascii="Times New Roman" w:hAnsi="Times New Roman" w:eastAsia="宋体" w:cs="Times New Roman"/>
          <w:i/>
          <w:sz w:val="24"/>
          <w:szCs w:val="24"/>
          <w:u w:val="single"/>
        </w:rPr>
        <w:t xml:space="preserve">在完成历史数据迁移至国产化</w:t>
      </w:r>
      <w:r>
        <w:rPr>
          <w:rFonts w:hint="eastAsia" w:ascii="Times New Roman" w:hAnsi="Times New Roman" w:eastAsia="宋体" w:cs="Times New Roman"/>
          <w:i/>
          <w:sz w:val="24"/>
          <w:szCs w:val="24"/>
          <w:u w:val="single"/>
        </w:rPr>
        <w:t xml:space="preserve">云环境</w:t>
      </w:r>
      <w:r>
        <w:rPr>
          <w:rFonts w:hint="eastAsia" w:ascii="Times New Roman" w:hAnsi="Times New Roman" w:eastAsia="宋体" w:cs="Times New Roman"/>
          <w:i/>
          <w:sz w:val="24"/>
          <w:szCs w:val="24"/>
          <w:u w:val="single"/>
        </w:rPr>
        <w:t xml:space="preserve">的基础上，本项目将同步开展数据存储体系重构工作，对原有环保、安全、应急、封闭化等业务系统分散建设、标准不统一、重复维护严重的数据体系进行整体优化。通过开展数据资产梳理、统一数据标准建设、主数据管理体系构建以及融合数据资源库建设等工作，逐步形成统一规范的数据管理体系，实现园区数据统一来源、统一管理与融合共享，全面提升智慧园区数据治理能力和数据支撑能力。</w:t>
      </w:r>
      <w:r/>
    </w:p>
    <w:p>
      <w:pPr>
        <w:spacing w:line="440" w:lineRule="exact"/>
        <w:rPr>
          <w:rFonts w:ascii="Times New Roman" w:hAnsi="Times New Roman" w:eastAsia="宋体" w:cs="Times New Roman"/>
          <w:b/>
          <w:bCs/>
          <w:sz w:val="28"/>
          <w:szCs w:val="28"/>
        </w:rPr>
        <w:outlineLvl w:val="1"/>
      </w:pPr>
      <w:r/>
      <w:bookmarkStart w:id="332" w:name="_Toc226731611"/>
      <w:r/>
      <w:bookmarkStart w:id="333" w:name="_Toc227573369"/>
      <w:r>
        <w:rPr>
          <w:rFonts w:hint="eastAsia" w:ascii="Times New Roman" w:hAnsi="Times New Roman" w:eastAsia="宋体" w:cs="Times New Roman"/>
          <w:b/>
          <w:bCs/>
          <w:sz w:val="28"/>
          <w:szCs w:val="28"/>
        </w:rPr>
        <w:t xml:space="preserve">三、人员配置要求</w:t>
      </w:r>
      <w:bookmarkEnd w:id="332"/>
      <w:r/>
      <w:bookmarkEnd w:id="333"/>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投标人应为本项目投入项目负责人</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名、</w:t>
      </w:r>
      <w:r>
        <w:rPr>
          <w:rFonts w:hint="eastAsia" w:ascii="Times New Roman" w:hAnsi="Times New Roman" w:eastAsia="宋体" w:cs="Times New Roman"/>
          <w:sz w:val="24"/>
          <w:szCs w:val="24"/>
        </w:rPr>
        <w:t xml:space="preserve">技术负责人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名、</w:t>
      </w:r>
      <w:r>
        <w:rPr>
          <w:rFonts w:ascii="Times New Roman" w:hAnsi="Times New Roman" w:eastAsia="宋体" w:cs="Times New Roman"/>
          <w:sz w:val="24"/>
          <w:szCs w:val="24"/>
        </w:rPr>
        <w:t xml:space="preserve">其他技术人员若干，并具备承接本项目的专业技术能力，具体如下：</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负责人职责：统筹软件升级、项目全生命周期管理、制定实施计划、把控进度质量、负责项目规划运维、技术方案审核、全流程信息安全管控、协调各方资源、保障项目按期交付。应具有信息系统项目管理师、系统规划与管理师、高级工程师（电子信息）证书</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技术负责人协助项目负责人开展技术管控、统筹技术团队、负责数据库适配、迁移及运维，落实核心技术实施及难题攻坚，编制技术材料、开展技术交底，保障技术工作合</w:t>
      </w:r>
      <w:r>
        <w:rPr>
          <w:rFonts w:hint="eastAsia" w:ascii="Times New Roman" w:hAnsi="Times New Roman" w:eastAsia="宋体" w:cs="Times New Roman"/>
          <w:sz w:val="24"/>
          <w:szCs w:val="24"/>
        </w:rPr>
        <w:t xml:space="preserve">规</w:t>
      </w:r>
      <w:r>
        <w:rPr>
          <w:rFonts w:hint="eastAsia" w:ascii="Times New Roman" w:hAnsi="Times New Roman" w:eastAsia="宋体" w:cs="Times New Roman"/>
          <w:sz w:val="24"/>
          <w:szCs w:val="24"/>
        </w:rPr>
        <w:t xml:space="preserve">落地。应具有信息系统项目管理师、数据库系统工程师证书</w:t>
      </w:r>
      <w:r>
        <w:rPr>
          <w:rFonts w:ascii="Times New Roman" w:hAnsi="Times New Roman" w:eastAsia="宋体" w:cs="Times New Roman"/>
          <w:sz w:val="24"/>
          <w:szCs w:val="24"/>
        </w:rPr>
        <w:t xml:space="preserve">。</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）项目团队人员（项目负责人、技术负责人除外），具有系统分析师、信息安全工程师、网络工程师证书。</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投标人在投标（响应）文件中承诺配备人员即实际提供履约服务的人员，非经采购人允许，不得随意更换。如确需更换的，需保证服务人员的职称、证书、资历等要求不低于投标（响应）文件中承诺人员，否则视为供应商违约。</w:t>
      </w:r>
      <w:r/>
    </w:p>
    <w:p>
      <w:pPr>
        <w:spacing w:line="440" w:lineRule="exact"/>
        <w:rPr>
          <w:rFonts w:ascii="Times New Roman" w:hAnsi="Times New Roman" w:eastAsia="宋体" w:cs="Times New Roman"/>
          <w:b/>
          <w:bCs/>
          <w:sz w:val="28"/>
          <w:szCs w:val="28"/>
        </w:rPr>
        <w:outlineLvl w:val="1"/>
      </w:pPr>
      <w:r/>
      <w:bookmarkStart w:id="334" w:name="_Toc226731612"/>
      <w:r/>
      <w:bookmarkStart w:id="335" w:name="_Toc227573370"/>
      <w:r>
        <w:rPr>
          <w:rFonts w:hint="eastAsia" w:ascii="Times New Roman" w:hAnsi="Times New Roman" w:eastAsia="宋体" w:cs="Times New Roman"/>
          <w:b/>
          <w:bCs/>
          <w:sz w:val="28"/>
          <w:szCs w:val="28"/>
        </w:rPr>
        <w:t xml:space="preserve">四、报价要求</w:t>
      </w:r>
      <w:bookmarkEnd w:id="334"/>
      <w:r/>
      <w:bookmarkEnd w:id="335"/>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w:t>
      </w:r>
      <w:r>
        <w:rPr>
          <w:rFonts w:ascii="宋体" w:hAnsi="宋体" w:eastAsia="宋体" w:cs="Times New Roman"/>
          <w:b/>
          <w:sz w:val="24"/>
          <w:szCs w:val="24"/>
        </w:rPr>
        <w:t xml:space="preserve">283.00</w:t>
      </w:r>
      <w:r>
        <w:rPr>
          <w:rFonts w:hint="eastAsia" w:ascii="宋体" w:hAnsi="宋体" w:eastAsia="宋体" w:cs="Times New Roman"/>
          <w:b/>
          <w:sz w:val="24"/>
          <w:szCs w:val="24"/>
        </w:rPr>
        <w:t xml:space="preserve">万元，投标人的报价不得超过采购预算，否则将作无效投标处理。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报价应以人民币报价，投标总价包括：软件费以及软件升级费、运维服务费、数据对接费、云平台服务费</w:t>
      </w:r>
      <w:r>
        <w:rPr>
          <w:rFonts w:ascii="宋体" w:hAnsi="宋体" w:eastAsia="宋体" w:cs="Times New Roman"/>
          <w:sz w:val="24"/>
          <w:szCs w:val="24"/>
        </w:rPr>
        <w:t xml:space="preserve">、</w:t>
      </w:r>
      <w:r>
        <w:rPr>
          <w:rFonts w:hint="eastAsia" w:ascii="宋体" w:hAnsi="宋体" w:eastAsia="宋体" w:cs="Times New Roman"/>
          <w:sz w:val="24"/>
          <w:szCs w:val="24"/>
        </w:rPr>
        <w:t xml:space="preserve">硬件设备、</w:t>
      </w:r>
      <w:r>
        <w:rPr>
          <w:rFonts w:ascii="宋体" w:hAnsi="宋体" w:eastAsia="宋体" w:cs="Times New Roman"/>
          <w:sz w:val="24"/>
          <w:szCs w:val="24"/>
        </w:rPr>
        <w:t xml:space="preserve">培训费、工作人员的工资、福利、食宿、交通、通信以及项目利润、税金等所有费用，采购人不再为本项目支付其它任何费用。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336" w:name="_Toc226731613"/>
      <w:r/>
      <w:bookmarkStart w:id="337" w:name="_Toc227573371"/>
      <w:r>
        <w:rPr>
          <w:rFonts w:hint="eastAsia" w:ascii="Times New Roman" w:hAnsi="Times New Roman" w:eastAsia="宋体" w:cs="Times New Roman"/>
          <w:b/>
          <w:bCs/>
          <w:sz w:val="28"/>
          <w:szCs w:val="28"/>
        </w:rPr>
        <w:t xml:space="preserve">五、验收要求：</w:t>
      </w:r>
      <w:bookmarkEnd w:id="336"/>
      <w:r/>
      <w:bookmarkEnd w:id="337"/>
      <w:r/>
      <w:r/>
    </w:p>
    <w:p>
      <w:pPr>
        <w:ind w:firstLine="480"/>
        <w:spacing w:line="44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ascii="Times New Roman" w:hAnsi="Times New Roman" w:eastAsia="宋体" w:cs="Times New Roman"/>
          <w:sz w:val="24"/>
          <w:szCs w:val="20"/>
        </w:rPr>
        <w:t xml:space="preserve">、由采购人组织相关业务部门及专家组成验收组对项目进行验收。</w:t>
      </w:r>
      <w:r/>
    </w:p>
    <w:p>
      <w:pPr>
        <w:ind w:firstLine="480"/>
        <w:spacing w:line="44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ascii="Times New Roman" w:hAnsi="Times New Roman" w:eastAsia="宋体" w:cs="Times New Roman"/>
          <w:sz w:val="24"/>
          <w:szCs w:val="20"/>
        </w:rPr>
        <w:t xml:space="preserve">、验收组对照合同内容、国家相关标准、行业通行标准、招标文件要求和投标人投标文件的承诺等，逐项对常熟经开区智慧园区平台</w:t>
      </w:r>
      <w:r>
        <w:rPr>
          <w:rFonts w:hint="eastAsia" w:ascii="Times New Roman" w:hAnsi="Times New Roman" w:eastAsia="宋体" w:cs="Times New Roman"/>
          <w:sz w:val="24"/>
          <w:szCs w:val="20"/>
        </w:rPr>
        <w:t xml:space="preserve">二期</w:t>
      </w:r>
      <w:r>
        <w:rPr>
          <w:rFonts w:ascii="Times New Roman" w:hAnsi="Times New Roman" w:eastAsia="宋体" w:cs="Times New Roman"/>
          <w:sz w:val="24"/>
          <w:szCs w:val="20"/>
        </w:rPr>
        <w:t xml:space="preserve">建设情况进行评估验收。</w:t>
      </w:r>
      <w:r/>
    </w:p>
    <w:p>
      <w:pPr>
        <w:ind w:firstLine="480"/>
        <w:spacing w:line="440" w:lineRule="exact"/>
        <w:widowControl/>
        <w:rPr>
          <w:rFonts w:ascii="Times New Roman" w:hAnsi="Times New Roman" w:eastAsia="宋体" w:cs="Times New Roman"/>
          <w:b/>
          <w:sz w:val="24"/>
          <w:szCs w:val="24"/>
        </w:rPr>
      </w:pPr>
      <w:r>
        <w:rPr>
          <w:rFonts w:ascii="Times New Roman" w:hAnsi="Times New Roman" w:eastAsia="宋体" w:cs="Times New Roman"/>
          <w:sz w:val="24"/>
          <w:szCs w:val="20"/>
        </w:rPr>
        <w:t xml:space="preserve">3</w:t>
      </w:r>
      <w:r>
        <w:rPr>
          <w:rFonts w:ascii="Times New Roman" w:hAnsi="Times New Roman" w:eastAsia="宋体" w:cs="Times New Roman"/>
          <w:sz w:val="24"/>
          <w:szCs w:val="20"/>
        </w:rPr>
        <w:t xml:space="preserve">、验收组根据平台建设情况，形成正确、公正、客观的验收结论。</w:t>
      </w:r>
      <w:r>
        <w:rPr>
          <w:rFonts w:hint="eastAsia" w:ascii="Times New Roman" w:hAnsi="Times New Roman" w:eastAsia="宋体" w:cs="Times New Roman"/>
          <w:sz w:val="24"/>
          <w:szCs w:val="20"/>
        </w:rPr>
        <w:t xml:space="preserve">验收</w:t>
      </w:r>
      <w:r>
        <w:rPr>
          <w:rFonts w:ascii="Times New Roman" w:hAnsi="Times New Roman" w:eastAsia="宋体" w:cs="Times New Roman"/>
          <w:sz w:val="24"/>
          <w:szCs w:val="20"/>
        </w:rPr>
        <w:t xml:space="preserve">通过的，采购人</w:t>
      </w:r>
      <w:r>
        <w:rPr>
          <w:rFonts w:hint="eastAsia" w:ascii="Times New Roman" w:hAnsi="Times New Roman" w:eastAsia="宋体" w:cs="Times New Roman"/>
          <w:sz w:val="24"/>
          <w:szCs w:val="20"/>
        </w:rPr>
        <w:t xml:space="preserve">支付</w:t>
      </w:r>
      <w:r>
        <w:rPr>
          <w:rFonts w:ascii="Times New Roman" w:hAnsi="Times New Roman" w:eastAsia="宋体" w:cs="Times New Roman"/>
          <w:sz w:val="24"/>
          <w:szCs w:val="20"/>
        </w:rPr>
        <w:t xml:space="preserve">对应款项，验收组有权对平台建设中存在的主要问题提出整改意见或建议，中标人应在采购人限定的时间内根据采购人的要求进行补救措施，由此产生的一切费用及责任等均由中标人承担</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中标人整改后</w:t>
      </w:r>
      <w:r>
        <w:rPr>
          <w:rFonts w:hint="eastAsia" w:ascii="Times New Roman" w:hAnsi="Times New Roman" w:eastAsia="宋体" w:cs="Times New Roman"/>
          <w:b/>
          <w:sz w:val="24"/>
          <w:szCs w:val="24"/>
        </w:rPr>
        <w:t xml:space="preserve">由</w:t>
      </w:r>
      <w:r>
        <w:rPr>
          <w:rFonts w:ascii="Times New Roman" w:hAnsi="Times New Roman" w:eastAsia="宋体" w:cs="Times New Roman"/>
          <w:b/>
          <w:sz w:val="24"/>
          <w:szCs w:val="24"/>
        </w:rPr>
        <w:t xml:space="preserve">采购人进行二次验收，验收通过的，</w:t>
      </w:r>
      <w:r>
        <w:rPr>
          <w:rFonts w:hint="eastAsia" w:ascii="Times New Roman" w:hAnsi="Times New Roman" w:eastAsia="宋体" w:cs="Times New Roman"/>
          <w:b/>
          <w:sz w:val="24"/>
          <w:szCs w:val="20"/>
        </w:rPr>
        <w:t xml:space="preserve">采购人支付对应款项，否则采购人有权无条件终止合同，并不承担任何违约风险。</w:t>
      </w:r>
      <w:r/>
    </w:p>
    <w:p>
      <w:pPr>
        <w:spacing w:line="440" w:lineRule="exact"/>
        <w:rPr>
          <w:rFonts w:ascii="Times New Roman" w:hAnsi="Times New Roman" w:eastAsia="宋体" w:cs="Times New Roman"/>
          <w:b/>
          <w:bCs/>
          <w:sz w:val="28"/>
          <w:szCs w:val="28"/>
        </w:rPr>
        <w:outlineLvl w:val="1"/>
      </w:pPr>
      <w:r/>
      <w:bookmarkStart w:id="338" w:name="_Toc226731614"/>
      <w:r/>
      <w:bookmarkStart w:id="339" w:name="_Toc227573372"/>
      <w:r>
        <w:rPr>
          <w:rFonts w:hint="eastAsia" w:ascii="Times New Roman" w:hAnsi="Times New Roman" w:eastAsia="宋体" w:cs="Times New Roman"/>
          <w:b/>
          <w:bCs/>
          <w:sz w:val="28"/>
          <w:szCs w:val="28"/>
        </w:rPr>
        <w:t xml:space="preserve">六、运维服务要求：</w:t>
      </w:r>
      <w:bookmarkEnd w:id="338"/>
      <w:r/>
      <w:bookmarkEnd w:id="339"/>
      <w:r/>
      <w:r/>
    </w:p>
    <w:p>
      <w:pPr>
        <w:ind w:firstLine="480"/>
        <w:spacing w:line="440" w:lineRule="exact"/>
        <w:rPr>
          <w:rFonts w:ascii="Times New Roman" w:hAnsi="Times New Roman" w:eastAsia="宋体" w:cs="Times New Roman"/>
          <w:sz w:val="24"/>
          <w:lang w:val="zh-CN"/>
        </w:rPr>
      </w:pPr>
      <w:r>
        <w:rPr>
          <w:rFonts w:ascii="Times New Roman" w:hAnsi="Times New Roman" w:eastAsia="宋体" w:cs="Times New Roman"/>
          <w:sz w:val="24"/>
        </w:rPr>
        <w:t xml:space="preserve">1</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zh-CN"/>
        </w:rPr>
        <w:t xml:space="preserve">在本项目运维服务期内，中标人需对项目工作人员及运维服务工作严格管理，项目负责人必须每周向采购人汇报工作进度、问题及下阶段工作计划，确保正常运行。服务期内，</w:t>
      </w:r>
      <w:r>
        <w:rPr>
          <w:rFonts w:ascii="Times New Roman" w:hAnsi="Times New Roman" w:eastAsia="宋体" w:cs="Times New Roman"/>
          <w:bCs/>
          <w:sz w:val="24"/>
          <w:szCs w:val="24"/>
          <w:lang w:val="zh-CN"/>
        </w:rPr>
        <w:t xml:space="preserve">采</w:t>
      </w:r>
      <w:r>
        <w:rPr>
          <w:rFonts w:hint="eastAsia" w:ascii="Times New Roman" w:hAnsi="Times New Roman" w:eastAsia="宋体" w:cs="Times New Roman"/>
          <w:sz w:val="24"/>
          <w:lang w:val="zh-CN"/>
        </w:rPr>
        <w:t xml:space="preserve">中标人项目负责人及技术运</w:t>
      </w:r>
      <w:r>
        <w:rPr>
          <w:rFonts w:hint="eastAsia" w:ascii="Times New Roman" w:hAnsi="Times New Roman" w:eastAsia="宋体" w:cs="Times New Roman"/>
          <w:sz w:val="24"/>
          <w:lang w:val="zh-CN"/>
        </w:rPr>
        <w:t xml:space="preserve">维人员</w:t>
      </w:r>
      <w:r>
        <w:rPr>
          <w:rFonts w:hint="eastAsia" w:ascii="Times New Roman" w:hAnsi="Times New Roman" w:eastAsia="宋体" w:cs="Times New Roman"/>
          <w:sz w:val="24"/>
          <w:lang w:val="zh-CN"/>
        </w:rPr>
        <w:t xml:space="preserve">不得更换，如因特殊原因确实需要变更的必须经采购人同意。</w:t>
      </w:r>
      <w:r/>
    </w:p>
    <w:p>
      <w:pPr>
        <w:ind w:firstLine="480"/>
        <w:spacing w:line="440" w:lineRule="exact"/>
        <w:rPr>
          <w:rFonts w:ascii="Times New Roman" w:hAnsi="Times New Roman" w:eastAsia="宋体" w:cs="Times New Roman"/>
          <w:sz w:val="24"/>
        </w:rPr>
      </w:pPr>
      <w:r>
        <w:rPr>
          <w:rFonts w:ascii="Times New Roman" w:hAnsi="Times New Roman" w:eastAsia="宋体" w:cs="Times New Roman"/>
          <w:sz w:val="24"/>
        </w:rPr>
        <w:t xml:space="preserve">2</w:t>
      </w:r>
      <w:r>
        <w:rPr>
          <w:rFonts w:hint="eastAsia" w:ascii="Times New Roman" w:hAnsi="Times New Roman" w:eastAsia="宋体" w:cs="Times New Roman"/>
          <w:sz w:val="24"/>
        </w:rPr>
        <w:t xml:space="preserve">、投标人应在本项目运维服务期内提供</w:t>
      </w:r>
      <w:r>
        <w:rPr>
          <w:rFonts w:ascii="Times New Roman" w:hAnsi="Times New Roman" w:eastAsia="宋体" w:cs="Times New Roman"/>
          <w:sz w:val="24"/>
        </w:rPr>
        <w:t xml:space="preserve">7×24</w:t>
      </w:r>
      <w:r>
        <w:rPr>
          <w:rFonts w:ascii="Times New Roman" w:hAnsi="Times New Roman" w:eastAsia="宋体" w:cs="Times New Roman"/>
          <w:sz w:val="24"/>
        </w:rPr>
        <w:t xml:space="preserve">小时的</w:t>
      </w:r>
      <w:r>
        <w:rPr>
          <w:rFonts w:hint="eastAsia" w:ascii="Times New Roman" w:hAnsi="Times New Roman" w:eastAsia="宋体" w:cs="Times New Roman"/>
          <w:sz w:val="24"/>
        </w:rPr>
        <w:t xml:space="preserve">请求服务响应，</w:t>
      </w:r>
      <w:r>
        <w:rPr>
          <w:rFonts w:ascii="Times New Roman" w:hAnsi="Times New Roman" w:eastAsia="宋体" w:cs="Times New Roman"/>
          <w:sz w:val="24"/>
        </w:rPr>
        <w:t xml:space="preserve">在接到</w:t>
      </w:r>
      <w:r>
        <w:rPr>
          <w:rFonts w:hint="eastAsia" w:ascii="Times New Roman" w:hAnsi="Times New Roman" w:eastAsia="宋体" w:cs="Times New Roman"/>
          <w:sz w:val="24"/>
        </w:rPr>
        <w:t xml:space="preserve">采购人提出的</w:t>
      </w:r>
      <w:r>
        <w:rPr>
          <w:rFonts w:ascii="Times New Roman" w:hAnsi="Times New Roman" w:eastAsia="宋体" w:cs="Times New Roman"/>
          <w:sz w:val="24"/>
        </w:rPr>
        <w:t xml:space="preserve">现场应急故障处理</w:t>
      </w:r>
      <w:r>
        <w:rPr>
          <w:rFonts w:hint="eastAsia" w:ascii="Times New Roman" w:hAnsi="Times New Roman" w:eastAsia="宋体" w:cs="Times New Roman"/>
          <w:sz w:val="24"/>
        </w:rPr>
        <w:t xml:space="preserve">服务要求时，应在</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小时内响应，到达</w:t>
      </w:r>
      <w:r>
        <w:rPr>
          <w:rFonts w:ascii="Times New Roman" w:hAnsi="Times New Roman" w:eastAsia="宋体" w:cs="Times New Roman"/>
          <w:sz w:val="24"/>
        </w:rPr>
        <w:t xml:space="preserve">现场时间不</w:t>
      </w:r>
      <w:r>
        <w:rPr>
          <w:rFonts w:hint="eastAsia" w:ascii="Times New Roman" w:hAnsi="Times New Roman" w:eastAsia="宋体" w:cs="Times New Roman"/>
          <w:sz w:val="24"/>
        </w:rPr>
        <w:t xml:space="preserve">得</w:t>
      </w:r>
      <w:r>
        <w:rPr>
          <w:rFonts w:ascii="Times New Roman" w:hAnsi="Times New Roman" w:eastAsia="宋体" w:cs="Times New Roman"/>
          <w:sz w:val="24"/>
        </w:rPr>
        <w:t xml:space="preserve">超过</w:t>
      </w:r>
      <w:r>
        <w:rPr>
          <w:rFonts w:ascii="Times New Roman" w:hAnsi="Times New Roman" w:eastAsia="宋体" w:cs="Times New Roman"/>
          <w:sz w:val="24"/>
        </w:rPr>
        <w:t xml:space="preserve">4</w:t>
      </w:r>
      <w:r>
        <w:rPr>
          <w:rFonts w:ascii="Times New Roman" w:hAnsi="Times New Roman" w:eastAsia="宋体" w:cs="Times New Roman"/>
          <w:sz w:val="24"/>
        </w:rPr>
        <w:t xml:space="preserve">小时</w:t>
      </w: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工作日</w:t>
      </w:r>
      <w:r>
        <w:rPr>
          <w:rFonts w:hint="eastAsia" w:ascii="Times New Roman" w:hAnsi="Times New Roman" w:eastAsia="宋体" w:cs="Times New Roman"/>
          <w:sz w:val="24"/>
        </w:rPr>
        <w:t xml:space="preserve">处理故障的时间</w:t>
      </w:r>
      <w:r>
        <w:rPr>
          <w:rFonts w:ascii="Times New Roman" w:hAnsi="Times New Roman" w:eastAsia="宋体" w:cs="Times New Roman"/>
          <w:sz w:val="24"/>
        </w:rPr>
        <w:t xml:space="preserve">不</w:t>
      </w:r>
      <w:r>
        <w:rPr>
          <w:rFonts w:hint="eastAsia" w:ascii="Times New Roman" w:hAnsi="Times New Roman" w:eastAsia="宋体" w:cs="Times New Roman"/>
          <w:sz w:val="24"/>
        </w:rPr>
        <w:t xml:space="preserve">得</w:t>
      </w:r>
      <w:r>
        <w:rPr>
          <w:rFonts w:ascii="Times New Roman" w:hAnsi="Times New Roman" w:eastAsia="宋体" w:cs="Times New Roman"/>
          <w:sz w:val="24"/>
        </w:rPr>
        <w:t xml:space="preserve">超过</w:t>
      </w:r>
      <w:r>
        <w:rPr>
          <w:rFonts w:ascii="Times New Roman" w:hAnsi="Times New Roman" w:eastAsia="宋体" w:cs="Times New Roman"/>
          <w:sz w:val="24"/>
        </w:rPr>
        <w:t xml:space="preserve">2</w:t>
      </w:r>
      <w:r>
        <w:rPr>
          <w:rFonts w:ascii="Times New Roman" w:hAnsi="Times New Roman" w:eastAsia="宋体" w:cs="Times New Roman"/>
          <w:sz w:val="24"/>
        </w:rPr>
        <w:t xml:space="preserve">小时</w:t>
      </w:r>
      <w:r>
        <w:rPr>
          <w:rFonts w:hint="eastAsia" w:ascii="Times New Roman" w:hAnsi="Times New Roman" w:eastAsia="宋体" w:cs="Times New Roman"/>
          <w:sz w:val="24"/>
        </w:rPr>
        <w:t xml:space="preserve">，若</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小时内无法排除故障则应</w:t>
      </w:r>
      <w:r>
        <w:rPr>
          <w:rFonts w:ascii="Times New Roman" w:hAnsi="Times New Roman" w:eastAsia="宋体" w:cs="Times New Roman"/>
          <w:sz w:val="24"/>
        </w:rPr>
        <w:t xml:space="preserve">在</w:t>
      </w:r>
      <w:r>
        <w:rPr>
          <w:rFonts w:ascii="Times New Roman" w:hAnsi="Times New Roman" w:eastAsia="宋体" w:cs="Times New Roman"/>
          <w:sz w:val="24"/>
        </w:rPr>
        <w:t xml:space="preserve">24</w:t>
      </w:r>
      <w:r>
        <w:rPr>
          <w:rFonts w:ascii="Times New Roman" w:hAnsi="Times New Roman" w:eastAsia="宋体" w:cs="Times New Roman"/>
          <w:sz w:val="24"/>
        </w:rPr>
        <w:t xml:space="preserve">小时内</w:t>
      </w:r>
      <w:r>
        <w:rPr>
          <w:rFonts w:hint="eastAsia" w:ascii="Times New Roman" w:hAnsi="Times New Roman" w:eastAsia="宋体" w:cs="Times New Roman"/>
          <w:sz w:val="24"/>
        </w:rPr>
        <w:t xml:space="preserve">提出解决方案（</w:t>
      </w:r>
      <w:r>
        <w:rPr>
          <w:rFonts w:hint="eastAsia" w:ascii="Times New Roman" w:hAnsi="Times New Roman" w:eastAsia="宋体" w:cs="Times New Roman"/>
          <w:sz w:val="24"/>
        </w:rPr>
        <w:t xml:space="preserve">如恢复</w:t>
      </w:r>
      <w:r>
        <w:rPr>
          <w:rFonts w:hint="eastAsia" w:ascii="Times New Roman" w:hAnsi="Times New Roman" w:eastAsia="宋体" w:cs="Times New Roman"/>
          <w:sz w:val="24"/>
        </w:rPr>
        <w:t xml:space="preserve">系统等）并采取相应措施，保障采购人正常使用。</w:t>
      </w:r>
      <w:r/>
    </w:p>
    <w:p>
      <w:pPr>
        <w:ind w:firstLine="480"/>
        <w:spacing w:line="440" w:lineRule="exact"/>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3</w:t>
      </w:r>
      <w:r>
        <w:rPr>
          <w:rFonts w:hint="eastAsia" w:ascii="Times New Roman" w:hAnsi="Times New Roman" w:eastAsia="宋体" w:cs="Times New Roman"/>
          <w:i/>
          <w:iCs/>
          <w:sz w:val="24"/>
          <w:u w:val="single"/>
        </w:rPr>
        <w:t xml:space="preserve">、免费运</w:t>
      </w:r>
      <w:r>
        <w:rPr>
          <w:rFonts w:hint="eastAsia" w:ascii="Times New Roman" w:hAnsi="Times New Roman" w:eastAsia="宋体" w:cs="Times New Roman"/>
          <w:i/>
          <w:iCs/>
          <w:sz w:val="24"/>
          <w:u w:val="single"/>
        </w:rPr>
        <w:t xml:space="preserve">维至少</w:t>
      </w:r>
      <w:r>
        <w:rPr>
          <w:rFonts w:ascii="Times New Roman" w:hAnsi="Times New Roman" w:eastAsia="宋体" w:cs="Times New Roman"/>
          <w:i/>
          <w:iCs/>
          <w:sz w:val="24"/>
          <w:u w:val="single"/>
        </w:rPr>
        <w:t xml:space="preserve">3</w:t>
      </w:r>
      <w:r>
        <w:rPr>
          <w:rFonts w:hint="eastAsia" w:ascii="Times New Roman" w:hAnsi="Times New Roman" w:eastAsia="宋体" w:cs="Times New Roman"/>
          <w:i/>
          <w:iCs/>
          <w:sz w:val="24"/>
          <w:u w:val="single"/>
        </w:rPr>
        <w:t xml:space="preserve">年，硬件</w:t>
      </w:r>
      <w:r>
        <w:rPr>
          <w:rFonts w:hint="eastAsia" w:ascii="Times New Roman" w:hAnsi="Times New Roman" w:eastAsia="宋体" w:cs="Times New Roman"/>
          <w:i/>
          <w:iCs/>
          <w:sz w:val="24"/>
          <w:u w:val="single"/>
        </w:rPr>
        <w:t xml:space="preserve">维保至少</w:t>
      </w:r>
      <w:r>
        <w:rPr>
          <w:rFonts w:hint="eastAsia" w:ascii="Times New Roman" w:hAnsi="Times New Roman" w:eastAsia="宋体" w:cs="Times New Roman"/>
          <w:i/>
          <w:iCs/>
          <w:sz w:val="24"/>
          <w:u w:val="single"/>
        </w:rPr>
        <w:t xml:space="preserve">1</w:t>
      </w:r>
      <w:r>
        <w:rPr>
          <w:rFonts w:hint="eastAsia" w:ascii="Times New Roman" w:hAnsi="Times New Roman" w:eastAsia="宋体" w:cs="Times New Roman"/>
          <w:i/>
          <w:iCs/>
          <w:sz w:val="24"/>
          <w:u w:val="single"/>
        </w:rPr>
        <w:t xml:space="preserve">年，均从项目验收通过之日计算。</w:t>
      </w:r>
      <w:r/>
    </w:p>
    <w:p>
      <w:pPr>
        <w:ind w:firstLine="480"/>
        <w:spacing w:line="440" w:lineRule="exact"/>
        <w:rPr>
          <w:rFonts w:ascii="Times New Roman" w:hAnsi="Times New Roman" w:eastAsia="宋体" w:cs="Times New Roman"/>
          <w:i/>
          <w:iCs/>
          <w:sz w:val="24"/>
          <w:u w:val="single"/>
        </w:rPr>
      </w:pPr>
      <w:r>
        <w:rPr>
          <w:rFonts w:hint="eastAsia" w:ascii="Times New Roman" w:hAnsi="Times New Roman" w:eastAsia="宋体" w:cs="Times New Roman"/>
          <w:i/>
          <w:iCs/>
          <w:sz w:val="24"/>
          <w:u w:val="single"/>
        </w:rPr>
        <w:t xml:space="preserve">4</w:t>
      </w:r>
      <w:r>
        <w:rPr>
          <w:rFonts w:hint="eastAsia" w:ascii="Times New Roman" w:hAnsi="Times New Roman" w:eastAsia="宋体" w:cs="Times New Roman"/>
          <w:i/>
          <w:iCs/>
          <w:sz w:val="24"/>
          <w:u w:val="single"/>
        </w:rPr>
        <w:t xml:space="preserve">、驻场人员应配置至少</w:t>
      </w:r>
      <w:r>
        <w:rPr>
          <w:rFonts w:hint="eastAsia" w:ascii="Times New Roman" w:hAnsi="Times New Roman" w:eastAsia="宋体" w:cs="Times New Roman"/>
          <w:i/>
          <w:iCs/>
          <w:sz w:val="24"/>
          <w:u w:val="single"/>
        </w:rPr>
        <w:t xml:space="preserve">1</w:t>
      </w:r>
      <w:r>
        <w:rPr>
          <w:rFonts w:hint="eastAsia" w:ascii="Times New Roman" w:hAnsi="Times New Roman" w:eastAsia="宋体" w:cs="Times New Roman"/>
          <w:i/>
          <w:iCs/>
          <w:sz w:val="24"/>
          <w:u w:val="single"/>
        </w:rPr>
        <w:t xml:space="preserve">人，驻场服务至少</w:t>
      </w:r>
      <w:r>
        <w:rPr>
          <w:rFonts w:hint="eastAsia" w:ascii="Times New Roman" w:hAnsi="Times New Roman" w:eastAsia="宋体" w:cs="Times New Roman"/>
          <w:i/>
          <w:iCs/>
          <w:sz w:val="24"/>
          <w:u w:val="single"/>
        </w:rPr>
        <w:t xml:space="preserve">1</w:t>
      </w:r>
      <w:r>
        <w:rPr>
          <w:rFonts w:hint="eastAsia" w:ascii="Times New Roman" w:hAnsi="Times New Roman" w:eastAsia="宋体" w:cs="Times New Roman"/>
          <w:i/>
          <w:iCs/>
          <w:sz w:val="24"/>
          <w:u w:val="single"/>
        </w:rPr>
        <w:t xml:space="preserve">年（从项目试运行之日起计算）。</w:t>
      </w:r>
      <w:r/>
    </w:p>
    <w:p>
      <w:pPr>
        <w:spacing w:line="440" w:lineRule="exact"/>
        <w:rPr>
          <w:rFonts w:ascii="Times New Roman" w:hAnsi="Times New Roman" w:eastAsia="宋体" w:cs="Times New Roman"/>
          <w:b/>
          <w:bCs/>
          <w:sz w:val="28"/>
          <w:szCs w:val="28"/>
        </w:rPr>
        <w:outlineLvl w:val="1"/>
      </w:pPr>
      <w:r/>
      <w:bookmarkStart w:id="340" w:name="_Toc226731615"/>
      <w:r/>
      <w:bookmarkStart w:id="341" w:name="_Toc227573373"/>
      <w:r>
        <w:rPr>
          <w:rFonts w:hint="eastAsia" w:ascii="Times New Roman" w:hAnsi="Times New Roman" w:eastAsia="宋体" w:cs="Times New Roman"/>
          <w:b/>
          <w:bCs/>
          <w:sz w:val="28"/>
          <w:szCs w:val="28"/>
        </w:rPr>
        <w:t xml:space="preserve">七、其他要求：</w:t>
      </w:r>
      <w:bookmarkEnd w:id="340"/>
      <w:r/>
      <w:bookmarkEnd w:id="341"/>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w:t>
      </w:r>
      <w:r>
        <w:rPr>
          <w:rFonts w:hint="eastAsia" w:ascii="Times New Roman" w:hAnsi="Times New Roman" w:eastAsia="宋体" w:cs="Times New Roman"/>
          <w:i/>
          <w:iCs/>
          <w:sz w:val="24"/>
          <w:szCs w:val="20"/>
          <w:u w:val="single"/>
        </w:rPr>
        <w:t xml:space="preserve">、中标人应与采购人签订保密协议，严格遵循保密协议之规定，确保系统数据安全，任何数据资料未经采购人许可不得向第三方提供。</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2</w:t>
      </w:r>
      <w:r>
        <w:rPr>
          <w:rFonts w:hint="eastAsia" w:ascii="Times New Roman" w:hAnsi="Times New Roman" w:eastAsia="宋体" w:cs="Times New Roman"/>
          <w:i/>
          <w:iCs/>
          <w:sz w:val="24"/>
          <w:szCs w:val="20"/>
          <w:u w:val="single"/>
        </w:rPr>
        <w:t xml:space="preserve">、该项目软件系统所有权均属于采购人所有，项目建设应符合《江苏省化工园区认定工作标准（</w:t>
      </w:r>
      <w:r>
        <w:rPr>
          <w:rFonts w:hint="eastAsia" w:ascii="Times New Roman" w:hAnsi="Times New Roman" w:eastAsia="宋体" w:cs="Times New Roman"/>
          <w:i/>
          <w:iCs/>
          <w:sz w:val="24"/>
          <w:szCs w:val="20"/>
          <w:u w:val="single"/>
        </w:rPr>
        <w:t xml:space="preserve">2025</w:t>
      </w:r>
      <w:r>
        <w:rPr>
          <w:rFonts w:hint="eastAsia" w:ascii="Times New Roman" w:hAnsi="Times New Roman" w:eastAsia="宋体" w:cs="Times New Roman"/>
          <w:i/>
          <w:iCs/>
          <w:sz w:val="24"/>
          <w:szCs w:val="20"/>
          <w:u w:val="single"/>
        </w:rPr>
        <w:t xml:space="preserve">版）》中安全、环保以及信息化管理相关要求以及《常熟经济技术开发区化工园区智慧园区平台二期升级设计方案》要求，对未达到要求的，或因信息化平台问题导致未通过化工园区认定复核的，采购人有权解除合约。验收前，应将软件系统有效源代码及涉及账号、密码交予采购人。</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3</w:t>
      </w:r>
      <w:r>
        <w:rPr>
          <w:rFonts w:hint="eastAsia" w:ascii="Times New Roman" w:hAnsi="Times New Roman" w:eastAsia="宋体" w:cs="Times New Roman"/>
          <w:i/>
          <w:iCs/>
          <w:sz w:val="24"/>
          <w:szCs w:val="20"/>
          <w:u w:val="single"/>
        </w:rPr>
        <w:t xml:space="preserve">、智慧园区平台应预留相关数据接口，如采购人有需要与其他系统实现数据对接，中标人需无条件配合做好数据对接工作（包括开发数据推送接口及修改数据格式等以满足数据对接要求），采购人及其他系统建设方不再为此支付任何费用。</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4</w:t>
      </w:r>
      <w:r>
        <w:rPr>
          <w:rFonts w:hint="eastAsia" w:ascii="Times New Roman" w:hAnsi="Times New Roman" w:eastAsia="宋体" w:cs="Times New Roman"/>
          <w:i/>
          <w:iCs/>
          <w:sz w:val="24"/>
          <w:szCs w:val="20"/>
          <w:u w:val="single"/>
        </w:rPr>
        <w:t xml:space="preserve">、智慧园区平台需考虑日后升级需要，在验收前，需配合完成好省化工园区认定工作、省应急厅、环保厅等部门对智慧园区信息化建设检查提出问题的整改，中标人需根据最新要求</w:t>
      </w:r>
      <w:r>
        <w:rPr>
          <w:rFonts w:hint="eastAsia" w:ascii="Times New Roman" w:hAnsi="Times New Roman" w:eastAsia="宋体" w:cs="Times New Roman"/>
          <w:i/>
          <w:iCs/>
          <w:sz w:val="24"/>
          <w:szCs w:val="20"/>
          <w:u w:val="single"/>
        </w:rPr>
        <w:t xml:space="preserve">无偿对</w:t>
      </w:r>
      <w:r>
        <w:rPr>
          <w:rFonts w:hint="eastAsia" w:ascii="Times New Roman" w:hAnsi="Times New Roman" w:eastAsia="宋体" w:cs="Times New Roman"/>
          <w:i/>
          <w:iCs/>
          <w:sz w:val="24"/>
          <w:szCs w:val="20"/>
          <w:u w:val="single"/>
        </w:rPr>
        <w:t xml:space="preserve">系统进行升级，使系统满足相应要求。</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5</w:t>
      </w:r>
      <w:r>
        <w:rPr>
          <w:rFonts w:hint="eastAsia" w:ascii="Times New Roman" w:hAnsi="Times New Roman" w:eastAsia="宋体" w:cs="Times New Roman"/>
          <w:i/>
          <w:iCs/>
          <w:sz w:val="24"/>
          <w:szCs w:val="20"/>
          <w:u w:val="single"/>
        </w:rPr>
        <w:t xml:space="preserve">、中标人需对系统管理人员及园区内企业系统使用填报人员进行培训，保证人员能够做好日常运行管理工作。</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6</w:t>
      </w:r>
      <w:r>
        <w:rPr>
          <w:rFonts w:hint="eastAsia" w:ascii="Times New Roman" w:hAnsi="Times New Roman" w:eastAsia="宋体" w:cs="Times New Roman"/>
          <w:i/>
          <w:iCs/>
          <w:sz w:val="24"/>
          <w:szCs w:val="20"/>
          <w:u w:val="single"/>
        </w:rPr>
        <w:t xml:space="preserve">、中标人应对企业及其他第三方在系统运行中遇到的问题进行解答或帮助解决，确保运行正常。</w:t>
      </w:r>
      <w:r/>
    </w:p>
    <w:p>
      <w:pPr>
        <w:ind w:firstLine="480"/>
        <w:spacing w:line="440" w:lineRule="exact"/>
        <w:widowControl/>
        <w:rPr>
          <w:rFonts w:ascii="Times New Roman" w:hAnsi="Times New Roman" w:eastAsia="宋体" w:cs="Times New Roman"/>
          <w:i/>
          <w:iCs/>
          <w:sz w:val="24"/>
          <w:szCs w:val="20"/>
          <w:u w:val="single"/>
        </w:rPr>
      </w:pPr>
      <w:r>
        <w:rPr>
          <w:rFonts w:ascii="Times New Roman" w:hAnsi="Times New Roman" w:eastAsia="宋体" w:cs="Times New Roman"/>
          <w:i/>
          <w:iCs/>
          <w:sz w:val="24"/>
          <w:szCs w:val="20"/>
          <w:u w:val="single"/>
        </w:rPr>
        <w:t xml:space="preserve">7</w:t>
      </w:r>
      <w:r>
        <w:rPr>
          <w:rFonts w:hint="eastAsia" w:ascii="Times New Roman" w:hAnsi="Times New Roman" w:eastAsia="宋体" w:cs="Times New Roman"/>
          <w:i/>
          <w:iCs/>
          <w:sz w:val="24"/>
          <w:szCs w:val="20"/>
          <w:u w:val="single"/>
        </w:rPr>
        <w:t xml:space="preserve">、根据常熟经开区实际工作需要，如</w:t>
      </w:r>
      <w:r>
        <w:rPr>
          <w:rFonts w:hint="eastAsia" w:ascii="Times New Roman" w:hAnsi="Times New Roman" w:eastAsia="宋体" w:cs="Times New Roman"/>
          <w:i/>
          <w:iCs/>
          <w:sz w:val="24"/>
          <w:szCs w:val="20"/>
          <w:u w:val="single"/>
        </w:rPr>
        <w:t xml:space="preserve">遇系统</w:t>
      </w:r>
      <w:r>
        <w:rPr>
          <w:rFonts w:hint="eastAsia" w:ascii="Times New Roman" w:hAnsi="Times New Roman" w:eastAsia="宋体" w:cs="Times New Roman"/>
          <w:i/>
          <w:iCs/>
          <w:sz w:val="24"/>
          <w:szCs w:val="20"/>
          <w:u w:val="single"/>
        </w:rPr>
        <w:t xml:space="preserve">对接或系统升级，需要开放数据接口实现数据共享或完善数据中台、迁移数据中台等情况的，中标人应免费配合进行对接直至完成。</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8</w:t>
      </w:r>
      <w:r>
        <w:rPr>
          <w:rFonts w:hint="eastAsia" w:ascii="Times New Roman" w:hAnsi="Times New Roman" w:eastAsia="宋体" w:cs="Times New Roman"/>
          <w:i/>
          <w:iCs/>
          <w:sz w:val="24"/>
          <w:szCs w:val="20"/>
          <w:u w:val="single"/>
        </w:rPr>
        <w:t xml:space="preserve">、在安全应用对标《江苏省化工园区安全风险数字化监管平台数据交换规范》升级后，中标方需免费为常熟经开区内化工企业五位一体信息化管理平台提供相应改造或提供相适应的五位一体信息化管理平台供区内化工企业使用，以确保企业数据与政府监管数据的传输一致性。</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9</w:t>
      </w:r>
      <w:r>
        <w:rPr>
          <w:rFonts w:hint="eastAsia" w:ascii="Times New Roman" w:hAnsi="Times New Roman" w:eastAsia="宋体" w:cs="Times New Roman"/>
          <w:i/>
          <w:iCs/>
          <w:sz w:val="24"/>
          <w:szCs w:val="20"/>
          <w:u w:val="single"/>
        </w:rPr>
        <w:t xml:space="preserve">、本项目建设实施过程中，投标人需要配备项目负责人及技术负责人且有稳定的研发团队、实施团队对项目进行支持。投标人在项目实施过程中出现资源、进度、质量协调控制不力的情况，采购人有权要求更换相关责任人，投标人必须予以配合，并确保不影响项目建设的进度和质量。投标人应完成工作范围中所规定的各项工作，并按照主要工作范围要求，承担平台建设需求中所规定的各项工作，不得以各种理由推诿。</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10</w:t>
      </w:r>
      <w:r>
        <w:rPr>
          <w:rFonts w:hint="eastAsia" w:ascii="Times New Roman" w:hAnsi="Times New Roman" w:eastAsia="宋体" w:cs="Times New Roman"/>
          <w:i/>
          <w:iCs/>
          <w:sz w:val="24"/>
          <w:szCs w:val="20"/>
          <w:u w:val="single"/>
        </w:rPr>
        <w:t xml:space="preserve">、招标文件提出的要求，并未对一切细节</w:t>
      </w:r>
      <w:r>
        <w:rPr>
          <w:rFonts w:hint="eastAsia" w:ascii="Times New Roman" w:hAnsi="Times New Roman" w:eastAsia="宋体" w:cs="Times New Roman"/>
          <w:i/>
          <w:iCs/>
          <w:sz w:val="24"/>
          <w:szCs w:val="20"/>
          <w:u w:val="single"/>
        </w:rPr>
        <w:t xml:space="preserve">作出</w:t>
      </w:r>
      <w:r>
        <w:rPr>
          <w:rFonts w:hint="eastAsia" w:ascii="Times New Roman" w:hAnsi="Times New Roman" w:eastAsia="宋体" w:cs="Times New Roman"/>
          <w:i/>
          <w:iCs/>
          <w:sz w:val="24"/>
          <w:szCs w:val="20"/>
          <w:u w:val="single"/>
        </w:rPr>
        <w:t xml:space="preserve">规定，也未充分引述全部有关标准和规范的条文，投标人提供的所有产品（包括设计、开发及调试）都应符合已颁布的现行中华人民共和国认可的（部颁、行业）标准以及等效条文。上述技术标准如作废或有替代标准的，则以现行的最新标准为准。</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11</w:t>
      </w:r>
      <w:r>
        <w:rPr>
          <w:rFonts w:hint="eastAsia" w:ascii="Times New Roman" w:hAnsi="Times New Roman" w:eastAsia="宋体" w:cs="Times New Roman"/>
          <w:i/>
          <w:iCs/>
          <w:sz w:val="24"/>
          <w:szCs w:val="20"/>
          <w:u w:val="single"/>
        </w:rPr>
        <w:t xml:space="preserve">、本项目在实际实施过程中，采购人将安排有关专家对项目进展情况及质量进行监督，中标人需积极听取和采纳专家建议要求并进行工作落实，做好平台建设工作。</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12</w:t>
      </w:r>
      <w:r>
        <w:rPr>
          <w:rFonts w:hint="eastAsia" w:ascii="Times New Roman" w:hAnsi="Times New Roman" w:eastAsia="宋体" w:cs="Times New Roman"/>
          <w:i/>
          <w:iCs/>
          <w:sz w:val="24"/>
          <w:szCs w:val="20"/>
          <w:u w:val="single"/>
        </w:rPr>
        <w:t xml:space="preserve">、如验收前需与安全、环保、应急等政府系统、交通部</w:t>
      </w:r>
      <w:r>
        <w:rPr>
          <w:rFonts w:hint="eastAsia" w:ascii="Times New Roman" w:hAnsi="Times New Roman" w:eastAsia="宋体" w:cs="Times New Roman"/>
          <w:i/>
          <w:iCs/>
          <w:sz w:val="24"/>
          <w:szCs w:val="20"/>
          <w:u w:val="single"/>
        </w:rPr>
        <w:t xml:space="preserve">门电子</w:t>
      </w:r>
      <w:r>
        <w:rPr>
          <w:rFonts w:hint="eastAsia" w:ascii="Times New Roman" w:hAnsi="Times New Roman" w:eastAsia="宋体" w:cs="Times New Roman"/>
          <w:i/>
          <w:iCs/>
          <w:sz w:val="24"/>
          <w:szCs w:val="20"/>
          <w:u w:val="single"/>
        </w:rPr>
        <w:t xml:space="preserve">运单及危化品车辆定位数据与企业系统开发单位数据对接工作，中标人负责做好相关对接工作，确保本期系统数据接入平台对应的数据中台，实现数据融合，完成好系统集成工作，相关数据对接费用应包含在本次项目报价内，采购人不再对此支付任何费用。</w:t>
      </w:r>
      <w:r>
        <w:rPr>
          <w:rFonts w:hint="eastAsia" w:ascii="Times New Roman" w:hAnsi="Times New Roman" w:eastAsia="宋体" w:cs="Times New Roman"/>
          <w:i/>
          <w:iCs/>
          <w:sz w:val="24"/>
          <w:szCs w:val="20"/>
          <w:u w:val="single"/>
        </w:rPr>
        <w:t xml:space="preserve">验收通过后，如</w:t>
      </w:r>
      <w:r>
        <w:rPr>
          <w:rFonts w:hint="eastAsia" w:ascii="Times New Roman" w:hAnsi="Times New Roman" w:eastAsia="宋体" w:cs="Times New Roman"/>
          <w:i/>
          <w:iCs/>
          <w:sz w:val="24"/>
          <w:szCs w:val="20"/>
          <w:u w:val="single"/>
        </w:rPr>
        <w:t xml:space="preserve">采购人</w:t>
      </w:r>
      <w:r>
        <w:rPr>
          <w:rFonts w:hint="eastAsia" w:ascii="Times New Roman" w:hAnsi="Times New Roman" w:eastAsia="宋体" w:cs="Times New Roman"/>
          <w:i/>
          <w:iCs/>
          <w:sz w:val="24"/>
          <w:szCs w:val="20"/>
          <w:u w:val="single"/>
        </w:rPr>
        <w:t xml:space="preserve">有需求，中标</w:t>
      </w:r>
      <w:r>
        <w:rPr>
          <w:rFonts w:hint="eastAsia" w:ascii="Times New Roman" w:hAnsi="Times New Roman" w:eastAsia="宋体" w:cs="Times New Roman"/>
          <w:i/>
          <w:iCs/>
          <w:sz w:val="24"/>
          <w:szCs w:val="20"/>
          <w:u w:val="single"/>
        </w:rPr>
        <w:t xml:space="preserve">人</w:t>
      </w:r>
      <w:r>
        <w:rPr>
          <w:rFonts w:hint="eastAsia" w:ascii="Times New Roman" w:hAnsi="Times New Roman" w:eastAsia="宋体" w:cs="Times New Roman"/>
          <w:i/>
          <w:iCs/>
          <w:sz w:val="24"/>
          <w:szCs w:val="20"/>
          <w:u w:val="single"/>
        </w:rPr>
        <w:t xml:space="preserve">应根据实际需要提供制作一个宣传视频介绍片，</w:t>
      </w:r>
      <w:bookmarkStart w:id="342" w:name="OLE_LINK11"/>
      <w:r>
        <w:rPr>
          <w:rFonts w:hint="eastAsia" w:ascii="Times New Roman" w:hAnsi="Times New Roman" w:eastAsia="宋体" w:cs="Times New Roman"/>
          <w:i/>
          <w:iCs/>
          <w:sz w:val="24"/>
          <w:szCs w:val="20"/>
          <w:u w:val="single"/>
        </w:rPr>
        <w:t xml:space="preserve">相关费用包含在本项目投标报价内，投标人应综合考虑</w:t>
      </w:r>
      <w:bookmarkEnd w:id="342"/>
      <w:r>
        <w:rPr>
          <w:rFonts w:hint="eastAsia" w:ascii="Times New Roman" w:hAnsi="Times New Roman" w:eastAsia="宋体" w:cs="Times New Roman"/>
          <w:i/>
          <w:iCs/>
          <w:sz w:val="24"/>
          <w:szCs w:val="20"/>
          <w:u w:val="single"/>
        </w:rPr>
        <w:t xml:space="preserve">。</w:t>
      </w:r>
      <w:r/>
    </w:p>
    <w:p>
      <w:pPr>
        <w:ind w:firstLine="480"/>
        <w:spacing w:line="440" w:lineRule="exact"/>
        <w:widowControl/>
        <w:rPr>
          <w:rFonts w:ascii="Times New Roman" w:hAnsi="Times New Roman" w:eastAsia="宋体" w:cs="Times New Roman"/>
          <w:i/>
          <w:iCs/>
          <w:sz w:val="24"/>
          <w:szCs w:val="20"/>
          <w:u w:val="single"/>
        </w:rPr>
      </w:pPr>
      <w:r>
        <w:rPr>
          <w:rFonts w:hint="eastAsia" w:ascii="Times New Roman" w:hAnsi="Times New Roman" w:eastAsia="宋体" w:cs="Times New Roman"/>
          <w:i/>
          <w:iCs/>
          <w:sz w:val="24"/>
          <w:szCs w:val="20"/>
          <w:u w:val="single"/>
        </w:rPr>
        <w:t xml:space="preserve">13</w:t>
      </w:r>
      <w:r>
        <w:rPr>
          <w:rFonts w:hint="eastAsia" w:ascii="Times New Roman" w:hAnsi="Times New Roman" w:eastAsia="宋体" w:cs="Times New Roman"/>
          <w:i/>
          <w:iCs/>
          <w:sz w:val="24"/>
          <w:szCs w:val="20"/>
          <w:u w:val="single"/>
        </w:rPr>
        <w:t xml:space="preserve">、根据应急管理部《关于推动化工园区安全风险智能化管控平台有效应用的函》要求，中标人要免费建立提供园区智能化管控平台运行的</w:t>
      </w:r>
      <w:r>
        <w:rPr>
          <w:rFonts w:hint="eastAsia" w:ascii="Times New Roman" w:hAnsi="Times New Roman" w:eastAsia="宋体" w:cs="Times New Roman"/>
          <w:i/>
          <w:iCs/>
          <w:sz w:val="24"/>
          <w:szCs w:val="20"/>
          <w:u w:val="single"/>
        </w:rPr>
        <w:t xml:space="preserve">自评价</w:t>
      </w:r>
      <w:r>
        <w:rPr>
          <w:rFonts w:hint="eastAsia" w:ascii="Times New Roman" w:hAnsi="Times New Roman" w:eastAsia="宋体" w:cs="Times New Roman"/>
          <w:i/>
          <w:iCs/>
          <w:sz w:val="24"/>
          <w:szCs w:val="20"/>
          <w:u w:val="single"/>
        </w:rPr>
        <w:t xml:space="preserve">功能，围绕数据质量、功能应用、运</w:t>
      </w:r>
      <w:r>
        <w:rPr>
          <w:rFonts w:hint="eastAsia" w:ascii="Times New Roman" w:hAnsi="Times New Roman" w:eastAsia="宋体" w:cs="Times New Roman"/>
          <w:i/>
          <w:iCs/>
          <w:sz w:val="24"/>
          <w:szCs w:val="20"/>
          <w:u w:val="single"/>
        </w:rPr>
        <w:t xml:space="preserve">维保障</w:t>
      </w:r>
      <w:r>
        <w:rPr>
          <w:rFonts w:hint="eastAsia" w:ascii="Times New Roman" w:hAnsi="Times New Roman" w:eastAsia="宋体" w:cs="Times New Roman"/>
          <w:i/>
          <w:iCs/>
          <w:sz w:val="24"/>
          <w:szCs w:val="20"/>
          <w:u w:val="single"/>
        </w:rPr>
        <w:t xml:space="preserve">等维度设置评价指标，开展运行效果评价。</w:t>
      </w:r>
      <w:r/>
    </w:p>
    <w:p>
      <w:pPr>
        <w:spacing w:line="440" w:lineRule="exact"/>
        <w:rPr>
          <w:rFonts w:ascii="Times New Roman" w:hAnsi="Times New Roman" w:eastAsia="宋体" w:cs="Times New Roman"/>
          <w:b/>
          <w:bCs/>
          <w:sz w:val="28"/>
          <w:szCs w:val="28"/>
        </w:rPr>
        <w:outlineLvl w:val="1"/>
      </w:pPr>
      <w:r/>
      <w:bookmarkStart w:id="343" w:name="_Toc226731616"/>
      <w:r/>
      <w:bookmarkStart w:id="344" w:name="_Toc227573374"/>
      <w:r>
        <w:rPr>
          <w:rFonts w:hint="eastAsia" w:ascii="Times New Roman" w:hAnsi="Times New Roman" w:eastAsia="宋体" w:cs="Times New Roman"/>
          <w:b/>
          <w:bCs/>
          <w:sz w:val="28"/>
          <w:szCs w:val="28"/>
        </w:rPr>
        <w:t xml:space="preserve">八、实质性要求：</w:t>
      </w:r>
      <w:bookmarkEnd w:id="343"/>
      <w:r/>
      <w:bookmarkEnd w:id="344"/>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rPr>
          <w:rFonts w:ascii="宋体" w:hAnsi="宋体" w:eastAsia="宋体" w:cs="Times New Roman"/>
          <w:b/>
          <w:color w:val="000000"/>
          <w:sz w:val="44"/>
          <w:szCs w:val="44"/>
        </w:rPr>
        <w:outlineLvl w:val="0"/>
      </w:pPr>
      <w:r>
        <w:rPr>
          <w:rFonts w:ascii="黑体" w:hAnsi="Times New Roman" w:eastAsia="黑体" w:cs="Times New Roman"/>
          <w:bCs/>
          <w:color w:val="000000"/>
          <w:sz w:val="44"/>
          <w:szCs w:val="28"/>
        </w:rPr>
        <w:br w:type="page" w:clear="all"/>
      </w:r>
      <w:r/>
    </w:p>
    <w:p>
      <w:pPr>
        <w:jc w:val="center"/>
        <w:keepNext/>
        <w:rPr>
          <w:rFonts w:ascii="黑体" w:hAnsi="Courier New" w:eastAsia="黑体" w:cs="Courier New"/>
          <w:bCs/>
          <w:color w:val="000000"/>
          <w:sz w:val="44"/>
          <w:szCs w:val="21"/>
        </w:rPr>
        <w:outlineLvl w:val="0"/>
      </w:pPr>
      <w:r/>
      <w:bookmarkStart w:id="345" w:name="_Toc163508396"/>
      <w:r/>
      <w:bookmarkStart w:id="346" w:name="_Toc163508321"/>
      <w:r/>
      <w:bookmarkStart w:id="347" w:name="_Toc227573375"/>
      <w:r/>
      <w:bookmarkStart w:id="348" w:name="_Toc120614281"/>
      <w:r/>
      <w:bookmarkStart w:id="349" w:name="_Toc49090575"/>
      <w:r/>
      <w:bookmarkStart w:id="350" w:name="_Toc26554093"/>
      <w:r/>
      <w:bookmarkEnd w:id="313"/>
      <w:r/>
      <w:bookmarkEnd w:id="314"/>
      <w:r/>
      <w:bookmarkEnd w:id="315"/>
      <w:r/>
      <w:bookmarkEnd w:id="316"/>
      <w:r/>
      <w:bookmarkEnd w:id="322"/>
      <w:r/>
      <w:bookmarkEnd w:id="323"/>
      <w:r>
        <w:rPr>
          <w:rFonts w:hint="eastAsia" w:ascii="宋体" w:hAnsi="宋体" w:eastAsia="宋体" w:cs="Times New Roman"/>
          <w:b/>
          <w:color w:val="000000"/>
          <w:sz w:val="44"/>
          <w:szCs w:val="44"/>
        </w:rPr>
        <w:t xml:space="preserve">第五章  评标方法与评标标准</w:t>
      </w:r>
      <w:bookmarkEnd w:id="345"/>
      <w:r/>
      <w:bookmarkEnd w:id="346"/>
      <w:r/>
      <w:bookmarkEnd w:id="347"/>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51" w:name="_Toc17476"/>
      <w:r/>
      <w:bookmarkStart w:id="352" w:name="_Toc16264"/>
      <w:r/>
      <w:bookmarkStart w:id="353" w:name="_Toc698"/>
      <w:r>
        <w:rPr>
          <w:rFonts w:hint="eastAsia" w:ascii="Calibri" w:hAnsi="Calibri" w:eastAsia="宋体" w:cs="Times New Roman"/>
          <w:b/>
          <w:bCs/>
          <w:sz w:val="28"/>
        </w:rPr>
        <w:t xml:space="preserve">一、评标方法：</w:t>
      </w:r>
      <w:bookmarkEnd w:id="351"/>
      <w:r/>
      <w:bookmarkEnd w:id="352"/>
      <w:r/>
      <w:bookmarkEnd w:id="353"/>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优惠率由大到小）顺序排列。得分且投标报价相同的，按系统中参与投标时间先后顺序排列。得分、投标报价及参与投标时间均相同的，则由评标委员会组织抽签确定。</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投标文件满足招标文件全部实质性要求，</w:t>
      </w:r>
      <w:r>
        <w:rPr>
          <w:rFonts w:hint="eastAsia" w:ascii="Times New Roman" w:hAnsi="Times New Roman" w:eastAsia="宋体" w:cs="Times New Roman"/>
          <w:sz w:val="24"/>
          <w:szCs w:val="24"/>
        </w:rPr>
        <w:t xml:space="preserve">且按照</w:t>
      </w:r>
      <w:r>
        <w:rPr>
          <w:rFonts w:hint="eastAsia" w:ascii="Times New Roman" w:hAnsi="Times New Roman" w:eastAsia="宋体" w:cs="Times New Roman"/>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0</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1.2评审过程中出现下列情形之一的，评审委员会应当启动异常低价投标（响应）审查程序：</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（1）投标（响应）报价低于全部通过符合性审查供应商投标（响应）报价平均值</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全部通过符合性审查供应商投标（响应）报价平均值</w:t>
      </w:r>
      <w:r>
        <w:rPr>
          <w:rFonts w:ascii="宋体" w:hAnsi="宋体" w:eastAsia="宋体"/>
          <w:color w:val="000000"/>
          <w:sz w:val="24"/>
        </w:rPr>
        <w:t xml:space="preserve">×65%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（2）投标（响应）报价低于通过符合性审查的次低报价供应商投标（响应）报价</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通过符合性审查的次低报价供应商投标（响应）报价</w:t>
      </w:r>
      <w:r>
        <w:rPr>
          <w:rFonts w:ascii="宋体" w:hAnsi="宋体" w:eastAsia="宋体"/>
          <w:color w:val="000000"/>
          <w:sz w:val="24"/>
        </w:rPr>
        <w:t xml:space="preserve">×65%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（3）投标（响应）报价低于采购项目最高限价</w:t>
      </w:r>
      <w:r>
        <w:rPr>
          <w:rFonts w:ascii="宋体" w:hAnsi="宋体" w:eastAsia="宋体"/>
          <w:color w:val="000000"/>
          <w:sz w:val="24"/>
        </w:rPr>
        <w:t xml:space="preserve">65%</w:t>
      </w:r>
      <w:r>
        <w:rPr>
          <w:rFonts w:hint="eastAsia" w:ascii="宋体" w:hAnsi="宋体" w:eastAsia="宋体"/>
          <w:color w:val="000000"/>
          <w:sz w:val="24"/>
        </w:rPr>
        <w:t xml:space="preserve">的，即投标（响应）报价</w:t>
      </w:r>
      <w:r>
        <w:rPr>
          <w:rFonts w:ascii="宋体" w:hAnsi="宋体" w:eastAsia="宋体"/>
          <w:color w:val="000000"/>
          <w:sz w:val="24"/>
        </w:rPr>
        <w:t xml:space="preserve">&lt;</w:t>
      </w:r>
      <w:r>
        <w:rPr>
          <w:rFonts w:hint="eastAsia" w:ascii="宋体" w:hAnsi="宋体" w:eastAsia="宋体"/>
          <w:color w:val="000000"/>
          <w:sz w:val="24"/>
        </w:rPr>
        <w:t xml:space="preserve">采购项目最高限价</w:t>
      </w:r>
      <w:r>
        <w:rPr>
          <w:rFonts w:ascii="宋体" w:hAnsi="宋体" w:eastAsia="宋体"/>
          <w:color w:val="000000"/>
          <w:sz w:val="24"/>
        </w:rPr>
        <w:t xml:space="preserve">×65%</w:t>
      </w:r>
      <w:r>
        <w:rPr>
          <w:rFonts w:hint="eastAsia" w:ascii="宋体" w:hAnsi="宋体" w:eastAsia="宋体"/>
          <w:color w:val="000000"/>
          <w:sz w:val="24"/>
        </w:rPr>
        <w:t xml:space="preserve">；</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（4）评审委员会基于专业判断，认为供应商报价过低，有可能影响产品质量或者不能诚信履约的其他情形。</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评审委员会启动异常低价投标（响应）审查后，属于前述第（1）项至第（4）项情形的，应当要求相关供应商在评审现场合理的时间内对投标（响应）价格</w:t>
      </w:r>
      <w:r>
        <w:rPr>
          <w:rFonts w:hint="eastAsia" w:ascii="宋体" w:hAnsi="宋体" w:eastAsia="宋体"/>
          <w:color w:val="000000"/>
          <w:sz w:val="24"/>
        </w:rPr>
        <w:t xml:space="preserve">作出</w:t>
      </w:r>
      <w:r>
        <w:rPr>
          <w:rFonts w:hint="eastAsia" w:ascii="宋体" w:hAnsi="宋体" w:eastAsia="宋体"/>
          <w:color w:val="000000"/>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宋体" w:hAnsi="宋体" w:eastAsia="宋体"/>
          <w:color w:val="000000"/>
          <w:sz w:val="24"/>
        </w:rPr>
      </w:pPr>
      <w:r>
        <w:rPr>
          <w:rFonts w:hint="eastAsia" w:ascii="宋体" w:hAnsi="宋体" w:eastAsia="宋体"/>
          <w:color w:val="000000"/>
          <w:sz w:val="24"/>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w:t>
      </w:r>
      <w:r/>
    </w:p>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（二）</w:t>
      </w:r>
      <w:r>
        <w:rPr>
          <w:rFonts w:hint="eastAsia" w:ascii="Times New Roman" w:hAnsi="Times New Roman" w:eastAsia="宋体" w:cs="Times New Roman"/>
          <w:b/>
          <w:bCs/>
          <w:sz w:val="24"/>
          <w:szCs w:val="20"/>
        </w:rPr>
        <w:t xml:space="preserve">项目方案</w:t>
      </w:r>
      <w:r>
        <w:rPr>
          <w:rFonts w:hint="eastAsia" w:ascii="Times New Roman" w:hAnsi="Times New Roman" w:eastAsia="宋体" w:cs="Times New Roman"/>
          <w:b/>
          <w:bCs/>
          <w:sz w:val="24"/>
          <w:szCs w:val="20"/>
        </w:rPr>
        <w:t xml:space="preserve">60</w:t>
      </w:r>
      <w:r>
        <w:rPr>
          <w:rFonts w:ascii="Times New Roman" w:hAnsi="Times New Roman" w:eastAsia="宋体" w:cs="Times New Roman"/>
          <w:b/>
          <w:bCs/>
          <w:sz w:val="24"/>
          <w:szCs w:val="20"/>
        </w:rPr>
        <w:t xml:space="preserve">分</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6"/>
        <w:gridCol w:w="1843"/>
        <w:gridCol w:w="801"/>
        <w:gridCol w:w="6386"/>
      </w:tblGrid>
      <w:tr>
        <w:trPr>
          <w:jc w:val="center"/>
          <w:trHeight w:val="48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分值</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评分标准</w:t>
            </w:r>
            <w:r/>
          </w:p>
        </w:tc>
      </w:tr>
      <w:tr>
        <w:trPr>
          <w:jc w:val="center"/>
          <w:trHeight w:val="1062"/>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60" w:lineRule="exact"/>
              <w:rPr>
                <w:rFonts w:ascii="宋体" w:hAnsi="宋体" w:eastAsia="宋体" w:cs="宋体"/>
                <w:sz w:val="24"/>
                <w:szCs w:val="24"/>
              </w:rPr>
            </w:pPr>
            <w:r>
              <w:rPr>
                <w:rFonts w:hint="eastAsia" w:ascii="宋体" w:hAnsi="宋体" w:eastAsia="宋体" w:cs="宋体"/>
                <w:sz w:val="24"/>
                <w:szCs w:val="24"/>
              </w:rPr>
              <w:t xml:space="preserve">实施要求响应性</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30</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spacing w:line="460" w:lineRule="exact"/>
              <w:rPr>
                <w:rFonts w:ascii="宋体" w:hAnsi="宋体" w:eastAsia="宋体" w:cs="宋体"/>
                <w:sz w:val="24"/>
                <w:szCs w:val="24"/>
              </w:rPr>
            </w:pPr>
            <w:r>
              <w:rPr>
                <w:rFonts w:hint="eastAsia" w:ascii="宋体" w:hAnsi="宋体" w:eastAsia="宋体" w:cs="宋体"/>
                <w:sz w:val="24"/>
                <w:szCs w:val="24"/>
              </w:rPr>
              <w:t xml:space="preserve">投标人承诺提供的技术性能及功能全部满足招标文件“项目</w:t>
            </w:r>
            <w:r>
              <w:rPr>
                <w:rFonts w:ascii="宋体" w:hAnsi="宋体" w:eastAsia="宋体" w:cs="宋体"/>
                <w:sz w:val="24"/>
                <w:szCs w:val="24"/>
              </w:rPr>
              <w:t xml:space="preserve">实施要求</w:t>
            </w:r>
            <w:r>
              <w:rPr>
                <w:rFonts w:hint="eastAsia" w:ascii="宋体" w:hAnsi="宋体" w:eastAsia="宋体" w:cs="宋体"/>
                <w:sz w:val="24"/>
                <w:szCs w:val="24"/>
              </w:rPr>
              <w:t xml:space="preserve">”的得基本分30分。带“</w:t>
            </w:r>
            <w:bookmarkStart w:id="354" w:name="OLE_LINK3"/>
            <w:r/>
            <w:bookmarkStart w:id="355" w:name="OLE_LINK4"/>
            <w:r>
              <w:rPr>
                <w:rFonts w:hint="eastAsia" w:ascii="宋体" w:hAnsi="宋体" w:eastAsia="宋体" w:cs="宋体"/>
                <w:sz w:val="24"/>
                <w:szCs w:val="24"/>
              </w:rPr>
              <w:t xml:space="preserve">★</w:t>
            </w:r>
            <w:bookmarkEnd w:id="354"/>
            <w:r/>
            <w:bookmarkEnd w:id="355"/>
            <w:r>
              <w:rPr>
                <w:rFonts w:hint="eastAsia" w:ascii="宋体" w:hAnsi="宋体" w:eastAsia="宋体" w:cs="宋体"/>
                <w:sz w:val="24"/>
                <w:szCs w:val="24"/>
              </w:rPr>
              <w:t xml:space="preserve">”项（共五项）为重要技术参数、性能指标；其余为一般技术参数、性能指标；重要技术参数、</w:t>
            </w:r>
            <w:r>
              <w:rPr>
                <w:rFonts w:hint="eastAsia" w:ascii="宋体" w:hAnsi="宋体" w:eastAsia="宋体" w:cs="宋体"/>
                <w:sz w:val="24"/>
                <w:szCs w:val="24"/>
              </w:rPr>
              <w:t xml:space="preserve">性能指标每负偏离</w:t>
            </w:r>
            <w:r>
              <w:rPr>
                <w:rFonts w:hint="eastAsia" w:ascii="宋体" w:hAnsi="宋体" w:eastAsia="宋体" w:cs="宋体"/>
                <w:sz w:val="24"/>
                <w:szCs w:val="24"/>
              </w:rPr>
              <w:t xml:space="preserve">一项扣2分；一般技术参数、</w:t>
            </w:r>
            <w:r>
              <w:rPr>
                <w:rFonts w:hint="eastAsia" w:ascii="宋体" w:hAnsi="宋体" w:eastAsia="宋体" w:cs="宋体"/>
                <w:sz w:val="24"/>
                <w:szCs w:val="24"/>
              </w:rPr>
              <w:t xml:space="preserve">性能指标每负偏离</w:t>
            </w:r>
            <w:r>
              <w:rPr>
                <w:rFonts w:hint="eastAsia" w:ascii="宋体" w:hAnsi="宋体" w:eastAsia="宋体" w:cs="宋体"/>
                <w:sz w:val="24"/>
                <w:szCs w:val="24"/>
              </w:rPr>
              <w:t xml:space="preserve">一项扣</w:t>
            </w:r>
            <w:r>
              <w:rPr>
                <w:rFonts w:ascii="宋体" w:hAnsi="宋体" w:eastAsia="宋体" w:cs="宋体"/>
                <w:sz w:val="24"/>
                <w:szCs w:val="24"/>
              </w:rPr>
              <w:t xml:space="preserve">0.5</w:t>
            </w:r>
            <w:r>
              <w:rPr>
                <w:rFonts w:hint="eastAsia" w:ascii="宋体" w:hAnsi="宋体" w:eastAsia="宋体" w:cs="宋体"/>
                <w:sz w:val="24"/>
                <w:szCs w:val="24"/>
              </w:rPr>
              <w:t xml:space="preserve">分；本项最低得0分。</w:t>
            </w:r>
            <w:r/>
          </w:p>
          <w:p>
            <w:pPr>
              <w:spacing w:line="460" w:lineRule="exact"/>
              <w:rPr>
                <w:rFonts w:ascii="宋体" w:hAnsi="宋体" w:eastAsia="宋体" w:cs="宋体"/>
                <w:sz w:val="24"/>
                <w:szCs w:val="24"/>
              </w:rPr>
            </w:pPr>
            <w:r>
              <w:rPr>
                <w:rFonts w:hint="eastAsia" w:ascii="宋体" w:hAnsi="宋体" w:eastAsia="宋体" w:cs="宋体"/>
                <w:sz w:val="24"/>
                <w:szCs w:val="24"/>
              </w:rPr>
              <w:t xml:space="preserve">注：带</w:t>
            </w:r>
            <w:r>
              <w:rPr>
                <w:rFonts w:hint="eastAsia" w:ascii="宋体" w:hAnsi="宋体" w:eastAsia="宋体" w:cs="宋体"/>
                <w:sz w:val="24"/>
                <w:szCs w:val="24"/>
              </w:rPr>
              <w:t xml:space="preserve">“★”项需按照</w:t>
            </w:r>
            <w:r>
              <w:rPr>
                <w:rFonts w:hint="eastAsia" w:ascii="宋体" w:hAnsi="宋体" w:eastAsia="宋体" w:cs="宋体"/>
                <w:sz w:val="24"/>
                <w:szCs w:val="24"/>
              </w:rPr>
              <w:t xml:space="preserve">招标文件要求提供相关证明材料作为佐证，未按要求提供相关证明材料或提供的证明材料无法佐证的相关技术性能参数视为负偏离。</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需求理解</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spacing w:line="460" w:lineRule="exact"/>
              <w:rPr>
                <w:rFonts w:ascii="宋体" w:hAnsi="宋体" w:eastAsia="宋体" w:cs="宋体"/>
                <w:sz w:val="24"/>
                <w:szCs w:val="24"/>
              </w:rPr>
            </w:pPr>
            <w:r>
              <w:rPr>
                <w:rFonts w:ascii="宋体" w:hAnsi="宋体" w:eastAsia="宋体" w:cs="宋体"/>
                <w:sz w:val="24"/>
                <w:szCs w:val="24"/>
              </w:rPr>
              <w:t xml:space="preserve">根据投标人针对本项目提供的</w:t>
            </w:r>
            <w:r>
              <w:rPr>
                <w:rFonts w:hint="eastAsia" w:ascii="宋体" w:hAnsi="宋体" w:eastAsia="宋体" w:cs="宋体"/>
                <w:sz w:val="24"/>
                <w:szCs w:val="24"/>
              </w:rPr>
              <w:t xml:space="preserve">需求理解</w:t>
            </w:r>
            <w:r>
              <w:rPr>
                <w:rFonts w:ascii="宋体" w:hAnsi="宋体" w:eastAsia="宋体" w:cs="宋体"/>
                <w:sz w:val="24"/>
                <w:szCs w:val="24"/>
              </w:rPr>
              <w:t xml:space="preserve">方案</w:t>
            </w:r>
            <w:r>
              <w:rPr>
                <w:rFonts w:hint="eastAsia" w:ascii="宋体" w:hAnsi="宋体" w:eastAsia="宋体" w:cs="宋体"/>
                <w:sz w:val="24"/>
                <w:szCs w:val="24"/>
              </w:rPr>
              <w:t xml:space="preserve">（评审</w:t>
            </w:r>
            <w:r>
              <w:rPr>
                <w:rFonts w:ascii="宋体" w:hAnsi="宋体" w:eastAsia="宋体" w:cs="宋体"/>
                <w:sz w:val="24"/>
                <w:szCs w:val="24"/>
              </w:rPr>
              <w:t xml:space="preserve">点</w:t>
            </w:r>
            <w:r>
              <w:rPr>
                <w:rFonts w:hint="eastAsia" w:ascii="宋体" w:hAnsi="宋体" w:eastAsia="宋体" w:cs="宋体"/>
                <w:sz w:val="24"/>
                <w:szCs w:val="24"/>
              </w:rPr>
              <w:t xml:space="preserve">包括项目背景、建设现状、功能需求、建设目标）</w:t>
            </w:r>
            <w:r>
              <w:rPr>
                <w:rFonts w:ascii="宋体" w:hAnsi="宋体" w:eastAsia="宋体" w:cs="宋体"/>
                <w:sz w:val="24"/>
                <w:szCs w:val="24"/>
              </w:rPr>
              <w:t xml:space="preserve">进行综合评定：</w:t>
            </w:r>
            <w:r>
              <w:rPr>
                <w:rFonts w:hint="eastAsia" w:ascii="宋体" w:hAnsi="宋体" w:eastAsia="宋体" w:cs="宋体"/>
                <w:sz w:val="24"/>
                <w:szCs w:val="24"/>
              </w:rPr>
              <w:t xml:space="preserve">方案完整合理</w:t>
            </w:r>
            <w:r>
              <w:rPr>
                <w:rFonts w:ascii="宋体" w:hAnsi="宋体" w:eastAsia="宋体" w:cs="宋体"/>
                <w:sz w:val="24"/>
                <w:szCs w:val="24"/>
              </w:rPr>
              <w:t xml:space="preserve">的得</w:t>
            </w:r>
            <w:r>
              <w:rPr>
                <w:rFonts w:hint="eastAsia" w:ascii="宋体" w:hAnsi="宋体" w:eastAsia="宋体" w:cs="宋体"/>
                <w:sz w:val="24"/>
                <w:szCs w:val="24"/>
              </w:rPr>
              <w:t xml:space="preserve">3</w:t>
            </w:r>
            <w:r>
              <w:rPr>
                <w:rFonts w:ascii="宋体" w:hAnsi="宋体" w:eastAsia="宋体" w:cs="宋体"/>
                <w:sz w:val="24"/>
                <w:szCs w:val="24"/>
              </w:rPr>
              <w:t xml:space="preserve">分；方案有所欠缺的得</w:t>
            </w:r>
            <w:r>
              <w:rPr>
                <w:rFonts w:hint="eastAsia" w:ascii="宋体" w:hAnsi="宋体" w:eastAsia="宋体" w:cs="宋体"/>
                <w:sz w:val="24"/>
                <w:szCs w:val="24"/>
              </w:rPr>
              <w:t xml:space="preserve">1.5</w:t>
            </w:r>
            <w:r>
              <w:rPr>
                <w:rFonts w:ascii="宋体" w:hAnsi="宋体" w:eastAsia="宋体" w:cs="宋体"/>
                <w:sz w:val="24"/>
                <w:szCs w:val="24"/>
              </w:rPr>
              <w:t xml:space="preserve">分</w:t>
            </w:r>
            <w:r>
              <w:rPr>
                <w:rFonts w:hint="eastAsia" w:ascii="宋体" w:hAnsi="宋体" w:eastAsia="宋体" w:cs="宋体"/>
                <w:sz w:val="24"/>
                <w:szCs w:val="24"/>
              </w:rPr>
              <w:t xml:space="preserve">；</w:t>
            </w:r>
            <w:r>
              <w:rPr>
                <w:rFonts w:ascii="宋体" w:hAnsi="宋体" w:eastAsia="宋体" w:cs="宋体"/>
                <w:sz w:val="24"/>
                <w:szCs w:val="24"/>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Times New Roman" w:hAnsi="Times New Roman" w:eastAsia="宋体" w:cs="Times New Roman"/>
                <w:sz w:val="24"/>
                <w:szCs w:val="20"/>
              </w:rPr>
            </w:pPr>
            <w:r>
              <w:rPr>
                <w:rFonts w:hint="eastAsia" w:ascii="宋体" w:hAnsi="宋体" w:eastAsia="宋体" w:cs="宋体"/>
                <w:sz w:val="24"/>
              </w:rPr>
              <w:t xml:space="preserve">重污染天气应急管理方案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4"/>
                <w:rFonts w:hint="default"/>
                <w:color w:val="auto"/>
              </w:rPr>
              <w:t xml:space="preserve">对投标人提供的</w:t>
            </w:r>
            <w:r>
              <w:rPr>
                <w:rStyle w:val="1025"/>
                <w:rFonts w:hint="default"/>
                <w:color w:val="auto"/>
              </w:rPr>
              <w:t xml:space="preserve">重污染天气应急管理</w:t>
            </w:r>
            <w:r>
              <w:rPr>
                <w:rStyle w:val="1026"/>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7"/>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园区应急管理升级方案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4"/>
                <w:rFonts w:hint="default"/>
                <w:color w:val="auto"/>
              </w:rPr>
              <w:t xml:space="preserve">对投标人提供的</w:t>
            </w:r>
            <w:r>
              <w:rPr>
                <w:rFonts w:hint="eastAsia" w:ascii="宋体" w:hAnsi="宋体" w:eastAsia="宋体" w:cs="宋体"/>
                <w:sz w:val="24"/>
              </w:rPr>
              <w:t xml:space="preserve">园区应急管理升级方案</w:t>
            </w:r>
            <w:r>
              <w:rPr>
                <w:rStyle w:val="1026"/>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7"/>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szCs w:val="24"/>
              </w:rPr>
              <w:t xml:space="preserve">重大危险源安全管理方案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4"/>
                <w:rFonts w:hint="default"/>
                <w:color w:val="auto"/>
              </w:rPr>
              <w:t xml:space="preserve">对投标人提供的</w:t>
            </w:r>
            <w:r>
              <w:rPr>
                <w:rFonts w:hint="eastAsia" w:ascii="宋体" w:hAnsi="宋体" w:eastAsia="宋体" w:cs="宋体"/>
                <w:sz w:val="24"/>
              </w:rPr>
              <w:t xml:space="preserve">安全基础管理方案</w:t>
            </w:r>
            <w:r>
              <w:rPr>
                <w:rStyle w:val="1026"/>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7"/>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安监人员定位监管升级方案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4"/>
                <w:rFonts w:hint="default"/>
                <w:color w:val="auto"/>
              </w:rPr>
              <w:t xml:space="preserve">对投标人提供的</w:t>
            </w:r>
            <w:r>
              <w:rPr>
                <w:rFonts w:hint="eastAsia" w:ascii="宋体" w:hAnsi="宋体" w:eastAsia="宋体" w:cs="宋体"/>
                <w:sz w:val="24"/>
              </w:rPr>
              <w:t xml:space="preserve">安监人员定位监管升级方案</w:t>
            </w:r>
            <w:r>
              <w:rPr>
                <w:rStyle w:val="1026"/>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7"/>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已有功能国产化</w:t>
            </w:r>
            <w:r>
              <w:rPr>
                <w:rFonts w:hint="eastAsia" w:ascii="宋体" w:hAnsi="宋体" w:eastAsia="宋体" w:cs="宋体"/>
                <w:sz w:val="24"/>
              </w:rPr>
              <w:t xml:space="preserve">适</w:t>
            </w:r>
            <w:r>
              <w:rPr>
                <w:rFonts w:hint="eastAsia" w:ascii="宋体" w:hAnsi="宋体" w:eastAsia="宋体" w:cs="宋体"/>
                <w:sz w:val="24"/>
              </w:rPr>
              <w:t xml:space="preserve">配方案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4"/>
                <w:rFonts w:hint="default"/>
                <w:color w:val="auto"/>
              </w:rPr>
              <w:t xml:space="preserve">对投标人提供的</w:t>
            </w:r>
            <w:r>
              <w:rPr>
                <w:rFonts w:hint="eastAsia" w:ascii="宋体" w:hAnsi="宋体" w:eastAsia="宋体" w:cs="宋体"/>
                <w:sz w:val="24"/>
              </w:rPr>
              <w:t xml:space="preserve">已有功能</w:t>
            </w:r>
            <w:r>
              <w:rPr>
                <w:rFonts w:hint="eastAsia" w:ascii="宋体" w:hAnsi="宋体" w:eastAsia="宋体" w:cs="宋体"/>
                <w:sz w:val="24"/>
              </w:rPr>
              <w:t xml:space="preserve">适</w:t>
            </w:r>
            <w:r>
              <w:rPr>
                <w:rFonts w:hint="eastAsia" w:ascii="宋体" w:hAnsi="宋体" w:eastAsia="宋体" w:cs="宋体"/>
                <w:sz w:val="24"/>
              </w:rPr>
              <w:t xml:space="preserve">配方案</w:t>
            </w:r>
            <w:r>
              <w:rPr>
                <w:rStyle w:val="1026"/>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7"/>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ascii="宋体" w:hAnsi="宋体"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国产化环境迁移方案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cs="宋体"/>
                <w:sz w:val="24"/>
                <w:szCs w:val="24"/>
              </w:rPr>
            </w:pPr>
            <w:r>
              <w:rPr>
                <w:rStyle w:val="1024"/>
                <w:rFonts w:hint="default"/>
                <w:color w:val="auto"/>
              </w:rPr>
              <w:t xml:space="preserve">对投标人提供的</w:t>
            </w:r>
            <w:r>
              <w:rPr>
                <w:rFonts w:hint="eastAsia" w:ascii="宋体" w:hAnsi="宋体" w:eastAsia="宋体" w:cs="宋体"/>
                <w:sz w:val="24"/>
              </w:rPr>
              <w:t xml:space="preserve">国产化环境迁移方案</w:t>
            </w:r>
            <w:r>
              <w:rPr>
                <w:rStyle w:val="1026"/>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7"/>
                <w:rFonts w:hint="default"/>
                <w:color w:val="auto"/>
              </w:rPr>
              <w:t xml:space="preserve">未作说明的不得分。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9</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安全基础管理方案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Style w:val="1024"/>
                <w:rFonts w:hint="default"/>
                <w:color w:val="auto"/>
              </w:rPr>
            </w:pPr>
            <w:r>
              <w:rPr>
                <w:rStyle w:val="1024"/>
                <w:rFonts w:hint="default"/>
                <w:color w:val="auto"/>
              </w:rPr>
              <w:t xml:space="preserve">对投标人提供的</w:t>
            </w:r>
            <w:r>
              <w:rPr>
                <w:rFonts w:hint="eastAsia" w:ascii="宋体" w:hAnsi="宋体" w:eastAsia="宋体" w:cs="宋体"/>
                <w:sz w:val="24"/>
              </w:rPr>
              <w:t xml:space="preserve">安全基础管理方案</w:t>
            </w:r>
            <w:r>
              <w:rPr>
                <w:rStyle w:val="1026"/>
                <w:rFonts w:hint="default"/>
                <w:color w:val="auto"/>
              </w:rPr>
              <w:t xml:space="preserve">进行综合评定：</w:t>
            </w:r>
            <w:r>
              <w:rPr>
                <w:rFonts w:hint="eastAsia" w:ascii="宋体" w:hAnsi="宋体" w:eastAsia="宋体" w:cs="宋体"/>
                <w:sz w:val="24"/>
                <w:szCs w:val="24"/>
                <w:lang w:val="zh-TW" w:eastAsia="zh-TW"/>
              </w:rPr>
              <w:t xml:space="preserve">方案阐述完整详细、设计科学合理的得</w:t>
            </w:r>
            <w:r>
              <w:rPr>
                <w:rFonts w:hint="eastAsia" w:ascii="宋体" w:hAnsi="宋体" w:cs="宋体"/>
                <w:sz w:val="24"/>
                <w:szCs w:val="24"/>
              </w:rPr>
              <w:t xml:space="preserve">3</w:t>
            </w:r>
            <w:r>
              <w:rPr>
                <w:rFonts w:hint="eastAsia" w:ascii="宋体" w:hAnsi="宋体" w:eastAsia="宋体" w:cs="宋体"/>
                <w:sz w:val="24"/>
                <w:szCs w:val="24"/>
                <w:lang w:val="zh-TW" w:eastAsia="zh-TW"/>
              </w:rPr>
              <w:t xml:space="preserve">分；方案有所欠缺的得</w:t>
            </w:r>
            <w:r>
              <w:rPr>
                <w:rFonts w:hint="eastAsia" w:ascii="宋体" w:hAnsi="宋体" w:eastAsia="宋体" w:cs="宋体"/>
                <w:sz w:val="24"/>
                <w:szCs w:val="24"/>
              </w:rPr>
              <w:t xml:space="preserve">1.5</w:t>
            </w:r>
            <w:r>
              <w:rPr>
                <w:rFonts w:hint="eastAsia" w:ascii="宋体" w:hAnsi="宋体" w:eastAsia="宋体" w:cs="宋体"/>
                <w:sz w:val="24"/>
                <w:szCs w:val="24"/>
                <w:lang w:val="zh-TW" w:eastAsia="zh-TW"/>
              </w:rPr>
              <w:t xml:space="preserve">分。</w:t>
            </w:r>
            <w:r>
              <w:rPr>
                <w:rStyle w:val="1027"/>
                <w:rFonts w:hint="default"/>
                <w:color w:val="auto"/>
              </w:rPr>
              <w:t xml:space="preserve">未作说明的不得分。</w:t>
            </w:r>
            <w:r/>
          </w:p>
        </w:tc>
      </w:tr>
      <w:tr>
        <w:trPr>
          <w:jc w:val="center"/>
          <w:trHeight w:val="127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10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60" w:lineRule="exact"/>
              <w:rPr>
                <w:rFonts w:ascii="宋体" w:hAnsi="宋体" w:eastAsia="宋体"/>
                <w:sz w:val="24"/>
                <w:szCs w:val="24"/>
              </w:rPr>
            </w:pPr>
            <w:r>
              <w:rPr>
                <w:rFonts w:hint="eastAsia" w:ascii="宋体" w:hAnsi="宋体" w:eastAsia="宋体" w:cs="宋体"/>
                <w:sz w:val="24"/>
                <w:szCs w:val="24"/>
              </w:rPr>
              <w:t xml:space="preserve">项目</w:t>
            </w:r>
            <w:r>
              <w:rPr>
                <w:rFonts w:hint="eastAsia" w:ascii="宋体" w:hAnsi="宋体" w:eastAsia="宋体"/>
                <w:sz w:val="24"/>
                <w:szCs w:val="24"/>
              </w:rPr>
              <w:t xml:space="preserve">整体</w:t>
            </w:r>
            <w:r>
              <w:rPr>
                <w:rFonts w:hint="eastAsia" w:ascii="宋体" w:hAnsi="宋体" w:eastAsia="宋体" w:cs="宋体"/>
                <w:sz w:val="24"/>
                <w:szCs w:val="24"/>
              </w:rPr>
              <w:t xml:space="preserve">实施方案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根据投标人针对本项目提供的整体实施方案（评审点包括实施计划及进度安排</w:t>
            </w:r>
            <w:r>
              <w:rPr>
                <w:rFonts w:ascii="宋体" w:hAnsi="宋体" w:eastAsia="宋体"/>
                <w:sz w:val="24"/>
                <w:szCs w:val="24"/>
              </w:rPr>
              <w:t xml:space="preserve">、</w:t>
            </w:r>
            <w:r>
              <w:rPr>
                <w:rFonts w:hint="eastAsia" w:ascii="宋体" w:hAnsi="宋体" w:eastAsia="宋体"/>
                <w:sz w:val="24"/>
                <w:szCs w:val="24"/>
              </w:rPr>
              <w:t xml:space="preserve">开发测试调试</w:t>
            </w:r>
            <w:r>
              <w:rPr>
                <w:rFonts w:ascii="宋体" w:hAnsi="宋体" w:eastAsia="宋体"/>
                <w:sz w:val="24"/>
                <w:szCs w:val="24"/>
              </w:rPr>
              <w:t xml:space="preserve">、</w:t>
            </w:r>
            <w:r>
              <w:rPr>
                <w:rFonts w:hint="eastAsia" w:ascii="宋体" w:hAnsi="宋体" w:eastAsia="宋体"/>
                <w:sz w:val="24"/>
                <w:szCs w:val="24"/>
              </w:rPr>
              <w:t xml:space="preserve">质量保证措施</w:t>
            </w:r>
            <w:r>
              <w:rPr>
                <w:rFonts w:ascii="宋体" w:hAnsi="宋体" w:eastAsia="宋体"/>
                <w:sz w:val="24"/>
                <w:szCs w:val="24"/>
              </w:rPr>
              <w:t xml:space="preserve">、</w:t>
            </w:r>
            <w:r>
              <w:rPr>
                <w:rFonts w:hint="eastAsia" w:ascii="宋体" w:hAnsi="宋体" w:eastAsia="宋体"/>
                <w:sz w:val="24"/>
                <w:szCs w:val="24"/>
              </w:rPr>
              <w:t xml:space="preserve">风险管</w:t>
            </w:r>
            <w:r>
              <w:rPr>
                <w:rFonts w:hint="eastAsia" w:ascii="宋体" w:hAnsi="宋体" w:eastAsia="宋体"/>
                <w:sz w:val="24"/>
                <w:szCs w:val="24"/>
              </w:rPr>
              <w:t xml:space="preserve">控</w:t>
            </w:r>
            <w:r>
              <w:rPr>
                <w:rFonts w:ascii="宋体" w:hAnsi="宋体" w:eastAsia="宋体"/>
                <w:sz w:val="24"/>
                <w:szCs w:val="24"/>
              </w:rPr>
              <w:t xml:space="preserve">进行</w:t>
            </w:r>
            <w:r>
              <w:rPr>
                <w:rFonts w:ascii="宋体" w:hAnsi="宋体" w:eastAsia="宋体"/>
                <w:sz w:val="24"/>
                <w:szCs w:val="24"/>
              </w:rPr>
              <w:t xml:space="preserve">综合评定：方案完整合理的得</w:t>
            </w:r>
            <w:r>
              <w:rPr>
                <w:rFonts w:hint="eastAsia" w:ascii="宋体" w:hAnsi="宋体" w:eastAsia="宋体"/>
                <w:sz w:val="24"/>
                <w:szCs w:val="24"/>
              </w:rPr>
              <w:t xml:space="preserve">3</w:t>
            </w:r>
            <w:r>
              <w:rPr>
                <w:rFonts w:ascii="宋体" w:hAnsi="宋体" w:eastAsia="宋体"/>
                <w:sz w:val="24"/>
                <w:szCs w:val="24"/>
              </w:rPr>
              <w:t xml:space="preserve">分；方案有所欠缺的得1</w:t>
            </w:r>
            <w:r>
              <w:rPr>
                <w:rFonts w:hint="eastAsia" w:ascii="宋体" w:hAnsi="宋体" w:eastAsia="宋体"/>
                <w:sz w:val="24"/>
                <w:szCs w:val="24"/>
              </w:rPr>
              <w:t xml:space="preserve">.5</w:t>
            </w:r>
            <w:r>
              <w:rPr>
                <w:rFonts w:ascii="宋体" w:hAnsi="宋体" w:eastAsia="宋体"/>
                <w:sz w:val="24"/>
                <w:szCs w:val="24"/>
              </w:rPr>
              <w:t xml:space="preserve">分；未作说明的不得分。</w:t>
            </w:r>
            <w:r/>
          </w:p>
        </w:tc>
      </w:tr>
      <w:tr>
        <w:trPr>
          <w:jc w:val="center"/>
          <w:trHeight w:val="127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spacing w:line="440" w:lineRule="atLeas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460" w:lineRule="exact"/>
              <w:rPr>
                <w:rFonts w:ascii="宋体" w:hAnsi="宋体" w:eastAsia="宋体" w:cs="宋体"/>
                <w:sz w:val="24"/>
                <w:szCs w:val="24"/>
              </w:rPr>
            </w:pPr>
            <w:r>
              <w:rPr>
                <w:rFonts w:hint="eastAsia" w:ascii="宋体" w:hAnsi="宋体" w:eastAsia="宋体" w:cs="宋体"/>
                <w:sz w:val="24"/>
                <w:szCs w:val="24"/>
              </w:rPr>
              <w:t xml:space="preserve">售后服务方案</w:t>
            </w:r>
            <w:r/>
          </w:p>
        </w:tc>
        <w:tc>
          <w:tcPr>
            <w:tcBorders>
              <w:top w:val="single" w:color="auto" w:sz="4" w:space="0"/>
              <w:left w:val="single" w:color="auto" w:sz="4" w:space="0"/>
              <w:bottom w:val="single" w:color="auto" w:sz="4" w:space="0"/>
              <w:right w:val="single" w:color="auto" w:sz="4" w:space="0"/>
            </w:tcBorders>
            <w:tcW w:w="801" w:type="dxa"/>
            <w:vAlign w:val="center"/>
            <w:textDirection w:val="lrTb"/>
            <w:noWrap w:val="false"/>
          </w:tcPr>
          <w:p>
            <w:pPr>
              <w:jc w:val="center"/>
              <w:rPr>
                <w:rFonts w:ascii="宋体" w:hAnsi="宋体" w:eastAsia="宋体"/>
                <w:sz w:val="24"/>
                <w:szCs w:val="24"/>
              </w:rPr>
            </w:pPr>
            <w:r>
              <w:rPr>
                <w:rFonts w:hint="eastAsia" w:ascii="宋体" w:hAnsi="宋体" w:eastAsia="宋体"/>
                <w:sz w:val="24"/>
                <w:szCs w:val="24"/>
              </w:rPr>
              <w:t xml:space="preserve">3</w:t>
            </w:r>
            <w:r/>
          </w:p>
        </w:tc>
        <w:tc>
          <w:tcPr>
            <w:tcBorders>
              <w:top w:val="single" w:color="auto" w:sz="4" w:space="0"/>
              <w:left w:val="single" w:color="auto" w:sz="4" w:space="0"/>
              <w:bottom w:val="single" w:color="auto" w:sz="4" w:space="0"/>
              <w:right w:val="single" w:color="auto" w:sz="4" w:space="0"/>
            </w:tcBorders>
            <w:tcW w:w="6386" w:type="dxa"/>
            <w:vAlign w:val="center"/>
            <w:textDirection w:val="lrTb"/>
            <w:noWrap w:val="false"/>
          </w:tcPr>
          <w:p>
            <w:pPr>
              <w:rPr>
                <w:rFonts w:ascii="宋体" w:hAnsi="宋体" w:eastAsia="宋体"/>
                <w:sz w:val="24"/>
                <w:szCs w:val="24"/>
              </w:rPr>
            </w:pPr>
            <w:r>
              <w:rPr>
                <w:rFonts w:hint="eastAsia" w:ascii="宋体" w:hAnsi="宋体" w:eastAsia="宋体"/>
                <w:sz w:val="24"/>
                <w:szCs w:val="24"/>
              </w:rPr>
              <w:t xml:space="preserve">根据投标人针对本项目提供的售后服务方案（评审点包括售后服务体系、服务内容、服务方式、响应能力：方案完整合理的得</w:t>
            </w:r>
            <w:r>
              <w:rPr>
                <w:rFonts w:ascii="宋体" w:hAnsi="宋体" w:eastAsia="宋体"/>
                <w:sz w:val="24"/>
                <w:szCs w:val="24"/>
              </w:rPr>
              <w:t xml:space="preserve">3分；方案有所欠缺的得1</w:t>
            </w:r>
            <w:r>
              <w:rPr>
                <w:rFonts w:hint="eastAsia" w:ascii="宋体" w:hAnsi="宋体" w:eastAsia="宋体"/>
                <w:sz w:val="24"/>
                <w:szCs w:val="24"/>
              </w:rPr>
              <w:t xml:space="preserve">.5</w:t>
            </w:r>
            <w:r>
              <w:rPr>
                <w:rFonts w:ascii="宋体" w:hAnsi="宋体" w:eastAsia="宋体"/>
                <w:sz w:val="24"/>
                <w:szCs w:val="24"/>
              </w:rPr>
              <w:t xml:space="preserve">分；未作说明的不得分。</w:t>
            </w:r>
            <w:r/>
          </w:p>
        </w:tc>
      </w:tr>
    </w:tbl>
    <w:p>
      <w:pPr>
        <w:ind w:firstLine="482"/>
        <w:spacing w:line="440" w:lineRule="exact"/>
        <w:rPr>
          <w:rFonts w:ascii="Times New Roman" w:hAnsi="Times New Roman" w:eastAsia="宋体" w:cs="Times New Roman"/>
          <w:b/>
          <w:bCs/>
          <w:sz w:val="24"/>
          <w:szCs w:val="20"/>
        </w:rPr>
      </w:pPr>
      <w:r>
        <w:rPr>
          <w:rFonts w:hint="eastAsia" w:ascii="Times New Roman" w:hAnsi="Times New Roman" w:eastAsia="宋体" w:cs="Times New Roman"/>
          <w:b/>
          <w:bCs/>
          <w:sz w:val="24"/>
          <w:szCs w:val="20"/>
        </w:rPr>
        <w:t xml:space="preserve">（三）人员要求</w:t>
      </w:r>
      <w:r>
        <w:rPr>
          <w:rFonts w:ascii="Times New Roman" w:hAnsi="Times New Roman" w:eastAsia="宋体" w:cs="Times New Roman"/>
          <w:b/>
          <w:bCs/>
          <w:sz w:val="24"/>
          <w:szCs w:val="20"/>
        </w:rPr>
        <w:t xml:space="preserve">16</w:t>
      </w:r>
      <w:r>
        <w:rPr>
          <w:rFonts w:hint="eastAsia" w:ascii="Times New Roman" w:hAnsi="Times New Roman" w:eastAsia="宋体" w:cs="Times New Roman"/>
          <w:b/>
          <w:bCs/>
          <w:sz w:val="24"/>
          <w:szCs w:val="20"/>
        </w:rPr>
        <w:t xml:space="preserve">分</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1945"/>
        <w:gridCol w:w="851"/>
        <w:gridCol w:w="6262"/>
      </w:tblGrid>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分值</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项目负责人</w:t>
            </w:r>
            <w:r>
              <w:rPr>
                <w:rFonts w:hint="eastAsia" w:ascii="Times New Roman" w:hAnsi="Times New Roman" w:eastAsia="宋体" w:cs="Times New Roman"/>
                <w:sz w:val="24"/>
                <w:szCs w:val="20"/>
              </w:rPr>
              <w:t xml:space="preserve">（一人）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宋体" w:hAnsi="宋体" w:eastAsia="宋体" w:cs="宋体"/>
                <w:sz w:val="24"/>
                <w:szCs w:val="24"/>
              </w:rPr>
            </w:pPr>
            <w:r>
              <w:rPr>
                <w:rFonts w:ascii="宋体" w:hAnsi="宋体" w:eastAsia="宋体" w:cs="宋体"/>
                <w:sz w:val="24"/>
                <w:szCs w:val="24"/>
              </w:rPr>
              <w:t xml:space="preserve">拟针对</w:t>
            </w:r>
            <w:r>
              <w:rPr>
                <w:rFonts w:ascii="宋体" w:hAnsi="宋体" w:eastAsia="宋体" w:cs="宋体"/>
                <w:sz w:val="24"/>
                <w:szCs w:val="24"/>
              </w:rPr>
              <w:t xml:space="preserve">本项目投入的项目负责人</w:t>
            </w:r>
            <w:r>
              <w:rPr>
                <w:rFonts w:hint="eastAsia" w:ascii="宋体" w:hAnsi="宋体" w:eastAsia="宋体" w:cs="宋体"/>
                <w:sz w:val="24"/>
                <w:szCs w:val="24"/>
              </w:rPr>
              <w:t xml:space="preserve">具有信息系统项目管理师、系统规划与管理师、高级工程师（电子信息）证书的，每有一个证书得</w:t>
            </w:r>
            <w:r>
              <w:rPr>
                <w:rFonts w:ascii="宋体" w:hAnsi="宋体" w:eastAsia="宋体" w:cs="宋体"/>
                <w:sz w:val="24"/>
                <w:szCs w:val="24"/>
              </w:rPr>
              <w:t xml:space="preserve">2分，最多得6分。注：投标文件中需提供上述人员有效的证书扫描件及投标人为其缴纳的近三个月中任意一个月的</w:t>
            </w:r>
            <w:r>
              <w:rPr>
                <w:rFonts w:ascii="宋体" w:hAnsi="宋体" w:eastAsia="宋体" w:cs="宋体"/>
                <w:sz w:val="24"/>
                <w:szCs w:val="24"/>
              </w:rPr>
              <w:t xml:space="preserve">社保证明</w:t>
            </w:r>
            <w:r>
              <w:rPr>
                <w:rFonts w:ascii="宋体" w:hAnsi="宋体" w:eastAsia="宋体" w:cs="宋体"/>
                <w:sz w:val="24"/>
                <w:szCs w:val="24"/>
              </w:rPr>
              <w:t xml:space="preserve">材料扫描件，未提供的本项不得分。</w:t>
            </w:r>
            <w:r/>
          </w:p>
        </w:tc>
      </w:tr>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技术负责人（一人）</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宋体" w:hAnsi="宋体" w:eastAsia="宋体" w:cs="宋体"/>
                <w:sz w:val="24"/>
                <w:szCs w:val="24"/>
              </w:rPr>
            </w:pPr>
            <w:r>
              <w:rPr>
                <w:rFonts w:hint="eastAsia" w:ascii="宋体" w:hAnsi="宋体" w:eastAsia="宋体" w:cs="宋体"/>
                <w:sz w:val="24"/>
                <w:szCs w:val="24"/>
              </w:rPr>
              <w:t xml:space="preserve">拟针对</w:t>
            </w:r>
            <w:r>
              <w:rPr>
                <w:rFonts w:hint="eastAsia" w:ascii="宋体" w:hAnsi="宋体" w:eastAsia="宋体" w:cs="宋体"/>
                <w:sz w:val="24"/>
                <w:szCs w:val="24"/>
              </w:rPr>
              <w:t xml:space="preserve">本项目投入的技术负责人具有信息系统项目管理师、数据库系统工程师</w:t>
            </w:r>
            <w:r>
              <w:rPr>
                <w:rFonts w:ascii="宋体" w:hAnsi="宋体" w:eastAsia="宋体" w:cs="宋体"/>
                <w:sz w:val="24"/>
                <w:szCs w:val="24"/>
              </w:rPr>
              <w:t xml:space="preserve">证书的</w:t>
            </w:r>
            <w:r>
              <w:rPr>
                <w:rFonts w:hint="eastAsia" w:ascii="宋体" w:hAnsi="宋体" w:eastAsia="宋体" w:cs="宋体"/>
                <w:sz w:val="24"/>
                <w:szCs w:val="24"/>
              </w:rPr>
              <w:t xml:space="preserve">，每有一个证书得</w:t>
            </w:r>
            <w:r>
              <w:rPr>
                <w:rFonts w:ascii="宋体" w:hAnsi="宋体" w:eastAsia="宋体" w:cs="宋体"/>
                <w:sz w:val="24"/>
                <w:szCs w:val="24"/>
              </w:rPr>
              <w:t xml:space="preserve">2分，最多得</w:t>
            </w:r>
            <w:r>
              <w:rPr>
                <w:rFonts w:hint="eastAsia" w:ascii="宋体" w:hAnsi="宋体" w:eastAsia="宋体" w:cs="宋体"/>
                <w:sz w:val="24"/>
                <w:szCs w:val="24"/>
              </w:rPr>
              <w:t xml:space="preserve">4</w:t>
            </w:r>
            <w:r>
              <w:rPr>
                <w:rFonts w:ascii="宋体" w:hAnsi="宋体" w:eastAsia="宋体" w:cs="宋体"/>
                <w:sz w:val="24"/>
                <w:szCs w:val="24"/>
              </w:rPr>
              <w:t xml:space="preserve">分。注：投标文件中需提供上述人员有效的证书扫描件及投标人为其缴纳的近三个月中任意一个月的</w:t>
            </w:r>
            <w:r>
              <w:rPr>
                <w:rFonts w:ascii="宋体" w:hAnsi="宋体" w:eastAsia="宋体" w:cs="宋体"/>
                <w:sz w:val="24"/>
                <w:szCs w:val="24"/>
              </w:rPr>
              <w:t xml:space="preserve">社保证明</w:t>
            </w:r>
            <w:r>
              <w:rPr>
                <w:rFonts w:ascii="宋体" w:hAnsi="宋体" w:eastAsia="宋体" w:cs="宋体"/>
                <w:sz w:val="24"/>
                <w:szCs w:val="24"/>
              </w:rPr>
              <w:t xml:space="preserve">材料扫描件，未提供的本项不得分。</w:t>
            </w:r>
            <w:r/>
          </w:p>
        </w:tc>
      </w:tr>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项目团队人员配置</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6</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Times New Roman" w:hAnsi="Times New Roman" w:eastAsia="宋体" w:cs="Times New Roman"/>
                <w:sz w:val="24"/>
                <w:szCs w:val="20"/>
              </w:rPr>
            </w:pPr>
            <w:r>
              <w:rPr>
                <w:rFonts w:hint="eastAsia" w:ascii="宋体" w:hAnsi="宋体" w:eastAsia="宋体" w:cs="宋体"/>
                <w:sz w:val="24"/>
                <w:szCs w:val="24"/>
              </w:rPr>
              <w:t xml:space="preserve">拟针对</w:t>
            </w:r>
            <w:r>
              <w:rPr>
                <w:rFonts w:hint="eastAsia" w:ascii="宋体" w:hAnsi="宋体" w:eastAsia="宋体" w:cs="宋体"/>
                <w:sz w:val="24"/>
                <w:szCs w:val="24"/>
              </w:rPr>
              <w:t xml:space="preserve">本项目投入的项目团队人员（</w:t>
            </w:r>
            <w:r>
              <w:rPr>
                <w:rFonts w:ascii="Times New Roman" w:hAnsi="Times New Roman" w:eastAsia="宋体" w:cs="Times New Roman"/>
                <w:sz w:val="24"/>
                <w:szCs w:val="20"/>
              </w:rPr>
              <w:t xml:space="preserve">项目负责人</w:t>
            </w:r>
            <w:r>
              <w:rPr>
                <w:rFonts w:hint="eastAsia" w:ascii="Times New Roman" w:hAnsi="Times New Roman" w:eastAsia="宋体" w:cs="Times New Roman"/>
                <w:sz w:val="24"/>
                <w:szCs w:val="20"/>
              </w:rPr>
              <w:t xml:space="preserve">、技术负责人除外），具有相应证书（包括</w:t>
            </w:r>
            <w:r>
              <w:rPr>
                <w:rFonts w:hint="eastAsia" w:ascii="宋体" w:hAnsi="宋体" w:eastAsia="宋体" w:cs="宋体"/>
                <w:sz w:val="24"/>
                <w:szCs w:val="24"/>
              </w:rPr>
              <w:t xml:space="preserve">系统分析师、信息安全工程师、网络工程师</w:t>
            </w:r>
            <w:r>
              <w:rPr>
                <w:rFonts w:ascii="宋体" w:hAnsi="宋体" w:eastAsia="宋体" w:cs="宋体"/>
                <w:sz w:val="24"/>
                <w:szCs w:val="24"/>
              </w:rPr>
              <w:t xml:space="preserve">证书</w:t>
            </w:r>
            <w:r>
              <w:rPr>
                <w:rFonts w:hint="eastAsia" w:ascii="宋体" w:hAnsi="宋体" w:eastAsia="宋体" w:cs="宋体"/>
                <w:sz w:val="24"/>
                <w:szCs w:val="24"/>
              </w:rPr>
              <w:t xml:space="preserve">），每个证书有一人符合该要求的得2分（同一证书有多人符合的</w:t>
            </w:r>
            <w:r>
              <w:rPr>
                <w:rFonts w:hint="eastAsia" w:ascii="宋体" w:hAnsi="宋体" w:eastAsia="宋体" w:cs="宋体"/>
                <w:sz w:val="24"/>
                <w:szCs w:val="24"/>
              </w:rPr>
              <w:t xml:space="preserve">不</w:t>
            </w:r>
            <w:r>
              <w:rPr>
                <w:rFonts w:hint="eastAsia" w:ascii="宋体" w:hAnsi="宋体" w:eastAsia="宋体" w:cs="宋体"/>
                <w:sz w:val="24"/>
                <w:szCs w:val="24"/>
              </w:rPr>
              <w:t xml:space="preserve">累计加分），本项最高得6分</w:t>
            </w:r>
            <w:r>
              <w:rPr>
                <w:rFonts w:ascii="宋体" w:hAnsi="宋体" w:eastAsia="宋体" w:cs="宋体"/>
                <w:sz w:val="24"/>
                <w:szCs w:val="24"/>
              </w:rPr>
              <w:t xml:space="preserve">。注：投标文件中需提供上述人员有效的证书扫描件及投标人为其缴纳的近三个月中任意一个月的</w:t>
            </w:r>
            <w:r>
              <w:rPr>
                <w:rFonts w:ascii="宋体" w:hAnsi="宋体" w:eastAsia="宋体" w:cs="宋体"/>
                <w:sz w:val="24"/>
                <w:szCs w:val="24"/>
              </w:rPr>
              <w:t xml:space="preserve">社保证明</w:t>
            </w:r>
            <w:r>
              <w:rPr>
                <w:rFonts w:ascii="宋体" w:hAnsi="宋体" w:eastAsia="宋体" w:cs="宋体"/>
                <w:sz w:val="24"/>
                <w:szCs w:val="24"/>
              </w:rPr>
              <w:t xml:space="preserve">材料扫描件，未提供的本项不得分。</w:t>
            </w:r>
            <w:r/>
          </w:p>
        </w:tc>
      </w:tr>
    </w:tbl>
    <w:p>
      <w:pPr>
        <w:ind w:firstLine="482"/>
        <w:spacing w:line="440" w:lineRule="exact"/>
        <w:rPr>
          <w:rFonts w:ascii="Times New Roman" w:hAnsi="Times New Roman" w:eastAsia="宋体" w:cs="Times New Roman"/>
          <w:b/>
          <w:bCs/>
          <w:sz w:val="24"/>
          <w:szCs w:val="20"/>
        </w:rPr>
      </w:pPr>
      <w:r>
        <w:rPr>
          <w:rFonts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四</w:t>
      </w:r>
      <w:r>
        <w:rPr>
          <w:rFonts w:ascii="Times New Roman" w:hAnsi="Times New Roman" w:eastAsia="宋体" w:cs="Times New Roman"/>
          <w:b/>
          <w:bCs/>
          <w:sz w:val="24"/>
          <w:szCs w:val="20"/>
        </w:rPr>
        <w:t xml:space="preserve">）</w:t>
      </w:r>
      <w:r>
        <w:rPr>
          <w:rFonts w:hint="eastAsia" w:ascii="Times New Roman" w:hAnsi="Times New Roman" w:eastAsia="宋体" w:cs="Times New Roman"/>
          <w:b/>
          <w:bCs/>
          <w:sz w:val="24"/>
          <w:szCs w:val="20"/>
        </w:rPr>
        <w:t xml:space="preserve">综合实力</w:t>
      </w:r>
      <w:r>
        <w:rPr>
          <w:rFonts w:ascii="Times New Roman" w:hAnsi="Times New Roman" w:eastAsia="宋体" w:cs="Times New Roman"/>
          <w:b/>
          <w:bCs/>
          <w:sz w:val="24"/>
          <w:szCs w:val="20"/>
        </w:rPr>
        <w:t xml:space="preserve">14</w:t>
      </w:r>
      <w:r>
        <w:rPr>
          <w:rFonts w:ascii="Times New Roman" w:hAnsi="Times New Roman" w:eastAsia="宋体" w:cs="Times New Roman"/>
          <w:b/>
          <w:bCs/>
          <w:sz w:val="24"/>
          <w:szCs w:val="20"/>
        </w:rPr>
        <w:t xml:space="preserve">分</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8"/>
        <w:gridCol w:w="1945"/>
        <w:gridCol w:w="851"/>
        <w:gridCol w:w="6262"/>
      </w:tblGrid>
      <w:tr>
        <w:trPr>
          <w:jc w:val="center"/>
          <w:trHeight w:val="489"/>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分值</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评分标准</w:t>
            </w:r>
            <w:r/>
          </w:p>
        </w:tc>
      </w:tr>
      <w:tr>
        <w:trPr>
          <w:jc w:val="center"/>
          <w:trHeight w:val="850"/>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8</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Times New Roman" w:hAnsi="Times New Roman" w:eastAsia="宋体" w:cs="Times New Roman"/>
                <w:sz w:val="24"/>
                <w:szCs w:val="20"/>
              </w:rPr>
            </w:pPr>
            <w:r>
              <w:rPr>
                <w:rFonts w:ascii="宋体" w:hAnsi="宋体" w:eastAsia="宋体" w:cs="宋体"/>
                <w:sz w:val="24"/>
                <w:szCs w:val="24"/>
              </w:rPr>
              <w:t xml:space="preserve">投标人自</w:t>
            </w:r>
            <w:r>
              <w:rPr>
                <w:rFonts w:hint="eastAsia" w:ascii="宋体" w:hAnsi="宋体" w:eastAsia="宋体" w:cs="宋体"/>
                <w:sz w:val="24"/>
                <w:szCs w:val="24"/>
              </w:rPr>
              <w:t xml:space="preserve">202</w:t>
            </w:r>
            <w:r>
              <w:rPr>
                <w:rFonts w:ascii="宋体" w:hAnsi="宋体" w:eastAsia="宋体" w:cs="宋体"/>
                <w:sz w:val="24"/>
                <w:szCs w:val="24"/>
              </w:rPr>
              <w:t xml:space="preserve">3年1月1日（以合同签订日期为准）至今实施的信息化项目业绩，每提供一个得2分，最高得8分。注：投标文件中需提供合同（包括合同首页、合同内容页、标的金额所在页、签字盖章页）扫描件，未提供的不得分。</w:t>
            </w:r>
            <w:r/>
          </w:p>
        </w:tc>
      </w:tr>
      <w:tr>
        <w:trPr>
          <w:jc w:val="center"/>
          <w:trHeight w:val="1097"/>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94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商务条件响应性</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4"/>
              </w:rPr>
              <w:t xml:space="preserve">6</w:t>
            </w:r>
            <w:r/>
          </w:p>
        </w:tc>
        <w:tc>
          <w:tcPr>
            <w:tcBorders>
              <w:top w:val="single" w:color="auto" w:sz="4" w:space="0"/>
              <w:left w:val="single" w:color="auto" w:sz="4" w:space="0"/>
              <w:bottom w:val="single" w:color="auto" w:sz="4" w:space="0"/>
              <w:right w:val="single" w:color="auto" w:sz="4" w:space="0"/>
            </w:tcBorders>
            <w:tcW w:w="6262" w:type="dxa"/>
            <w:vAlign w:val="center"/>
            <w:textDirection w:val="lrTb"/>
            <w:noWrap w:val="false"/>
          </w:tcPr>
          <w:p>
            <w:pPr>
              <w:spacing w:line="460" w:lineRule="exact"/>
              <w:rPr>
                <w:rFonts w:ascii="Times New Roman" w:hAnsi="Times New Roman" w:eastAsia="宋体" w:cs="Times New Roman"/>
                <w:b/>
                <w:bCs/>
                <w:sz w:val="24"/>
                <w:szCs w:val="24"/>
              </w:rPr>
            </w:pPr>
            <w:r>
              <w:rPr>
                <w:rFonts w:ascii="宋体" w:hAnsi="宋体" w:eastAsia="宋体" w:cs="宋体"/>
                <w:sz w:val="24"/>
                <w:szCs w:val="24"/>
              </w:rPr>
              <w:t xml:space="preserve">投标人对招标文件中合同条款等商务条件</w:t>
            </w:r>
            <w:r>
              <w:rPr>
                <w:rFonts w:ascii="宋体" w:hAnsi="宋体" w:eastAsia="宋体" w:cs="宋体"/>
                <w:sz w:val="24"/>
                <w:szCs w:val="24"/>
              </w:rPr>
              <w:t xml:space="preserve">完全响应</w:t>
            </w:r>
            <w:r>
              <w:rPr>
                <w:rFonts w:ascii="宋体" w:hAnsi="宋体" w:eastAsia="宋体" w:cs="宋体"/>
                <w:sz w:val="24"/>
                <w:szCs w:val="24"/>
              </w:rPr>
              <w:t xml:space="preserve">的得6分；</w:t>
            </w:r>
            <w:r>
              <w:rPr>
                <w:rFonts w:hint="eastAsia" w:ascii="宋体" w:hAnsi="宋体" w:eastAsia="宋体" w:cs="宋体"/>
                <w:sz w:val="24"/>
                <w:szCs w:val="24"/>
              </w:rPr>
              <w:t xml:space="preserve">有负偏离的，每条扣</w:t>
            </w:r>
            <w:r>
              <w:rPr>
                <w:rFonts w:ascii="宋体" w:hAnsi="宋体" w:eastAsia="宋体" w:cs="宋体"/>
                <w:sz w:val="24"/>
                <w:szCs w:val="24"/>
              </w:rPr>
              <w:t xml:space="preserve">1</w:t>
            </w:r>
            <w:r>
              <w:rPr>
                <w:rFonts w:hint="eastAsia" w:ascii="宋体" w:hAnsi="宋体" w:eastAsia="宋体" w:cs="宋体"/>
                <w:sz w:val="24"/>
                <w:szCs w:val="24"/>
              </w:rPr>
              <w:t xml:space="preserve">分</w:t>
            </w:r>
            <w:r>
              <w:rPr>
                <w:rFonts w:ascii="宋体" w:hAnsi="宋体" w:eastAsia="宋体" w:cs="宋体"/>
                <w:sz w:val="24"/>
                <w:szCs w:val="24"/>
              </w:rPr>
              <w:t xml:space="preserve">。</w:t>
            </w:r>
            <w:r/>
          </w:p>
        </w:tc>
      </w:tr>
    </w:tbl>
    <w:p>
      <w:pPr>
        <w:spacing w:line="440" w:lineRule="exact"/>
        <w:rPr>
          <w:rFonts w:ascii="Calibri" w:hAnsi="Calibri" w:eastAsia="宋体" w:cs="Times New Roman"/>
          <w:b/>
          <w:bCs/>
          <w:sz w:val="28"/>
          <w:szCs w:val="28"/>
        </w:rPr>
      </w:pPr>
      <w:r>
        <w:rPr>
          <w:rFonts w:ascii="Calibri" w:hAnsi="Calibri" w:eastAsia="宋体" w:cs="Times New Roman"/>
          <w:b/>
          <w:bCs/>
          <w:sz w:val="28"/>
          <w:szCs w:val="28"/>
        </w:rPr>
        <w:t xml:space="preserve">三、政府采购政策</w:t>
      </w:r>
      <w:r>
        <w:rPr>
          <w:rFonts w:hint="eastAsia" w:ascii="Calibri" w:hAnsi="Calibri" w:eastAsia="宋体" w:cs="Times New Roman"/>
          <w:b/>
          <w:bCs/>
          <w:sz w:val="28"/>
          <w:szCs w:val="28"/>
        </w:rPr>
        <w:t xml:space="preserve">：</w:t>
      </w:r>
      <w:r>
        <w:rPr>
          <w:rFonts w:ascii="Calibri" w:hAnsi="Calibri" w:eastAsia="宋体" w:cs="Times New Roman"/>
          <w:b/>
          <w:bCs/>
          <w:sz w:val="28"/>
          <w:szCs w:val="28"/>
        </w:rPr>
        <w:t xml:space="preserve"> </w:t>
      </w:r>
      <w:r/>
    </w:p>
    <w:p>
      <w:pPr>
        <w:ind w:firstLine="480"/>
        <w:spacing w:line="460" w:lineRule="exact"/>
        <w:rPr>
          <w:rFonts w:ascii="Calibri" w:hAnsi="Calibri" w:eastAsia="宋体" w:cs="Times New Roman"/>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w:t>
      </w:r>
      <w:r>
        <w:rPr>
          <w:rFonts w:ascii="宋体" w:hAnsi="宋体" w:eastAsia="宋体" w:cs="宋体"/>
          <w:sz w:val="24"/>
          <w:szCs w:val="24"/>
        </w:rPr>
        <w:t xml:space="preserve">针对小</w:t>
      </w:r>
      <w:r>
        <w:rPr>
          <w:rFonts w:hint="eastAsia" w:ascii="宋体" w:hAnsi="宋体" w:eastAsia="宋体" w:cs="宋体"/>
          <w:sz w:val="24"/>
          <w:szCs w:val="24"/>
        </w:rPr>
        <w:t xml:space="preserve">微</w:t>
      </w:r>
      <w:r>
        <w:rPr>
          <w:rFonts w:ascii="宋体" w:hAnsi="宋体" w:eastAsia="宋体" w:cs="宋体"/>
          <w:sz w:val="24"/>
          <w:szCs w:val="24"/>
        </w:rPr>
        <w:t xml:space="preserve">企业</w:t>
      </w:r>
      <w:r>
        <w:rPr>
          <w:rFonts w:ascii="宋体" w:hAnsi="宋体" w:eastAsia="宋体" w:cs="宋体"/>
          <w:sz w:val="24"/>
          <w:szCs w:val="24"/>
        </w:rPr>
        <w:t xml:space="preserve">的评审：</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w:t>
      </w:r>
      <w:r>
        <w:rPr>
          <w:rFonts w:hint="eastAsia" w:ascii="Calibri" w:hAnsi="Calibri" w:eastAsia="宋体" w:cs="Times New Roman"/>
          <w:b/>
          <w:bCs/>
          <w:sz w:val="24"/>
          <w:szCs w:val="24"/>
        </w:rPr>
        <w:t xml:space="preserve">不</w:t>
      </w:r>
      <w:r>
        <w:rPr>
          <w:rFonts w:ascii="Calibri" w:hAnsi="Calibri" w:eastAsia="宋体" w:cs="Times New Roman"/>
          <w:b/>
          <w:bCs/>
          <w:sz w:val="24"/>
          <w:szCs w:val="24"/>
        </w:rPr>
        <w:t xml:space="preserve">专门面向中小企业采购，所属行业为</w:t>
      </w:r>
      <w:r>
        <w:rPr>
          <w:rFonts w:hint="eastAsia" w:ascii="Calibri" w:hAnsi="Calibri" w:eastAsia="宋体" w:cs="Times New Roman"/>
          <w:b/>
          <w:bCs/>
          <w:sz w:val="24"/>
          <w:szCs w:val="24"/>
        </w:rPr>
        <w:t xml:space="preserve">软件和信息技术服务</w:t>
      </w:r>
      <w:r>
        <w:rPr>
          <w:rFonts w:hint="eastAsia" w:ascii="Times New Roman" w:hAnsi="Times New Roman" w:eastAsia="宋体" w:cs="Times New Roman"/>
          <w:b/>
          <w:sz w:val="24"/>
          <w:szCs w:val="24"/>
        </w:rPr>
        <w:t xml:space="preserve">业</w:t>
      </w:r>
      <w:r>
        <w:rPr>
          <w:rFonts w:ascii="Calibri" w:hAnsi="Calibri" w:eastAsia="宋体" w:cs="Times New Roman"/>
          <w:b/>
          <w:bCs/>
          <w:sz w:val="24"/>
          <w:szCs w:val="24"/>
        </w:rPr>
        <w:t xml:space="preserve">。</w:t>
      </w:r>
      <w:r/>
    </w:p>
    <w:p>
      <w:pPr>
        <w:ind w:firstLine="480"/>
        <w:spacing w:line="460" w:lineRule="exact"/>
        <w:rPr>
          <w:rFonts w:ascii="Calibri" w:hAnsi="Calibri" w:eastAsia="宋体" w:cs="Times New Roman"/>
        </w:rPr>
      </w:pPr>
      <w:r>
        <w:rPr>
          <w:rFonts w:ascii="宋体" w:hAnsi="宋体" w:eastAsia="宋体" w:cs="宋体"/>
          <w:sz w:val="24"/>
          <w:szCs w:val="24"/>
        </w:rPr>
        <w:t xml:space="preserve">（2）根据</w:t>
      </w:r>
      <w:r>
        <w:rPr>
          <w:rFonts w:ascii="宋体" w:hAnsi="宋体" w:eastAsia="宋体" w:cs="Times New Roman"/>
          <w:sz w:val="24"/>
          <w:szCs w:val="24"/>
        </w:rPr>
        <w:t xml:space="preserve">财政部、工业和信息化部关于印发《政府采购促进中小企业发展管理办法》（财库〔2020〕46号）</w:t>
      </w:r>
      <w:r>
        <w:rPr>
          <w:rFonts w:hint="eastAsia" w:ascii="宋体" w:hAnsi="宋体" w:eastAsia="宋体" w:cs="宋体"/>
          <w:sz w:val="24"/>
          <w:szCs w:val="24"/>
        </w:rPr>
        <w:t xml:space="preserve">等相关</w:t>
      </w:r>
      <w:r>
        <w:rPr>
          <w:rFonts w:ascii="宋体" w:hAnsi="宋体" w:eastAsia="宋体" w:cs="宋体"/>
          <w:sz w:val="24"/>
          <w:szCs w:val="24"/>
        </w:rPr>
        <w:t xml:space="preserve">规定，给予评审优惠。具体事项如下：</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①对符合上述办法规定的小</w:t>
      </w:r>
      <w:r>
        <w:rPr>
          <w:rFonts w:ascii="宋体" w:hAnsi="宋体" w:eastAsia="宋体" w:cs="宋体"/>
          <w:sz w:val="24"/>
          <w:szCs w:val="24"/>
        </w:rPr>
        <w:t xml:space="preserve">微企业</w:t>
      </w:r>
      <w:r>
        <w:rPr>
          <w:rFonts w:ascii="宋体" w:hAnsi="宋体" w:eastAsia="宋体" w:cs="宋体"/>
          <w:sz w:val="24"/>
          <w:szCs w:val="24"/>
        </w:rPr>
        <w:t xml:space="preserve">报价给予20%的扣除，扣除后的价格参与价格评审。（若投标人为联合体的，联合协议中约定小型、微型企业的协议合同金额占到联合体协议合同总金额30%（或在联合体中所占股权比例30%）以上的，可给予联合体6%的价格扣除。联合体各方均为小型、微型企业的，联合体视同为小型、微型企业。）</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②凡要求价格扣除的，投标人须按照采购文件的要求提供相应的《中小企业声明函》；</w:t>
      </w:r>
      <w:r/>
    </w:p>
    <w:p>
      <w:pPr>
        <w:ind w:firstLine="480"/>
        <w:spacing w:line="460" w:lineRule="exact"/>
        <w:rPr>
          <w:rFonts w:ascii="Calibri" w:hAnsi="Calibri" w:eastAsia="宋体" w:cs="Times New Roman"/>
        </w:rPr>
      </w:pPr>
      <w:r>
        <w:rPr>
          <w:rFonts w:ascii="宋体" w:hAnsi="宋体" w:eastAsia="宋体" w:cs="Times New Roman"/>
          <w:sz w:val="24"/>
          <w:szCs w:val="24"/>
        </w:rPr>
        <w:t xml:space="preserve">③具体标准以（工信部联企业[2011]300号）规定的划分标准为准</w:t>
      </w:r>
      <w:r>
        <w:rPr>
          <w:rFonts w:ascii="宋体" w:hAnsi="宋体" w:eastAsia="宋体" w:cs="Times New Roman"/>
          <w:sz w:val="22"/>
          <w:szCs w:val="24"/>
        </w:rPr>
        <w:t xml:space="preserve">。</w:t>
      </w:r>
      <w:r/>
    </w:p>
    <w:p>
      <w:pPr>
        <w:ind w:firstLine="480"/>
        <w:spacing w:line="460" w:lineRule="exact"/>
        <w:rPr>
          <w:rFonts w:ascii="Calibri" w:hAnsi="Calibri" w:eastAsia="宋体" w:cs="Times New Roman"/>
        </w:rPr>
      </w:pPr>
      <w:r>
        <w:rPr>
          <w:rFonts w:ascii="宋体" w:hAnsi="宋体" w:eastAsia="宋体" w:cs="宋体"/>
          <w:sz w:val="24"/>
          <w:szCs w:val="24"/>
        </w:rPr>
        <w:t xml:space="preserve">④以上规定未尽事项，按</w:t>
      </w:r>
      <w:r>
        <w:rPr>
          <w:rFonts w:ascii="宋体" w:hAnsi="宋体" w:eastAsia="宋体" w:cs="Times New Roman"/>
          <w:sz w:val="24"/>
          <w:szCs w:val="24"/>
        </w:rPr>
        <w:t xml:space="preserve">《政府采购促进中小企业发展管理办法》</w:t>
      </w:r>
      <w:r>
        <w:rPr>
          <w:rFonts w:ascii="宋体" w:hAnsi="宋体" w:eastAsia="宋体" w:cs="宋体"/>
          <w:sz w:val="24"/>
          <w:szCs w:val="24"/>
        </w:rPr>
        <w:t xml:space="preserve">等有关规定执行。</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注：投标人如不提供以上声明函的，价格将不做相应扣除。</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（3）根据《关于促进残疾人就业政府采购政策的通知》（财库〔2017〕141号）的通知规定：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ascii="宋体" w:hAnsi="宋体" w:eastAsia="宋体" w:cs="Times New Roman"/>
          <w:sz w:val="24"/>
          <w:szCs w:val="24"/>
        </w:rPr>
        <w:t xml:space="preserve">函内容</w:t>
      </w:r>
      <w:r>
        <w:rPr>
          <w:rFonts w:ascii="宋体" w:hAnsi="宋体" w:eastAsia="宋体" w:cs="Times New Roman"/>
          <w:sz w:val="24"/>
          <w:szCs w:val="24"/>
        </w:rPr>
        <w:t xml:space="preserve">的材料。供应商提供的《残疾人福利性单位声明函》与事实不符的，依照《政府采购法》第七十七条第一款的规定追究法律责任。</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中标、成交供应商为残疾人福利性单位的，采购人或者其委托的采购代理机构应当随中标、成交结果同时公告其《残疾人福利性单位声明函》，接受社会监督。</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注：投标人如不提供以上声明函的，价格将不做相应扣除。</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（4）根据《关于政府采购支持监狱企业发展有关问题的通知》（财库〔2014〕68号）的通知规定：</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在政府采购活动中，监狱企业视同小型、微型企业，享受评审中价格扣除等政府采购促进中小企业发展的政府采购政策。向监狱企业采购的金额，计入面向中小企业采购的统计数据。监狱企业属于小型、微型企业的，不重复享受政策。</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spacing w:line="460" w:lineRule="exact"/>
        <w:rPr>
          <w:rFonts w:ascii="宋体" w:hAnsi="宋体" w:eastAsia="宋体" w:cs="宋体"/>
          <w:sz w:val="24"/>
          <w:szCs w:val="24"/>
        </w:rPr>
      </w:pPr>
      <w:r>
        <w:rPr>
          <w:rFonts w:ascii="宋体" w:hAnsi="宋体" w:eastAsia="宋体" w:cs="宋体"/>
          <w:sz w:val="24"/>
          <w:szCs w:val="24"/>
        </w:rPr>
        <w:t xml:space="preserve">注：投标人如不提供以上证明材料的，价格将不做相应扣除。</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p>
    <w:p>
      <w:pPr>
        <w:ind w:firstLine="480"/>
        <w:spacing w:line="460" w:lineRule="exact"/>
        <w:rPr>
          <w:rFonts w:ascii="宋体" w:hAnsi="宋体" w:eastAsia="宋体" w:cs="Times New Roman"/>
          <w:sz w:val="24"/>
          <w:szCs w:val="24"/>
        </w:rPr>
      </w:pPr>
      <w:r>
        <w:rPr>
          <w:rFonts w:ascii="宋体" w:hAnsi="宋体" w:eastAsia="宋体" w:cs="Times New Roman"/>
          <w:color w:val="000000"/>
          <w:sz w:val="24"/>
        </w:rPr>
        <w:t xml:space="preserve">根据《关于调整优化节能产品、环境标志产品政府采购执行机制的通知》（财库（2019）9号）文</w:t>
      </w:r>
      <w:r>
        <w:rPr>
          <w:rFonts w:ascii="宋体" w:hAnsi="宋体" w:eastAsia="宋体" w:cs="Times New Roman"/>
          <w:sz w:val="24"/>
          <w:szCs w:val="24"/>
        </w:rPr>
        <w:t xml:space="preserve">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rPr>
        <w:t xml:space="preserve"> </w:t>
      </w:r>
      <w:r>
        <w:rPr>
          <w:rFonts w:hint="eastAsia" w:ascii="宋体" w:hAnsi="宋体" w:eastAsia="宋体" w:cs="Times New Roman"/>
          <w:sz w:val="24"/>
          <w:szCs w:val="24"/>
        </w:rPr>
        <w:t xml:space="preserve">政府采购中实施本国产品标准及相关政策</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投标文件格式”的“附件</w:t>
      </w:r>
      <w:r>
        <w:rPr>
          <w:rFonts w:ascii="宋体" w:hAnsi="宋体" w:eastAsia="宋体" w:cs="Times New Roman"/>
          <w:sz w:val="24"/>
          <w:szCs w:val="24"/>
        </w:rPr>
        <w:t xml:space="preserve"> </w:t>
      </w:r>
      <w:r>
        <w:rPr>
          <w:rFonts w:hint="eastAsia" w:ascii="宋体" w:hAnsi="宋体" w:eastAsia="宋体" w:cs="Times New Roman"/>
          <w:sz w:val="24"/>
          <w:szCs w:val="24"/>
        </w:rPr>
        <w:t xml:space="preserve">报价</w:t>
      </w:r>
      <w:r>
        <w:rPr>
          <w:rFonts w:ascii="宋体" w:hAnsi="宋体" w:eastAsia="宋体" w:cs="Times New Roman"/>
          <w:sz w:val="24"/>
          <w:szCs w:val="24"/>
        </w:rPr>
        <w:t xml:space="preserve">明细表</w:t>
      </w:r>
      <w:r>
        <w:rPr>
          <w:rFonts w:hint="eastAsia" w:ascii="宋体" w:hAnsi="宋体" w:eastAsia="宋体" w:cs="Times New Roman"/>
          <w:sz w:val="24"/>
          <w:szCs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）供应商需按照招标文件的要求提供《关于符合本国产品标准的声明函》（以下简称《声明函》），如不提供将不享受本国产品价格评审优惠。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）供应商需在《声明函》中逐一、</w:t>
      </w:r>
      <w:r>
        <w:rPr>
          <w:rFonts w:ascii="宋体" w:hAnsi="宋体" w:eastAsia="宋体" w:cs="Times New Roman"/>
          <w:sz w:val="24"/>
          <w:szCs w:val="24"/>
        </w:rPr>
        <w:t xml:space="preserve">准确</w:t>
      </w:r>
      <w:r>
        <w:rPr>
          <w:rFonts w:hint="eastAsia" w:ascii="宋体" w:hAnsi="宋体" w:eastAsia="宋体" w:cs="Times New Roman"/>
          <w:sz w:val="24"/>
          <w:szCs w:val="24"/>
        </w:rPr>
        <w:t xml:space="preserve">填写产品名称、厂名、生产厂址三项信息（《声明函》中用</w:t>
      </w:r>
      <w:r>
        <w:rPr>
          <w:rFonts w:hint="eastAsia" w:ascii="宋体" w:hAnsi="宋体" w:eastAsia="宋体" w:cs="Times New Roman"/>
          <w:sz w:val="24"/>
          <w:szCs w:val="24"/>
        </w:rPr>
        <w:t xml:space="preserve">斜线划除的</w:t>
      </w:r>
      <w:r>
        <w:rPr>
          <w:rFonts w:hint="eastAsia" w:ascii="宋体" w:hAnsi="宋体" w:eastAsia="宋体" w:cs="Times New Roman"/>
          <w:sz w:val="24"/>
          <w:szCs w:val="24"/>
        </w:rPr>
        <w:t xml:space="preserve">地方无需填写），三</w:t>
      </w:r>
      <w:r>
        <w:rPr>
          <w:rFonts w:ascii="宋体" w:hAnsi="宋体" w:eastAsia="宋体" w:cs="Times New Roman"/>
          <w:sz w:val="24"/>
          <w:szCs w:val="24"/>
        </w:rPr>
        <w:t xml:space="preserve">项信息中</w:t>
      </w:r>
      <w:r>
        <w:rPr>
          <w:rFonts w:hint="eastAsia" w:ascii="宋体" w:hAnsi="宋体" w:eastAsia="宋体" w:cs="Times New Roman"/>
          <w:sz w:val="24"/>
          <w:szCs w:val="24"/>
        </w:rPr>
        <w:t xml:space="preserve">任意一项未填写的视为该项产品不符合本国产品标准，不享受本国产品价格评审优惠。</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7</w:t>
      </w:r>
      <w:r>
        <w:rPr>
          <w:rFonts w:hint="eastAsia" w:ascii="宋体" w:hAnsi="宋体" w:eastAsia="宋体" w:cs="Times New Roman"/>
          <w:sz w:val="24"/>
          <w:szCs w:val="24"/>
        </w:rPr>
        <w:t xml:space="preserve">）评标过程中，如发现供应商在《声明函》内容</w:t>
      </w:r>
      <w:r>
        <w:rPr>
          <w:rFonts w:ascii="宋体" w:hAnsi="宋体" w:eastAsia="宋体" w:cs="Times New Roman"/>
          <w:sz w:val="24"/>
          <w:szCs w:val="24"/>
        </w:rPr>
        <w:t xml:space="preserve">含义不明确、同类事项与投</w:t>
      </w:r>
      <w:r>
        <w:rPr>
          <w:rFonts w:hint="eastAsia" w:ascii="宋体" w:hAnsi="宋体" w:eastAsia="宋体" w:cs="Times New Roman"/>
          <w:sz w:val="24"/>
          <w:szCs w:val="24"/>
        </w:rPr>
        <w:t xml:space="preserve">标</w:t>
      </w:r>
      <w:r>
        <w:rPr>
          <w:rFonts w:ascii="宋体" w:hAnsi="宋体" w:eastAsia="宋体" w:cs="Times New Roman"/>
          <w:sz w:val="24"/>
          <w:szCs w:val="24"/>
        </w:rPr>
        <w:t xml:space="preserve">（</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w:t>
      </w:r>
      <w:r>
        <w:rPr>
          <w:rFonts w:hint="eastAsia" w:ascii="宋体" w:hAnsi="宋体" w:eastAsia="宋体" w:cs="Times New Roman"/>
          <w:sz w:val="24"/>
          <w:szCs w:val="24"/>
        </w:rPr>
        <w:t xml:space="preserve">文件</w:t>
      </w:r>
      <w:r>
        <w:rPr>
          <w:rFonts w:ascii="宋体" w:hAnsi="宋体" w:eastAsia="宋体" w:cs="Times New Roman"/>
          <w:sz w:val="24"/>
          <w:szCs w:val="24"/>
        </w:rPr>
        <w:t xml:space="preserve">表述不一致或者有</w:t>
      </w:r>
      <w:r>
        <w:rPr>
          <w:rFonts w:hint="eastAsia" w:ascii="宋体" w:hAnsi="宋体" w:eastAsia="宋体" w:cs="Times New Roman"/>
          <w:sz w:val="24"/>
          <w:szCs w:val="24"/>
        </w:rPr>
        <w:t xml:space="preserve">明显</w:t>
      </w:r>
      <w:r>
        <w:rPr>
          <w:rFonts w:ascii="宋体" w:hAnsi="宋体" w:eastAsia="宋体" w:cs="Times New Roman"/>
          <w:sz w:val="24"/>
          <w:szCs w:val="24"/>
        </w:rPr>
        <w:t xml:space="preserve">文字错误等情况的</w:t>
      </w:r>
      <w:r>
        <w:rPr>
          <w:rFonts w:hint="eastAsia" w:ascii="宋体" w:hAnsi="宋体" w:eastAsia="宋体" w:cs="Times New Roman"/>
          <w:sz w:val="24"/>
          <w:szCs w:val="24"/>
        </w:rPr>
        <w:t xml:space="preserve">，评标委员会应当以书面形式要求供应商</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（8）具体</w:t>
      </w:r>
      <w:r>
        <w:rPr>
          <w:rFonts w:ascii="宋体" w:hAnsi="宋体" w:eastAsia="宋体" w:cs="Times New Roman"/>
          <w:sz w:val="24"/>
          <w:szCs w:val="24"/>
        </w:rPr>
        <w:t xml:space="preserve">以</w:t>
      </w:r>
      <w:r>
        <w:rPr>
          <w:rFonts w:hint="eastAsia" w:ascii="宋体" w:hAnsi="宋体" w:eastAsia="宋体" w:cs="Times New Roman"/>
          <w:sz w:val="24"/>
          <w:szCs w:val="24"/>
        </w:rPr>
        <w:t xml:space="preserve">《国务院办公厅关于在政府采购中实施本国产品标准及相关政策的通知》（国办发〔2025〕34号）为准</w:t>
      </w:r>
      <w:r>
        <w:rPr>
          <w:rFonts w:ascii="宋体" w:hAnsi="宋体" w:eastAsia="宋体" w:cs="Times New Roman"/>
          <w:sz w:val="24"/>
          <w:szCs w:val="24"/>
        </w:rPr>
        <w:t xml:space="preserve">。</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56" w:name="_Toc163508397"/>
      <w:r/>
      <w:bookmarkStart w:id="357" w:name="_Toc163508322"/>
      <w:r/>
      <w:bookmarkStart w:id="358" w:name="_Toc227573376"/>
      <w:r>
        <w:rPr>
          <w:rFonts w:hint="eastAsia" w:ascii="宋体" w:hAnsi="宋体" w:eastAsia="宋体" w:cs="Times New Roman"/>
          <w:b/>
          <w:color w:val="000000"/>
          <w:sz w:val="44"/>
          <w:szCs w:val="44"/>
        </w:rPr>
        <w:t xml:space="preserve">第六章  投标</w:t>
      </w:r>
      <w:bookmarkEnd w:id="348"/>
      <w:r/>
      <w:bookmarkEnd w:id="349"/>
      <w:r/>
      <w:bookmarkEnd w:id="350"/>
      <w:r>
        <w:rPr>
          <w:rFonts w:hint="eastAsia" w:ascii="宋体" w:hAnsi="宋体" w:eastAsia="宋体" w:cs="Times New Roman"/>
          <w:b/>
          <w:color w:val="000000"/>
          <w:sz w:val="44"/>
          <w:szCs w:val="44"/>
        </w:rPr>
        <w:t xml:space="preserve">文件格式</w:t>
      </w:r>
      <w:bookmarkEnd w:id="356"/>
      <w:r/>
      <w:bookmarkEnd w:id="357"/>
      <w:r/>
      <w:bookmarkEnd w:id="358"/>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59" w:name="_Hlt26671244"/>
      <w:r/>
      <w:bookmarkStart w:id="360" w:name="_Hlt26955039"/>
      <w:r/>
      <w:bookmarkStart w:id="361" w:name="_Toc49090576"/>
      <w:r/>
      <w:bookmarkStart w:id="362" w:name="_Toc26554094"/>
      <w:r/>
      <w:bookmarkStart w:id="363" w:name="_Toc120614282"/>
      <w:r/>
      <w:bookmarkEnd w:id="359"/>
      <w:r/>
      <w:bookmarkEnd w:id="360"/>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常熟经开区智慧园区平台二期项目</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JSZC-320581-SZJZ-G2026-0014</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364" w:name="_Toc163508323"/>
      <w:r/>
      <w:bookmarkStart w:id="365" w:name="_Toc163508398"/>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366" w:name="_Toc227573377"/>
      <w:r>
        <w:rPr>
          <w:rFonts w:hint="eastAsia" w:ascii="Times New Roman" w:hAnsi="Times New Roman" w:eastAsia="宋体" w:cs="Times New Roman"/>
          <w:b/>
          <w:bCs/>
          <w:sz w:val="28"/>
          <w:szCs w:val="28"/>
        </w:rPr>
        <w:t xml:space="preserve">投标文件目录</w:t>
      </w:r>
      <w:bookmarkEnd w:id="364"/>
      <w:r/>
      <w:bookmarkEnd w:id="365"/>
      <w:r/>
      <w:bookmarkEnd w:id="366"/>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r>
      <w:tr>
        <w:trPr/>
        <w:tc>
          <w:tcPr>
            <w:tcW w:w="7361" w:type="dxa"/>
            <w:textDirection w:val="lrTb"/>
            <w:noWrap w:val="false"/>
          </w:tcPr>
          <w:p>
            <w:pPr>
              <w:spacing w:line="400" w:lineRule="exact"/>
              <w:rPr>
                <w:rFonts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、报价明细表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、服务要求响应及偏离表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2、项目方案</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、商务要求响应及偏离表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5、业绩一览表</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gridSpan w:val="2"/>
            <w:tcW w:w="9256"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rPr>
              <w:t xml:space="preserve">五、价格扣除证明文件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rPr>
                <w:rFonts w:ascii="宋体" w:hAnsi="宋体" w:eastAsia="宋体" w:cs="Times New Roman"/>
                <w:sz w:val="24"/>
              </w:rPr>
              <w:t xml:space="preserve">资格审查内容</w:t>
            </w:r>
            <w:r>
              <w:rPr>
                <w:rFonts w:hint="eastAsia" w:ascii="宋体" w:hAnsi="宋体" w:eastAsia="宋体" w:cs="Times New Roman"/>
                <w:sz w:val="24"/>
              </w:rPr>
              <w:t xml:space="preserve">中</w:t>
            </w:r>
            <w:r>
              <w:rPr>
                <w:rFonts w:ascii="宋体" w:hAnsi="宋体" w:eastAsia="宋体" w:cs="Times New Roman"/>
                <w:sz w:val="24"/>
              </w:rPr>
              <w:t xml:space="preserve">如已提供，</w:t>
            </w:r>
            <w:r>
              <w:rPr>
                <w:rFonts w:hint="eastAsia" w:ascii="宋体" w:hAnsi="宋体" w:eastAsia="宋体" w:cs="Times New Roman"/>
                <w:sz w:val="24"/>
              </w:rPr>
              <w:t xml:space="preserve">则</w:t>
            </w:r>
            <w:r>
              <w:rPr>
                <w:rFonts w:ascii="宋体" w:hAnsi="宋体" w:eastAsia="宋体" w:cs="Times New Roman"/>
                <w:sz w:val="24"/>
              </w:rPr>
              <w:t xml:space="preserve">按相同内容提供</w:t>
            </w:r>
            <w:r>
              <w:rPr>
                <w:rFonts w:hint="eastAsia" w:ascii="宋体" w:hAnsi="宋体" w:eastAsia="宋体" w:cs="Times New Roman"/>
                <w:bCs/>
                <w:sz w:val="24"/>
                <w:szCs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67" w:name="_Toc163508324"/>
      <w:r/>
      <w:bookmarkStart w:id="368" w:name="_Toc163508399"/>
      <w:r/>
      <w:bookmarkStart w:id="369" w:name="_Toc227573378"/>
      <w:r>
        <w:rPr>
          <w:rFonts w:hint="eastAsia" w:ascii="宋体" w:hAnsi="宋体" w:eastAsia="宋体" w:cs="Times New Roman"/>
          <w:b/>
          <w:bCs/>
          <w:sz w:val="32"/>
          <w:szCs w:val="32"/>
        </w:rPr>
        <w:t xml:space="preserve">附件1 开标一览表</w:t>
      </w:r>
      <w:bookmarkEnd w:id="367"/>
      <w:r/>
      <w:bookmarkEnd w:id="368"/>
      <w:r/>
      <w:bookmarkEnd w:id="369"/>
      <w:r/>
      <w:r/>
    </w:p>
    <w:p>
      <w:pPr>
        <w:rPr>
          <w:rFonts w:ascii="宋体" w:hAnsi="宋体" w:eastAsia="宋体" w:cs="Times New Roman"/>
          <w:b/>
          <w:sz w:val="24"/>
          <w:szCs w:val="24"/>
        </w:rPr>
      </w:pPr>
      <w:r>
        <w:rPr>
          <w:rFonts w:ascii="宋体" w:hAnsi="宋体" w:eastAsia="宋体" w:cs="Times New Roman"/>
          <w:b/>
          <w:sz w:val="24"/>
          <w:szCs w:val="24"/>
        </w:rPr>
      </w:r>
      <w:bookmarkEnd w:id="317"/>
      <w:r/>
      <w:bookmarkEnd w:id="318"/>
      <w:r/>
      <w:bookmarkEnd w:id="361"/>
      <w:r/>
      <w:bookmarkEnd w:id="362"/>
      <w:r/>
      <w:bookmarkEnd w:id="363"/>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70" w:name="_Toc164280610"/>
      <w:r/>
      <w:r/>
    </w:p>
    <w:p>
      <w:pPr>
        <w:jc w:val="center"/>
        <w:rPr>
          <w:rFonts w:ascii="宋体" w:hAnsi="宋体" w:eastAsia="宋体" w:cs="Times New Roman"/>
          <w:b/>
          <w:bCs/>
          <w:sz w:val="32"/>
          <w:szCs w:val="32"/>
        </w:rPr>
        <w:outlineLvl w:val="1"/>
      </w:pPr>
      <w:r/>
      <w:bookmarkStart w:id="371" w:name="_Toc22757337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72" w:name="_Toc164280611"/>
      <w:r/>
      <w:bookmarkEnd w:id="370"/>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72"/>
      <w:r/>
      <w:bookmarkEnd w:id="371"/>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73" w:name="_Toc164280612"/>
      <w:r/>
      <w:bookmarkStart w:id="374" w:name="_Toc22757338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73"/>
      <w:r/>
      <w:bookmarkEnd w:id="374"/>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75" w:name="_Toc163508402"/>
      <w:r/>
      <w:bookmarkStart w:id="376" w:name="_Toc163508327"/>
      <w:r/>
      <w:r/>
    </w:p>
    <w:p>
      <w:pPr>
        <w:jc w:val="center"/>
        <w:rPr>
          <w:rFonts w:ascii="宋体" w:hAnsi="宋体" w:eastAsia="宋体" w:cs="Times New Roman"/>
          <w:b/>
          <w:bCs/>
          <w:sz w:val="32"/>
          <w:szCs w:val="32"/>
        </w:rPr>
        <w:outlineLvl w:val="1"/>
      </w:pPr>
      <w:r/>
      <w:bookmarkStart w:id="377" w:name="_Toc22757338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75"/>
      <w:r/>
      <w:bookmarkEnd w:id="376"/>
      <w:r/>
      <w:bookmarkEnd w:id="377"/>
      <w:r/>
      <w:r/>
    </w:p>
    <w:p>
      <w:pPr>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常熟经济技术开发区管理委员会</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常熟经开区智慧园区平台二期项目</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常熟经开区智慧园区平台二期项目</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w:t>
      </w:r>
      <w:r>
        <w:rPr>
          <w:rFonts w:hint="eastAsia" w:ascii="Calibri" w:hAnsi="Calibri" w:eastAsia="宋体" w:cs="Times New Roman"/>
          <w:sz w:val="24"/>
          <w:szCs w:val="24"/>
        </w:rPr>
        <w:t xml:space="preserve">一</w:t>
      </w:r>
      <w:r>
        <w:rPr>
          <w:rFonts w:hint="eastAsia" w:ascii="Calibri" w:hAnsi="Calibri" w:eastAsia="宋体" w:cs="Times New Roman"/>
          <w:sz w:val="24"/>
          <w:szCs w:val="24"/>
        </w:rPr>
        <w:t xml:space="preserve">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378"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378"/>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379" w:name="_Toc163508328"/>
      <w:r/>
      <w:bookmarkStart w:id="380" w:name="_Toc163508403"/>
      <w:r/>
      <w:bookmarkStart w:id="381" w:name="_Toc22757338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79"/>
      <w:r/>
      <w:bookmarkEnd w:id="380"/>
      <w:r/>
      <w:bookmarkEnd w:id="381"/>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382" w:name="_Toc155086474"/>
      <w:r/>
      <w:bookmarkStart w:id="383" w:name="_Toc155086574"/>
      <w:r/>
      <w:bookmarkStart w:id="384" w:name="_Toc17235"/>
      <w:r>
        <w:rPr>
          <w:rFonts w:ascii="Times New Roman" w:hAnsi="Times New Roman" w:eastAsia="宋体" w:cs="Times New Roman"/>
          <w:b/>
          <w:bCs/>
          <w:sz w:val="28"/>
          <w:szCs w:val="28"/>
        </w:rPr>
        <w:br w:type="page" w:clear="all"/>
      </w:r>
      <w:bookmarkStart w:id="385" w:name="_Toc163508329"/>
      <w:r/>
      <w:bookmarkStart w:id="386" w:name="_Toc163508404"/>
      <w:r/>
      <w:bookmarkStart w:id="387" w:name="_Toc22757338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382"/>
      <w:r/>
      <w:bookmarkEnd w:id="383"/>
      <w:r/>
      <w:bookmarkEnd w:id="384"/>
      <w:r/>
      <w:bookmarkEnd w:id="385"/>
      <w:r/>
      <w:bookmarkEnd w:id="386"/>
      <w:r/>
      <w:bookmarkEnd w:id="387"/>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JSZC-320581-SZJZ-G2026-0014</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388" w:name="_Toc163508326"/>
      <w:r/>
      <w:bookmarkStart w:id="389" w:name="_Toc163508401"/>
      <w:r/>
      <w:bookmarkStart w:id="390" w:name="_Toc163500766"/>
      <w:r/>
      <w:bookmarkStart w:id="391" w:name="_Toc227573384"/>
      <w:r/>
      <w:bookmarkStart w:id="392" w:name="_Toc163508400"/>
      <w:r/>
      <w:bookmarkStart w:id="393" w:name="_Toc163508325"/>
      <w:r/>
      <w:bookmarkStart w:id="394" w:name="_Toc163508330"/>
      <w:r/>
      <w:bookmarkStart w:id="395" w:name="_Toc163508405"/>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388"/>
      <w:r/>
      <w:bookmarkEnd w:id="389"/>
      <w:r/>
      <w:bookmarkEnd w:id="390"/>
      <w:r/>
      <w:bookmarkEnd w:id="391"/>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JSZC-320581-SZJZ-G2026-0014</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392"/>
      <w:r/>
      <w:bookmarkEnd w:id="393"/>
      <w:r/>
      <w:r/>
    </w:p>
    <w:p>
      <w:pPr>
        <w:jc w:val="center"/>
        <w:rPr>
          <w:rFonts w:ascii="Times New Roman" w:hAnsi="Times New Roman" w:eastAsia="宋体" w:cs="Times New Roman"/>
          <w:b/>
          <w:bCs/>
          <w:sz w:val="28"/>
          <w:szCs w:val="28"/>
        </w:rPr>
        <w:outlineLvl w:val="1"/>
      </w:pPr>
      <w:r/>
      <w:bookmarkStart w:id="396" w:name="_Toc22757338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39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397" w:name="_Toc224194122"/>
      <w:r/>
      <w:bookmarkStart w:id="398" w:name="_Toc227573386"/>
      <w:r/>
      <w:bookmarkStart w:id="399" w:name="_Toc163508406"/>
      <w:r/>
      <w:bookmarkStart w:id="400" w:name="_Toc163508331"/>
      <w:r/>
      <w:bookmarkEnd w:id="394"/>
      <w:r/>
      <w:bookmarkEnd w:id="39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报价明细表</w:t>
      </w:r>
      <w:bookmarkEnd w:id="397"/>
      <w:r/>
      <w:bookmarkEnd w:id="398"/>
      <w:r/>
      <w:r/>
    </w:p>
    <w:tbl>
      <w:tblPr>
        <w:tblW w:w="10234"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1"/>
        <w:gridCol w:w="1533"/>
        <w:gridCol w:w="845"/>
        <w:gridCol w:w="733"/>
        <w:gridCol w:w="1264"/>
        <w:gridCol w:w="845"/>
        <w:gridCol w:w="1263"/>
        <w:gridCol w:w="1131"/>
        <w:gridCol w:w="936"/>
        <w:gridCol w:w="963"/>
      </w:tblGrid>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编号</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服务（货物）名称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品牌</w:t>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生产厂家</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规格型号</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单位</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数量</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单价（元）</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合计（元）</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trHeight w:val="720"/>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二期平台运维服务</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844"/>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气云成像设备</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842"/>
        </w:trPr>
        <w:tc>
          <w:tcPr>
            <w:gridSpan w:val="3"/>
            <w:tcBorders>
              <w:top w:val="single" w:color="auto" w:sz="4" w:space="0"/>
              <w:left w:val="single" w:color="auto" w:sz="4" w:space="0"/>
              <w:bottom w:val="single" w:color="auto" w:sz="4" w:space="0"/>
              <w:right w:val="single" w:color="auto" w:sz="4" w:space="0"/>
            </w:tcBorders>
            <w:tcW w:w="3099"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合计总价（元）</w:t>
            </w:r>
            <w:r/>
          </w:p>
        </w:tc>
        <w:tc>
          <w:tcPr>
            <w:gridSpan w:val="7"/>
            <w:tcBorders>
              <w:top w:val="single" w:color="auto" w:sz="4" w:space="0"/>
              <w:left w:val="single" w:color="auto" w:sz="4" w:space="0"/>
              <w:bottom w:val="single" w:color="auto" w:sz="4" w:space="0"/>
              <w:right w:val="single" w:color="auto" w:sz="4" w:space="0"/>
            </w:tcBorders>
            <w:tcW w:w="7135" w:type="dxa"/>
            <w:vAlign w:val="center"/>
            <w:textDirection w:val="lrTb"/>
            <w:noWrap w:val="false"/>
          </w:tcPr>
          <w:p>
            <w:pPr>
              <w:spacing w:line="56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spacing w:line="440" w:lineRule="exact"/>
        <w:rPr>
          <w:rFonts w:ascii="宋体" w:hAnsi="宋体" w:eastAsia="宋体" w:cs="Times New Roman"/>
          <w:bCs/>
          <w:sz w:val="24"/>
          <w:szCs w:val="24"/>
        </w:rPr>
      </w:pPr>
      <w:r>
        <w:rPr>
          <w:rFonts w:ascii="宋体" w:hAnsi="宋体" w:eastAsia="宋体" w:cs="Times New Roman"/>
          <w:bCs/>
          <w:sz w:val="24"/>
          <w:szCs w:val="24"/>
        </w:rPr>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注：</w:t>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1．投标人应根据本项目各项分项价格情况填写上述表格。</w:t>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2．所有价格用人民币表示，请至多保留小数点后两位。</w:t>
      </w:r>
      <w:r/>
    </w:p>
    <w:p>
      <w:pPr>
        <w:spacing w:line="440" w:lineRule="exact"/>
        <w:rPr>
          <w:rFonts w:ascii="宋体" w:hAnsi="宋体" w:eastAsia="宋体" w:cs="Times New Roman"/>
          <w:bCs/>
          <w:sz w:val="24"/>
          <w:szCs w:val="24"/>
        </w:rPr>
      </w:pPr>
      <w:r>
        <w:rPr>
          <w:rFonts w:hint="eastAsia" w:ascii="宋体" w:hAnsi="宋体" w:eastAsia="宋体" w:cs="Times New Roman"/>
          <w:bCs/>
          <w:sz w:val="24"/>
          <w:szCs w:val="24"/>
        </w:rPr>
        <w:t xml:space="preserve">3．表中“合计总价”应与“开标一览表”中“投标总报价”相一致。</w:t>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01" w:name="_Toc22757338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服务要求响应及偏离表</w:t>
      </w:r>
      <w:bookmarkEnd w:id="399"/>
      <w:r/>
      <w:bookmarkEnd w:id="400"/>
      <w:r/>
      <w:bookmarkEnd w:id="401"/>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t xml:space="preserve">项目实施要求</w:t>
      </w:r>
      <w:r>
        <w:rPr>
          <w:rFonts w:ascii="宋体" w:hAnsi="宋体" w:eastAsia="宋体" w:cs="宋体"/>
          <w:bCs/>
          <w:color w:val="000000"/>
          <w:sz w:val="24"/>
          <w:szCs w:val="24"/>
        </w:rPr>
        <w:t xml:space="preserve">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02" w:name="_Toc227573388"/>
      <w:r/>
      <w:bookmarkStart w:id="403" w:name="_Toc163508407"/>
      <w:r/>
      <w:bookmarkStart w:id="404" w:name="_Toc16350833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02"/>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ind w:firstLine="964"/>
        <w:jc w:val="center"/>
        <w:rPr>
          <w:rFonts w:ascii="宋体" w:hAnsi="宋体" w:eastAsia="宋体" w:cs="Times New Roman"/>
          <w:b/>
          <w:bCs/>
          <w:sz w:val="32"/>
          <w:szCs w:val="32"/>
        </w:rPr>
        <w:outlineLvl w:val="1"/>
      </w:pPr>
      <w:r/>
      <w:bookmarkStart w:id="405" w:name="_Toc207010391"/>
      <w:r/>
      <w:bookmarkStart w:id="406" w:name="_Toc22757338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w:t>
      </w:r>
      <w:r>
        <w:rPr>
          <w:rFonts w:hint="eastAsia" w:ascii="宋体" w:hAnsi="宋体" w:eastAsia="宋体" w:cs="Times New Roman"/>
          <w:b/>
          <w:bCs/>
          <w:sz w:val="32"/>
          <w:szCs w:val="32"/>
        </w:rPr>
        <w:t xml:space="preserve"> 人员配备情况</w:t>
      </w:r>
      <w:bookmarkEnd w:id="405"/>
      <w:r/>
      <w:bookmarkEnd w:id="406"/>
      <w:r/>
      <w:r/>
    </w:p>
    <w:p>
      <w:pPr>
        <w:rPr>
          <w:rFonts w:ascii="Calibri" w:hAnsi="Calibri" w:eastAsia="宋体" w:cs="Times New Roman"/>
          <w:bCs/>
          <w:sz w:val="24"/>
        </w:rPr>
      </w:pPr>
      <w:r>
        <w:rPr>
          <w:rFonts w:ascii="Calibri" w:hAnsi="Calibri" w:eastAsia="宋体" w:cs="Times New Roman"/>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本项目中</w:t>
            </w:r>
            <w:r>
              <w:rPr>
                <w:rFonts w:hint="eastAsia" w:ascii="宋体" w:hAnsi="宋体" w:eastAsia="宋体" w:cs="Times New Roman"/>
                <w:sz w:val="24"/>
                <w:szCs w:val="24"/>
              </w:rPr>
              <w:t xml:space="preserve">拟</w:t>
            </w:r>
            <w:r>
              <w:rPr>
                <w:rFonts w:ascii="宋体" w:hAnsi="宋体" w:eastAsia="宋体" w:cs="Times New Roman"/>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eastAsia="宋体" w:cs="Times New Roman"/>
                <w:sz w:val="24"/>
                <w:szCs w:val="24"/>
              </w:rPr>
            </w:pPr>
            <w:r>
              <w:rPr>
                <w:rFonts w:ascii="宋体" w:hAnsi="宋体" w:eastAsia="宋体" w:cs="Times New Roman"/>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学历</w:t>
            </w:r>
            <w:r/>
          </w:p>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eastAsia="宋体" w:cs="Times New Roman"/>
                <w:sz w:val="24"/>
                <w:szCs w:val="24"/>
              </w:rPr>
            </w:pPr>
            <w:r>
              <w:rPr>
                <w:rFonts w:ascii="宋体" w:hAnsi="宋体" w:eastAsia="宋体" w:cs="Times New Roman"/>
                <w:sz w:val="24"/>
                <w:szCs w:val="24"/>
              </w:rPr>
            </w:r>
            <w:r/>
          </w:p>
        </w:tc>
      </w:tr>
    </w:tbl>
    <w:p>
      <w:pPr>
        <w:ind w:right="-27"/>
        <w:jc w:val="left"/>
        <w:spacing w:line="460" w:lineRule="exact"/>
        <w:tabs>
          <w:tab w:val="left" w:pos="0" w:leader="none"/>
        </w:tabs>
        <w:rPr>
          <w:rFonts w:ascii="宋体" w:hAnsi="宋体" w:eastAsia="宋体" w:cs="宋体"/>
          <w:sz w:val="24"/>
          <w:szCs w:val="24"/>
        </w:rPr>
      </w:pPr>
      <w:r>
        <w:rPr>
          <w:rFonts w:hint="eastAsia" w:ascii="宋体" w:hAnsi="宋体" w:eastAsia="宋体" w:cs="宋体"/>
          <w:sz w:val="24"/>
          <w:szCs w:val="24"/>
        </w:rPr>
        <w:t xml:space="preserve">注：</w:t>
      </w:r>
      <w:r/>
    </w:p>
    <w:p>
      <w:pPr>
        <w:ind w:right="-27"/>
        <w:jc w:val="left"/>
        <w:spacing w:line="460" w:lineRule="exact"/>
        <w:tabs>
          <w:tab w:val="left" w:pos="0" w:leader="none"/>
        </w:tabs>
        <w:rPr>
          <w:rFonts w:ascii="Calibri" w:hAnsi="Calibri" w:eastAsia="宋体" w:cs="Times New Roman"/>
          <w:bCs/>
          <w:sz w:val="24"/>
        </w:rPr>
      </w:pPr>
      <w:r>
        <w:rPr>
          <w:rFonts w:hint="eastAsia" w:ascii="宋体" w:hAnsi="宋体" w:eastAsia="宋体" w:cs="宋体"/>
          <w:sz w:val="24"/>
          <w:szCs w:val="24"/>
        </w:rPr>
        <w:t xml:space="preserve">1.供应商根据“第五章  评审因素和评分标准”填写上述表格并提供相关证明材料。</w:t>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07" w:name="_Toc22757339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商务要求响应及偏离表</w:t>
      </w:r>
      <w:bookmarkEnd w:id="403"/>
      <w:r/>
      <w:bookmarkEnd w:id="404"/>
      <w:r/>
      <w:bookmarkEnd w:id="407"/>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第六条</w:t>
            </w:r>
            <w:r>
              <w:rPr>
                <w:rFonts w:ascii="Calibri" w:hAnsi="Calibri" w:eastAsia="宋体" w:cs="Times New Roman"/>
                <w:sz w:val="24"/>
                <w:szCs w:val="24"/>
              </w:rPr>
              <w:t xml:space="preserve"> </w:t>
            </w:r>
            <w:r>
              <w:rPr>
                <w:rFonts w:ascii="Calibri" w:hAnsi="Calibri" w:eastAsia="宋体" w:cs="Times New Roman"/>
                <w:sz w:val="24"/>
                <w:szCs w:val="24"/>
              </w:rPr>
              <w:t xml:space="preserve">考核办法</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第七条</w:t>
            </w:r>
            <w:r>
              <w:rPr>
                <w:rFonts w:ascii="Calibri" w:hAnsi="Calibri" w:eastAsia="宋体" w:cs="Times New Roman"/>
                <w:sz w:val="24"/>
                <w:szCs w:val="24"/>
              </w:rPr>
              <w:t xml:space="preserve">  </w:t>
            </w:r>
            <w:r>
              <w:rPr>
                <w:rFonts w:ascii="Calibri" w:hAnsi="Calibri" w:eastAsia="宋体" w:cs="Times New Roman"/>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第九条</w:t>
            </w:r>
            <w:r>
              <w:rPr>
                <w:rFonts w:ascii="Calibri" w:hAnsi="Calibri" w:eastAsia="宋体" w:cs="Times New Roman"/>
                <w:sz w:val="24"/>
                <w:szCs w:val="24"/>
              </w:rPr>
              <w:t xml:space="preserve"> </w:t>
            </w:r>
            <w:r>
              <w:rPr>
                <w:rFonts w:ascii="Calibri" w:hAnsi="Calibri" w:eastAsia="宋体" w:cs="Times New Roman"/>
                <w:sz w:val="24"/>
                <w:szCs w:val="24"/>
              </w:rPr>
              <w:t xml:space="preserve">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第十一条</w:t>
            </w:r>
            <w:r>
              <w:rPr>
                <w:rFonts w:ascii="Calibri" w:hAnsi="Calibri" w:eastAsia="宋体" w:cs="Times New Roman"/>
                <w:sz w:val="24"/>
                <w:szCs w:val="24"/>
              </w:rPr>
              <w:t xml:space="preserve"> </w:t>
            </w:r>
            <w:r>
              <w:rPr>
                <w:rFonts w:ascii="Calibri" w:hAnsi="Calibri" w:eastAsia="宋体" w:cs="Times New Roman"/>
                <w:sz w:val="24"/>
                <w:szCs w:val="24"/>
              </w:rPr>
              <w:t xml:space="preserve">不可抗力</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08" w:name="_Toc166007496"/>
      <w:r/>
      <w:bookmarkStart w:id="409" w:name="_Toc387400419"/>
      <w:r/>
      <w:bookmarkStart w:id="410" w:name="_Toc522610225"/>
      <w:r/>
      <w:bookmarkStart w:id="411" w:name="_Toc43821328"/>
      <w:r/>
      <w:bookmarkStart w:id="412" w:name="_Toc146524609"/>
      <w:r/>
      <w:bookmarkStart w:id="413" w:name="_Toc354834784"/>
      <w:r/>
      <w:bookmarkStart w:id="414" w:name="_Toc22757339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14 </w:t>
      </w:r>
      <w:r>
        <w:rPr>
          <w:rFonts w:hint="eastAsia" w:ascii="宋体" w:hAnsi="宋体" w:eastAsia="宋体" w:cs="Times New Roman"/>
          <w:b/>
          <w:bCs/>
          <w:sz w:val="32"/>
          <w:szCs w:val="32"/>
        </w:rPr>
        <w:t xml:space="preserve">业绩一览表</w:t>
      </w:r>
      <w:bookmarkEnd w:id="408"/>
      <w:r/>
      <w:bookmarkEnd w:id="409"/>
      <w:r/>
      <w:bookmarkEnd w:id="410"/>
      <w:r/>
      <w:bookmarkEnd w:id="411"/>
      <w:r/>
      <w:bookmarkEnd w:id="412"/>
      <w:r/>
      <w:bookmarkEnd w:id="413"/>
      <w:r/>
      <w:bookmarkEnd w:id="414"/>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rPr>
          <w:rFonts w:ascii="Calibri" w:hAnsi="Calibri" w:eastAsia="宋体" w:cs="Times New Roman"/>
          <w:color w:val="000000"/>
        </w:rPr>
        <w:outlineLvl w:val="1"/>
      </w:pPr>
      <w:r/>
      <w:bookmarkStart w:id="415" w:name="_Hlt26955054"/>
      <w:r/>
      <w:bookmarkEnd w:id="415"/>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Fonts w:ascii="宋体" w:hAnsi="宋体"/>
        <w:sz w:val="24"/>
        <w:szCs w:val="24"/>
      </w:rPr>
      <w:framePr w:wrap="around" w:vAnchor="text" w:hAnchor="page" w:x="5693" w:y="6"/>
    </w:pPr>
    <w:r>
      <w:rPr>
        <w:rFonts w:ascii="宋体" w:hAnsi="宋体"/>
        <w:sz w:val="24"/>
        <w:szCs w:val="24"/>
      </w:rPr>
      <w:fldChar w:fldCharType="begin"/>
    </w:r>
    <w:r>
      <w:rPr>
        <w:rStyle w:val="916"/>
        <w:rFonts w:ascii="宋体" w:hAnsi="宋体"/>
        <w:sz w:val="24"/>
        <w:szCs w:val="24"/>
      </w:rPr>
      <w:instrText xml:space="preserve">PAGE  </w:instrText>
    </w:r>
    <w:r>
      <w:rPr>
        <w:rFonts w:ascii="宋体" w:hAnsi="宋体"/>
        <w:sz w:val="24"/>
        <w:szCs w:val="24"/>
      </w:rPr>
      <w:fldChar w:fldCharType="separate"/>
    </w:r>
    <w:r>
      <w:rPr>
        <w:rStyle w:val="916"/>
        <w:rFonts w:ascii="宋体" w:hAnsi="宋体"/>
        <w:sz w:val="24"/>
        <w:szCs w:val="24"/>
      </w:rPr>
      <w:t xml:space="preserve">19</w:t>
    </w:r>
    <w:r>
      <w:rPr>
        <w:rFonts w:ascii="宋体" w:hAnsi="宋体"/>
        <w:sz w:val="24"/>
        <w:szCs w:val="24"/>
      </w:rPr>
      <w:fldChar w:fldCharType="end"/>
    </w:r>
    <w:r/>
  </w:p>
  <w:p>
    <w:pPr>
      <w:pStyle w:val="890"/>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1"/>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1"/>
      <w:isLgl w:val="false"/>
      <w:suff w:val="nothing"/>
      <w:lvlText w:val=""/>
      <w:lvlJc w:val="left"/>
      <w:pPr>
        <w:ind w:left="0" w:firstLine="0"/>
      </w:pPr>
      <w:rPr>
        <w:rFonts w:hint="eastAsia"/>
      </w:rPr>
    </w:lvl>
    <w:lvl w:ilvl="6">
      <w:start w:val="1"/>
      <w:numFmt w:val="none"/>
      <w:pStyle w:val="862"/>
      <w:isLgl w:val="false"/>
      <w:suff w:val="nothing"/>
      <w:lvlText w:val=""/>
      <w:lvlJc w:val="left"/>
      <w:pPr>
        <w:ind w:left="0" w:firstLine="0"/>
      </w:pPr>
      <w:rPr>
        <w:rFonts w:hint="eastAsia"/>
      </w:rPr>
    </w:lvl>
    <w:lvl w:ilvl="7">
      <w:start w:val="1"/>
      <w:numFmt w:val="none"/>
      <w:pStyle w:val="863"/>
      <w:isLgl w:val="false"/>
      <w:suff w:val="nothing"/>
      <w:lvlText w:val=""/>
      <w:lvlJc w:val="left"/>
      <w:pPr>
        <w:ind w:left="0" w:firstLine="0"/>
      </w:pPr>
      <w:rPr>
        <w:rFonts w:hint="eastAsia"/>
      </w:rPr>
    </w:lvl>
    <w:lvl w:ilvl="8">
      <w:start w:val="1"/>
      <w:numFmt w:val="none"/>
      <w:pStyle w:val="864"/>
      <w:isLgl w:val="false"/>
      <w:suff w:val="nothing"/>
      <w:lvlText w:val=""/>
      <w:lvlJc w:val="left"/>
      <w:pPr>
        <w:ind w:left="0" w:firstLine="0"/>
      </w:pPr>
      <w:rPr>
        <w:rFonts w:hint="eastAsia"/>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65"/>
    <w:link w:val="856"/>
    <w:uiPriority w:val="9"/>
    <w:rPr>
      <w:rFonts w:ascii="Arial" w:hAnsi="Arial" w:eastAsia="Arial" w:cs="Arial"/>
      <w:sz w:val="40"/>
      <w:szCs w:val="40"/>
    </w:rPr>
  </w:style>
  <w:style w:type="character" w:styleId="705">
    <w:name w:val="Heading 2 Char"/>
    <w:basedOn w:val="865"/>
    <w:link w:val="857"/>
    <w:uiPriority w:val="9"/>
    <w:rPr>
      <w:rFonts w:ascii="Arial" w:hAnsi="Arial" w:eastAsia="Arial" w:cs="Arial"/>
      <w:sz w:val="34"/>
    </w:rPr>
  </w:style>
  <w:style w:type="character" w:styleId="706">
    <w:name w:val="Heading 3 Char"/>
    <w:basedOn w:val="865"/>
    <w:link w:val="858"/>
    <w:uiPriority w:val="9"/>
    <w:rPr>
      <w:rFonts w:ascii="Arial" w:hAnsi="Arial" w:eastAsia="Arial" w:cs="Arial"/>
      <w:sz w:val="30"/>
      <w:szCs w:val="30"/>
    </w:rPr>
  </w:style>
  <w:style w:type="character" w:styleId="707">
    <w:name w:val="Heading 4 Char"/>
    <w:basedOn w:val="865"/>
    <w:link w:val="859"/>
    <w:uiPriority w:val="9"/>
    <w:rPr>
      <w:rFonts w:ascii="Arial" w:hAnsi="Arial" w:eastAsia="Arial" w:cs="Arial"/>
      <w:b/>
      <w:bCs/>
      <w:sz w:val="26"/>
      <w:szCs w:val="26"/>
    </w:rPr>
  </w:style>
  <w:style w:type="character" w:styleId="708">
    <w:name w:val="Heading 5 Char"/>
    <w:basedOn w:val="865"/>
    <w:link w:val="860"/>
    <w:uiPriority w:val="9"/>
    <w:rPr>
      <w:rFonts w:ascii="Arial" w:hAnsi="Arial" w:eastAsia="Arial" w:cs="Arial"/>
      <w:b/>
      <w:bCs/>
      <w:sz w:val="24"/>
      <w:szCs w:val="24"/>
    </w:rPr>
  </w:style>
  <w:style w:type="character" w:styleId="709">
    <w:name w:val="Heading 6 Char"/>
    <w:basedOn w:val="865"/>
    <w:link w:val="861"/>
    <w:uiPriority w:val="9"/>
    <w:rPr>
      <w:rFonts w:ascii="Arial" w:hAnsi="Arial" w:eastAsia="Arial" w:cs="Arial"/>
      <w:b/>
      <w:bCs/>
      <w:sz w:val="22"/>
      <w:szCs w:val="22"/>
    </w:rPr>
  </w:style>
  <w:style w:type="character" w:styleId="710">
    <w:name w:val="Heading 7 Char"/>
    <w:basedOn w:val="865"/>
    <w:link w:val="862"/>
    <w:uiPriority w:val="9"/>
    <w:rPr>
      <w:rFonts w:ascii="Arial" w:hAnsi="Arial" w:eastAsia="Arial" w:cs="Arial"/>
      <w:b/>
      <w:bCs/>
      <w:i/>
      <w:iCs/>
      <w:sz w:val="22"/>
      <w:szCs w:val="22"/>
    </w:rPr>
  </w:style>
  <w:style w:type="character" w:styleId="711">
    <w:name w:val="Heading 8 Char"/>
    <w:basedOn w:val="865"/>
    <w:link w:val="863"/>
    <w:uiPriority w:val="9"/>
    <w:rPr>
      <w:rFonts w:ascii="Arial" w:hAnsi="Arial" w:eastAsia="Arial" w:cs="Arial"/>
      <w:i/>
      <w:iCs/>
      <w:sz w:val="22"/>
      <w:szCs w:val="22"/>
    </w:rPr>
  </w:style>
  <w:style w:type="character" w:styleId="712">
    <w:name w:val="Heading 9 Char"/>
    <w:basedOn w:val="865"/>
    <w:link w:val="864"/>
    <w:uiPriority w:val="9"/>
    <w:rPr>
      <w:rFonts w:ascii="Arial" w:hAnsi="Arial" w:eastAsia="Arial" w:cs="Arial"/>
      <w:i/>
      <w:iCs/>
      <w:sz w:val="21"/>
      <w:szCs w:val="21"/>
    </w:rPr>
  </w:style>
  <w:style w:type="paragraph" w:styleId="713">
    <w:name w:val="Title"/>
    <w:basedOn w:val="855"/>
    <w:next w:val="855"/>
    <w:link w:val="714"/>
    <w:uiPriority w:val="10"/>
    <w:qFormat/>
    <w:pPr>
      <w:contextualSpacing/>
      <w:spacing w:before="300" w:after="200"/>
    </w:pPr>
    <w:rPr>
      <w:sz w:val="48"/>
      <w:szCs w:val="48"/>
    </w:rPr>
  </w:style>
  <w:style w:type="character" w:styleId="714">
    <w:name w:val="Title Char"/>
    <w:basedOn w:val="865"/>
    <w:link w:val="713"/>
    <w:uiPriority w:val="10"/>
    <w:rPr>
      <w:sz w:val="48"/>
      <w:szCs w:val="48"/>
    </w:rPr>
  </w:style>
  <w:style w:type="paragraph" w:styleId="715">
    <w:name w:val="Subtitle"/>
    <w:basedOn w:val="855"/>
    <w:next w:val="855"/>
    <w:link w:val="716"/>
    <w:uiPriority w:val="11"/>
    <w:qFormat/>
    <w:pPr>
      <w:spacing w:before="200" w:after="200"/>
    </w:pPr>
    <w:rPr>
      <w:sz w:val="24"/>
      <w:szCs w:val="24"/>
    </w:rPr>
  </w:style>
  <w:style w:type="character" w:styleId="716">
    <w:name w:val="Subtitle Char"/>
    <w:basedOn w:val="865"/>
    <w:link w:val="715"/>
    <w:uiPriority w:val="11"/>
    <w:rPr>
      <w:sz w:val="24"/>
      <w:szCs w:val="24"/>
    </w:rPr>
  </w:style>
  <w:style w:type="paragraph" w:styleId="717">
    <w:name w:val="Quote"/>
    <w:basedOn w:val="855"/>
    <w:next w:val="855"/>
    <w:link w:val="718"/>
    <w:uiPriority w:val="29"/>
    <w:qFormat/>
    <w:pPr>
      <w:ind w:left="720" w:right="720"/>
    </w:pPr>
    <w:rPr>
      <w:i/>
    </w:rPr>
  </w:style>
  <w:style w:type="character" w:styleId="718">
    <w:name w:val="Quote Char"/>
    <w:link w:val="717"/>
    <w:uiPriority w:val="29"/>
    <w:rPr>
      <w:i/>
    </w:rPr>
  </w:style>
  <w:style w:type="paragraph" w:styleId="719">
    <w:name w:val="Intense Quote"/>
    <w:basedOn w:val="855"/>
    <w:next w:val="85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5"/>
    <w:link w:val="892"/>
    <w:uiPriority w:val="99"/>
  </w:style>
  <w:style w:type="character" w:styleId="722">
    <w:name w:val="Footer Char"/>
    <w:basedOn w:val="865"/>
    <w:link w:val="890"/>
    <w:uiPriority w:val="99"/>
  </w:style>
  <w:style w:type="paragraph" w:styleId="723">
    <w:name w:val="Caption"/>
    <w:basedOn w:val="855"/>
    <w:next w:val="85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1">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2">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3">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4">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5">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6">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3">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6">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7">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8">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9">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0">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1">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3">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4">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5">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6">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7">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7">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8">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9">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0">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1">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2">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4">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5">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6">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7">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8">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9">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1">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5">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8">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9">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0">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1">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2">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3">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9"/>
    <w:uiPriority w:val="99"/>
    <w:rPr>
      <w:sz w:val="18"/>
    </w:rPr>
  </w:style>
  <w:style w:type="paragraph" w:styleId="851">
    <w:name w:val="endnote text"/>
    <w:basedOn w:val="85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5"/>
    <w:uiPriority w:val="99"/>
    <w:semiHidden/>
    <w:unhideWhenUsed/>
    <w:rPr>
      <w:vertAlign w:val="superscript"/>
    </w:rPr>
  </w:style>
  <w:style w:type="paragraph" w:styleId="854">
    <w:name w:val="TOC Heading"/>
    <w:uiPriority w:val="39"/>
    <w:unhideWhenUsed/>
  </w:style>
  <w:style w:type="paragraph" w:styleId="855" w:default="1">
    <w:name w:val="Normal"/>
    <w:qFormat/>
    <w:pPr>
      <w:jc w:val="both"/>
      <w:widowControl w:val="off"/>
    </w:pPr>
    <w:rPr>
      <w:sz w:val="21"/>
      <w:szCs w:val="22"/>
    </w:rPr>
  </w:style>
  <w:style w:type="paragraph" w:styleId="856">
    <w:name w:val="Heading 1"/>
    <w:basedOn w:val="855"/>
    <w:next w:val="855"/>
    <w:link w:val="933"/>
    <w:uiPriority w:val="9"/>
    <w:qFormat/>
    <w:pPr>
      <w:jc w:val="center"/>
      <w:keepNext/>
      <w:outlineLvl w:val="0"/>
    </w:pPr>
    <w:rPr>
      <w:rFonts w:ascii="楷体_GB2312" w:hAnsi="Times New Roman" w:eastAsia="楷体_GB2312" w:cs="Times New Roman"/>
      <w:sz w:val="28"/>
      <w:szCs w:val="28"/>
    </w:rPr>
  </w:style>
  <w:style w:type="paragraph" w:styleId="857">
    <w:name w:val="Heading 2"/>
    <w:basedOn w:val="855"/>
    <w:next w:val="868"/>
    <w:link w:val="934"/>
    <w:qFormat/>
    <w:pPr>
      <w:jc w:val="center"/>
      <w:keepLines/>
      <w:keepNext/>
      <w:spacing w:before="260" w:after="260" w:line="416" w:lineRule="auto"/>
      <w:outlineLvl w:val="1"/>
    </w:pPr>
    <w:rPr>
      <w:rFonts w:ascii="Arial" w:hAnsi="Arial" w:eastAsia="幼圆" w:cs="Arial"/>
      <w:b/>
      <w:bCs/>
      <w:sz w:val="44"/>
      <w:szCs w:val="44"/>
    </w:rPr>
  </w:style>
  <w:style w:type="paragraph" w:styleId="858">
    <w:name w:val="Heading 3"/>
    <w:basedOn w:val="855"/>
    <w:next w:val="868"/>
    <w:link w:val="92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9">
    <w:name w:val="Heading 4"/>
    <w:basedOn w:val="855"/>
    <w:next w:val="868"/>
    <w:link w:val="927"/>
    <w:qFormat/>
    <w:pPr>
      <w:keepLines/>
      <w:keepNext/>
      <w:spacing w:before="280" w:after="290" w:line="376" w:lineRule="auto"/>
      <w:outlineLvl w:val="3"/>
    </w:pPr>
    <w:rPr>
      <w:rFonts w:ascii="Arial" w:hAnsi="Arial" w:eastAsia="黑体" w:cs="Arial"/>
      <w:b/>
      <w:bCs/>
      <w:sz w:val="28"/>
      <w:szCs w:val="28"/>
    </w:rPr>
  </w:style>
  <w:style w:type="paragraph" w:styleId="860">
    <w:name w:val="Heading 5"/>
    <w:basedOn w:val="855"/>
    <w:next w:val="868"/>
    <w:link w:val="928"/>
    <w:qFormat/>
    <w:pPr>
      <w:keepNext/>
      <w:outlineLvl w:val="4"/>
    </w:pPr>
    <w:rPr>
      <w:rFonts w:ascii="宋体" w:hAnsi="Times New Roman" w:eastAsia="宋体" w:cs="Times New Roman"/>
      <w:color w:val="000000"/>
      <w:sz w:val="28"/>
      <w:szCs w:val="28"/>
    </w:rPr>
  </w:style>
  <w:style w:type="paragraph" w:styleId="861">
    <w:name w:val="Heading 6"/>
    <w:basedOn w:val="855"/>
    <w:next w:val="855"/>
    <w:link w:val="92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2">
    <w:name w:val="Heading 7"/>
    <w:basedOn w:val="855"/>
    <w:next w:val="855"/>
    <w:link w:val="93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3">
    <w:name w:val="Heading 8"/>
    <w:basedOn w:val="855"/>
    <w:next w:val="855"/>
    <w:link w:val="93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4">
    <w:name w:val="Heading 9"/>
    <w:basedOn w:val="855"/>
    <w:next w:val="855"/>
    <w:link w:val="932"/>
    <w:qFormat/>
    <w:pPr>
      <w:numPr>
        <w:ilvl w:val="8"/>
        <w:numId w:val="1"/>
      </w:numPr>
      <w:keepLines/>
      <w:keepNext/>
      <w:spacing w:before="240" w:after="64" w:line="320" w:lineRule="auto"/>
      <w:outlineLvl w:val="8"/>
    </w:pPr>
    <w:rPr>
      <w:rFonts w:ascii="Arial" w:hAnsi="Arial" w:eastAsia="黑体" w:cs="Times New Roman"/>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935"/>
    <w:qFormat/>
    <w:pPr>
      <w:ind w:firstLine="420"/>
    </w:pPr>
    <w:rPr>
      <w:rFonts w:ascii="Calibri" w:hAnsi="Calibri" w:eastAsia="宋体" w:cs="Times New Roman"/>
      <w:szCs w:val="21"/>
    </w:rPr>
  </w:style>
  <w:style w:type="paragraph" w:styleId="869">
    <w:name w:val="List 3"/>
    <w:basedOn w:val="855"/>
    <w:qFormat/>
    <w:pPr>
      <w:ind w:left="100" w:hanging="200"/>
    </w:pPr>
    <w:rPr>
      <w:rFonts w:ascii="Times New Roman" w:hAnsi="Times New Roman" w:eastAsia="宋体" w:cs="Times New Roman"/>
      <w:szCs w:val="21"/>
    </w:rPr>
  </w:style>
  <w:style w:type="paragraph" w:styleId="870">
    <w:name w:val="toc 7"/>
    <w:basedOn w:val="855"/>
    <w:next w:val="855"/>
    <w:semiHidden/>
    <w:qFormat/>
    <w:pPr>
      <w:jc w:val="left"/>
    </w:pPr>
    <w:rPr>
      <w:rFonts w:ascii="Calibri" w:hAnsi="Calibri" w:eastAsia="宋体" w:cs="Times New Roman"/>
      <w:sz w:val="22"/>
    </w:rPr>
  </w:style>
  <w:style w:type="paragraph" w:styleId="871">
    <w:name w:val="index 8"/>
    <w:basedOn w:val="855"/>
    <w:next w:val="855"/>
    <w:semiHidden/>
    <w:qFormat/>
    <w:pPr>
      <w:ind w:left="1400"/>
    </w:pPr>
    <w:rPr>
      <w:rFonts w:ascii="Times New Roman" w:hAnsi="Times New Roman" w:eastAsia="宋体" w:cs="Times New Roman"/>
      <w:szCs w:val="20"/>
    </w:rPr>
  </w:style>
  <w:style w:type="paragraph" w:styleId="872">
    <w:name w:val="index 5"/>
    <w:basedOn w:val="855"/>
    <w:next w:val="855"/>
    <w:semiHidden/>
    <w:qFormat/>
    <w:pPr>
      <w:ind w:left="800"/>
    </w:pPr>
    <w:rPr>
      <w:rFonts w:ascii="Times New Roman" w:hAnsi="Times New Roman" w:eastAsia="宋体" w:cs="Times New Roman"/>
      <w:szCs w:val="20"/>
    </w:rPr>
  </w:style>
  <w:style w:type="paragraph" w:styleId="873">
    <w:name w:val="Document Map"/>
    <w:basedOn w:val="855"/>
    <w:link w:val="936"/>
    <w:semiHidden/>
    <w:qFormat/>
    <w:pPr>
      <w:shd w:val="clear" w:color="auto" w:fill="000080"/>
    </w:pPr>
    <w:rPr>
      <w:rFonts w:ascii="Times New Roman" w:hAnsi="Times New Roman" w:eastAsia="宋体" w:cs="Times New Roman"/>
      <w:szCs w:val="21"/>
    </w:rPr>
  </w:style>
  <w:style w:type="paragraph" w:styleId="874">
    <w:name w:val="annotation text"/>
    <w:basedOn w:val="855"/>
    <w:link w:val="938"/>
    <w:unhideWhenUsed/>
    <w:qFormat/>
    <w:pPr>
      <w:jc w:val="left"/>
    </w:pPr>
    <w:rPr>
      <w:rFonts w:ascii="Calibri" w:hAnsi="Calibri" w:eastAsia="宋体" w:cs="Times New Roman"/>
    </w:rPr>
  </w:style>
  <w:style w:type="paragraph" w:styleId="875">
    <w:name w:val="index 6"/>
    <w:basedOn w:val="855"/>
    <w:next w:val="855"/>
    <w:semiHidden/>
    <w:qFormat/>
    <w:pPr>
      <w:ind w:left="1000"/>
    </w:pPr>
    <w:rPr>
      <w:rFonts w:ascii="Times New Roman" w:hAnsi="Times New Roman" w:eastAsia="宋体" w:cs="Times New Roman"/>
      <w:szCs w:val="20"/>
    </w:rPr>
  </w:style>
  <w:style w:type="paragraph" w:styleId="876">
    <w:name w:val="Body Text 3"/>
    <w:basedOn w:val="855"/>
    <w:link w:val="939"/>
    <w:qFormat/>
    <w:rPr>
      <w:rFonts w:ascii="仿宋_GB2312" w:hAnsi="Arial" w:eastAsia="仿宋_GB2312" w:cs="Times New Roman"/>
      <w:sz w:val="32"/>
      <w:szCs w:val="32"/>
    </w:rPr>
  </w:style>
  <w:style w:type="paragraph" w:styleId="877">
    <w:name w:val="Body Text"/>
    <w:basedOn w:val="855"/>
    <w:link w:val="941"/>
    <w:qFormat/>
    <w:rPr>
      <w:rFonts w:ascii="楷体_GB2312" w:hAnsi="Arial" w:eastAsia="楷体_GB2312" w:cs="Times New Roman"/>
      <w:sz w:val="28"/>
      <w:szCs w:val="28"/>
    </w:rPr>
  </w:style>
  <w:style w:type="paragraph" w:styleId="878">
    <w:name w:val="Body Text Indent"/>
    <w:basedOn w:val="855"/>
    <w:link w:val="943"/>
    <w:unhideWhenUsed/>
    <w:qFormat/>
    <w:pPr>
      <w:ind w:left="420"/>
      <w:spacing w:after="120"/>
    </w:pPr>
    <w:rPr>
      <w:rFonts w:ascii="Calibri" w:hAnsi="Calibri" w:eastAsia="宋体" w:cs="Times New Roman"/>
    </w:rPr>
  </w:style>
  <w:style w:type="paragraph" w:styleId="879">
    <w:name w:val="List 2"/>
    <w:basedOn w:val="855"/>
    <w:qFormat/>
    <w:pPr>
      <w:ind w:left="100" w:hanging="200"/>
    </w:pPr>
    <w:rPr>
      <w:rFonts w:ascii="Times New Roman" w:hAnsi="Times New Roman" w:eastAsia="宋体" w:cs="Times New Roman"/>
      <w:szCs w:val="21"/>
    </w:rPr>
  </w:style>
  <w:style w:type="paragraph" w:styleId="880">
    <w:name w:val="Block Text"/>
    <w:basedOn w:val="855"/>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81">
    <w:name w:val="index 4"/>
    <w:basedOn w:val="855"/>
    <w:next w:val="855"/>
    <w:semiHidden/>
    <w:qFormat/>
    <w:pPr>
      <w:ind w:left="600"/>
    </w:pPr>
    <w:rPr>
      <w:rFonts w:ascii="Times New Roman" w:hAnsi="Times New Roman" w:eastAsia="宋体" w:cs="Times New Roman"/>
      <w:szCs w:val="20"/>
    </w:rPr>
  </w:style>
  <w:style w:type="paragraph" w:styleId="882">
    <w:name w:val="toc 5"/>
    <w:basedOn w:val="855"/>
    <w:next w:val="855"/>
    <w:semiHidden/>
    <w:qFormat/>
    <w:pPr>
      <w:jc w:val="left"/>
    </w:pPr>
    <w:rPr>
      <w:rFonts w:ascii="Calibri" w:hAnsi="Calibri" w:eastAsia="宋体" w:cs="Times New Roman"/>
      <w:sz w:val="22"/>
    </w:rPr>
  </w:style>
  <w:style w:type="paragraph" w:styleId="883">
    <w:name w:val="toc 3"/>
    <w:basedOn w:val="855"/>
    <w:next w:val="855"/>
    <w:uiPriority w:val="39"/>
    <w:qFormat/>
    <w:pPr>
      <w:jc w:val="left"/>
    </w:pPr>
    <w:rPr>
      <w:rFonts w:ascii="Calibri" w:hAnsi="Calibri" w:eastAsia="宋体" w:cs="Times New Roman"/>
      <w:smallCaps/>
      <w:sz w:val="22"/>
    </w:rPr>
  </w:style>
  <w:style w:type="paragraph" w:styleId="884">
    <w:name w:val="Plain Text"/>
    <w:basedOn w:val="855"/>
    <w:link w:val="945"/>
    <w:qFormat/>
    <w:rPr>
      <w:rFonts w:ascii="宋体" w:hAnsi="Courier New" w:eastAsia="宋体" w:cs="Courier New"/>
      <w:szCs w:val="21"/>
    </w:rPr>
  </w:style>
  <w:style w:type="paragraph" w:styleId="885">
    <w:name w:val="toc 8"/>
    <w:basedOn w:val="855"/>
    <w:next w:val="855"/>
    <w:semiHidden/>
    <w:qFormat/>
    <w:pPr>
      <w:jc w:val="left"/>
    </w:pPr>
    <w:rPr>
      <w:rFonts w:ascii="Calibri" w:hAnsi="Calibri" w:eastAsia="宋体" w:cs="Times New Roman"/>
      <w:sz w:val="22"/>
    </w:rPr>
  </w:style>
  <w:style w:type="paragraph" w:styleId="886">
    <w:name w:val="index 3"/>
    <w:basedOn w:val="855"/>
    <w:next w:val="855"/>
    <w:semiHidden/>
    <w:qFormat/>
    <w:pPr>
      <w:ind w:left="400"/>
    </w:pPr>
    <w:rPr>
      <w:rFonts w:ascii="Times New Roman" w:hAnsi="Times New Roman" w:eastAsia="宋体" w:cs="Times New Roman"/>
      <w:szCs w:val="20"/>
    </w:rPr>
  </w:style>
  <w:style w:type="paragraph" w:styleId="887">
    <w:name w:val="Date"/>
    <w:basedOn w:val="855"/>
    <w:next w:val="855"/>
    <w:link w:val="947"/>
    <w:qFormat/>
    <w:rPr>
      <w:rFonts w:ascii="Times New Roman" w:hAnsi="Times New Roman" w:eastAsia="宋体" w:cs="Times New Roman"/>
      <w:sz w:val="24"/>
      <w:szCs w:val="24"/>
    </w:rPr>
  </w:style>
  <w:style w:type="paragraph" w:styleId="888">
    <w:name w:val="Body Text Indent 2"/>
    <w:basedOn w:val="855"/>
    <w:link w:val="948"/>
    <w:qFormat/>
    <w:pPr>
      <w:ind w:left="630" w:firstLine="645"/>
    </w:pPr>
    <w:rPr>
      <w:rFonts w:ascii="Arial" w:hAnsi="Arial" w:eastAsia="仿宋_GB2312" w:cs="Arial"/>
      <w:sz w:val="32"/>
      <w:szCs w:val="32"/>
    </w:rPr>
  </w:style>
  <w:style w:type="paragraph" w:styleId="889">
    <w:name w:val="Balloon Text"/>
    <w:basedOn w:val="855"/>
    <w:link w:val="950"/>
    <w:qFormat/>
    <w:rPr>
      <w:rFonts w:ascii="Times New Roman" w:hAnsi="Times New Roman" w:eastAsia="宋体" w:cs="Times New Roman"/>
      <w:sz w:val="18"/>
      <w:szCs w:val="18"/>
    </w:rPr>
  </w:style>
  <w:style w:type="paragraph" w:styleId="890">
    <w:name w:val="Footer"/>
    <w:basedOn w:val="855"/>
    <w:link w:val="923"/>
    <w:unhideWhenUsed/>
    <w:qFormat/>
    <w:pPr>
      <w:jc w:val="left"/>
      <w:tabs>
        <w:tab w:val="center" w:pos="4153" w:leader="none"/>
        <w:tab w:val="right" w:pos="8306" w:leader="none"/>
      </w:tabs>
    </w:pPr>
    <w:rPr>
      <w:sz w:val="18"/>
      <w:szCs w:val="18"/>
    </w:rPr>
  </w:style>
  <w:style w:type="paragraph" w:styleId="891">
    <w:name w:val="envelope return"/>
    <w:basedOn w:val="855"/>
    <w:qFormat/>
    <w:rPr>
      <w:rFonts w:ascii="Arial" w:hAnsi="Arial" w:eastAsia="宋体" w:cs="Times New Roman"/>
      <w:szCs w:val="20"/>
    </w:rPr>
  </w:style>
  <w:style w:type="paragraph" w:styleId="892">
    <w:name w:val="Header"/>
    <w:basedOn w:val="855"/>
    <w:link w:val="922"/>
    <w:unhideWhenUsed/>
    <w:qFormat/>
    <w:pPr>
      <w:jc w:val="center"/>
      <w:tabs>
        <w:tab w:val="center" w:pos="4153" w:leader="none"/>
        <w:tab w:val="right" w:pos="8306" w:leader="none"/>
      </w:tabs>
      <w:pBdr>
        <w:bottom w:val="single" w:color="auto" w:sz="6" w:space="1"/>
      </w:pBdr>
    </w:pPr>
    <w:rPr>
      <w:sz w:val="18"/>
      <w:szCs w:val="18"/>
    </w:rPr>
  </w:style>
  <w:style w:type="paragraph" w:styleId="893">
    <w:name w:val="Signature"/>
    <w:basedOn w:val="855"/>
    <w:link w:val="952"/>
    <w:qFormat/>
    <w:pPr>
      <w:jc w:val="center"/>
      <w:spacing w:after="600" w:line="312" w:lineRule="atLeast"/>
    </w:pPr>
    <w:rPr>
      <w:rFonts w:ascii="Times New Roman" w:hAnsi="Times New Roman" w:eastAsia="仿宋_GB2312" w:cs="Times New Roman"/>
      <w:sz w:val="24"/>
      <w:szCs w:val="20"/>
    </w:rPr>
  </w:style>
  <w:style w:type="paragraph" w:styleId="894">
    <w:name w:val="toc 1"/>
    <w:basedOn w:val="855"/>
    <w:next w:val="855"/>
    <w:uiPriority w:val="39"/>
    <w:qFormat/>
    <w:pPr>
      <w:jc w:val="left"/>
      <w:spacing w:before="360" w:after="360"/>
    </w:pPr>
    <w:rPr>
      <w:rFonts w:ascii="Calibri" w:hAnsi="Calibri" w:eastAsia="宋体" w:cs="Times New Roman"/>
      <w:b/>
      <w:bCs/>
      <w:caps/>
      <w:sz w:val="22"/>
      <w:u w:val="single"/>
    </w:rPr>
  </w:style>
  <w:style w:type="paragraph" w:styleId="895">
    <w:name w:val="toc 4"/>
    <w:basedOn w:val="855"/>
    <w:next w:val="855"/>
    <w:semiHidden/>
    <w:qFormat/>
    <w:pPr>
      <w:jc w:val="left"/>
    </w:pPr>
    <w:rPr>
      <w:rFonts w:ascii="Calibri" w:hAnsi="Calibri" w:eastAsia="宋体" w:cs="Times New Roman"/>
      <w:sz w:val="22"/>
    </w:rPr>
  </w:style>
  <w:style w:type="paragraph" w:styleId="896">
    <w:name w:val="index heading"/>
    <w:basedOn w:val="855"/>
    <w:next w:val="897"/>
    <w:semiHidden/>
    <w:qFormat/>
    <w:rPr>
      <w:rFonts w:ascii="Times New Roman" w:hAnsi="Times New Roman" w:eastAsia="宋体" w:cs="Times New Roman"/>
      <w:szCs w:val="20"/>
    </w:rPr>
  </w:style>
  <w:style w:type="paragraph" w:styleId="897">
    <w:name w:val="index 1"/>
    <w:basedOn w:val="855"/>
    <w:next w:val="855"/>
    <w:semiHidden/>
    <w:unhideWhenUsed/>
    <w:qFormat/>
  </w:style>
  <w:style w:type="paragraph" w:styleId="898">
    <w:name w:val="List"/>
    <w:basedOn w:val="855"/>
    <w:qFormat/>
    <w:pPr>
      <w:ind w:left="200" w:hanging="200"/>
    </w:pPr>
    <w:rPr>
      <w:rFonts w:ascii="Times New Roman" w:hAnsi="Times New Roman" w:eastAsia="宋体" w:cs="Times New Roman"/>
      <w:szCs w:val="21"/>
    </w:rPr>
  </w:style>
  <w:style w:type="paragraph" w:styleId="899">
    <w:name w:val="footnote text"/>
    <w:basedOn w:val="855"/>
    <w:link w:val="953"/>
    <w:qFormat/>
    <w:pPr>
      <w:jc w:val="left"/>
    </w:pPr>
    <w:rPr>
      <w:rFonts w:ascii="Times New Roman" w:hAnsi="Times New Roman" w:eastAsia="宋体" w:cs="Times New Roman"/>
      <w:sz w:val="18"/>
      <w:szCs w:val="18"/>
    </w:rPr>
  </w:style>
  <w:style w:type="paragraph" w:styleId="900">
    <w:name w:val="toc 6"/>
    <w:basedOn w:val="855"/>
    <w:next w:val="855"/>
    <w:semiHidden/>
    <w:qFormat/>
    <w:pPr>
      <w:jc w:val="left"/>
    </w:pPr>
    <w:rPr>
      <w:rFonts w:ascii="Calibri" w:hAnsi="Calibri" w:eastAsia="宋体" w:cs="Times New Roman"/>
      <w:sz w:val="22"/>
    </w:rPr>
  </w:style>
  <w:style w:type="paragraph" w:styleId="901">
    <w:name w:val="Body Text Indent 3"/>
    <w:basedOn w:val="855"/>
    <w:link w:val="954"/>
    <w:qFormat/>
    <w:pPr>
      <w:ind w:left="645" w:firstLine="645"/>
    </w:pPr>
    <w:rPr>
      <w:rFonts w:ascii="Arial" w:hAnsi="Arial" w:eastAsia="仿宋_GB2312" w:cs="Arial"/>
      <w:color w:val="ffff00"/>
      <w:sz w:val="32"/>
      <w:szCs w:val="32"/>
    </w:rPr>
  </w:style>
  <w:style w:type="paragraph" w:styleId="902">
    <w:name w:val="index 7"/>
    <w:basedOn w:val="855"/>
    <w:next w:val="855"/>
    <w:semiHidden/>
    <w:qFormat/>
    <w:pPr>
      <w:ind w:left="1200"/>
    </w:pPr>
    <w:rPr>
      <w:rFonts w:ascii="Times New Roman" w:hAnsi="Times New Roman" w:eastAsia="宋体" w:cs="Times New Roman"/>
      <w:szCs w:val="20"/>
    </w:rPr>
  </w:style>
  <w:style w:type="paragraph" w:styleId="903">
    <w:name w:val="index 9"/>
    <w:basedOn w:val="855"/>
    <w:next w:val="855"/>
    <w:semiHidden/>
    <w:qFormat/>
    <w:pPr>
      <w:ind w:left="1600"/>
    </w:pPr>
    <w:rPr>
      <w:rFonts w:ascii="Times New Roman" w:hAnsi="Times New Roman" w:eastAsia="宋体" w:cs="Times New Roman"/>
      <w:szCs w:val="20"/>
    </w:rPr>
  </w:style>
  <w:style w:type="paragraph" w:styleId="904">
    <w:name w:val="table of figures"/>
    <w:basedOn w:val="855"/>
    <w:next w:val="855"/>
    <w:semiHidden/>
    <w:qFormat/>
    <w:pPr>
      <w:ind w:left="840" w:hanging="420"/>
    </w:pPr>
    <w:rPr>
      <w:rFonts w:ascii="Times New Roman" w:hAnsi="Times New Roman" w:eastAsia="宋体" w:cs="Times New Roman"/>
      <w:szCs w:val="21"/>
    </w:rPr>
  </w:style>
  <w:style w:type="paragraph" w:styleId="905">
    <w:name w:val="toc 2"/>
    <w:basedOn w:val="855"/>
    <w:next w:val="855"/>
    <w:uiPriority w:val="39"/>
    <w:qFormat/>
    <w:pPr>
      <w:jc w:val="left"/>
    </w:pPr>
    <w:rPr>
      <w:rFonts w:ascii="Calibri" w:hAnsi="Calibri" w:eastAsia="宋体" w:cs="Times New Roman"/>
      <w:b/>
      <w:bCs/>
      <w:smallCaps/>
      <w:sz w:val="22"/>
    </w:rPr>
  </w:style>
  <w:style w:type="paragraph" w:styleId="906">
    <w:name w:val="toc 9"/>
    <w:basedOn w:val="855"/>
    <w:next w:val="855"/>
    <w:semiHidden/>
    <w:qFormat/>
    <w:pPr>
      <w:jc w:val="left"/>
    </w:pPr>
    <w:rPr>
      <w:rFonts w:ascii="Calibri" w:hAnsi="Calibri" w:eastAsia="宋体" w:cs="Times New Roman"/>
      <w:sz w:val="22"/>
    </w:rPr>
  </w:style>
  <w:style w:type="paragraph" w:styleId="907">
    <w:name w:val="Body Text 2"/>
    <w:basedOn w:val="855"/>
    <w:link w:val="955"/>
    <w:qFormat/>
    <w:pPr>
      <w:jc w:val="center"/>
      <w:widowControl/>
    </w:pPr>
    <w:rPr>
      <w:rFonts w:ascii="楷体_GB2312" w:hAnsi="Times New Roman" w:eastAsia="楷体_GB2312" w:cs="Times New Roman"/>
      <w:sz w:val="28"/>
      <w:szCs w:val="28"/>
    </w:rPr>
  </w:style>
  <w:style w:type="paragraph" w:styleId="908">
    <w:name w:val="HTML Preformatted"/>
    <w:basedOn w:val="855"/>
    <w:link w:val="95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9">
    <w:name w:val="Normal (Web)"/>
    <w:basedOn w:val="855"/>
    <w:uiPriority w:val="99"/>
    <w:qFormat/>
    <w:pPr>
      <w:jc w:val="left"/>
      <w:spacing w:before="100" w:beforeAutospacing="1" w:after="100" w:afterAutospacing="1"/>
      <w:widowControl/>
    </w:pPr>
    <w:rPr>
      <w:rFonts w:ascii="宋体" w:hAnsi="宋体" w:eastAsia="宋体" w:cs="宋体"/>
      <w:sz w:val="24"/>
      <w:szCs w:val="24"/>
    </w:rPr>
  </w:style>
  <w:style w:type="paragraph" w:styleId="910">
    <w:name w:val="index 2"/>
    <w:basedOn w:val="855"/>
    <w:next w:val="855"/>
    <w:semiHidden/>
    <w:qFormat/>
    <w:pPr>
      <w:ind w:left="200"/>
    </w:pPr>
    <w:rPr>
      <w:rFonts w:ascii="Times New Roman" w:hAnsi="Times New Roman" w:eastAsia="宋体" w:cs="Times New Roman"/>
      <w:szCs w:val="20"/>
    </w:rPr>
  </w:style>
  <w:style w:type="paragraph" w:styleId="911">
    <w:name w:val="annotation subject"/>
    <w:basedOn w:val="874"/>
    <w:next w:val="874"/>
    <w:link w:val="958"/>
    <w:qFormat/>
    <w:rPr>
      <w:rFonts w:ascii="Times New Roman" w:hAnsi="Times New Roman"/>
      <w:b/>
      <w:bCs/>
      <w:szCs w:val="21"/>
    </w:rPr>
  </w:style>
  <w:style w:type="paragraph" w:styleId="912">
    <w:name w:val="Body Text First Indent"/>
    <w:basedOn w:val="855"/>
    <w:link w:val="959"/>
    <w:qFormat/>
    <w:pPr>
      <w:ind w:firstLine="200"/>
      <w:spacing w:line="360" w:lineRule="auto"/>
    </w:pPr>
    <w:rPr>
      <w:rFonts w:ascii="仿宋_GB2312" w:hAnsi="Times New Roman" w:eastAsia="仿宋_GB2312" w:cs="Times New Roman"/>
      <w:sz w:val="30"/>
      <w:szCs w:val="30"/>
    </w:rPr>
  </w:style>
  <w:style w:type="paragraph" w:styleId="913">
    <w:name w:val="Body Text First Indent 2"/>
    <w:basedOn w:val="878"/>
    <w:link w:val="960"/>
    <w:qFormat/>
    <w:pPr>
      <w:ind w:left="0" w:firstLine="420"/>
      <w:spacing w:after="0" w:line="360" w:lineRule="auto"/>
    </w:pPr>
    <w:rPr>
      <w:rFonts w:ascii="宋体" w:hAnsi="宋体"/>
      <w:szCs w:val="20"/>
    </w:rPr>
  </w:style>
  <w:style w:type="table" w:styleId="914">
    <w:name w:val="Table Grid"/>
    <w:basedOn w:val="866"/>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b/>
      <w:bCs/>
    </w:rPr>
  </w:style>
  <w:style w:type="character" w:styleId="916">
    <w:name w:val="page number"/>
    <w:qFormat/>
  </w:style>
  <w:style w:type="character" w:styleId="917">
    <w:name w:val="FollowedHyperlink"/>
    <w:qFormat/>
    <w:rPr>
      <w:color w:val="800080"/>
      <w:u w:val="single"/>
    </w:rPr>
  </w:style>
  <w:style w:type="character" w:styleId="918">
    <w:name w:val="Emphasis"/>
    <w:qFormat/>
    <w:rPr>
      <w:i/>
      <w:iCs/>
    </w:rPr>
  </w:style>
  <w:style w:type="character" w:styleId="919">
    <w:name w:val="Hyperlink"/>
    <w:uiPriority w:val="99"/>
    <w:qFormat/>
    <w:rPr>
      <w:color w:val="0000ff"/>
      <w:u w:val="single"/>
    </w:rPr>
  </w:style>
  <w:style w:type="character" w:styleId="920">
    <w:name w:val="annotation reference"/>
    <w:qFormat/>
    <w:rPr>
      <w:sz w:val="21"/>
      <w:szCs w:val="21"/>
    </w:rPr>
  </w:style>
  <w:style w:type="character" w:styleId="921">
    <w:name w:val="footnote reference"/>
    <w:unhideWhenUsed/>
    <w:qFormat/>
    <w:rPr>
      <w:vertAlign w:val="superscript"/>
    </w:rPr>
  </w:style>
  <w:style w:type="character" w:styleId="922" w:customStyle="1">
    <w:name w:val="页眉 字符"/>
    <w:basedOn w:val="865"/>
    <w:link w:val="892"/>
    <w:qFormat/>
    <w:rPr>
      <w:sz w:val="18"/>
      <w:szCs w:val="18"/>
    </w:rPr>
  </w:style>
  <w:style w:type="character" w:styleId="923" w:customStyle="1">
    <w:name w:val="页脚 字符"/>
    <w:basedOn w:val="865"/>
    <w:link w:val="890"/>
    <w:qFormat/>
    <w:rPr>
      <w:sz w:val="18"/>
      <w:szCs w:val="18"/>
    </w:rPr>
  </w:style>
  <w:style w:type="character" w:styleId="924" w:customStyle="1">
    <w:name w:val="标题 1 字符"/>
    <w:basedOn w:val="865"/>
    <w:uiPriority w:val="9"/>
    <w:qFormat/>
    <w:rPr>
      <w:b/>
      <w:bCs/>
      <w:sz w:val="44"/>
      <w:szCs w:val="44"/>
    </w:rPr>
  </w:style>
  <w:style w:type="character" w:styleId="925" w:customStyle="1">
    <w:name w:val="标题 2 字符"/>
    <w:basedOn w:val="865"/>
    <w:qFormat/>
    <w:rPr>
      <w:rFonts w:asciiTheme="majorHAnsi" w:hAnsiTheme="majorHAnsi" w:eastAsiaTheme="majorEastAsia" w:cstheme="majorBidi"/>
      <w:b/>
      <w:bCs/>
      <w:sz w:val="32"/>
      <w:szCs w:val="32"/>
    </w:rPr>
  </w:style>
  <w:style w:type="character" w:styleId="926" w:customStyle="1">
    <w:name w:val="标题 3 字符"/>
    <w:basedOn w:val="865"/>
    <w:link w:val="858"/>
    <w:qFormat/>
    <w:rPr>
      <w:rFonts w:ascii="Times New Roman" w:hAnsi="Times New Roman" w:eastAsia="宋体" w:cs="Times New Roman"/>
      <w:b/>
      <w:bCs/>
      <w:sz w:val="32"/>
      <w:szCs w:val="32"/>
    </w:rPr>
  </w:style>
  <w:style w:type="character" w:styleId="927" w:customStyle="1">
    <w:name w:val="标题 4 字符"/>
    <w:basedOn w:val="865"/>
    <w:link w:val="859"/>
    <w:qFormat/>
    <w:rPr>
      <w:rFonts w:ascii="Arial" w:hAnsi="Arial" w:eastAsia="黑体" w:cs="Arial"/>
      <w:b/>
      <w:bCs/>
      <w:sz w:val="28"/>
      <w:szCs w:val="28"/>
    </w:rPr>
  </w:style>
  <w:style w:type="character" w:styleId="928" w:customStyle="1">
    <w:name w:val="标题 5 字符"/>
    <w:basedOn w:val="865"/>
    <w:link w:val="860"/>
    <w:qFormat/>
    <w:rPr>
      <w:rFonts w:ascii="宋体" w:hAnsi="Times New Roman" w:eastAsia="宋体" w:cs="Times New Roman"/>
      <w:color w:val="000000"/>
      <w:sz w:val="28"/>
      <w:szCs w:val="28"/>
    </w:rPr>
  </w:style>
  <w:style w:type="character" w:styleId="929" w:customStyle="1">
    <w:name w:val="标题 6 字符"/>
    <w:basedOn w:val="865"/>
    <w:link w:val="861"/>
    <w:qFormat/>
    <w:rPr>
      <w:rFonts w:ascii="Arial" w:hAnsi="Arial" w:eastAsia="黑体" w:cs="Times New Roman"/>
      <w:b/>
      <w:bCs/>
      <w:sz w:val="24"/>
      <w:szCs w:val="24"/>
    </w:rPr>
  </w:style>
  <w:style w:type="character" w:styleId="930" w:customStyle="1">
    <w:name w:val="标题 7 字符"/>
    <w:basedOn w:val="865"/>
    <w:link w:val="862"/>
    <w:qFormat/>
    <w:rPr>
      <w:rFonts w:ascii="Times New Roman" w:hAnsi="Times New Roman" w:eastAsia="宋体" w:cs="Times New Roman"/>
      <w:b/>
      <w:bCs/>
      <w:sz w:val="24"/>
      <w:szCs w:val="24"/>
    </w:rPr>
  </w:style>
  <w:style w:type="character" w:styleId="931" w:customStyle="1">
    <w:name w:val="标题 8 字符"/>
    <w:basedOn w:val="865"/>
    <w:link w:val="863"/>
    <w:qFormat/>
    <w:rPr>
      <w:rFonts w:ascii="Arial" w:hAnsi="Arial" w:eastAsia="黑体" w:cs="Times New Roman"/>
      <w:sz w:val="24"/>
      <w:szCs w:val="24"/>
    </w:rPr>
  </w:style>
  <w:style w:type="character" w:styleId="932" w:customStyle="1">
    <w:name w:val="标题 9 字符"/>
    <w:basedOn w:val="865"/>
    <w:link w:val="864"/>
    <w:qFormat/>
    <w:rPr>
      <w:rFonts w:ascii="Arial" w:hAnsi="Arial" w:eastAsia="黑体" w:cs="Times New Roman"/>
      <w:szCs w:val="21"/>
    </w:rPr>
  </w:style>
  <w:style w:type="character" w:styleId="933" w:customStyle="1">
    <w:name w:val="标题 1 字符1"/>
    <w:link w:val="856"/>
    <w:uiPriority w:val="9"/>
    <w:qFormat/>
    <w:rPr>
      <w:rFonts w:ascii="楷体_GB2312" w:hAnsi="Times New Roman" w:eastAsia="楷体_GB2312" w:cs="Times New Roman"/>
      <w:sz w:val="28"/>
      <w:szCs w:val="28"/>
    </w:rPr>
  </w:style>
  <w:style w:type="character" w:styleId="934" w:customStyle="1">
    <w:name w:val="标题 2 字符3"/>
    <w:link w:val="857"/>
    <w:qFormat/>
    <w:rPr>
      <w:rFonts w:ascii="Arial" w:hAnsi="Arial" w:eastAsia="幼圆" w:cs="Arial"/>
      <w:b/>
      <w:bCs/>
      <w:sz w:val="44"/>
      <w:szCs w:val="44"/>
    </w:rPr>
  </w:style>
  <w:style w:type="character" w:styleId="935" w:customStyle="1">
    <w:name w:val="正文缩进 字符1"/>
    <w:link w:val="868"/>
    <w:qFormat/>
    <w:rPr>
      <w:rFonts w:ascii="Calibri" w:hAnsi="Calibri" w:eastAsia="宋体" w:cs="Times New Roman"/>
      <w:szCs w:val="21"/>
    </w:rPr>
  </w:style>
  <w:style w:type="character" w:styleId="936" w:customStyle="1">
    <w:name w:val="文档结构图 字符"/>
    <w:basedOn w:val="865"/>
    <w:link w:val="873"/>
    <w:semiHidden/>
    <w:qFormat/>
    <w:rPr>
      <w:rFonts w:ascii="Times New Roman" w:hAnsi="Times New Roman" w:eastAsia="宋体" w:cs="Times New Roman"/>
      <w:szCs w:val="21"/>
      <w:shd w:val="clear" w:color="auto" w:fill="000080"/>
    </w:rPr>
  </w:style>
  <w:style w:type="character" w:styleId="937" w:customStyle="1">
    <w:name w:val="批注文字 字符"/>
    <w:basedOn w:val="865"/>
    <w:qFormat/>
  </w:style>
  <w:style w:type="character" w:styleId="938" w:customStyle="1">
    <w:name w:val="批注文字 字符2"/>
    <w:link w:val="874"/>
    <w:qFormat/>
    <w:rPr>
      <w:rFonts w:ascii="Calibri" w:hAnsi="Calibri" w:eastAsia="宋体" w:cs="Times New Roman"/>
    </w:rPr>
  </w:style>
  <w:style w:type="character" w:styleId="939" w:customStyle="1">
    <w:name w:val="正文文本 3 字符"/>
    <w:basedOn w:val="865"/>
    <w:link w:val="876"/>
    <w:qFormat/>
    <w:rPr>
      <w:rFonts w:ascii="仿宋_GB2312" w:hAnsi="Arial" w:eastAsia="仿宋_GB2312" w:cs="Times New Roman"/>
      <w:sz w:val="32"/>
      <w:szCs w:val="32"/>
    </w:rPr>
  </w:style>
  <w:style w:type="character" w:styleId="940" w:customStyle="1">
    <w:name w:val="正文文本 字符"/>
    <w:basedOn w:val="865"/>
    <w:qFormat/>
  </w:style>
  <w:style w:type="character" w:styleId="941" w:customStyle="1">
    <w:name w:val="正文文本 字符3"/>
    <w:link w:val="877"/>
    <w:qFormat/>
    <w:rPr>
      <w:rFonts w:ascii="楷体_GB2312" w:hAnsi="Arial" w:eastAsia="楷体_GB2312" w:cs="Times New Roman"/>
      <w:sz w:val="28"/>
      <w:szCs w:val="28"/>
    </w:rPr>
  </w:style>
  <w:style w:type="character" w:styleId="942" w:customStyle="1">
    <w:name w:val="正文文本缩进 字符"/>
    <w:basedOn w:val="865"/>
    <w:qFormat/>
  </w:style>
  <w:style w:type="character" w:styleId="943" w:customStyle="1">
    <w:name w:val="正文文本缩进 字符1"/>
    <w:link w:val="878"/>
    <w:qFormat/>
    <w:rPr>
      <w:rFonts w:ascii="Calibri" w:hAnsi="Calibri" w:eastAsia="宋体" w:cs="Times New Roman"/>
    </w:rPr>
  </w:style>
  <w:style w:type="character" w:styleId="944" w:customStyle="1">
    <w:name w:val="纯文本 字符"/>
    <w:basedOn w:val="865"/>
    <w:qFormat/>
    <w:rPr>
      <w:rFonts w:hAnsi="Courier New" w:cs="Courier New" w:asciiTheme="minorEastAsia"/>
    </w:rPr>
  </w:style>
  <w:style w:type="character" w:styleId="945" w:customStyle="1">
    <w:name w:val="纯文本 字符2"/>
    <w:link w:val="884"/>
    <w:qFormat/>
    <w:rPr>
      <w:rFonts w:ascii="宋体" w:hAnsi="Courier New" w:eastAsia="宋体" w:cs="Courier New"/>
      <w:szCs w:val="21"/>
    </w:rPr>
  </w:style>
  <w:style w:type="character" w:styleId="946" w:customStyle="1">
    <w:name w:val="日期 字符"/>
    <w:basedOn w:val="865"/>
    <w:qFormat/>
  </w:style>
  <w:style w:type="character" w:styleId="947" w:customStyle="1">
    <w:name w:val="日期 字符2"/>
    <w:link w:val="887"/>
    <w:qFormat/>
    <w:rPr>
      <w:rFonts w:ascii="Times New Roman" w:hAnsi="Times New Roman" w:eastAsia="宋体" w:cs="Times New Roman"/>
      <w:sz w:val="24"/>
      <w:szCs w:val="24"/>
    </w:rPr>
  </w:style>
  <w:style w:type="character" w:styleId="948" w:customStyle="1">
    <w:name w:val="正文文本缩进 2 字符"/>
    <w:basedOn w:val="865"/>
    <w:link w:val="888"/>
    <w:qFormat/>
    <w:rPr>
      <w:rFonts w:ascii="Arial" w:hAnsi="Arial" w:eastAsia="仿宋_GB2312" w:cs="Arial"/>
      <w:sz w:val="32"/>
      <w:szCs w:val="32"/>
    </w:rPr>
  </w:style>
  <w:style w:type="character" w:styleId="949" w:customStyle="1">
    <w:name w:val="批注框文本 字符"/>
    <w:basedOn w:val="865"/>
    <w:qFormat/>
    <w:rPr>
      <w:sz w:val="18"/>
      <w:szCs w:val="18"/>
    </w:rPr>
  </w:style>
  <w:style w:type="character" w:styleId="950" w:customStyle="1">
    <w:name w:val="批注框文本 字符1"/>
    <w:link w:val="889"/>
    <w:qFormat/>
    <w:rPr>
      <w:rFonts w:ascii="Times New Roman" w:hAnsi="Times New Roman" w:eastAsia="宋体" w:cs="Times New Roman"/>
      <w:sz w:val="18"/>
      <w:szCs w:val="18"/>
    </w:rPr>
  </w:style>
  <w:style w:type="character" w:styleId="951" w:customStyle="1">
    <w:name w:val="签名 字符"/>
    <w:basedOn w:val="865"/>
    <w:qFormat/>
  </w:style>
  <w:style w:type="character" w:styleId="952" w:customStyle="1">
    <w:name w:val="签名 字符1"/>
    <w:link w:val="893"/>
    <w:qFormat/>
    <w:rPr>
      <w:rFonts w:ascii="Times New Roman" w:hAnsi="Times New Roman" w:eastAsia="仿宋_GB2312" w:cs="Times New Roman"/>
      <w:sz w:val="24"/>
      <w:szCs w:val="20"/>
    </w:rPr>
  </w:style>
  <w:style w:type="character" w:styleId="953" w:customStyle="1">
    <w:name w:val="脚注文本 字符"/>
    <w:basedOn w:val="865"/>
    <w:link w:val="899"/>
    <w:qFormat/>
    <w:rPr>
      <w:rFonts w:ascii="Times New Roman" w:hAnsi="Times New Roman" w:eastAsia="宋体" w:cs="Times New Roman"/>
      <w:sz w:val="18"/>
      <w:szCs w:val="18"/>
    </w:rPr>
  </w:style>
  <w:style w:type="character" w:styleId="954" w:customStyle="1">
    <w:name w:val="正文文本缩进 3 字符"/>
    <w:basedOn w:val="865"/>
    <w:link w:val="901"/>
    <w:qFormat/>
    <w:rPr>
      <w:rFonts w:ascii="Arial" w:hAnsi="Arial" w:eastAsia="仿宋_GB2312" w:cs="Arial"/>
      <w:color w:val="ffff00"/>
      <w:sz w:val="32"/>
      <w:szCs w:val="32"/>
    </w:rPr>
  </w:style>
  <w:style w:type="character" w:styleId="955" w:customStyle="1">
    <w:name w:val="正文文本 2 字符"/>
    <w:basedOn w:val="865"/>
    <w:link w:val="907"/>
    <w:qFormat/>
    <w:rPr>
      <w:rFonts w:ascii="楷体_GB2312" w:hAnsi="Times New Roman" w:eastAsia="楷体_GB2312" w:cs="Times New Roman"/>
      <w:sz w:val="28"/>
      <w:szCs w:val="28"/>
    </w:rPr>
  </w:style>
  <w:style w:type="character" w:styleId="956" w:customStyle="1">
    <w:name w:val="HTML 预设格式 字符"/>
    <w:basedOn w:val="865"/>
    <w:link w:val="908"/>
    <w:qFormat/>
    <w:rPr>
      <w:rFonts w:ascii="Arial" w:hAnsi="Arial" w:eastAsia="宋体" w:cs="Times New Roman"/>
      <w:sz w:val="24"/>
      <w:szCs w:val="24"/>
    </w:rPr>
  </w:style>
  <w:style w:type="character" w:styleId="957" w:customStyle="1">
    <w:name w:val="批注主题 字符"/>
    <w:basedOn w:val="937"/>
    <w:qFormat/>
    <w:rPr>
      <w:b/>
      <w:bCs/>
    </w:rPr>
  </w:style>
  <w:style w:type="character" w:styleId="958" w:customStyle="1">
    <w:name w:val="批注主题 字符1"/>
    <w:link w:val="911"/>
    <w:qFormat/>
    <w:rPr>
      <w:rFonts w:ascii="Times New Roman" w:hAnsi="Times New Roman" w:eastAsia="宋体" w:cs="Times New Roman"/>
      <w:b/>
      <w:bCs/>
      <w:szCs w:val="21"/>
    </w:rPr>
  </w:style>
  <w:style w:type="character" w:styleId="959" w:customStyle="1">
    <w:name w:val="正文首行缩进 字符"/>
    <w:basedOn w:val="940"/>
    <w:link w:val="912"/>
    <w:qFormat/>
    <w:rPr>
      <w:rFonts w:ascii="仿宋_GB2312" w:hAnsi="Times New Roman" w:eastAsia="仿宋_GB2312" w:cs="Times New Roman"/>
      <w:sz w:val="30"/>
      <w:szCs w:val="30"/>
    </w:rPr>
  </w:style>
  <w:style w:type="character" w:styleId="960" w:customStyle="1">
    <w:name w:val="正文首行缩进 2 字符"/>
    <w:basedOn w:val="942"/>
    <w:link w:val="913"/>
    <w:qFormat/>
    <w:rPr>
      <w:rFonts w:ascii="宋体" w:hAnsi="宋体" w:eastAsia="宋体" w:cs="Times New Roman"/>
      <w:szCs w:val="20"/>
    </w:rPr>
  </w:style>
  <w:style w:type="character" w:styleId="961" w:customStyle="1">
    <w:name w:val="font5 Char"/>
    <w:qFormat/>
    <w:rPr>
      <w:rFonts w:ascii="宋体" w:hAnsi="宋体" w:eastAsia="宋体"/>
      <w:sz w:val="28"/>
      <w:szCs w:val="28"/>
      <w:lang w:val="en-US" w:eastAsia="zh-CN" w:bidi="ar-SA"/>
    </w:rPr>
  </w:style>
  <w:style w:type="character" w:styleId="962" w:customStyle="1">
    <w:name w:val="二级目录 Char"/>
    <w:link w:val="963"/>
    <w:qFormat/>
    <w:rPr>
      <w:b/>
      <w:sz w:val="30"/>
      <w:szCs w:val="28"/>
    </w:rPr>
  </w:style>
  <w:style w:type="paragraph" w:styleId="963" w:customStyle="1">
    <w:name w:val="二级目录"/>
    <w:next w:val="855"/>
    <w:link w:val="962"/>
    <w:qFormat/>
    <w:pPr>
      <w:numPr>
        <w:numId w:val="2"/>
      </w:numPr>
      <w:tabs>
        <w:tab w:val="left" w:pos="1145" w:leader="none"/>
      </w:tabs>
      <w:outlineLvl w:val="1"/>
    </w:pPr>
    <w:rPr>
      <w:b/>
      <w:sz w:val="30"/>
      <w:szCs w:val="28"/>
    </w:rPr>
  </w:style>
  <w:style w:type="character" w:styleId="964" w:customStyle="1">
    <w:name w:val="列出段落 Char"/>
    <w:link w:val="965"/>
    <w:qFormat/>
    <w:rPr>
      <w:rFonts w:ascii="Calibri" w:hAnsi="Calibri"/>
      <w:sz w:val="24"/>
      <w:szCs w:val="24"/>
      <w:lang w:eastAsia="en-US" w:bidi="en-US"/>
    </w:rPr>
  </w:style>
  <w:style w:type="paragraph" w:styleId="965" w:customStyle="1">
    <w:name w:val="列出段落1"/>
    <w:basedOn w:val="855"/>
    <w:link w:val="964"/>
    <w:qFormat/>
    <w:pPr>
      <w:contextualSpacing/>
      <w:ind w:left="720"/>
      <w:jc w:val="left"/>
      <w:widowControl/>
    </w:pPr>
    <w:rPr>
      <w:rFonts w:ascii="Calibri" w:hAnsi="Calibri"/>
      <w:sz w:val="24"/>
      <w:szCs w:val="24"/>
      <w:lang w:eastAsia="en-US" w:bidi="en-US"/>
    </w:rPr>
  </w:style>
  <w:style w:type="paragraph" w:styleId="966" w:customStyle="1">
    <w:name w:val="Body Text(ch)"/>
    <w:basedOn w:val="855"/>
    <w:next w:val="877"/>
    <w:qFormat/>
    <w:pPr>
      <w:spacing w:after="120"/>
    </w:pPr>
    <w:rPr>
      <w:rFonts w:ascii="宋体" w:hAnsi="Arial" w:eastAsia="宋体" w:cs="Times New Roman"/>
      <w:bCs/>
      <w:iCs/>
      <w:szCs w:val="24"/>
    </w:rPr>
  </w:style>
  <w:style w:type="paragraph" w:styleId="967" w:customStyle="1">
    <w:name w:val="xl27"/>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8" w:customStyle="1">
    <w:name w:val="xl26"/>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9" w:customStyle="1">
    <w:name w:val="Char"/>
    <w:basedOn w:val="855"/>
    <w:qFormat/>
    <w:pPr>
      <w:ind w:firstLine="200"/>
      <w:tabs>
        <w:tab w:val="left" w:pos="360" w:leader="none"/>
      </w:tabs>
    </w:pPr>
    <w:rPr>
      <w:rFonts w:ascii="Times New Roman" w:hAnsi="Times New Roman" w:eastAsia="宋体" w:cs="Times New Roman"/>
      <w:sz w:val="28"/>
      <w:szCs w:val="30"/>
    </w:rPr>
  </w:style>
  <w:style w:type="paragraph" w:styleId="970" w:customStyle="1">
    <w:name w:val="普通正文"/>
    <w:basedOn w:val="855"/>
    <w:link w:val="971"/>
    <w:qFormat/>
    <w:pPr>
      <w:ind w:firstLine="480"/>
      <w:jc w:val="left"/>
      <w:spacing w:before="120" w:after="120" w:line="360" w:lineRule="auto"/>
    </w:pPr>
    <w:rPr>
      <w:rFonts w:ascii="Arial" w:hAnsi="Arial" w:eastAsia="宋体" w:cs="Times New Roman"/>
      <w:sz w:val="24"/>
      <w:szCs w:val="24"/>
    </w:rPr>
  </w:style>
  <w:style w:type="character" w:styleId="971" w:customStyle="1">
    <w:name w:val="普通正文 Char"/>
    <w:link w:val="970"/>
    <w:qFormat/>
    <w:rPr>
      <w:rFonts w:ascii="Arial" w:hAnsi="Arial" w:eastAsia="宋体" w:cs="Times New Roman"/>
      <w:sz w:val="24"/>
      <w:szCs w:val="24"/>
    </w:rPr>
  </w:style>
  <w:style w:type="paragraph" w:styleId="972" w:customStyle="1">
    <w:name w:val="table_lines"/>
    <w:basedOn w:val="855"/>
    <w:qFormat/>
    <w:pPr>
      <w:jc w:val="left"/>
      <w:widowControl/>
    </w:pPr>
    <w:rPr>
      <w:rFonts w:ascii="Times New Roman" w:hAnsi="Times New Roman" w:eastAsia="宋体" w:cs="Times New Roman"/>
      <w:sz w:val="20"/>
      <w:szCs w:val="20"/>
      <w:lang w:val="de-DE" w:eastAsia="de-DE"/>
    </w:rPr>
  </w:style>
  <w:style w:type="paragraph" w:styleId="973"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4" w:customStyle="1">
    <w:name w:val="font7"/>
    <w:basedOn w:val="855"/>
    <w:qFormat/>
    <w:pPr>
      <w:jc w:val="left"/>
      <w:spacing w:before="100" w:beforeAutospacing="1" w:after="100" w:afterAutospacing="1"/>
      <w:widowControl/>
    </w:pPr>
    <w:rPr>
      <w:rFonts w:hint="eastAsia" w:ascii="宋体" w:hAnsi="宋体" w:eastAsia="宋体" w:cs="Times New Roman"/>
      <w:sz w:val="18"/>
      <w:szCs w:val="18"/>
    </w:rPr>
  </w:style>
  <w:style w:type="paragraph" w:styleId="975" w:customStyle="1">
    <w:name w:val="Char Char Char Char"/>
    <w:basedOn w:val="873"/>
    <w:qFormat/>
    <w:pPr>
      <w:spacing w:line="360" w:lineRule="auto"/>
    </w:pPr>
    <w:rPr>
      <w:rFonts w:ascii="Tahoma" w:hAnsi="Tahoma"/>
      <w:sz w:val="24"/>
      <w:szCs w:val="24"/>
    </w:rPr>
  </w:style>
  <w:style w:type="paragraph" w:styleId="976">
    <w:name w:val="List Paragraph"/>
    <w:basedOn w:val="855"/>
    <w:link w:val="977"/>
    <w:uiPriority w:val="34"/>
    <w:qFormat/>
    <w:pPr>
      <w:contextualSpacing/>
      <w:ind w:left="720"/>
      <w:jc w:val="left"/>
      <w:widowControl/>
    </w:pPr>
    <w:rPr>
      <w:rFonts w:ascii="Calibri" w:hAnsi="Calibri" w:eastAsia="宋体" w:cs="Times New Roman"/>
      <w:sz w:val="24"/>
      <w:szCs w:val="24"/>
      <w:lang w:eastAsia="en-US" w:bidi="en-US"/>
    </w:rPr>
  </w:style>
  <w:style w:type="character" w:styleId="977" w:customStyle="1">
    <w:name w:val="列出段落 字符"/>
    <w:link w:val="976"/>
    <w:uiPriority w:val="34"/>
    <w:qFormat/>
    <w:rPr>
      <w:rFonts w:ascii="Calibri" w:hAnsi="Calibri" w:eastAsia="宋体" w:cs="Times New Roman"/>
      <w:sz w:val="24"/>
      <w:szCs w:val="24"/>
      <w:lang w:eastAsia="en-US" w:bidi="en-US"/>
    </w:rPr>
  </w:style>
  <w:style w:type="paragraph" w:styleId="978" w:customStyle="1">
    <w:name w:val="4"/>
    <w:basedOn w:val="855"/>
    <w:next w:val="901"/>
    <w:qFormat/>
    <w:pPr>
      <w:ind w:firstLine="420"/>
      <w:spacing w:line="360" w:lineRule="auto"/>
    </w:pPr>
    <w:rPr>
      <w:rFonts w:ascii="Times New Roman" w:hAnsi="Times New Roman" w:eastAsia="宋体" w:cs="Times New Roman"/>
      <w:color w:val="ff0000"/>
      <w:sz w:val="24"/>
      <w:szCs w:val="24"/>
    </w:rPr>
  </w:style>
  <w:style w:type="paragraph" w:styleId="979" w:customStyle="1">
    <w:name w:val="普通 (Web)"/>
    <w:basedOn w:val="855"/>
    <w:qFormat/>
    <w:pPr>
      <w:jc w:val="left"/>
      <w:spacing w:before="100" w:beforeAutospacing="1" w:after="100" w:afterAutospacing="1"/>
      <w:widowControl/>
    </w:pPr>
    <w:rPr>
      <w:rFonts w:ascii="宋体" w:hAnsi="宋体" w:eastAsia="宋体" w:cs="Times New Roman"/>
      <w:sz w:val="24"/>
      <w:szCs w:val="24"/>
    </w:rPr>
  </w:style>
  <w:style w:type="paragraph" w:styleId="980" w:customStyle="1">
    <w:name w:val="Char Char Char Char Char Char Char Char Char Char"/>
    <w:basedOn w:val="855"/>
    <w:qFormat/>
    <w:pPr>
      <w:spacing w:line="360" w:lineRule="auto"/>
    </w:pPr>
    <w:rPr>
      <w:rFonts w:ascii="Times New Roman" w:hAnsi="Times New Roman" w:eastAsia="宋体" w:cs="Times New Roman"/>
      <w:sz w:val="24"/>
      <w:szCs w:val="20"/>
    </w:rPr>
  </w:style>
  <w:style w:type="paragraph" w:styleId="981" w:customStyle="1">
    <w:name w:val="样式1"/>
    <w:basedOn w:val="855"/>
    <w:qFormat/>
    <w:pPr>
      <w:numPr>
        <w:numId w:val="3"/>
      </w:numPr>
    </w:pPr>
    <w:rPr>
      <w:rFonts w:ascii="宋体" w:hAnsi="宋体" w:eastAsia="宋体" w:cs="Times New Roman"/>
      <w:szCs w:val="21"/>
    </w:rPr>
  </w:style>
  <w:style w:type="paragraph" w:styleId="982" w:customStyle="1">
    <w:name w:val="font6"/>
    <w:basedOn w:val="855"/>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3" w:customStyle="1">
    <w:name w:val="xl25"/>
    <w:basedOn w:val="85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855"/>
    <w:next w:val="855"/>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5" w:customStyle="1">
    <w:name w:val="标题3"/>
    <w:basedOn w:val="855"/>
    <w:next w:val="855"/>
    <w:qFormat/>
    <w:pPr>
      <w:ind w:firstLine="624"/>
      <w:spacing w:line="590" w:lineRule="atLeast"/>
    </w:pPr>
    <w:rPr>
      <w:rFonts w:ascii="方正黑体_GBK" w:hAnsi="Times New Roman" w:eastAsia="方正黑体_GBK" w:cs="Times New Roman"/>
      <w:sz w:val="32"/>
      <w:szCs w:val="32"/>
    </w:rPr>
  </w:style>
  <w:style w:type="paragraph" w:styleId="986" w:customStyle="1">
    <w:name w:val="xl24"/>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7" w:customStyle="1">
    <w:name w:val="xl29"/>
    <w:basedOn w:val="855"/>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8" w:customStyle="1">
    <w:name w:val="Char Char Char Char Char Char Char Char"/>
    <w:basedOn w:val="855"/>
    <w:qFormat/>
    <w:pPr>
      <w:jc w:val="left"/>
      <w:spacing w:after="160" w:line="240" w:lineRule="exact"/>
      <w:widowControl/>
    </w:pPr>
    <w:rPr>
      <w:rFonts w:ascii="Verdana" w:hAnsi="Verdana" w:eastAsia="宋体" w:cs="Times New Roman"/>
      <w:sz w:val="20"/>
      <w:szCs w:val="20"/>
      <w:lang w:eastAsia="en-US"/>
    </w:rPr>
  </w:style>
  <w:style w:type="paragraph" w:styleId="989" w:customStyle="1">
    <w:name w:val="xl28"/>
    <w:basedOn w:val="855"/>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0" w:customStyle="1">
    <w:name w:val="xl30"/>
    <w:basedOn w:val="855"/>
    <w:qFormat/>
    <w:pPr>
      <w:jc w:val="center"/>
      <w:spacing w:before="100" w:beforeAutospacing="1" w:after="100" w:afterAutospacing="1"/>
      <w:widowControl/>
    </w:pPr>
    <w:rPr>
      <w:rFonts w:ascii="宋体" w:hAnsi="宋体" w:eastAsia="宋体" w:cs="Times New Roman"/>
      <w:b/>
      <w:bCs/>
      <w:sz w:val="36"/>
      <w:szCs w:val="36"/>
    </w:rPr>
  </w:style>
  <w:style w:type="paragraph" w:styleId="991" w:customStyle="1">
    <w:name w:val="table_1stline"/>
    <w:basedOn w:val="855"/>
    <w:qFormat/>
    <w:pPr>
      <w:jc w:val="left"/>
      <w:spacing w:before="120"/>
      <w:widowControl/>
    </w:pPr>
    <w:rPr>
      <w:rFonts w:ascii="Times New Roman" w:hAnsi="Times New Roman" w:eastAsia="宋体" w:cs="Times New Roman"/>
      <w:bCs/>
      <w:sz w:val="20"/>
      <w:szCs w:val="20"/>
      <w:lang w:val="de-DE" w:eastAsia="de-DE"/>
    </w:rPr>
  </w:style>
  <w:style w:type="paragraph" w:styleId="992" w:customStyle="1">
    <w:name w:val="font5"/>
    <w:basedOn w:val="855"/>
    <w:qFormat/>
    <w:pPr>
      <w:jc w:val="left"/>
      <w:spacing w:before="100" w:beforeAutospacing="1" w:after="100" w:afterAutospacing="1"/>
      <w:widowControl/>
    </w:pPr>
    <w:rPr>
      <w:rFonts w:hint="eastAsia" w:ascii="宋体" w:hAnsi="宋体" w:eastAsia="宋体" w:cs="Times New Roman"/>
      <w:sz w:val="28"/>
      <w:szCs w:val="28"/>
    </w:rPr>
  </w:style>
  <w:style w:type="paragraph" w:styleId="993" w:customStyle="1">
    <w:name w:val="标题1"/>
    <w:basedOn w:val="855"/>
    <w:next w:val="855"/>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customStyle="1">
    <w:name w:val="修订1"/>
    <w:uiPriority w:val="99"/>
    <w:semiHidden/>
    <w:qFormat/>
    <w:rPr>
      <w:rFonts w:ascii="Times New Roman" w:hAnsi="Times New Roman" w:eastAsia="宋体" w:cs="Times New Roman"/>
      <w:sz w:val="21"/>
      <w:szCs w:val="21"/>
    </w:rPr>
  </w:style>
  <w:style w:type="paragraph" w:styleId="995">
    <w:name w:val="No Spacing"/>
    <w:uiPriority w:val="99"/>
    <w:qFormat/>
    <w:pPr>
      <w:jc w:val="both"/>
      <w:widowControl w:val="off"/>
    </w:pPr>
    <w:rPr>
      <w:rFonts w:ascii="Times New Roman" w:hAnsi="Times New Roman" w:eastAsia="宋体" w:cs="Times New Roman"/>
      <w:sz w:val="21"/>
      <w:szCs w:val="21"/>
    </w:rPr>
  </w:style>
  <w:style w:type="character" w:styleId="996" w:customStyle="1">
    <w:name w:val="标题 2 字符2"/>
    <w:qFormat/>
    <w:rPr>
      <w:rFonts w:eastAsia="楷体_GB2312"/>
      <w:b/>
      <w:bCs/>
      <w:sz w:val="28"/>
      <w:szCs w:val="28"/>
    </w:rPr>
  </w:style>
  <w:style w:type="character" w:styleId="997" w:customStyle="1">
    <w:name w:val="正文缩进 字符"/>
    <w:qFormat/>
    <w:rPr>
      <w:sz w:val="21"/>
    </w:rPr>
  </w:style>
  <w:style w:type="character" w:styleId="998" w:customStyle="1">
    <w:name w:val="批注文字 字符1"/>
    <w:qFormat/>
    <w:rPr>
      <w:sz w:val="21"/>
    </w:rPr>
  </w:style>
  <w:style w:type="character" w:styleId="999" w:customStyle="1">
    <w:name w:val="正文文本 字符2"/>
    <w:qFormat/>
    <w:rPr>
      <w:rFonts w:ascii="楷体_GB2312" w:hAnsi="Arial" w:eastAsia="楷体_GB2312"/>
      <w:sz w:val="28"/>
    </w:rPr>
  </w:style>
  <w:style w:type="character" w:styleId="1000" w:customStyle="1">
    <w:name w:val="日期 字符1"/>
    <w:qFormat/>
    <w:rPr>
      <w:rFonts w:ascii="宋体"/>
      <w:sz w:val="28"/>
    </w:rPr>
  </w:style>
  <w:style w:type="paragraph" w:styleId="1001" w:customStyle="1">
    <w:name w:val="Char Char Char"/>
    <w:basedOn w:val="855"/>
    <w:qFormat/>
    <w:pPr>
      <w:numPr>
        <w:numId w:val="4"/>
      </w:numPr>
      <w:tabs>
        <w:tab w:val="left" w:pos="1545" w:leader="none"/>
      </w:tabs>
    </w:pPr>
    <w:rPr>
      <w:rFonts w:ascii="Times New Roman" w:hAnsi="Times New Roman" w:eastAsia="宋体" w:cs="Times New Roman"/>
      <w:szCs w:val="20"/>
    </w:rPr>
  </w:style>
  <w:style w:type="paragraph" w:styleId="1002" w:customStyle="1">
    <w:name w:val="Plain Text1"/>
    <w:basedOn w:val="855"/>
    <w:qFormat/>
    <w:rPr>
      <w:rFonts w:ascii="宋体" w:hAnsi="Courier New" w:eastAsia="楷体_GB2312" w:cs="Times New Roman"/>
      <w:sz w:val="28"/>
      <w:szCs w:val="20"/>
    </w:rPr>
  </w:style>
  <w:style w:type="paragraph" w:styleId="1003" w:customStyle="1">
    <w:name w:val="Default"/>
    <w:qFormat/>
    <w:pPr>
      <w:widowControl w:val="off"/>
    </w:pPr>
    <w:rPr>
      <w:rFonts w:ascii="Times New Roman" w:hAnsi="Times New Roman" w:eastAsia="宋体" w:cs="Times New Roman"/>
      <w:color w:val="000000"/>
      <w:sz w:val="24"/>
      <w:szCs w:val="24"/>
    </w:rPr>
  </w:style>
  <w:style w:type="paragraph" w:styleId="1004" w:customStyle="1">
    <w:name w:val="Char1 Char Char Char"/>
    <w:basedOn w:val="855"/>
    <w:qFormat/>
    <w:rPr>
      <w:rFonts w:ascii="Tahoma" w:hAnsi="Tahoma" w:eastAsia="宋体" w:cs="Times New Roman"/>
      <w:sz w:val="24"/>
      <w:szCs w:val="20"/>
    </w:rPr>
  </w:style>
  <w:style w:type="paragraph" w:styleId="1005" w:customStyle="1">
    <w:name w:val="Char Char1 Char Char Char Char Char Char Char"/>
    <w:basedOn w:val="855"/>
    <w:qFormat/>
    <w:rPr>
      <w:rFonts w:ascii="Calibri Light" w:hAnsi="Calibri Light" w:eastAsia="宋体" w:cs="Berlin Sans FB Demi"/>
      <w:sz w:val="24"/>
      <w:szCs w:val="20"/>
    </w:rPr>
  </w:style>
  <w:style w:type="paragraph" w:styleId="1006" w:customStyle="1">
    <w:name w:val="Char Char"/>
    <w:basedOn w:val="855"/>
    <w:qFormat/>
    <w:rPr>
      <w:rFonts w:ascii="Times New Roman" w:hAnsi="Times New Roman" w:eastAsia="宋体" w:cs="Times New Roman"/>
      <w:szCs w:val="21"/>
    </w:rPr>
  </w:style>
  <w:style w:type="paragraph" w:styleId="1007" w:customStyle="1">
    <w:name w:val="_Style 12"/>
    <w:basedOn w:val="873"/>
    <w:qFormat/>
    <w:pPr>
      <w:jc w:val="left"/>
      <w:spacing w:line="360" w:lineRule="auto"/>
      <w:widowControl/>
    </w:pPr>
    <w:rPr>
      <w:sz w:val="24"/>
      <w:szCs w:val="24"/>
    </w:rPr>
  </w:style>
  <w:style w:type="character" w:styleId="1008" w:customStyle="1">
    <w:name w:val="正文缩进 Char1"/>
    <w:qFormat/>
    <w:rPr>
      <w:rFonts w:eastAsia="楷体_GB2312"/>
      <w:sz w:val="24"/>
    </w:rPr>
  </w:style>
  <w:style w:type="character" w:styleId="1009" w:customStyle="1">
    <w:name w:val="纯文本 字符1"/>
    <w:qFormat/>
    <w:rPr>
      <w:rFonts w:ascii="宋体" w:hAnsi="Courier New"/>
    </w:rPr>
  </w:style>
  <w:style w:type="character" w:styleId="1010" w:customStyle="1">
    <w:name w:val="未处理的提及1"/>
    <w:uiPriority w:val="99"/>
    <w:unhideWhenUsed/>
    <w:qFormat/>
    <w:rPr>
      <w:color w:val="605e5c"/>
      <w:shd w:val="clear" w:color="auto" w:fill="e1dfdd"/>
    </w:rPr>
  </w:style>
  <w:style w:type="character" w:styleId="1011" w:customStyle="1">
    <w:name w:val="正文文本 字符1"/>
    <w:qFormat/>
    <w:rPr>
      <w:rFonts w:ascii="楷体_GB2312" w:hAnsi="Arial" w:eastAsia="楷体_GB2312"/>
      <w:sz w:val="28"/>
    </w:rPr>
  </w:style>
  <w:style w:type="paragraph" w:styleId="1012" w:customStyle="1">
    <w:name w:val="正文1"/>
    <w:next w:val="855"/>
    <w:qFormat/>
    <w:pPr>
      <w:jc w:val="both"/>
      <w:widowControl w:val="off"/>
    </w:pPr>
    <w:rPr>
      <w:rFonts w:ascii="Times New Roman" w:hAnsi="Times New Roman" w:eastAsia="Times New Roman" w:cs="Times New Roman"/>
      <w:color w:val="000000"/>
      <w:sz w:val="21"/>
      <w:szCs w:val="21"/>
    </w:rPr>
  </w:style>
  <w:style w:type="paragraph" w:styleId="1013" w:customStyle="1">
    <w:name w:val="_正文段落"/>
    <w:basedOn w:val="855"/>
    <w:link w:val="1014"/>
    <w:qFormat/>
    <w:pPr>
      <w:ind w:firstLine="480"/>
      <w:spacing w:line="360" w:lineRule="auto"/>
    </w:pPr>
    <w:rPr>
      <w:rFonts w:ascii="宋体" w:hAnsi="宋体" w:eastAsia="宋体" w:cs="Times New Roman"/>
      <w:sz w:val="24"/>
      <w:szCs w:val="24"/>
    </w:rPr>
  </w:style>
  <w:style w:type="character" w:styleId="1014" w:customStyle="1">
    <w:name w:val="_正文段落 Char"/>
    <w:link w:val="1013"/>
    <w:qFormat/>
    <w:rPr>
      <w:rFonts w:ascii="宋体" w:hAnsi="宋体" w:eastAsia="宋体" w:cs="Times New Roman"/>
      <w:sz w:val="24"/>
      <w:szCs w:val="24"/>
    </w:rPr>
  </w:style>
  <w:style w:type="character" w:styleId="1015" w:customStyle="1">
    <w:name w:val="cf01"/>
    <w:qFormat/>
    <w:rPr>
      <w:rFonts w:hint="eastAsia" w:ascii="Microsoft YaHei UI" w:hAnsi="Microsoft YaHei UI" w:eastAsia="Microsoft YaHei UI"/>
      <w:b/>
      <w:bCs/>
      <w:sz w:val="18"/>
      <w:szCs w:val="18"/>
    </w:rPr>
  </w:style>
  <w:style w:type="character" w:styleId="1016" w:customStyle="1">
    <w:name w:val="标题 2 字符1"/>
    <w:qFormat/>
    <w:rPr>
      <w:rFonts w:eastAsia="楷体_GB2312"/>
      <w:b/>
      <w:bCs/>
      <w:sz w:val="28"/>
      <w:szCs w:val="28"/>
    </w:rPr>
  </w:style>
  <w:style w:type="paragraph" w:styleId="1017" w:customStyle="1">
    <w:name w:val="pf0"/>
    <w:basedOn w:val="855"/>
    <w:qFormat/>
    <w:pPr>
      <w:jc w:val="left"/>
      <w:spacing w:before="100" w:beforeAutospacing="1" w:after="100" w:afterAutospacing="1"/>
      <w:widowControl/>
    </w:pPr>
    <w:rPr>
      <w:rFonts w:ascii="宋体" w:hAnsi="宋体" w:eastAsia="宋体" w:cs="宋体"/>
      <w:sz w:val="24"/>
      <w:szCs w:val="24"/>
    </w:rPr>
  </w:style>
  <w:style w:type="character" w:styleId="1018" w:customStyle="1">
    <w:name w:val="cf11"/>
    <w:qFormat/>
    <w:rPr>
      <w:rFonts w:hint="eastAsia" w:ascii="Microsoft YaHei UI" w:hAnsi="Microsoft YaHei UI" w:eastAsia="Microsoft YaHei UI"/>
      <w:sz w:val="18"/>
      <w:szCs w:val="18"/>
    </w:rPr>
  </w:style>
  <w:style w:type="character" w:styleId="1019" w:customStyle="1">
    <w:name w:val="cf21"/>
    <w:qFormat/>
    <w:rPr>
      <w:rFonts w:hint="eastAsia" w:ascii="Microsoft YaHei UI" w:hAnsi="Microsoft YaHei UI" w:eastAsia="Microsoft YaHei UI"/>
      <w:b/>
      <w:bCs/>
      <w:sz w:val="18"/>
      <w:szCs w:val="18"/>
    </w:rPr>
  </w:style>
  <w:style w:type="paragraph" w:styleId="1020" w:customStyle="1">
    <w:name w:val="TOC 标题11"/>
    <w:basedOn w:val="856"/>
    <w:next w:val="855"/>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1" w:customStyle="1">
    <w:name w:val="TOC 标题1"/>
    <w:basedOn w:val="856"/>
    <w:next w:val="855"/>
    <w:uiPriority w:val="39"/>
    <w:qFormat/>
    <w:pPr>
      <w:jc w:val="left"/>
      <w:keepLines/>
      <w:spacing w:before="240" w:line="259" w:lineRule="auto"/>
      <w:widowControl/>
      <w:outlineLvl w:val="9"/>
    </w:pPr>
    <w:rPr>
      <w:rFonts w:ascii="Calibri Light" w:hAnsi="Calibri Light" w:eastAsia="宋体"/>
      <w:color w:val="2e74b5"/>
      <w:sz w:val="32"/>
      <w:szCs w:val="32"/>
    </w:rPr>
  </w:style>
  <w:style w:type="table" w:styleId="1022" w:customStyle="1">
    <w:name w:val="Table Grid"/>
    <w:qFormat/>
    <w:tblPr>
      <w:tblCellMar>
        <w:left w:w="0" w:type="dxa"/>
        <w:top w:w="0" w:type="dxa"/>
        <w:right w:w="0" w:type="dxa"/>
        <w:bottom w:w="0" w:type="dxa"/>
      </w:tblCellMar>
    </w:tblPr>
  </w:style>
  <w:style w:type="table" w:styleId="1023" w:customStyle="1">
    <w:name w:val="网格型1"/>
    <w:basedOn w:val="866"/>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4" w:customStyle="1">
    <w:name w:val="font11"/>
    <w:qFormat/>
    <w:rPr>
      <w:rFonts w:hint="eastAsia" w:ascii="宋体" w:hAnsi="宋体" w:eastAsia="宋体" w:cs="宋体"/>
      <w:color w:val="000000"/>
      <w:sz w:val="24"/>
      <w:szCs w:val="24"/>
      <w:u w:val="none"/>
    </w:rPr>
  </w:style>
  <w:style w:type="character" w:styleId="1025" w:customStyle="1">
    <w:name w:val="font21"/>
    <w:qFormat/>
    <w:rPr>
      <w:rFonts w:hint="eastAsia" w:ascii="宋体" w:hAnsi="宋体" w:eastAsia="宋体" w:cs="宋体"/>
      <w:color w:val="ff0000"/>
      <w:sz w:val="24"/>
      <w:szCs w:val="24"/>
      <w:u w:val="none"/>
    </w:rPr>
  </w:style>
  <w:style w:type="character" w:styleId="1026" w:customStyle="1">
    <w:name w:val="font31"/>
    <w:qFormat/>
    <w:rPr>
      <w:rFonts w:hint="eastAsia" w:ascii="宋体" w:hAnsi="宋体" w:eastAsia="宋体" w:cs="宋体"/>
      <w:color w:val="000000"/>
      <w:sz w:val="24"/>
      <w:szCs w:val="24"/>
      <w:u w:val="none"/>
    </w:rPr>
  </w:style>
  <w:style w:type="character" w:styleId="1027" w:customStyle="1">
    <w:name w:val="font41"/>
    <w:qFormat/>
    <w:rPr>
      <w:rFonts w:hint="eastAsia" w:ascii="宋体" w:hAnsi="宋体" w:eastAsia="宋体" w:cs="宋体"/>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13</cp:revision>
  <dcterms:created xsi:type="dcterms:W3CDTF">2026-04-17T03:35:00Z</dcterms:created>
  <dcterms:modified xsi:type="dcterms:W3CDTF">2026-05-07T09:02:24Z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eyJoZGlkIjoiYjM2MDlmMGUyNzFhMmI2OTBjZDZlMzcyYzE4MmUwOTkiLCJ1c2VySWQiOiIyNjk5NzkyMzkifQ==</vt:lpwstr>
  </property>
  <property fmtid="{D5CDD505-2E9C-101B-9397-08002B2CF9AE}" pid="3" name="KSOProductBuildVer">
    <vt:lpwstr>2052-12.1.0.25225</vt:lpwstr>
  </property>
  <property fmtid="{D5CDD505-2E9C-101B-9397-08002B2CF9AE}" pid="4" name="ICV">
    <vt:lpwstr>D6FB4D17AFD049DF8C0C4D1814545A7C_13</vt:lpwstr>
  </property>
</Properties>
</file>