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3F3E1">
      <w:pPr>
        <w:snapToGrid w:val="0"/>
        <w:spacing w:line="360" w:lineRule="auto"/>
        <w:jc w:val="center"/>
        <w:rPr>
          <w:rFonts w:ascii="仿宋_GB2312" w:hAnsi="宋体" w:eastAsia="仿宋_GB2312"/>
          <w:b/>
          <w:sz w:val="32"/>
          <w:szCs w:val="32"/>
        </w:rPr>
      </w:pPr>
      <w:r>
        <w:rPr>
          <w:rFonts w:hint="eastAsia" w:ascii="仿宋_GB2312" w:hAnsi="宋体" w:eastAsia="仿宋_GB2312"/>
          <w:b/>
          <w:sz w:val="32"/>
          <w:szCs w:val="32"/>
        </w:rPr>
        <w:t>工</w:t>
      </w:r>
      <w:r>
        <w:rPr>
          <w:rFonts w:hint="eastAsia" w:ascii="仿宋_GB2312" w:hAnsi="宋体" w:eastAsia="仿宋_GB2312"/>
          <w:b/>
          <w:sz w:val="32"/>
          <w:szCs w:val="32"/>
          <w:lang w:val="en-US" w:eastAsia="zh-CN"/>
        </w:rPr>
        <w:t xml:space="preserve"> </w:t>
      </w:r>
      <w:r>
        <w:rPr>
          <w:rFonts w:hint="eastAsia" w:ascii="仿宋_GB2312" w:hAnsi="宋体" w:eastAsia="仿宋_GB2312"/>
          <w:b/>
          <w:sz w:val="32"/>
          <w:szCs w:val="32"/>
        </w:rPr>
        <w:t xml:space="preserve"> 程 </w:t>
      </w:r>
      <w:r>
        <w:rPr>
          <w:rFonts w:hint="eastAsia" w:ascii="仿宋_GB2312" w:hAnsi="宋体" w:eastAsia="仿宋_GB2312"/>
          <w:b/>
          <w:sz w:val="32"/>
          <w:szCs w:val="32"/>
          <w:lang w:val="en-US" w:eastAsia="zh-CN"/>
        </w:rPr>
        <w:t xml:space="preserve"> </w:t>
      </w:r>
      <w:r>
        <w:rPr>
          <w:rFonts w:hint="eastAsia" w:ascii="仿宋_GB2312" w:hAnsi="宋体" w:eastAsia="仿宋_GB2312"/>
          <w:b/>
          <w:sz w:val="32"/>
          <w:szCs w:val="32"/>
        </w:rPr>
        <w:t xml:space="preserve">量 </w:t>
      </w:r>
      <w:r>
        <w:rPr>
          <w:rFonts w:hint="eastAsia" w:ascii="仿宋_GB2312" w:hAnsi="宋体" w:eastAsia="仿宋_GB2312"/>
          <w:b/>
          <w:sz w:val="32"/>
          <w:szCs w:val="32"/>
          <w:lang w:val="en-US" w:eastAsia="zh-CN"/>
        </w:rPr>
        <w:t xml:space="preserve"> </w:t>
      </w:r>
      <w:r>
        <w:rPr>
          <w:rFonts w:hint="eastAsia" w:ascii="仿宋_GB2312" w:hAnsi="宋体" w:eastAsia="仿宋_GB2312"/>
          <w:b/>
          <w:sz w:val="32"/>
          <w:szCs w:val="32"/>
        </w:rPr>
        <w:t>清</w:t>
      </w:r>
      <w:r>
        <w:rPr>
          <w:rFonts w:hint="eastAsia" w:ascii="仿宋_GB2312" w:hAnsi="宋体" w:eastAsia="仿宋_GB2312"/>
          <w:b/>
          <w:sz w:val="32"/>
          <w:szCs w:val="32"/>
          <w:lang w:val="en-US" w:eastAsia="zh-CN"/>
        </w:rPr>
        <w:t xml:space="preserve">  </w:t>
      </w:r>
      <w:r>
        <w:rPr>
          <w:rFonts w:hint="eastAsia" w:ascii="仿宋_GB2312" w:hAnsi="宋体" w:eastAsia="仿宋_GB2312"/>
          <w:b/>
          <w:sz w:val="32"/>
          <w:szCs w:val="32"/>
        </w:rPr>
        <w:t>单</w:t>
      </w:r>
      <w:r>
        <w:rPr>
          <w:rFonts w:hint="eastAsia" w:ascii="仿宋_GB2312" w:hAnsi="宋体" w:eastAsia="仿宋_GB2312"/>
          <w:b/>
          <w:sz w:val="32"/>
          <w:szCs w:val="32"/>
          <w:lang w:val="en-US" w:eastAsia="zh-CN"/>
        </w:rPr>
        <w:t xml:space="preserve">  </w:t>
      </w:r>
      <w:r>
        <w:rPr>
          <w:rFonts w:hint="eastAsia" w:ascii="仿宋_GB2312" w:hAnsi="宋体" w:eastAsia="仿宋_GB2312"/>
          <w:b/>
          <w:sz w:val="32"/>
          <w:szCs w:val="32"/>
        </w:rPr>
        <w:t>编</w:t>
      </w:r>
      <w:r>
        <w:rPr>
          <w:rFonts w:hint="eastAsia" w:ascii="仿宋_GB2312" w:hAnsi="宋体" w:eastAsia="仿宋_GB2312"/>
          <w:b/>
          <w:sz w:val="32"/>
          <w:szCs w:val="32"/>
          <w:lang w:val="en-US" w:eastAsia="zh-CN"/>
        </w:rPr>
        <w:t xml:space="preserve">  </w:t>
      </w:r>
      <w:r>
        <w:rPr>
          <w:rFonts w:hint="eastAsia" w:ascii="仿宋_GB2312" w:hAnsi="宋体" w:eastAsia="仿宋_GB2312"/>
          <w:b/>
          <w:sz w:val="32"/>
          <w:szCs w:val="32"/>
        </w:rPr>
        <w:t>制</w:t>
      </w:r>
      <w:r>
        <w:rPr>
          <w:rFonts w:hint="eastAsia" w:ascii="仿宋_GB2312" w:hAnsi="宋体" w:eastAsia="仿宋_GB2312"/>
          <w:b/>
          <w:sz w:val="32"/>
          <w:szCs w:val="32"/>
          <w:lang w:val="en-US" w:eastAsia="zh-CN"/>
        </w:rPr>
        <w:t xml:space="preserve">  </w:t>
      </w:r>
      <w:r>
        <w:rPr>
          <w:rFonts w:hint="eastAsia" w:ascii="仿宋_GB2312" w:hAnsi="宋体" w:eastAsia="仿宋_GB2312"/>
          <w:b/>
          <w:sz w:val="32"/>
          <w:szCs w:val="32"/>
        </w:rPr>
        <w:t>说  明</w:t>
      </w:r>
    </w:p>
    <w:p w14:paraId="2B7FBD28">
      <w:pPr>
        <w:snapToGrid w:val="0"/>
        <w:spacing w:line="360" w:lineRule="auto"/>
        <w:ind w:firstLine="240" w:firstLineChars="100"/>
        <w:jc w:val="left"/>
        <w:rPr>
          <w:rFonts w:hint="eastAsia" w:ascii="仿宋_GB2312" w:hAnsi="宋体" w:eastAsia="仿宋_GB2312"/>
          <w:sz w:val="24"/>
          <w:lang w:eastAsia="zh-CN"/>
        </w:rPr>
      </w:pPr>
      <w:r>
        <w:rPr>
          <w:rFonts w:hint="eastAsia" w:ascii="仿宋_GB2312" w:hAnsi="宋体" w:eastAsia="仿宋_GB2312"/>
          <w:sz w:val="24"/>
        </w:rPr>
        <w:t>工程名称：</w:t>
      </w:r>
      <w:r>
        <w:rPr>
          <w:rFonts w:hint="eastAsia" w:eastAsia="仿宋_GB2312"/>
          <w:sz w:val="22"/>
          <w:szCs w:val="22"/>
          <w:lang w:eastAsia="zh-CN"/>
        </w:rPr>
        <w:t>江苏省新康监狱（省局中心医院）康定楼医疗设施维修改造工程</w:t>
      </w:r>
    </w:p>
    <w:tbl>
      <w:tblPr>
        <w:tblStyle w:val="11"/>
        <w:tblW w:w="9374"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374"/>
      </w:tblGrid>
      <w:tr w14:paraId="65BD41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91" w:hRule="atLeast"/>
        </w:trPr>
        <w:tc>
          <w:tcPr>
            <w:tcW w:w="9374" w:type="dxa"/>
            <w:tcBorders>
              <w:top w:val="single" w:color="auto" w:sz="4" w:space="0"/>
              <w:left w:val="single" w:color="auto" w:sz="4" w:space="0"/>
              <w:bottom w:val="single" w:color="auto" w:sz="4" w:space="0"/>
              <w:right w:val="single" w:color="auto" w:sz="4" w:space="0"/>
            </w:tcBorders>
          </w:tcPr>
          <w:p w14:paraId="5E8866C5">
            <w:pPr>
              <w:tabs>
                <w:tab w:val="left" w:pos="0"/>
              </w:tabs>
              <w:spacing w:line="360" w:lineRule="auto"/>
              <w:ind w:firstLine="420" w:firstLineChars="175"/>
              <w:rPr>
                <w:rFonts w:ascii="仿宋_GB2312" w:hAnsi="宋体" w:eastAsia="仿宋_GB2312"/>
                <w:sz w:val="24"/>
              </w:rPr>
            </w:pPr>
            <w:r>
              <w:rPr>
                <w:rFonts w:hint="eastAsia" w:ascii="仿宋_GB2312" w:hAnsi="宋体" w:eastAsia="仿宋_GB2312"/>
                <w:sz w:val="24"/>
              </w:rPr>
              <w:t>一、工程概况：</w:t>
            </w:r>
          </w:p>
          <w:p w14:paraId="31DB7918">
            <w:pPr>
              <w:spacing w:line="360" w:lineRule="auto"/>
              <w:ind w:firstLine="600" w:firstLineChars="250"/>
              <w:rPr>
                <w:rFonts w:hint="eastAsia" w:ascii="仿宋_GB2312" w:hAnsi="宋体" w:eastAsia="仿宋_GB2312"/>
                <w:sz w:val="24"/>
              </w:rPr>
            </w:pPr>
            <w:r>
              <w:rPr>
                <w:rFonts w:hint="eastAsia" w:ascii="仿宋_GB2312" w:hAnsi="宋体" w:eastAsia="仿宋_GB2312"/>
                <w:sz w:val="24"/>
              </w:rPr>
              <w:t>1、建设规模：</w:t>
            </w:r>
          </w:p>
          <w:p w14:paraId="5663C279">
            <w:pPr>
              <w:spacing w:line="360" w:lineRule="auto"/>
              <w:ind w:firstLine="600" w:firstLineChars="250"/>
              <w:rPr>
                <w:rFonts w:hint="eastAsia" w:ascii="仿宋_GB2312" w:hAnsi="宋体" w:eastAsia="仿宋_GB2312"/>
                <w:sz w:val="24"/>
              </w:rPr>
            </w:pPr>
            <w:r>
              <w:rPr>
                <w:rFonts w:hint="eastAsia" w:ascii="仿宋_GB2312" w:hAnsi="宋体" w:eastAsia="仿宋_GB2312"/>
                <w:sz w:val="24"/>
              </w:rPr>
              <w:t>江苏省新康监狱（省局中心医院）康定楼医疗设施维修改造工程包含</w:t>
            </w:r>
            <w:r>
              <w:rPr>
                <w:rFonts w:hint="eastAsia" w:ascii="仿宋_GB2312" w:hAnsi="宋体" w:eastAsia="仿宋_GB2312"/>
                <w:sz w:val="24"/>
                <w:lang w:val="en-US" w:eastAsia="zh-CN"/>
              </w:rPr>
              <w:t>原大楼一层二层多功能厅、门厅、无障碍病房、特岗犯监室等房间，室外地面及坡道敷设，具体详见招标工程量清单</w:t>
            </w:r>
            <w:r>
              <w:rPr>
                <w:rFonts w:hint="eastAsia" w:ascii="仿宋_GB2312" w:hAnsi="宋体" w:eastAsia="仿宋_GB2312"/>
                <w:sz w:val="24"/>
              </w:rPr>
              <w:t>。</w:t>
            </w:r>
          </w:p>
          <w:p w14:paraId="4C287E43">
            <w:pPr>
              <w:spacing w:line="360" w:lineRule="auto"/>
              <w:ind w:firstLine="600" w:firstLineChars="250"/>
              <w:rPr>
                <w:rFonts w:hint="eastAsia" w:ascii="仿宋_GB2312" w:hAnsi="宋体" w:eastAsia="仿宋_GB2312"/>
                <w:sz w:val="24"/>
              </w:rPr>
            </w:pPr>
            <w:r>
              <w:rPr>
                <w:rFonts w:hint="eastAsia" w:ascii="仿宋_GB2312" w:hAnsi="宋体" w:eastAsia="仿宋_GB2312"/>
                <w:sz w:val="24"/>
              </w:rPr>
              <w:t>2、计划工期：详见招标文件。</w:t>
            </w:r>
          </w:p>
          <w:p w14:paraId="4880B62B">
            <w:pPr>
              <w:spacing w:line="360" w:lineRule="auto"/>
              <w:ind w:firstLine="600" w:firstLineChars="250"/>
              <w:rPr>
                <w:rFonts w:hint="eastAsia" w:ascii="仿宋_GB2312" w:hAnsi="宋体" w:eastAsia="仿宋_GB2312"/>
                <w:sz w:val="24"/>
              </w:rPr>
            </w:pPr>
            <w:r>
              <w:rPr>
                <w:rFonts w:hint="eastAsia" w:ascii="仿宋_GB2312" w:hAnsi="宋体" w:eastAsia="仿宋_GB2312"/>
                <w:sz w:val="24"/>
              </w:rPr>
              <w:t>3、施工现场实际情况：详见招标文件。</w:t>
            </w:r>
          </w:p>
          <w:p w14:paraId="0CD963B2">
            <w:pPr>
              <w:tabs>
                <w:tab w:val="left" w:pos="0"/>
              </w:tabs>
              <w:spacing w:line="360" w:lineRule="auto"/>
              <w:ind w:firstLine="480" w:firstLineChars="200"/>
              <w:rPr>
                <w:rFonts w:ascii="仿宋_GB2312" w:hAnsi="宋体" w:eastAsia="仿宋_GB2312"/>
                <w:sz w:val="24"/>
              </w:rPr>
            </w:pPr>
            <w:r>
              <w:rPr>
                <w:rFonts w:hint="eastAsia" w:ascii="仿宋_GB2312" w:hAnsi="宋体" w:eastAsia="仿宋_GB2312"/>
                <w:sz w:val="24"/>
              </w:rPr>
              <w:t>二、工程招标范围：</w:t>
            </w:r>
          </w:p>
          <w:p w14:paraId="721BA757">
            <w:pPr>
              <w:spacing w:line="360" w:lineRule="auto"/>
              <w:ind w:firstLine="480" w:firstLineChars="200"/>
              <w:rPr>
                <w:rFonts w:ascii="仿宋_GB2312" w:hAnsi="宋体" w:eastAsia="仿宋_GB2312"/>
                <w:sz w:val="24"/>
              </w:rPr>
            </w:pPr>
            <w:r>
              <w:rPr>
                <w:rFonts w:hint="eastAsia" w:ascii="仿宋_GB2312" w:hAnsi="宋体" w:eastAsia="仿宋_GB2312"/>
                <w:sz w:val="24"/>
                <w:lang w:val="en-US" w:eastAsia="zh-CN"/>
              </w:rPr>
              <w:t>原大楼一层二层装饰改造、电气及智能化工程、室外地面及坡道敷设、医用气体系统工程等</w:t>
            </w:r>
            <w:r>
              <w:rPr>
                <w:rFonts w:hint="eastAsia" w:ascii="仿宋_GB2312" w:hAnsi="宋体" w:eastAsia="仿宋_GB2312"/>
                <w:sz w:val="24"/>
              </w:rPr>
              <w:t>。</w:t>
            </w:r>
          </w:p>
          <w:p w14:paraId="41409EF1">
            <w:pPr>
              <w:tabs>
                <w:tab w:val="left" w:pos="0"/>
              </w:tabs>
              <w:spacing w:line="360" w:lineRule="auto"/>
              <w:ind w:firstLine="420" w:firstLineChars="175"/>
              <w:rPr>
                <w:rFonts w:ascii="仿宋_GB2312" w:hAnsi="宋体" w:eastAsia="仿宋_GB2312"/>
                <w:sz w:val="24"/>
              </w:rPr>
            </w:pPr>
            <w:r>
              <w:rPr>
                <w:rFonts w:hint="eastAsia" w:ascii="仿宋_GB2312" w:hAnsi="宋体" w:eastAsia="仿宋_GB2312"/>
                <w:sz w:val="24"/>
              </w:rPr>
              <w:t>三、工程量清单编制依据</w:t>
            </w:r>
          </w:p>
          <w:p w14:paraId="053E0A10">
            <w:pPr>
              <w:spacing w:line="360" w:lineRule="auto"/>
              <w:ind w:firstLine="600" w:firstLineChars="250"/>
              <w:rPr>
                <w:rFonts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lang w:val="en-US" w:eastAsia="zh-CN"/>
              </w:rPr>
              <w:t>常州市武进建筑设计院</w:t>
            </w:r>
            <w:bookmarkStart w:id="0" w:name="_GoBack"/>
            <w:bookmarkEnd w:id="0"/>
            <w:r>
              <w:rPr>
                <w:rFonts w:hint="eastAsia" w:ascii="仿宋_GB2312" w:hAnsi="宋体" w:eastAsia="仿宋_GB2312"/>
                <w:sz w:val="24"/>
              </w:rPr>
              <w:t>的图纸以及回复的相关问题。</w:t>
            </w:r>
          </w:p>
          <w:p w14:paraId="201A1883">
            <w:pPr>
              <w:spacing w:line="360" w:lineRule="auto"/>
              <w:ind w:firstLine="600" w:firstLineChars="250"/>
              <w:rPr>
                <w:rFonts w:hint="eastAsia" w:ascii="仿宋_GB2312" w:hAnsi="宋体" w:eastAsia="仿宋_GB2312"/>
                <w:sz w:val="24"/>
              </w:rPr>
            </w:pPr>
            <w:r>
              <w:rPr>
                <w:rFonts w:hint="eastAsia" w:ascii="仿宋_GB2312" w:hAnsi="宋体" w:eastAsia="仿宋_GB2312"/>
                <w:sz w:val="24"/>
              </w:rPr>
              <w:t>2、中华人民共和国建设部《建设工程工程量清单计价规范》GB50500-2013；《房屋建筑与装饰工程工程量计算规范》GB50854-2013；《通用安装工程工程量计算规范》GB50856-2013；《市政工程工程量计算规范》(GB50857-2013)及其他配套工程量计算规范。</w:t>
            </w:r>
          </w:p>
          <w:p w14:paraId="0DF7A8A9">
            <w:pPr>
              <w:spacing w:line="360" w:lineRule="auto"/>
              <w:ind w:firstLine="600" w:firstLineChars="250"/>
              <w:rPr>
                <w:rFonts w:hint="eastAsia" w:ascii="仿宋_GB2312" w:hAnsi="宋体" w:eastAsia="仿宋_GB2312"/>
                <w:sz w:val="24"/>
              </w:rPr>
            </w:pPr>
            <w:r>
              <w:rPr>
                <w:rFonts w:hint="eastAsia" w:ascii="仿宋_GB2312" w:hAnsi="宋体" w:eastAsia="仿宋_GB2312"/>
                <w:sz w:val="24"/>
              </w:rPr>
              <w:t>3、苏建价（2014）448号省住房城乡建设厅关于《建设工程工程量清单计价规范》（GB50500-2013）及其9本工程量计算规范的贯彻意见。</w:t>
            </w:r>
          </w:p>
          <w:p w14:paraId="2840FB0B">
            <w:pPr>
              <w:tabs>
                <w:tab w:val="left" w:pos="0"/>
                <w:tab w:val="left" w:pos="432"/>
              </w:tabs>
              <w:spacing w:line="360" w:lineRule="auto"/>
              <w:ind w:firstLine="600" w:firstLineChars="250"/>
              <w:jc w:val="left"/>
              <w:rPr>
                <w:rFonts w:ascii="仿宋_GB2312" w:hAnsi="宋体" w:eastAsia="仿宋_GB2312"/>
                <w:sz w:val="24"/>
              </w:rPr>
            </w:pPr>
            <w:r>
              <w:rPr>
                <w:rFonts w:hint="eastAsia" w:ascii="仿宋_GB2312" w:hAnsi="宋体" w:eastAsia="仿宋_GB2312"/>
                <w:sz w:val="24"/>
              </w:rPr>
              <w:t>4、《江苏省建筑与装饰工程计价定额》（2014年）、《江苏省安装工程计价定额》（2014年）、《江苏省市政工程计价定额》（2014年）、《江苏省建设工程费用定额》（2014年）及营改增后调整内容。</w:t>
            </w:r>
          </w:p>
          <w:p w14:paraId="704CC757">
            <w:pPr>
              <w:tabs>
                <w:tab w:val="left" w:pos="0"/>
                <w:tab w:val="left" w:pos="432"/>
              </w:tabs>
              <w:spacing w:line="360" w:lineRule="auto"/>
              <w:ind w:firstLine="600" w:firstLineChars="250"/>
              <w:rPr>
                <w:rFonts w:hint="eastAsia" w:ascii="仿宋_GB2312" w:hAnsi="宋体" w:eastAsia="仿宋_GB2312"/>
                <w:sz w:val="24"/>
              </w:rPr>
            </w:pPr>
            <w:r>
              <w:rPr>
                <w:rFonts w:hint="eastAsia" w:ascii="仿宋_GB2312" w:hAnsi="宋体" w:eastAsia="仿宋_GB2312"/>
                <w:sz w:val="24"/>
              </w:rPr>
              <w:t>5、苏建价(2016)154号《省住房城乡建设厅关于建筑业实施营改增后江苏省建设工程计价依据调整的通知》及其调整文件。</w:t>
            </w:r>
          </w:p>
          <w:p w14:paraId="349B1E1B">
            <w:pPr>
              <w:spacing w:line="360" w:lineRule="auto"/>
              <w:ind w:firstLine="600" w:firstLineChars="250"/>
              <w:rPr>
                <w:rFonts w:hint="eastAsia" w:ascii="仿宋_GB2312" w:hAnsi="宋体" w:eastAsia="仿宋_GB2312"/>
                <w:sz w:val="24"/>
              </w:rPr>
            </w:pPr>
            <w:r>
              <w:rPr>
                <w:rFonts w:hint="eastAsia" w:ascii="仿宋_GB2312" w:hAnsi="宋体" w:eastAsia="仿宋_GB2312"/>
                <w:sz w:val="24"/>
                <w:lang w:val="en-US" w:eastAsia="zh-CN"/>
              </w:rPr>
              <w:t>6</w:t>
            </w:r>
            <w:r>
              <w:rPr>
                <w:rFonts w:hint="eastAsia" w:ascii="仿宋_GB2312" w:hAnsi="宋体" w:eastAsia="仿宋_GB2312"/>
                <w:sz w:val="24"/>
              </w:rPr>
              <w:t>、招标控制价人工工资标准按苏建函价</w:t>
            </w:r>
            <w:r>
              <w:rPr>
                <w:rFonts w:hint="eastAsia" w:ascii="仿宋_GB2312" w:hAnsi="宋体" w:eastAsia="仿宋_GB2312"/>
                <w:sz w:val="24"/>
                <w:highlight w:val="none"/>
                <w:shd w:val="clear" w:color="auto" w:fill="auto"/>
              </w:rPr>
              <w:t>[20</w:t>
            </w:r>
            <w:r>
              <w:rPr>
                <w:rFonts w:hint="eastAsia" w:ascii="仿宋_GB2312" w:hAnsi="宋体" w:eastAsia="仿宋_GB2312"/>
                <w:sz w:val="24"/>
                <w:highlight w:val="none"/>
                <w:shd w:val="clear" w:color="auto" w:fill="auto"/>
                <w:lang w:val="en-US" w:eastAsia="zh-CN"/>
              </w:rPr>
              <w:t>26</w:t>
            </w:r>
            <w:r>
              <w:rPr>
                <w:rFonts w:hint="eastAsia" w:ascii="仿宋_GB2312" w:hAnsi="宋体" w:eastAsia="仿宋_GB2312"/>
                <w:sz w:val="24"/>
                <w:highlight w:val="none"/>
                <w:shd w:val="clear" w:color="auto" w:fill="auto"/>
              </w:rPr>
              <w:t>]</w:t>
            </w:r>
            <w:r>
              <w:rPr>
                <w:rFonts w:hint="eastAsia" w:ascii="仿宋_GB2312" w:hAnsi="宋体" w:eastAsia="仿宋_GB2312"/>
                <w:sz w:val="24"/>
                <w:highlight w:val="none"/>
                <w:shd w:val="clear" w:color="auto" w:fill="auto"/>
                <w:lang w:val="en-US" w:eastAsia="zh-CN"/>
              </w:rPr>
              <w:t>027</w:t>
            </w:r>
            <w:r>
              <w:rPr>
                <w:rFonts w:hint="eastAsia" w:ascii="仿宋_GB2312" w:hAnsi="宋体" w:eastAsia="仿宋_GB2312"/>
                <w:sz w:val="24"/>
                <w:highlight w:val="none"/>
              </w:rPr>
              <w:t>号文件</w:t>
            </w:r>
            <w:r>
              <w:rPr>
                <w:rFonts w:hint="eastAsia" w:ascii="仿宋_GB2312" w:hAnsi="宋体" w:eastAsia="仿宋_GB2312"/>
                <w:sz w:val="24"/>
              </w:rPr>
              <w:t>，材料价格按</w:t>
            </w:r>
            <w:r>
              <w:rPr>
                <w:rFonts w:hint="default" w:ascii="仿宋_GB2312" w:hAnsi="宋体" w:eastAsia="仿宋_GB2312"/>
                <w:sz w:val="24"/>
              </w:rPr>
              <w:t>常州市</w:t>
            </w:r>
            <w:r>
              <w:rPr>
                <w:rFonts w:hint="eastAsia" w:ascii="仿宋_GB2312" w:hAnsi="宋体" w:eastAsia="仿宋_GB2312"/>
                <w:sz w:val="24"/>
                <w:lang w:val="en-US" w:eastAsia="zh-CN"/>
              </w:rPr>
              <w:t>2026年1月</w:t>
            </w:r>
            <w:r>
              <w:rPr>
                <w:rFonts w:hint="eastAsia" w:ascii="仿宋_GB2312" w:hAnsi="宋体" w:eastAsia="仿宋_GB2312"/>
                <w:sz w:val="24"/>
              </w:rPr>
              <w:t>建设工程材料信息指导价，缺项部分材料价格按江苏其他地区同期建设工程材料信息指导价及市场询价。投标报价由投标人自行考虑计入。</w:t>
            </w:r>
          </w:p>
          <w:p w14:paraId="2EE5AB1E">
            <w:pPr>
              <w:spacing w:line="360" w:lineRule="auto"/>
              <w:ind w:firstLine="600" w:firstLineChars="250"/>
              <w:rPr>
                <w:rFonts w:ascii="仿宋_GB2312" w:hAnsi="宋体" w:eastAsia="仿宋_GB2312"/>
                <w:sz w:val="24"/>
              </w:rPr>
            </w:pPr>
            <w:r>
              <w:rPr>
                <w:rFonts w:hint="eastAsia" w:ascii="仿宋_GB2312" w:hAnsi="宋体" w:eastAsia="仿宋_GB2312"/>
                <w:sz w:val="24"/>
              </w:rPr>
              <w:t>8、江省住房城乡建设厅关于调整建设工程计价增值税税率的通知苏建函价〔2019〕</w:t>
            </w:r>
            <w:r>
              <w:rPr>
                <w:rFonts w:ascii="仿宋_GB2312" w:hAnsi="宋体" w:eastAsia="仿宋_GB2312"/>
                <w:sz w:val="24"/>
              </w:rPr>
              <w:t>178</w:t>
            </w:r>
            <w:r>
              <w:rPr>
                <w:rFonts w:hint="eastAsia" w:ascii="仿宋_GB2312" w:hAnsi="宋体" w:eastAsia="仿宋_GB2312"/>
                <w:sz w:val="24"/>
              </w:rPr>
              <w:t xml:space="preserve"> 号。</w:t>
            </w:r>
          </w:p>
          <w:p w14:paraId="3BCCE519">
            <w:pPr>
              <w:tabs>
                <w:tab w:val="left" w:pos="0"/>
                <w:tab w:val="left" w:pos="432"/>
              </w:tabs>
              <w:spacing w:line="360" w:lineRule="auto"/>
              <w:ind w:firstLine="600" w:firstLineChars="250"/>
              <w:rPr>
                <w:rFonts w:hint="eastAsia" w:ascii="仿宋_GB2312" w:hAnsi="宋体" w:eastAsia="仿宋_GB2312" w:cs="Times New Roman"/>
                <w:sz w:val="24"/>
              </w:rPr>
            </w:pPr>
            <w:r>
              <w:rPr>
                <w:rFonts w:hint="eastAsia" w:ascii="仿宋_GB2312" w:hAnsi="宋体" w:eastAsia="仿宋_GB2312"/>
                <w:sz w:val="24"/>
              </w:rPr>
              <w:t>9、《江苏省住房和城乡建设厅》2019（19）号文，（省住房省住房和城乡建设厅</w:t>
            </w:r>
            <w:r>
              <w:rPr>
                <w:rFonts w:hint="eastAsia" w:ascii="仿宋_GB2312" w:hAnsi="宋体" w:eastAsia="仿宋_GB2312" w:cs="Times New Roman"/>
                <w:sz w:val="24"/>
              </w:rPr>
              <w:t>关于建筑工人实名制费用计取方法）。</w:t>
            </w:r>
          </w:p>
          <w:p w14:paraId="13021C43">
            <w:pPr>
              <w:tabs>
                <w:tab w:val="left" w:pos="0"/>
                <w:tab w:val="left" w:pos="432"/>
              </w:tabs>
              <w:spacing w:line="360" w:lineRule="auto"/>
              <w:ind w:firstLine="600" w:firstLineChars="250"/>
              <w:rPr>
                <w:rFonts w:hint="eastAsia" w:ascii="仿宋_GB2312" w:hAnsi="宋体" w:eastAsia="仿宋_GB2312" w:cs="Times New Roman"/>
                <w:sz w:val="24"/>
              </w:rPr>
            </w:pPr>
            <w:r>
              <w:rPr>
                <w:rFonts w:hint="default" w:ascii="仿宋_GB2312" w:hAnsi="宋体" w:eastAsia="仿宋_GB2312" w:cs="Times New Roman"/>
                <w:sz w:val="24"/>
              </w:rPr>
              <w:t>10、</w:t>
            </w:r>
            <w:r>
              <w:rPr>
                <w:rFonts w:hint="eastAsia" w:ascii="仿宋_GB2312" w:hAnsi="宋体" w:eastAsia="仿宋_GB2312"/>
                <w:sz w:val="24"/>
              </w:rPr>
              <w:t>江苏省新康监狱（省局中心医院）康定楼医疗设施维修改造工程</w:t>
            </w:r>
            <w:r>
              <w:rPr>
                <w:rFonts w:hint="eastAsia" w:ascii="仿宋_GB2312" w:hAnsi="宋体" w:eastAsia="仿宋_GB2312" w:cs="Times New Roman"/>
                <w:sz w:val="24"/>
              </w:rPr>
              <w:t>拟定的招标文件。</w:t>
            </w:r>
          </w:p>
          <w:p w14:paraId="6BAB492B">
            <w:pPr>
              <w:tabs>
                <w:tab w:val="left" w:pos="0"/>
                <w:tab w:val="left" w:pos="432"/>
              </w:tabs>
              <w:spacing w:line="360" w:lineRule="auto"/>
              <w:ind w:firstLine="600" w:firstLineChars="250"/>
              <w:rPr>
                <w:rFonts w:hint="eastAsia" w:ascii="仿宋_GB2312" w:hAnsi="宋体" w:eastAsia="仿宋_GB2312" w:cs="Times New Roman"/>
                <w:sz w:val="24"/>
              </w:rPr>
            </w:pPr>
            <w:r>
              <w:rPr>
                <w:rFonts w:hint="eastAsia" w:ascii="仿宋_GB2312" w:hAnsi="宋体" w:eastAsia="仿宋_GB2312" w:cs="Times New Roman"/>
                <w:sz w:val="24"/>
                <w:lang w:val="en-US" w:eastAsia="zh-CN"/>
              </w:rPr>
              <w:t>11、</w:t>
            </w:r>
            <w:r>
              <w:rPr>
                <w:rFonts w:hint="eastAsia" w:ascii="仿宋_GB2312" w:hAnsi="宋体" w:eastAsia="仿宋_GB2312" w:cs="Times New Roman"/>
                <w:sz w:val="24"/>
              </w:rPr>
              <w:t>其他相关标准图集及现行预结算文件。</w:t>
            </w:r>
          </w:p>
          <w:p w14:paraId="531A9CDC">
            <w:pPr>
              <w:tabs>
                <w:tab w:val="left" w:pos="4950"/>
              </w:tabs>
              <w:spacing w:line="360" w:lineRule="auto"/>
              <w:ind w:firstLine="240" w:firstLineChars="100"/>
              <w:rPr>
                <w:rFonts w:hint="eastAsia" w:ascii="仿宋_GB2312" w:hAnsi="宋体" w:eastAsia="仿宋_GB2312" w:cs="Times New Roman"/>
                <w:sz w:val="24"/>
              </w:rPr>
            </w:pPr>
            <w:r>
              <w:rPr>
                <w:rFonts w:hint="eastAsia" w:ascii="仿宋_GB2312" w:hAnsi="宋体" w:eastAsia="仿宋_GB2312" w:cs="Times New Roman"/>
                <w:sz w:val="24"/>
              </w:rPr>
              <w:t>四、专业工程暂估价：详见招标清单。</w:t>
            </w:r>
          </w:p>
          <w:p w14:paraId="3F0079DD">
            <w:pPr>
              <w:tabs>
                <w:tab w:val="left" w:pos="4950"/>
              </w:tabs>
              <w:spacing w:line="360" w:lineRule="auto"/>
              <w:ind w:firstLine="240" w:firstLineChars="100"/>
              <w:rPr>
                <w:rFonts w:hint="eastAsia" w:ascii="仿宋_GB2312" w:hAnsi="宋体" w:eastAsia="仿宋_GB2312" w:cs="Times New Roman"/>
                <w:sz w:val="24"/>
              </w:rPr>
            </w:pPr>
            <w:r>
              <w:rPr>
                <w:rFonts w:hint="eastAsia" w:ascii="仿宋_GB2312" w:hAnsi="宋体" w:eastAsia="仿宋_GB2312" w:cs="Times New Roman"/>
                <w:sz w:val="24"/>
              </w:rPr>
              <w:t>五、暂列金额：详见招标清单。</w:t>
            </w:r>
          </w:p>
          <w:p w14:paraId="673FBFAA">
            <w:pPr>
              <w:tabs>
                <w:tab w:val="left" w:pos="4950"/>
              </w:tabs>
              <w:spacing w:line="360" w:lineRule="auto"/>
              <w:ind w:firstLine="240" w:firstLineChars="100"/>
              <w:rPr>
                <w:rFonts w:hint="eastAsia" w:ascii="仿宋_GB2312" w:hAnsi="宋体" w:eastAsia="仿宋_GB2312" w:cs="Times New Roman"/>
                <w:sz w:val="24"/>
              </w:rPr>
            </w:pPr>
            <w:r>
              <w:rPr>
                <w:rFonts w:hint="eastAsia" w:ascii="仿宋_GB2312" w:hAnsi="宋体" w:eastAsia="仿宋_GB2312" w:cs="Times New Roman"/>
                <w:sz w:val="24"/>
              </w:rPr>
              <w:t>六、清单说明事项:</w:t>
            </w:r>
          </w:p>
          <w:p w14:paraId="4B88B0B5">
            <w:pPr>
              <w:tabs>
                <w:tab w:val="left" w:pos="0"/>
                <w:tab w:val="left" w:pos="432"/>
              </w:tabs>
              <w:spacing w:line="360" w:lineRule="auto"/>
              <w:ind w:firstLine="600" w:firstLineChars="250"/>
              <w:rPr>
                <w:rFonts w:hint="default" w:ascii="仿宋_GB2312" w:hAnsi="宋体" w:eastAsia="仿宋_GB2312" w:cs="Times New Roman"/>
                <w:sz w:val="24"/>
              </w:rPr>
            </w:pPr>
            <w:r>
              <w:rPr>
                <w:rFonts w:hint="eastAsia" w:ascii="仿宋_GB2312" w:hAnsi="宋体" w:eastAsia="仿宋_GB2312" w:cs="Times New Roman"/>
                <w:sz w:val="24"/>
                <w:lang w:val="en-US" w:eastAsia="zh-CN"/>
              </w:rPr>
              <w:t>1</w:t>
            </w:r>
            <w:r>
              <w:rPr>
                <w:rFonts w:hint="eastAsia" w:ascii="仿宋_GB2312" w:hAnsi="宋体" w:eastAsia="仿宋_GB2312" w:cs="Times New Roman"/>
                <w:sz w:val="24"/>
              </w:rPr>
              <w:t>、部分设计图纸不详细的，以工程量清单为准。</w:t>
            </w:r>
          </w:p>
          <w:p w14:paraId="55EFFF65">
            <w:pPr>
              <w:tabs>
                <w:tab w:val="left" w:pos="0"/>
                <w:tab w:val="left" w:pos="432"/>
              </w:tabs>
              <w:spacing w:line="360" w:lineRule="auto"/>
              <w:ind w:firstLine="600" w:firstLineChars="250"/>
              <w:rPr>
                <w:rFonts w:hint="default" w:ascii="仿宋_GB2312" w:hAnsi="宋体" w:eastAsia="仿宋_GB2312" w:cs="Times New Roman"/>
                <w:sz w:val="24"/>
              </w:rPr>
            </w:pPr>
            <w:r>
              <w:rPr>
                <w:rFonts w:hint="eastAsia" w:ascii="仿宋_GB2312" w:hAnsi="宋体" w:eastAsia="仿宋_GB2312" w:cs="Times New Roman"/>
                <w:sz w:val="24"/>
                <w:lang w:val="en-US" w:eastAsia="zh-CN"/>
              </w:rPr>
              <w:t>2</w:t>
            </w:r>
            <w:r>
              <w:rPr>
                <w:rFonts w:hint="eastAsia" w:ascii="仿宋_GB2312" w:hAnsi="宋体" w:eastAsia="仿宋_GB2312" w:cs="Times New Roman"/>
                <w:sz w:val="24"/>
              </w:rPr>
              <w:t>、投标单位于投标前必须自行踏勘现场，充分了解并分析施工条件；工程施工所需水、电、路、渣土堆放、施工便道等是否满足施工需求，承包人必须根据其自身施工条件，考虑自备电源发电、施工便道填筑等，招标人对于现有的施工条件将不增加任何投入，涉及到的（水、电、路、渣土堆放、施工便道等）增加投入的因素，投标人在投标报价中予以考虑，结算时概不调整；临时设施工程竣工后需拆除恢复原样。</w:t>
            </w:r>
          </w:p>
          <w:p w14:paraId="7325B841">
            <w:pPr>
              <w:tabs>
                <w:tab w:val="left" w:pos="0"/>
                <w:tab w:val="left" w:pos="432"/>
              </w:tabs>
              <w:spacing w:line="360" w:lineRule="auto"/>
              <w:ind w:firstLine="600" w:firstLineChars="250"/>
              <w:rPr>
                <w:rFonts w:hint="default" w:ascii="仿宋_GB2312" w:hAnsi="宋体" w:eastAsia="仿宋_GB2312" w:cs="Times New Roman"/>
                <w:sz w:val="24"/>
              </w:rPr>
            </w:pPr>
            <w:r>
              <w:rPr>
                <w:rFonts w:hint="eastAsia" w:ascii="仿宋_GB2312" w:hAnsi="宋体" w:eastAsia="仿宋_GB2312" w:cs="Times New Roman"/>
                <w:sz w:val="24"/>
                <w:lang w:val="en-US" w:eastAsia="zh-CN"/>
              </w:rPr>
              <w:t>3</w:t>
            </w:r>
            <w:r>
              <w:rPr>
                <w:rFonts w:hint="eastAsia" w:ascii="仿宋_GB2312" w:hAnsi="宋体" w:eastAsia="仿宋_GB2312" w:cs="Times New Roman"/>
                <w:sz w:val="24"/>
              </w:rPr>
              <w:t>、各投标人在投标报价时自行考虑扬尘污染防治费用，相关条例及处罚规定按照</w:t>
            </w:r>
            <w:r>
              <w:rPr>
                <w:rFonts w:hint="eastAsia" w:ascii="仿宋_GB2312" w:hAnsi="宋体" w:eastAsia="仿宋_GB2312" w:cs="Times New Roman"/>
                <w:sz w:val="24"/>
                <w:lang w:val="en-US" w:eastAsia="zh-CN"/>
              </w:rPr>
              <w:t>常州</w:t>
            </w:r>
            <w:r>
              <w:rPr>
                <w:rFonts w:hint="eastAsia" w:ascii="仿宋_GB2312" w:hAnsi="宋体" w:eastAsia="仿宋_GB2312" w:cs="Times New Roman"/>
                <w:sz w:val="24"/>
              </w:rPr>
              <w:t>市相关文件规定执行。</w:t>
            </w:r>
          </w:p>
          <w:p w14:paraId="091A8B67">
            <w:pPr>
              <w:tabs>
                <w:tab w:val="left" w:pos="0"/>
                <w:tab w:val="left" w:pos="432"/>
              </w:tabs>
              <w:spacing w:line="360" w:lineRule="auto"/>
              <w:ind w:firstLine="600" w:firstLineChars="250"/>
              <w:rPr>
                <w:rFonts w:hint="default" w:ascii="仿宋_GB2312" w:hAnsi="宋体" w:eastAsia="仿宋_GB2312" w:cs="Times New Roman"/>
                <w:sz w:val="24"/>
              </w:rPr>
            </w:pPr>
            <w:r>
              <w:rPr>
                <w:rFonts w:hint="eastAsia" w:ascii="仿宋_GB2312" w:hAnsi="宋体" w:eastAsia="仿宋_GB2312" w:cs="Times New Roman"/>
                <w:sz w:val="24"/>
                <w:lang w:val="en-US" w:eastAsia="zh-CN"/>
              </w:rPr>
              <w:t>4</w:t>
            </w:r>
            <w:r>
              <w:rPr>
                <w:rFonts w:hint="eastAsia" w:ascii="仿宋_GB2312" w:hAnsi="宋体" w:eastAsia="仿宋_GB2312" w:cs="Times New Roman"/>
                <w:sz w:val="24"/>
              </w:rPr>
              <w:t>、施工过程中不能污染、破坏路面。如有污染、破坏要及时恢复。在投标报价中必须予以考虑，结算时不得调整。</w:t>
            </w:r>
          </w:p>
          <w:p w14:paraId="5A62B693">
            <w:pPr>
              <w:tabs>
                <w:tab w:val="left" w:pos="0"/>
                <w:tab w:val="left" w:pos="432"/>
              </w:tabs>
              <w:spacing w:line="360" w:lineRule="auto"/>
              <w:ind w:firstLine="600" w:firstLineChars="250"/>
              <w:rPr>
                <w:rFonts w:hint="default" w:ascii="仿宋_GB2312" w:hAnsi="宋体" w:eastAsia="仿宋_GB2312" w:cs="Times New Roman"/>
                <w:sz w:val="24"/>
              </w:rPr>
            </w:pPr>
            <w:r>
              <w:rPr>
                <w:rFonts w:hint="eastAsia" w:ascii="仿宋_GB2312" w:hAnsi="宋体" w:eastAsia="仿宋_GB2312" w:cs="Times New Roman"/>
                <w:sz w:val="24"/>
                <w:lang w:val="en-US" w:eastAsia="zh-CN"/>
              </w:rPr>
              <w:t>5</w:t>
            </w:r>
            <w:r>
              <w:rPr>
                <w:rFonts w:hint="eastAsia" w:ascii="仿宋_GB2312" w:hAnsi="宋体" w:eastAsia="仿宋_GB2312" w:cs="Times New Roman"/>
                <w:sz w:val="24"/>
              </w:rPr>
              <w:t>、市容、环保（含夜间施工）、街道、交警、派出所和附近居民协调的一切费用一并计入报价。施工垃圾外运由承包方自理，不得混入土方内外运。</w:t>
            </w:r>
          </w:p>
          <w:p w14:paraId="1802FC2C">
            <w:pPr>
              <w:tabs>
                <w:tab w:val="left" w:pos="0"/>
                <w:tab w:val="left" w:pos="432"/>
              </w:tabs>
              <w:spacing w:line="360" w:lineRule="auto"/>
              <w:ind w:firstLine="600" w:firstLineChars="250"/>
              <w:rPr>
                <w:rFonts w:hint="default" w:ascii="仿宋_GB2312" w:hAnsi="宋体" w:eastAsia="仿宋_GB2312" w:cs="Times New Roman"/>
                <w:sz w:val="24"/>
              </w:rPr>
            </w:pPr>
            <w:r>
              <w:rPr>
                <w:rFonts w:hint="eastAsia" w:ascii="仿宋_GB2312" w:hAnsi="宋体" w:eastAsia="仿宋_GB2312" w:cs="Times New Roman"/>
                <w:sz w:val="24"/>
                <w:lang w:val="en-US" w:eastAsia="zh-CN"/>
              </w:rPr>
              <w:t>6</w:t>
            </w:r>
            <w:r>
              <w:rPr>
                <w:rFonts w:hint="eastAsia" w:ascii="仿宋_GB2312" w:hAnsi="宋体" w:eastAsia="仿宋_GB2312" w:cs="Times New Roman"/>
                <w:sz w:val="24"/>
              </w:rPr>
              <w:t>、投标人必须就政府行政管理部门的有关政府性要求和变化综合考虑可能产生的  相关费用，如社会活动、防洪防汛防灾、环境整治、公共安全治理等引起的停工、窝工、机械停滞费、降效等损失和费用增加等，除发包人认可的顺延工期情况外，将不再另行顺延工期，不做任何费用补偿和费用调整。</w:t>
            </w:r>
          </w:p>
          <w:p w14:paraId="6A1A56D7">
            <w:pPr>
              <w:tabs>
                <w:tab w:val="left" w:pos="0"/>
                <w:tab w:val="left" w:pos="432"/>
              </w:tabs>
              <w:spacing w:line="360" w:lineRule="auto"/>
              <w:ind w:firstLine="600" w:firstLineChars="250"/>
              <w:rPr>
                <w:rFonts w:hint="default" w:ascii="仿宋_GB2312" w:hAnsi="宋体" w:eastAsia="仿宋_GB2312" w:cs="Times New Roman"/>
                <w:sz w:val="24"/>
              </w:rPr>
            </w:pPr>
            <w:r>
              <w:rPr>
                <w:rFonts w:hint="eastAsia" w:ascii="仿宋_GB2312" w:hAnsi="宋体" w:eastAsia="仿宋_GB2312" w:cs="Times New Roman"/>
                <w:sz w:val="24"/>
                <w:lang w:val="en-US" w:eastAsia="zh-CN"/>
              </w:rPr>
              <w:t>7</w:t>
            </w:r>
            <w:r>
              <w:rPr>
                <w:rFonts w:hint="eastAsia" w:ascii="仿宋_GB2312" w:hAnsi="宋体" w:eastAsia="仿宋_GB2312" w:cs="Times New Roman"/>
                <w:sz w:val="24"/>
              </w:rPr>
              <w:t>、临时施工用水：施工临时用水（红线内外管线敷设、道路修复、水表、水表安装、水费等）所有工作内容由</w:t>
            </w:r>
            <w:r>
              <w:rPr>
                <w:rFonts w:hint="eastAsia" w:ascii="仿宋_GB2312" w:hAnsi="宋体" w:eastAsia="仿宋_GB2312" w:cs="Times New Roman"/>
                <w:sz w:val="24"/>
                <w:lang w:val="en-US" w:eastAsia="zh-CN"/>
              </w:rPr>
              <w:t>施工</w:t>
            </w:r>
            <w:r>
              <w:rPr>
                <w:rFonts w:hint="eastAsia" w:ascii="仿宋_GB2312" w:hAnsi="宋体" w:eastAsia="仿宋_GB2312" w:cs="Times New Roman"/>
                <w:sz w:val="24"/>
              </w:rPr>
              <w:t>单位综合考虑，临时用水量由施工单位自行挂表计量</w:t>
            </w:r>
            <w:r>
              <w:rPr>
                <w:rFonts w:hint="eastAsia" w:ascii="仿宋_GB2312" w:hAnsi="宋体" w:eastAsia="仿宋_GB2312" w:cs="Times New Roman"/>
                <w:sz w:val="24"/>
                <w:lang w:eastAsia="zh-CN"/>
              </w:rPr>
              <w:t>，</w:t>
            </w:r>
            <w:r>
              <w:rPr>
                <w:rFonts w:hint="eastAsia" w:ascii="仿宋_GB2312" w:hAnsi="宋体" w:eastAsia="仿宋_GB2312" w:cs="Times New Roman"/>
                <w:sz w:val="24"/>
              </w:rPr>
              <w:t>水费由施工单位按相关规定缴纳</w:t>
            </w:r>
            <w:r>
              <w:rPr>
                <w:rFonts w:hint="eastAsia" w:ascii="仿宋_GB2312" w:hAnsi="宋体" w:eastAsia="仿宋_GB2312" w:cs="Times New Roman"/>
                <w:sz w:val="24"/>
                <w:lang w:eastAsia="zh-CN"/>
              </w:rPr>
              <w:t>，</w:t>
            </w:r>
            <w:r>
              <w:rPr>
                <w:rFonts w:hint="eastAsia" w:ascii="仿宋_GB2312" w:hAnsi="宋体" w:eastAsia="仿宋_GB2312" w:cs="Times New Roman"/>
                <w:sz w:val="24"/>
              </w:rPr>
              <w:t>所需费用包含在投标报价中，结算时不予调整。</w:t>
            </w:r>
          </w:p>
          <w:p w14:paraId="16C5D721">
            <w:pPr>
              <w:tabs>
                <w:tab w:val="left" w:pos="0"/>
                <w:tab w:val="left" w:pos="432"/>
              </w:tabs>
              <w:spacing w:line="360" w:lineRule="auto"/>
              <w:ind w:firstLine="600" w:firstLineChars="250"/>
              <w:rPr>
                <w:rFonts w:hint="default" w:ascii="仿宋_GB2312" w:hAnsi="宋体" w:eastAsia="仿宋_GB2312" w:cs="Times New Roman"/>
                <w:sz w:val="24"/>
              </w:rPr>
            </w:pPr>
            <w:r>
              <w:rPr>
                <w:rFonts w:hint="eastAsia" w:ascii="仿宋_GB2312" w:hAnsi="宋体" w:eastAsia="仿宋_GB2312" w:cs="Times New Roman"/>
                <w:sz w:val="24"/>
                <w:lang w:val="en-US" w:eastAsia="zh-CN"/>
              </w:rPr>
              <w:t>8</w:t>
            </w:r>
            <w:r>
              <w:rPr>
                <w:rFonts w:hint="eastAsia" w:ascii="仿宋_GB2312" w:hAnsi="宋体" w:eastAsia="仿宋_GB2312" w:cs="Times New Roman"/>
                <w:sz w:val="24"/>
              </w:rPr>
              <w:t>、临时施工用电：施工临时用</w:t>
            </w:r>
            <w:r>
              <w:rPr>
                <w:rFonts w:hint="eastAsia" w:ascii="仿宋_GB2312" w:hAnsi="宋体" w:eastAsia="仿宋_GB2312" w:cs="Times New Roman"/>
                <w:sz w:val="24"/>
                <w:lang w:val="en-US" w:eastAsia="zh-CN"/>
              </w:rPr>
              <w:t>电</w:t>
            </w:r>
            <w:r>
              <w:rPr>
                <w:rFonts w:hint="eastAsia" w:ascii="仿宋_GB2312" w:hAnsi="宋体" w:eastAsia="仿宋_GB2312" w:cs="Times New Roman"/>
                <w:sz w:val="24"/>
              </w:rPr>
              <w:t>按照规定接入到施工现场，所产生的相关费用均包含本次投标报价中</w:t>
            </w:r>
            <w:r>
              <w:rPr>
                <w:rFonts w:hint="eastAsia" w:ascii="仿宋_GB2312" w:hAnsi="宋体" w:eastAsia="仿宋_GB2312" w:cs="Times New Roman"/>
                <w:sz w:val="24"/>
                <w:lang w:eastAsia="zh-CN"/>
              </w:rPr>
              <w:t>，</w:t>
            </w:r>
            <w:r>
              <w:rPr>
                <w:rFonts w:hint="eastAsia" w:ascii="仿宋_GB2312" w:hAnsi="宋体" w:eastAsia="仿宋_GB2312" w:cs="Times New Roman"/>
                <w:sz w:val="24"/>
              </w:rPr>
              <w:t>施工临时用电电费由施工单位按相关规定缴纳，施工临时用电所需费用包含在投标报价中，结算时不予调整。</w:t>
            </w:r>
          </w:p>
          <w:p w14:paraId="6685CF7F">
            <w:pPr>
              <w:tabs>
                <w:tab w:val="left" w:pos="0"/>
                <w:tab w:val="left" w:pos="432"/>
              </w:tabs>
              <w:spacing w:line="360" w:lineRule="auto"/>
              <w:ind w:firstLine="600" w:firstLineChars="250"/>
              <w:rPr>
                <w:rFonts w:hint="eastAsia" w:ascii="仿宋_GB2312" w:hAnsi="宋体" w:eastAsia="仿宋_GB2312" w:cs="Times New Roman"/>
                <w:sz w:val="24"/>
                <w:lang w:eastAsia="zh-CN"/>
              </w:rPr>
            </w:pPr>
            <w:r>
              <w:rPr>
                <w:rFonts w:hint="eastAsia" w:ascii="仿宋_GB2312" w:hAnsi="宋体" w:eastAsia="仿宋_GB2312" w:cs="Times New Roman"/>
                <w:sz w:val="24"/>
                <w:lang w:val="en-US" w:eastAsia="zh-CN"/>
              </w:rPr>
              <w:t>9</w:t>
            </w:r>
            <w:r>
              <w:rPr>
                <w:rFonts w:hint="eastAsia" w:ascii="仿宋_GB2312" w:hAnsi="宋体" w:eastAsia="仿宋_GB2312" w:cs="Times New Roman"/>
                <w:sz w:val="24"/>
              </w:rPr>
              <w:t>、本工程砼按</w:t>
            </w:r>
            <w:r>
              <w:rPr>
                <w:rFonts w:hint="eastAsia" w:ascii="仿宋_GB2312" w:hAnsi="宋体" w:eastAsia="仿宋_GB2312" w:cs="Times New Roman"/>
                <w:sz w:val="24"/>
                <w:lang w:val="en-US" w:eastAsia="zh-CN"/>
              </w:rPr>
              <w:t>现浇</w:t>
            </w:r>
            <w:r>
              <w:rPr>
                <w:rFonts w:hint="eastAsia" w:ascii="仿宋_GB2312" w:hAnsi="宋体" w:eastAsia="仿宋_GB2312" w:cs="Times New Roman"/>
                <w:sz w:val="24"/>
              </w:rPr>
              <w:t>砼考虑，现场采用泵送还是非泵送投标单位自行考虑</w:t>
            </w:r>
            <w:r>
              <w:rPr>
                <w:rFonts w:hint="eastAsia" w:ascii="仿宋_GB2312" w:hAnsi="宋体" w:eastAsia="仿宋_GB2312" w:cs="Times New Roman"/>
                <w:sz w:val="24"/>
                <w:lang w:eastAsia="zh-CN"/>
              </w:rPr>
              <w:t>。</w:t>
            </w:r>
          </w:p>
          <w:p w14:paraId="36762430">
            <w:pPr>
              <w:tabs>
                <w:tab w:val="left" w:pos="0"/>
                <w:tab w:val="left" w:pos="432"/>
              </w:tabs>
              <w:spacing w:line="360" w:lineRule="auto"/>
              <w:ind w:firstLine="600" w:firstLineChars="250"/>
              <w:rPr>
                <w:rFonts w:hint="default" w:ascii="仿宋_GB2312" w:hAnsi="宋体" w:eastAsia="仿宋_GB2312" w:cs="Times New Roman"/>
                <w:sz w:val="24"/>
              </w:rPr>
            </w:pPr>
            <w:r>
              <w:rPr>
                <w:rFonts w:hint="eastAsia" w:ascii="仿宋_GB2312" w:hAnsi="宋体" w:eastAsia="仿宋_GB2312" w:cs="Times New Roman"/>
                <w:sz w:val="24"/>
                <w:lang w:val="en-US" w:eastAsia="zh-CN"/>
              </w:rPr>
              <w:t>10</w:t>
            </w:r>
            <w:r>
              <w:rPr>
                <w:rFonts w:hint="eastAsia" w:ascii="仿宋_GB2312" w:hAnsi="宋体" w:eastAsia="仿宋_GB2312" w:cs="Times New Roman"/>
                <w:sz w:val="24"/>
              </w:rPr>
              <w:t xml:space="preserve">、本工程量清单的工作内容应包含清单计价规范所列出的工作内容（但不仅限于此），其完整的工作内容应为按照设计图纸、现行的相关施工工艺、技术规范标准、施工质量验收规范标准等要求实施完成该项工程并达到设计使用要求的所有内容，投标单位应按全部内容报价。工程量清单特征描述不全时，其相关技术规范及要求应参照施工图纸和招标文件报价；清单特征中未描述的，但“13计价规范”中注明的工程内容，承包人在报价时应充分考虑“工程内容”而产生的费用，列入相应报价中。 </w:t>
            </w:r>
          </w:p>
          <w:p w14:paraId="40638EF8">
            <w:pPr>
              <w:tabs>
                <w:tab w:val="left" w:pos="0"/>
                <w:tab w:val="left" w:pos="432"/>
              </w:tabs>
              <w:spacing w:line="360" w:lineRule="auto"/>
              <w:ind w:firstLine="600" w:firstLineChars="250"/>
              <w:rPr>
                <w:rFonts w:hint="default" w:ascii="仿宋_GB2312" w:hAnsi="宋体" w:eastAsia="仿宋_GB2312" w:cs="Times New Roman"/>
                <w:sz w:val="24"/>
              </w:rPr>
            </w:pPr>
            <w:r>
              <w:rPr>
                <w:rFonts w:hint="eastAsia" w:ascii="仿宋_GB2312" w:hAnsi="宋体" w:eastAsia="仿宋_GB2312" w:cs="Times New Roman"/>
                <w:sz w:val="24"/>
              </w:rPr>
              <w:t>1</w:t>
            </w:r>
            <w:r>
              <w:rPr>
                <w:rFonts w:hint="default" w:ascii="仿宋_GB2312" w:hAnsi="宋体" w:eastAsia="仿宋_GB2312" w:cs="Times New Roman"/>
                <w:sz w:val="24"/>
              </w:rPr>
              <w:t>4</w:t>
            </w:r>
            <w:r>
              <w:rPr>
                <w:rFonts w:hint="eastAsia" w:ascii="仿宋_GB2312" w:hAnsi="宋体" w:eastAsia="仿宋_GB2312" w:cs="Times New Roman"/>
                <w:sz w:val="24"/>
              </w:rPr>
              <w:t>、投标人应充分了解本项目性质、</w:t>
            </w:r>
            <w:r>
              <w:rPr>
                <w:rFonts w:hint="eastAsia" w:ascii="仿宋_GB2312" w:hAnsi="宋体" w:eastAsia="仿宋_GB2312" w:cs="Times New Roman"/>
                <w:sz w:val="24"/>
                <w:lang w:val="en-US" w:eastAsia="zh-CN"/>
              </w:rPr>
              <w:t>监狱</w:t>
            </w:r>
            <w:r>
              <w:rPr>
                <w:rFonts w:hint="eastAsia" w:ascii="仿宋_GB2312" w:hAnsi="宋体" w:eastAsia="仿宋_GB2312" w:cs="Times New Roman"/>
                <w:sz w:val="24"/>
              </w:rPr>
              <w:t>管理制度及地理位置，所需人员、机械、材料的超常规运费等增加费用，应在综合单价中考虑。投标人应充分考虑保证机械正常运转的措施费用，结算时不另外增加费用。</w:t>
            </w:r>
          </w:p>
          <w:p w14:paraId="0922C7A0">
            <w:pPr>
              <w:tabs>
                <w:tab w:val="left" w:pos="0"/>
                <w:tab w:val="left" w:pos="432"/>
              </w:tabs>
              <w:spacing w:line="360" w:lineRule="auto"/>
              <w:ind w:firstLine="600" w:firstLineChars="250"/>
              <w:rPr>
                <w:rFonts w:hint="default" w:ascii="仿宋_GB2312" w:hAnsi="宋体" w:eastAsia="仿宋_GB2312" w:cs="Times New Roman"/>
                <w:sz w:val="24"/>
              </w:rPr>
            </w:pPr>
            <w:r>
              <w:rPr>
                <w:rFonts w:hint="eastAsia" w:ascii="仿宋_GB2312" w:hAnsi="宋体" w:eastAsia="仿宋_GB2312" w:cs="Times New Roman"/>
                <w:sz w:val="24"/>
              </w:rPr>
              <w:t>1</w:t>
            </w:r>
            <w:r>
              <w:rPr>
                <w:rFonts w:hint="default" w:ascii="仿宋_GB2312" w:hAnsi="宋体" w:eastAsia="仿宋_GB2312" w:cs="Times New Roman"/>
                <w:sz w:val="24"/>
              </w:rPr>
              <w:t>5</w:t>
            </w:r>
            <w:r>
              <w:rPr>
                <w:rFonts w:hint="eastAsia" w:ascii="仿宋_GB2312" w:hAnsi="宋体" w:eastAsia="仿宋_GB2312" w:cs="Times New Roman"/>
                <w:sz w:val="24"/>
              </w:rPr>
              <w:t>、施工期间地下管网保护、相邻建筑物安全、道路、树木等保护及风险费用投标人综合考虑并自行报价，结算时不予调整。</w:t>
            </w:r>
          </w:p>
          <w:p w14:paraId="6264944A">
            <w:pPr>
              <w:tabs>
                <w:tab w:val="left" w:pos="0"/>
              </w:tabs>
              <w:spacing w:line="360" w:lineRule="auto"/>
              <w:ind w:firstLine="420" w:firstLineChars="175"/>
              <w:rPr>
                <w:rFonts w:ascii="仿宋_GB2312" w:hAnsi="宋体" w:eastAsia="仿宋_GB2312"/>
                <w:sz w:val="24"/>
              </w:rPr>
            </w:pPr>
            <w:r>
              <w:rPr>
                <w:rFonts w:hint="eastAsia" w:ascii="仿宋_GB2312" w:hAnsi="宋体" w:eastAsia="仿宋_GB2312"/>
                <w:sz w:val="24"/>
              </w:rPr>
              <w:t>八</w:t>
            </w:r>
            <w:r>
              <w:rPr>
                <w:rFonts w:hint="eastAsia" w:ascii="仿宋_GB2312" w:hAnsi="宋体" w:eastAsia="仿宋_GB2312"/>
                <w:sz w:val="24"/>
                <w:lang w:eastAsia="zh-CN"/>
              </w:rPr>
              <w:t>、</w:t>
            </w:r>
            <w:r>
              <w:rPr>
                <w:rFonts w:hint="eastAsia" w:ascii="仿宋_GB2312" w:hAnsi="宋体" w:eastAsia="仿宋_GB2312"/>
                <w:sz w:val="24"/>
              </w:rPr>
              <w:t>特别提醒</w:t>
            </w:r>
          </w:p>
          <w:p w14:paraId="50E0DA59">
            <w:pPr>
              <w:tabs>
                <w:tab w:val="left" w:pos="0"/>
                <w:tab w:val="left" w:pos="432"/>
              </w:tabs>
              <w:spacing w:line="360" w:lineRule="auto"/>
              <w:ind w:firstLine="600" w:firstLineChars="250"/>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1、投标人必须按照本工程的“工程量编制说明”要求进行投标报价</w:t>
            </w:r>
          </w:p>
          <w:p w14:paraId="71B94C38">
            <w:pPr>
              <w:tabs>
                <w:tab w:val="left" w:pos="0"/>
                <w:tab w:val="left" w:pos="432"/>
              </w:tabs>
              <w:spacing w:line="360" w:lineRule="auto"/>
              <w:ind w:firstLine="600" w:firstLineChars="250"/>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2、对招标人所列的措施项目，投标人可根据工程实际与施工组织设计进行增补，但不应更改招标人已列措施项目。结算时，除工程变更引起施工方案改变外，承包人不得以招标工程措施项目清单缺项为由要求新增措施项目。措施费投标人须全面考虑，除招标文件中另有规定外，如有漏项，按投标人让利考虑。</w:t>
            </w:r>
          </w:p>
          <w:p w14:paraId="7182DC0B">
            <w:pPr>
              <w:tabs>
                <w:tab w:val="left" w:pos="0"/>
                <w:tab w:val="left" w:pos="432"/>
              </w:tabs>
              <w:spacing w:line="360" w:lineRule="auto"/>
              <w:ind w:firstLine="600" w:firstLineChars="250"/>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3、总价措施项目清单中的安全文明施工措施费（基本费、扬尘污染防治增加费）按工程量清单规定的费率进行报价；除安全文明施工措施费以外，总价措施项目清单中其他项目报价包干使用，中标后不作调整。单价措施项目费中除模板费用(按接触面积结算)可根据分部分项工程量变化、设计变更、现场签证相应调整外，其余单价措施费均已由投标人在投标报价中充分考虑，结算时均不调整。</w:t>
            </w:r>
          </w:p>
          <w:p w14:paraId="7DF82060">
            <w:pPr>
              <w:tabs>
                <w:tab w:val="left" w:pos="0"/>
                <w:tab w:val="left" w:pos="432"/>
              </w:tabs>
              <w:spacing w:line="360" w:lineRule="auto"/>
              <w:ind w:firstLine="600" w:firstLineChars="250"/>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4、施工工程需注意成品保护，避免损坏其他构件，应考虑对现状构件保护的费用；</w:t>
            </w:r>
          </w:p>
          <w:p w14:paraId="230766F2">
            <w:pPr>
              <w:tabs>
                <w:tab w:val="left" w:pos="0"/>
                <w:tab w:val="left" w:pos="432"/>
              </w:tabs>
              <w:spacing w:line="360" w:lineRule="auto"/>
              <w:ind w:firstLine="600" w:firstLineChars="250"/>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5、建筑垃圾弃置含渣土费、消纳费，弃置距离自行考虑，实际弃置场地与运距由投标人自行考虑，结算不作调整；</w:t>
            </w:r>
          </w:p>
          <w:p w14:paraId="682E6D2B">
            <w:pPr>
              <w:tabs>
                <w:tab w:val="left" w:pos="0"/>
                <w:tab w:val="left" w:pos="432"/>
              </w:tabs>
              <w:spacing w:line="360" w:lineRule="auto"/>
              <w:ind w:firstLine="600" w:firstLineChars="250"/>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6、施工过程需做好成品保护措施，安全防护措施，若因施工原因造成的主体建筑损坏所产生的一切费用，由投标人自行承担。</w:t>
            </w:r>
          </w:p>
          <w:p w14:paraId="6399FC46">
            <w:pPr>
              <w:tabs>
                <w:tab w:val="left" w:pos="0"/>
                <w:tab w:val="left" w:pos="432"/>
              </w:tabs>
              <w:spacing w:line="360" w:lineRule="auto"/>
              <w:ind w:firstLine="600" w:firstLineChars="250"/>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7、本工程为改造项目，投标人需仔细勘察现场结合工程量清单，自行考虑施工措施方案并综合考虑在投标报价中，结算时不得增加与此有关的费用。</w:t>
            </w:r>
          </w:p>
          <w:p w14:paraId="35B5E355">
            <w:pPr>
              <w:tabs>
                <w:tab w:val="left" w:pos="0"/>
                <w:tab w:val="left" w:pos="432"/>
              </w:tabs>
              <w:spacing w:line="360" w:lineRule="auto"/>
              <w:ind w:firstLine="600" w:firstLineChars="250"/>
              <w:rPr>
                <w:rFonts w:hint="default" w:ascii="仿宋_GB2312" w:hAnsi="宋体" w:eastAsia="仿宋_GB2312" w:cs="Times New Roman"/>
                <w:sz w:val="24"/>
                <w:lang w:val="en-US" w:eastAsia="zh-CN"/>
              </w:rPr>
            </w:pPr>
          </w:p>
          <w:p w14:paraId="575924F8">
            <w:pPr>
              <w:tabs>
                <w:tab w:val="left" w:pos="0"/>
                <w:tab w:val="left" w:pos="432"/>
              </w:tabs>
              <w:spacing w:line="360" w:lineRule="auto"/>
              <w:ind w:firstLine="600" w:firstLineChars="250"/>
              <w:rPr>
                <w:rFonts w:hint="default" w:ascii="仿宋_GB2312" w:hAnsi="宋体" w:eastAsia="仿宋_GB2312" w:cs="Times New Roman"/>
                <w:sz w:val="24"/>
                <w:lang w:val="en-US" w:eastAsia="zh-CN"/>
              </w:rPr>
            </w:pPr>
          </w:p>
          <w:p w14:paraId="6CADE1D3">
            <w:pPr>
              <w:tabs>
                <w:tab w:val="left" w:pos="0"/>
              </w:tabs>
              <w:spacing w:line="360" w:lineRule="auto"/>
              <w:ind w:firstLine="420" w:firstLineChars="175"/>
              <w:rPr>
                <w:rFonts w:ascii="仿宋_GB2312" w:hAnsi="宋体" w:eastAsia="仿宋_GB2312"/>
                <w:sz w:val="24"/>
              </w:rPr>
            </w:pPr>
          </w:p>
        </w:tc>
      </w:tr>
    </w:tbl>
    <w:p w14:paraId="288B9F92">
      <w:pPr>
        <w:spacing w:line="360" w:lineRule="auto"/>
      </w:pPr>
    </w:p>
    <w:sectPr>
      <w:headerReference r:id="rId3" w:type="default"/>
      <w:footerReference r:id="rId4" w:type="default"/>
      <w:pgSz w:w="11906" w:h="16838"/>
      <w:pgMar w:top="1134" w:right="1247" w:bottom="56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E"/>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7F9D">
    <w:pPr>
      <w:pStyle w:val="7"/>
      <w:jc w:val="right"/>
    </w:pPr>
    <w:r>
      <w:fldChar w:fldCharType="begin"/>
    </w:r>
    <w:r>
      <w:instrText xml:space="preserve">PAGE   \* MERGEFORMAT</w:instrText>
    </w:r>
    <w:r>
      <w:fldChar w:fldCharType="separate"/>
    </w:r>
    <w:r>
      <w:rPr>
        <w:lang w:val="zh-CN"/>
      </w:rPr>
      <w:t>11</w:t>
    </w:r>
    <w:r>
      <w:rPr>
        <w:lang w:val="zh-CN"/>
      </w:rPr>
      <w:fldChar w:fldCharType="end"/>
    </w:r>
  </w:p>
  <w:p w14:paraId="07347D8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4B4BA">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IwNDI3ZGVmMmU3ZTg4ZDA0NWM2ZTM4M2ZhYjNhNjgifQ=="/>
  </w:docVars>
  <w:rsids>
    <w:rsidRoot w:val="00F83F37"/>
    <w:rsid w:val="00001843"/>
    <w:rsid w:val="00001ADD"/>
    <w:rsid w:val="000029BE"/>
    <w:rsid w:val="0000339C"/>
    <w:rsid w:val="0000397B"/>
    <w:rsid w:val="00003C52"/>
    <w:rsid w:val="00004598"/>
    <w:rsid w:val="00004E78"/>
    <w:rsid w:val="00004FCA"/>
    <w:rsid w:val="00005D44"/>
    <w:rsid w:val="00006A33"/>
    <w:rsid w:val="00012400"/>
    <w:rsid w:val="000127DC"/>
    <w:rsid w:val="000137DA"/>
    <w:rsid w:val="00015151"/>
    <w:rsid w:val="000158B6"/>
    <w:rsid w:val="00015CAD"/>
    <w:rsid w:val="000179B4"/>
    <w:rsid w:val="000209DE"/>
    <w:rsid w:val="00020BF6"/>
    <w:rsid w:val="00020F77"/>
    <w:rsid w:val="00021009"/>
    <w:rsid w:val="0002128B"/>
    <w:rsid w:val="00022B03"/>
    <w:rsid w:val="0002374B"/>
    <w:rsid w:val="00023B62"/>
    <w:rsid w:val="00023F0B"/>
    <w:rsid w:val="00023F14"/>
    <w:rsid w:val="00024136"/>
    <w:rsid w:val="000242E8"/>
    <w:rsid w:val="0002510D"/>
    <w:rsid w:val="0002579B"/>
    <w:rsid w:val="000274E0"/>
    <w:rsid w:val="0002756F"/>
    <w:rsid w:val="00030748"/>
    <w:rsid w:val="000323A7"/>
    <w:rsid w:val="00034BB8"/>
    <w:rsid w:val="00037624"/>
    <w:rsid w:val="00037815"/>
    <w:rsid w:val="00037A93"/>
    <w:rsid w:val="00040893"/>
    <w:rsid w:val="0004771D"/>
    <w:rsid w:val="000507ED"/>
    <w:rsid w:val="0005196D"/>
    <w:rsid w:val="000538F6"/>
    <w:rsid w:val="00054F67"/>
    <w:rsid w:val="00054F78"/>
    <w:rsid w:val="00055A44"/>
    <w:rsid w:val="00056E25"/>
    <w:rsid w:val="00057442"/>
    <w:rsid w:val="00060204"/>
    <w:rsid w:val="00060778"/>
    <w:rsid w:val="00062470"/>
    <w:rsid w:val="000635F2"/>
    <w:rsid w:val="00067275"/>
    <w:rsid w:val="00070421"/>
    <w:rsid w:val="00072438"/>
    <w:rsid w:val="000730CA"/>
    <w:rsid w:val="00073969"/>
    <w:rsid w:val="00076B3B"/>
    <w:rsid w:val="0007740C"/>
    <w:rsid w:val="0008154B"/>
    <w:rsid w:val="00081688"/>
    <w:rsid w:val="00081A81"/>
    <w:rsid w:val="00082AB3"/>
    <w:rsid w:val="00083F4E"/>
    <w:rsid w:val="000841C8"/>
    <w:rsid w:val="0008522E"/>
    <w:rsid w:val="00085BD6"/>
    <w:rsid w:val="000874EF"/>
    <w:rsid w:val="00087682"/>
    <w:rsid w:val="00087A2E"/>
    <w:rsid w:val="00087F0E"/>
    <w:rsid w:val="00090CD0"/>
    <w:rsid w:val="00091CCF"/>
    <w:rsid w:val="00092D75"/>
    <w:rsid w:val="00097254"/>
    <w:rsid w:val="000A1D81"/>
    <w:rsid w:val="000A2F90"/>
    <w:rsid w:val="000A39FE"/>
    <w:rsid w:val="000A5264"/>
    <w:rsid w:val="000A5800"/>
    <w:rsid w:val="000A5889"/>
    <w:rsid w:val="000A6128"/>
    <w:rsid w:val="000B07ED"/>
    <w:rsid w:val="000B1260"/>
    <w:rsid w:val="000B37D1"/>
    <w:rsid w:val="000B47C5"/>
    <w:rsid w:val="000B4D4B"/>
    <w:rsid w:val="000B4DEF"/>
    <w:rsid w:val="000B522A"/>
    <w:rsid w:val="000B6739"/>
    <w:rsid w:val="000B7404"/>
    <w:rsid w:val="000B7C3E"/>
    <w:rsid w:val="000C0858"/>
    <w:rsid w:val="000C1D5F"/>
    <w:rsid w:val="000C20F8"/>
    <w:rsid w:val="000C5930"/>
    <w:rsid w:val="000D0667"/>
    <w:rsid w:val="000D1646"/>
    <w:rsid w:val="000D1AE1"/>
    <w:rsid w:val="000D2BFD"/>
    <w:rsid w:val="000D2D4B"/>
    <w:rsid w:val="000D6510"/>
    <w:rsid w:val="000D7646"/>
    <w:rsid w:val="000D785B"/>
    <w:rsid w:val="000E026B"/>
    <w:rsid w:val="000E11BF"/>
    <w:rsid w:val="000E1987"/>
    <w:rsid w:val="000E1F04"/>
    <w:rsid w:val="000E464F"/>
    <w:rsid w:val="000E4B3B"/>
    <w:rsid w:val="000E5622"/>
    <w:rsid w:val="000E764D"/>
    <w:rsid w:val="000E7CBC"/>
    <w:rsid w:val="000F002F"/>
    <w:rsid w:val="000F0A4E"/>
    <w:rsid w:val="000F27A3"/>
    <w:rsid w:val="000F2F0D"/>
    <w:rsid w:val="000F3DB4"/>
    <w:rsid w:val="000F3EC1"/>
    <w:rsid w:val="000F4555"/>
    <w:rsid w:val="000F4940"/>
    <w:rsid w:val="000F4D1C"/>
    <w:rsid w:val="000F5E06"/>
    <w:rsid w:val="000F5E88"/>
    <w:rsid w:val="000F7177"/>
    <w:rsid w:val="001007FA"/>
    <w:rsid w:val="00100A2A"/>
    <w:rsid w:val="001048C3"/>
    <w:rsid w:val="0010655E"/>
    <w:rsid w:val="00106802"/>
    <w:rsid w:val="001068C2"/>
    <w:rsid w:val="00106B3B"/>
    <w:rsid w:val="001073F1"/>
    <w:rsid w:val="00107EF7"/>
    <w:rsid w:val="00112330"/>
    <w:rsid w:val="00115550"/>
    <w:rsid w:val="00116C3C"/>
    <w:rsid w:val="001201F5"/>
    <w:rsid w:val="0012139D"/>
    <w:rsid w:val="00122854"/>
    <w:rsid w:val="00124AB8"/>
    <w:rsid w:val="00125B23"/>
    <w:rsid w:val="001269A7"/>
    <w:rsid w:val="001302BE"/>
    <w:rsid w:val="00131434"/>
    <w:rsid w:val="00131A9C"/>
    <w:rsid w:val="00131F46"/>
    <w:rsid w:val="00134232"/>
    <w:rsid w:val="001353E8"/>
    <w:rsid w:val="001356F9"/>
    <w:rsid w:val="00136527"/>
    <w:rsid w:val="001406D7"/>
    <w:rsid w:val="0014128B"/>
    <w:rsid w:val="001416BD"/>
    <w:rsid w:val="00141DD9"/>
    <w:rsid w:val="00142D2E"/>
    <w:rsid w:val="00142DE6"/>
    <w:rsid w:val="001436B4"/>
    <w:rsid w:val="001448F6"/>
    <w:rsid w:val="00145927"/>
    <w:rsid w:val="00146DDA"/>
    <w:rsid w:val="00147BE9"/>
    <w:rsid w:val="00147F25"/>
    <w:rsid w:val="00151019"/>
    <w:rsid w:val="00151D9F"/>
    <w:rsid w:val="00152BA5"/>
    <w:rsid w:val="00153EF9"/>
    <w:rsid w:val="00153F79"/>
    <w:rsid w:val="001574C5"/>
    <w:rsid w:val="00161087"/>
    <w:rsid w:val="00161327"/>
    <w:rsid w:val="00161E53"/>
    <w:rsid w:val="00163B8F"/>
    <w:rsid w:val="00165A25"/>
    <w:rsid w:val="00167513"/>
    <w:rsid w:val="00167B12"/>
    <w:rsid w:val="00171508"/>
    <w:rsid w:val="0017406B"/>
    <w:rsid w:val="00174F64"/>
    <w:rsid w:val="001768EA"/>
    <w:rsid w:val="001775DC"/>
    <w:rsid w:val="001805A1"/>
    <w:rsid w:val="00180869"/>
    <w:rsid w:val="00181FB6"/>
    <w:rsid w:val="001827F2"/>
    <w:rsid w:val="00182B03"/>
    <w:rsid w:val="00182D39"/>
    <w:rsid w:val="0018556B"/>
    <w:rsid w:val="00187E84"/>
    <w:rsid w:val="001921D7"/>
    <w:rsid w:val="00193E88"/>
    <w:rsid w:val="00195B45"/>
    <w:rsid w:val="00196241"/>
    <w:rsid w:val="00196483"/>
    <w:rsid w:val="00196F27"/>
    <w:rsid w:val="001A0F74"/>
    <w:rsid w:val="001A1C6C"/>
    <w:rsid w:val="001A4DD8"/>
    <w:rsid w:val="001A5289"/>
    <w:rsid w:val="001B0AA3"/>
    <w:rsid w:val="001B0F6F"/>
    <w:rsid w:val="001B1D55"/>
    <w:rsid w:val="001B3F1B"/>
    <w:rsid w:val="001B4F1E"/>
    <w:rsid w:val="001C13FF"/>
    <w:rsid w:val="001C531D"/>
    <w:rsid w:val="001C5969"/>
    <w:rsid w:val="001C6373"/>
    <w:rsid w:val="001C7E4A"/>
    <w:rsid w:val="001D0518"/>
    <w:rsid w:val="001D1185"/>
    <w:rsid w:val="001D1194"/>
    <w:rsid w:val="001D1CBE"/>
    <w:rsid w:val="001D327A"/>
    <w:rsid w:val="001D4399"/>
    <w:rsid w:val="001D62D2"/>
    <w:rsid w:val="001D7688"/>
    <w:rsid w:val="001D76F3"/>
    <w:rsid w:val="001E077C"/>
    <w:rsid w:val="001E157D"/>
    <w:rsid w:val="001E1A5F"/>
    <w:rsid w:val="001E337B"/>
    <w:rsid w:val="001E4354"/>
    <w:rsid w:val="001E69C6"/>
    <w:rsid w:val="001F0569"/>
    <w:rsid w:val="001F0E4C"/>
    <w:rsid w:val="001F0FAB"/>
    <w:rsid w:val="001F161A"/>
    <w:rsid w:val="001F21C1"/>
    <w:rsid w:val="001F3118"/>
    <w:rsid w:val="001F4264"/>
    <w:rsid w:val="001F4280"/>
    <w:rsid w:val="001F5330"/>
    <w:rsid w:val="001F702C"/>
    <w:rsid w:val="002015F5"/>
    <w:rsid w:val="0020195D"/>
    <w:rsid w:val="00202F4C"/>
    <w:rsid w:val="00204600"/>
    <w:rsid w:val="002052C3"/>
    <w:rsid w:val="00207338"/>
    <w:rsid w:val="0021208E"/>
    <w:rsid w:val="002120FD"/>
    <w:rsid w:val="0021396B"/>
    <w:rsid w:val="00215AE9"/>
    <w:rsid w:val="002168AB"/>
    <w:rsid w:val="00217A57"/>
    <w:rsid w:val="0022039D"/>
    <w:rsid w:val="0022220B"/>
    <w:rsid w:val="002225E5"/>
    <w:rsid w:val="00222F2D"/>
    <w:rsid w:val="002230A6"/>
    <w:rsid w:val="00225405"/>
    <w:rsid w:val="00225EC0"/>
    <w:rsid w:val="00226121"/>
    <w:rsid w:val="00226E3A"/>
    <w:rsid w:val="002302C6"/>
    <w:rsid w:val="0023125E"/>
    <w:rsid w:val="00231481"/>
    <w:rsid w:val="00232A00"/>
    <w:rsid w:val="00232B4E"/>
    <w:rsid w:val="00234E9B"/>
    <w:rsid w:val="00237C03"/>
    <w:rsid w:val="00241CC2"/>
    <w:rsid w:val="0024437A"/>
    <w:rsid w:val="002463CE"/>
    <w:rsid w:val="002475AB"/>
    <w:rsid w:val="00251DB4"/>
    <w:rsid w:val="00255A52"/>
    <w:rsid w:val="0025624C"/>
    <w:rsid w:val="002569D4"/>
    <w:rsid w:val="00256AA6"/>
    <w:rsid w:val="00260FAA"/>
    <w:rsid w:val="002611A3"/>
    <w:rsid w:val="00262ABC"/>
    <w:rsid w:val="0026328D"/>
    <w:rsid w:val="00266D41"/>
    <w:rsid w:val="00267D2C"/>
    <w:rsid w:val="00270B9A"/>
    <w:rsid w:val="00271171"/>
    <w:rsid w:val="0027130C"/>
    <w:rsid w:val="002714EA"/>
    <w:rsid w:val="002728A5"/>
    <w:rsid w:val="00274DDC"/>
    <w:rsid w:val="00275005"/>
    <w:rsid w:val="00275306"/>
    <w:rsid w:val="00284404"/>
    <w:rsid w:val="0028473B"/>
    <w:rsid w:val="002866F2"/>
    <w:rsid w:val="00291115"/>
    <w:rsid w:val="002913D5"/>
    <w:rsid w:val="00292067"/>
    <w:rsid w:val="0029255D"/>
    <w:rsid w:val="002970AF"/>
    <w:rsid w:val="002970F6"/>
    <w:rsid w:val="002A02CC"/>
    <w:rsid w:val="002A3060"/>
    <w:rsid w:val="002A31BA"/>
    <w:rsid w:val="002A3783"/>
    <w:rsid w:val="002A4FC9"/>
    <w:rsid w:val="002A6BCC"/>
    <w:rsid w:val="002B077E"/>
    <w:rsid w:val="002B0BD2"/>
    <w:rsid w:val="002B2915"/>
    <w:rsid w:val="002B586C"/>
    <w:rsid w:val="002B5D11"/>
    <w:rsid w:val="002B6E0A"/>
    <w:rsid w:val="002C1932"/>
    <w:rsid w:val="002C21CB"/>
    <w:rsid w:val="002C40B9"/>
    <w:rsid w:val="002C4872"/>
    <w:rsid w:val="002C53AF"/>
    <w:rsid w:val="002D039F"/>
    <w:rsid w:val="002D19CF"/>
    <w:rsid w:val="002D1C27"/>
    <w:rsid w:val="002D627B"/>
    <w:rsid w:val="002D69A4"/>
    <w:rsid w:val="002D78F3"/>
    <w:rsid w:val="002E334B"/>
    <w:rsid w:val="002E34D0"/>
    <w:rsid w:val="002E36CF"/>
    <w:rsid w:val="002E3743"/>
    <w:rsid w:val="002E3FAC"/>
    <w:rsid w:val="002E4791"/>
    <w:rsid w:val="002E72BF"/>
    <w:rsid w:val="002E7858"/>
    <w:rsid w:val="002F0571"/>
    <w:rsid w:val="002F08AF"/>
    <w:rsid w:val="002F1D31"/>
    <w:rsid w:val="002F2729"/>
    <w:rsid w:val="002F2874"/>
    <w:rsid w:val="002F3163"/>
    <w:rsid w:val="002F4B69"/>
    <w:rsid w:val="003012E8"/>
    <w:rsid w:val="003028A4"/>
    <w:rsid w:val="00302945"/>
    <w:rsid w:val="00302AAA"/>
    <w:rsid w:val="00305424"/>
    <w:rsid w:val="00305901"/>
    <w:rsid w:val="0031013F"/>
    <w:rsid w:val="003105F5"/>
    <w:rsid w:val="003119FC"/>
    <w:rsid w:val="003126BC"/>
    <w:rsid w:val="00312A50"/>
    <w:rsid w:val="00312D8E"/>
    <w:rsid w:val="00313296"/>
    <w:rsid w:val="003149AE"/>
    <w:rsid w:val="0031596E"/>
    <w:rsid w:val="003163E3"/>
    <w:rsid w:val="00316544"/>
    <w:rsid w:val="00316697"/>
    <w:rsid w:val="003173EE"/>
    <w:rsid w:val="0031771E"/>
    <w:rsid w:val="003200F1"/>
    <w:rsid w:val="003209BF"/>
    <w:rsid w:val="003212BD"/>
    <w:rsid w:val="00322A67"/>
    <w:rsid w:val="003242A3"/>
    <w:rsid w:val="003244ED"/>
    <w:rsid w:val="00324F88"/>
    <w:rsid w:val="003257C8"/>
    <w:rsid w:val="0032710C"/>
    <w:rsid w:val="0032777F"/>
    <w:rsid w:val="00330408"/>
    <w:rsid w:val="003340F6"/>
    <w:rsid w:val="0033550B"/>
    <w:rsid w:val="00337A6E"/>
    <w:rsid w:val="00337E4F"/>
    <w:rsid w:val="00340181"/>
    <w:rsid w:val="0034035A"/>
    <w:rsid w:val="00342CE5"/>
    <w:rsid w:val="00343287"/>
    <w:rsid w:val="003446E9"/>
    <w:rsid w:val="00344AF5"/>
    <w:rsid w:val="00344BC5"/>
    <w:rsid w:val="00347199"/>
    <w:rsid w:val="003504C7"/>
    <w:rsid w:val="0035067B"/>
    <w:rsid w:val="00352933"/>
    <w:rsid w:val="00353B48"/>
    <w:rsid w:val="00356A0D"/>
    <w:rsid w:val="00360C37"/>
    <w:rsid w:val="003613F9"/>
    <w:rsid w:val="003616FA"/>
    <w:rsid w:val="00362CF5"/>
    <w:rsid w:val="00363202"/>
    <w:rsid w:val="00364AC2"/>
    <w:rsid w:val="00365829"/>
    <w:rsid w:val="00365C5B"/>
    <w:rsid w:val="00366361"/>
    <w:rsid w:val="0037088A"/>
    <w:rsid w:val="003727CA"/>
    <w:rsid w:val="00372A49"/>
    <w:rsid w:val="00374165"/>
    <w:rsid w:val="00377429"/>
    <w:rsid w:val="003775C7"/>
    <w:rsid w:val="00377C11"/>
    <w:rsid w:val="00377F09"/>
    <w:rsid w:val="00382796"/>
    <w:rsid w:val="00383CB7"/>
    <w:rsid w:val="00383D10"/>
    <w:rsid w:val="00384C74"/>
    <w:rsid w:val="003853CC"/>
    <w:rsid w:val="003854FD"/>
    <w:rsid w:val="003863BA"/>
    <w:rsid w:val="00392B85"/>
    <w:rsid w:val="003930B6"/>
    <w:rsid w:val="00394521"/>
    <w:rsid w:val="00394E9E"/>
    <w:rsid w:val="0039523B"/>
    <w:rsid w:val="0039620F"/>
    <w:rsid w:val="003963AD"/>
    <w:rsid w:val="003A003C"/>
    <w:rsid w:val="003A0865"/>
    <w:rsid w:val="003A1D12"/>
    <w:rsid w:val="003A1F89"/>
    <w:rsid w:val="003A2332"/>
    <w:rsid w:val="003A311C"/>
    <w:rsid w:val="003A317B"/>
    <w:rsid w:val="003A332A"/>
    <w:rsid w:val="003A4C71"/>
    <w:rsid w:val="003A53F9"/>
    <w:rsid w:val="003A5774"/>
    <w:rsid w:val="003A57D4"/>
    <w:rsid w:val="003A5846"/>
    <w:rsid w:val="003A6173"/>
    <w:rsid w:val="003A66D8"/>
    <w:rsid w:val="003B08A6"/>
    <w:rsid w:val="003B24A8"/>
    <w:rsid w:val="003B5E08"/>
    <w:rsid w:val="003B62B4"/>
    <w:rsid w:val="003B76E0"/>
    <w:rsid w:val="003C15A5"/>
    <w:rsid w:val="003C36FF"/>
    <w:rsid w:val="003C3751"/>
    <w:rsid w:val="003C4649"/>
    <w:rsid w:val="003C51B0"/>
    <w:rsid w:val="003C54EE"/>
    <w:rsid w:val="003C61AC"/>
    <w:rsid w:val="003C6504"/>
    <w:rsid w:val="003C74BB"/>
    <w:rsid w:val="003D085E"/>
    <w:rsid w:val="003D0C1E"/>
    <w:rsid w:val="003D1E20"/>
    <w:rsid w:val="003D35C7"/>
    <w:rsid w:val="003D426C"/>
    <w:rsid w:val="003D49B1"/>
    <w:rsid w:val="003D5C6C"/>
    <w:rsid w:val="003D5D62"/>
    <w:rsid w:val="003D6FBD"/>
    <w:rsid w:val="003E0009"/>
    <w:rsid w:val="003E1F9C"/>
    <w:rsid w:val="003E309D"/>
    <w:rsid w:val="003E4AAD"/>
    <w:rsid w:val="003E7306"/>
    <w:rsid w:val="003E736E"/>
    <w:rsid w:val="003E7AEB"/>
    <w:rsid w:val="003F0558"/>
    <w:rsid w:val="003F2C28"/>
    <w:rsid w:val="003F493C"/>
    <w:rsid w:val="003F4E3B"/>
    <w:rsid w:val="003F7A17"/>
    <w:rsid w:val="004010DA"/>
    <w:rsid w:val="00401A1C"/>
    <w:rsid w:val="00403DB5"/>
    <w:rsid w:val="004055C0"/>
    <w:rsid w:val="0040667D"/>
    <w:rsid w:val="00410DBF"/>
    <w:rsid w:val="004112B1"/>
    <w:rsid w:val="00413543"/>
    <w:rsid w:val="00413622"/>
    <w:rsid w:val="00417AF9"/>
    <w:rsid w:val="004201A2"/>
    <w:rsid w:val="00420920"/>
    <w:rsid w:val="004211F4"/>
    <w:rsid w:val="0042320A"/>
    <w:rsid w:val="00423616"/>
    <w:rsid w:val="00424160"/>
    <w:rsid w:val="00424DC0"/>
    <w:rsid w:val="00425A13"/>
    <w:rsid w:val="00425BBC"/>
    <w:rsid w:val="00425E6E"/>
    <w:rsid w:val="0042617B"/>
    <w:rsid w:val="00430118"/>
    <w:rsid w:val="0043039D"/>
    <w:rsid w:val="00431604"/>
    <w:rsid w:val="0043300A"/>
    <w:rsid w:val="0043468A"/>
    <w:rsid w:val="00434EED"/>
    <w:rsid w:val="00435587"/>
    <w:rsid w:val="00435CA9"/>
    <w:rsid w:val="00436498"/>
    <w:rsid w:val="004367E8"/>
    <w:rsid w:val="00437065"/>
    <w:rsid w:val="004412B3"/>
    <w:rsid w:val="004420C4"/>
    <w:rsid w:val="00442D79"/>
    <w:rsid w:val="00444648"/>
    <w:rsid w:val="00444E5A"/>
    <w:rsid w:val="00450552"/>
    <w:rsid w:val="00450DBE"/>
    <w:rsid w:val="0045177C"/>
    <w:rsid w:val="004520F5"/>
    <w:rsid w:val="004536BA"/>
    <w:rsid w:val="00453939"/>
    <w:rsid w:val="0045469A"/>
    <w:rsid w:val="004562AD"/>
    <w:rsid w:val="00456ACD"/>
    <w:rsid w:val="00456C10"/>
    <w:rsid w:val="004572D6"/>
    <w:rsid w:val="004608C2"/>
    <w:rsid w:val="00461B79"/>
    <w:rsid w:val="00461BDD"/>
    <w:rsid w:val="00463978"/>
    <w:rsid w:val="00464497"/>
    <w:rsid w:val="00464F42"/>
    <w:rsid w:val="00465623"/>
    <w:rsid w:val="00467ED8"/>
    <w:rsid w:val="00470865"/>
    <w:rsid w:val="00470B5F"/>
    <w:rsid w:val="00470C29"/>
    <w:rsid w:val="00473036"/>
    <w:rsid w:val="0047340A"/>
    <w:rsid w:val="00474A74"/>
    <w:rsid w:val="00475F62"/>
    <w:rsid w:val="004777B6"/>
    <w:rsid w:val="00477987"/>
    <w:rsid w:val="00477C8D"/>
    <w:rsid w:val="0048326E"/>
    <w:rsid w:val="00486455"/>
    <w:rsid w:val="0048658C"/>
    <w:rsid w:val="0048729D"/>
    <w:rsid w:val="004873EE"/>
    <w:rsid w:val="00494CAE"/>
    <w:rsid w:val="00495316"/>
    <w:rsid w:val="00496CE9"/>
    <w:rsid w:val="004A0E9A"/>
    <w:rsid w:val="004A1352"/>
    <w:rsid w:val="004A1AEB"/>
    <w:rsid w:val="004A1AF9"/>
    <w:rsid w:val="004A1C4F"/>
    <w:rsid w:val="004A2B42"/>
    <w:rsid w:val="004A4457"/>
    <w:rsid w:val="004A5167"/>
    <w:rsid w:val="004A51A0"/>
    <w:rsid w:val="004A5BE6"/>
    <w:rsid w:val="004A7673"/>
    <w:rsid w:val="004A7998"/>
    <w:rsid w:val="004A7E19"/>
    <w:rsid w:val="004B335D"/>
    <w:rsid w:val="004B36AC"/>
    <w:rsid w:val="004B40F4"/>
    <w:rsid w:val="004B5310"/>
    <w:rsid w:val="004B6044"/>
    <w:rsid w:val="004B67BC"/>
    <w:rsid w:val="004B72D4"/>
    <w:rsid w:val="004C05F2"/>
    <w:rsid w:val="004C1773"/>
    <w:rsid w:val="004C24F9"/>
    <w:rsid w:val="004C4B94"/>
    <w:rsid w:val="004C6612"/>
    <w:rsid w:val="004C6C5E"/>
    <w:rsid w:val="004D1D6F"/>
    <w:rsid w:val="004D2AD5"/>
    <w:rsid w:val="004D3196"/>
    <w:rsid w:val="004D343B"/>
    <w:rsid w:val="004D36F1"/>
    <w:rsid w:val="004D3FD4"/>
    <w:rsid w:val="004D4C54"/>
    <w:rsid w:val="004D5371"/>
    <w:rsid w:val="004D5396"/>
    <w:rsid w:val="004E036B"/>
    <w:rsid w:val="004E6E69"/>
    <w:rsid w:val="004E7613"/>
    <w:rsid w:val="004E7B68"/>
    <w:rsid w:val="004F0334"/>
    <w:rsid w:val="004F03CF"/>
    <w:rsid w:val="004F10F0"/>
    <w:rsid w:val="004F2667"/>
    <w:rsid w:val="004F2CDE"/>
    <w:rsid w:val="004F35A4"/>
    <w:rsid w:val="004F6A90"/>
    <w:rsid w:val="004F7BF7"/>
    <w:rsid w:val="00500921"/>
    <w:rsid w:val="00504C88"/>
    <w:rsid w:val="005055F2"/>
    <w:rsid w:val="0050648C"/>
    <w:rsid w:val="00506CA1"/>
    <w:rsid w:val="005071DC"/>
    <w:rsid w:val="00507F60"/>
    <w:rsid w:val="005107A6"/>
    <w:rsid w:val="0051129A"/>
    <w:rsid w:val="0051136C"/>
    <w:rsid w:val="005135E0"/>
    <w:rsid w:val="00514C87"/>
    <w:rsid w:val="00516AA6"/>
    <w:rsid w:val="00517370"/>
    <w:rsid w:val="00521221"/>
    <w:rsid w:val="005216A6"/>
    <w:rsid w:val="00522FEA"/>
    <w:rsid w:val="0052322E"/>
    <w:rsid w:val="005238AE"/>
    <w:rsid w:val="00523E83"/>
    <w:rsid w:val="005301F5"/>
    <w:rsid w:val="00532054"/>
    <w:rsid w:val="00533662"/>
    <w:rsid w:val="00534B0B"/>
    <w:rsid w:val="005357FC"/>
    <w:rsid w:val="00536459"/>
    <w:rsid w:val="00541125"/>
    <w:rsid w:val="005419B9"/>
    <w:rsid w:val="00541F55"/>
    <w:rsid w:val="005422ED"/>
    <w:rsid w:val="00543A32"/>
    <w:rsid w:val="005448E6"/>
    <w:rsid w:val="00544BA2"/>
    <w:rsid w:val="00544D7B"/>
    <w:rsid w:val="005457F0"/>
    <w:rsid w:val="005459F1"/>
    <w:rsid w:val="00546A26"/>
    <w:rsid w:val="0054734F"/>
    <w:rsid w:val="00550101"/>
    <w:rsid w:val="005508A3"/>
    <w:rsid w:val="005533E2"/>
    <w:rsid w:val="0055593A"/>
    <w:rsid w:val="005612A3"/>
    <w:rsid w:val="005633CA"/>
    <w:rsid w:val="00563DA7"/>
    <w:rsid w:val="005647E2"/>
    <w:rsid w:val="00564B16"/>
    <w:rsid w:val="00564E92"/>
    <w:rsid w:val="00565F2F"/>
    <w:rsid w:val="0056623C"/>
    <w:rsid w:val="005669CC"/>
    <w:rsid w:val="00570244"/>
    <w:rsid w:val="00571096"/>
    <w:rsid w:val="00571591"/>
    <w:rsid w:val="0057211C"/>
    <w:rsid w:val="005721BC"/>
    <w:rsid w:val="0057288F"/>
    <w:rsid w:val="00572E21"/>
    <w:rsid w:val="00573054"/>
    <w:rsid w:val="00574277"/>
    <w:rsid w:val="00574641"/>
    <w:rsid w:val="00575A7D"/>
    <w:rsid w:val="00575C7F"/>
    <w:rsid w:val="00575CD4"/>
    <w:rsid w:val="00576394"/>
    <w:rsid w:val="00577C39"/>
    <w:rsid w:val="00581D53"/>
    <w:rsid w:val="00583654"/>
    <w:rsid w:val="00583A28"/>
    <w:rsid w:val="00584BB4"/>
    <w:rsid w:val="00585A2A"/>
    <w:rsid w:val="005917C9"/>
    <w:rsid w:val="00591946"/>
    <w:rsid w:val="00592D32"/>
    <w:rsid w:val="005931F5"/>
    <w:rsid w:val="00593783"/>
    <w:rsid w:val="00593CD5"/>
    <w:rsid w:val="00594400"/>
    <w:rsid w:val="00594827"/>
    <w:rsid w:val="0059500D"/>
    <w:rsid w:val="0059529F"/>
    <w:rsid w:val="00595CD7"/>
    <w:rsid w:val="00596542"/>
    <w:rsid w:val="00596EF0"/>
    <w:rsid w:val="00596F3D"/>
    <w:rsid w:val="00596F50"/>
    <w:rsid w:val="005A0223"/>
    <w:rsid w:val="005A0E17"/>
    <w:rsid w:val="005A0FAF"/>
    <w:rsid w:val="005A3473"/>
    <w:rsid w:val="005A4D3A"/>
    <w:rsid w:val="005A748C"/>
    <w:rsid w:val="005A7574"/>
    <w:rsid w:val="005A7D47"/>
    <w:rsid w:val="005B037D"/>
    <w:rsid w:val="005B11D9"/>
    <w:rsid w:val="005B2108"/>
    <w:rsid w:val="005B223B"/>
    <w:rsid w:val="005B41A8"/>
    <w:rsid w:val="005B4F7F"/>
    <w:rsid w:val="005B5C20"/>
    <w:rsid w:val="005B63A4"/>
    <w:rsid w:val="005B72D7"/>
    <w:rsid w:val="005C0D0B"/>
    <w:rsid w:val="005C10F8"/>
    <w:rsid w:val="005C2050"/>
    <w:rsid w:val="005C22B4"/>
    <w:rsid w:val="005C2427"/>
    <w:rsid w:val="005D08FF"/>
    <w:rsid w:val="005D0A73"/>
    <w:rsid w:val="005D165E"/>
    <w:rsid w:val="005D23A7"/>
    <w:rsid w:val="005D28F6"/>
    <w:rsid w:val="005D3201"/>
    <w:rsid w:val="005D3764"/>
    <w:rsid w:val="005D3E90"/>
    <w:rsid w:val="005D5748"/>
    <w:rsid w:val="005D5B71"/>
    <w:rsid w:val="005E1D70"/>
    <w:rsid w:val="005F0720"/>
    <w:rsid w:val="005F0C03"/>
    <w:rsid w:val="005F2B0E"/>
    <w:rsid w:val="005F3FE2"/>
    <w:rsid w:val="00600CE3"/>
    <w:rsid w:val="006014B5"/>
    <w:rsid w:val="00601951"/>
    <w:rsid w:val="006020A7"/>
    <w:rsid w:val="00602D5B"/>
    <w:rsid w:val="006033BF"/>
    <w:rsid w:val="0060402D"/>
    <w:rsid w:val="00604083"/>
    <w:rsid w:val="0060463D"/>
    <w:rsid w:val="0060585C"/>
    <w:rsid w:val="00607A30"/>
    <w:rsid w:val="0061073A"/>
    <w:rsid w:val="00612BD6"/>
    <w:rsid w:val="00612F7F"/>
    <w:rsid w:val="006133B2"/>
    <w:rsid w:val="0061361C"/>
    <w:rsid w:val="00614ABC"/>
    <w:rsid w:val="00614E8F"/>
    <w:rsid w:val="00615B63"/>
    <w:rsid w:val="00617556"/>
    <w:rsid w:val="006178A4"/>
    <w:rsid w:val="00621B6F"/>
    <w:rsid w:val="00623E38"/>
    <w:rsid w:val="006242CD"/>
    <w:rsid w:val="00624C23"/>
    <w:rsid w:val="00624DC0"/>
    <w:rsid w:val="00625179"/>
    <w:rsid w:val="006258E1"/>
    <w:rsid w:val="00626186"/>
    <w:rsid w:val="0063122F"/>
    <w:rsid w:val="006312AD"/>
    <w:rsid w:val="006323F0"/>
    <w:rsid w:val="0063263F"/>
    <w:rsid w:val="00635472"/>
    <w:rsid w:val="00635B93"/>
    <w:rsid w:val="006368AD"/>
    <w:rsid w:val="006369A6"/>
    <w:rsid w:val="00636BCE"/>
    <w:rsid w:val="00636D71"/>
    <w:rsid w:val="00636F78"/>
    <w:rsid w:val="00637842"/>
    <w:rsid w:val="00640FCD"/>
    <w:rsid w:val="00641A20"/>
    <w:rsid w:val="00642F2B"/>
    <w:rsid w:val="006437B0"/>
    <w:rsid w:val="0064408E"/>
    <w:rsid w:val="006459D0"/>
    <w:rsid w:val="006461EB"/>
    <w:rsid w:val="00650917"/>
    <w:rsid w:val="00651C23"/>
    <w:rsid w:val="00651DEB"/>
    <w:rsid w:val="00652524"/>
    <w:rsid w:val="00652915"/>
    <w:rsid w:val="0065508E"/>
    <w:rsid w:val="006557B6"/>
    <w:rsid w:val="00656018"/>
    <w:rsid w:val="00656A00"/>
    <w:rsid w:val="00660E81"/>
    <w:rsid w:val="00661E55"/>
    <w:rsid w:val="00662176"/>
    <w:rsid w:val="00662580"/>
    <w:rsid w:val="00662AA4"/>
    <w:rsid w:val="0066342D"/>
    <w:rsid w:val="00664266"/>
    <w:rsid w:val="00664A8D"/>
    <w:rsid w:val="00665560"/>
    <w:rsid w:val="00665EFF"/>
    <w:rsid w:val="00667C14"/>
    <w:rsid w:val="00667DAD"/>
    <w:rsid w:val="006718D2"/>
    <w:rsid w:val="00671DDC"/>
    <w:rsid w:val="00672D18"/>
    <w:rsid w:val="00673117"/>
    <w:rsid w:val="00673F53"/>
    <w:rsid w:val="00675C32"/>
    <w:rsid w:val="00676BAB"/>
    <w:rsid w:val="0068173D"/>
    <w:rsid w:val="00681E4F"/>
    <w:rsid w:val="0068205A"/>
    <w:rsid w:val="00683362"/>
    <w:rsid w:val="00686B8D"/>
    <w:rsid w:val="006900B0"/>
    <w:rsid w:val="0069021D"/>
    <w:rsid w:val="00690DED"/>
    <w:rsid w:val="006915AC"/>
    <w:rsid w:val="00691A46"/>
    <w:rsid w:val="00693AFB"/>
    <w:rsid w:val="00693C15"/>
    <w:rsid w:val="006961CB"/>
    <w:rsid w:val="006965E3"/>
    <w:rsid w:val="006967D1"/>
    <w:rsid w:val="0069710C"/>
    <w:rsid w:val="00697862"/>
    <w:rsid w:val="006A1744"/>
    <w:rsid w:val="006A1F6B"/>
    <w:rsid w:val="006A23A0"/>
    <w:rsid w:val="006A3228"/>
    <w:rsid w:val="006A3B49"/>
    <w:rsid w:val="006A4EAB"/>
    <w:rsid w:val="006A57A5"/>
    <w:rsid w:val="006A6151"/>
    <w:rsid w:val="006B192E"/>
    <w:rsid w:val="006B24EF"/>
    <w:rsid w:val="006B2AC2"/>
    <w:rsid w:val="006B3611"/>
    <w:rsid w:val="006B4090"/>
    <w:rsid w:val="006B6333"/>
    <w:rsid w:val="006B7574"/>
    <w:rsid w:val="006B760D"/>
    <w:rsid w:val="006B761E"/>
    <w:rsid w:val="006B7AD7"/>
    <w:rsid w:val="006C002D"/>
    <w:rsid w:val="006C1495"/>
    <w:rsid w:val="006C3643"/>
    <w:rsid w:val="006C3AB2"/>
    <w:rsid w:val="006C6650"/>
    <w:rsid w:val="006D1382"/>
    <w:rsid w:val="006D15FC"/>
    <w:rsid w:val="006D25F3"/>
    <w:rsid w:val="006D375F"/>
    <w:rsid w:val="006D3855"/>
    <w:rsid w:val="006D397F"/>
    <w:rsid w:val="006E2B12"/>
    <w:rsid w:val="006E3B8F"/>
    <w:rsid w:val="006E4A37"/>
    <w:rsid w:val="006E4B29"/>
    <w:rsid w:val="006E568F"/>
    <w:rsid w:val="006F339D"/>
    <w:rsid w:val="006F4815"/>
    <w:rsid w:val="006F75AB"/>
    <w:rsid w:val="006F7BBB"/>
    <w:rsid w:val="00700189"/>
    <w:rsid w:val="00700833"/>
    <w:rsid w:val="00703540"/>
    <w:rsid w:val="00703BDE"/>
    <w:rsid w:val="00704127"/>
    <w:rsid w:val="00706FB3"/>
    <w:rsid w:val="00707671"/>
    <w:rsid w:val="00710226"/>
    <w:rsid w:val="00710BDE"/>
    <w:rsid w:val="007112D1"/>
    <w:rsid w:val="007139A3"/>
    <w:rsid w:val="00714164"/>
    <w:rsid w:val="00714D14"/>
    <w:rsid w:val="00715400"/>
    <w:rsid w:val="00716B0D"/>
    <w:rsid w:val="007174CB"/>
    <w:rsid w:val="00717E40"/>
    <w:rsid w:val="007200BA"/>
    <w:rsid w:val="00720C71"/>
    <w:rsid w:val="00721783"/>
    <w:rsid w:val="00721983"/>
    <w:rsid w:val="00721B8F"/>
    <w:rsid w:val="00721C0E"/>
    <w:rsid w:val="007228E6"/>
    <w:rsid w:val="0072471D"/>
    <w:rsid w:val="007257AE"/>
    <w:rsid w:val="00725878"/>
    <w:rsid w:val="00727C5E"/>
    <w:rsid w:val="007329B2"/>
    <w:rsid w:val="00732C94"/>
    <w:rsid w:val="00733F35"/>
    <w:rsid w:val="007357E7"/>
    <w:rsid w:val="007359A0"/>
    <w:rsid w:val="007367C8"/>
    <w:rsid w:val="007373C9"/>
    <w:rsid w:val="00737A1D"/>
    <w:rsid w:val="00740935"/>
    <w:rsid w:val="00742FE9"/>
    <w:rsid w:val="007435B9"/>
    <w:rsid w:val="00744B4F"/>
    <w:rsid w:val="00745629"/>
    <w:rsid w:val="0074617D"/>
    <w:rsid w:val="00746A9C"/>
    <w:rsid w:val="007471CA"/>
    <w:rsid w:val="00750BAA"/>
    <w:rsid w:val="00751F51"/>
    <w:rsid w:val="0075223F"/>
    <w:rsid w:val="007537AB"/>
    <w:rsid w:val="0075389F"/>
    <w:rsid w:val="00753BE7"/>
    <w:rsid w:val="00753F33"/>
    <w:rsid w:val="007550AA"/>
    <w:rsid w:val="00755F69"/>
    <w:rsid w:val="00756A0B"/>
    <w:rsid w:val="0075758F"/>
    <w:rsid w:val="00757688"/>
    <w:rsid w:val="007579F7"/>
    <w:rsid w:val="007611C4"/>
    <w:rsid w:val="007631D6"/>
    <w:rsid w:val="007667F0"/>
    <w:rsid w:val="00771752"/>
    <w:rsid w:val="0077175D"/>
    <w:rsid w:val="00771829"/>
    <w:rsid w:val="00771FE1"/>
    <w:rsid w:val="0077218B"/>
    <w:rsid w:val="007722EE"/>
    <w:rsid w:val="007730D3"/>
    <w:rsid w:val="007779A1"/>
    <w:rsid w:val="007815F7"/>
    <w:rsid w:val="0078187F"/>
    <w:rsid w:val="00782117"/>
    <w:rsid w:val="00782FF3"/>
    <w:rsid w:val="00783844"/>
    <w:rsid w:val="00783B02"/>
    <w:rsid w:val="00785370"/>
    <w:rsid w:val="00785A37"/>
    <w:rsid w:val="00786A37"/>
    <w:rsid w:val="00787518"/>
    <w:rsid w:val="00787D57"/>
    <w:rsid w:val="00790A89"/>
    <w:rsid w:val="00790C6B"/>
    <w:rsid w:val="007917E2"/>
    <w:rsid w:val="007918F6"/>
    <w:rsid w:val="007919AB"/>
    <w:rsid w:val="00791CF9"/>
    <w:rsid w:val="00792A70"/>
    <w:rsid w:val="007945BA"/>
    <w:rsid w:val="00795215"/>
    <w:rsid w:val="00796B0F"/>
    <w:rsid w:val="0079771A"/>
    <w:rsid w:val="007A0716"/>
    <w:rsid w:val="007A07F4"/>
    <w:rsid w:val="007A0802"/>
    <w:rsid w:val="007A18E7"/>
    <w:rsid w:val="007A1BFD"/>
    <w:rsid w:val="007A23AD"/>
    <w:rsid w:val="007A306A"/>
    <w:rsid w:val="007A52FA"/>
    <w:rsid w:val="007A5C12"/>
    <w:rsid w:val="007A5CF2"/>
    <w:rsid w:val="007A710F"/>
    <w:rsid w:val="007B1ABF"/>
    <w:rsid w:val="007B1ACA"/>
    <w:rsid w:val="007B22C0"/>
    <w:rsid w:val="007B40FE"/>
    <w:rsid w:val="007B4105"/>
    <w:rsid w:val="007B418D"/>
    <w:rsid w:val="007B4B3F"/>
    <w:rsid w:val="007B4EF2"/>
    <w:rsid w:val="007B65A4"/>
    <w:rsid w:val="007B6CA9"/>
    <w:rsid w:val="007B7648"/>
    <w:rsid w:val="007B7698"/>
    <w:rsid w:val="007C0C28"/>
    <w:rsid w:val="007C1EE5"/>
    <w:rsid w:val="007C2006"/>
    <w:rsid w:val="007C3786"/>
    <w:rsid w:val="007C404E"/>
    <w:rsid w:val="007C6017"/>
    <w:rsid w:val="007C7AB1"/>
    <w:rsid w:val="007D119A"/>
    <w:rsid w:val="007D128B"/>
    <w:rsid w:val="007D321F"/>
    <w:rsid w:val="007D47EC"/>
    <w:rsid w:val="007D508A"/>
    <w:rsid w:val="007D5790"/>
    <w:rsid w:val="007D5EDE"/>
    <w:rsid w:val="007D661D"/>
    <w:rsid w:val="007E1A39"/>
    <w:rsid w:val="007E1AD7"/>
    <w:rsid w:val="007E1B06"/>
    <w:rsid w:val="007E1DE5"/>
    <w:rsid w:val="007E265B"/>
    <w:rsid w:val="007E2C15"/>
    <w:rsid w:val="007E3145"/>
    <w:rsid w:val="007E37D7"/>
    <w:rsid w:val="007E4FC6"/>
    <w:rsid w:val="007E58C5"/>
    <w:rsid w:val="007E7DC4"/>
    <w:rsid w:val="007F01CF"/>
    <w:rsid w:val="007F14CD"/>
    <w:rsid w:val="007F299F"/>
    <w:rsid w:val="007F2D43"/>
    <w:rsid w:val="007F3610"/>
    <w:rsid w:val="007F394A"/>
    <w:rsid w:val="007F66BE"/>
    <w:rsid w:val="007F708F"/>
    <w:rsid w:val="00800020"/>
    <w:rsid w:val="0080061A"/>
    <w:rsid w:val="00801531"/>
    <w:rsid w:val="008016FD"/>
    <w:rsid w:val="0080236F"/>
    <w:rsid w:val="00802BE2"/>
    <w:rsid w:val="00802DF4"/>
    <w:rsid w:val="00803C1A"/>
    <w:rsid w:val="00805BD6"/>
    <w:rsid w:val="008067DE"/>
    <w:rsid w:val="00811E40"/>
    <w:rsid w:val="00812062"/>
    <w:rsid w:val="00813C76"/>
    <w:rsid w:val="00813FB5"/>
    <w:rsid w:val="00814899"/>
    <w:rsid w:val="008213ED"/>
    <w:rsid w:val="0082184F"/>
    <w:rsid w:val="008221F7"/>
    <w:rsid w:val="00822774"/>
    <w:rsid w:val="0082579A"/>
    <w:rsid w:val="0082678E"/>
    <w:rsid w:val="00827073"/>
    <w:rsid w:val="00827B03"/>
    <w:rsid w:val="008326CE"/>
    <w:rsid w:val="0083446D"/>
    <w:rsid w:val="00835916"/>
    <w:rsid w:val="00835933"/>
    <w:rsid w:val="0084049A"/>
    <w:rsid w:val="00840B67"/>
    <w:rsid w:val="00841100"/>
    <w:rsid w:val="00841A7F"/>
    <w:rsid w:val="00841E4B"/>
    <w:rsid w:val="008438FA"/>
    <w:rsid w:val="008451B1"/>
    <w:rsid w:val="00845F60"/>
    <w:rsid w:val="00846090"/>
    <w:rsid w:val="008504AB"/>
    <w:rsid w:val="00851D75"/>
    <w:rsid w:val="008528E4"/>
    <w:rsid w:val="00853422"/>
    <w:rsid w:val="008539C1"/>
    <w:rsid w:val="00854D3B"/>
    <w:rsid w:val="00855A33"/>
    <w:rsid w:val="00856692"/>
    <w:rsid w:val="008569FA"/>
    <w:rsid w:val="00857413"/>
    <w:rsid w:val="008605DA"/>
    <w:rsid w:val="008629F6"/>
    <w:rsid w:val="00863880"/>
    <w:rsid w:val="00863A1A"/>
    <w:rsid w:val="00865470"/>
    <w:rsid w:val="00865B2E"/>
    <w:rsid w:val="00867061"/>
    <w:rsid w:val="00870047"/>
    <w:rsid w:val="00874E55"/>
    <w:rsid w:val="0087562B"/>
    <w:rsid w:val="00875FB2"/>
    <w:rsid w:val="0087686A"/>
    <w:rsid w:val="00876933"/>
    <w:rsid w:val="00876DBE"/>
    <w:rsid w:val="008774F9"/>
    <w:rsid w:val="00880FB0"/>
    <w:rsid w:val="00884413"/>
    <w:rsid w:val="00884A9F"/>
    <w:rsid w:val="00885237"/>
    <w:rsid w:val="008852E9"/>
    <w:rsid w:val="0088591C"/>
    <w:rsid w:val="00886C21"/>
    <w:rsid w:val="00887164"/>
    <w:rsid w:val="008910FC"/>
    <w:rsid w:val="00893CA0"/>
    <w:rsid w:val="008950DC"/>
    <w:rsid w:val="00895FD9"/>
    <w:rsid w:val="00895FEC"/>
    <w:rsid w:val="008976EB"/>
    <w:rsid w:val="00897778"/>
    <w:rsid w:val="008A05C5"/>
    <w:rsid w:val="008A1D5D"/>
    <w:rsid w:val="008A42FD"/>
    <w:rsid w:val="008A4938"/>
    <w:rsid w:val="008A7D27"/>
    <w:rsid w:val="008B07B1"/>
    <w:rsid w:val="008B0F22"/>
    <w:rsid w:val="008B1045"/>
    <w:rsid w:val="008B11B5"/>
    <w:rsid w:val="008B1534"/>
    <w:rsid w:val="008B16EB"/>
    <w:rsid w:val="008B5D00"/>
    <w:rsid w:val="008B7199"/>
    <w:rsid w:val="008C1202"/>
    <w:rsid w:val="008C1A71"/>
    <w:rsid w:val="008C240F"/>
    <w:rsid w:val="008C3975"/>
    <w:rsid w:val="008C3EC3"/>
    <w:rsid w:val="008C3F7C"/>
    <w:rsid w:val="008C41A0"/>
    <w:rsid w:val="008C49DD"/>
    <w:rsid w:val="008C52ED"/>
    <w:rsid w:val="008C5CDF"/>
    <w:rsid w:val="008C6ADC"/>
    <w:rsid w:val="008C6BC3"/>
    <w:rsid w:val="008D10D2"/>
    <w:rsid w:val="008D1223"/>
    <w:rsid w:val="008D1452"/>
    <w:rsid w:val="008D31EF"/>
    <w:rsid w:val="008D32A6"/>
    <w:rsid w:val="008D4B8C"/>
    <w:rsid w:val="008D62AA"/>
    <w:rsid w:val="008D6DB8"/>
    <w:rsid w:val="008E10D1"/>
    <w:rsid w:val="008E311B"/>
    <w:rsid w:val="008E3F1F"/>
    <w:rsid w:val="008E407B"/>
    <w:rsid w:val="008E44B4"/>
    <w:rsid w:val="008E4713"/>
    <w:rsid w:val="008F107F"/>
    <w:rsid w:val="008F1137"/>
    <w:rsid w:val="008F14C2"/>
    <w:rsid w:val="008F19F8"/>
    <w:rsid w:val="008F58B3"/>
    <w:rsid w:val="008F60BD"/>
    <w:rsid w:val="008F7594"/>
    <w:rsid w:val="008F7664"/>
    <w:rsid w:val="008F7758"/>
    <w:rsid w:val="008F79B1"/>
    <w:rsid w:val="00900022"/>
    <w:rsid w:val="009004EE"/>
    <w:rsid w:val="00904589"/>
    <w:rsid w:val="00905F82"/>
    <w:rsid w:val="009062EA"/>
    <w:rsid w:val="00906E3E"/>
    <w:rsid w:val="00907178"/>
    <w:rsid w:val="009110E6"/>
    <w:rsid w:val="009125F9"/>
    <w:rsid w:val="00912C9A"/>
    <w:rsid w:val="009132DA"/>
    <w:rsid w:val="00914613"/>
    <w:rsid w:val="009149A2"/>
    <w:rsid w:val="00914E19"/>
    <w:rsid w:val="00920282"/>
    <w:rsid w:val="00920D17"/>
    <w:rsid w:val="009214D7"/>
    <w:rsid w:val="0092311B"/>
    <w:rsid w:val="00925467"/>
    <w:rsid w:val="00926342"/>
    <w:rsid w:val="009264B4"/>
    <w:rsid w:val="0092681B"/>
    <w:rsid w:val="00927B68"/>
    <w:rsid w:val="0093017B"/>
    <w:rsid w:val="00931574"/>
    <w:rsid w:val="009328C8"/>
    <w:rsid w:val="009339A0"/>
    <w:rsid w:val="00934F4A"/>
    <w:rsid w:val="009353D3"/>
    <w:rsid w:val="00940046"/>
    <w:rsid w:val="00940A0B"/>
    <w:rsid w:val="00942E42"/>
    <w:rsid w:val="009446F5"/>
    <w:rsid w:val="00945B5F"/>
    <w:rsid w:val="00946909"/>
    <w:rsid w:val="00946AB1"/>
    <w:rsid w:val="00946B47"/>
    <w:rsid w:val="0094747F"/>
    <w:rsid w:val="00947640"/>
    <w:rsid w:val="00947668"/>
    <w:rsid w:val="00947922"/>
    <w:rsid w:val="0095058A"/>
    <w:rsid w:val="00952455"/>
    <w:rsid w:val="00953590"/>
    <w:rsid w:val="00957721"/>
    <w:rsid w:val="00957934"/>
    <w:rsid w:val="00960548"/>
    <w:rsid w:val="00961149"/>
    <w:rsid w:val="00961B9C"/>
    <w:rsid w:val="00962BDC"/>
    <w:rsid w:val="009649A4"/>
    <w:rsid w:val="00964BF4"/>
    <w:rsid w:val="00965012"/>
    <w:rsid w:val="00967227"/>
    <w:rsid w:val="00970735"/>
    <w:rsid w:val="00971943"/>
    <w:rsid w:val="00971FF6"/>
    <w:rsid w:val="00972555"/>
    <w:rsid w:val="00972CF6"/>
    <w:rsid w:val="00974020"/>
    <w:rsid w:val="0097451F"/>
    <w:rsid w:val="00980139"/>
    <w:rsid w:val="009808AF"/>
    <w:rsid w:val="00980A20"/>
    <w:rsid w:val="00984E02"/>
    <w:rsid w:val="0098544D"/>
    <w:rsid w:val="00986717"/>
    <w:rsid w:val="00987D58"/>
    <w:rsid w:val="00991ED7"/>
    <w:rsid w:val="009927D2"/>
    <w:rsid w:val="00992D3B"/>
    <w:rsid w:val="00992E30"/>
    <w:rsid w:val="00993F52"/>
    <w:rsid w:val="0099545F"/>
    <w:rsid w:val="009973D0"/>
    <w:rsid w:val="009A1766"/>
    <w:rsid w:val="009A2408"/>
    <w:rsid w:val="009A265D"/>
    <w:rsid w:val="009A2D33"/>
    <w:rsid w:val="009A37D9"/>
    <w:rsid w:val="009A415F"/>
    <w:rsid w:val="009A4370"/>
    <w:rsid w:val="009A5235"/>
    <w:rsid w:val="009A6993"/>
    <w:rsid w:val="009A7F8C"/>
    <w:rsid w:val="009B0CA4"/>
    <w:rsid w:val="009B0F0E"/>
    <w:rsid w:val="009B115C"/>
    <w:rsid w:val="009B20A9"/>
    <w:rsid w:val="009B5D53"/>
    <w:rsid w:val="009B7E51"/>
    <w:rsid w:val="009C03B8"/>
    <w:rsid w:val="009C0D82"/>
    <w:rsid w:val="009C1CF4"/>
    <w:rsid w:val="009C27E1"/>
    <w:rsid w:val="009C2D71"/>
    <w:rsid w:val="009C33FB"/>
    <w:rsid w:val="009C3821"/>
    <w:rsid w:val="009C39B0"/>
    <w:rsid w:val="009C43AB"/>
    <w:rsid w:val="009C5A16"/>
    <w:rsid w:val="009C6F81"/>
    <w:rsid w:val="009C70D9"/>
    <w:rsid w:val="009C75BE"/>
    <w:rsid w:val="009C760D"/>
    <w:rsid w:val="009D1498"/>
    <w:rsid w:val="009D1FAD"/>
    <w:rsid w:val="009D2B04"/>
    <w:rsid w:val="009D3E9B"/>
    <w:rsid w:val="009D3F17"/>
    <w:rsid w:val="009D42D5"/>
    <w:rsid w:val="009D45A6"/>
    <w:rsid w:val="009D5A14"/>
    <w:rsid w:val="009D6BEA"/>
    <w:rsid w:val="009D7E6E"/>
    <w:rsid w:val="009E3213"/>
    <w:rsid w:val="009E341D"/>
    <w:rsid w:val="009E5D58"/>
    <w:rsid w:val="009E790D"/>
    <w:rsid w:val="009E7B2A"/>
    <w:rsid w:val="009F308F"/>
    <w:rsid w:val="009F30B3"/>
    <w:rsid w:val="009F324F"/>
    <w:rsid w:val="009F33CC"/>
    <w:rsid w:val="009F364F"/>
    <w:rsid w:val="009F3741"/>
    <w:rsid w:val="009F3743"/>
    <w:rsid w:val="009F4551"/>
    <w:rsid w:val="009F4748"/>
    <w:rsid w:val="009F49C0"/>
    <w:rsid w:val="009F50C9"/>
    <w:rsid w:val="00A00BEA"/>
    <w:rsid w:val="00A013BD"/>
    <w:rsid w:val="00A023D1"/>
    <w:rsid w:val="00A0360B"/>
    <w:rsid w:val="00A04AE4"/>
    <w:rsid w:val="00A05469"/>
    <w:rsid w:val="00A074A9"/>
    <w:rsid w:val="00A074EA"/>
    <w:rsid w:val="00A10D65"/>
    <w:rsid w:val="00A10FE1"/>
    <w:rsid w:val="00A1350C"/>
    <w:rsid w:val="00A13DB2"/>
    <w:rsid w:val="00A1425B"/>
    <w:rsid w:val="00A1487F"/>
    <w:rsid w:val="00A14CAD"/>
    <w:rsid w:val="00A15CE1"/>
    <w:rsid w:val="00A17265"/>
    <w:rsid w:val="00A176D7"/>
    <w:rsid w:val="00A1778B"/>
    <w:rsid w:val="00A232F6"/>
    <w:rsid w:val="00A250CB"/>
    <w:rsid w:val="00A30898"/>
    <w:rsid w:val="00A30B94"/>
    <w:rsid w:val="00A30BD5"/>
    <w:rsid w:val="00A32D9D"/>
    <w:rsid w:val="00A33208"/>
    <w:rsid w:val="00A33696"/>
    <w:rsid w:val="00A3394F"/>
    <w:rsid w:val="00A33F96"/>
    <w:rsid w:val="00A3436F"/>
    <w:rsid w:val="00A34980"/>
    <w:rsid w:val="00A35A3D"/>
    <w:rsid w:val="00A35E24"/>
    <w:rsid w:val="00A35E96"/>
    <w:rsid w:val="00A364AC"/>
    <w:rsid w:val="00A44224"/>
    <w:rsid w:val="00A449CC"/>
    <w:rsid w:val="00A44B29"/>
    <w:rsid w:val="00A44F74"/>
    <w:rsid w:val="00A50A97"/>
    <w:rsid w:val="00A5190E"/>
    <w:rsid w:val="00A52355"/>
    <w:rsid w:val="00A5244C"/>
    <w:rsid w:val="00A54AEB"/>
    <w:rsid w:val="00A56176"/>
    <w:rsid w:val="00A6456A"/>
    <w:rsid w:val="00A6530A"/>
    <w:rsid w:val="00A66239"/>
    <w:rsid w:val="00A66CC3"/>
    <w:rsid w:val="00A67562"/>
    <w:rsid w:val="00A7064C"/>
    <w:rsid w:val="00A70D94"/>
    <w:rsid w:val="00A72272"/>
    <w:rsid w:val="00A7356F"/>
    <w:rsid w:val="00A76185"/>
    <w:rsid w:val="00A76D9C"/>
    <w:rsid w:val="00A775A1"/>
    <w:rsid w:val="00A777A9"/>
    <w:rsid w:val="00A805F5"/>
    <w:rsid w:val="00A80C22"/>
    <w:rsid w:val="00A81726"/>
    <w:rsid w:val="00A81C33"/>
    <w:rsid w:val="00A82DA0"/>
    <w:rsid w:val="00A83293"/>
    <w:rsid w:val="00A84CCA"/>
    <w:rsid w:val="00A87B60"/>
    <w:rsid w:val="00A87E4A"/>
    <w:rsid w:val="00A91A29"/>
    <w:rsid w:val="00A92D2A"/>
    <w:rsid w:val="00A943AC"/>
    <w:rsid w:val="00A9506C"/>
    <w:rsid w:val="00A960C5"/>
    <w:rsid w:val="00A96B36"/>
    <w:rsid w:val="00A96E63"/>
    <w:rsid w:val="00AA0580"/>
    <w:rsid w:val="00AA7DD9"/>
    <w:rsid w:val="00AB0F1C"/>
    <w:rsid w:val="00AB1F4C"/>
    <w:rsid w:val="00AB212C"/>
    <w:rsid w:val="00AB5F14"/>
    <w:rsid w:val="00AB6DD4"/>
    <w:rsid w:val="00AB7A0C"/>
    <w:rsid w:val="00AB7F22"/>
    <w:rsid w:val="00AC0FEA"/>
    <w:rsid w:val="00AC2B14"/>
    <w:rsid w:val="00AC2EA2"/>
    <w:rsid w:val="00AC2EC3"/>
    <w:rsid w:val="00AC3AD7"/>
    <w:rsid w:val="00AC3C85"/>
    <w:rsid w:val="00AC3CA2"/>
    <w:rsid w:val="00AC3F16"/>
    <w:rsid w:val="00AC51CB"/>
    <w:rsid w:val="00AD0B8B"/>
    <w:rsid w:val="00AD13CE"/>
    <w:rsid w:val="00AD1FAA"/>
    <w:rsid w:val="00AD2C9B"/>
    <w:rsid w:val="00AD3337"/>
    <w:rsid w:val="00AD3E98"/>
    <w:rsid w:val="00AD4159"/>
    <w:rsid w:val="00AD4E01"/>
    <w:rsid w:val="00AD6F34"/>
    <w:rsid w:val="00AD7412"/>
    <w:rsid w:val="00AE01A6"/>
    <w:rsid w:val="00AE0B3C"/>
    <w:rsid w:val="00AE27F4"/>
    <w:rsid w:val="00AE5156"/>
    <w:rsid w:val="00AE5254"/>
    <w:rsid w:val="00AE60BD"/>
    <w:rsid w:val="00AF1B72"/>
    <w:rsid w:val="00AF2330"/>
    <w:rsid w:val="00AF3452"/>
    <w:rsid w:val="00AF4205"/>
    <w:rsid w:val="00AF424D"/>
    <w:rsid w:val="00AF53B5"/>
    <w:rsid w:val="00AF56CE"/>
    <w:rsid w:val="00AF6347"/>
    <w:rsid w:val="00AF68D3"/>
    <w:rsid w:val="00AF6D8B"/>
    <w:rsid w:val="00B001E7"/>
    <w:rsid w:val="00B010DB"/>
    <w:rsid w:val="00B01154"/>
    <w:rsid w:val="00B03981"/>
    <w:rsid w:val="00B03D0F"/>
    <w:rsid w:val="00B04A24"/>
    <w:rsid w:val="00B04B21"/>
    <w:rsid w:val="00B0598D"/>
    <w:rsid w:val="00B05A20"/>
    <w:rsid w:val="00B05F10"/>
    <w:rsid w:val="00B06CA2"/>
    <w:rsid w:val="00B10F72"/>
    <w:rsid w:val="00B13222"/>
    <w:rsid w:val="00B13C0D"/>
    <w:rsid w:val="00B145C3"/>
    <w:rsid w:val="00B1557B"/>
    <w:rsid w:val="00B1752C"/>
    <w:rsid w:val="00B17681"/>
    <w:rsid w:val="00B239BD"/>
    <w:rsid w:val="00B25021"/>
    <w:rsid w:val="00B25752"/>
    <w:rsid w:val="00B25DF3"/>
    <w:rsid w:val="00B264A4"/>
    <w:rsid w:val="00B271E0"/>
    <w:rsid w:val="00B273F7"/>
    <w:rsid w:val="00B27DBE"/>
    <w:rsid w:val="00B30280"/>
    <w:rsid w:val="00B30B54"/>
    <w:rsid w:val="00B30D11"/>
    <w:rsid w:val="00B32E2B"/>
    <w:rsid w:val="00B33EDA"/>
    <w:rsid w:val="00B42A0D"/>
    <w:rsid w:val="00B42F71"/>
    <w:rsid w:val="00B433BA"/>
    <w:rsid w:val="00B43405"/>
    <w:rsid w:val="00B43C5B"/>
    <w:rsid w:val="00B43E4A"/>
    <w:rsid w:val="00B44061"/>
    <w:rsid w:val="00B47305"/>
    <w:rsid w:val="00B47724"/>
    <w:rsid w:val="00B47FCA"/>
    <w:rsid w:val="00B51EC4"/>
    <w:rsid w:val="00B52C3C"/>
    <w:rsid w:val="00B533FC"/>
    <w:rsid w:val="00B53463"/>
    <w:rsid w:val="00B53F3C"/>
    <w:rsid w:val="00B567F9"/>
    <w:rsid w:val="00B57DB2"/>
    <w:rsid w:val="00B61E5C"/>
    <w:rsid w:val="00B626B2"/>
    <w:rsid w:val="00B65F43"/>
    <w:rsid w:val="00B700E3"/>
    <w:rsid w:val="00B703AC"/>
    <w:rsid w:val="00B7054F"/>
    <w:rsid w:val="00B708F3"/>
    <w:rsid w:val="00B70A41"/>
    <w:rsid w:val="00B71A60"/>
    <w:rsid w:val="00B71F16"/>
    <w:rsid w:val="00B7216A"/>
    <w:rsid w:val="00B722AF"/>
    <w:rsid w:val="00B722DC"/>
    <w:rsid w:val="00B72E45"/>
    <w:rsid w:val="00B734A9"/>
    <w:rsid w:val="00B73B14"/>
    <w:rsid w:val="00B74778"/>
    <w:rsid w:val="00B7592A"/>
    <w:rsid w:val="00B77693"/>
    <w:rsid w:val="00B80391"/>
    <w:rsid w:val="00B80F2A"/>
    <w:rsid w:val="00B81859"/>
    <w:rsid w:val="00B82AD2"/>
    <w:rsid w:val="00B83537"/>
    <w:rsid w:val="00B842AF"/>
    <w:rsid w:val="00B900FA"/>
    <w:rsid w:val="00B919BA"/>
    <w:rsid w:val="00B92793"/>
    <w:rsid w:val="00B93779"/>
    <w:rsid w:val="00B9584B"/>
    <w:rsid w:val="00B95D0F"/>
    <w:rsid w:val="00B96294"/>
    <w:rsid w:val="00BA0E95"/>
    <w:rsid w:val="00BA12E1"/>
    <w:rsid w:val="00BA253A"/>
    <w:rsid w:val="00BA54FB"/>
    <w:rsid w:val="00BA5B11"/>
    <w:rsid w:val="00BA5DB2"/>
    <w:rsid w:val="00BA6399"/>
    <w:rsid w:val="00BA718A"/>
    <w:rsid w:val="00BB0995"/>
    <w:rsid w:val="00BB1323"/>
    <w:rsid w:val="00BB1632"/>
    <w:rsid w:val="00BB2060"/>
    <w:rsid w:val="00BB2C44"/>
    <w:rsid w:val="00BB3771"/>
    <w:rsid w:val="00BB37A9"/>
    <w:rsid w:val="00BB3B26"/>
    <w:rsid w:val="00BB4AFB"/>
    <w:rsid w:val="00BB68D9"/>
    <w:rsid w:val="00BC02EA"/>
    <w:rsid w:val="00BC3630"/>
    <w:rsid w:val="00BC372D"/>
    <w:rsid w:val="00BC5706"/>
    <w:rsid w:val="00BC6992"/>
    <w:rsid w:val="00BD079D"/>
    <w:rsid w:val="00BD1813"/>
    <w:rsid w:val="00BD1CDC"/>
    <w:rsid w:val="00BD4FA0"/>
    <w:rsid w:val="00BD627B"/>
    <w:rsid w:val="00BD711A"/>
    <w:rsid w:val="00BD738D"/>
    <w:rsid w:val="00BE021F"/>
    <w:rsid w:val="00BE37DE"/>
    <w:rsid w:val="00BE51EA"/>
    <w:rsid w:val="00BE6361"/>
    <w:rsid w:val="00BE6742"/>
    <w:rsid w:val="00BE68C0"/>
    <w:rsid w:val="00BE6AF7"/>
    <w:rsid w:val="00BE7135"/>
    <w:rsid w:val="00BE7828"/>
    <w:rsid w:val="00BE7EEB"/>
    <w:rsid w:val="00BF0E60"/>
    <w:rsid w:val="00BF12FD"/>
    <w:rsid w:val="00BF18A4"/>
    <w:rsid w:val="00BF2503"/>
    <w:rsid w:val="00BF5E8C"/>
    <w:rsid w:val="00BF789A"/>
    <w:rsid w:val="00BF7B34"/>
    <w:rsid w:val="00C0049A"/>
    <w:rsid w:val="00C00B12"/>
    <w:rsid w:val="00C014DF"/>
    <w:rsid w:val="00C01B1A"/>
    <w:rsid w:val="00C05000"/>
    <w:rsid w:val="00C05E72"/>
    <w:rsid w:val="00C0628C"/>
    <w:rsid w:val="00C07C4C"/>
    <w:rsid w:val="00C1019C"/>
    <w:rsid w:val="00C10C46"/>
    <w:rsid w:val="00C11187"/>
    <w:rsid w:val="00C1163D"/>
    <w:rsid w:val="00C135B9"/>
    <w:rsid w:val="00C1375B"/>
    <w:rsid w:val="00C13829"/>
    <w:rsid w:val="00C15A63"/>
    <w:rsid w:val="00C16B02"/>
    <w:rsid w:val="00C172E4"/>
    <w:rsid w:val="00C2051F"/>
    <w:rsid w:val="00C2346F"/>
    <w:rsid w:val="00C251AC"/>
    <w:rsid w:val="00C2525F"/>
    <w:rsid w:val="00C266E8"/>
    <w:rsid w:val="00C302E1"/>
    <w:rsid w:val="00C31F44"/>
    <w:rsid w:val="00C32595"/>
    <w:rsid w:val="00C33136"/>
    <w:rsid w:val="00C34646"/>
    <w:rsid w:val="00C3632E"/>
    <w:rsid w:val="00C3733B"/>
    <w:rsid w:val="00C379A9"/>
    <w:rsid w:val="00C401E7"/>
    <w:rsid w:val="00C4085F"/>
    <w:rsid w:val="00C40FE0"/>
    <w:rsid w:val="00C41B15"/>
    <w:rsid w:val="00C42DFA"/>
    <w:rsid w:val="00C42FE3"/>
    <w:rsid w:val="00C43CFB"/>
    <w:rsid w:val="00C45CDB"/>
    <w:rsid w:val="00C45E90"/>
    <w:rsid w:val="00C46B42"/>
    <w:rsid w:val="00C47B56"/>
    <w:rsid w:val="00C50549"/>
    <w:rsid w:val="00C5081E"/>
    <w:rsid w:val="00C50E1C"/>
    <w:rsid w:val="00C5139B"/>
    <w:rsid w:val="00C5273C"/>
    <w:rsid w:val="00C53DD5"/>
    <w:rsid w:val="00C551D2"/>
    <w:rsid w:val="00C552CA"/>
    <w:rsid w:val="00C56BE3"/>
    <w:rsid w:val="00C57474"/>
    <w:rsid w:val="00C57684"/>
    <w:rsid w:val="00C57B9C"/>
    <w:rsid w:val="00C6062F"/>
    <w:rsid w:val="00C60BA5"/>
    <w:rsid w:val="00C611B9"/>
    <w:rsid w:val="00C61738"/>
    <w:rsid w:val="00C625F4"/>
    <w:rsid w:val="00C6447E"/>
    <w:rsid w:val="00C65D84"/>
    <w:rsid w:val="00C66A10"/>
    <w:rsid w:val="00C70889"/>
    <w:rsid w:val="00C70E48"/>
    <w:rsid w:val="00C74392"/>
    <w:rsid w:val="00C74FDC"/>
    <w:rsid w:val="00C75235"/>
    <w:rsid w:val="00C75622"/>
    <w:rsid w:val="00C758BD"/>
    <w:rsid w:val="00C75F4C"/>
    <w:rsid w:val="00C7646B"/>
    <w:rsid w:val="00C77043"/>
    <w:rsid w:val="00C80BF2"/>
    <w:rsid w:val="00C813FB"/>
    <w:rsid w:val="00C814A3"/>
    <w:rsid w:val="00C82F48"/>
    <w:rsid w:val="00C8311B"/>
    <w:rsid w:val="00C8319E"/>
    <w:rsid w:val="00C83209"/>
    <w:rsid w:val="00C85E35"/>
    <w:rsid w:val="00C86774"/>
    <w:rsid w:val="00C8708B"/>
    <w:rsid w:val="00C87DE5"/>
    <w:rsid w:val="00C91A42"/>
    <w:rsid w:val="00C93DE8"/>
    <w:rsid w:val="00C9438A"/>
    <w:rsid w:val="00C9461A"/>
    <w:rsid w:val="00C96514"/>
    <w:rsid w:val="00C97DC4"/>
    <w:rsid w:val="00CA0B21"/>
    <w:rsid w:val="00CA0BE7"/>
    <w:rsid w:val="00CA14F1"/>
    <w:rsid w:val="00CA1F24"/>
    <w:rsid w:val="00CA4570"/>
    <w:rsid w:val="00CA684E"/>
    <w:rsid w:val="00CB03EE"/>
    <w:rsid w:val="00CB4AE8"/>
    <w:rsid w:val="00CB5DF1"/>
    <w:rsid w:val="00CB6408"/>
    <w:rsid w:val="00CB6844"/>
    <w:rsid w:val="00CB775C"/>
    <w:rsid w:val="00CC0959"/>
    <w:rsid w:val="00CC1694"/>
    <w:rsid w:val="00CC16CD"/>
    <w:rsid w:val="00CC3A84"/>
    <w:rsid w:val="00CC4A3B"/>
    <w:rsid w:val="00CC4B04"/>
    <w:rsid w:val="00CC7671"/>
    <w:rsid w:val="00CD0B4C"/>
    <w:rsid w:val="00CD1AD0"/>
    <w:rsid w:val="00CD2DCC"/>
    <w:rsid w:val="00CD3556"/>
    <w:rsid w:val="00CD3FCE"/>
    <w:rsid w:val="00CD481A"/>
    <w:rsid w:val="00CD4EBA"/>
    <w:rsid w:val="00CD5E6C"/>
    <w:rsid w:val="00CE21F3"/>
    <w:rsid w:val="00CE2B82"/>
    <w:rsid w:val="00CE346B"/>
    <w:rsid w:val="00CE7BE4"/>
    <w:rsid w:val="00CF073B"/>
    <w:rsid w:val="00CF2AC9"/>
    <w:rsid w:val="00CF3B6A"/>
    <w:rsid w:val="00CF6363"/>
    <w:rsid w:val="00D000CA"/>
    <w:rsid w:val="00D00A40"/>
    <w:rsid w:val="00D00BCB"/>
    <w:rsid w:val="00D010E1"/>
    <w:rsid w:val="00D0162D"/>
    <w:rsid w:val="00D01B1F"/>
    <w:rsid w:val="00D02B6A"/>
    <w:rsid w:val="00D04A08"/>
    <w:rsid w:val="00D055A0"/>
    <w:rsid w:val="00D05D5C"/>
    <w:rsid w:val="00D07C91"/>
    <w:rsid w:val="00D105D1"/>
    <w:rsid w:val="00D11798"/>
    <w:rsid w:val="00D11DD1"/>
    <w:rsid w:val="00D12DE1"/>
    <w:rsid w:val="00D13203"/>
    <w:rsid w:val="00D14D6A"/>
    <w:rsid w:val="00D20178"/>
    <w:rsid w:val="00D2045D"/>
    <w:rsid w:val="00D2119D"/>
    <w:rsid w:val="00D21EEC"/>
    <w:rsid w:val="00D22029"/>
    <w:rsid w:val="00D2336D"/>
    <w:rsid w:val="00D24777"/>
    <w:rsid w:val="00D25942"/>
    <w:rsid w:val="00D26D9A"/>
    <w:rsid w:val="00D3057F"/>
    <w:rsid w:val="00D34BD1"/>
    <w:rsid w:val="00D43B6D"/>
    <w:rsid w:val="00D45FF5"/>
    <w:rsid w:val="00D4778B"/>
    <w:rsid w:val="00D47A22"/>
    <w:rsid w:val="00D47B0B"/>
    <w:rsid w:val="00D51330"/>
    <w:rsid w:val="00D51DE5"/>
    <w:rsid w:val="00D523EC"/>
    <w:rsid w:val="00D5300B"/>
    <w:rsid w:val="00D545B9"/>
    <w:rsid w:val="00D54F97"/>
    <w:rsid w:val="00D55182"/>
    <w:rsid w:val="00D5576C"/>
    <w:rsid w:val="00D55908"/>
    <w:rsid w:val="00D559BB"/>
    <w:rsid w:val="00D55C28"/>
    <w:rsid w:val="00D61674"/>
    <w:rsid w:val="00D6365D"/>
    <w:rsid w:val="00D64263"/>
    <w:rsid w:val="00D65738"/>
    <w:rsid w:val="00D67AD2"/>
    <w:rsid w:val="00D70DA0"/>
    <w:rsid w:val="00D712DC"/>
    <w:rsid w:val="00D71432"/>
    <w:rsid w:val="00D71920"/>
    <w:rsid w:val="00D72410"/>
    <w:rsid w:val="00D73278"/>
    <w:rsid w:val="00D750C2"/>
    <w:rsid w:val="00D75464"/>
    <w:rsid w:val="00D75A19"/>
    <w:rsid w:val="00D80111"/>
    <w:rsid w:val="00D80DFA"/>
    <w:rsid w:val="00D81D04"/>
    <w:rsid w:val="00D82049"/>
    <w:rsid w:val="00D82DCC"/>
    <w:rsid w:val="00D85DCD"/>
    <w:rsid w:val="00D87853"/>
    <w:rsid w:val="00D912FE"/>
    <w:rsid w:val="00D92F05"/>
    <w:rsid w:val="00D96597"/>
    <w:rsid w:val="00D96E01"/>
    <w:rsid w:val="00D97C9E"/>
    <w:rsid w:val="00DA1A77"/>
    <w:rsid w:val="00DA32CA"/>
    <w:rsid w:val="00DA4B45"/>
    <w:rsid w:val="00DA56AE"/>
    <w:rsid w:val="00DB0588"/>
    <w:rsid w:val="00DB22C3"/>
    <w:rsid w:val="00DB48D6"/>
    <w:rsid w:val="00DC010B"/>
    <w:rsid w:val="00DC07E2"/>
    <w:rsid w:val="00DC17E0"/>
    <w:rsid w:val="00DC6F6D"/>
    <w:rsid w:val="00DC7F05"/>
    <w:rsid w:val="00DD0B38"/>
    <w:rsid w:val="00DD1B62"/>
    <w:rsid w:val="00DD3865"/>
    <w:rsid w:val="00DD49AC"/>
    <w:rsid w:val="00DD4E13"/>
    <w:rsid w:val="00DD543B"/>
    <w:rsid w:val="00DD7EAE"/>
    <w:rsid w:val="00DD7F6E"/>
    <w:rsid w:val="00DE05B1"/>
    <w:rsid w:val="00DE220A"/>
    <w:rsid w:val="00DE23A9"/>
    <w:rsid w:val="00DE2948"/>
    <w:rsid w:val="00DE2E24"/>
    <w:rsid w:val="00DE32A4"/>
    <w:rsid w:val="00DE4DF2"/>
    <w:rsid w:val="00DE6B90"/>
    <w:rsid w:val="00DF0FCF"/>
    <w:rsid w:val="00DF15A1"/>
    <w:rsid w:val="00DF17A0"/>
    <w:rsid w:val="00DF25A4"/>
    <w:rsid w:val="00DF32F3"/>
    <w:rsid w:val="00DF343D"/>
    <w:rsid w:val="00DF385F"/>
    <w:rsid w:val="00DF3B50"/>
    <w:rsid w:val="00DF3F12"/>
    <w:rsid w:val="00DF4D63"/>
    <w:rsid w:val="00DF542C"/>
    <w:rsid w:val="00DF59E8"/>
    <w:rsid w:val="00DF6136"/>
    <w:rsid w:val="00DF6F52"/>
    <w:rsid w:val="00DF74E7"/>
    <w:rsid w:val="00DF7E76"/>
    <w:rsid w:val="00E00FD7"/>
    <w:rsid w:val="00E0123D"/>
    <w:rsid w:val="00E0149B"/>
    <w:rsid w:val="00E04035"/>
    <w:rsid w:val="00E045DC"/>
    <w:rsid w:val="00E10A53"/>
    <w:rsid w:val="00E10AD1"/>
    <w:rsid w:val="00E12187"/>
    <w:rsid w:val="00E13293"/>
    <w:rsid w:val="00E13BEE"/>
    <w:rsid w:val="00E153A1"/>
    <w:rsid w:val="00E2143E"/>
    <w:rsid w:val="00E2184D"/>
    <w:rsid w:val="00E2287B"/>
    <w:rsid w:val="00E230BE"/>
    <w:rsid w:val="00E241DE"/>
    <w:rsid w:val="00E24F12"/>
    <w:rsid w:val="00E255B8"/>
    <w:rsid w:val="00E261B3"/>
    <w:rsid w:val="00E27CCC"/>
    <w:rsid w:val="00E305C2"/>
    <w:rsid w:val="00E31998"/>
    <w:rsid w:val="00E31ECC"/>
    <w:rsid w:val="00E336AC"/>
    <w:rsid w:val="00E33902"/>
    <w:rsid w:val="00E3393C"/>
    <w:rsid w:val="00E36B31"/>
    <w:rsid w:val="00E40816"/>
    <w:rsid w:val="00E4099C"/>
    <w:rsid w:val="00E40B8A"/>
    <w:rsid w:val="00E40DF9"/>
    <w:rsid w:val="00E43032"/>
    <w:rsid w:val="00E431D1"/>
    <w:rsid w:val="00E4436A"/>
    <w:rsid w:val="00E44AB5"/>
    <w:rsid w:val="00E44D49"/>
    <w:rsid w:val="00E460CD"/>
    <w:rsid w:val="00E46433"/>
    <w:rsid w:val="00E46E66"/>
    <w:rsid w:val="00E503C4"/>
    <w:rsid w:val="00E50649"/>
    <w:rsid w:val="00E50756"/>
    <w:rsid w:val="00E50887"/>
    <w:rsid w:val="00E54648"/>
    <w:rsid w:val="00E54C36"/>
    <w:rsid w:val="00E54DAA"/>
    <w:rsid w:val="00E54E1E"/>
    <w:rsid w:val="00E55D1B"/>
    <w:rsid w:val="00E55EFE"/>
    <w:rsid w:val="00E561B0"/>
    <w:rsid w:val="00E57D58"/>
    <w:rsid w:val="00E60019"/>
    <w:rsid w:val="00E60A1C"/>
    <w:rsid w:val="00E6164E"/>
    <w:rsid w:val="00E6516D"/>
    <w:rsid w:val="00E66F4A"/>
    <w:rsid w:val="00E7048C"/>
    <w:rsid w:val="00E708F7"/>
    <w:rsid w:val="00E70A39"/>
    <w:rsid w:val="00E70E1E"/>
    <w:rsid w:val="00E73B38"/>
    <w:rsid w:val="00E74925"/>
    <w:rsid w:val="00E74AAF"/>
    <w:rsid w:val="00E7704D"/>
    <w:rsid w:val="00E77265"/>
    <w:rsid w:val="00E77A79"/>
    <w:rsid w:val="00E77C30"/>
    <w:rsid w:val="00E77D23"/>
    <w:rsid w:val="00E80095"/>
    <w:rsid w:val="00E81289"/>
    <w:rsid w:val="00E81B2C"/>
    <w:rsid w:val="00E8217D"/>
    <w:rsid w:val="00E82574"/>
    <w:rsid w:val="00E82C1E"/>
    <w:rsid w:val="00E83055"/>
    <w:rsid w:val="00E83EA8"/>
    <w:rsid w:val="00E85CDD"/>
    <w:rsid w:val="00E85E84"/>
    <w:rsid w:val="00E8610B"/>
    <w:rsid w:val="00E869B4"/>
    <w:rsid w:val="00E8705E"/>
    <w:rsid w:val="00E906B2"/>
    <w:rsid w:val="00E92FA5"/>
    <w:rsid w:val="00E9347F"/>
    <w:rsid w:val="00E93E21"/>
    <w:rsid w:val="00E94A41"/>
    <w:rsid w:val="00E94B66"/>
    <w:rsid w:val="00E966F9"/>
    <w:rsid w:val="00E96A13"/>
    <w:rsid w:val="00E96D3A"/>
    <w:rsid w:val="00E96DD2"/>
    <w:rsid w:val="00EA2048"/>
    <w:rsid w:val="00EA2A4A"/>
    <w:rsid w:val="00EA33E2"/>
    <w:rsid w:val="00EA3710"/>
    <w:rsid w:val="00EA3BEF"/>
    <w:rsid w:val="00EA4F34"/>
    <w:rsid w:val="00EA5C8C"/>
    <w:rsid w:val="00EA5D26"/>
    <w:rsid w:val="00EA5F42"/>
    <w:rsid w:val="00EA6622"/>
    <w:rsid w:val="00EA67AA"/>
    <w:rsid w:val="00EA6F49"/>
    <w:rsid w:val="00EA7824"/>
    <w:rsid w:val="00EB0597"/>
    <w:rsid w:val="00EB0611"/>
    <w:rsid w:val="00EB5071"/>
    <w:rsid w:val="00EB7478"/>
    <w:rsid w:val="00EB74E1"/>
    <w:rsid w:val="00EB7A6D"/>
    <w:rsid w:val="00EC1F6B"/>
    <w:rsid w:val="00EC4A2C"/>
    <w:rsid w:val="00EC6E9D"/>
    <w:rsid w:val="00EC741B"/>
    <w:rsid w:val="00EC7A23"/>
    <w:rsid w:val="00ED0A22"/>
    <w:rsid w:val="00ED0D75"/>
    <w:rsid w:val="00ED1658"/>
    <w:rsid w:val="00ED1FD8"/>
    <w:rsid w:val="00ED3562"/>
    <w:rsid w:val="00ED4431"/>
    <w:rsid w:val="00ED5432"/>
    <w:rsid w:val="00ED7311"/>
    <w:rsid w:val="00ED7FA0"/>
    <w:rsid w:val="00EE1BB9"/>
    <w:rsid w:val="00EE255E"/>
    <w:rsid w:val="00EE2D27"/>
    <w:rsid w:val="00EE2D81"/>
    <w:rsid w:val="00EE3020"/>
    <w:rsid w:val="00EE4F7C"/>
    <w:rsid w:val="00EE54F1"/>
    <w:rsid w:val="00EE5D45"/>
    <w:rsid w:val="00EE6020"/>
    <w:rsid w:val="00EE6B80"/>
    <w:rsid w:val="00EF01CA"/>
    <w:rsid w:val="00EF3316"/>
    <w:rsid w:val="00EF3688"/>
    <w:rsid w:val="00EF5182"/>
    <w:rsid w:val="00EF518A"/>
    <w:rsid w:val="00EF5572"/>
    <w:rsid w:val="00EF608C"/>
    <w:rsid w:val="00EF6833"/>
    <w:rsid w:val="00EF68C2"/>
    <w:rsid w:val="00EF698D"/>
    <w:rsid w:val="00EF6D4F"/>
    <w:rsid w:val="00F01B71"/>
    <w:rsid w:val="00F02366"/>
    <w:rsid w:val="00F030A3"/>
    <w:rsid w:val="00F03279"/>
    <w:rsid w:val="00F03A05"/>
    <w:rsid w:val="00F053DE"/>
    <w:rsid w:val="00F0554A"/>
    <w:rsid w:val="00F05736"/>
    <w:rsid w:val="00F06A50"/>
    <w:rsid w:val="00F06C8E"/>
    <w:rsid w:val="00F07528"/>
    <w:rsid w:val="00F10E20"/>
    <w:rsid w:val="00F113D2"/>
    <w:rsid w:val="00F12DAD"/>
    <w:rsid w:val="00F14723"/>
    <w:rsid w:val="00F14D38"/>
    <w:rsid w:val="00F15864"/>
    <w:rsid w:val="00F204DE"/>
    <w:rsid w:val="00F2198D"/>
    <w:rsid w:val="00F21E4E"/>
    <w:rsid w:val="00F229DB"/>
    <w:rsid w:val="00F24606"/>
    <w:rsid w:val="00F2604E"/>
    <w:rsid w:val="00F2750A"/>
    <w:rsid w:val="00F305CF"/>
    <w:rsid w:val="00F30FAC"/>
    <w:rsid w:val="00F32208"/>
    <w:rsid w:val="00F324DB"/>
    <w:rsid w:val="00F33191"/>
    <w:rsid w:val="00F333CE"/>
    <w:rsid w:val="00F33737"/>
    <w:rsid w:val="00F34051"/>
    <w:rsid w:val="00F3432A"/>
    <w:rsid w:val="00F352D4"/>
    <w:rsid w:val="00F360FD"/>
    <w:rsid w:val="00F36849"/>
    <w:rsid w:val="00F37468"/>
    <w:rsid w:val="00F3749D"/>
    <w:rsid w:val="00F40E34"/>
    <w:rsid w:val="00F41DA3"/>
    <w:rsid w:val="00F42567"/>
    <w:rsid w:val="00F44CA7"/>
    <w:rsid w:val="00F47C86"/>
    <w:rsid w:val="00F47EF7"/>
    <w:rsid w:val="00F511C1"/>
    <w:rsid w:val="00F51D78"/>
    <w:rsid w:val="00F52E9D"/>
    <w:rsid w:val="00F61D1D"/>
    <w:rsid w:val="00F65C35"/>
    <w:rsid w:val="00F67A1B"/>
    <w:rsid w:val="00F67CA1"/>
    <w:rsid w:val="00F73882"/>
    <w:rsid w:val="00F74FFE"/>
    <w:rsid w:val="00F80400"/>
    <w:rsid w:val="00F807F0"/>
    <w:rsid w:val="00F83F37"/>
    <w:rsid w:val="00F852B1"/>
    <w:rsid w:val="00F855B4"/>
    <w:rsid w:val="00F90C1D"/>
    <w:rsid w:val="00F937AE"/>
    <w:rsid w:val="00F946CD"/>
    <w:rsid w:val="00F94ABE"/>
    <w:rsid w:val="00F95D89"/>
    <w:rsid w:val="00F96E98"/>
    <w:rsid w:val="00FA14DF"/>
    <w:rsid w:val="00FA17D2"/>
    <w:rsid w:val="00FA279D"/>
    <w:rsid w:val="00FA5764"/>
    <w:rsid w:val="00FA60FF"/>
    <w:rsid w:val="00FA70D0"/>
    <w:rsid w:val="00FB0407"/>
    <w:rsid w:val="00FB0FDF"/>
    <w:rsid w:val="00FB136A"/>
    <w:rsid w:val="00FB362E"/>
    <w:rsid w:val="00FB4A8E"/>
    <w:rsid w:val="00FB6E5D"/>
    <w:rsid w:val="00FB75ED"/>
    <w:rsid w:val="00FC064B"/>
    <w:rsid w:val="00FC0819"/>
    <w:rsid w:val="00FC0C07"/>
    <w:rsid w:val="00FC1C43"/>
    <w:rsid w:val="00FC350F"/>
    <w:rsid w:val="00FC3588"/>
    <w:rsid w:val="00FC3B08"/>
    <w:rsid w:val="00FC50E3"/>
    <w:rsid w:val="00FC5388"/>
    <w:rsid w:val="00FC6094"/>
    <w:rsid w:val="00FC779F"/>
    <w:rsid w:val="00FC7B14"/>
    <w:rsid w:val="00FD014D"/>
    <w:rsid w:val="00FD05A0"/>
    <w:rsid w:val="00FD0DC2"/>
    <w:rsid w:val="00FD185C"/>
    <w:rsid w:val="00FD330E"/>
    <w:rsid w:val="00FD5B70"/>
    <w:rsid w:val="00FD6CAC"/>
    <w:rsid w:val="00FE1178"/>
    <w:rsid w:val="00FE327B"/>
    <w:rsid w:val="00FE5E45"/>
    <w:rsid w:val="00FF0569"/>
    <w:rsid w:val="00FF0C62"/>
    <w:rsid w:val="00FF3105"/>
    <w:rsid w:val="00FF497D"/>
    <w:rsid w:val="00FF4AAE"/>
    <w:rsid w:val="00FF6CE1"/>
    <w:rsid w:val="00FF6FCA"/>
    <w:rsid w:val="0279691D"/>
    <w:rsid w:val="04BB47F7"/>
    <w:rsid w:val="05F64D2C"/>
    <w:rsid w:val="07CF4284"/>
    <w:rsid w:val="08881C8D"/>
    <w:rsid w:val="09EB376E"/>
    <w:rsid w:val="0C2A2D6B"/>
    <w:rsid w:val="0C504D69"/>
    <w:rsid w:val="0D245CB8"/>
    <w:rsid w:val="0DB60162"/>
    <w:rsid w:val="104B183D"/>
    <w:rsid w:val="10AF26EE"/>
    <w:rsid w:val="13321592"/>
    <w:rsid w:val="15621575"/>
    <w:rsid w:val="15650284"/>
    <w:rsid w:val="16A20B3C"/>
    <w:rsid w:val="178B07CC"/>
    <w:rsid w:val="18265025"/>
    <w:rsid w:val="19543D7B"/>
    <w:rsid w:val="197F4DE2"/>
    <w:rsid w:val="198671FC"/>
    <w:rsid w:val="19A01281"/>
    <w:rsid w:val="1AA96578"/>
    <w:rsid w:val="1AFF4CD6"/>
    <w:rsid w:val="1C2E5938"/>
    <w:rsid w:val="1C6862D7"/>
    <w:rsid w:val="1C687471"/>
    <w:rsid w:val="1CC13C7F"/>
    <w:rsid w:val="1CFB78C4"/>
    <w:rsid w:val="1DC92B68"/>
    <w:rsid w:val="1F9843BD"/>
    <w:rsid w:val="1FA6035D"/>
    <w:rsid w:val="20287B7F"/>
    <w:rsid w:val="21137007"/>
    <w:rsid w:val="2128446B"/>
    <w:rsid w:val="21AE63E0"/>
    <w:rsid w:val="25F45BAB"/>
    <w:rsid w:val="29FF026F"/>
    <w:rsid w:val="2D370891"/>
    <w:rsid w:val="2D634075"/>
    <w:rsid w:val="2D796D7C"/>
    <w:rsid w:val="2E42340F"/>
    <w:rsid w:val="2E783042"/>
    <w:rsid w:val="2E867EB7"/>
    <w:rsid w:val="32002873"/>
    <w:rsid w:val="354C6117"/>
    <w:rsid w:val="35E86796"/>
    <w:rsid w:val="36090ABB"/>
    <w:rsid w:val="36C579E8"/>
    <w:rsid w:val="375B3CB1"/>
    <w:rsid w:val="37984ED2"/>
    <w:rsid w:val="39110DD2"/>
    <w:rsid w:val="39E601E7"/>
    <w:rsid w:val="3AFC7821"/>
    <w:rsid w:val="3B170FC1"/>
    <w:rsid w:val="3B841F0A"/>
    <w:rsid w:val="3CDB6CF3"/>
    <w:rsid w:val="3CE65739"/>
    <w:rsid w:val="41FD4BD9"/>
    <w:rsid w:val="44CE06F7"/>
    <w:rsid w:val="46120325"/>
    <w:rsid w:val="481B79EA"/>
    <w:rsid w:val="49606845"/>
    <w:rsid w:val="4A9C3A9E"/>
    <w:rsid w:val="4B2639DA"/>
    <w:rsid w:val="4B7A4B30"/>
    <w:rsid w:val="4DF24641"/>
    <w:rsid w:val="4F2A07CF"/>
    <w:rsid w:val="4FAD29A4"/>
    <w:rsid w:val="507D0242"/>
    <w:rsid w:val="50A20521"/>
    <w:rsid w:val="50A277B7"/>
    <w:rsid w:val="510F63DA"/>
    <w:rsid w:val="52125666"/>
    <w:rsid w:val="545E1109"/>
    <w:rsid w:val="55000F1D"/>
    <w:rsid w:val="569052EE"/>
    <w:rsid w:val="57151AF6"/>
    <w:rsid w:val="57680470"/>
    <w:rsid w:val="57FA2C25"/>
    <w:rsid w:val="58D16940"/>
    <w:rsid w:val="5CF30993"/>
    <w:rsid w:val="5D865CCC"/>
    <w:rsid w:val="5D991DD7"/>
    <w:rsid w:val="5DA670A9"/>
    <w:rsid w:val="5E354ADD"/>
    <w:rsid w:val="5E95547D"/>
    <w:rsid w:val="5FBC78DB"/>
    <w:rsid w:val="60CE6316"/>
    <w:rsid w:val="62B21986"/>
    <w:rsid w:val="63CC4341"/>
    <w:rsid w:val="64A655C2"/>
    <w:rsid w:val="650C01A8"/>
    <w:rsid w:val="65937EE5"/>
    <w:rsid w:val="6663762D"/>
    <w:rsid w:val="68924CBB"/>
    <w:rsid w:val="68976F11"/>
    <w:rsid w:val="6BB310DF"/>
    <w:rsid w:val="6BEE0FAA"/>
    <w:rsid w:val="6C592E7A"/>
    <w:rsid w:val="6E68698F"/>
    <w:rsid w:val="6EF04A05"/>
    <w:rsid w:val="700823D8"/>
    <w:rsid w:val="707B076D"/>
    <w:rsid w:val="714F5DC8"/>
    <w:rsid w:val="724748F3"/>
    <w:rsid w:val="72997301"/>
    <w:rsid w:val="732916B3"/>
    <w:rsid w:val="737D415B"/>
    <w:rsid w:val="742B1F5C"/>
    <w:rsid w:val="750069F5"/>
    <w:rsid w:val="75643936"/>
    <w:rsid w:val="75AA40B9"/>
    <w:rsid w:val="7B262ED2"/>
    <w:rsid w:val="7C0D4CC1"/>
    <w:rsid w:val="7DE64B6F"/>
    <w:rsid w:val="7EE97B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7"/>
    <w:qFormat/>
    <w:uiPriority w:val="0"/>
    <w:pPr>
      <w:jc w:val="left"/>
    </w:pPr>
  </w:style>
  <w:style w:type="paragraph" w:styleId="4">
    <w:name w:val="Body Text"/>
    <w:basedOn w:val="1"/>
    <w:link w:val="15"/>
    <w:qFormat/>
    <w:uiPriority w:val="1"/>
    <w:pPr>
      <w:autoSpaceDE w:val="0"/>
      <w:autoSpaceDN w:val="0"/>
      <w:ind w:left="101"/>
      <w:jc w:val="left"/>
    </w:pPr>
    <w:rPr>
      <w:rFonts w:ascii="宋体" w:hAnsi="宋体"/>
      <w:kern w:val="0"/>
      <w:sz w:val="28"/>
      <w:szCs w:val="28"/>
      <w:lang w:eastAsia="en-US"/>
    </w:rPr>
  </w:style>
  <w:style w:type="paragraph" w:styleId="5">
    <w:name w:val="Body Text Indent"/>
    <w:basedOn w:val="1"/>
    <w:link w:val="20"/>
    <w:qFormat/>
    <w:uiPriority w:val="0"/>
    <w:pPr>
      <w:spacing w:after="120"/>
      <w:ind w:left="420" w:leftChars="200"/>
    </w:pPr>
  </w:style>
  <w:style w:type="paragraph" w:styleId="6">
    <w:name w:val="Balloon Text"/>
    <w:basedOn w:val="1"/>
    <w:semiHidden/>
    <w:qFormat/>
    <w:uiPriority w:val="0"/>
    <w:rPr>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16"/>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qFormat/>
    <w:uiPriority w:val="0"/>
    <w:rPr>
      <w:sz w:val="21"/>
      <w:szCs w:val="21"/>
    </w:rPr>
  </w:style>
  <w:style w:type="character" w:customStyle="1" w:styleId="15">
    <w:name w:val="正文文本 字符"/>
    <w:link w:val="4"/>
    <w:qFormat/>
    <w:uiPriority w:val="1"/>
    <w:rPr>
      <w:rFonts w:ascii="宋体" w:hAnsi="宋体" w:cs="宋体"/>
      <w:sz w:val="28"/>
      <w:szCs w:val="28"/>
      <w:lang w:eastAsia="en-US"/>
    </w:rPr>
  </w:style>
  <w:style w:type="character" w:customStyle="1" w:styleId="16">
    <w:name w:val="批注主题 字符"/>
    <w:link w:val="10"/>
    <w:qFormat/>
    <w:uiPriority w:val="0"/>
    <w:rPr>
      <w:b/>
      <w:bCs/>
      <w:kern w:val="2"/>
      <w:sz w:val="21"/>
      <w:szCs w:val="24"/>
    </w:rPr>
  </w:style>
  <w:style w:type="character" w:customStyle="1" w:styleId="17">
    <w:name w:val="批注文字 字符"/>
    <w:link w:val="3"/>
    <w:qFormat/>
    <w:uiPriority w:val="0"/>
    <w:rPr>
      <w:kern w:val="2"/>
      <w:sz w:val="21"/>
      <w:szCs w:val="24"/>
    </w:rPr>
  </w:style>
  <w:style w:type="character" w:customStyle="1" w:styleId="18">
    <w:name w:val="页脚 字符"/>
    <w:link w:val="7"/>
    <w:qFormat/>
    <w:uiPriority w:val="99"/>
    <w:rPr>
      <w:kern w:val="2"/>
      <w:sz w:val="18"/>
      <w:szCs w:val="18"/>
    </w:rPr>
  </w:style>
  <w:style w:type="paragraph" w:styleId="19">
    <w:name w:val="List Paragraph"/>
    <w:basedOn w:val="1"/>
    <w:qFormat/>
    <w:uiPriority w:val="34"/>
    <w:pPr>
      <w:ind w:firstLine="420" w:firstLineChars="200"/>
    </w:pPr>
    <w:rPr>
      <w:szCs w:val="22"/>
    </w:rPr>
  </w:style>
  <w:style w:type="character" w:customStyle="1" w:styleId="20">
    <w:name w:val="正文文本缩进 字符"/>
    <w:basedOn w:val="13"/>
    <w:link w:val="5"/>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江苏苏咨工程咨询有限责任公司</Company>
  <Pages>4</Pages>
  <Words>2451</Words>
  <Characters>2559</Characters>
  <Lines>76</Lines>
  <Paragraphs>21</Paragraphs>
  <TotalTime>15</TotalTime>
  <ScaleCrop>false</ScaleCrop>
  <LinksUpToDate>false</LinksUpToDate>
  <CharactersWithSpaces>2579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2021-04-08T04:21:00Z</dcterms:created>
  <dc:creator>何俊</dc:creator>
  <cp:lastModifiedBy>✘兆</cp:lastModifiedBy>
  <cp:lastPrinted>2017-03-10T04:11:00Z</cp:lastPrinted>
  <dcterms:modified xsi:type="dcterms:W3CDTF">2026-04-01T10:14:20Z</dcterms:modified>
  <dc:title>总  说  明</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53AB6E4FB5CD4A4D8DAE524C1EE93E77_12</vt:lpwstr>
  </property>
  <property fmtid="{D5CDD505-2E9C-101B-9397-08002B2CF9AE}" pid="4" name="KSOTemplateDocerSaveRecord">
    <vt:lpwstr>eyJoZGlkIjoiM2FkNTU2MDgwZmE3ZGUzZmIyZTQ3NGEwZmQzNzkxZWEiLCJ1c2VySWQiOiIyNDk3MzEwNTUifQ==</vt:lpwstr>
  </property>
</Properties>
</file>