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4"/>
        <w:jc w:val="center"/>
        <w:spacing w:line="600" w:lineRule="exact"/>
        <w:rPr>
          <w:rFonts w:hint="eastAsia" w:cs="宋体"/>
          <w:b/>
          <w:spacing w:val="100"/>
          <w:sz w:val="48"/>
        </w:rPr>
      </w:pPr>
      <w:r>
        <w:rPr>
          <w:rFonts w:hint="eastAsia" w:cs="宋体"/>
          <w:b/>
          <w:spacing w:val="100"/>
          <w:sz w:val="48"/>
        </w:rPr>
      </w:r>
      <w:r/>
    </w:p>
    <w:p>
      <w:pPr>
        <w:pStyle w:val="954"/>
        <w:jc w:val="center"/>
        <w:spacing w:line="600" w:lineRule="exact"/>
        <w:rPr>
          <w:rFonts w:hint="eastAsia" w:cs="宋体"/>
          <w:b/>
          <w:spacing w:val="100"/>
          <w:sz w:val="48"/>
        </w:rPr>
      </w:pPr>
      <w:r>
        <w:rPr>
          <w:rFonts w:hint="eastAsia" w:cs="宋体"/>
          <w:b/>
          <w:spacing w:val="100"/>
          <w:sz w:val="48"/>
        </w:rPr>
      </w:r>
      <w:r/>
    </w:p>
    <w:p>
      <w:pPr>
        <w:pStyle w:val="954"/>
        <w:jc w:val="center"/>
        <w:spacing w:line="600" w:lineRule="exact"/>
        <w:rPr>
          <w:rFonts w:hint="eastAsia" w:cs="宋体"/>
          <w:b/>
          <w:spacing w:val="100"/>
          <w:sz w:val="48"/>
        </w:rPr>
      </w:pPr>
      <w:r>
        <w:rPr>
          <w:rFonts w:hint="eastAsia" w:cs="宋体"/>
          <w:b/>
          <w:spacing w:val="100"/>
          <w:sz w:val="48"/>
        </w:rPr>
      </w:r>
      <w:r/>
    </w:p>
    <w:p>
      <w:pPr>
        <w:pStyle w:val="954"/>
        <w:jc w:val="center"/>
        <w:spacing w:line="600" w:lineRule="exact"/>
        <w:rPr>
          <w:rFonts w:hint="eastAsia" w:cs="宋体"/>
          <w:b/>
          <w:spacing w:val="100"/>
          <w:sz w:val="48"/>
        </w:rPr>
      </w:pPr>
      <w:r>
        <w:rPr>
          <w:rFonts w:hint="eastAsia" w:cs="宋体"/>
          <w:b/>
          <w:spacing w:val="100"/>
          <w:sz w:val="48"/>
        </w:rPr>
        <w:t xml:space="preserve">服务采购</w:t>
      </w:r>
      <w:r/>
    </w:p>
    <w:p>
      <w:pPr>
        <w:pStyle w:val="954"/>
        <w:jc w:val="center"/>
        <w:spacing w:line="560" w:lineRule="exact"/>
        <w:rPr>
          <w:rFonts w:hint="eastAsia" w:cs="宋体"/>
          <w:b/>
          <w:sz w:val="72"/>
        </w:rPr>
      </w:pPr>
      <w:r>
        <w:rPr>
          <w:rFonts w:hint="eastAsia" w:cs="宋体"/>
          <w:b/>
          <w:sz w:val="72"/>
        </w:rPr>
      </w:r>
      <w:r/>
    </w:p>
    <w:p>
      <w:pPr>
        <w:pStyle w:val="954"/>
        <w:jc w:val="center"/>
        <w:spacing w:line="560" w:lineRule="exact"/>
        <w:rPr>
          <w:rFonts w:hint="eastAsia" w:cs="宋体"/>
          <w:b/>
          <w:sz w:val="72"/>
        </w:rPr>
      </w:pPr>
      <w:r>
        <w:rPr>
          <w:rFonts w:hint="eastAsia" w:cs="宋体"/>
          <w:b/>
          <w:sz w:val="72"/>
        </w:rPr>
      </w:r>
      <w:r/>
    </w:p>
    <w:p>
      <w:pPr>
        <w:pStyle w:val="954"/>
        <w:jc w:val="center"/>
        <w:spacing w:line="560" w:lineRule="exact"/>
        <w:rPr>
          <w:rFonts w:hint="eastAsia" w:cs="宋体"/>
          <w:b/>
          <w:sz w:val="72"/>
        </w:rPr>
      </w:pPr>
      <w:r>
        <w:rPr>
          <w:rFonts w:hint="eastAsia" w:cs="宋体"/>
          <w:b/>
          <w:sz w:val="72"/>
        </w:rPr>
      </w:r>
      <w:r/>
    </w:p>
    <w:p>
      <w:pPr>
        <w:pStyle w:val="954"/>
        <w:jc w:val="center"/>
        <w:spacing w:line="560" w:lineRule="exact"/>
        <w:rPr>
          <w:rFonts w:hint="eastAsia" w:cs="宋体"/>
          <w:b/>
          <w:sz w:val="72"/>
        </w:rPr>
      </w:pPr>
      <w:r>
        <w:rPr>
          <w:rFonts w:hint="eastAsia" w:cs="宋体"/>
          <w:b/>
          <w:sz w:val="72"/>
        </w:rPr>
      </w:r>
      <w:r/>
    </w:p>
    <w:p>
      <w:pPr>
        <w:pStyle w:val="954"/>
        <w:jc w:val="center"/>
        <w:spacing w:line="1320" w:lineRule="exact"/>
        <w:rPr>
          <w:rFonts w:hint="eastAsia" w:cs="宋体"/>
          <w:b/>
          <w:sz w:val="84"/>
        </w:rPr>
      </w:pPr>
      <w:r>
        <w:rPr>
          <w:rFonts w:hint="eastAsia" w:cs="宋体"/>
          <w:b/>
          <w:sz w:val="84"/>
        </w:rPr>
        <w:t xml:space="preserve">招 标 文 件</w:t>
      </w:r>
      <w:r/>
    </w:p>
    <w:p>
      <w:pPr>
        <w:pStyle w:val="954"/>
        <w:jc w:val="center"/>
        <w:spacing w:line="1320" w:lineRule="exact"/>
        <w:rPr>
          <w:rFonts w:hint="eastAsia" w:cs="宋体"/>
          <w:b/>
          <w:sz w:val="84"/>
        </w:rPr>
      </w:pPr>
      <w:r>
        <w:rPr>
          <w:rFonts w:hint="eastAsia" w:cs="宋体"/>
          <w:b/>
          <w:sz w:val="84"/>
        </w:rPr>
      </w:r>
      <w:r/>
    </w:p>
    <w:p>
      <w:pPr>
        <w:pStyle w:val="954"/>
        <w:jc w:val="center"/>
        <w:spacing w:line="1320" w:lineRule="exact"/>
        <w:rPr>
          <w:rFonts w:hint="eastAsia" w:cs="宋体"/>
          <w:b/>
          <w:sz w:val="84"/>
        </w:rPr>
      </w:pPr>
      <w:r>
        <w:rPr>
          <w:rFonts w:hint="eastAsia" w:cs="宋体"/>
          <w:b/>
          <w:sz w:val="84"/>
        </w:rPr>
      </w:r>
      <w:r/>
    </w:p>
    <w:p>
      <w:pPr>
        <w:pStyle w:val="954"/>
        <w:ind w:firstLine="1968"/>
        <w:spacing w:line="360" w:lineRule="auto"/>
        <w:rPr>
          <w:rFonts w:hint="eastAsia" w:cs="宋体"/>
          <w:b/>
          <w:sz w:val="28"/>
          <w:szCs w:val="28"/>
        </w:rPr>
      </w:pPr>
      <w:r>
        <w:rPr>
          <w:rFonts w:hint="eastAsia" w:cs="宋体"/>
          <w:b/>
          <w:sz w:val="28"/>
          <w:szCs w:val="28"/>
        </w:rPr>
        <w:t xml:space="preserve">采购招标编号：</w:t>
      </w:r>
      <w:r>
        <w:rPr>
          <w:rFonts w:hint="eastAsia" w:cs="宋体"/>
          <w:b/>
          <w:bCs/>
          <w:sz w:val="28"/>
          <w:szCs w:val="28"/>
        </w:rPr>
        <w:t xml:space="preserve">JSZC-320585-SZLZ-G2026-0002</w:t>
      </w:r>
      <w:r>
        <w:rPr>
          <w:rFonts w:hint="eastAsia" w:cs="宋体"/>
          <w:b/>
          <w:sz w:val="28"/>
          <w:szCs w:val="28"/>
        </w:rPr>
      </w:r>
      <w:r/>
    </w:p>
    <w:p>
      <w:pPr>
        <w:pStyle w:val="954"/>
        <w:ind w:firstLine="1968"/>
        <w:spacing w:line="360" w:lineRule="auto"/>
        <w:rPr>
          <w:rFonts w:hint="eastAsia" w:cs="宋体"/>
          <w:b/>
          <w:sz w:val="28"/>
          <w:szCs w:val="28"/>
        </w:rPr>
      </w:pPr>
      <w:r>
        <w:rPr>
          <w:rFonts w:hint="eastAsia" w:cs="宋体"/>
          <w:b/>
          <w:sz w:val="28"/>
          <w:szCs w:val="28"/>
        </w:rPr>
        <w:t xml:space="preserve">采购内容：</w:t>
      </w:r>
      <w:r>
        <w:rPr>
          <w:rFonts w:cs="宋体"/>
          <w:b/>
          <w:bCs/>
          <w:sz w:val="28"/>
          <w:szCs w:val="28"/>
        </w:rPr>
        <w:t xml:space="preserve">2026年浮桥镇建筑垃圾清运服务</w:t>
      </w:r>
      <w:r>
        <w:rPr>
          <w:rFonts w:hint="eastAsia" w:cs="宋体"/>
          <w:b/>
          <w:sz w:val="28"/>
          <w:szCs w:val="28"/>
        </w:rPr>
      </w:r>
      <w:r/>
    </w:p>
    <w:p>
      <w:pPr>
        <w:pStyle w:val="954"/>
        <w:ind w:firstLine="1968"/>
        <w:spacing w:line="360" w:lineRule="auto"/>
        <w:rPr>
          <w:rFonts w:hint="eastAsia" w:cs="宋体"/>
          <w:b/>
          <w:sz w:val="28"/>
          <w:szCs w:val="28"/>
        </w:rPr>
      </w:pPr>
      <w:r>
        <w:rPr>
          <w:rFonts w:hint="eastAsia" w:cs="宋体"/>
          <w:b/>
          <w:sz w:val="28"/>
          <w:szCs w:val="28"/>
        </w:rPr>
        <w:t xml:space="preserve">采购类型：服务类</w:t>
      </w:r>
      <w:r/>
    </w:p>
    <w:p>
      <w:pPr>
        <w:pStyle w:val="954"/>
        <w:ind w:firstLine="1968"/>
        <w:spacing w:line="360" w:lineRule="auto"/>
        <w:rPr>
          <w:rFonts w:hint="eastAsia" w:cs="宋体"/>
          <w:b/>
          <w:sz w:val="28"/>
          <w:szCs w:val="28"/>
        </w:rPr>
      </w:pPr>
      <w:r>
        <w:rPr>
          <w:rFonts w:hint="eastAsia" w:cs="宋体"/>
          <w:b/>
          <w:sz w:val="28"/>
          <w:szCs w:val="28"/>
        </w:rPr>
        <w:t xml:space="preserve">标的所属行业：其他未列明行业</w:t>
      </w:r>
      <w:r/>
    </w:p>
    <w:p>
      <w:pPr>
        <w:pStyle w:val="954"/>
        <w:ind w:firstLine="1968"/>
        <w:spacing w:line="360" w:lineRule="auto"/>
        <w:rPr>
          <w:rFonts w:hint="eastAsia" w:cs="宋体"/>
          <w:b/>
          <w:sz w:val="28"/>
          <w:szCs w:val="28"/>
        </w:rPr>
      </w:pPr>
      <w:r>
        <w:rPr>
          <w:rFonts w:hint="eastAsia" w:cs="宋体"/>
          <w:b/>
          <w:sz w:val="28"/>
          <w:szCs w:val="28"/>
        </w:rPr>
        <w:t xml:space="preserve">采购单位：</w:t>
      </w:r>
      <w:r>
        <w:rPr>
          <w:rFonts w:cs="宋体"/>
          <w:b/>
          <w:bCs/>
          <w:sz w:val="28"/>
          <w:szCs w:val="28"/>
        </w:rPr>
        <w:t xml:space="preserve">太仓市浮桥镇人民政府</w:t>
      </w:r>
      <w:r>
        <w:rPr>
          <w:rFonts w:hint="eastAsia" w:cs="宋体"/>
          <w:b/>
          <w:sz w:val="28"/>
          <w:szCs w:val="28"/>
        </w:rPr>
      </w:r>
      <w:r/>
    </w:p>
    <w:p>
      <w:pPr>
        <w:pStyle w:val="954"/>
        <w:ind w:firstLine="1968"/>
        <w:spacing w:line="360" w:lineRule="auto"/>
        <w:rPr>
          <w:rFonts w:hint="eastAsia" w:cs="宋体"/>
          <w:b/>
          <w:sz w:val="28"/>
          <w:szCs w:val="28"/>
        </w:rPr>
      </w:pPr>
      <w:r>
        <w:rPr>
          <w:rFonts w:hint="eastAsia" w:cs="宋体"/>
          <w:b/>
          <w:sz w:val="28"/>
          <w:szCs w:val="28"/>
        </w:rPr>
        <w:t xml:space="preserve">招标服务单位：苏州乐族工程咨询有限公司</w:t>
      </w:r>
      <w:r/>
    </w:p>
    <w:p>
      <w:pPr>
        <w:pStyle w:val="954"/>
        <w:jc w:val="center"/>
        <w:rPr>
          <w:rFonts w:hint="eastAsia" w:cs="宋体"/>
          <w:b/>
          <w:sz w:val="28"/>
          <w:szCs w:val="28"/>
        </w:rPr>
      </w:pPr>
      <w:r>
        <w:rPr>
          <w:rFonts w:hint="eastAsia" w:cs="宋体"/>
          <w:b/>
          <w:sz w:val="28"/>
          <w:szCs w:val="28"/>
        </w:rPr>
      </w:r>
      <w:r/>
    </w:p>
    <w:p>
      <w:pPr>
        <w:pStyle w:val="954"/>
        <w:jc w:val="center"/>
        <w:rPr>
          <w:rFonts w:hint="eastAsia" w:cs="宋体"/>
          <w:b/>
          <w:bCs/>
          <w:sz w:val="32"/>
        </w:rPr>
      </w:pPr>
      <w:r>
        <w:rPr>
          <w:rFonts w:hint="eastAsia" w:cs="宋体"/>
          <w:b/>
          <w:sz w:val="28"/>
          <w:szCs w:val="28"/>
        </w:rPr>
        <w:t xml:space="preserve">二○二六年</w:t>
      </w:r>
      <w:r>
        <w:rPr>
          <w:rFonts w:hint="eastAsia" w:cs="宋体"/>
          <w:b/>
          <w:sz w:val="28"/>
          <w:szCs w:val="28"/>
        </w:rPr>
        <w:t xml:space="preserve">四</w:t>
      </w:r>
      <w:r>
        <w:rPr>
          <w:rFonts w:hint="eastAsia" w:cs="宋体"/>
          <w:b/>
          <w:sz w:val="28"/>
          <w:szCs w:val="28"/>
        </w:rPr>
        <w:t xml:space="preserve">月</w:t>
      </w:r>
      <w:r>
        <w:rPr>
          <w:rFonts w:hint="eastAsia" w:cs="宋体"/>
          <w:b/>
          <w:bCs/>
          <w:sz w:val="32"/>
        </w:rPr>
      </w:r>
      <w:r/>
    </w:p>
    <w:p>
      <w:pPr>
        <w:pStyle w:val="954"/>
        <w:jc w:val="center"/>
        <w:rPr>
          <w:rFonts w:hint="eastAsia" w:cs="宋体"/>
          <w:sz w:val="48"/>
        </w:rPr>
      </w:pPr>
      <w:r>
        <w:rPr>
          <w:rFonts w:hint="eastAsia" w:cs="宋体"/>
          <w:sz w:val="48"/>
        </w:rPr>
      </w:r>
      <w:r/>
    </w:p>
    <w:p>
      <w:pPr>
        <w:pStyle w:val="954"/>
        <w:jc w:val="center"/>
        <w:rPr>
          <w:rFonts w:hint="eastAsia" w:cs="宋体"/>
          <w:sz w:val="48"/>
        </w:rPr>
      </w:pPr>
      <w:r>
        <w:rPr>
          <w:rFonts w:hint="eastAsia" w:cs="宋体"/>
          <w:sz w:val="48"/>
        </w:rPr>
      </w:r>
      <w:r/>
    </w:p>
    <w:p>
      <w:pPr>
        <w:pStyle w:val="954"/>
        <w:jc w:val="center"/>
        <w:rPr>
          <w:rFonts w:hint="eastAsia" w:cs="宋体"/>
          <w:sz w:val="48"/>
        </w:rPr>
      </w:pPr>
      <w:r>
        <w:rPr>
          <w:rFonts w:hint="eastAsia" w:cs="宋体"/>
          <w:sz w:val="48"/>
        </w:rPr>
        <w:t xml:space="preserve">总目录</w:t>
      </w:r>
      <w:r/>
    </w:p>
    <w:p>
      <w:pPr>
        <w:pStyle w:val="954"/>
        <w:rPr>
          <w:rFonts w:hint="eastAsia" w:cs="宋体"/>
        </w:rPr>
      </w:pPr>
      <w:r>
        <w:rPr>
          <w:rFonts w:hint="eastAsia" w:cs="宋体"/>
        </w:rPr>
      </w:r>
      <w:r/>
    </w:p>
    <w:p>
      <w:pPr>
        <w:pStyle w:val="954"/>
        <w:rPr>
          <w:rFonts w:hint="eastAsia" w:cs="宋体"/>
        </w:rPr>
      </w:pPr>
      <w:r>
        <w:rPr>
          <w:rFonts w:hint="eastAsia" w:cs="宋体"/>
        </w:rPr>
      </w:r>
      <w:r/>
    </w:p>
    <w:p>
      <w:pPr>
        <w:pStyle w:val="954"/>
        <w:ind w:firstLine="711"/>
        <w:spacing w:line="720" w:lineRule="auto"/>
        <w:rPr>
          <w:rFonts w:hint="eastAsia" w:cs="宋体"/>
          <w:b/>
          <w:bCs/>
          <w:sz w:val="28"/>
        </w:rPr>
      </w:pPr>
      <w:r>
        <w:rPr>
          <w:rFonts w:hint="eastAsia" w:cs="宋体"/>
          <w:b/>
          <w:bCs/>
          <w:sz w:val="28"/>
        </w:rPr>
        <w:t xml:space="preserve">第一章 招标公告　 </w:t>
      </w:r>
      <w:r/>
    </w:p>
    <w:p>
      <w:pPr>
        <w:pStyle w:val="954"/>
        <w:ind w:firstLine="711"/>
        <w:spacing w:line="720" w:lineRule="auto"/>
        <w:rPr>
          <w:rFonts w:hint="eastAsia" w:cs="宋体"/>
          <w:b/>
          <w:bCs/>
          <w:sz w:val="28"/>
        </w:rPr>
      </w:pPr>
      <w:r>
        <w:rPr>
          <w:rFonts w:hint="eastAsia" w:cs="宋体"/>
          <w:b/>
          <w:bCs/>
          <w:sz w:val="28"/>
        </w:rPr>
        <w:t xml:space="preserve">第二章 </w:t>
      </w:r>
      <w:r>
        <w:rPr>
          <w:rFonts w:hint="eastAsia" w:cs="宋体"/>
          <w:b/>
          <w:bCs/>
          <w:sz w:val="28"/>
        </w:rPr>
        <w:fldChar w:fldCharType="begin"/>
      </w:r>
      <w:r>
        <w:rPr>
          <w:rFonts w:hint="eastAsia" w:cs="宋体"/>
          <w:b/>
          <w:bCs/>
          <w:sz w:val="28"/>
        </w:rPr>
        <w:instrText xml:space="preserve"> HYPERLINK  \l "投标人须知" </w:instrText>
      </w:r>
      <w:r>
        <w:rPr>
          <w:rFonts w:hint="eastAsia" w:cs="宋体"/>
          <w:b/>
          <w:bCs/>
          <w:sz w:val="28"/>
        </w:rPr>
        <w:fldChar w:fldCharType="separate"/>
      </w:r>
      <w:r>
        <w:rPr>
          <w:rStyle w:val="1041"/>
          <w:rFonts w:hint="eastAsia" w:cs="宋体"/>
          <w:b/>
          <w:bCs/>
          <w:color w:val="000000"/>
          <w:sz w:val="28"/>
          <w:u w:val="none"/>
        </w:rPr>
        <w:t xml:space="preserve">投标人须知</w:t>
      </w:r>
      <w:r>
        <w:rPr>
          <w:rFonts w:hint="eastAsia" w:cs="宋体"/>
          <w:b/>
          <w:bCs/>
          <w:sz w:val="28"/>
        </w:rPr>
        <w:fldChar w:fldCharType="end"/>
      </w:r>
      <w:r>
        <w:rPr>
          <w:rFonts w:hint="eastAsia" w:cs="宋体"/>
          <w:b/>
          <w:bCs/>
          <w:sz w:val="28"/>
        </w:rPr>
        <w:t xml:space="preserve">　 </w:t>
      </w:r>
      <w:r/>
    </w:p>
    <w:p>
      <w:pPr>
        <w:pStyle w:val="954"/>
        <w:ind w:firstLine="711"/>
        <w:spacing w:line="720" w:lineRule="auto"/>
        <w:rPr>
          <w:rFonts w:hint="eastAsia" w:cs="宋体"/>
          <w:b/>
          <w:bCs/>
          <w:sz w:val="28"/>
        </w:rPr>
      </w:pPr>
      <w:r>
        <w:rPr>
          <w:rFonts w:hint="eastAsia" w:cs="宋体"/>
          <w:b/>
          <w:bCs/>
          <w:sz w:val="28"/>
        </w:rPr>
        <w:t xml:space="preserve">第三章 </w:t>
      </w:r>
      <w:r>
        <w:rPr>
          <w:rFonts w:hint="eastAsia" w:cs="宋体"/>
          <w:b/>
          <w:bCs/>
          <w:sz w:val="28"/>
        </w:rPr>
        <w:fldChar w:fldCharType="begin"/>
      </w:r>
      <w:r>
        <w:rPr>
          <w:rFonts w:hint="eastAsia" w:cs="宋体"/>
          <w:b/>
          <w:bCs/>
          <w:sz w:val="28"/>
        </w:rPr>
        <w:instrText xml:space="preserve"> HYPERLINK  \l "投标文件格式" </w:instrText>
      </w:r>
      <w:r>
        <w:rPr>
          <w:rFonts w:hint="eastAsia" w:cs="宋体"/>
          <w:b/>
          <w:bCs/>
          <w:sz w:val="28"/>
        </w:rPr>
        <w:fldChar w:fldCharType="separate"/>
      </w:r>
      <w:r>
        <w:rPr>
          <w:rStyle w:val="1041"/>
          <w:rFonts w:hint="eastAsia" w:cs="宋体"/>
          <w:b/>
          <w:bCs/>
          <w:color w:val="000000"/>
          <w:sz w:val="28"/>
          <w:u w:val="none"/>
        </w:rPr>
        <w:t xml:space="preserve">投标文件格式</w:t>
      </w:r>
      <w:r>
        <w:rPr>
          <w:rFonts w:hint="eastAsia" w:cs="宋体"/>
          <w:b/>
          <w:bCs/>
          <w:sz w:val="28"/>
        </w:rPr>
        <w:fldChar w:fldCharType="end"/>
      </w:r>
      <w:r>
        <w:rPr>
          <w:rFonts w:hint="eastAsia" w:cs="宋体"/>
          <w:b/>
          <w:bCs/>
          <w:sz w:val="28"/>
        </w:rPr>
        <w:t xml:space="preserve">　</w:t>
      </w:r>
      <w:r/>
    </w:p>
    <w:p>
      <w:pPr>
        <w:pStyle w:val="954"/>
        <w:ind w:firstLine="711"/>
        <w:spacing w:line="720" w:lineRule="auto"/>
        <w:rPr>
          <w:rFonts w:hint="eastAsia" w:cs="宋体"/>
          <w:b/>
          <w:bCs/>
          <w:sz w:val="28"/>
        </w:rPr>
      </w:pPr>
      <w:r>
        <w:rPr>
          <w:rFonts w:hint="eastAsia" w:cs="宋体"/>
          <w:b/>
          <w:bCs/>
          <w:sz w:val="28"/>
        </w:rPr>
        <w:t xml:space="preserve">第四章 </w:t>
      </w:r>
      <w:r>
        <w:rPr>
          <w:rFonts w:hint="eastAsia" w:cs="宋体"/>
          <w:b/>
          <w:bCs/>
          <w:sz w:val="28"/>
        </w:rPr>
        <w:fldChar w:fldCharType="begin"/>
      </w:r>
      <w:r>
        <w:rPr>
          <w:rFonts w:hint="eastAsia" w:cs="宋体"/>
          <w:b/>
          <w:bCs/>
          <w:sz w:val="28"/>
        </w:rPr>
        <w:instrText xml:space="preserve"> HYPERLINK  \l "招标书" </w:instrText>
      </w:r>
      <w:r>
        <w:rPr>
          <w:rFonts w:hint="eastAsia" w:cs="宋体"/>
          <w:b/>
          <w:bCs/>
          <w:sz w:val="28"/>
        </w:rPr>
        <w:fldChar w:fldCharType="separate"/>
      </w:r>
      <w:r>
        <w:rPr>
          <w:rStyle w:val="1041"/>
          <w:rFonts w:hint="eastAsia" w:cs="宋体"/>
          <w:b/>
          <w:bCs/>
          <w:color w:val="000000"/>
          <w:sz w:val="28"/>
          <w:u w:val="none"/>
        </w:rPr>
        <w:t xml:space="preserve">招标书</w:t>
      </w:r>
      <w:r>
        <w:rPr>
          <w:rFonts w:hint="eastAsia" w:cs="宋体"/>
          <w:b/>
          <w:bCs/>
          <w:sz w:val="28"/>
        </w:rPr>
        <w:fldChar w:fldCharType="end"/>
      </w:r>
      <w:r>
        <w:rPr>
          <w:rFonts w:hint="eastAsia" w:cs="宋体"/>
          <w:b/>
          <w:bCs/>
          <w:sz w:val="28"/>
        </w:rPr>
        <w:t xml:space="preserve">　</w:t>
      </w:r>
      <w:r/>
    </w:p>
    <w:p>
      <w:pPr>
        <w:pStyle w:val="954"/>
        <w:ind w:firstLine="711"/>
        <w:spacing w:line="720" w:lineRule="auto"/>
        <w:rPr>
          <w:rFonts w:hint="eastAsia" w:cs="宋体"/>
          <w:b/>
          <w:bCs/>
          <w:sz w:val="28"/>
        </w:rPr>
      </w:pPr>
      <w:r>
        <w:rPr>
          <w:rFonts w:hint="eastAsia" w:cs="宋体"/>
          <w:b/>
          <w:bCs/>
          <w:sz w:val="28"/>
        </w:rPr>
        <w:t xml:space="preserve">第五章 </w:t>
      </w:r>
      <w:r>
        <w:rPr>
          <w:rFonts w:hint="eastAsia" w:cs="宋体"/>
          <w:b/>
          <w:bCs/>
          <w:sz w:val="28"/>
        </w:rPr>
        <w:fldChar w:fldCharType="begin"/>
      </w:r>
      <w:r>
        <w:rPr>
          <w:rFonts w:hint="eastAsia" w:cs="宋体"/>
          <w:b/>
          <w:bCs/>
          <w:sz w:val="28"/>
        </w:rPr>
        <w:instrText xml:space="preserve"> HYPERLINK  \l "合同一般条款" </w:instrText>
      </w:r>
      <w:r>
        <w:rPr>
          <w:rFonts w:hint="eastAsia" w:cs="宋体"/>
          <w:b/>
          <w:bCs/>
          <w:sz w:val="28"/>
        </w:rPr>
        <w:fldChar w:fldCharType="separate"/>
      </w:r>
      <w:r>
        <w:rPr>
          <w:rStyle w:val="1041"/>
          <w:rFonts w:hint="eastAsia" w:cs="宋体"/>
          <w:b/>
          <w:bCs/>
          <w:color w:val="000000"/>
          <w:sz w:val="28"/>
          <w:u w:val="none"/>
        </w:rPr>
        <w:t xml:space="preserve">合同主要条款</w:t>
      </w:r>
      <w:r>
        <w:rPr>
          <w:rFonts w:hint="eastAsia" w:cs="宋体"/>
          <w:b/>
          <w:bCs/>
          <w:sz w:val="28"/>
        </w:rPr>
        <w:fldChar w:fldCharType="end"/>
      </w:r>
      <w:r>
        <w:rPr>
          <w:rFonts w:hint="eastAsia" w:cs="宋体"/>
          <w:b/>
          <w:bCs/>
          <w:sz w:val="28"/>
        </w:rPr>
        <w:t xml:space="preserve">　</w:t>
      </w:r>
      <w:r/>
    </w:p>
    <w:p>
      <w:pPr>
        <w:pStyle w:val="954"/>
        <w:ind w:firstLine="711"/>
        <w:spacing w:line="720" w:lineRule="auto"/>
        <w:rPr>
          <w:rFonts w:hint="eastAsia" w:cs="宋体"/>
          <w:bCs/>
          <w:sz w:val="28"/>
          <w:szCs w:val="28"/>
        </w:rPr>
      </w:pPr>
      <w:r>
        <w:rPr>
          <w:rFonts w:hint="eastAsia" w:cs="宋体"/>
          <w:b/>
          <w:bCs/>
          <w:sz w:val="28"/>
          <w:szCs w:val="28"/>
        </w:rPr>
        <w:t xml:space="preserve">第六章 评分办法及标准</w:t>
      </w:r>
      <w:r>
        <w:rPr>
          <w:rFonts w:hint="eastAsia" w:cs="宋体"/>
          <w:bCs/>
          <w:sz w:val="28"/>
          <w:szCs w:val="28"/>
        </w:rPr>
        <w:t xml:space="preserve">  </w:t>
      </w:r>
      <w:r/>
    </w:p>
    <w:p>
      <w:pPr>
        <w:pStyle w:val="954"/>
        <w:jc w:val="center"/>
        <w:rPr>
          <w:rFonts w:hint="eastAsia" w:cs="宋体"/>
          <w:b/>
          <w:bCs/>
          <w:spacing w:val="20"/>
          <w:sz w:val="30"/>
        </w:rPr>
      </w:pPr>
      <w:r>
        <w:rPr>
          <w:rFonts w:hint="eastAsia" w:cs="宋体"/>
          <w:b/>
          <w:bCs/>
          <w:spacing w:val="20"/>
          <w:sz w:val="30"/>
        </w:rPr>
        <w:br w:type="page" w:clear="all"/>
        <w:t xml:space="preserve">前 附 表</w:t>
      </w:r>
      <w:r/>
    </w:p>
    <w:p>
      <w:pPr>
        <w:pStyle w:val="954"/>
        <w:ind w:firstLine="420"/>
        <w:spacing w:line="440" w:lineRule="exact"/>
        <w:rPr>
          <w:rFonts w:hint="eastAsia" w:cs="宋体"/>
          <w:sz w:val="21"/>
          <w:szCs w:val="21"/>
        </w:rPr>
      </w:pPr>
      <w:r>
        <w:rPr>
          <w:rFonts w:hint="eastAsia" w:cs="宋体"/>
          <w:sz w:val="21"/>
          <w:szCs w:val="21"/>
        </w:rPr>
        <w:t xml:space="preserve">下述关于要采购的</w:t>
      </w:r>
      <w:r>
        <w:rPr>
          <w:rFonts w:cs="宋体"/>
          <w:b/>
          <w:bCs/>
          <w:sz w:val="21"/>
          <w:szCs w:val="21"/>
        </w:rPr>
        <w:t xml:space="preserve">2026年浮桥镇建筑垃圾清运服务</w:t>
      </w:r>
      <w:r>
        <w:rPr>
          <w:rFonts w:hint="eastAsia" w:cs="宋体"/>
          <w:sz w:val="21"/>
          <w:szCs w:val="21"/>
        </w:rPr>
        <w:t xml:space="preserve">的具体资料是对招标文件投标人须知的具体补充和修改，如果有矛盾的话，应以本附表为准。</w:t>
      </w:r>
      <w:r/>
    </w:p>
    <w:tbl>
      <w:tblPr>
        <w:tblW w:w="0" w:type="auto"/>
        <w:jc w:val="center"/>
        <w:tblInd w:w="0" w:type="dxa"/>
        <w:tblBorders>
          <w:top w:val="single" w:color="000000" w:sz="24" w:space="0"/>
          <w:left w:val="single" w:color="000000" w:sz="24" w:space="0"/>
          <w:bottom w:val="single" w:color="000000" w:sz="24" w:space="0"/>
          <w:right w:val="single" w:color="000000" w:sz="2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712"/>
        <w:gridCol w:w="6820"/>
      </w:tblGrid>
      <w:tr>
        <w:trPr>
          <w:trHeight w:val="644"/>
        </w:trPr>
        <w:tc>
          <w:tcPr>
            <w:tcW w:w="766" w:type="dxa"/>
            <w:vAlign w:val="center"/>
            <w:textDirection w:val="lrTb"/>
            <w:noWrap w:val="false"/>
          </w:tcPr>
          <w:p>
            <w:pPr>
              <w:pStyle w:val="954"/>
              <w:jc w:val="center"/>
              <w:spacing w:line="460" w:lineRule="exact"/>
              <w:rPr>
                <w:rFonts w:hint="eastAsia" w:cs="宋体"/>
                <w:b/>
                <w:sz w:val="21"/>
                <w:szCs w:val="21"/>
              </w:rPr>
            </w:pPr>
            <w:r>
              <w:rPr>
                <w:rFonts w:hint="eastAsia" w:cs="宋体"/>
                <w:b/>
                <w:sz w:val="21"/>
                <w:szCs w:val="21"/>
              </w:rPr>
              <w:t xml:space="preserve">序号</w:t>
            </w:r>
            <w:r/>
          </w:p>
        </w:tc>
        <w:tc>
          <w:tcPr>
            <w:tcW w:w="1712" w:type="dxa"/>
            <w:vAlign w:val="center"/>
            <w:textDirection w:val="lrTb"/>
            <w:noWrap w:val="false"/>
          </w:tcPr>
          <w:p>
            <w:pPr>
              <w:pStyle w:val="954"/>
              <w:jc w:val="center"/>
              <w:spacing w:line="460" w:lineRule="exact"/>
              <w:rPr>
                <w:rFonts w:hint="eastAsia" w:cs="宋体"/>
                <w:b/>
                <w:sz w:val="21"/>
                <w:szCs w:val="21"/>
              </w:rPr>
            </w:pPr>
            <w:r>
              <w:rPr>
                <w:rFonts w:hint="eastAsia" w:cs="宋体"/>
                <w:b/>
                <w:sz w:val="21"/>
                <w:szCs w:val="21"/>
              </w:rPr>
              <w:t xml:space="preserve">内容</w:t>
            </w:r>
            <w:r/>
          </w:p>
        </w:tc>
        <w:tc>
          <w:tcPr>
            <w:tcW w:w="6820" w:type="dxa"/>
            <w:vAlign w:val="center"/>
            <w:textDirection w:val="lrTb"/>
            <w:noWrap w:val="false"/>
          </w:tcPr>
          <w:p>
            <w:pPr>
              <w:pStyle w:val="954"/>
              <w:jc w:val="center"/>
              <w:spacing w:line="460" w:lineRule="exact"/>
              <w:rPr>
                <w:rFonts w:hint="eastAsia" w:cs="宋体"/>
                <w:b/>
                <w:bCs/>
                <w:sz w:val="21"/>
                <w:szCs w:val="21"/>
              </w:rPr>
            </w:pPr>
            <w:r>
              <w:rPr>
                <w:rFonts w:hint="eastAsia" w:cs="宋体"/>
                <w:b/>
                <w:bCs/>
                <w:sz w:val="21"/>
                <w:szCs w:val="21"/>
              </w:rPr>
              <w:t xml:space="preserve">说明与要求</w:t>
            </w:r>
            <w:r/>
          </w:p>
        </w:tc>
      </w:tr>
      <w:tr>
        <w:trPr>
          <w:cantSplit/>
          <w:trHeight w:val="553"/>
        </w:trPr>
        <w:tc>
          <w:tcPr>
            <w:tcW w:w="766" w:type="dxa"/>
            <w:vAlign w:val="center"/>
            <w:vMerge w:val="restart"/>
            <w:textDirection w:val="lrTb"/>
            <w:noWrap w:val="false"/>
          </w:tcPr>
          <w:p>
            <w:pPr>
              <w:pStyle w:val="954"/>
              <w:jc w:val="center"/>
              <w:spacing w:line="460" w:lineRule="exact"/>
              <w:rPr>
                <w:rFonts w:hint="eastAsia" w:cs="宋体"/>
                <w:b/>
                <w:sz w:val="21"/>
                <w:szCs w:val="21"/>
              </w:rPr>
            </w:pPr>
            <w:r>
              <w:rPr>
                <w:rFonts w:hint="eastAsia" w:cs="宋体"/>
                <w:b/>
                <w:sz w:val="21"/>
                <w:szCs w:val="21"/>
              </w:rPr>
              <w:t xml:space="preserve">1</w:t>
            </w:r>
            <w:r/>
          </w:p>
        </w:tc>
        <w:tc>
          <w:tcPr>
            <w:tcW w:w="1712" w:type="dxa"/>
            <w:vAlign w:val="center"/>
            <w:textDirection w:val="lrTb"/>
            <w:noWrap w:val="false"/>
          </w:tcPr>
          <w:p>
            <w:pPr>
              <w:pStyle w:val="954"/>
              <w:jc w:val="center"/>
              <w:spacing w:line="460" w:lineRule="exact"/>
              <w:rPr>
                <w:rFonts w:hint="eastAsia" w:cs="宋体"/>
                <w:b/>
                <w:sz w:val="21"/>
                <w:szCs w:val="21"/>
              </w:rPr>
            </w:pPr>
            <w:r>
              <w:rPr>
                <w:rFonts w:hint="eastAsia" w:cs="宋体"/>
                <w:b/>
                <w:sz w:val="21"/>
                <w:szCs w:val="21"/>
              </w:rPr>
              <w:t xml:space="preserve">采购内容</w:t>
            </w:r>
            <w:r/>
          </w:p>
        </w:tc>
        <w:tc>
          <w:tcPr>
            <w:tcW w:w="6820" w:type="dxa"/>
            <w:vAlign w:val="center"/>
            <w:textDirection w:val="lrTb"/>
            <w:noWrap w:val="false"/>
          </w:tcPr>
          <w:p>
            <w:pPr>
              <w:pStyle w:val="954"/>
              <w:jc w:val="center"/>
              <w:spacing w:line="460" w:lineRule="exact"/>
              <w:rPr>
                <w:rFonts w:hint="eastAsia" w:cs="宋体"/>
                <w:sz w:val="21"/>
                <w:szCs w:val="21"/>
              </w:rPr>
            </w:pPr>
            <w:r>
              <w:rPr>
                <w:rFonts w:cs="宋体"/>
                <w:sz w:val="21"/>
                <w:szCs w:val="21"/>
              </w:rPr>
              <w:t xml:space="preserve">2026年浮桥镇建筑垃圾清运服务</w:t>
            </w:r>
            <w:r>
              <w:rPr>
                <w:rFonts w:hint="eastAsia" w:cs="宋体"/>
                <w:sz w:val="21"/>
                <w:szCs w:val="21"/>
              </w:rPr>
            </w:r>
            <w:r/>
          </w:p>
        </w:tc>
      </w:tr>
      <w:tr>
        <w:trPr>
          <w:cantSplit/>
          <w:trHeight w:val="307"/>
        </w:trPr>
        <w:tc>
          <w:tcPr>
            <w:tcW w:w="766" w:type="dxa"/>
            <w:vAlign w:val="center"/>
            <w:vMerge w:val="continue"/>
            <w:textDirection w:val="lrTb"/>
            <w:noWrap w:val="false"/>
          </w:tcPr>
          <w:p>
            <w:pPr>
              <w:pStyle w:val="954"/>
              <w:jc w:val="center"/>
              <w:spacing w:line="460" w:lineRule="exact"/>
              <w:rPr>
                <w:rFonts w:hint="eastAsia" w:cs="宋体"/>
                <w:b/>
                <w:sz w:val="21"/>
                <w:szCs w:val="21"/>
              </w:rPr>
            </w:pPr>
            <w:r>
              <w:rPr>
                <w:rFonts w:hint="eastAsia" w:cs="宋体"/>
                <w:b/>
                <w:sz w:val="21"/>
                <w:szCs w:val="21"/>
              </w:rPr>
            </w:r>
            <w:r/>
          </w:p>
        </w:tc>
        <w:tc>
          <w:tcPr>
            <w:tcW w:w="1712" w:type="dxa"/>
            <w:vAlign w:val="center"/>
            <w:textDirection w:val="lrTb"/>
            <w:noWrap w:val="false"/>
          </w:tcPr>
          <w:p>
            <w:pPr>
              <w:pStyle w:val="954"/>
              <w:jc w:val="center"/>
              <w:spacing w:line="460" w:lineRule="exact"/>
              <w:rPr>
                <w:rFonts w:hint="eastAsia" w:cs="宋体"/>
                <w:b/>
                <w:sz w:val="21"/>
                <w:szCs w:val="21"/>
              </w:rPr>
            </w:pPr>
            <w:r>
              <w:rPr>
                <w:rFonts w:hint="eastAsia" w:cs="宋体"/>
                <w:b/>
                <w:sz w:val="21"/>
                <w:szCs w:val="21"/>
              </w:rPr>
              <w:t xml:space="preserve">采购单位</w:t>
            </w:r>
            <w:r/>
          </w:p>
        </w:tc>
        <w:tc>
          <w:tcPr>
            <w:tcW w:w="6820" w:type="dxa"/>
            <w:vAlign w:val="center"/>
            <w:textDirection w:val="lrTb"/>
            <w:noWrap w:val="false"/>
          </w:tcPr>
          <w:p>
            <w:pPr>
              <w:pStyle w:val="954"/>
              <w:jc w:val="center"/>
              <w:spacing w:line="460" w:lineRule="exact"/>
              <w:rPr>
                <w:rFonts w:hint="eastAsia" w:cs="宋体"/>
                <w:sz w:val="21"/>
                <w:szCs w:val="21"/>
              </w:rPr>
            </w:pPr>
            <w:r>
              <w:rPr>
                <w:rFonts w:cs="宋体"/>
                <w:sz w:val="21"/>
                <w:szCs w:val="21"/>
              </w:rPr>
              <w:t xml:space="preserve">太仓市浮桥镇人民政府</w:t>
            </w:r>
            <w:r>
              <w:rPr>
                <w:rFonts w:hint="eastAsia" w:cs="宋体"/>
                <w:sz w:val="21"/>
                <w:szCs w:val="21"/>
              </w:rPr>
            </w:r>
            <w:r/>
          </w:p>
        </w:tc>
      </w:tr>
      <w:tr>
        <w:trPr>
          <w:cantSplit/>
          <w:trHeight w:val="652"/>
        </w:trPr>
        <w:tc>
          <w:tcPr>
            <w:tcW w:w="766" w:type="dxa"/>
            <w:vAlign w:val="center"/>
            <w:vMerge w:val="continue"/>
            <w:textDirection w:val="lrTb"/>
            <w:noWrap w:val="false"/>
          </w:tcPr>
          <w:p>
            <w:pPr>
              <w:pStyle w:val="954"/>
              <w:jc w:val="center"/>
              <w:spacing w:line="460" w:lineRule="exact"/>
              <w:rPr>
                <w:rFonts w:hint="eastAsia" w:cs="宋体"/>
                <w:b/>
                <w:sz w:val="21"/>
                <w:szCs w:val="21"/>
              </w:rPr>
            </w:pPr>
            <w:r>
              <w:rPr>
                <w:rFonts w:hint="eastAsia" w:cs="宋体"/>
                <w:b/>
                <w:sz w:val="21"/>
                <w:szCs w:val="21"/>
              </w:rPr>
            </w:r>
            <w:r/>
          </w:p>
        </w:tc>
        <w:tc>
          <w:tcPr>
            <w:tcW w:w="1712" w:type="dxa"/>
            <w:vAlign w:val="center"/>
            <w:textDirection w:val="lrTb"/>
            <w:noWrap w:val="false"/>
          </w:tcPr>
          <w:p>
            <w:pPr>
              <w:pStyle w:val="954"/>
              <w:jc w:val="center"/>
              <w:spacing w:line="460" w:lineRule="exact"/>
              <w:rPr>
                <w:rFonts w:hint="eastAsia" w:cs="宋体"/>
                <w:b/>
                <w:sz w:val="21"/>
                <w:szCs w:val="21"/>
              </w:rPr>
            </w:pPr>
            <w:r>
              <w:rPr>
                <w:rFonts w:hint="eastAsia" w:cs="宋体"/>
                <w:b/>
                <w:sz w:val="21"/>
                <w:szCs w:val="21"/>
              </w:rPr>
              <w:t xml:space="preserve">采购方式</w:t>
            </w:r>
            <w:r/>
          </w:p>
        </w:tc>
        <w:tc>
          <w:tcPr>
            <w:tcW w:w="6820" w:type="dxa"/>
            <w:vAlign w:val="center"/>
            <w:textDirection w:val="lrTb"/>
            <w:noWrap w:val="false"/>
          </w:tcPr>
          <w:p>
            <w:pPr>
              <w:pStyle w:val="954"/>
              <w:jc w:val="center"/>
              <w:spacing w:line="460" w:lineRule="exact"/>
              <w:rPr>
                <w:rFonts w:hint="eastAsia" w:cs="宋体"/>
                <w:sz w:val="21"/>
                <w:szCs w:val="21"/>
              </w:rPr>
            </w:pPr>
            <w:r>
              <w:rPr>
                <w:rFonts w:hint="eastAsia" w:cs="宋体"/>
                <w:sz w:val="21"/>
                <w:szCs w:val="21"/>
              </w:rPr>
              <w:t xml:space="preserve">公开招标</w:t>
            </w:r>
            <w:r/>
          </w:p>
        </w:tc>
      </w:tr>
      <w:tr>
        <w:trPr>
          <w:cantSplit/>
          <w:trHeight w:val="652"/>
        </w:trPr>
        <w:tc>
          <w:tcPr>
            <w:tcW w:w="766" w:type="dxa"/>
            <w:vAlign w:val="center"/>
            <w:vMerge w:val="continue"/>
            <w:textDirection w:val="lrTb"/>
            <w:noWrap w:val="false"/>
          </w:tcPr>
          <w:p>
            <w:pPr>
              <w:pStyle w:val="954"/>
              <w:jc w:val="center"/>
              <w:spacing w:line="460" w:lineRule="exact"/>
              <w:rPr>
                <w:rFonts w:hint="eastAsia" w:cs="宋体"/>
                <w:b/>
                <w:sz w:val="21"/>
                <w:szCs w:val="21"/>
              </w:rPr>
            </w:pPr>
            <w:r>
              <w:rPr>
                <w:rFonts w:hint="eastAsia" w:cs="宋体"/>
                <w:b/>
                <w:sz w:val="21"/>
                <w:szCs w:val="21"/>
              </w:rPr>
            </w:r>
            <w:r/>
          </w:p>
        </w:tc>
        <w:tc>
          <w:tcPr>
            <w:tcW w:w="1712" w:type="dxa"/>
            <w:vAlign w:val="center"/>
            <w:textDirection w:val="lrTb"/>
            <w:noWrap w:val="false"/>
          </w:tcPr>
          <w:p>
            <w:pPr>
              <w:pStyle w:val="954"/>
              <w:jc w:val="center"/>
              <w:spacing w:line="460" w:lineRule="exact"/>
              <w:rPr>
                <w:rFonts w:hint="eastAsia" w:cs="宋体"/>
                <w:b/>
                <w:sz w:val="21"/>
                <w:szCs w:val="21"/>
              </w:rPr>
            </w:pPr>
            <w:r>
              <w:rPr>
                <w:rFonts w:hint="eastAsia" w:cs="宋体"/>
                <w:b/>
                <w:sz w:val="21"/>
                <w:szCs w:val="21"/>
              </w:rPr>
              <w:t xml:space="preserve">资金来源</w:t>
            </w:r>
            <w:r/>
          </w:p>
        </w:tc>
        <w:tc>
          <w:tcPr>
            <w:tcW w:w="6820" w:type="dxa"/>
            <w:vAlign w:val="center"/>
            <w:textDirection w:val="lrTb"/>
            <w:noWrap w:val="false"/>
          </w:tcPr>
          <w:p>
            <w:pPr>
              <w:pStyle w:val="954"/>
              <w:jc w:val="center"/>
              <w:spacing w:line="460" w:lineRule="exact"/>
              <w:rPr>
                <w:rFonts w:hint="eastAsia" w:cs="宋体"/>
                <w:sz w:val="21"/>
                <w:szCs w:val="21"/>
              </w:rPr>
            </w:pPr>
            <w:r>
              <w:rPr>
                <w:rFonts w:hint="eastAsia" w:cs="宋体"/>
                <w:sz w:val="21"/>
                <w:szCs w:val="21"/>
              </w:rPr>
              <w:t xml:space="preserve">财政资金</w:t>
            </w:r>
            <w:r/>
          </w:p>
        </w:tc>
      </w:tr>
      <w:tr>
        <w:trPr>
          <w:cantSplit/>
          <w:trHeight w:val="612"/>
        </w:trPr>
        <w:tc>
          <w:tcPr>
            <w:tcW w:w="766" w:type="dxa"/>
            <w:vAlign w:val="center"/>
            <w:vMerge w:val="continue"/>
            <w:textDirection w:val="lrTb"/>
            <w:noWrap w:val="false"/>
          </w:tcPr>
          <w:p>
            <w:pPr>
              <w:pStyle w:val="954"/>
              <w:jc w:val="center"/>
              <w:spacing w:line="460" w:lineRule="exact"/>
              <w:rPr>
                <w:rFonts w:hint="eastAsia" w:cs="宋体"/>
                <w:b/>
                <w:sz w:val="21"/>
                <w:szCs w:val="21"/>
              </w:rPr>
            </w:pPr>
            <w:r>
              <w:rPr>
                <w:rFonts w:hint="eastAsia" w:cs="宋体"/>
                <w:b/>
                <w:sz w:val="21"/>
                <w:szCs w:val="21"/>
              </w:rPr>
            </w:r>
            <w:r/>
          </w:p>
        </w:tc>
        <w:tc>
          <w:tcPr>
            <w:tcW w:w="1712" w:type="dxa"/>
            <w:vAlign w:val="center"/>
            <w:textDirection w:val="lrTb"/>
            <w:noWrap w:val="false"/>
          </w:tcPr>
          <w:p>
            <w:pPr>
              <w:pStyle w:val="954"/>
              <w:jc w:val="center"/>
              <w:spacing w:line="460" w:lineRule="exact"/>
              <w:rPr>
                <w:rFonts w:hint="eastAsia" w:cs="宋体"/>
                <w:b/>
                <w:sz w:val="21"/>
                <w:szCs w:val="21"/>
              </w:rPr>
            </w:pPr>
            <w:r>
              <w:rPr>
                <w:rFonts w:hint="eastAsia" w:cs="宋体"/>
                <w:b/>
                <w:sz w:val="21"/>
                <w:szCs w:val="21"/>
              </w:rPr>
              <w:t xml:space="preserve">采购范围</w:t>
            </w:r>
            <w:r/>
          </w:p>
        </w:tc>
        <w:tc>
          <w:tcPr>
            <w:tcW w:w="6820" w:type="dxa"/>
            <w:vAlign w:val="center"/>
            <w:textDirection w:val="lrTb"/>
            <w:noWrap w:val="false"/>
          </w:tcPr>
          <w:p>
            <w:pPr>
              <w:pStyle w:val="954"/>
              <w:jc w:val="center"/>
              <w:spacing w:line="460" w:lineRule="exact"/>
              <w:rPr>
                <w:rFonts w:hint="eastAsia" w:cs="宋体"/>
                <w:sz w:val="21"/>
                <w:szCs w:val="21"/>
              </w:rPr>
            </w:pPr>
            <w:r>
              <w:rPr>
                <w:rFonts w:cs="宋体"/>
                <w:sz w:val="21"/>
                <w:szCs w:val="21"/>
              </w:rPr>
              <w:t xml:space="preserve">2026年浮桥镇建筑垃圾清运服务</w:t>
            </w:r>
            <w:r>
              <w:rPr>
                <w:rFonts w:hint="eastAsia" w:cs="宋体"/>
                <w:sz w:val="21"/>
                <w:szCs w:val="21"/>
              </w:rPr>
            </w:r>
            <w:r/>
          </w:p>
        </w:tc>
      </w:tr>
      <w:tr>
        <w:trPr>
          <w:cantSplit/>
          <w:trHeight w:val="414"/>
        </w:trPr>
        <w:tc>
          <w:tcPr>
            <w:tcW w:w="766" w:type="dxa"/>
            <w:vAlign w:val="center"/>
            <w:vMerge w:val="continue"/>
            <w:textDirection w:val="lrTb"/>
            <w:noWrap w:val="false"/>
          </w:tcPr>
          <w:p>
            <w:pPr>
              <w:pStyle w:val="954"/>
              <w:jc w:val="center"/>
              <w:spacing w:line="460" w:lineRule="exact"/>
              <w:rPr>
                <w:rFonts w:hint="eastAsia" w:cs="宋体"/>
                <w:b/>
                <w:sz w:val="21"/>
                <w:szCs w:val="21"/>
              </w:rPr>
            </w:pPr>
            <w:r>
              <w:rPr>
                <w:rFonts w:hint="eastAsia" w:cs="宋体"/>
                <w:b/>
                <w:sz w:val="21"/>
                <w:szCs w:val="21"/>
              </w:rPr>
            </w:r>
            <w:r/>
          </w:p>
        </w:tc>
        <w:tc>
          <w:tcPr>
            <w:tcW w:w="1712" w:type="dxa"/>
            <w:vAlign w:val="center"/>
            <w:textDirection w:val="lrTb"/>
            <w:noWrap w:val="false"/>
          </w:tcPr>
          <w:p>
            <w:pPr>
              <w:pStyle w:val="954"/>
              <w:jc w:val="center"/>
              <w:spacing w:line="460" w:lineRule="exact"/>
              <w:rPr>
                <w:rFonts w:hint="eastAsia" w:cs="宋体"/>
                <w:b/>
                <w:sz w:val="21"/>
                <w:szCs w:val="21"/>
              </w:rPr>
            </w:pPr>
            <w:r>
              <w:rPr>
                <w:rFonts w:hint="eastAsia" w:cs="宋体"/>
                <w:b/>
                <w:sz w:val="21"/>
                <w:szCs w:val="21"/>
              </w:rPr>
              <w:t xml:space="preserve">合同履行</w:t>
            </w:r>
            <w:r>
              <w:rPr>
                <w:rFonts w:hint="eastAsia" w:cs="宋体"/>
                <w:b/>
                <w:sz w:val="21"/>
                <w:szCs w:val="21"/>
              </w:rPr>
              <w:t xml:space="preserve">期限</w:t>
            </w:r>
            <w:r/>
          </w:p>
        </w:tc>
        <w:tc>
          <w:tcPr>
            <w:tcW w:w="6820" w:type="dxa"/>
            <w:vAlign w:val="center"/>
            <w:textDirection w:val="lrTb"/>
            <w:noWrap w:val="false"/>
          </w:tcPr>
          <w:p>
            <w:pPr>
              <w:pStyle w:val="954"/>
              <w:jc w:val="center"/>
              <w:spacing w:line="460" w:lineRule="exact"/>
              <w:rPr>
                <w:rFonts w:hint="eastAsia" w:cs="宋体"/>
                <w:sz w:val="21"/>
                <w:szCs w:val="21"/>
              </w:rPr>
            </w:pPr>
            <w:r>
              <w:rPr>
                <w:rFonts w:hint="eastAsia"/>
                <w:sz w:val="21"/>
                <w:szCs w:val="21"/>
              </w:rPr>
              <w:t xml:space="preserve">一年或项目服务累计结算金额达到预算金额（二者中以先到者为准），具体进场日期以采购方通知为准</w:t>
            </w:r>
            <w:r>
              <w:rPr>
                <w:rFonts w:hint="eastAsia" w:cs="宋体"/>
                <w:sz w:val="21"/>
                <w:szCs w:val="21"/>
              </w:rPr>
            </w:r>
            <w:r/>
          </w:p>
        </w:tc>
      </w:tr>
      <w:tr>
        <w:trPr>
          <w:trHeight w:val="553"/>
        </w:trPr>
        <w:tc>
          <w:tcPr>
            <w:tcW w:w="766" w:type="dxa"/>
            <w:vAlign w:val="center"/>
            <w:textDirection w:val="lrTb"/>
            <w:noWrap w:val="false"/>
          </w:tcPr>
          <w:p>
            <w:pPr>
              <w:pStyle w:val="954"/>
              <w:jc w:val="center"/>
              <w:spacing w:line="460" w:lineRule="exact"/>
              <w:rPr>
                <w:rFonts w:hint="eastAsia" w:cs="宋体"/>
                <w:b/>
                <w:sz w:val="21"/>
                <w:szCs w:val="21"/>
              </w:rPr>
            </w:pPr>
            <w:r>
              <w:rPr>
                <w:rFonts w:hint="eastAsia" w:cs="宋体"/>
                <w:b/>
                <w:sz w:val="21"/>
                <w:szCs w:val="21"/>
              </w:rPr>
              <w:t xml:space="preserve">2</w:t>
            </w:r>
            <w:r/>
          </w:p>
        </w:tc>
        <w:tc>
          <w:tcPr>
            <w:tcW w:w="1712" w:type="dxa"/>
            <w:vAlign w:val="center"/>
            <w:textDirection w:val="lrTb"/>
            <w:noWrap w:val="false"/>
          </w:tcPr>
          <w:p>
            <w:pPr>
              <w:pStyle w:val="954"/>
              <w:jc w:val="center"/>
              <w:spacing w:line="460" w:lineRule="exact"/>
              <w:rPr>
                <w:rFonts w:hint="eastAsia" w:cs="宋体"/>
                <w:b/>
                <w:sz w:val="21"/>
                <w:szCs w:val="21"/>
              </w:rPr>
            </w:pPr>
            <w:r>
              <w:rPr>
                <w:rFonts w:hint="eastAsia" w:cs="宋体"/>
                <w:b/>
                <w:sz w:val="21"/>
                <w:szCs w:val="21"/>
              </w:rPr>
              <w:t xml:space="preserve">投标人资格条件</w:t>
            </w:r>
            <w:r/>
          </w:p>
        </w:tc>
        <w:tc>
          <w:tcPr>
            <w:tcW w:w="6820" w:type="dxa"/>
            <w:vAlign w:val="center"/>
            <w:textDirection w:val="lrTb"/>
            <w:noWrap w:val="false"/>
          </w:tcPr>
          <w:p>
            <w:pPr>
              <w:pStyle w:val="954"/>
              <w:jc w:val="left"/>
              <w:spacing w:line="460" w:lineRule="exact"/>
              <w:rPr>
                <w:rFonts w:hint="eastAsia" w:cs="宋体"/>
                <w:sz w:val="21"/>
                <w:szCs w:val="21"/>
              </w:rPr>
            </w:pPr>
            <w:r>
              <w:rPr>
                <w:rFonts w:hint="eastAsia" w:cs="宋体"/>
                <w:sz w:val="21"/>
                <w:szCs w:val="21"/>
              </w:rPr>
              <w:t xml:space="preserve">（一）满足《中华人民共和国政府采购法》第二十二条规定：</w:t>
            </w:r>
            <w:r/>
          </w:p>
          <w:p>
            <w:pPr>
              <w:pStyle w:val="954"/>
              <w:jc w:val="left"/>
              <w:spacing w:line="460" w:lineRule="exact"/>
              <w:rPr>
                <w:rFonts w:hint="eastAsia" w:cs="宋体"/>
                <w:sz w:val="21"/>
                <w:szCs w:val="21"/>
              </w:rPr>
            </w:pPr>
            <w:r>
              <w:rPr>
                <w:rFonts w:hint="eastAsia" w:cs="宋体"/>
                <w:sz w:val="21"/>
                <w:szCs w:val="21"/>
              </w:rPr>
              <w:t xml:space="preserve">1、具有独立承担民事责任的能力；</w:t>
            </w:r>
            <w:r/>
          </w:p>
          <w:p>
            <w:pPr>
              <w:pStyle w:val="954"/>
              <w:jc w:val="left"/>
              <w:spacing w:line="460" w:lineRule="exact"/>
              <w:rPr>
                <w:rFonts w:hint="eastAsia" w:cs="宋体"/>
                <w:sz w:val="21"/>
                <w:szCs w:val="21"/>
              </w:rPr>
            </w:pPr>
            <w:r>
              <w:rPr>
                <w:rFonts w:hint="eastAsia" w:cs="宋体"/>
                <w:sz w:val="21"/>
                <w:szCs w:val="21"/>
              </w:rPr>
              <w:t xml:space="preserve">2、具有良好的商业信誉和健全的财务会计制度；</w:t>
            </w:r>
            <w:r/>
          </w:p>
          <w:p>
            <w:pPr>
              <w:pStyle w:val="954"/>
              <w:jc w:val="left"/>
              <w:spacing w:line="460" w:lineRule="exact"/>
              <w:rPr>
                <w:rFonts w:hint="eastAsia" w:cs="宋体"/>
                <w:sz w:val="21"/>
                <w:szCs w:val="21"/>
              </w:rPr>
            </w:pPr>
            <w:r>
              <w:rPr>
                <w:rFonts w:hint="eastAsia" w:cs="宋体"/>
                <w:sz w:val="21"/>
                <w:szCs w:val="21"/>
              </w:rPr>
              <w:t xml:space="preserve">3、</w:t>
            </w:r>
            <w:r>
              <w:rPr>
                <w:rFonts w:cs="宋体"/>
                <w:sz w:val="21"/>
              </w:rPr>
              <w:t xml:space="preserve">具有履行合同所必需的设备和专业技术能力</w:t>
            </w:r>
            <w:r>
              <w:rPr>
                <w:rFonts w:hint="eastAsia" w:cs="宋体"/>
                <w:sz w:val="21"/>
                <w:szCs w:val="21"/>
              </w:rPr>
              <w:t xml:space="preserve">；</w:t>
            </w:r>
            <w:r/>
          </w:p>
          <w:p>
            <w:pPr>
              <w:pStyle w:val="954"/>
              <w:jc w:val="left"/>
              <w:spacing w:line="460" w:lineRule="exact"/>
              <w:rPr>
                <w:rFonts w:hint="eastAsia" w:cs="宋体"/>
                <w:sz w:val="21"/>
                <w:szCs w:val="21"/>
              </w:rPr>
            </w:pPr>
            <w:r>
              <w:rPr>
                <w:rFonts w:hint="eastAsia" w:cs="宋体"/>
                <w:sz w:val="21"/>
                <w:szCs w:val="21"/>
              </w:rPr>
              <w:t xml:space="preserve">4、有依法缴纳税收和社会保障资金的良好记录；</w:t>
            </w:r>
            <w:r/>
          </w:p>
          <w:p>
            <w:pPr>
              <w:pStyle w:val="954"/>
              <w:jc w:val="left"/>
              <w:spacing w:line="460" w:lineRule="exact"/>
              <w:rPr>
                <w:rFonts w:hint="eastAsia" w:cs="宋体"/>
                <w:sz w:val="21"/>
                <w:szCs w:val="21"/>
              </w:rPr>
            </w:pPr>
            <w:r>
              <w:rPr>
                <w:rFonts w:hint="eastAsia" w:cs="宋体"/>
                <w:sz w:val="21"/>
                <w:szCs w:val="21"/>
              </w:rPr>
              <w:t xml:space="preserve">5、参加政府采购活动前三年内，在经营活动中没有重大违法记录；</w:t>
            </w:r>
            <w:r/>
          </w:p>
          <w:p>
            <w:pPr>
              <w:pStyle w:val="954"/>
              <w:jc w:val="left"/>
              <w:spacing w:line="460" w:lineRule="exact"/>
              <w:rPr>
                <w:rFonts w:hint="eastAsia" w:cs="宋体"/>
                <w:sz w:val="21"/>
                <w:szCs w:val="21"/>
              </w:rPr>
            </w:pPr>
            <w:r>
              <w:rPr>
                <w:rFonts w:hint="eastAsia" w:cs="宋体"/>
                <w:sz w:val="21"/>
                <w:szCs w:val="21"/>
              </w:rPr>
              <w:t xml:space="preserve">6、法律、行政法规规定的其他条件。</w:t>
            </w:r>
            <w:r/>
          </w:p>
          <w:p>
            <w:pPr>
              <w:pStyle w:val="954"/>
              <w:jc w:val="left"/>
              <w:spacing w:line="460" w:lineRule="exact"/>
              <w:rPr>
                <w:rFonts w:hint="eastAsia" w:cs="宋体"/>
                <w:sz w:val="21"/>
                <w:szCs w:val="21"/>
              </w:rPr>
            </w:pPr>
            <w:r>
              <w:rPr>
                <w:rFonts w:hint="eastAsia" w:cs="宋体"/>
                <w:sz w:val="21"/>
                <w:szCs w:val="21"/>
              </w:rPr>
              <w:t xml:space="preserve">（二）落实政府采购政策需满足的资格要求：</w:t>
            </w:r>
            <w:r>
              <w:rPr>
                <w:rFonts w:hint="eastAsia" w:cs="宋体"/>
                <w:sz w:val="21"/>
              </w:rPr>
              <w:t xml:space="preserve">本项目专门面向中小企业采购，根据《政府采购促进中小企</w:t>
            </w:r>
            <w:r>
              <w:rPr>
                <w:rFonts w:hint="eastAsia" w:cs="宋体"/>
                <w:sz w:val="21"/>
              </w:rPr>
              <w:t xml:space="preserve">业发展管理办法》（财库〔</w:t>
            </w:r>
            <w:r>
              <w:rPr>
                <w:rFonts w:cs="宋体"/>
                <w:sz w:val="21"/>
              </w:rPr>
              <w:t xml:space="preserve">2020〕46号）有关规定，投标人应提供中小企业声明函或残疾人福利性单位声明函或省级以上监狱管理局、戒毒管理局（含新疆生产建设兵团）出具的属于监狱企业的证明文件</w:t>
            </w:r>
            <w:r>
              <w:rPr>
                <w:rFonts w:hint="eastAsia" w:cs="宋体"/>
                <w:sz w:val="21"/>
              </w:rPr>
              <w:t xml:space="preserve">，</w:t>
            </w:r>
            <w:r>
              <w:rPr>
                <w:rFonts w:cs="宋体"/>
                <w:sz w:val="21"/>
              </w:rPr>
              <w:t xml:space="preserve">否则视为投标无效</w:t>
            </w:r>
            <w:r>
              <w:rPr>
                <w:rFonts w:hint="eastAsia"/>
                <w:sz w:val="21"/>
                <w:szCs w:val="21"/>
              </w:rPr>
              <w:t xml:space="preserve">；</w:t>
            </w:r>
            <w:r>
              <w:rPr>
                <w:rFonts w:hint="eastAsia" w:cs="宋体"/>
                <w:sz w:val="21"/>
                <w:szCs w:val="21"/>
              </w:rPr>
            </w:r>
            <w:r/>
          </w:p>
          <w:p>
            <w:pPr>
              <w:pStyle w:val="954"/>
              <w:jc w:val="left"/>
              <w:spacing w:line="460" w:lineRule="exact"/>
              <w:rPr>
                <w:rFonts w:hint="eastAsia" w:cs="宋体"/>
                <w:sz w:val="21"/>
                <w:szCs w:val="21"/>
              </w:rPr>
            </w:pPr>
            <w:r>
              <w:rPr>
                <w:rFonts w:hint="eastAsia" w:cs="宋体"/>
                <w:sz w:val="21"/>
                <w:szCs w:val="21"/>
              </w:rPr>
              <w:t xml:space="preserve">（三）本项目的特定资格要求：详见第一章 招标公告</w:t>
            </w:r>
            <w:r/>
          </w:p>
        </w:tc>
      </w:tr>
      <w:tr>
        <w:trPr>
          <w:trHeight w:val="557"/>
        </w:trPr>
        <w:tc>
          <w:tcPr>
            <w:tcW w:w="766" w:type="dxa"/>
            <w:vAlign w:val="center"/>
            <w:textDirection w:val="lrTb"/>
            <w:noWrap w:val="false"/>
          </w:tcPr>
          <w:p>
            <w:pPr>
              <w:pStyle w:val="954"/>
              <w:jc w:val="center"/>
              <w:spacing w:line="460" w:lineRule="exact"/>
              <w:rPr>
                <w:rFonts w:hint="eastAsia" w:cs="宋体"/>
                <w:b/>
                <w:sz w:val="21"/>
                <w:szCs w:val="21"/>
              </w:rPr>
            </w:pPr>
            <w:r>
              <w:rPr>
                <w:rFonts w:hint="eastAsia" w:cs="宋体"/>
                <w:b/>
                <w:sz w:val="21"/>
                <w:szCs w:val="21"/>
              </w:rPr>
              <w:t xml:space="preserve">3</w:t>
            </w:r>
            <w:r/>
          </w:p>
        </w:tc>
        <w:tc>
          <w:tcPr>
            <w:tcW w:w="1712" w:type="dxa"/>
            <w:vAlign w:val="center"/>
            <w:textDirection w:val="lrTb"/>
            <w:noWrap w:val="false"/>
          </w:tcPr>
          <w:p>
            <w:pPr>
              <w:pStyle w:val="954"/>
              <w:jc w:val="center"/>
              <w:spacing w:line="460" w:lineRule="exact"/>
              <w:rPr>
                <w:rFonts w:hint="eastAsia" w:cs="宋体"/>
                <w:b/>
                <w:sz w:val="21"/>
                <w:szCs w:val="21"/>
              </w:rPr>
            </w:pPr>
            <w:r>
              <w:rPr>
                <w:rFonts w:hint="eastAsia" w:cs="宋体"/>
                <w:b/>
                <w:sz w:val="21"/>
                <w:szCs w:val="21"/>
              </w:rPr>
              <w:t xml:space="preserve">招标文件获取</w:t>
            </w:r>
            <w:r/>
          </w:p>
        </w:tc>
        <w:tc>
          <w:tcPr>
            <w:tcW w:w="6820" w:type="dxa"/>
            <w:vAlign w:val="center"/>
            <w:textDirection w:val="lrTb"/>
            <w:noWrap w:val="false"/>
          </w:tcPr>
          <w:p>
            <w:pPr>
              <w:pStyle w:val="954"/>
              <w:jc w:val="left"/>
              <w:spacing w:line="460" w:lineRule="exact"/>
              <w:rPr>
                <w:rFonts w:cs="宋体"/>
                <w:sz w:val="21"/>
              </w:rPr>
            </w:pPr>
            <w:r>
              <w:rPr>
                <w:rFonts w:hint="eastAsia" w:cs="宋体"/>
                <w:sz w:val="21"/>
              </w:rPr>
              <w:t xml:space="preserve">1、时间：自招标文件公告发布之日起5个工作日。</w:t>
            </w:r>
            <w:r>
              <w:rPr>
                <w:rFonts w:cs="宋体"/>
                <w:sz w:val="21"/>
              </w:rPr>
            </w:r>
            <w:r/>
          </w:p>
          <w:p>
            <w:pPr>
              <w:pStyle w:val="954"/>
              <w:jc w:val="left"/>
              <w:spacing w:line="460" w:lineRule="exact"/>
              <w:rPr>
                <w:rFonts w:hint="eastAsia" w:cs="宋体"/>
                <w:sz w:val="21"/>
              </w:rPr>
            </w:pPr>
            <w:r>
              <w:rPr>
                <w:rFonts w:hint="eastAsia" w:cs="宋体"/>
                <w:sz w:val="21"/>
              </w:rPr>
              <w:t xml:space="preserve">2、地点：苏采云政府采购一体化平台</w:t>
            </w:r>
            <w:r/>
          </w:p>
          <w:p>
            <w:pPr>
              <w:pStyle w:val="954"/>
              <w:jc w:val="left"/>
              <w:spacing w:line="460" w:lineRule="exact"/>
              <w:rPr>
                <w:rFonts w:hint="eastAsia" w:cs="宋体"/>
                <w:sz w:val="21"/>
              </w:rPr>
            </w:pPr>
            <w:r>
              <w:rPr>
                <w:rFonts w:hint="eastAsia" w:cs="宋体"/>
                <w:sz w:val="21"/>
              </w:rPr>
              <w:t xml:space="preserve">3、方式：苏采云政府采购一体化平台</w:t>
            </w:r>
            <w:r/>
          </w:p>
          <w:p>
            <w:pPr>
              <w:pStyle w:val="954"/>
              <w:jc w:val="left"/>
              <w:spacing w:line="460" w:lineRule="exact"/>
              <w:rPr>
                <w:rFonts w:hint="eastAsia" w:cs="宋体"/>
                <w:sz w:val="21"/>
              </w:rPr>
            </w:pPr>
            <w:r>
              <w:rPr>
                <w:rFonts w:hint="eastAsia" w:cs="宋体"/>
                <w:sz w:val="21"/>
              </w:rPr>
              <w:t xml:space="preserve">4、售价：0.00元</w:t>
            </w:r>
            <w:r/>
          </w:p>
        </w:tc>
      </w:tr>
      <w:tr>
        <w:trPr>
          <w:trHeight w:val="543"/>
        </w:trPr>
        <w:tc>
          <w:tcPr>
            <w:tcW w:w="766" w:type="dxa"/>
            <w:vAlign w:val="center"/>
            <w:textDirection w:val="lrTb"/>
            <w:noWrap w:val="false"/>
          </w:tcPr>
          <w:p>
            <w:pPr>
              <w:pStyle w:val="954"/>
              <w:jc w:val="center"/>
              <w:spacing w:line="460" w:lineRule="exact"/>
              <w:rPr>
                <w:rFonts w:hint="eastAsia" w:cs="宋体"/>
                <w:b/>
                <w:sz w:val="21"/>
                <w:szCs w:val="21"/>
              </w:rPr>
            </w:pPr>
            <w:r>
              <w:rPr>
                <w:rFonts w:hint="eastAsia" w:cs="宋体"/>
                <w:b/>
                <w:sz w:val="21"/>
                <w:szCs w:val="21"/>
              </w:rPr>
              <w:t xml:space="preserve">4</w:t>
            </w:r>
            <w:r/>
          </w:p>
        </w:tc>
        <w:tc>
          <w:tcPr>
            <w:tcW w:w="1712" w:type="dxa"/>
            <w:vAlign w:val="center"/>
            <w:textDirection w:val="lrTb"/>
            <w:noWrap w:val="false"/>
          </w:tcPr>
          <w:p>
            <w:pPr>
              <w:pStyle w:val="954"/>
              <w:jc w:val="center"/>
              <w:spacing w:line="460" w:lineRule="exact"/>
              <w:rPr>
                <w:rFonts w:hint="eastAsia" w:cs="宋体"/>
                <w:b/>
                <w:sz w:val="21"/>
                <w:szCs w:val="21"/>
              </w:rPr>
            </w:pPr>
            <w:r>
              <w:rPr>
                <w:rFonts w:hint="eastAsia" w:cs="宋体"/>
                <w:b/>
                <w:sz w:val="21"/>
                <w:szCs w:val="21"/>
              </w:rPr>
              <w:t xml:space="preserve">财政预算</w:t>
            </w:r>
            <w:r/>
          </w:p>
        </w:tc>
        <w:tc>
          <w:tcPr>
            <w:tcW w:w="6820" w:type="dxa"/>
            <w:vAlign w:val="center"/>
            <w:textDirection w:val="lrTb"/>
            <w:noWrap w:val="false"/>
          </w:tcPr>
          <w:p>
            <w:pPr>
              <w:pStyle w:val="954"/>
              <w:jc w:val="center"/>
              <w:spacing w:line="460" w:lineRule="exact"/>
              <w:rPr>
                <w:rFonts w:hint="eastAsia" w:cs="宋体"/>
                <w:sz w:val="21"/>
                <w:szCs w:val="21"/>
              </w:rPr>
            </w:pPr>
            <w:r>
              <w:rPr>
                <w:rFonts w:hint="eastAsia" w:cs="宋体"/>
                <w:sz w:val="21"/>
                <w:szCs w:val="21"/>
              </w:rPr>
              <w:t xml:space="preserve">人民币</w:t>
            </w:r>
            <w:r>
              <w:rPr>
                <w:rFonts w:cs="宋体"/>
                <w:sz w:val="21"/>
                <w:szCs w:val="21"/>
              </w:rPr>
              <w:t xml:space="preserve">150万元</w:t>
            </w:r>
            <w:r>
              <w:rPr>
                <w:rFonts w:hint="eastAsia" w:cs="宋体"/>
                <w:sz w:val="21"/>
                <w:szCs w:val="21"/>
              </w:rPr>
            </w:r>
            <w:r/>
          </w:p>
        </w:tc>
      </w:tr>
      <w:tr>
        <w:trPr>
          <w:trHeight w:val="640"/>
        </w:trPr>
        <w:tc>
          <w:tcPr>
            <w:tcW w:w="766" w:type="dxa"/>
            <w:vAlign w:val="center"/>
            <w:textDirection w:val="lrTb"/>
            <w:noWrap w:val="false"/>
          </w:tcPr>
          <w:p>
            <w:pPr>
              <w:pStyle w:val="954"/>
              <w:jc w:val="center"/>
              <w:spacing w:line="460" w:lineRule="exact"/>
              <w:rPr>
                <w:rFonts w:hint="eastAsia" w:cs="宋体"/>
                <w:b/>
                <w:sz w:val="21"/>
                <w:szCs w:val="21"/>
              </w:rPr>
            </w:pPr>
            <w:r>
              <w:rPr>
                <w:rFonts w:hint="eastAsia" w:cs="宋体"/>
                <w:b/>
                <w:sz w:val="21"/>
                <w:szCs w:val="21"/>
              </w:rPr>
              <w:t xml:space="preserve">5</w:t>
            </w:r>
            <w:r/>
          </w:p>
        </w:tc>
        <w:tc>
          <w:tcPr>
            <w:tcW w:w="1712" w:type="dxa"/>
            <w:vAlign w:val="center"/>
            <w:textDirection w:val="lrTb"/>
            <w:noWrap w:val="false"/>
          </w:tcPr>
          <w:p>
            <w:pPr>
              <w:pStyle w:val="954"/>
              <w:jc w:val="center"/>
              <w:spacing w:line="460" w:lineRule="exact"/>
              <w:rPr>
                <w:rFonts w:hint="eastAsia" w:cs="宋体"/>
                <w:b/>
                <w:sz w:val="21"/>
                <w:szCs w:val="21"/>
              </w:rPr>
            </w:pPr>
            <w:r>
              <w:rPr>
                <w:rFonts w:hint="eastAsia" w:cs="宋体"/>
                <w:b/>
                <w:sz w:val="21"/>
                <w:szCs w:val="21"/>
              </w:rPr>
              <w:t xml:space="preserve">投标保证金</w:t>
            </w:r>
            <w:r/>
          </w:p>
        </w:tc>
        <w:tc>
          <w:tcPr>
            <w:tcW w:w="6820" w:type="dxa"/>
            <w:vAlign w:val="center"/>
            <w:textDirection w:val="lrTb"/>
            <w:noWrap w:val="false"/>
          </w:tcPr>
          <w:p>
            <w:pPr>
              <w:pStyle w:val="954"/>
              <w:jc w:val="left"/>
              <w:spacing w:line="460" w:lineRule="exact"/>
              <w:rPr>
                <w:rFonts w:hint="eastAsia" w:cs="宋体"/>
                <w:sz w:val="21"/>
                <w:szCs w:val="21"/>
                <w:lang w:eastAsia="en-US"/>
              </w:rPr>
            </w:pPr>
            <w:r>
              <w:rPr>
                <w:rFonts w:hint="eastAsia" w:cs="宋体"/>
                <w:sz w:val="21"/>
                <w:szCs w:val="21"/>
                <w:lang w:eastAsia="en-US"/>
              </w:rPr>
              <w:t xml:space="preserve">无</w:t>
            </w:r>
            <w:r/>
          </w:p>
        </w:tc>
      </w:tr>
      <w:tr>
        <w:trPr>
          <w:trHeight w:val="710"/>
        </w:trPr>
        <w:tc>
          <w:tcPr>
            <w:tcW w:w="766" w:type="dxa"/>
            <w:vAlign w:val="center"/>
            <w:textDirection w:val="lrTb"/>
            <w:noWrap w:val="false"/>
          </w:tcPr>
          <w:p>
            <w:pPr>
              <w:pStyle w:val="954"/>
              <w:jc w:val="center"/>
              <w:spacing w:line="460" w:lineRule="exact"/>
              <w:rPr>
                <w:rFonts w:hint="eastAsia" w:cs="宋体"/>
                <w:b/>
                <w:sz w:val="21"/>
                <w:szCs w:val="21"/>
              </w:rPr>
            </w:pPr>
            <w:r>
              <w:rPr>
                <w:rFonts w:hint="eastAsia" w:cs="宋体"/>
                <w:b/>
                <w:sz w:val="21"/>
                <w:szCs w:val="21"/>
              </w:rPr>
              <w:t xml:space="preserve">6</w:t>
            </w:r>
            <w:r/>
          </w:p>
        </w:tc>
        <w:tc>
          <w:tcPr>
            <w:tcW w:w="1712" w:type="dxa"/>
            <w:vAlign w:val="center"/>
            <w:textDirection w:val="lrTb"/>
            <w:noWrap w:val="false"/>
          </w:tcPr>
          <w:p>
            <w:pPr>
              <w:pStyle w:val="954"/>
              <w:jc w:val="center"/>
              <w:spacing w:line="460" w:lineRule="exact"/>
              <w:rPr>
                <w:rFonts w:hint="eastAsia" w:cs="宋体"/>
                <w:b/>
                <w:sz w:val="21"/>
                <w:szCs w:val="21"/>
              </w:rPr>
            </w:pPr>
            <w:r>
              <w:rPr>
                <w:rFonts w:hint="eastAsia" w:cs="宋体"/>
                <w:b/>
                <w:sz w:val="21"/>
                <w:szCs w:val="21"/>
              </w:rPr>
              <w:t xml:space="preserve">履约保</w:t>
            </w:r>
            <w:r>
              <w:rPr>
                <w:rFonts w:hint="eastAsia" w:cs="宋体"/>
                <w:b/>
                <w:sz w:val="21"/>
                <w:szCs w:val="21"/>
              </w:rPr>
              <w:t xml:space="preserve">证金</w:t>
            </w:r>
            <w:r/>
          </w:p>
        </w:tc>
        <w:tc>
          <w:tcPr>
            <w:tcW w:w="6820" w:type="dxa"/>
            <w:vAlign w:val="center"/>
            <w:textDirection w:val="lrTb"/>
            <w:noWrap w:val="false"/>
          </w:tcPr>
          <w:p>
            <w:pPr>
              <w:pStyle w:val="954"/>
              <w:spacing w:line="360" w:lineRule="auto"/>
              <w:rPr>
                <w:rFonts w:hint="eastAsia" w:cs="宋体"/>
                <w:sz w:val="21"/>
                <w:szCs w:val="21"/>
              </w:rPr>
            </w:pPr>
            <w:r>
              <w:rPr>
                <w:rFonts w:hint="eastAsia" w:cs="宋体"/>
                <w:sz w:val="21"/>
                <w:szCs w:val="21"/>
              </w:rPr>
              <w:t xml:space="preserve">无</w:t>
            </w:r>
            <w:r/>
          </w:p>
        </w:tc>
      </w:tr>
      <w:tr>
        <w:trPr>
          <w:cantSplit/>
          <w:trHeight w:val="699"/>
        </w:trPr>
        <w:tc>
          <w:tcPr>
            <w:tcW w:w="766" w:type="dxa"/>
            <w:vAlign w:val="center"/>
            <w:textDirection w:val="lrTb"/>
            <w:noWrap w:val="false"/>
          </w:tcPr>
          <w:p>
            <w:pPr>
              <w:pStyle w:val="954"/>
              <w:jc w:val="center"/>
              <w:spacing w:line="460" w:lineRule="exact"/>
              <w:rPr>
                <w:rFonts w:hint="eastAsia" w:cs="宋体"/>
                <w:b/>
                <w:sz w:val="21"/>
                <w:szCs w:val="21"/>
              </w:rPr>
            </w:pPr>
            <w:r>
              <w:rPr>
                <w:rFonts w:hint="eastAsia" w:cs="宋体"/>
                <w:b/>
                <w:sz w:val="21"/>
                <w:szCs w:val="21"/>
              </w:rPr>
              <w:t xml:space="preserve">7</w:t>
            </w:r>
            <w:r/>
          </w:p>
        </w:tc>
        <w:tc>
          <w:tcPr>
            <w:tcW w:w="1712" w:type="dxa"/>
            <w:vAlign w:val="center"/>
            <w:textDirection w:val="lrTb"/>
            <w:noWrap w:val="false"/>
          </w:tcPr>
          <w:p>
            <w:pPr>
              <w:pStyle w:val="954"/>
              <w:jc w:val="center"/>
              <w:spacing w:line="460" w:lineRule="exact"/>
              <w:rPr>
                <w:rFonts w:hint="eastAsia" w:cs="宋体"/>
                <w:bCs/>
                <w:sz w:val="21"/>
                <w:szCs w:val="21"/>
              </w:rPr>
            </w:pPr>
            <w:r>
              <w:rPr>
                <w:rFonts w:hint="eastAsia" w:cs="宋体"/>
                <w:b/>
                <w:sz w:val="21"/>
                <w:szCs w:val="21"/>
              </w:rPr>
              <w:t xml:space="preserve">电子投标文件编制要求</w:t>
            </w:r>
            <w:r>
              <w:rPr>
                <w:rFonts w:hint="eastAsia" w:cs="宋体"/>
                <w:bCs/>
                <w:sz w:val="21"/>
                <w:szCs w:val="21"/>
              </w:rPr>
            </w:r>
            <w:r/>
          </w:p>
        </w:tc>
        <w:tc>
          <w:tcPr>
            <w:tcW w:w="6820" w:type="dxa"/>
            <w:vAlign w:val="center"/>
            <w:textDirection w:val="lrTb"/>
            <w:noWrap w:val="false"/>
          </w:tcPr>
          <w:p>
            <w:pPr>
              <w:pStyle w:val="954"/>
              <w:spacing w:line="460" w:lineRule="exact"/>
              <w:rPr>
                <w:rFonts w:hint="eastAsia" w:cs="宋体"/>
                <w:sz w:val="21"/>
                <w:szCs w:val="21"/>
              </w:rPr>
            </w:pPr>
            <w:r>
              <w:rPr>
                <w:rFonts w:hint="eastAsia"/>
                <w:sz w:val="21"/>
                <w:szCs w:val="21"/>
              </w:rPr>
              <w:t xml:space="preserve">投标人应使用招标文件要求的投标文件制作软件制作电子投标文件，电子投标文件按招标文件规定的格式制作，如果未按要求制作上传，可能导致投标无效</w:t>
            </w:r>
            <w:r>
              <w:rPr>
                <w:sz w:val="21"/>
                <w:szCs w:val="21"/>
              </w:rPr>
              <w:t xml:space="preserve">。</w:t>
            </w:r>
            <w:r>
              <w:rPr>
                <w:rFonts w:hint="eastAsia" w:cs="宋体"/>
                <w:sz w:val="21"/>
                <w:szCs w:val="21"/>
              </w:rPr>
            </w:r>
            <w:r/>
          </w:p>
        </w:tc>
      </w:tr>
      <w:tr>
        <w:trPr>
          <w:cantSplit/>
          <w:trHeight w:val="699"/>
        </w:trPr>
        <w:tc>
          <w:tcPr>
            <w:tcW w:w="766" w:type="dxa"/>
            <w:vAlign w:val="center"/>
            <w:textDirection w:val="lrTb"/>
            <w:noWrap w:val="false"/>
          </w:tcPr>
          <w:p>
            <w:pPr>
              <w:pStyle w:val="954"/>
              <w:jc w:val="center"/>
              <w:spacing w:line="460" w:lineRule="exact"/>
              <w:rPr>
                <w:rFonts w:hint="eastAsia" w:cs="宋体"/>
                <w:b/>
                <w:sz w:val="21"/>
                <w:szCs w:val="21"/>
              </w:rPr>
            </w:pPr>
            <w:r>
              <w:rPr>
                <w:rFonts w:hint="eastAsia" w:cs="宋体"/>
                <w:b/>
                <w:sz w:val="21"/>
                <w:szCs w:val="21"/>
              </w:rPr>
              <w:t xml:space="preserve">8</w:t>
            </w:r>
            <w:r/>
          </w:p>
        </w:tc>
        <w:tc>
          <w:tcPr>
            <w:tcW w:w="1712" w:type="dxa"/>
            <w:vAlign w:val="center"/>
            <w:textDirection w:val="lrTb"/>
            <w:noWrap w:val="false"/>
          </w:tcPr>
          <w:p>
            <w:pPr>
              <w:pStyle w:val="954"/>
              <w:jc w:val="center"/>
              <w:spacing w:line="460" w:lineRule="exact"/>
              <w:rPr>
                <w:rFonts w:hint="eastAsia" w:cs="宋体"/>
                <w:b/>
                <w:sz w:val="21"/>
                <w:szCs w:val="21"/>
              </w:rPr>
            </w:pPr>
            <w:r>
              <w:rPr>
                <w:rFonts w:hint="eastAsia" w:cs="宋体"/>
                <w:b/>
                <w:sz w:val="21"/>
                <w:szCs w:val="21"/>
              </w:rPr>
              <w:t xml:space="preserve">投标文件有效期</w:t>
            </w:r>
            <w:r/>
          </w:p>
        </w:tc>
        <w:tc>
          <w:tcPr>
            <w:tcW w:w="6820" w:type="dxa"/>
            <w:vAlign w:val="center"/>
            <w:textDirection w:val="lrTb"/>
            <w:noWrap w:val="false"/>
          </w:tcPr>
          <w:p>
            <w:pPr>
              <w:pStyle w:val="954"/>
              <w:spacing w:line="460" w:lineRule="exact"/>
              <w:rPr>
                <w:rFonts w:hint="eastAsia" w:cs="宋体"/>
                <w:sz w:val="21"/>
                <w:szCs w:val="21"/>
              </w:rPr>
            </w:pPr>
            <w:r>
              <w:rPr>
                <w:rFonts w:hint="eastAsia" w:cs="宋体"/>
                <w:sz w:val="21"/>
                <w:szCs w:val="21"/>
              </w:rPr>
              <w:t xml:space="preserve">60天</w:t>
            </w:r>
            <w:r/>
          </w:p>
        </w:tc>
      </w:tr>
      <w:tr>
        <w:trPr>
          <w:cantSplit/>
          <w:trHeight w:val="695"/>
        </w:trPr>
        <w:tc>
          <w:tcPr>
            <w:tcW w:w="766" w:type="dxa"/>
            <w:vAlign w:val="center"/>
            <w:textDirection w:val="lrTb"/>
            <w:noWrap w:val="false"/>
          </w:tcPr>
          <w:p>
            <w:pPr>
              <w:pStyle w:val="954"/>
              <w:jc w:val="center"/>
              <w:spacing w:line="460" w:lineRule="exact"/>
              <w:rPr>
                <w:rFonts w:hint="eastAsia" w:cs="宋体"/>
                <w:b/>
                <w:sz w:val="21"/>
                <w:szCs w:val="21"/>
              </w:rPr>
            </w:pPr>
            <w:r>
              <w:rPr>
                <w:rFonts w:hint="eastAsia" w:cs="宋体"/>
                <w:b/>
                <w:sz w:val="21"/>
                <w:szCs w:val="21"/>
              </w:rPr>
              <w:t xml:space="preserve">9</w:t>
            </w:r>
            <w:r/>
          </w:p>
        </w:tc>
        <w:tc>
          <w:tcPr>
            <w:tcW w:w="1712" w:type="dxa"/>
            <w:vAlign w:val="center"/>
            <w:textDirection w:val="lrTb"/>
            <w:noWrap w:val="false"/>
          </w:tcPr>
          <w:p>
            <w:pPr>
              <w:pStyle w:val="954"/>
              <w:jc w:val="center"/>
              <w:spacing w:line="460" w:lineRule="exact"/>
              <w:rPr>
                <w:rFonts w:hint="eastAsia" w:cs="宋体"/>
                <w:b/>
                <w:sz w:val="21"/>
                <w:szCs w:val="21"/>
              </w:rPr>
            </w:pPr>
            <w:r>
              <w:rPr>
                <w:rFonts w:hint="eastAsia" w:cs="宋体"/>
                <w:b/>
                <w:sz w:val="21"/>
                <w:szCs w:val="21"/>
              </w:rPr>
              <w:t xml:space="preserve">踏勘</w:t>
            </w:r>
            <w:r/>
          </w:p>
        </w:tc>
        <w:tc>
          <w:tcPr>
            <w:tcW w:w="6820" w:type="dxa"/>
            <w:vAlign w:val="center"/>
            <w:textDirection w:val="lrTb"/>
            <w:noWrap w:val="false"/>
          </w:tcPr>
          <w:p>
            <w:pPr>
              <w:pStyle w:val="954"/>
              <w:spacing w:line="460" w:lineRule="exact"/>
              <w:rPr>
                <w:rFonts w:hint="eastAsia" w:cs="宋体"/>
                <w:sz w:val="21"/>
                <w:szCs w:val="21"/>
              </w:rPr>
            </w:pPr>
            <w:r>
              <w:rPr>
                <w:rFonts w:hint="eastAsia" w:cs="宋体"/>
                <w:sz w:val="21"/>
                <w:szCs w:val="21"/>
              </w:rPr>
              <w:t xml:space="preserve">本项目不组织统一踏勘，由投标人自行踏勘现场。</w:t>
            </w:r>
            <w:r/>
          </w:p>
        </w:tc>
      </w:tr>
      <w:tr>
        <w:trPr>
          <w:trHeight w:val="1002"/>
        </w:trPr>
        <w:tc>
          <w:tcPr>
            <w:tcW w:w="766" w:type="dxa"/>
            <w:vAlign w:val="center"/>
            <w:textDirection w:val="lrTb"/>
            <w:noWrap w:val="false"/>
          </w:tcPr>
          <w:p>
            <w:pPr>
              <w:pStyle w:val="954"/>
              <w:jc w:val="center"/>
              <w:spacing w:line="460" w:lineRule="exact"/>
              <w:rPr>
                <w:rFonts w:hint="eastAsia" w:cs="宋体"/>
                <w:b/>
                <w:sz w:val="21"/>
                <w:szCs w:val="21"/>
              </w:rPr>
            </w:pPr>
            <w:r>
              <w:rPr>
                <w:rFonts w:hint="eastAsia" w:cs="宋体"/>
                <w:b/>
                <w:sz w:val="21"/>
                <w:szCs w:val="21"/>
              </w:rPr>
              <w:t xml:space="preserve">10</w:t>
            </w:r>
            <w:r/>
          </w:p>
        </w:tc>
        <w:tc>
          <w:tcPr>
            <w:tcW w:w="1712" w:type="dxa"/>
            <w:vAlign w:val="center"/>
            <w:textDirection w:val="lrTb"/>
            <w:noWrap w:val="false"/>
          </w:tcPr>
          <w:p>
            <w:pPr>
              <w:pStyle w:val="954"/>
              <w:jc w:val="center"/>
              <w:spacing w:line="460" w:lineRule="exact"/>
              <w:rPr>
                <w:rFonts w:hint="eastAsia" w:cs="宋体"/>
                <w:b/>
                <w:sz w:val="21"/>
                <w:szCs w:val="21"/>
              </w:rPr>
            </w:pPr>
            <w:r>
              <w:rPr>
                <w:rFonts w:hint="eastAsia" w:cs="宋体"/>
                <w:b/>
                <w:sz w:val="21"/>
                <w:szCs w:val="21"/>
              </w:rPr>
              <w:t xml:space="preserve">招标文件的澄清与修改</w:t>
            </w:r>
            <w:r/>
          </w:p>
        </w:tc>
        <w:tc>
          <w:tcPr>
            <w:tcW w:w="6820" w:type="dxa"/>
            <w:vAlign w:val="center"/>
            <w:textDirection w:val="lrTb"/>
            <w:noWrap w:val="false"/>
          </w:tcPr>
          <w:p>
            <w:pPr>
              <w:pStyle w:val="1536"/>
              <w:jc w:val="both"/>
              <w:spacing w:before="0" w:beforeAutospacing="0" w:after="0" w:afterAutospacing="0" w:line="460" w:lineRule="exact"/>
              <w:rPr>
                <w:rFonts w:cs="宋体"/>
                <w:sz w:val="21"/>
                <w:szCs w:val="21"/>
              </w:rPr>
            </w:pPr>
            <w:r>
              <w:rPr>
                <w:sz w:val="21"/>
                <w:szCs w:val="21"/>
              </w:rPr>
              <w:t xml:space="preserve">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rPr>
                <w:sz w:val="21"/>
                <w:szCs w:val="21"/>
              </w:rPr>
              <w:t xml:space="preserve">；</w:t>
            </w:r>
            <w:r>
              <w:rPr>
                <w:sz w:val="21"/>
                <w:szCs w:val="21"/>
              </w:rPr>
              <w:t xml:space="preserve">招标文件若有最新</w:t>
            </w:r>
            <w:r>
              <w:rPr>
                <w:sz w:val="21"/>
                <w:szCs w:val="21"/>
              </w:rPr>
              <w:t xml:space="preserve">的答疑文件，投标供应商必须下载并使用该文件制作新的电子投标文件，否则将无法完成电子投标文件的上传及投标</w:t>
            </w:r>
            <w:r>
              <w:rPr>
                <w:sz w:val="21"/>
                <w:szCs w:val="21"/>
              </w:rPr>
              <w:t xml:space="preserve">。</w:t>
            </w:r>
            <w:r>
              <w:rPr>
                <w:rFonts w:cs="宋体"/>
                <w:sz w:val="21"/>
                <w:szCs w:val="21"/>
              </w:rPr>
            </w:r>
            <w:r/>
          </w:p>
        </w:tc>
      </w:tr>
      <w:tr>
        <w:trPr>
          <w:trHeight w:val="1002"/>
        </w:trPr>
        <w:tc>
          <w:tcPr>
            <w:tcW w:w="766" w:type="dxa"/>
            <w:vAlign w:val="center"/>
            <w:textDirection w:val="lrTb"/>
            <w:noWrap w:val="false"/>
          </w:tcPr>
          <w:p>
            <w:pPr>
              <w:pStyle w:val="954"/>
              <w:jc w:val="center"/>
              <w:spacing w:line="460" w:lineRule="exact"/>
              <w:rPr>
                <w:rFonts w:hint="eastAsia" w:cs="宋体"/>
                <w:b/>
                <w:sz w:val="21"/>
                <w:szCs w:val="21"/>
              </w:rPr>
            </w:pPr>
            <w:r>
              <w:rPr>
                <w:rFonts w:hint="eastAsia" w:cs="宋体"/>
                <w:b/>
                <w:sz w:val="21"/>
                <w:szCs w:val="21"/>
              </w:rPr>
              <w:t xml:space="preserve">11</w:t>
            </w:r>
            <w:r/>
          </w:p>
        </w:tc>
        <w:tc>
          <w:tcPr>
            <w:tcW w:w="1712" w:type="dxa"/>
            <w:vAlign w:val="center"/>
            <w:textDirection w:val="lrTb"/>
            <w:noWrap w:val="false"/>
          </w:tcPr>
          <w:p>
            <w:pPr>
              <w:pStyle w:val="954"/>
              <w:jc w:val="center"/>
              <w:spacing w:line="460" w:lineRule="exact"/>
              <w:rPr>
                <w:rFonts w:hint="eastAsia" w:cs="宋体"/>
                <w:b/>
                <w:sz w:val="21"/>
                <w:szCs w:val="21"/>
              </w:rPr>
            </w:pPr>
            <w:r>
              <w:rPr>
                <w:rFonts w:hint="eastAsia" w:cs="宋体"/>
                <w:b/>
                <w:sz w:val="21"/>
                <w:szCs w:val="21"/>
              </w:rPr>
              <w:t xml:space="preserve">投标文件的评价和比较方法</w:t>
            </w:r>
            <w:r/>
          </w:p>
        </w:tc>
        <w:tc>
          <w:tcPr>
            <w:tcW w:w="6820" w:type="dxa"/>
            <w:vAlign w:val="center"/>
            <w:textDirection w:val="lrTb"/>
            <w:noWrap w:val="false"/>
          </w:tcPr>
          <w:p>
            <w:pPr>
              <w:pStyle w:val="1536"/>
              <w:jc w:val="both"/>
              <w:spacing w:before="0" w:beforeAutospacing="0" w:after="0" w:afterAutospacing="0" w:line="460" w:lineRule="exact"/>
              <w:rPr>
                <w:rFonts w:cs="宋体"/>
                <w:sz w:val="21"/>
                <w:szCs w:val="21"/>
              </w:rPr>
            </w:pPr>
            <w:r>
              <w:rPr>
                <w:rFonts w:cs="宋体"/>
                <w:sz w:val="21"/>
                <w:szCs w:val="21"/>
              </w:rPr>
              <w:t xml:space="preserve">综合评分法，根据价格、质量、技术等综合评比</w:t>
            </w:r>
            <w:r/>
          </w:p>
        </w:tc>
      </w:tr>
      <w:tr>
        <w:trPr>
          <w:trHeight w:val="1699"/>
        </w:trPr>
        <w:tc>
          <w:tcPr>
            <w:tcW w:w="766" w:type="dxa"/>
            <w:vAlign w:val="center"/>
            <w:textDirection w:val="lrTb"/>
            <w:noWrap w:val="false"/>
          </w:tcPr>
          <w:p>
            <w:pPr>
              <w:pStyle w:val="954"/>
              <w:jc w:val="center"/>
              <w:spacing w:line="460" w:lineRule="exact"/>
              <w:rPr>
                <w:rFonts w:hint="eastAsia" w:cs="宋体"/>
                <w:b/>
                <w:sz w:val="21"/>
                <w:szCs w:val="21"/>
              </w:rPr>
            </w:pPr>
            <w:r>
              <w:rPr>
                <w:rFonts w:hint="eastAsia" w:cs="宋体"/>
                <w:b/>
                <w:sz w:val="21"/>
                <w:szCs w:val="21"/>
              </w:rPr>
              <w:t xml:space="preserve">12</w:t>
            </w:r>
            <w:r/>
          </w:p>
        </w:tc>
        <w:tc>
          <w:tcPr>
            <w:tcW w:w="1712" w:type="dxa"/>
            <w:vAlign w:val="center"/>
            <w:textDirection w:val="lrTb"/>
            <w:noWrap w:val="false"/>
          </w:tcPr>
          <w:p>
            <w:pPr>
              <w:pStyle w:val="954"/>
              <w:jc w:val="center"/>
              <w:spacing w:line="460" w:lineRule="exact"/>
              <w:rPr>
                <w:rFonts w:hint="eastAsia" w:cs="宋体"/>
                <w:b/>
                <w:sz w:val="21"/>
                <w:szCs w:val="21"/>
              </w:rPr>
            </w:pPr>
            <w:r>
              <w:rPr>
                <w:rFonts w:hint="eastAsia" w:cs="宋体"/>
                <w:b/>
                <w:sz w:val="21"/>
                <w:szCs w:val="21"/>
              </w:rPr>
              <w:t xml:space="preserve">投标文件</w:t>
            </w:r>
            <w:r/>
          </w:p>
          <w:p>
            <w:pPr>
              <w:pStyle w:val="954"/>
              <w:jc w:val="center"/>
              <w:spacing w:line="460" w:lineRule="exact"/>
              <w:rPr>
                <w:rFonts w:hint="eastAsia" w:cs="宋体"/>
                <w:b/>
                <w:sz w:val="21"/>
                <w:szCs w:val="21"/>
              </w:rPr>
            </w:pPr>
            <w:r>
              <w:rPr>
                <w:rFonts w:hint="eastAsia" w:cs="宋体"/>
                <w:b/>
                <w:sz w:val="21"/>
                <w:szCs w:val="21"/>
              </w:rPr>
              <w:t xml:space="preserve">递交、开标</w:t>
            </w:r>
            <w:r/>
          </w:p>
        </w:tc>
        <w:tc>
          <w:tcPr>
            <w:tcW w:w="6820" w:type="dxa"/>
            <w:vAlign w:val="center"/>
            <w:textDirection w:val="lrTb"/>
            <w:noWrap w:val="false"/>
          </w:tcPr>
          <w:p>
            <w:pPr>
              <w:pStyle w:val="954"/>
              <w:spacing w:line="360" w:lineRule="auto"/>
              <w:rPr>
                <w:rFonts w:hint="eastAsia" w:cs="宋体"/>
                <w:sz w:val="21"/>
                <w:szCs w:val="21"/>
              </w:rPr>
            </w:pPr>
            <w:r>
              <w:rPr>
                <w:rFonts w:hint="eastAsia" w:cs="宋体"/>
                <w:sz w:val="21"/>
                <w:szCs w:val="21"/>
              </w:rPr>
              <w:t xml:space="preserve">2026年05月08日14：00</w:t>
            </w:r>
            <w:r>
              <w:rPr>
                <w:rFonts w:hint="eastAsia" w:cs="宋体"/>
                <w:sz w:val="21"/>
                <w:szCs w:val="21"/>
              </w:rPr>
              <w:t xml:space="preserve">（北京时间）</w:t>
            </w:r>
            <w:r/>
          </w:p>
          <w:p>
            <w:pPr>
              <w:pStyle w:val="954"/>
              <w:rPr>
                <w:rFonts w:hint="eastAsia"/>
              </w:rPr>
            </w:pPr>
            <w:r>
              <w:rPr>
                <w:rFonts w:hint="eastAsia"/>
                <w:sz w:val="21"/>
                <w:szCs w:val="21"/>
              </w:rPr>
              <w:t xml:space="preserve">地点：苏采云政府采购一体化平台</w:t>
            </w:r>
            <w:r>
              <w:rPr>
                <w:rFonts w:hint="eastAsia"/>
              </w:rPr>
            </w:r>
            <w:r/>
          </w:p>
        </w:tc>
      </w:tr>
      <w:tr>
        <w:trPr>
          <w:trHeight w:val="557"/>
        </w:trPr>
        <w:tc>
          <w:tcPr>
            <w:tcW w:w="766" w:type="dxa"/>
            <w:vAlign w:val="center"/>
            <w:textDirection w:val="lrTb"/>
            <w:noWrap w:val="false"/>
          </w:tcPr>
          <w:p>
            <w:pPr>
              <w:pStyle w:val="954"/>
              <w:jc w:val="center"/>
              <w:spacing w:line="460" w:lineRule="exact"/>
              <w:rPr>
                <w:rFonts w:hint="eastAsia" w:cs="宋体"/>
                <w:b/>
                <w:sz w:val="21"/>
                <w:szCs w:val="21"/>
              </w:rPr>
            </w:pPr>
            <w:r>
              <w:rPr>
                <w:rFonts w:hint="eastAsia" w:cs="宋体"/>
                <w:b/>
                <w:sz w:val="21"/>
                <w:szCs w:val="21"/>
              </w:rPr>
              <w:t xml:space="preserve">13</w:t>
            </w:r>
            <w:r/>
          </w:p>
        </w:tc>
        <w:tc>
          <w:tcPr>
            <w:tcW w:w="1712" w:type="dxa"/>
            <w:vAlign w:val="center"/>
            <w:textDirection w:val="lrTb"/>
            <w:noWrap w:val="false"/>
          </w:tcPr>
          <w:p>
            <w:pPr>
              <w:pStyle w:val="954"/>
              <w:jc w:val="center"/>
              <w:spacing w:line="460" w:lineRule="exact"/>
              <w:rPr>
                <w:rFonts w:hint="eastAsia" w:cs="宋体"/>
                <w:b/>
                <w:sz w:val="21"/>
                <w:szCs w:val="21"/>
              </w:rPr>
            </w:pPr>
            <w:r>
              <w:rPr>
                <w:rFonts w:hint="eastAsia" w:cs="宋体"/>
                <w:b/>
                <w:sz w:val="21"/>
                <w:szCs w:val="21"/>
              </w:rPr>
              <w:t xml:space="preserve">中标</w:t>
            </w:r>
            <w:r/>
          </w:p>
          <w:p>
            <w:pPr>
              <w:pStyle w:val="954"/>
              <w:jc w:val="center"/>
              <w:spacing w:line="460" w:lineRule="exact"/>
              <w:rPr>
                <w:rFonts w:hint="eastAsia" w:cs="宋体"/>
                <w:b/>
                <w:sz w:val="21"/>
                <w:szCs w:val="21"/>
              </w:rPr>
            </w:pPr>
            <w:r>
              <w:rPr>
                <w:rFonts w:hint="eastAsia" w:cs="宋体"/>
                <w:b/>
                <w:sz w:val="21"/>
                <w:szCs w:val="21"/>
              </w:rPr>
              <w:t xml:space="preserve">服务费</w:t>
            </w:r>
            <w:r/>
          </w:p>
        </w:tc>
        <w:tc>
          <w:tcPr>
            <w:tcW w:w="6820" w:type="dxa"/>
            <w:vAlign w:val="center"/>
            <w:textDirection w:val="lrTb"/>
            <w:noWrap w:val="false"/>
          </w:tcPr>
          <w:p>
            <w:pPr>
              <w:pStyle w:val="954"/>
              <w:spacing w:line="460" w:lineRule="exact"/>
              <w:rPr>
                <w:rFonts w:hint="eastAsia" w:cs="宋体"/>
                <w:sz w:val="21"/>
                <w:szCs w:val="21"/>
              </w:rPr>
            </w:pPr>
            <w:r>
              <w:rPr>
                <w:rFonts w:hint="eastAsia" w:cs="宋体"/>
                <w:sz w:val="21"/>
              </w:rPr>
              <w:t xml:space="preserve">本次招标项目中标服务费由中标人支付，按照预算金额，100万元以下按1.5%计算，100至500万（不含）按照1.1%计算，500至1000万（不含）按照0.8%计算，招标代理服务收费按差额定</w:t>
            </w:r>
            <w:r>
              <w:rPr>
                <w:rFonts w:hint="eastAsia" w:cs="宋体"/>
                <w:sz w:val="21"/>
              </w:rPr>
              <w:t xml:space="preserve">率累进法计算，如计算不足3000元按3000元计，中标人在领取中标通知书时向采购代理机构一次性付清</w:t>
            </w:r>
            <w:r>
              <w:rPr>
                <w:rFonts w:hint="eastAsia" w:cs="宋体"/>
                <w:sz w:val="21"/>
                <w:szCs w:val="21"/>
              </w:rPr>
              <w:t xml:space="preserve">。</w:t>
            </w:r>
            <w:r/>
          </w:p>
          <w:p>
            <w:pPr>
              <w:pStyle w:val="954"/>
              <w:spacing w:line="460" w:lineRule="exact"/>
              <w:rPr>
                <w:rFonts w:hint="eastAsia" w:cs="宋体"/>
                <w:sz w:val="21"/>
                <w:szCs w:val="21"/>
              </w:rPr>
            </w:pPr>
            <w:r>
              <w:rPr>
                <w:rFonts w:hint="eastAsia" w:cs="宋体"/>
                <w:sz w:val="21"/>
                <w:szCs w:val="21"/>
              </w:rPr>
              <w:t xml:space="preserve">账户：苏州乐族工程咨询有限公司</w:t>
              <w:br w:type="textWrapping" w:clear="all"/>
              <w:t xml:space="preserve">开户行：招商银行太仓支行</w:t>
              <w:br w:type="textWrapping" w:clear="all"/>
              <w:t xml:space="preserve">账户：512915826310001</w:t>
            </w:r>
            <w:r/>
          </w:p>
        </w:tc>
      </w:tr>
      <w:tr>
        <w:trPr>
          <w:trHeight w:val="558"/>
        </w:trPr>
        <w:tc>
          <w:tcPr>
            <w:tcW w:w="766" w:type="dxa"/>
            <w:vAlign w:val="center"/>
            <w:textDirection w:val="lrTb"/>
            <w:noWrap w:val="false"/>
          </w:tcPr>
          <w:p>
            <w:pPr>
              <w:pStyle w:val="954"/>
              <w:jc w:val="center"/>
              <w:spacing w:line="460" w:lineRule="exact"/>
              <w:rPr>
                <w:rFonts w:hint="eastAsia" w:cs="宋体"/>
                <w:b/>
                <w:sz w:val="21"/>
                <w:szCs w:val="21"/>
              </w:rPr>
            </w:pPr>
            <w:r>
              <w:rPr>
                <w:rFonts w:hint="eastAsia" w:cs="宋体"/>
                <w:b/>
                <w:sz w:val="21"/>
                <w:szCs w:val="21"/>
              </w:rPr>
              <w:t xml:space="preserve">14</w:t>
            </w:r>
            <w:r/>
          </w:p>
        </w:tc>
        <w:tc>
          <w:tcPr>
            <w:tcW w:w="1712" w:type="dxa"/>
            <w:vAlign w:val="center"/>
            <w:textDirection w:val="lrTb"/>
            <w:noWrap w:val="false"/>
          </w:tcPr>
          <w:p>
            <w:pPr>
              <w:pStyle w:val="954"/>
              <w:jc w:val="center"/>
              <w:spacing w:line="460" w:lineRule="exact"/>
              <w:rPr>
                <w:rFonts w:hint="eastAsia" w:cs="宋体"/>
                <w:b/>
                <w:sz w:val="21"/>
                <w:szCs w:val="21"/>
              </w:rPr>
            </w:pPr>
            <w:r>
              <w:rPr>
                <w:rFonts w:hint="eastAsia" w:cs="宋体"/>
                <w:b/>
                <w:sz w:val="21"/>
                <w:szCs w:val="21"/>
              </w:rPr>
              <w:t xml:space="preserve">导致废标因素</w:t>
            </w:r>
            <w:r/>
          </w:p>
        </w:tc>
        <w:tc>
          <w:tcPr>
            <w:tcW w:w="6820" w:type="dxa"/>
            <w:vAlign w:val="center"/>
            <w:textDirection w:val="lrTb"/>
            <w:noWrap w:val="false"/>
          </w:tcPr>
          <w:p>
            <w:pPr>
              <w:pStyle w:val="954"/>
              <w:ind w:firstLine="1"/>
              <w:spacing w:line="460" w:lineRule="exact"/>
              <w:rPr>
                <w:rFonts w:hint="eastAsia" w:cs="宋体"/>
                <w:sz w:val="21"/>
                <w:szCs w:val="21"/>
              </w:rPr>
            </w:pPr>
            <w:r>
              <w:rPr>
                <w:rFonts w:hint="eastAsia" w:cs="宋体"/>
                <w:sz w:val="21"/>
                <w:szCs w:val="21"/>
              </w:rPr>
              <w:t xml:space="preserve">出现下列情形之一的，为废标：</w:t>
            </w:r>
            <w:r/>
          </w:p>
          <w:p>
            <w:pPr>
              <w:pStyle w:val="954"/>
              <w:ind w:firstLine="1"/>
              <w:spacing w:line="460" w:lineRule="exact"/>
              <w:rPr>
                <w:rFonts w:cs="宋体"/>
                <w:sz w:val="21"/>
                <w:szCs w:val="21"/>
              </w:rPr>
            </w:pPr>
            <w:r>
              <w:rPr>
                <w:rFonts w:cs="宋体"/>
                <w:sz w:val="21"/>
                <w:szCs w:val="21"/>
              </w:rPr>
              <w:t xml:space="preserve">1</w:t>
            </w:r>
            <w:r>
              <w:rPr>
                <w:rFonts w:hint="eastAsia" w:cs="宋体"/>
                <w:sz w:val="21"/>
                <w:szCs w:val="21"/>
              </w:rPr>
              <w:t xml:space="preserve">、</w:t>
            </w:r>
            <w:r>
              <w:rPr>
                <w:rFonts w:cs="宋体"/>
                <w:sz w:val="21"/>
                <w:szCs w:val="21"/>
              </w:rPr>
              <w:t xml:space="preserve">符合专业条件的供应商或者对招标文件作实质响应的供应商不足三家的；</w:t>
            </w:r>
            <w:r/>
          </w:p>
          <w:p>
            <w:pPr>
              <w:pStyle w:val="954"/>
              <w:ind w:firstLine="1"/>
              <w:spacing w:line="460" w:lineRule="exact"/>
              <w:rPr>
                <w:rFonts w:cs="宋体"/>
                <w:sz w:val="21"/>
                <w:szCs w:val="21"/>
              </w:rPr>
            </w:pPr>
            <w:r>
              <w:rPr>
                <w:rFonts w:cs="宋体"/>
                <w:sz w:val="21"/>
                <w:szCs w:val="21"/>
              </w:rPr>
              <w:t xml:space="preserve">2</w:t>
            </w:r>
            <w:r>
              <w:rPr>
                <w:rFonts w:hint="eastAsia" w:cs="宋体"/>
                <w:sz w:val="21"/>
                <w:szCs w:val="21"/>
              </w:rPr>
              <w:t xml:space="preserve">、</w:t>
            </w:r>
            <w:r>
              <w:rPr>
                <w:rFonts w:cs="宋体"/>
                <w:sz w:val="21"/>
                <w:szCs w:val="21"/>
              </w:rPr>
              <w:t xml:space="preserve">出现影响采购公正的违法、违规行为的；</w:t>
            </w:r>
            <w:r/>
          </w:p>
          <w:p>
            <w:pPr>
              <w:pStyle w:val="954"/>
              <w:ind w:firstLine="1"/>
              <w:spacing w:line="460" w:lineRule="exact"/>
              <w:rPr>
                <w:rFonts w:cs="宋体"/>
                <w:sz w:val="21"/>
                <w:szCs w:val="21"/>
              </w:rPr>
            </w:pPr>
            <w:r>
              <w:rPr>
                <w:rFonts w:cs="宋体"/>
                <w:sz w:val="21"/>
                <w:szCs w:val="21"/>
              </w:rPr>
              <w:t xml:space="preserve">3</w:t>
            </w:r>
            <w:r>
              <w:rPr>
                <w:rFonts w:hint="eastAsia" w:cs="宋体"/>
                <w:sz w:val="21"/>
                <w:szCs w:val="21"/>
              </w:rPr>
              <w:t xml:space="preserve">、</w:t>
            </w:r>
            <w:r>
              <w:rPr>
                <w:rFonts w:cs="宋体"/>
                <w:sz w:val="21"/>
                <w:szCs w:val="21"/>
              </w:rPr>
              <w:t xml:space="preserve">投标人的报价均超过了采购预算，采购人不能支付的；</w:t>
            </w:r>
            <w:r/>
          </w:p>
          <w:p>
            <w:pPr>
              <w:pStyle w:val="954"/>
              <w:ind w:firstLine="1"/>
              <w:spacing w:line="460" w:lineRule="exact"/>
              <w:rPr>
                <w:rFonts w:cs="宋体"/>
                <w:sz w:val="21"/>
                <w:szCs w:val="21"/>
              </w:rPr>
            </w:pPr>
            <w:r>
              <w:rPr>
                <w:rFonts w:cs="宋体"/>
                <w:sz w:val="21"/>
                <w:szCs w:val="21"/>
              </w:rPr>
              <w:t xml:space="preserve">4</w:t>
            </w:r>
            <w:r>
              <w:rPr>
                <w:rFonts w:hint="eastAsia" w:cs="宋体"/>
                <w:sz w:val="21"/>
                <w:szCs w:val="21"/>
              </w:rPr>
              <w:t xml:space="preserve">、</w:t>
            </w:r>
            <w:r>
              <w:rPr>
                <w:rFonts w:cs="宋体"/>
                <w:sz w:val="21"/>
                <w:szCs w:val="21"/>
              </w:rPr>
              <w:t xml:space="preserve">因重大变故，采购任务取消的。</w:t>
            </w:r>
            <w:r/>
          </w:p>
          <w:p>
            <w:pPr>
              <w:pStyle w:val="954"/>
              <w:ind w:firstLine="1"/>
              <w:spacing w:line="460" w:lineRule="exact"/>
              <w:rPr>
                <w:rFonts w:hint="eastAsia" w:cs="宋体"/>
                <w:sz w:val="21"/>
                <w:szCs w:val="21"/>
              </w:rPr>
            </w:pPr>
            <w:r>
              <w:rPr>
                <w:rFonts w:cs="宋体"/>
                <w:sz w:val="21"/>
                <w:szCs w:val="21"/>
              </w:rPr>
              <w:t xml:space="preserve">废标后，采购人应当将废标理由通知所有投标人。</w:t>
            </w:r>
            <w:r>
              <w:rPr>
                <w:rFonts w:hint="eastAsia" w:cs="宋体"/>
                <w:sz w:val="21"/>
                <w:szCs w:val="21"/>
              </w:rPr>
            </w:r>
            <w:r/>
          </w:p>
        </w:tc>
      </w:tr>
      <w:tr>
        <w:trPr>
          <w:trHeight w:val="1539"/>
        </w:trPr>
        <w:tc>
          <w:tcPr>
            <w:tcW w:w="766" w:type="dxa"/>
            <w:vAlign w:val="center"/>
            <w:textDirection w:val="lrTb"/>
            <w:noWrap w:val="false"/>
          </w:tcPr>
          <w:p>
            <w:pPr>
              <w:pStyle w:val="954"/>
              <w:jc w:val="center"/>
              <w:spacing w:line="460" w:lineRule="exact"/>
              <w:rPr>
                <w:rFonts w:hint="eastAsia" w:cs="宋体"/>
                <w:b/>
                <w:sz w:val="21"/>
                <w:szCs w:val="21"/>
              </w:rPr>
            </w:pPr>
            <w:r>
              <w:rPr>
                <w:rFonts w:hint="eastAsia" w:cs="宋体"/>
                <w:b/>
                <w:sz w:val="21"/>
                <w:szCs w:val="21"/>
              </w:rPr>
              <w:t xml:space="preserve">15</w:t>
            </w:r>
            <w:r/>
          </w:p>
        </w:tc>
        <w:tc>
          <w:tcPr>
            <w:tcW w:w="1712" w:type="dxa"/>
            <w:vAlign w:val="center"/>
            <w:textDirection w:val="lrTb"/>
            <w:noWrap w:val="false"/>
          </w:tcPr>
          <w:p>
            <w:pPr>
              <w:pStyle w:val="954"/>
              <w:jc w:val="center"/>
              <w:spacing w:line="460" w:lineRule="exact"/>
              <w:rPr>
                <w:rFonts w:hint="eastAsia" w:cs="宋体"/>
                <w:b/>
                <w:sz w:val="21"/>
                <w:szCs w:val="21"/>
              </w:rPr>
            </w:pPr>
            <w:r>
              <w:rPr>
                <w:rFonts w:hint="eastAsia" w:cs="宋体"/>
                <w:b/>
                <w:sz w:val="21"/>
                <w:szCs w:val="21"/>
              </w:rPr>
              <w:t xml:space="preserve">导致无效标</w:t>
            </w:r>
            <w:r/>
          </w:p>
          <w:p>
            <w:pPr>
              <w:pStyle w:val="954"/>
              <w:jc w:val="center"/>
              <w:spacing w:line="460" w:lineRule="exact"/>
              <w:rPr>
                <w:rFonts w:hint="eastAsia" w:cs="宋体"/>
                <w:b/>
                <w:sz w:val="21"/>
                <w:szCs w:val="21"/>
              </w:rPr>
            </w:pPr>
            <w:r>
              <w:rPr>
                <w:rFonts w:hint="eastAsia" w:cs="宋体"/>
                <w:b/>
                <w:sz w:val="21"/>
                <w:szCs w:val="21"/>
              </w:rPr>
              <w:t xml:space="preserve">因素</w:t>
            </w:r>
            <w:r/>
          </w:p>
        </w:tc>
        <w:tc>
          <w:tcPr>
            <w:tcW w:w="6820" w:type="dxa"/>
            <w:vAlign w:val="center"/>
            <w:textDirection w:val="lrTb"/>
            <w:noWrap w:val="false"/>
          </w:tcPr>
          <w:p>
            <w:pPr>
              <w:pStyle w:val="954"/>
              <w:ind w:firstLine="1"/>
              <w:spacing w:line="460" w:lineRule="exact"/>
              <w:rPr>
                <w:sz w:val="21"/>
                <w:szCs w:val="21"/>
              </w:rPr>
            </w:pPr>
            <w:r>
              <w:rPr>
                <w:rFonts w:hint="eastAsia" w:cs="宋体"/>
                <w:sz w:val="21"/>
                <w:szCs w:val="21"/>
              </w:rPr>
              <w:t xml:space="preserve">投标文件属下列情况之一的，在资格性、符合性检查时按照无效投标处理：</w:t>
            </w:r>
            <w:r>
              <w:rPr>
                <w:sz w:val="21"/>
                <w:szCs w:val="21"/>
              </w:rPr>
            </w:r>
            <w:r/>
          </w:p>
          <w:p>
            <w:pPr>
              <w:pStyle w:val="954"/>
              <w:ind w:firstLine="1"/>
              <w:spacing w:line="460" w:lineRule="exact"/>
              <w:rPr>
                <w:rFonts w:cs="宋体"/>
                <w:sz w:val="21"/>
                <w:szCs w:val="21"/>
              </w:rPr>
            </w:pPr>
            <w:r>
              <w:rPr>
                <w:rFonts w:hint="eastAsia" w:cs="宋体"/>
                <w:sz w:val="21"/>
                <w:szCs w:val="21"/>
              </w:rPr>
              <w:t xml:space="preserve">1、</w:t>
            </w:r>
            <w:r>
              <w:rPr>
                <w:rFonts w:cs="宋体"/>
                <w:sz w:val="21"/>
                <w:szCs w:val="21"/>
              </w:rPr>
              <w:t xml:space="preserve">投标文件未按招标文件要求签署、盖章或电子签章的；</w:t>
            </w:r>
            <w:r/>
          </w:p>
          <w:p>
            <w:pPr>
              <w:pStyle w:val="954"/>
              <w:ind w:firstLine="1"/>
              <w:spacing w:line="460" w:lineRule="exact"/>
              <w:rPr>
                <w:rFonts w:cs="宋体"/>
                <w:sz w:val="21"/>
                <w:szCs w:val="21"/>
              </w:rPr>
            </w:pPr>
            <w:r>
              <w:rPr>
                <w:rFonts w:cs="宋体"/>
                <w:sz w:val="21"/>
                <w:szCs w:val="21"/>
              </w:rPr>
              <w:t xml:space="preserve">2</w:t>
            </w:r>
            <w:r>
              <w:rPr>
                <w:rFonts w:hint="eastAsia" w:cs="宋体"/>
                <w:sz w:val="21"/>
                <w:szCs w:val="21"/>
              </w:rPr>
              <w:t xml:space="preserve">、</w:t>
            </w:r>
            <w:r>
              <w:rPr>
                <w:rFonts w:cs="宋体"/>
                <w:sz w:val="21"/>
                <w:szCs w:val="21"/>
              </w:rPr>
              <w:t xml:space="preserve">不具备招标文件中规定的资格要求的；</w:t>
            </w:r>
            <w:r/>
          </w:p>
          <w:p>
            <w:pPr>
              <w:pStyle w:val="954"/>
              <w:ind w:firstLine="1"/>
              <w:spacing w:line="460" w:lineRule="exact"/>
              <w:rPr>
                <w:rFonts w:cs="宋体"/>
                <w:sz w:val="21"/>
                <w:szCs w:val="21"/>
              </w:rPr>
            </w:pPr>
            <w:r>
              <w:rPr>
                <w:rFonts w:hint="eastAsia" w:cs="宋体"/>
                <w:sz w:val="21"/>
                <w:szCs w:val="21"/>
              </w:rPr>
              <w:t xml:space="preserve">3、</w:t>
            </w:r>
            <w:r>
              <w:rPr>
                <w:rFonts w:cs="宋体"/>
                <w:sz w:val="21"/>
                <w:szCs w:val="21"/>
              </w:rPr>
              <w:t xml:space="preserve">报价超过招标文件中规定的预算金额或者最高限价的；</w:t>
            </w:r>
            <w:r/>
          </w:p>
          <w:p>
            <w:pPr>
              <w:pStyle w:val="954"/>
              <w:ind w:firstLine="1"/>
              <w:spacing w:line="460" w:lineRule="exact"/>
              <w:rPr>
                <w:rFonts w:cs="宋体"/>
                <w:sz w:val="21"/>
                <w:szCs w:val="21"/>
              </w:rPr>
            </w:pPr>
            <w:r>
              <w:rPr>
                <w:rFonts w:cs="宋体"/>
                <w:sz w:val="21"/>
                <w:szCs w:val="21"/>
              </w:rPr>
              <w:t xml:space="preserve">4</w:t>
            </w:r>
            <w:r>
              <w:rPr>
                <w:rFonts w:hint="eastAsia" w:cs="宋体"/>
                <w:sz w:val="21"/>
                <w:szCs w:val="21"/>
              </w:rPr>
              <w:t xml:space="preserve">、</w:t>
            </w:r>
            <w:r>
              <w:rPr>
                <w:rFonts w:cs="宋体"/>
                <w:sz w:val="21"/>
                <w:szCs w:val="21"/>
              </w:rPr>
              <w:t xml:space="preserve">不同投标人的投标文件使用同一台电脑编制的；</w:t>
            </w:r>
            <w:r/>
          </w:p>
          <w:p>
            <w:pPr>
              <w:pStyle w:val="954"/>
              <w:ind w:firstLine="1"/>
              <w:spacing w:line="460" w:lineRule="exact"/>
              <w:rPr>
                <w:rFonts w:cs="宋体"/>
                <w:sz w:val="21"/>
                <w:szCs w:val="21"/>
              </w:rPr>
            </w:pPr>
            <w:r>
              <w:rPr>
                <w:rFonts w:cs="宋体"/>
                <w:sz w:val="21"/>
                <w:szCs w:val="21"/>
              </w:rPr>
              <w:t xml:space="preserve">5</w:t>
            </w:r>
            <w:r>
              <w:rPr>
                <w:rFonts w:hint="eastAsia" w:cs="宋体"/>
                <w:sz w:val="21"/>
                <w:szCs w:val="21"/>
              </w:rPr>
              <w:t xml:space="preserve">、</w:t>
            </w:r>
            <w:r>
              <w:rPr>
                <w:rFonts w:cs="宋体"/>
                <w:sz w:val="21"/>
                <w:szCs w:val="21"/>
              </w:rPr>
              <w:t xml:space="preserve">投标文件含有采购人不能接受的附加条件的；</w:t>
            </w:r>
            <w:r/>
          </w:p>
          <w:p>
            <w:pPr>
              <w:pStyle w:val="954"/>
              <w:ind w:firstLine="1"/>
              <w:spacing w:line="460" w:lineRule="exact"/>
              <w:rPr>
                <w:rFonts w:hint="eastAsia" w:cs="宋体"/>
                <w:sz w:val="21"/>
                <w:szCs w:val="21"/>
              </w:rPr>
            </w:pPr>
            <w:r>
              <w:rPr>
                <w:rFonts w:cs="宋体"/>
                <w:sz w:val="21"/>
                <w:szCs w:val="21"/>
              </w:rPr>
              <w:t xml:space="preserve">6</w:t>
            </w:r>
            <w:r>
              <w:rPr>
                <w:rFonts w:hint="eastAsia" w:cs="宋体"/>
                <w:sz w:val="21"/>
                <w:szCs w:val="21"/>
              </w:rPr>
              <w:t xml:space="preserve">、</w:t>
            </w:r>
            <w:r>
              <w:rPr>
                <w:rFonts w:cs="宋体"/>
                <w:sz w:val="21"/>
                <w:szCs w:val="21"/>
              </w:rPr>
              <w:t xml:space="preserve">法律、法规和招标文件规定的其他无效情形</w:t>
            </w:r>
            <w:r>
              <w:rPr>
                <w:sz w:val="21"/>
                <w:szCs w:val="21"/>
              </w:rPr>
              <w:t xml:space="preserve">。</w:t>
            </w:r>
            <w:r>
              <w:rPr>
                <w:rFonts w:hint="eastAsia" w:cs="宋体"/>
                <w:sz w:val="21"/>
                <w:szCs w:val="21"/>
              </w:rPr>
            </w:r>
            <w:r/>
          </w:p>
        </w:tc>
      </w:tr>
    </w:tbl>
    <w:p>
      <w:pPr>
        <w:pStyle w:val="955"/>
        <w:numPr>
          <w:ilvl w:val="0"/>
          <w:numId w:val="0"/>
        </w:numPr>
        <w:jc w:val="center"/>
        <w:tabs>
          <w:tab w:val="left" w:pos="432" w:leader="none"/>
        </w:tabs>
        <w:rPr>
          <w:rFonts w:hint="eastAsia" w:ascii="宋体" w:hAnsi="宋体" w:cs="宋体"/>
        </w:rPr>
      </w:pPr>
      <w:r>
        <w:rPr>
          <w:rFonts w:hint="eastAsia" w:ascii="宋体" w:hAnsi="宋体" w:cs="宋体"/>
        </w:rPr>
        <w:br w:type="page" w:clear="all"/>
        <w:t xml:space="preserve">第一章 招标公告</w:t>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80"/>
      </w:tblGrid>
      <w:tr>
        <w:trPr>
          <w:trHeight w:val="1491"/>
        </w:trPr>
        <w:tc>
          <w:tcPr>
            <w:tcW w:w="5000" w:type="pct"/>
            <w:vAlign w:val="top"/>
            <w:textDirection w:val="lrTb"/>
            <w:noWrap w:val="false"/>
          </w:tcPr>
          <w:p>
            <w:pPr>
              <w:pStyle w:val="954"/>
              <w:spacing w:line="360" w:lineRule="auto"/>
              <w:tabs>
                <w:tab w:val="left" w:pos="567" w:leader="none"/>
              </w:tabs>
              <w:rPr>
                <w:rFonts w:cs="宋体"/>
                <w:sz w:val="21"/>
                <w:szCs w:val="21"/>
              </w:rPr>
            </w:pPr>
            <w:r/>
            <w:bookmarkStart w:id="0" w:name="OLE_LINK1"/>
            <w:r/>
            <w:bookmarkStart w:id="1" w:name="OLE_LINK6"/>
            <w:r>
              <w:rPr>
                <w:rFonts w:hint="eastAsia" w:cs="宋体"/>
                <w:sz w:val="21"/>
                <w:szCs w:val="21"/>
              </w:rPr>
              <w:t xml:space="preserve">项目概况</w:t>
            </w:r>
            <w:r>
              <w:rPr>
                <w:rFonts w:cs="宋体"/>
                <w:sz w:val="21"/>
                <w:szCs w:val="21"/>
              </w:rPr>
            </w:r>
            <w:r/>
          </w:p>
          <w:p>
            <w:pPr>
              <w:pStyle w:val="993"/>
              <w:spacing w:line="360" w:lineRule="auto"/>
              <w:rPr>
                <w:rFonts w:cs="宋体"/>
              </w:rPr>
            </w:pPr>
            <w:r>
              <w:rPr>
                <w:rFonts w:cs="宋体"/>
                <w:sz w:val="21"/>
                <w:u w:val="single"/>
              </w:rPr>
              <w:t xml:space="preserve">2026年浮桥镇建筑垃圾清运服务</w:t>
            </w:r>
            <w:r>
              <w:rPr>
                <w:rFonts w:hint="eastAsia" w:cs="宋体"/>
                <w:sz w:val="21"/>
              </w:rPr>
              <w:t xml:space="preserve">招标项目的潜在投标人应在“苏采云政府采购一体化平台”中参与项目并下载获取电子招标文</w:t>
            </w:r>
            <w:r>
              <w:rPr>
                <w:rFonts w:hint="eastAsia" w:cs="宋体"/>
                <w:sz w:val="21"/>
              </w:rPr>
              <w:t xml:space="preserve">件，并于</w:t>
            </w:r>
            <w:r>
              <w:rPr>
                <w:rFonts w:hint="eastAsia" w:cs="宋体"/>
                <w:sz w:val="21"/>
                <w:u w:val="single"/>
              </w:rPr>
              <w:t xml:space="preserve">2026年05月08日14：00</w:t>
            </w:r>
            <w:r>
              <w:rPr>
                <w:rFonts w:hint="eastAsia" w:cs="宋体"/>
                <w:sz w:val="21"/>
              </w:rPr>
              <w:t xml:space="preserve">（北京时间）前上传电子投标文件。</w:t>
            </w:r>
            <w:r>
              <w:rPr>
                <w:rFonts w:cs="宋体"/>
              </w:rPr>
            </w:r>
            <w:r/>
          </w:p>
        </w:tc>
      </w:tr>
    </w:tbl>
    <w:p>
      <w:pPr>
        <w:pStyle w:val="993"/>
        <w:ind w:firstLine="0"/>
        <w:spacing w:line="360" w:lineRule="auto"/>
        <w:rPr>
          <w:rFonts w:cs="宋体"/>
          <w:b/>
          <w:bCs/>
          <w:sz w:val="21"/>
        </w:rPr>
      </w:pPr>
      <w:r>
        <w:rPr>
          <w:rFonts w:hint="eastAsia" w:cs="宋体"/>
          <w:b/>
          <w:bCs/>
          <w:sz w:val="21"/>
        </w:rPr>
        <w:t xml:space="preserve">一、项目基本情况</w:t>
      </w:r>
      <w:r>
        <w:rPr>
          <w:rFonts w:cs="宋体"/>
          <w:b/>
          <w:bCs/>
          <w:sz w:val="21"/>
        </w:rPr>
      </w:r>
      <w:r/>
    </w:p>
    <w:p>
      <w:pPr>
        <w:pStyle w:val="954"/>
        <w:ind w:left="420"/>
        <w:spacing w:line="360" w:lineRule="auto"/>
        <w:tabs>
          <w:tab w:val="left" w:pos="567" w:leader="none"/>
        </w:tabs>
        <w:rPr>
          <w:rFonts w:hint="eastAsia" w:cs="宋体"/>
          <w:sz w:val="21"/>
          <w:szCs w:val="21"/>
        </w:rPr>
      </w:pPr>
      <w:r>
        <w:rPr>
          <w:rFonts w:hint="eastAsia" w:cs="宋体"/>
          <w:sz w:val="21"/>
          <w:szCs w:val="21"/>
        </w:rPr>
        <w:t xml:space="preserve">项目编号：JSZC-320585-SZLZ-G2026-0002</w:t>
      </w:r>
      <w:r/>
    </w:p>
    <w:p>
      <w:pPr>
        <w:pStyle w:val="993"/>
        <w:spacing w:line="360" w:lineRule="auto"/>
        <w:rPr>
          <w:rFonts w:cs="宋体"/>
          <w:sz w:val="21"/>
        </w:rPr>
      </w:pPr>
      <w:r>
        <w:rPr>
          <w:rFonts w:hint="eastAsia" w:cs="宋体"/>
          <w:sz w:val="21"/>
        </w:rPr>
        <w:t xml:space="preserve">项目名称：</w:t>
      </w:r>
      <w:bookmarkStart w:id="2" w:name="OLE_LINK9"/>
      <w:r>
        <w:rPr>
          <w:rFonts w:cs="宋体"/>
          <w:sz w:val="21"/>
        </w:rPr>
        <w:t xml:space="preserve">2026年浮桥镇建筑垃圾清运服务</w:t>
      </w:r>
      <w:bookmarkEnd w:id="2"/>
      <w:r>
        <w:rPr>
          <w:rFonts w:cs="宋体"/>
          <w:sz w:val="21"/>
        </w:rPr>
      </w:r>
      <w:r/>
    </w:p>
    <w:p>
      <w:pPr>
        <w:pStyle w:val="993"/>
        <w:spacing w:line="360" w:lineRule="auto"/>
        <w:rPr>
          <w:rFonts w:cs="宋体"/>
          <w:sz w:val="21"/>
        </w:rPr>
      </w:pPr>
      <w:r/>
      <w:bookmarkStart w:id="3" w:name="OLE_LINK3"/>
      <w:r>
        <w:rPr>
          <w:rFonts w:hint="eastAsia" w:cs="宋体"/>
          <w:bCs/>
          <w:sz w:val="21"/>
        </w:rPr>
        <w:t xml:space="preserve">采购方式：公开招标</w:t>
      </w:r>
      <w:r>
        <w:rPr>
          <w:rFonts w:cs="宋体"/>
          <w:sz w:val="21"/>
        </w:rPr>
      </w:r>
      <w:r/>
    </w:p>
    <w:p>
      <w:pPr>
        <w:pStyle w:val="993"/>
        <w:spacing w:line="360" w:lineRule="auto"/>
        <w:rPr>
          <w:rFonts w:cs="宋体"/>
          <w:sz w:val="21"/>
        </w:rPr>
      </w:pPr>
      <w:r/>
      <w:bookmarkEnd w:id="3"/>
      <w:r>
        <w:rPr>
          <w:rFonts w:hint="eastAsia" w:cs="宋体"/>
          <w:sz w:val="21"/>
        </w:rPr>
        <w:t xml:space="preserve">预算金额：人民币</w:t>
      </w:r>
      <w:r>
        <w:rPr>
          <w:rFonts w:cs="宋体"/>
          <w:sz w:val="21"/>
        </w:rPr>
        <w:t xml:space="preserve">150万元</w:t>
      </w:r>
      <w:r/>
    </w:p>
    <w:p>
      <w:pPr>
        <w:pStyle w:val="993"/>
        <w:spacing w:line="360" w:lineRule="auto"/>
        <w:rPr>
          <w:rFonts w:cs="宋体"/>
          <w:sz w:val="21"/>
        </w:rPr>
      </w:pPr>
      <w:r>
        <w:rPr>
          <w:rFonts w:hint="eastAsia" w:cs="宋体"/>
          <w:sz w:val="21"/>
        </w:rPr>
        <w:t xml:space="preserve">最高限价：人民币70元/吨（投标报价超过此限价的为无效标）</w:t>
      </w:r>
      <w:r>
        <w:rPr>
          <w:rFonts w:cs="宋体"/>
          <w:sz w:val="21"/>
        </w:rPr>
      </w:r>
      <w:r/>
    </w:p>
    <w:p>
      <w:pPr>
        <w:pStyle w:val="993"/>
        <w:spacing w:line="360" w:lineRule="auto"/>
        <w:rPr>
          <w:rFonts w:hint="eastAsia" w:cs="宋体"/>
          <w:sz w:val="21"/>
        </w:rPr>
      </w:pPr>
      <w:r>
        <w:rPr>
          <w:rFonts w:hint="eastAsia" w:cs="宋体"/>
          <w:sz w:val="21"/>
        </w:rPr>
        <w:t xml:space="preserve">采购需求：</w:t>
      </w:r>
      <w:bookmarkStart w:id="4" w:name="OLE_LINK15"/>
      <w:r>
        <w:rPr>
          <w:rFonts w:hint="eastAsia" w:cs="宋体"/>
          <w:sz w:val="21"/>
        </w:rPr>
        <w:t xml:space="preserve">2026年浮桥镇建筑垃圾清运服务，详见第四章 招标书。</w:t>
      </w:r>
      <w:bookmarkEnd w:id="4"/>
      <w:r>
        <w:rPr>
          <w:rFonts w:hint="eastAsia" w:cs="宋体"/>
          <w:sz w:val="21"/>
        </w:rPr>
      </w:r>
      <w:r/>
    </w:p>
    <w:p>
      <w:pPr>
        <w:pStyle w:val="993"/>
        <w:spacing w:line="360" w:lineRule="auto"/>
        <w:rPr>
          <w:rFonts w:cs="宋体"/>
          <w:sz w:val="21"/>
        </w:rPr>
      </w:pPr>
      <w:r>
        <w:rPr>
          <w:rFonts w:hint="eastAsia" w:cs="宋体"/>
          <w:sz w:val="21"/>
        </w:rPr>
        <w:t xml:space="preserve">合同履行期限：</w:t>
      </w:r>
      <w:bookmarkStart w:id="5" w:name="OLE_LINK16"/>
      <w:r>
        <w:rPr>
          <w:rFonts w:hint="eastAsia"/>
          <w:sz w:val="21"/>
        </w:rPr>
        <w:t xml:space="preserve">一年或项目服务累计结算金额达到预算金额（二者中以先到者为准），具体进场日期以采购方通知为准</w:t>
      </w:r>
      <w:r>
        <w:rPr>
          <w:rFonts w:hint="eastAsia" w:cs="宋体"/>
          <w:sz w:val="21"/>
        </w:rPr>
        <w:t xml:space="preserve">。</w:t>
      </w:r>
      <w:bookmarkEnd w:id="5"/>
      <w:r>
        <w:rPr>
          <w:rFonts w:cs="宋体"/>
          <w:sz w:val="21"/>
        </w:rPr>
      </w:r>
      <w:r/>
    </w:p>
    <w:p>
      <w:pPr>
        <w:pStyle w:val="993"/>
        <w:spacing w:line="360" w:lineRule="auto"/>
        <w:rPr>
          <w:rFonts w:hint="eastAsia" w:cs="宋体"/>
          <w:sz w:val="21"/>
        </w:rPr>
      </w:pPr>
      <w:r>
        <w:rPr>
          <w:rFonts w:hint="eastAsia" w:cs="宋体"/>
          <w:sz w:val="21"/>
        </w:rPr>
        <w:t xml:space="preserve">本项目不接受联合体投标</w:t>
      </w:r>
      <w:r/>
    </w:p>
    <w:p>
      <w:pPr>
        <w:pStyle w:val="993"/>
        <w:ind w:firstLine="0"/>
        <w:spacing w:line="360" w:lineRule="auto"/>
        <w:rPr>
          <w:rFonts w:cs="宋体"/>
          <w:b/>
          <w:bCs/>
          <w:sz w:val="21"/>
        </w:rPr>
      </w:pPr>
      <w:r>
        <w:rPr>
          <w:rFonts w:hint="eastAsia" w:cs="宋体"/>
          <w:b/>
          <w:bCs/>
          <w:sz w:val="21"/>
        </w:rPr>
        <w:t xml:space="preserve">二、</w:t>
      </w:r>
      <w:r>
        <w:rPr>
          <w:rFonts w:hint="eastAsia" w:cs="宋体"/>
          <w:b/>
          <w:bCs/>
          <w:sz w:val="21"/>
        </w:rPr>
        <w:t xml:space="preserve">申请人的资格要求</w:t>
      </w:r>
      <w:r>
        <w:rPr>
          <w:rFonts w:cs="宋体"/>
          <w:b/>
          <w:bCs/>
          <w:sz w:val="21"/>
        </w:rPr>
      </w:r>
      <w:r/>
    </w:p>
    <w:p>
      <w:pPr>
        <w:pStyle w:val="993"/>
        <w:spacing w:line="360" w:lineRule="auto"/>
        <w:rPr>
          <w:rFonts w:cs="宋体"/>
          <w:sz w:val="21"/>
        </w:rPr>
      </w:pPr>
      <w:r>
        <w:rPr>
          <w:rFonts w:hint="eastAsia" w:cs="宋体"/>
          <w:sz w:val="21"/>
        </w:rPr>
        <w:t xml:space="preserve">（一）满足《中华人民共和国政府采购法》第二十二条规定</w:t>
      </w:r>
      <w:r>
        <w:rPr>
          <w:rFonts w:cs="宋体"/>
          <w:sz w:val="21"/>
        </w:rPr>
      </w:r>
      <w:r/>
    </w:p>
    <w:p>
      <w:pPr>
        <w:pStyle w:val="993"/>
        <w:spacing w:line="360" w:lineRule="auto"/>
        <w:rPr>
          <w:rFonts w:hint="eastAsia" w:cs="宋体"/>
          <w:sz w:val="21"/>
        </w:rPr>
      </w:pPr>
      <w:r>
        <w:rPr>
          <w:rFonts w:cs="宋体"/>
          <w:sz w:val="21"/>
        </w:rPr>
        <w:t xml:space="preserve">1、具有独立承担民事责任的能力（提供法人或者其他组织的营业执照等证明文件，自然人的身份证明）</w:t>
      </w:r>
      <w:r>
        <w:rPr>
          <w:rFonts w:hint="eastAsia" w:cs="宋体"/>
          <w:sz w:val="21"/>
        </w:rPr>
        <w:t xml:space="preserve">；</w:t>
      </w:r>
      <w:r/>
    </w:p>
    <w:p>
      <w:pPr>
        <w:pStyle w:val="993"/>
        <w:spacing w:line="360" w:lineRule="auto"/>
        <w:rPr>
          <w:rFonts w:hint="eastAsia" w:cs="宋体"/>
          <w:sz w:val="21"/>
        </w:rPr>
      </w:pPr>
      <w:r>
        <w:rPr>
          <w:rFonts w:cs="宋体"/>
          <w:sz w:val="21"/>
        </w:rPr>
        <w:t xml:space="preserve">2、具有良好的商业信誉和健全的财务会计制度（</w:t>
      </w:r>
      <w:r>
        <w:rPr>
          <w:rFonts w:hint="eastAsia" w:cs="宋体"/>
          <w:sz w:val="21"/>
        </w:rPr>
        <w:t xml:space="preserve">提供最近一期的财务报告，其他组织、自然人及成立未满一年的法人应提供银行出具的资信证明</w:t>
      </w:r>
      <w:r>
        <w:rPr>
          <w:rFonts w:cs="宋体"/>
          <w:sz w:val="21"/>
        </w:rPr>
        <w:t xml:space="preserve">）</w:t>
      </w:r>
      <w:r>
        <w:rPr>
          <w:rFonts w:hint="eastAsia" w:cs="宋体"/>
          <w:sz w:val="21"/>
        </w:rPr>
        <w:t xml:space="preserve">；</w:t>
      </w:r>
      <w:r/>
    </w:p>
    <w:p>
      <w:pPr>
        <w:pStyle w:val="993"/>
        <w:spacing w:line="360" w:lineRule="auto"/>
        <w:rPr>
          <w:rFonts w:cs="宋体"/>
          <w:sz w:val="21"/>
        </w:rPr>
      </w:pPr>
      <w:r>
        <w:rPr>
          <w:rFonts w:cs="宋体"/>
          <w:sz w:val="21"/>
        </w:rPr>
        <w:t xml:space="preserve">3、具有履行合同所必需的设备和专业技术能力（提供履行合同所必需的设备和专业技术能力的证明材料）；</w:t>
      </w:r>
      <w:r/>
    </w:p>
    <w:p>
      <w:pPr>
        <w:pStyle w:val="993"/>
        <w:spacing w:line="360" w:lineRule="auto"/>
        <w:rPr>
          <w:rFonts w:cs="宋体"/>
          <w:sz w:val="21"/>
        </w:rPr>
      </w:pPr>
      <w:r>
        <w:rPr>
          <w:rFonts w:cs="宋体"/>
          <w:sz w:val="21"/>
        </w:rPr>
        <w:t xml:space="preserve">4、有依法缴纳税收和社会保障资金的良好记录（提供参加本次政府采购活动前半年（至少一个月）依法缴纳税收和社会保障</w:t>
      </w:r>
      <w:r>
        <w:rPr>
          <w:rFonts w:cs="宋体"/>
          <w:sz w:val="21"/>
        </w:rPr>
        <w:t xml:space="preserve">资金的证明材料，依法免税或不需要缴纳社会保障资金的，提供相关证明文件）；</w:t>
      </w:r>
      <w:r/>
    </w:p>
    <w:p>
      <w:pPr>
        <w:pStyle w:val="993"/>
        <w:spacing w:line="360" w:lineRule="auto"/>
        <w:rPr>
          <w:rFonts w:cs="宋体"/>
          <w:sz w:val="21"/>
        </w:rPr>
      </w:pPr>
      <w:r>
        <w:rPr>
          <w:rFonts w:cs="宋体"/>
          <w:sz w:val="21"/>
        </w:rPr>
        <w:t xml:space="preserve">5、参加政府采购活动前三年内，在经营活动中没有重大违法记录（提供参加本次政府采购活动前3年内在经营活动中没有重大违法记录的书面声明）（格式附后）；</w:t>
      </w:r>
      <w:r/>
    </w:p>
    <w:p>
      <w:pPr>
        <w:pStyle w:val="993"/>
        <w:spacing w:line="360" w:lineRule="auto"/>
        <w:rPr>
          <w:rFonts w:hint="eastAsia" w:cs="宋体"/>
          <w:sz w:val="21"/>
        </w:rPr>
      </w:pPr>
      <w:r>
        <w:rPr>
          <w:rFonts w:cs="宋体"/>
          <w:sz w:val="21"/>
        </w:rPr>
        <w:t xml:space="preserve">6、法律、行政法规规定的其他条件</w:t>
      </w:r>
      <w:r>
        <w:rPr>
          <w:rFonts w:hint="eastAsia" w:cs="宋体"/>
          <w:sz w:val="21"/>
        </w:rPr>
        <w:t xml:space="preserve">。</w:t>
      </w:r>
      <w:r/>
    </w:p>
    <w:p>
      <w:pPr>
        <w:pStyle w:val="993"/>
        <w:spacing w:line="360" w:lineRule="auto"/>
        <w:rPr>
          <w:rFonts w:cs="宋体"/>
          <w:sz w:val="21"/>
        </w:rPr>
      </w:pPr>
      <w:r>
        <w:rPr>
          <w:rFonts w:hint="eastAsia" w:cs="宋体"/>
          <w:sz w:val="21"/>
        </w:rPr>
        <w:t xml:space="preserve">（二）落实政府采购政策需满足的资格要求：</w:t>
      </w:r>
      <w:r>
        <w:rPr>
          <w:rFonts w:cs="宋体"/>
          <w:sz w:val="21"/>
        </w:rPr>
      </w:r>
      <w:r/>
    </w:p>
    <w:p>
      <w:pPr>
        <w:pStyle w:val="993"/>
        <w:spacing w:line="360" w:lineRule="auto"/>
        <w:rPr>
          <w:rFonts w:cs="宋体"/>
          <w:sz w:val="21"/>
        </w:rPr>
      </w:pPr>
      <w:r>
        <w:rPr>
          <w:rFonts w:hint="eastAsia" w:cs="宋体"/>
          <w:sz w:val="21"/>
        </w:rPr>
        <w:t xml:space="preserve">本项目专门面向中小企业采购，根据《政府采购促进中小企业发展管理办法》（财库〔</w:t>
      </w:r>
      <w:r>
        <w:rPr>
          <w:rFonts w:cs="宋体"/>
          <w:sz w:val="21"/>
        </w:rPr>
        <w:t xml:space="preserve">2020〕46号）有关规定，投标人应提供中小企业声明函或残疾人福利性单位声明函或省级以上监狱管理局、戒毒管理局（含新疆生产建设兵团）出具的属于监狱企业的证明文件</w:t>
      </w:r>
      <w:r>
        <w:rPr>
          <w:rFonts w:hint="eastAsia" w:cs="宋体"/>
          <w:sz w:val="21"/>
        </w:rPr>
        <w:t xml:space="preserve">，</w:t>
      </w:r>
      <w:r>
        <w:rPr>
          <w:rFonts w:cs="宋体"/>
          <w:sz w:val="21"/>
        </w:rPr>
        <w:t xml:space="preserve">否则视为投标无效。</w:t>
      </w:r>
      <w:r/>
    </w:p>
    <w:p>
      <w:pPr>
        <w:pStyle w:val="993"/>
        <w:spacing w:line="360" w:lineRule="auto"/>
        <w:rPr>
          <w:rFonts w:cs="宋体"/>
          <w:sz w:val="21"/>
        </w:rPr>
      </w:pPr>
      <w:r>
        <w:rPr>
          <w:rFonts w:hint="eastAsia" w:cs="宋体"/>
          <w:sz w:val="21"/>
        </w:rPr>
        <w:t xml:space="preserve">（三）本项目的特定资格要求：</w:t>
      </w:r>
      <w:r>
        <w:rPr>
          <w:rFonts w:cs="宋体"/>
          <w:sz w:val="21"/>
        </w:rPr>
      </w:r>
      <w:r/>
    </w:p>
    <w:p>
      <w:pPr>
        <w:pStyle w:val="993"/>
        <w:spacing w:line="360" w:lineRule="auto"/>
        <w:rPr>
          <w:rFonts w:cs="宋体"/>
          <w:sz w:val="21"/>
        </w:rPr>
      </w:pPr>
      <w:r>
        <w:rPr>
          <w:rFonts w:hint="eastAsia" w:cs="宋体"/>
          <w:sz w:val="21"/>
        </w:rPr>
        <w:t xml:space="preserve">1、投标人须具有有效的道路运输经营许可证和</w:t>
      </w:r>
      <w:bookmarkStart w:id="6" w:name="OLE_LINK2"/>
      <w:r>
        <w:rPr>
          <w:rFonts w:hint="eastAsia" w:cs="宋体"/>
          <w:sz w:val="21"/>
        </w:rPr>
        <w:t xml:space="preserve">太仓市建筑垃圾(工程渣土)运输车辆通行证</w:t>
      </w:r>
      <w:bookmarkEnd w:id="6"/>
      <w:r>
        <w:rPr>
          <w:rFonts w:hint="eastAsia" w:cs="宋体"/>
          <w:sz w:val="21"/>
        </w:rPr>
        <w:t xml:space="preserve">。</w:t>
      </w:r>
      <w:r>
        <w:rPr>
          <w:rFonts w:cs="宋体"/>
          <w:sz w:val="21"/>
        </w:rPr>
      </w:r>
      <w:r/>
    </w:p>
    <w:p>
      <w:pPr>
        <w:pStyle w:val="993"/>
        <w:spacing w:line="360" w:lineRule="auto"/>
        <w:rPr>
          <w:rFonts w:hint="eastAsia" w:cs="宋体"/>
          <w:sz w:val="21"/>
        </w:rPr>
      </w:pPr>
      <w:r>
        <w:rPr>
          <w:rFonts w:hint="eastAsia" w:cs="宋体"/>
          <w:sz w:val="21"/>
        </w:rPr>
        <w:t xml:space="preserve">2、投标人拟投入本项目的车辆不得少于：</w:t>
      </w:r>
      <w:bookmarkStart w:id="7" w:name="OLE_LINK4"/>
      <w:r>
        <w:rPr>
          <w:rFonts w:hint="eastAsia" w:cs="宋体"/>
          <w:sz w:val="21"/>
        </w:rPr>
        <w:t xml:space="preserve">10辆自卸封闭渣土车和</w:t>
      </w:r>
      <w:r>
        <w:rPr>
          <w:rFonts w:hint="eastAsia" w:cs="宋体"/>
          <w:sz w:val="21"/>
        </w:rPr>
        <w:t xml:space="preserve">2</w:t>
      </w:r>
      <w:r>
        <w:rPr>
          <w:rFonts w:hint="eastAsia" w:cs="宋体"/>
          <w:sz w:val="21"/>
        </w:rPr>
        <w:t xml:space="preserve">辆挖掘机</w:t>
      </w:r>
      <w:bookmarkEnd w:id="7"/>
      <w:r>
        <w:rPr>
          <w:rFonts w:hint="eastAsia" w:cs="宋体"/>
          <w:sz w:val="21"/>
        </w:rPr>
        <w:t xml:space="preserve">。</w:t>
      </w:r>
      <w:r/>
    </w:p>
    <w:p>
      <w:pPr>
        <w:pStyle w:val="993"/>
        <w:spacing w:line="360" w:lineRule="auto"/>
        <w:rPr>
          <w:rFonts w:hint="eastAsia" w:cs="宋体"/>
          <w:sz w:val="21"/>
        </w:rPr>
      </w:pPr>
      <w:r>
        <w:rPr>
          <w:rFonts w:hint="eastAsia" w:cs="宋体"/>
          <w:sz w:val="21"/>
        </w:rPr>
        <w:t xml:space="preserve">注：如为自有，投标文件中须提供车辆权属登记证；如为租赁，投标文件中须提供车辆租赁合同及证明合同真实履行车辆租赁发票。</w:t>
      </w:r>
      <w:r/>
    </w:p>
    <w:p>
      <w:pPr>
        <w:pStyle w:val="993"/>
        <w:spacing w:line="360" w:lineRule="auto"/>
        <w:rPr>
          <w:rFonts w:cs="宋体"/>
          <w:sz w:val="21"/>
        </w:rPr>
      </w:pPr>
      <w:r>
        <w:rPr>
          <w:rFonts w:hint="eastAsia" w:cs="宋体"/>
          <w:sz w:val="21"/>
        </w:rPr>
        <w:t xml:space="preserve">（四）拒绝下述供应商参加本次采购活动：</w:t>
      </w:r>
      <w:r>
        <w:rPr>
          <w:rFonts w:cs="宋体"/>
          <w:sz w:val="21"/>
        </w:rPr>
      </w:r>
      <w:r/>
    </w:p>
    <w:p>
      <w:pPr>
        <w:pStyle w:val="993"/>
        <w:spacing w:line="360" w:lineRule="auto"/>
        <w:rPr>
          <w:rFonts w:cs="宋体"/>
          <w:sz w:val="21"/>
        </w:rPr>
      </w:pPr>
      <w:r>
        <w:rPr>
          <w:rFonts w:cs="宋体"/>
          <w:sz w:val="21"/>
        </w:rPr>
        <w:t xml:space="preserve">1、供应商单位负责人为同一人或者存在直接控股、管理关系的不同供应商，不得参加同一合同项下的政府采购活动。</w:t>
      </w:r>
      <w:r/>
    </w:p>
    <w:p>
      <w:pPr>
        <w:pStyle w:val="993"/>
        <w:spacing w:line="360" w:lineRule="auto"/>
        <w:rPr>
          <w:rFonts w:cs="宋体"/>
          <w:sz w:val="21"/>
        </w:rPr>
      </w:pPr>
      <w:r>
        <w:rPr>
          <w:rFonts w:cs="宋体"/>
          <w:sz w:val="21"/>
        </w:rPr>
        <w:t xml:space="preserve">2、凡为采购</w:t>
      </w:r>
      <w:r>
        <w:rPr>
          <w:rFonts w:cs="宋体"/>
          <w:sz w:val="21"/>
        </w:rPr>
        <w:t xml:space="preserve">项目提供整体设计、规范编制或者项目管理、监理、检测等服务的供应商，不得再参加本项目的采购活动。</w:t>
      </w:r>
      <w:r/>
    </w:p>
    <w:p>
      <w:pPr>
        <w:pStyle w:val="993"/>
        <w:spacing w:line="360" w:lineRule="auto"/>
        <w:rPr>
          <w:rFonts w:cs="宋体"/>
          <w:sz w:val="21"/>
        </w:rPr>
      </w:pPr>
      <w:r>
        <w:rPr>
          <w:rFonts w:cs="宋体"/>
          <w:sz w:val="21"/>
        </w:rPr>
        <w:t xml:space="preserve">3、法人的分支机构不得参加投标（除银行、保险、石油石化、电力、电信等行业特殊情况外）</w:t>
      </w:r>
      <w:r>
        <w:rPr>
          <w:rFonts w:hint="eastAsia" w:cs="宋体"/>
          <w:sz w:val="21"/>
        </w:rPr>
        <w:t xml:space="preserve">。</w:t>
      </w:r>
      <w:r>
        <w:rPr>
          <w:rFonts w:cs="宋体"/>
          <w:sz w:val="21"/>
        </w:rPr>
      </w:r>
      <w:r/>
    </w:p>
    <w:p>
      <w:pPr>
        <w:pStyle w:val="993"/>
        <w:spacing w:line="360" w:lineRule="auto"/>
        <w:rPr>
          <w:rFonts w:hint="eastAsia"/>
          <w:sz w:val="21"/>
        </w:rPr>
      </w:pPr>
      <w:r>
        <w:rPr>
          <w:rFonts w:cs="宋体"/>
          <w:sz w:val="21"/>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sz w:val="21"/>
        </w:rPr>
        <w:t xml:space="preserve">。</w:t>
      </w:r>
      <w:r>
        <w:rPr>
          <w:rFonts w:hint="eastAsia"/>
          <w:sz w:val="21"/>
        </w:rPr>
      </w:r>
      <w:r/>
    </w:p>
    <w:p>
      <w:pPr>
        <w:pStyle w:val="993"/>
        <w:ind w:firstLine="0"/>
        <w:spacing w:line="360" w:lineRule="auto"/>
        <w:rPr>
          <w:rFonts w:cs="宋体"/>
          <w:b/>
          <w:bCs/>
          <w:sz w:val="21"/>
        </w:rPr>
      </w:pPr>
      <w:r>
        <w:rPr>
          <w:rFonts w:hint="eastAsia" w:cs="宋体"/>
          <w:b/>
          <w:bCs/>
          <w:sz w:val="21"/>
        </w:rPr>
        <w:t xml:space="preserve">三、获取招标文件</w:t>
      </w:r>
      <w:r>
        <w:rPr>
          <w:rFonts w:cs="宋体"/>
          <w:b/>
          <w:bCs/>
          <w:sz w:val="21"/>
        </w:rPr>
      </w:r>
      <w:r/>
    </w:p>
    <w:p>
      <w:pPr>
        <w:pStyle w:val="993"/>
        <w:spacing w:line="360" w:lineRule="auto"/>
        <w:rPr>
          <w:sz w:val="21"/>
        </w:rPr>
      </w:pPr>
      <w:r>
        <w:rPr>
          <w:rFonts w:hint="eastAsia"/>
          <w:sz w:val="21"/>
        </w:rPr>
        <w:t xml:space="preserve">1、时间：自招标文件公告发布之日起5个工作日</w:t>
      </w:r>
      <w:r>
        <w:rPr>
          <w:rFonts w:hint="eastAsia"/>
          <w:bCs/>
          <w:sz w:val="21"/>
        </w:rPr>
        <w:t xml:space="preserve">。</w:t>
      </w:r>
      <w:r>
        <w:rPr>
          <w:sz w:val="21"/>
        </w:rPr>
      </w:r>
      <w:r/>
    </w:p>
    <w:p>
      <w:pPr>
        <w:pStyle w:val="993"/>
        <w:spacing w:line="360" w:lineRule="auto"/>
        <w:rPr>
          <w:rFonts w:hint="eastAsia"/>
          <w:sz w:val="21"/>
        </w:rPr>
      </w:pPr>
      <w:r>
        <w:rPr>
          <w:rFonts w:hint="eastAsia"/>
          <w:sz w:val="21"/>
        </w:rPr>
        <w:t xml:space="preserve">2、地点：苏采云政府采购一体化平台</w:t>
      </w:r>
      <w:r/>
    </w:p>
    <w:p>
      <w:pPr>
        <w:pStyle w:val="993"/>
        <w:spacing w:line="360" w:lineRule="auto"/>
        <w:rPr>
          <w:rFonts w:hint="eastAsia"/>
          <w:sz w:val="21"/>
        </w:rPr>
      </w:pPr>
      <w:r>
        <w:rPr>
          <w:rFonts w:hint="eastAsia"/>
          <w:sz w:val="21"/>
        </w:rPr>
        <w:t xml:space="preserve">3、方式：苏采云政府采购一体化平台</w:t>
      </w:r>
      <w:r/>
    </w:p>
    <w:p>
      <w:pPr>
        <w:pStyle w:val="993"/>
        <w:spacing w:line="360" w:lineRule="auto"/>
        <w:rPr>
          <w:rFonts w:hint="eastAsia"/>
          <w:sz w:val="21"/>
        </w:rPr>
      </w:pPr>
      <w:r>
        <w:rPr>
          <w:rFonts w:hint="eastAsia"/>
          <w:sz w:val="21"/>
        </w:rPr>
        <w:t xml:space="preserve">4、售价：0.00元</w:t>
      </w:r>
      <w:r/>
    </w:p>
    <w:p>
      <w:pPr>
        <w:pStyle w:val="993"/>
        <w:ind w:firstLine="0"/>
        <w:spacing w:line="360" w:lineRule="auto"/>
        <w:rPr>
          <w:rFonts w:cs="宋体"/>
          <w:b/>
          <w:bCs/>
          <w:sz w:val="21"/>
        </w:rPr>
      </w:pPr>
      <w:r>
        <w:rPr>
          <w:rFonts w:hint="eastAsia" w:cs="宋体"/>
          <w:b/>
          <w:bCs/>
          <w:sz w:val="21"/>
        </w:rPr>
        <w:t xml:space="preserve">四、提交电子投标文件截止时间、开标时间和地点</w:t>
      </w:r>
      <w:r>
        <w:rPr>
          <w:rFonts w:cs="宋体"/>
          <w:b/>
          <w:bCs/>
          <w:sz w:val="21"/>
        </w:rPr>
      </w:r>
      <w:r/>
    </w:p>
    <w:p>
      <w:pPr>
        <w:pStyle w:val="993"/>
        <w:spacing w:line="360" w:lineRule="auto"/>
        <w:rPr>
          <w:sz w:val="21"/>
        </w:rPr>
      </w:pPr>
      <w:r>
        <w:rPr>
          <w:rFonts w:hint="eastAsia" w:cs="宋体"/>
          <w:sz w:val="21"/>
        </w:rPr>
        <w:t xml:space="preserve">2026年05月08日14：00</w:t>
      </w:r>
      <w:r>
        <w:rPr>
          <w:rFonts w:cs="宋体"/>
          <w:sz w:val="21"/>
        </w:rPr>
        <w:t xml:space="preserve">（北京时间）</w:t>
      </w:r>
      <w:r>
        <w:rPr>
          <w:sz w:val="21"/>
        </w:rPr>
      </w:r>
      <w:r/>
    </w:p>
    <w:p>
      <w:pPr>
        <w:pStyle w:val="993"/>
        <w:spacing w:line="360" w:lineRule="auto"/>
        <w:rPr>
          <w:rFonts w:cs="宋体"/>
          <w:sz w:val="21"/>
        </w:rPr>
      </w:pPr>
      <w:r>
        <w:rPr>
          <w:rFonts w:hint="eastAsia"/>
          <w:sz w:val="21"/>
        </w:rPr>
        <w:t xml:space="preserve">地点：苏采云政府采购一体化平台</w:t>
      </w:r>
      <w:r>
        <w:rPr>
          <w:rFonts w:cs="宋体"/>
          <w:sz w:val="21"/>
        </w:rPr>
      </w:r>
      <w:r/>
    </w:p>
    <w:p>
      <w:pPr>
        <w:pStyle w:val="993"/>
        <w:ind w:firstLine="0"/>
        <w:spacing w:line="360" w:lineRule="auto"/>
        <w:rPr>
          <w:rFonts w:cs="宋体"/>
          <w:b/>
          <w:bCs/>
          <w:sz w:val="21"/>
        </w:rPr>
      </w:pPr>
      <w:r>
        <w:rPr>
          <w:rFonts w:hint="eastAsia" w:cs="宋体"/>
          <w:b/>
          <w:bCs/>
          <w:sz w:val="21"/>
        </w:rPr>
        <w:t xml:space="preserve">五、公告期限</w:t>
      </w:r>
      <w:r>
        <w:rPr>
          <w:rFonts w:cs="宋体"/>
          <w:b/>
          <w:bCs/>
          <w:sz w:val="21"/>
        </w:rPr>
      </w:r>
      <w:r/>
    </w:p>
    <w:p>
      <w:pPr>
        <w:pStyle w:val="993"/>
        <w:spacing w:line="360" w:lineRule="auto"/>
        <w:rPr>
          <w:rFonts w:cs="宋体"/>
          <w:sz w:val="21"/>
        </w:rPr>
      </w:pPr>
      <w:r>
        <w:rPr>
          <w:rFonts w:hint="eastAsia" w:cs="宋体"/>
          <w:sz w:val="21"/>
        </w:rPr>
        <w:t xml:space="preserve">自本公告发布之日起</w:t>
      </w:r>
      <w:r>
        <w:rPr>
          <w:rFonts w:cs="宋体"/>
          <w:sz w:val="21"/>
        </w:rPr>
        <w:t xml:space="preserve">5个工作日。</w:t>
      </w:r>
      <w:r/>
    </w:p>
    <w:p>
      <w:pPr>
        <w:pStyle w:val="993"/>
        <w:ind w:firstLine="0"/>
        <w:spacing w:line="360" w:lineRule="auto"/>
        <w:rPr>
          <w:rFonts w:cs="宋体"/>
          <w:b/>
          <w:bCs/>
          <w:sz w:val="21"/>
        </w:rPr>
      </w:pPr>
      <w:r>
        <w:rPr>
          <w:rFonts w:hint="eastAsia" w:cs="宋体"/>
          <w:b/>
          <w:bCs/>
          <w:sz w:val="21"/>
        </w:rPr>
        <w:t xml:space="preserve">六、其他补充事宜</w:t>
      </w:r>
      <w:r>
        <w:rPr>
          <w:rFonts w:cs="宋体"/>
          <w:b/>
          <w:bCs/>
          <w:sz w:val="21"/>
        </w:rPr>
      </w:r>
      <w:r/>
    </w:p>
    <w:p>
      <w:pPr>
        <w:pStyle w:val="993"/>
        <w:spacing w:line="360" w:lineRule="auto"/>
        <w:rPr>
          <w:rFonts w:cs="宋体"/>
          <w:sz w:val="21"/>
        </w:rPr>
      </w:pPr>
      <w:r>
        <w:rPr>
          <w:rFonts w:hint="eastAsia" w:cs="宋体"/>
          <w:sz w:val="21"/>
        </w:rPr>
        <w:t xml:space="preserve">1、本项目需要使用CA数字证书制作、上传电子投标文件完成电子投标，请供应商在参加投标活动前办理好CA数</w:t>
      </w:r>
      <w:r>
        <w:rPr>
          <w:rFonts w:hint="eastAsia" w:cs="宋体"/>
          <w:sz w:val="21"/>
        </w:rPr>
        <w:t xml:space="preserve">字证书申领及电子签章等操作。</w:t>
      </w:r>
      <w:r>
        <w:rPr>
          <w:rFonts w:cs="宋体"/>
          <w:sz w:val="21"/>
        </w:rPr>
      </w:r>
      <w:r/>
    </w:p>
    <w:p>
      <w:pPr>
        <w:pStyle w:val="993"/>
        <w:spacing w:line="360" w:lineRule="auto"/>
        <w:rPr>
          <w:rFonts w:hint="eastAsia" w:cs="宋体"/>
          <w:sz w:val="21"/>
        </w:rPr>
      </w:pPr>
      <w:r>
        <w:rPr>
          <w:rFonts w:hint="eastAsia" w:cs="宋体"/>
          <w:sz w:val="21"/>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93"/>
        <w:spacing w:line="360" w:lineRule="auto"/>
        <w:rPr>
          <w:rFonts w:hint="eastAsia" w:cs="宋体"/>
          <w:sz w:val="21"/>
        </w:rPr>
      </w:pPr>
      <w:r>
        <w:rPr>
          <w:rFonts w:hint="eastAsia" w:cs="宋体"/>
          <w:sz w:val="21"/>
        </w:rPr>
        <w:t xml:space="preserve">3、本项目采用不见面开标，投标人开标时无需到开标现场</w:t>
      </w:r>
      <w:r>
        <w:rPr>
          <w:rFonts w:hint="eastAsia" w:cs="宋体"/>
          <w:sz w:val="21"/>
        </w:rPr>
        <w:t xml:space="preserve">进行解密，采取网上开标大厅解密电子投标文件，投标人远程解密要求如下：</w:t>
      </w:r>
      <w:r/>
    </w:p>
    <w:p>
      <w:pPr>
        <w:pStyle w:val="993"/>
        <w:spacing w:line="360" w:lineRule="auto"/>
        <w:rPr>
          <w:rFonts w:hint="eastAsia" w:cs="宋体"/>
          <w:sz w:val="21"/>
        </w:rPr>
      </w:pPr>
      <w:r>
        <w:rPr>
          <w:rFonts w:hint="eastAsia" w:cs="宋体"/>
          <w:sz w:val="21"/>
        </w:rPr>
        <w:t xml:space="preserve">1）投标人使用CA数字证书进行远程解密，解密的CA数字证书与生成加密电子投标文件时的CA数字证书需为同一个CA数字证书，否则无法解密，造成的后果由投标人自行负责。</w:t>
      </w:r>
      <w:r/>
    </w:p>
    <w:p>
      <w:pPr>
        <w:pStyle w:val="993"/>
        <w:spacing w:line="360" w:lineRule="auto"/>
        <w:rPr>
          <w:rFonts w:hint="eastAsia" w:cs="宋体"/>
          <w:sz w:val="21"/>
        </w:rPr>
      </w:pPr>
      <w:r>
        <w:rPr>
          <w:rFonts w:hint="eastAsia" w:cs="宋体"/>
          <w:sz w:val="21"/>
        </w:rPr>
        <w:t xml:space="preserve">2）投标人登录苏采云系统，点击开标大厅，选择开标项目，完成不见面开标流程。</w:t>
      </w:r>
      <w:r/>
    </w:p>
    <w:p>
      <w:pPr>
        <w:pStyle w:val="993"/>
        <w:spacing w:line="360" w:lineRule="auto"/>
        <w:rPr>
          <w:rFonts w:hint="eastAsia" w:cs="宋体"/>
          <w:sz w:val="21"/>
        </w:rPr>
      </w:pPr>
      <w:r>
        <w:rPr>
          <w:rFonts w:hint="eastAsia" w:cs="宋体"/>
          <w:sz w:val="21"/>
        </w:rPr>
        <w:t xml:space="preserve">3）投标截止时间后根据系统提示解密电子投标文件。</w:t>
      </w:r>
      <w:r>
        <w:rPr>
          <w:rFonts w:hint="eastAsia" w:cs="宋体"/>
          <w:b/>
          <w:bCs/>
          <w:sz w:val="21"/>
        </w:rPr>
        <w:t xml:space="preserve">解密时间为15分钟</w:t>
      </w:r>
      <w:r>
        <w:rPr>
          <w:rFonts w:hint="eastAsia" w:cs="宋体"/>
          <w:sz w:val="21"/>
        </w:rPr>
        <w:t xml:space="preserve">，未在规定时间内完成解密，其投标文件将被拒绝，不参与后续投标流程。</w:t>
      </w:r>
      <w:r/>
    </w:p>
    <w:p>
      <w:pPr>
        <w:pStyle w:val="993"/>
        <w:spacing w:line="360" w:lineRule="auto"/>
        <w:rPr>
          <w:rFonts w:hint="eastAsia" w:cs="宋体"/>
          <w:sz w:val="21"/>
        </w:rPr>
      </w:pPr>
      <w:r>
        <w:rPr>
          <w:rFonts w:hint="eastAsia" w:cs="宋体"/>
          <w:sz w:val="21"/>
        </w:rPr>
        <w:t xml:space="preserve">4）在开标、评标过程中投标单位代表须在网上</w:t>
      </w:r>
      <w:r>
        <w:rPr>
          <w:rFonts w:hint="eastAsia" w:cs="宋体"/>
          <w:sz w:val="21"/>
        </w:rPr>
        <w:t xml:space="preserve">不见面开标系统中保持在线状态，以应对可能发生的澄清、说明等回复，由于投标单位代表不在线所造成的一切后果由投标人自行承担。</w:t>
      </w:r>
      <w:r/>
    </w:p>
    <w:p>
      <w:pPr>
        <w:pStyle w:val="993"/>
        <w:spacing w:line="360" w:lineRule="auto"/>
        <w:rPr>
          <w:rFonts w:hint="eastAsia" w:cs="宋体"/>
          <w:sz w:val="21"/>
        </w:rPr>
      </w:pPr>
      <w:r>
        <w:rPr>
          <w:rFonts w:hint="eastAsia" w:cs="宋体"/>
          <w:sz w:val="21"/>
        </w:rPr>
        <w:t xml:space="preserve">4、有关苏采云系统驱动安装，登录苏州政府采购网，点击页面底部苏采云图标，进入苏采云政府采购一体化平台，点击“驱动下载”，下载“政务CA、方正签章控件驱动安装包及安装说明”文件，按要求安装驱动。</w:t>
      </w:r>
      <w:r/>
    </w:p>
    <w:p>
      <w:pPr>
        <w:pStyle w:val="993"/>
        <w:spacing w:line="360" w:lineRule="auto"/>
        <w:rPr>
          <w:rFonts w:hint="eastAsia" w:cs="宋体"/>
          <w:sz w:val="21"/>
        </w:rPr>
      </w:pPr>
      <w:r>
        <w:rPr>
          <w:rFonts w:hint="eastAsia" w:cs="宋体"/>
          <w:sz w:val="21"/>
        </w:rPr>
        <w:t xml:space="preserve">5、有关供应商注册、报名、下载电子招标文件、制作上传电子投标文件、不见面开标及其他注意事项登录苏州政府采购网，在“下载中心”栏目下载“苏采云系统供应商操作手册”查阅。</w:t>
      </w:r>
      <w:r/>
    </w:p>
    <w:p>
      <w:pPr>
        <w:pStyle w:val="993"/>
        <w:spacing w:line="360" w:lineRule="auto"/>
        <w:rPr>
          <w:rFonts w:hint="eastAsia" w:cs="宋体"/>
          <w:sz w:val="21"/>
        </w:rPr>
      </w:pPr>
      <w:r>
        <w:rPr>
          <w:rFonts w:hint="eastAsia" w:cs="宋体"/>
          <w:sz w:val="21"/>
        </w:rPr>
        <w:t xml:space="preserve">6、有关办理CA数字申领及电子签章事项，登录苏州政府采购</w:t>
      </w:r>
      <w:r>
        <w:rPr>
          <w:rFonts w:hint="eastAsia" w:cs="宋体"/>
          <w:sz w:val="21"/>
        </w:rPr>
        <w:t xml:space="preserve">网，点击页面底部苏采云图标，进入苏采云政府采购一体化平台，下载“新CA办理指南”文件查阅。</w:t>
      </w:r>
      <w:r/>
    </w:p>
    <w:p>
      <w:pPr>
        <w:pStyle w:val="993"/>
        <w:spacing w:line="360" w:lineRule="auto"/>
        <w:rPr>
          <w:rFonts w:hint="eastAsia" w:cs="宋体"/>
          <w:sz w:val="21"/>
        </w:rPr>
      </w:pPr>
      <w:r>
        <w:rPr>
          <w:rFonts w:hint="eastAsia" w:cs="宋体"/>
          <w:sz w:val="21"/>
        </w:rPr>
        <w:t xml:space="preserve">7、中标服务费：本次招标项目中标服务费由中标人支付，按照预算金额，100万元以下按1.5%计算，100至500万（不含）按照1.1%计算，500至1000万（不含）按照0.8%计算，招标代理服务收费按差额定率累进法计算，如计算不足3000元按3000元计，中标人在领取中标通知书时向采购代理机构一次性付清。</w:t>
      </w:r>
      <w:r/>
    </w:p>
    <w:p>
      <w:pPr>
        <w:pStyle w:val="993"/>
        <w:spacing w:line="360" w:lineRule="auto"/>
        <w:rPr>
          <w:rFonts w:hint="eastAsia" w:cs="宋体"/>
          <w:sz w:val="21"/>
        </w:rPr>
      </w:pPr>
      <w:r>
        <w:rPr>
          <w:rFonts w:hint="eastAsia" w:cs="宋体"/>
          <w:sz w:val="21"/>
        </w:rPr>
        <w:t xml:space="preserve">8、纸质投标文件份数：1正2副。（中标人在领取中标通知书后需向招标代理机构额外提供与</w:t>
      </w:r>
      <w:r>
        <w:rPr>
          <w:rFonts w:hint="eastAsia" w:cs="宋体"/>
          <w:sz w:val="21"/>
        </w:rPr>
        <w:t xml:space="preserve">投标所报电子文件一致的纸质投标书）</w:t>
      </w:r>
      <w:r/>
    </w:p>
    <w:p>
      <w:pPr>
        <w:pStyle w:val="993"/>
        <w:spacing w:line="360" w:lineRule="auto"/>
        <w:rPr>
          <w:rFonts w:hint="eastAsia" w:cs="宋体"/>
          <w:sz w:val="21"/>
        </w:rPr>
      </w:pPr>
      <w:r>
        <w:rPr>
          <w:rFonts w:hint="eastAsia" w:cs="宋体"/>
          <w:sz w:val="21"/>
        </w:rPr>
        <w:t xml:space="preserve">9、有关电子投标制作技术疑问，请咨询苏采云软件公司客服：18261002950、0512-69820854、0519-86722802</w:t>
      </w:r>
      <w:r/>
    </w:p>
    <w:p>
      <w:pPr>
        <w:pStyle w:val="993"/>
        <w:spacing w:line="360" w:lineRule="auto"/>
        <w:rPr>
          <w:rFonts w:hint="eastAsia" w:cs="宋体"/>
          <w:sz w:val="21"/>
        </w:rPr>
      </w:pPr>
      <w:r>
        <w:rPr>
          <w:rFonts w:hint="eastAsia" w:cs="宋体"/>
          <w:sz w:val="21"/>
        </w:rPr>
        <w:t xml:space="preserve">10、政府采购监督电话：0512-53512539</w:t>
      </w:r>
      <w:r/>
    </w:p>
    <w:p>
      <w:pPr>
        <w:pStyle w:val="993"/>
        <w:spacing w:line="360" w:lineRule="auto"/>
        <w:rPr>
          <w:rFonts w:hint="eastAsia" w:cs="宋体"/>
          <w:sz w:val="21"/>
        </w:rPr>
      </w:pPr>
      <w:r>
        <w:rPr>
          <w:rFonts w:hint="eastAsia" w:cs="宋体"/>
          <w:sz w:val="21"/>
        </w:rPr>
        <w:t xml:space="preserve">11、本次招标投标保证金：本项目无须缴纳投标保证金。</w:t>
      </w:r>
      <w:r/>
    </w:p>
    <w:p>
      <w:pPr>
        <w:pStyle w:val="993"/>
        <w:spacing w:line="360" w:lineRule="auto"/>
        <w:rPr>
          <w:rFonts w:hint="eastAsia" w:cs="宋体"/>
          <w:sz w:val="21"/>
        </w:rPr>
      </w:pPr>
      <w:r>
        <w:rPr>
          <w:rFonts w:hint="eastAsia" w:cs="宋体"/>
          <w:sz w:val="21"/>
        </w:rPr>
        <w:t xml:space="preserve">12、政府采购信用融资政策：中标供应商可凭政府采购合同办理融资贷款，详情请见江苏政府采购网“政采贷”专栏。</w:t>
      </w:r>
      <w:r/>
    </w:p>
    <w:p>
      <w:pPr>
        <w:pStyle w:val="993"/>
        <w:spacing w:line="360" w:lineRule="auto"/>
        <w:rPr>
          <w:rFonts w:hint="eastAsia" w:cs="宋体"/>
          <w:sz w:val="21"/>
        </w:rPr>
      </w:pPr>
      <w:r>
        <w:rPr>
          <w:rFonts w:hint="eastAsia" w:cs="宋体"/>
          <w:sz w:val="21"/>
        </w:rPr>
        <w:t xml:space="preserve">13、政府采购履约资金扶持政策：依据《关于在全省政府采购领域推行电子履约保函（保险）的通知》（苏财购〔2023〕150号），中标供应商可通过江苏政府采购网“政府采购电子履约保函（保险）综合服务平台”线上办理履约保函（保险）。</w:t>
      </w:r>
      <w:r/>
    </w:p>
    <w:p>
      <w:pPr>
        <w:pStyle w:val="993"/>
        <w:ind w:firstLine="0"/>
        <w:spacing w:line="360" w:lineRule="auto"/>
        <w:rPr>
          <w:rFonts w:cs="宋体"/>
          <w:b/>
          <w:bCs/>
          <w:sz w:val="21"/>
        </w:rPr>
      </w:pPr>
      <w:r>
        <w:rPr>
          <w:rFonts w:hint="eastAsia" w:cs="宋体"/>
          <w:b/>
          <w:bCs/>
          <w:sz w:val="21"/>
        </w:rPr>
        <w:t xml:space="preserve">七、凡对本次招标提出询问，请按以下方式联系</w:t>
      </w:r>
      <w:r>
        <w:rPr>
          <w:rFonts w:cs="宋体"/>
          <w:b/>
          <w:bCs/>
          <w:sz w:val="21"/>
        </w:rPr>
      </w:r>
      <w:r/>
    </w:p>
    <w:p>
      <w:pPr>
        <w:pStyle w:val="993"/>
        <w:spacing w:line="360" w:lineRule="auto"/>
        <w:rPr>
          <w:rFonts w:cs="宋体"/>
          <w:sz w:val="21"/>
        </w:rPr>
      </w:pPr>
      <w:r>
        <w:rPr>
          <w:rFonts w:hint="eastAsia" w:cs="宋体"/>
          <w:sz w:val="21"/>
        </w:rPr>
        <w:t xml:space="preserve">1、采购人信息</w:t>
      </w:r>
      <w:r>
        <w:rPr>
          <w:rFonts w:cs="宋体"/>
          <w:sz w:val="21"/>
        </w:rPr>
      </w:r>
      <w:r/>
    </w:p>
    <w:p>
      <w:pPr>
        <w:pStyle w:val="993"/>
        <w:spacing w:line="360" w:lineRule="auto"/>
        <w:rPr>
          <w:rFonts w:cs="宋体"/>
          <w:sz w:val="21"/>
          <w:u w:val="single"/>
        </w:rPr>
      </w:pPr>
      <w:r>
        <w:rPr>
          <w:rFonts w:hint="eastAsia" w:cs="宋体"/>
          <w:sz w:val="21"/>
        </w:rPr>
        <w:t xml:space="preserve">名称:</w:t>
      </w:r>
      <w:r>
        <w:rPr>
          <w:rFonts w:hint="eastAsia" w:cs="宋体"/>
          <w:sz w:val="21"/>
          <w:u w:val="single"/>
        </w:rPr>
        <w:t xml:space="preserve"> </w:t>
      </w:r>
      <w:r>
        <w:rPr>
          <w:rFonts w:cs="宋体"/>
          <w:sz w:val="21"/>
          <w:u w:val="single"/>
        </w:rPr>
        <w:t xml:space="preserve">太仓市浮桥镇人民政府</w:t>
      </w:r>
      <w:r>
        <w:rPr>
          <w:rFonts w:hint="eastAsia" w:cs="宋体"/>
          <w:sz w:val="21"/>
          <w:u w:val="single"/>
        </w:rPr>
        <w:t xml:space="preserve"> </w:t>
      </w:r>
      <w:r>
        <w:rPr>
          <w:rFonts w:cs="宋体"/>
          <w:sz w:val="21"/>
          <w:u w:val="single"/>
        </w:rPr>
      </w:r>
      <w:r/>
    </w:p>
    <w:p>
      <w:pPr>
        <w:pStyle w:val="993"/>
        <w:spacing w:line="360" w:lineRule="auto"/>
        <w:rPr>
          <w:rFonts w:cs="宋体"/>
          <w:sz w:val="21"/>
        </w:rPr>
      </w:pPr>
      <w:r>
        <w:rPr>
          <w:rFonts w:hint="eastAsia" w:cs="宋体"/>
          <w:sz w:val="21"/>
        </w:rPr>
        <w:t xml:space="preserve">地址:</w:t>
      </w:r>
      <w:r>
        <w:rPr>
          <w:rFonts w:hint="eastAsia" w:cs="宋体"/>
          <w:sz w:val="21"/>
          <w:u w:val="single"/>
        </w:rPr>
        <w:t xml:space="preserve">江苏省太仓市浮桥镇北环路12号</w:t>
      </w:r>
      <w:r>
        <w:rPr>
          <w:rFonts w:hint="eastAsia" w:cs="宋体"/>
          <w:sz w:val="21"/>
        </w:rPr>
        <w:t xml:space="preserve"> </w:t>
      </w:r>
      <w:r>
        <w:rPr>
          <w:rFonts w:cs="宋体"/>
          <w:sz w:val="21"/>
        </w:rPr>
      </w:r>
      <w:r/>
    </w:p>
    <w:p>
      <w:pPr>
        <w:pStyle w:val="993"/>
        <w:spacing w:line="360" w:lineRule="auto"/>
        <w:rPr>
          <w:rFonts w:hint="eastAsia" w:cs="宋体"/>
          <w:sz w:val="21"/>
          <w:u w:val="single"/>
        </w:rPr>
      </w:pPr>
      <w:r>
        <w:rPr>
          <w:rFonts w:hint="eastAsia" w:cs="宋体"/>
          <w:sz w:val="21"/>
        </w:rPr>
        <w:t xml:space="preserve">联系方式:</w:t>
      </w:r>
      <w:r>
        <w:rPr>
          <w:rFonts w:hint="eastAsia" w:cs="宋体"/>
          <w:sz w:val="21"/>
          <w:u w:val="single"/>
        </w:rPr>
        <w:t xml:space="preserve"> </w:t>
      </w:r>
      <w:r>
        <w:rPr>
          <w:rFonts w:hint="eastAsia" w:cs="宋体"/>
          <w:sz w:val="21"/>
          <w:u w:val="single"/>
          <w:lang w:eastAsia="en-US"/>
        </w:rPr>
        <w:t xml:space="preserve">张海江  0512-33029901</w:t>
      </w:r>
      <w:r>
        <w:rPr>
          <w:rFonts w:hint="eastAsia" w:cs="宋体"/>
          <w:sz w:val="21"/>
          <w:u w:val="single"/>
        </w:rPr>
      </w:r>
      <w:r/>
    </w:p>
    <w:p>
      <w:pPr>
        <w:pStyle w:val="993"/>
        <w:spacing w:line="360" w:lineRule="auto"/>
        <w:rPr>
          <w:rFonts w:cs="宋体"/>
          <w:sz w:val="21"/>
        </w:rPr>
      </w:pPr>
      <w:r>
        <w:rPr>
          <w:rFonts w:hint="eastAsia" w:cs="宋体"/>
          <w:sz w:val="21"/>
        </w:rPr>
        <w:t xml:space="preserve">2、采购代理机构信息</w:t>
      </w:r>
      <w:r>
        <w:rPr>
          <w:rFonts w:cs="宋体"/>
          <w:sz w:val="21"/>
        </w:rPr>
      </w:r>
      <w:r/>
    </w:p>
    <w:p>
      <w:pPr>
        <w:pStyle w:val="993"/>
        <w:spacing w:line="360" w:lineRule="auto"/>
        <w:rPr>
          <w:rFonts w:cs="宋体"/>
          <w:sz w:val="21"/>
        </w:rPr>
      </w:pPr>
      <w:r>
        <w:rPr>
          <w:rFonts w:hint="eastAsia" w:cs="宋体"/>
          <w:sz w:val="21"/>
        </w:rPr>
        <w:t xml:space="preserve">名称:</w:t>
      </w:r>
      <w:r>
        <w:rPr>
          <w:rFonts w:hint="eastAsia" w:cs="宋体"/>
          <w:sz w:val="21"/>
          <w:u w:val="single"/>
        </w:rPr>
        <w:t xml:space="preserve">  苏州乐族工程咨询有限公司</w:t>
      </w:r>
      <w:r>
        <w:rPr>
          <w:rFonts w:cs="宋体"/>
          <w:sz w:val="21"/>
        </w:rPr>
      </w:r>
      <w:r/>
    </w:p>
    <w:p>
      <w:pPr>
        <w:pStyle w:val="993"/>
        <w:spacing w:line="360" w:lineRule="auto"/>
        <w:rPr>
          <w:rFonts w:cs="宋体"/>
          <w:sz w:val="21"/>
          <w:u w:val="single"/>
        </w:rPr>
      </w:pPr>
      <w:r>
        <w:rPr>
          <w:rFonts w:hint="eastAsia" w:cs="宋体"/>
          <w:sz w:val="21"/>
        </w:rPr>
        <w:t xml:space="preserve">地址:</w:t>
      </w:r>
      <w:r>
        <w:rPr>
          <w:rFonts w:hint="eastAsia" w:cs="宋体"/>
          <w:sz w:val="21"/>
          <w:u w:val="single"/>
        </w:rPr>
        <w:t xml:space="preserve">  </w:t>
      </w:r>
      <w:bookmarkStart w:id="8" w:name="OLE_LINK7"/>
      <w:r>
        <w:rPr>
          <w:rFonts w:cs="宋体"/>
          <w:sz w:val="21"/>
          <w:u w:val="single"/>
        </w:rPr>
        <w:t xml:space="preserve">太仓市富阳路8号听雨苑三楼</w:t>
      </w:r>
      <w:bookmarkEnd w:id="8"/>
      <w:r>
        <w:rPr>
          <w:rFonts w:cs="宋体"/>
          <w:sz w:val="21"/>
          <w:u w:val="single"/>
        </w:rPr>
      </w:r>
      <w:r/>
    </w:p>
    <w:p>
      <w:pPr>
        <w:pStyle w:val="993"/>
        <w:spacing w:line="360" w:lineRule="auto"/>
        <w:rPr>
          <w:rFonts w:cs="宋体"/>
          <w:sz w:val="21"/>
        </w:rPr>
      </w:pPr>
      <w:r>
        <w:rPr>
          <w:rFonts w:hint="eastAsia" w:cs="宋体"/>
          <w:sz w:val="21"/>
        </w:rPr>
        <w:t xml:space="preserve">联系方式:</w:t>
      </w:r>
      <w:r>
        <w:rPr>
          <w:rFonts w:hint="eastAsia" w:cs="宋体"/>
          <w:sz w:val="21"/>
          <w:u w:val="single"/>
        </w:rPr>
        <w:t xml:space="preserve"> </w:t>
      </w:r>
      <w:r>
        <w:rPr>
          <w:rFonts w:hint="eastAsia" w:cs="宋体"/>
          <w:sz w:val="21"/>
          <w:u w:val="single"/>
          <w:lang w:eastAsia="en-US"/>
        </w:rPr>
        <w:t xml:space="preserve">顾冬春</w:t>
      </w:r>
      <w:r>
        <w:rPr>
          <w:rFonts w:cs="宋体"/>
          <w:sz w:val="21"/>
          <w:u w:val="single"/>
          <w:lang w:eastAsia="en-US"/>
        </w:rPr>
        <w:t xml:space="preserve"> </w:t>
      </w:r>
      <w:r>
        <w:rPr>
          <w:rFonts w:cs="宋体"/>
          <w:sz w:val="21"/>
          <w:u w:val="single"/>
        </w:rPr>
        <w:t xml:space="preserve">15370181880</w:t>
      </w:r>
      <w:r>
        <w:rPr>
          <w:rFonts w:cs="宋体"/>
          <w:sz w:val="21"/>
        </w:rPr>
      </w:r>
      <w:r/>
    </w:p>
    <w:p>
      <w:pPr>
        <w:pStyle w:val="993"/>
        <w:spacing w:line="360" w:lineRule="auto"/>
        <w:rPr>
          <w:rFonts w:cs="宋体"/>
          <w:sz w:val="21"/>
        </w:rPr>
      </w:pPr>
      <w:r>
        <w:rPr>
          <w:rFonts w:hint="eastAsia" w:cs="宋体"/>
          <w:sz w:val="21"/>
        </w:rPr>
        <w:t xml:space="preserve">3、项目联系方式</w:t>
      </w:r>
      <w:r>
        <w:rPr>
          <w:rFonts w:cs="宋体"/>
          <w:sz w:val="21"/>
        </w:rPr>
      </w:r>
      <w:r/>
    </w:p>
    <w:p>
      <w:pPr>
        <w:pStyle w:val="993"/>
        <w:spacing w:line="360" w:lineRule="auto"/>
        <w:rPr>
          <w:rFonts w:hint="eastAsia" w:cs="宋体"/>
          <w:sz w:val="21"/>
        </w:rPr>
      </w:pPr>
      <w:r>
        <w:rPr>
          <w:rFonts w:hint="eastAsia" w:cs="宋体"/>
          <w:sz w:val="21"/>
        </w:rPr>
        <w:t xml:space="preserve">项目联系人：</w:t>
      </w:r>
      <w:r>
        <w:rPr>
          <w:rFonts w:hint="eastAsia" w:cs="宋体"/>
          <w:sz w:val="21"/>
          <w:u w:val="single"/>
        </w:rPr>
        <w:t xml:space="preserve">顾冬春</w:t>
      </w:r>
      <w:r>
        <w:rPr>
          <w:rFonts w:hint="eastAsia" w:cs="宋体"/>
          <w:sz w:val="21"/>
        </w:rPr>
      </w:r>
      <w:r/>
    </w:p>
    <w:p>
      <w:pPr>
        <w:pStyle w:val="954"/>
        <w:ind w:firstLine="420"/>
        <w:rPr>
          <w:rFonts w:hint="eastAsia" w:cs="宋体"/>
          <w:sz w:val="21"/>
          <w:u w:val="single"/>
        </w:rPr>
      </w:pPr>
      <w:r>
        <w:rPr>
          <w:rFonts w:hint="eastAsia" w:cs="宋体"/>
          <w:sz w:val="21"/>
        </w:rPr>
        <w:t xml:space="preserve">电话:</w:t>
      </w:r>
      <w:r>
        <w:rPr>
          <w:rFonts w:hint="eastAsia" w:cs="宋体"/>
          <w:sz w:val="21"/>
          <w:u w:val="single"/>
        </w:rPr>
        <w:t xml:space="preserve">  </w:t>
      </w:r>
      <w:r>
        <w:rPr>
          <w:rFonts w:cs="宋体"/>
          <w:sz w:val="21"/>
          <w:u w:val="single"/>
        </w:rPr>
        <w:t xml:space="preserve">15370181880</w:t>
      </w:r>
      <w:bookmarkEnd w:id="0"/>
      <w:r>
        <w:rPr>
          <w:rFonts w:hint="eastAsia" w:cs="宋体"/>
          <w:sz w:val="21"/>
          <w:u w:val="single"/>
        </w:rPr>
      </w:r>
      <w:r/>
    </w:p>
    <w:p>
      <w:pPr>
        <w:pStyle w:val="955"/>
        <w:numPr>
          <w:ilvl w:val="0"/>
          <w:numId w:val="0"/>
        </w:numPr>
        <w:jc w:val="center"/>
        <w:tabs>
          <w:tab w:val="left" w:pos="432" w:leader="none"/>
        </w:tabs>
        <w:rPr>
          <w:rFonts w:hint="eastAsia" w:cs="宋体"/>
          <w:b w:val="0"/>
          <w:bCs/>
          <w:szCs w:val="44"/>
        </w:rPr>
      </w:pPr>
      <w:r>
        <w:rPr>
          <w:rFonts w:hint="eastAsia" w:cs="宋体"/>
          <w:b w:val="0"/>
          <w:bCs/>
          <w:sz w:val="21"/>
        </w:rPr>
        <w:br w:type="page" w:clear="all"/>
      </w:r>
      <w:bookmarkEnd w:id="1"/>
      <w:r>
        <w:rPr>
          <w:rFonts w:hint="eastAsia" w:ascii="宋体" w:hAnsi="宋体" w:cs="宋体"/>
        </w:rPr>
        <w:t xml:space="preserve">第二章 </w:t>
      </w:r>
      <w:bookmarkStart w:id="9" w:name="投标人须知"/>
      <w:r>
        <w:rPr>
          <w:rFonts w:hint="eastAsia" w:ascii="宋体" w:hAnsi="宋体" w:cs="宋体"/>
        </w:rPr>
        <w:t xml:space="preserve">投标人须</w:t>
      </w:r>
      <w:r>
        <w:rPr>
          <w:rFonts w:hint="eastAsia" w:ascii="宋体" w:hAnsi="宋体" w:cs="宋体"/>
        </w:rPr>
        <w:t xml:space="preserve">知</w:t>
      </w:r>
      <w:bookmarkEnd w:id="9"/>
      <w:r>
        <w:rPr>
          <w:rFonts w:hint="eastAsia" w:cs="宋体"/>
          <w:b w:val="0"/>
          <w:bCs/>
          <w:szCs w:val="44"/>
        </w:rPr>
      </w:r>
      <w:r/>
    </w:p>
    <w:p>
      <w:pPr>
        <w:pStyle w:val="954"/>
        <w:numPr>
          <w:ilvl w:val="0"/>
          <w:numId w:val="5"/>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说明和释义</w:t>
      </w:r>
      <w:r/>
    </w:p>
    <w:p>
      <w:pPr>
        <w:pStyle w:val="954"/>
        <w:numPr>
          <w:ilvl w:val="0"/>
          <w:numId w:val="11"/>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说明</w:t>
      </w:r>
      <w:r/>
    </w:p>
    <w:p>
      <w:pPr>
        <w:pStyle w:val="954"/>
        <w:numPr>
          <w:ilvl w:val="1"/>
          <w:numId w:val="11"/>
        </w:numPr>
        <w:ind w:left="540" w:hanging="540"/>
        <w:spacing w:line="400" w:lineRule="exact"/>
        <w:tabs>
          <w:tab w:val="left" w:pos="540" w:leader="none"/>
        </w:tabs>
        <w:rPr>
          <w:rFonts w:hint="eastAsia" w:cs="宋体"/>
          <w:sz w:val="21"/>
          <w:szCs w:val="21"/>
        </w:rPr>
      </w:pPr>
      <w:r>
        <w:rPr>
          <w:rFonts w:hint="eastAsia" w:cs="宋体"/>
          <w:sz w:val="21"/>
          <w:szCs w:val="21"/>
        </w:rPr>
        <w:t xml:space="preserve">本招标文件仅适用于苏州乐族工程咨询有限公司组织的招标活动。</w:t>
      </w:r>
      <w:r/>
    </w:p>
    <w:p>
      <w:pPr>
        <w:pStyle w:val="954"/>
        <w:numPr>
          <w:ilvl w:val="1"/>
          <w:numId w:val="11"/>
        </w:numPr>
        <w:ind w:left="540" w:hanging="540"/>
        <w:spacing w:line="400" w:lineRule="exact"/>
        <w:tabs>
          <w:tab w:val="left" w:pos="540" w:leader="none"/>
        </w:tabs>
        <w:rPr>
          <w:rFonts w:hint="eastAsia" w:cs="宋体"/>
          <w:sz w:val="21"/>
          <w:szCs w:val="21"/>
        </w:rPr>
      </w:pPr>
      <w:r>
        <w:rPr>
          <w:rFonts w:hint="eastAsia" w:cs="宋体"/>
          <w:sz w:val="21"/>
          <w:szCs w:val="21"/>
        </w:rPr>
        <w:t xml:space="preserve">本次招标活动及因本次招标产生的合同受中国法律制约和保护。</w:t>
      </w:r>
      <w:r/>
    </w:p>
    <w:p>
      <w:pPr>
        <w:pStyle w:val="954"/>
        <w:numPr>
          <w:ilvl w:val="1"/>
          <w:numId w:val="11"/>
        </w:numPr>
        <w:ind w:left="540" w:hanging="540"/>
        <w:spacing w:line="400" w:lineRule="exact"/>
        <w:tabs>
          <w:tab w:val="left" w:pos="540" w:leader="none"/>
        </w:tabs>
        <w:rPr>
          <w:rFonts w:hint="eastAsia" w:cs="宋体"/>
          <w:sz w:val="21"/>
          <w:szCs w:val="21"/>
        </w:rPr>
      </w:pPr>
      <w:r>
        <w:rPr>
          <w:rFonts w:hint="eastAsia" w:cs="宋体"/>
          <w:sz w:val="21"/>
          <w:szCs w:val="21"/>
        </w:rPr>
        <w:t xml:space="preserve">本招标文件的解释权属于苏州乐族工程咨询有限公司。</w:t>
      </w:r>
      <w:r/>
    </w:p>
    <w:p>
      <w:pPr>
        <w:pStyle w:val="954"/>
        <w:numPr>
          <w:ilvl w:val="0"/>
          <w:numId w:val="11"/>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词语释义</w:t>
      </w:r>
      <w:r/>
    </w:p>
    <w:p>
      <w:pPr>
        <w:pStyle w:val="969"/>
        <w:numPr>
          <w:ilvl w:val="0"/>
          <w:numId w:val="19"/>
        </w:numPr>
        <w:ind w:left="540" w:hanging="540"/>
        <w:jc w:val="both"/>
        <w:spacing w:line="400" w:lineRule="exact"/>
        <w:tabs>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采购人：指依法进行政府采购的国家机关、事业单位、团体组织。</w:t>
      </w:r>
      <w:r/>
    </w:p>
    <w:p>
      <w:pPr>
        <w:pStyle w:val="969"/>
        <w:numPr>
          <w:ilvl w:val="0"/>
          <w:numId w:val="19"/>
        </w:numPr>
        <w:ind w:left="540" w:hanging="540"/>
        <w:jc w:val="both"/>
        <w:spacing w:line="400" w:lineRule="exact"/>
        <w:tabs>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供应商：指向采购人提供货物、工程或服务的法人、其他组织或者自然人。</w:t>
      </w:r>
      <w:r/>
    </w:p>
    <w:p>
      <w:pPr>
        <w:pStyle w:val="969"/>
        <w:numPr>
          <w:ilvl w:val="0"/>
          <w:numId w:val="19"/>
        </w:numPr>
        <w:ind w:left="540" w:hanging="540"/>
        <w:jc w:val="both"/>
        <w:spacing w:line="400" w:lineRule="exact"/>
        <w:tabs>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投标人：指参加政府采购货物服务投标活动的供应商。</w:t>
      </w:r>
      <w:r/>
    </w:p>
    <w:p>
      <w:pPr>
        <w:pStyle w:val="954"/>
        <w:numPr>
          <w:ilvl w:val="0"/>
          <w:numId w:val="19"/>
        </w:numPr>
        <w:ind w:left="540" w:hanging="540"/>
        <w:spacing w:line="400" w:lineRule="exact"/>
        <w:tabs>
          <w:tab w:val="left" w:pos="540" w:leader="none"/>
        </w:tabs>
        <w:rPr>
          <w:rFonts w:hint="eastAsia" w:cs="宋体"/>
          <w:sz w:val="21"/>
          <w:szCs w:val="21"/>
        </w:rPr>
      </w:pPr>
      <w:r>
        <w:rPr>
          <w:rFonts w:hint="eastAsia" w:cs="宋体"/>
          <w:sz w:val="21"/>
          <w:szCs w:val="21"/>
        </w:rPr>
        <w:t xml:space="preserve">采购代理机构：指依法接受采购人委托，从事货物、工程和服务等政府采购招标代理业务的社会中介机构。</w:t>
      </w:r>
      <w:r/>
    </w:p>
    <w:p>
      <w:pPr>
        <w:pStyle w:val="954"/>
        <w:numPr>
          <w:ilvl w:val="0"/>
          <w:numId w:val="19"/>
        </w:numPr>
        <w:ind w:left="540" w:hanging="540"/>
        <w:spacing w:line="400" w:lineRule="exact"/>
        <w:tabs>
          <w:tab w:val="left" w:pos="540" w:leader="none"/>
        </w:tabs>
        <w:rPr>
          <w:rFonts w:hint="eastAsia" w:cs="宋体"/>
          <w:sz w:val="21"/>
          <w:szCs w:val="21"/>
        </w:rPr>
      </w:pPr>
      <w:r>
        <w:rPr>
          <w:rFonts w:hint="eastAsia" w:cs="宋体"/>
          <w:sz w:val="21"/>
          <w:szCs w:val="21"/>
        </w:rPr>
        <w:t xml:space="preserve">招标采购单位：采购人及采购代理机构的统称。</w:t>
      </w:r>
      <w:r/>
    </w:p>
    <w:p>
      <w:pPr>
        <w:pStyle w:val="954"/>
        <w:numPr>
          <w:ilvl w:val="0"/>
          <w:numId w:val="19"/>
        </w:numPr>
        <w:ind w:left="540" w:hanging="540"/>
        <w:spacing w:line="400" w:lineRule="exact"/>
        <w:tabs>
          <w:tab w:val="left" w:pos="540" w:leader="none"/>
        </w:tabs>
        <w:rPr>
          <w:rFonts w:hint="eastAsia" w:cs="宋体"/>
          <w:sz w:val="21"/>
          <w:szCs w:val="21"/>
        </w:rPr>
      </w:pPr>
      <w:r>
        <w:rPr>
          <w:rFonts w:hint="eastAsia" w:cs="宋体"/>
          <w:sz w:val="21"/>
          <w:szCs w:val="21"/>
        </w:rPr>
        <w:t xml:space="preserve">评标委员会：是指在招标投标和政府采购活动中，依法由采购人代表和有关技术、经济等方面的专家组建，负责对投标文件进行评审并提出评审意见的临时性权威机构。</w:t>
      </w:r>
      <w:r/>
    </w:p>
    <w:p>
      <w:pPr>
        <w:pStyle w:val="954"/>
        <w:numPr>
          <w:ilvl w:val="0"/>
          <w:numId w:val="19"/>
        </w:numPr>
        <w:ind w:left="540" w:hanging="540"/>
        <w:spacing w:line="400" w:lineRule="exact"/>
        <w:tabs>
          <w:tab w:val="left" w:pos="540" w:leader="none"/>
        </w:tabs>
        <w:rPr>
          <w:rFonts w:hint="eastAsia" w:cs="宋体"/>
          <w:sz w:val="21"/>
          <w:szCs w:val="21"/>
        </w:rPr>
      </w:pPr>
      <w:r>
        <w:rPr>
          <w:rFonts w:hint="eastAsia" w:cs="宋体"/>
          <w:sz w:val="21"/>
          <w:szCs w:val="21"/>
        </w:rPr>
        <w:t xml:space="preserve">响应：投标人根据采购人或采购代理机构发售的招标文件，编制投标文件并按规定投标的行为。</w:t>
      </w:r>
      <w:r/>
    </w:p>
    <w:p>
      <w:pPr>
        <w:pStyle w:val="954"/>
        <w:numPr>
          <w:ilvl w:val="0"/>
          <w:numId w:val="19"/>
        </w:numPr>
        <w:ind w:left="540" w:hanging="540"/>
        <w:spacing w:line="400" w:lineRule="exact"/>
        <w:tabs>
          <w:tab w:val="left" w:pos="540" w:leader="none"/>
        </w:tabs>
        <w:rPr>
          <w:rFonts w:hint="eastAsia" w:cs="宋体"/>
          <w:sz w:val="21"/>
          <w:szCs w:val="21"/>
        </w:rPr>
      </w:pPr>
      <w:r>
        <w:rPr>
          <w:rFonts w:hint="eastAsia" w:cs="宋体"/>
          <w:sz w:val="21"/>
          <w:szCs w:val="21"/>
        </w:rPr>
        <w:t xml:space="preserve">知识产权：指专利权、商标权、著作权等无形财产专有权的统称。</w:t>
      </w:r>
      <w:r/>
    </w:p>
    <w:p>
      <w:pPr>
        <w:pStyle w:val="954"/>
        <w:numPr>
          <w:ilvl w:val="0"/>
          <w:numId w:val="19"/>
        </w:numPr>
        <w:ind w:left="540" w:hanging="540"/>
        <w:spacing w:line="400" w:lineRule="exact"/>
        <w:tabs>
          <w:tab w:val="left" w:pos="540" w:leader="none"/>
        </w:tabs>
        <w:rPr>
          <w:rFonts w:hint="eastAsia" w:cs="宋体"/>
          <w:sz w:val="21"/>
          <w:szCs w:val="21"/>
        </w:rPr>
      </w:pPr>
      <w:r>
        <w:rPr>
          <w:rFonts w:hint="eastAsia" w:cs="宋体"/>
          <w:sz w:val="21"/>
          <w:szCs w:val="21"/>
        </w:rPr>
        <w:t xml:space="preserve">天：日历日。</w:t>
      </w:r>
      <w:r/>
    </w:p>
    <w:p>
      <w:pPr>
        <w:pStyle w:val="954"/>
        <w:numPr>
          <w:ilvl w:val="0"/>
          <w:numId w:val="19"/>
        </w:numPr>
        <w:ind w:left="540" w:hanging="540"/>
        <w:spacing w:line="400" w:lineRule="exact"/>
        <w:tabs>
          <w:tab w:val="left" w:pos="540" w:leader="none"/>
        </w:tabs>
        <w:rPr>
          <w:rFonts w:hint="eastAsia" w:cs="宋体"/>
          <w:sz w:val="21"/>
          <w:szCs w:val="21"/>
        </w:rPr>
      </w:pPr>
      <w:r>
        <w:rPr>
          <w:rFonts w:hint="eastAsia" w:cs="宋体"/>
          <w:sz w:val="21"/>
          <w:szCs w:val="21"/>
        </w:rPr>
        <w:t xml:space="preserve">履行地点：</w:t>
      </w:r>
      <w:r>
        <w:rPr>
          <w:rFonts w:hint="eastAsia" w:cs="宋体"/>
          <w:sz w:val="21"/>
          <w:szCs w:val="21"/>
          <w:lang w:val="zh-CN"/>
        </w:rPr>
        <w:t xml:space="preserve">合同中明确约定的服务项目所在地。</w:t>
      </w:r>
      <w:r>
        <w:rPr>
          <w:rFonts w:hint="eastAsia" w:cs="宋体"/>
          <w:sz w:val="21"/>
          <w:szCs w:val="21"/>
        </w:rPr>
      </w:r>
      <w:r/>
    </w:p>
    <w:p>
      <w:pPr>
        <w:pStyle w:val="954"/>
        <w:numPr>
          <w:ilvl w:val="0"/>
          <w:numId w:val="19"/>
        </w:numPr>
        <w:ind w:left="540" w:hanging="540"/>
        <w:spacing w:line="400" w:lineRule="exact"/>
        <w:tabs>
          <w:tab w:val="left" w:pos="540" w:leader="none"/>
        </w:tabs>
        <w:rPr>
          <w:rFonts w:hint="eastAsia" w:cs="宋体"/>
          <w:sz w:val="21"/>
          <w:szCs w:val="21"/>
        </w:rPr>
      </w:pPr>
      <w:r>
        <w:rPr>
          <w:rFonts w:hint="eastAsia" w:cs="宋体"/>
          <w:sz w:val="21"/>
          <w:szCs w:val="21"/>
        </w:rPr>
        <w:t xml:space="preserve">不可抗力：不能预见、不能避免并且不能克服的客观情况。</w:t>
      </w:r>
      <w:r/>
    </w:p>
    <w:p>
      <w:pPr>
        <w:pStyle w:val="954"/>
        <w:numPr>
          <w:ilvl w:val="0"/>
          <w:numId w:val="19"/>
        </w:numPr>
        <w:ind w:left="540" w:hanging="540"/>
        <w:spacing w:line="400" w:lineRule="exact"/>
        <w:tabs>
          <w:tab w:val="left" w:pos="540" w:leader="none"/>
        </w:tabs>
        <w:rPr>
          <w:rFonts w:hint="eastAsia" w:cs="宋体"/>
          <w:sz w:val="21"/>
          <w:szCs w:val="21"/>
        </w:rPr>
      </w:pPr>
      <w:r>
        <w:rPr>
          <w:rFonts w:hint="eastAsia" w:cs="宋体"/>
          <w:sz w:val="21"/>
          <w:szCs w:val="21"/>
        </w:rPr>
        <w:t xml:space="preserve">实质性响应：满足有关本次采购标的、数量、质量、价款或者报酬、合同履行期限、履行地点和方式、违约责任</w:t>
      </w:r>
      <w:r>
        <w:rPr>
          <w:rFonts w:hint="eastAsia" w:cs="宋体"/>
          <w:sz w:val="21"/>
          <w:szCs w:val="21"/>
        </w:rPr>
        <w:t xml:space="preserve">和解决争议方法等要求。</w:t>
      </w:r>
      <w:r/>
    </w:p>
    <w:p>
      <w:pPr>
        <w:pStyle w:val="954"/>
        <w:numPr>
          <w:ilvl w:val="0"/>
          <w:numId w:val="19"/>
        </w:numPr>
        <w:ind w:left="540" w:hanging="540"/>
        <w:spacing w:line="400" w:lineRule="exact"/>
        <w:tabs>
          <w:tab w:val="left" w:pos="540" w:leader="none"/>
        </w:tabs>
        <w:rPr>
          <w:rFonts w:hint="eastAsia" w:cs="宋体"/>
          <w:sz w:val="21"/>
          <w:szCs w:val="21"/>
        </w:rPr>
      </w:pPr>
      <w:r>
        <w:rPr>
          <w:rFonts w:hint="eastAsia" w:cs="宋体"/>
          <w:sz w:val="21"/>
          <w:szCs w:val="21"/>
        </w:rPr>
        <w:t xml:space="preserve">进口产品：通过中国海关报关验收进入中国境内且产自关境外的产品。</w:t>
      </w:r>
      <w:r/>
    </w:p>
    <w:p>
      <w:pPr>
        <w:pStyle w:val="1003"/>
        <w:numPr>
          <w:ilvl w:val="0"/>
          <w:numId w:val="19"/>
        </w:numPr>
        <w:ind w:left="540" w:hanging="540"/>
        <w:spacing w:line="400" w:lineRule="exact"/>
        <w:tabs>
          <w:tab w:val="left" w:pos="540" w:leader="none"/>
        </w:tabs>
        <w:rPr>
          <w:rFonts w:hint="eastAsia" w:eastAsia="宋体" w:cs="宋体"/>
          <w:sz w:val="21"/>
          <w:szCs w:val="21"/>
        </w:rPr>
      </w:pPr>
      <w:r>
        <w:rPr>
          <w:rFonts w:hint="eastAsia" w:eastAsia="宋体" w:cs="宋体"/>
          <w:sz w:val="21"/>
          <w:szCs w:val="21"/>
        </w:rPr>
        <w:t xml:space="preserve">书面形式：指书面文字、合同书、信件和传真等可有形地表现所载内容的形式。</w:t>
      </w:r>
      <w:r/>
    </w:p>
    <w:p>
      <w:pPr>
        <w:pStyle w:val="954"/>
        <w:numPr>
          <w:ilvl w:val="0"/>
          <w:numId w:val="5"/>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投标人</w:t>
      </w:r>
      <w:r/>
    </w:p>
    <w:p>
      <w:pPr>
        <w:pStyle w:val="954"/>
        <w:numPr>
          <w:ilvl w:val="0"/>
          <w:numId w:val="7"/>
        </w:numPr>
        <w:ind w:left="540" w:hanging="540"/>
        <w:spacing w:line="400" w:lineRule="exact"/>
        <w:tabs>
          <w:tab w:val="left" w:pos="540" w:leader="none"/>
          <w:tab w:val="left" w:pos="709" w:leader="none"/>
        </w:tabs>
        <w:rPr>
          <w:rFonts w:hint="eastAsia" w:cs="宋体"/>
          <w:b/>
          <w:bCs/>
          <w:sz w:val="21"/>
          <w:szCs w:val="21"/>
        </w:rPr>
      </w:pPr>
      <w:r>
        <w:rPr>
          <w:rFonts w:hint="eastAsia" w:cs="宋体"/>
          <w:b/>
          <w:bCs/>
          <w:sz w:val="21"/>
          <w:szCs w:val="21"/>
        </w:rPr>
        <w:t xml:space="preserve">合格投标人的范围</w:t>
      </w:r>
      <w:r/>
    </w:p>
    <w:p>
      <w:pPr>
        <w:pStyle w:val="954"/>
        <w:numPr>
          <w:ilvl w:val="1"/>
          <w:numId w:val="7"/>
        </w:numPr>
        <w:spacing w:line="400" w:lineRule="exact"/>
        <w:tabs>
          <w:tab w:val="left" w:pos="851" w:leader="none"/>
        </w:tabs>
        <w:rPr>
          <w:rFonts w:hint="eastAsia" w:cs="宋体"/>
          <w:sz w:val="21"/>
          <w:szCs w:val="21"/>
        </w:rPr>
      </w:pPr>
      <w:r>
        <w:rPr>
          <w:rFonts w:hint="eastAsia" w:cs="宋体"/>
          <w:sz w:val="21"/>
          <w:szCs w:val="21"/>
        </w:rPr>
        <w:t xml:space="preserve">符合《中华人民共和国政府采购法》第二十二条第一款之规定。</w:t>
      </w:r>
      <w:r/>
    </w:p>
    <w:p>
      <w:pPr>
        <w:pStyle w:val="954"/>
        <w:numPr>
          <w:ilvl w:val="0"/>
          <w:numId w:val="7"/>
        </w:numPr>
        <w:ind w:left="540" w:hanging="540"/>
        <w:spacing w:line="400" w:lineRule="exact"/>
        <w:tabs>
          <w:tab w:val="left" w:pos="540" w:leader="none"/>
          <w:tab w:val="left" w:pos="709" w:leader="none"/>
        </w:tabs>
        <w:rPr>
          <w:rFonts w:hint="eastAsia" w:cs="宋体"/>
          <w:b/>
          <w:bCs/>
          <w:sz w:val="21"/>
          <w:szCs w:val="21"/>
        </w:rPr>
      </w:pPr>
      <w:r>
        <w:rPr>
          <w:rFonts w:hint="eastAsia" w:cs="宋体"/>
          <w:b/>
          <w:bCs/>
          <w:sz w:val="21"/>
          <w:szCs w:val="21"/>
        </w:rPr>
        <w:t xml:space="preserve">合格投标人的特定条件</w:t>
      </w:r>
      <w:r/>
    </w:p>
    <w:p>
      <w:pPr>
        <w:pStyle w:val="954"/>
        <w:numPr>
          <w:ilvl w:val="1"/>
          <w:numId w:val="7"/>
        </w:numPr>
        <w:spacing w:line="400" w:lineRule="exact"/>
        <w:tabs>
          <w:tab w:val="left" w:pos="540" w:leader="none"/>
          <w:tab w:val="left" w:pos="567" w:leader="none"/>
          <w:tab w:val="left" w:pos="851" w:leader="none"/>
        </w:tabs>
        <w:rPr>
          <w:rFonts w:hint="eastAsia" w:cs="宋体"/>
          <w:bCs/>
          <w:sz w:val="21"/>
          <w:szCs w:val="21"/>
        </w:rPr>
      </w:pPr>
      <w:r>
        <w:rPr>
          <w:rFonts w:hint="eastAsia" w:cs="宋体"/>
          <w:sz w:val="21"/>
          <w:szCs w:val="21"/>
        </w:rPr>
        <w:t xml:space="preserve">详见招标文件第一章 申请人的资格要求。</w:t>
      </w:r>
      <w:r>
        <w:rPr>
          <w:rFonts w:hint="eastAsia" w:cs="宋体"/>
          <w:bCs/>
          <w:sz w:val="21"/>
          <w:szCs w:val="21"/>
        </w:rPr>
      </w:r>
      <w:r/>
    </w:p>
    <w:p>
      <w:pPr>
        <w:pStyle w:val="954"/>
        <w:numPr>
          <w:ilvl w:val="0"/>
          <w:numId w:val="7"/>
        </w:numPr>
        <w:ind w:left="540" w:hanging="540"/>
        <w:spacing w:line="400" w:lineRule="exact"/>
        <w:tabs>
          <w:tab w:val="left" w:pos="540" w:leader="none"/>
          <w:tab w:val="left" w:pos="709" w:leader="none"/>
        </w:tabs>
        <w:rPr>
          <w:rFonts w:hint="eastAsia" w:cs="宋体"/>
          <w:bCs/>
          <w:sz w:val="21"/>
          <w:szCs w:val="21"/>
        </w:rPr>
      </w:pPr>
      <w:r>
        <w:rPr>
          <w:rFonts w:hint="eastAsia"/>
          <w:sz w:val="21"/>
          <w:szCs w:val="21"/>
        </w:rPr>
        <w:t xml:space="preserve">投标人必须依法获取电子招标文件，否则不能参加本次招标活动</w:t>
      </w:r>
      <w:r>
        <w:rPr>
          <w:rFonts w:hint="eastAsia" w:cs="宋体"/>
          <w:sz w:val="21"/>
          <w:szCs w:val="21"/>
        </w:rPr>
        <w:t xml:space="preserve">。</w:t>
      </w:r>
      <w:r>
        <w:rPr>
          <w:rFonts w:hint="eastAsia" w:cs="宋体"/>
          <w:bCs/>
          <w:sz w:val="21"/>
          <w:szCs w:val="21"/>
        </w:rPr>
      </w:r>
      <w:r/>
    </w:p>
    <w:p>
      <w:pPr>
        <w:pStyle w:val="954"/>
        <w:numPr>
          <w:ilvl w:val="0"/>
          <w:numId w:val="7"/>
        </w:numPr>
        <w:ind w:left="540" w:hanging="540"/>
        <w:spacing w:line="400" w:lineRule="exact"/>
        <w:tabs>
          <w:tab w:val="left" w:pos="540" w:leader="none"/>
          <w:tab w:val="left" w:pos="709" w:leader="none"/>
        </w:tabs>
        <w:rPr>
          <w:rFonts w:hint="eastAsia" w:cs="宋体"/>
          <w:b/>
          <w:bCs/>
          <w:sz w:val="21"/>
          <w:szCs w:val="21"/>
        </w:rPr>
      </w:pPr>
      <w:r>
        <w:rPr>
          <w:rFonts w:hint="eastAsia" w:cs="宋体"/>
          <w:b/>
          <w:bCs/>
          <w:sz w:val="21"/>
          <w:szCs w:val="21"/>
        </w:rPr>
        <w:t xml:space="preserve">投标委托</w:t>
      </w:r>
      <w:r/>
    </w:p>
    <w:p>
      <w:pPr>
        <w:pStyle w:val="954"/>
        <w:numPr>
          <w:ilvl w:val="1"/>
          <w:numId w:val="7"/>
        </w:numPr>
        <w:spacing w:line="400" w:lineRule="exact"/>
        <w:tabs>
          <w:tab w:val="left" w:pos="851" w:leader="none"/>
        </w:tabs>
        <w:rPr>
          <w:rFonts w:hint="eastAsia" w:cs="宋体"/>
          <w:sz w:val="21"/>
          <w:szCs w:val="21"/>
        </w:rPr>
      </w:pPr>
      <w:r>
        <w:rPr>
          <w:rFonts w:hint="eastAsia" w:cs="宋体"/>
          <w:sz w:val="21"/>
          <w:szCs w:val="21"/>
        </w:rPr>
        <w:t xml:space="preserve">指全权代表投标人参加投标活动并签署投标文件的人，如果投标人代表不是法定代表人代表，须提供《法定代表人代表授权委托书》（详见统一格式）。</w:t>
      </w:r>
      <w:r/>
    </w:p>
    <w:p>
      <w:pPr>
        <w:pStyle w:val="954"/>
        <w:numPr>
          <w:ilvl w:val="0"/>
          <w:numId w:val="7"/>
        </w:numPr>
        <w:ind w:left="540" w:hanging="540"/>
        <w:spacing w:line="400" w:lineRule="exact"/>
        <w:tabs>
          <w:tab w:val="left" w:pos="540" w:leader="none"/>
          <w:tab w:val="left" w:pos="709" w:leader="none"/>
        </w:tabs>
        <w:rPr>
          <w:rFonts w:hint="eastAsia" w:cs="宋体"/>
          <w:b/>
          <w:bCs/>
          <w:sz w:val="21"/>
          <w:szCs w:val="21"/>
        </w:rPr>
      </w:pPr>
      <w:r>
        <w:rPr>
          <w:rFonts w:hint="eastAsia" w:cs="宋体"/>
          <w:b/>
          <w:bCs/>
          <w:sz w:val="21"/>
          <w:szCs w:val="21"/>
        </w:rPr>
        <w:t xml:space="preserve">投标费用</w:t>
      </w:r>
      <w:r/>
    </w:p>
    <w:p>
      <w:pPr>
        <w:pStyle w:val="954"/>
        <w:numPr>
          <w:ilvl w:val="1"/>
          <w:numId w:val="7"/>
        </w:numPr>
        <w:spacing w:line="400" w:lineRule="exact"/>
        <w:tabs>
          <w:tab w:val="left" w:pos="851" w:leader="none"/>
        </w:tabs>
        <w:rPr>
          <w:rFonts w:hint="eastAsia" w:cs="宋体"/>
          <w:sz w:val="21"/>
          <w:szCs w:val="21"/>
        </w:rPr>
      </w:pPr>
      <w:r>
        <w:rPr>
          <w:rFonts w:hint="eastAsia" w:cs="宋体"/>
          <w:sz w:val="21"/>
          <w:szCs w:val="21"/>
        </w:rPr>
        <w:t xml:space="preserve">无论投标过程的做法和结果如何，投标人自行承担所有与参加投标有关的全部费用。</w:t>
      </w:r>
      <w:r/>
    </w:p>
    <w:p>
      <w:pPr>
        <w:pStyle w:val="954"/>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联合投标</w:t>
      </w:r>
      <w:r/>
    </w:p>
    <w:p>
      <w:pPr>
        <w:pStyle w:val="954"/>
        <w:numPr>
          <w:ilvl w:val="1"/>
          <w:numId w:val="7"/>
        </w:numPr>
        <w:ind w:left="540" w:hanging="540"/>
        <w:spacing w:line="400" w:lineRule="exact"/>
        <w:tabs>
          <w:tab w:val="left" w:pos="540" w:leader="none"/>
          <w:tab w:val="left" w:pos="851" w:leader="none"/>
        </w:tabs>
        <w:rPr>
          <w:rFonts w:hint="eastAsia" w:cs="宋体"/>
          <w:sz w:val="21"/>
          <w:szCs w:val="21"/>
        </w:rPr>
      </w:pPr>
      <w:r>
        <w:rPr>
          <w:rFonts w:hint="eastAsia" w:cs="宋体"/>
          <w:sz w:val="21"/>
          <w:szCs w:val="21"/>
        </w:rPr>
        <w:t xml:space="preserve">本项目不接受联合体投标。</w:t>
      </w:r>
      <w:r/>
    </w:p>
    <w:p>
      <w:pPr>
        <w:pStyle w:val="954"/>
        <w:numPr>
          <w:ilvl w:val="0"/>
          <w:numId w:val="5"/>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招标文件的说明</w:t>
      </w:r>
      <w:r/>
    </w:p>
    <w:p>
      <w:pPr>
        <w:pStyle w:val="954"/>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招标文件</w:t>
      </w:r>
      <w:r/>
    </w:p>
    <w:p>
      <w:pPr>
        <w:pStyle w:val="954"/>
        <w:numPr>
          <w:ilvl w:val="1"/>
          <w:numId w:val="7"/>
        </w:numPr>
        <w:ind w:left="540" w:hanging="540"/>
        <w:spacing w:line="400" w:lineRule="exact"/>
        <w:tabs>
          <w:tab w:val="left" w:pos="540" w:leader="none"/>
          <w:tab w:val="left" w:pos="851" w:leader="none"/>
        </w:tabs>
        <w:rPr>
          <w:rFonts w:hint="eastAsia" w:cs="宋体"/>
          <w:sz w:val="21"/>
          <w:szCs w:val="21"/>
        </w:rPr>
      </w:pPr>
      <w:r>
        <w:rPr>
          <w:rFonts w:hint="eastAsia"/>
          <w:sz w:val="21"/>
          <w:szCs w:val="21"/>
        </w:rPr>
        <w:t xml:space="preserve">招标文件由招标文件目录所列内容组成，</w:t>
      </w:r>
      <w:r>
        <w:rPr>
          <w:sz w:val="21"/>
          <w:szCs w:val="21"/>
        </w:rPr>
        <w:t xml:space="preserve">投标人</w:t>
      </w:r>
      <w:r>
        <w:rPr>
          <w:rFonts w:hint="eastAsia"/>
          <w:sz w:val="21"/>
          <w:szCs w:val="21"/>
        </w:rPr>
        <w:t xml:space="preserve">依法获取</w:t>
      </w:r>
      <w:r>
        <w:rPr>
          <w:sz w:val="21"/>
          <w:szCs w:val="21"/>
        </w:rPr>
        <w:t xml:space="preserve">招标文件后，应仔细检查招标文件的所有内容，如有残缺等问题应在</w:t>
      </w:r>
      <w:r>
        <w:rPr>
          <w:rFonts w:hint="eastAsia"/>
          <w:sz w:val="21"/>
          <w:szCs w:val="21"/>
        </w:rPr>
        <w:t xml:space="preserve">获取</w:t>
      </w:r>
      <w:r>
        <w:rPr>
          <w:sz w:val="21"/>
          <w:szCs w:val="21"/>
        </w:rPr>
        <w:t xml:space="preserve">招标文件</w:t>
      </w:r>
      <w:r>
        <w:rPr>
          <w:rFonts w:hint="eastAsia"/>
          <w:sz w:val="21"/>
          <w:szCs w:val="21"/>
        </w:rPr>
        <w:t xml:space="preserve">规定时间</w:t>
      </w:r>
      <w:r>
        <w:rPr>
          <w:sz w:val="21"/>
          <w:szCs w:val="21"/>
        </w:rPr>
        <w:t xml:space="preserve">内向招标采购单位提出，否则，由此</w:t>
      </w:r>
      <w:r>
        <w:rPr>
          <w:rFonts w:hint="eastAsia"/>
          <w:sz w:val="21"/>
          <w:szCs w:val="21"/>
        </w:rPr>
        <w:t xml:space="preserve">产生</w:t>
      </w:r>
      <w:r>
        <w:rPr>
          <w:sz w:val="21"/>
          <w:szCs w:val="21"/>
        </w:rPr>
        <w:t xml:space="preserve">的</w:t>
      </w:r>
      <w:r>
        <w:rPr>
          <w:rFonts w:hint="eastAsia"/>
          <w:sz w:val="21"/>
          <w:szCs w:val="21"/>
        </w:rPr>
        <w:t xml:space="preserve">影响</w:t>
      </w:r>
      <w:r>
        <w:rPr>
          <w:sz w:val="21"/>
          <w:szCs w:val="21"/>
        </w:rPr>
        <w:t xml:space="preserve">由投标人自己承担。投标人同时应认真审阅招标文件中所有的事项、格式、条款和规范要求等，若投标人的投标文件没有按招标文件要求提交全部资料，或投标文件没有对招标文件做出实质性响应，其风险由投标人自行</w:t>
      </w:r>
      <w:r>
        <w:rPr>
          <w:sz w:val="21"/>
          <w:szCs w:val="21"/>
        </w:rPr>
        <w:t xml:space="preserve">承担，并根据有关条款规定，该投标有可能被拒绝</w:t>
      </w:r>
      <w:r>
        <w:rPr>
          <w:rFonts w:hint="eastAsia" w:cs="宋体"/>
          <w:sz w:val="21"/>
          <w:szCs w:val="21"/>
        </w:rPr>
        <w:t xml:space="preserve">。</w:t>
      </w:r>
      <w:r/>
    </w:p>
    <w:p>
      <w:pPr>
        <w:pStyle w:val="954"/>
        <w:numPr>
          <w:ilvl w:val="1"/>
          <w:numId w:val="7"/>
        </w:numPr>
        <w:ind w:left="540" w:hanging="540"/>
        <w:spacing w:line="400" w:lineRule="exact"/>
        <w:tabs>
          <w:tab w:val="left" w:pos="540" w:leader="none"/>
          <w:tab w:val="left" w:pos="851" w:leader="none"/>
        </w:tabs>
        <w:rPr>
          <w:rFonts w:hint="eastAsia" w:cs="宋体"/>
          <w:sz w:val="21"/>
          <w:szCs w:val="21"/>
        </w:rPr>
      </w:pPr>
      <w:r>
        <w:rPr>
          <w:rFonts w:hint="eastAsia"/>
          <w:sz w:val="21"/>
          <w:szCs w:val="21"/>
        </w:rPr>
        <w:t xml:space="preserve">招标文件及其更正文件不是直接依法获取的，招标采购单位对招标文件及其补遗的真实性、完整性不承担任何责任</w:t>
      </w:r>
      <w:r>
        <w:rPr>
          <w:rFonts w:hint="eastAsia" w:cs="宋体"/>
          <w:sz w:val="21"/>
          <w:szCs w:val="21"/>
        </w:rPr>
        <w:t xml:space="preserve">。</w:t>
      </w:r>
      <w:r/>
    </w:p>
    <w:p>
      <w:pPr>
        <w:pStyle w:val="954"/>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现场考察</w:t>
      </w:r>
      <w:r/>
    </w:p>
    <w:p>
      <w:pPr>
        <w:pStyle w:val="954"/>
        <w:numPr>
          <w:ilvl w:val="1"/>
          <w:numId w:val="7"/>
        </w:numPr>
        <w:ind w:left="540" w:hanging="540"/>
        <w:spacing w:line="400" w:lineRule="exact"/>
        <w:tabs>
          <w:tab w:val="left" w:pos="540" w:leader="none"/>
          <w:tab w:val="left" w:pos="851" w:leader="none"/>
        </w:tabs>
        <w:rPr>
          <w:rFonts w:hint="eastAsia" w:cs="宋体"/>
          <w:sz w:val="21"/>
          <w:szCs w:val="21"/>
        </w:rPr>
      </w:pPr>
      <w:r>
        <w:rPr>
          <w:rFonts w:hint="eastAsia" w:cs="宋体"/>
          <w:sz w:val="21"/>
          <w:szCs w:val="21"/>
        </w:rPr>
        <w:t xml:space="preserve">投标人自行对有关现场和周围环境进行考察，以获取编制投标文件和签署合同所需的信息。考察现场所发生的费用由投标人自己承担。如因未考察而造成的一切损失由投标人自行承担。</w:t>
      </w:r>
      <w:r/>
    </w:p>
    <w:p>
      <w:pPr>
        <w:pStyle w:val="954"/>
        <w:numPr>
          <w:ilvl w:val="1"/>
          <w:numId w:val="7"/>
        </w:numPr>
        <w:ind w:left="540" w:hanging="540"/>
        <w:spacing w:line="400" w:lineRule="exact"/>
        <w:tabs>
          <w:tab w:val="left" w:pos="540" w:leader="none"/>
          <w:tab w:val="left" w:pos="851" w:leader="none"/>
        </w:tabs>
        <w:rPr>
          <w:rFonts w:hint="eastAsia" w:cs="宋体"/>
          <w:sz w:val="21"/>
          <w:szCs w:val="21"/>
        </w:rPr>
      </w:pPr>
      <w:r>
        <w:rPr>
          <w:rFonts w:hint="eastAsia" w:cs="宋体"/>
          <w:sz w:val="21"/>
          <w:szCs w:val="21"/>
        </w:rPr>
        <w:t xml:space="preserve">投标人可向招标采购单位索要有关现场的资料和数据，但招标采购单位对所提供的资料和数据不承担任何责任。投标人因提供的资料和数据而做出的推论、理解和结论招标采购单位概不负责。</w:t>
      </w:r>
      <w:r/>
    </w:p>
    <w:p>
      <w:pPr>
        <w:pStyle w:val="954"/>
        <w:numPr>
          <w:ilvl w:val="1"/>
          <w:numId w:val="7"/>
        </w:numPr>
        <w:ind w:left="540" w:hanging="540"/>
        <w:spacing w:line="400" w:lineRule="exact"/>
        <w:tabs>
          <w:tab w:val="left" w:pos="540" w:leader="none"/>
          <w:tab w:val="left" w:pos="851" w:leader="none"/>
        </w:tabs>
        <w:rPr>
          <w:rFonts w:hint="eastAsia" w:cs="宋体"/>
          <w:bCs/>
          <w:sz w:val="21"/>
          <w:szCs w:val="21"/>
        </w:rPr>
      </w:pPr>
      <w:r>
        <w:rPr>
          <w:rFonts w:hint="eastAsia" w:cs="宋体"/>
          <w:sz w:val="21"/>
          <w:szCs w:val="21"/>
        </w:rPr>
        <w:t xml:space="preserve">投标人可为考察目的进入招标采购单</w:t>
      </w:r>
      <w:r>
        <w:rPr>
          <w:rFonts w:hint="eastAsia" w:cs="宋体"/>
          <w:sz w:val="21"/>
          <w:szCs w:val="21"/>
        </w:rPr>
        <w:t xml:space="preserve">位的项目现场，但投标人不得因此使招标采购单位承担有关的责任和蒙受损失。投标人应承担考察现场的责任和风险。</w:t>
      </w:r>
      <w:r>
        <w:rPr>
          <w:rFonts w:hint="eastAsia" w:cs="宋体"/>
          <w:bCs/>
          <w:sz w:val="21"/>
          <w:szCs w:val="21"/>
        </w:rPr>
      </w:r>
      <w:r/>
    </w:p>
    <w:p>
      <w:pPr>
        <w:pStyle w:val="954"/>
        <w:numPr>
          <w:ilvl w:val="1"/>
          <w:numId w:val="7"/>
        </w:numPr>
        <w:ind w:left="540" w:hanging="540"/>
        <w:spacing w:line="400" w:lineRule="exact"/>
        <w:tabs>
          <w:tab w:val="left" w:pos="540" w:leader="none"/>
          <w:tab w:val="left" w:pos="851" w:leader="none"/>
        </w:tabs>
        <w:rPr>
          <w:rFonts w:hint="eastAsia" w:cs="宋体"/>
          <w:bCs/>
          <w:sz w:val="21"/>
          <w:szCs w:val="21"/>
        </w:rPr>
      </w:pPr>
      <w:r>
        <w:rPr>
          <w:rFonts w:hint="eastAsia" w:cs="宋体"/>
          <w:sz w:val="21"/>
          <w:szCs w:val="21"/>
        </w:rPr>
        <w:t xml:space="preserve">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rFonts w:hint="eastAsia" w:cs="宋体"/>
          <w:bCs/>
          <w:sz w:val="21"/>
          <w:szCs w:val="21"/>
        </w:rPr>
      </w:r>
      <w:r/>
    </w:p>
    <w:p>
      <w:pPr>
        <w:pStyle w:val="954"/>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招标文件的澄清和修改</w:t>
      </w:r>
      <w:r/>
    </w:p>
    <w:p>
      <w:pPr>
        <w:pStyle w:val="954"/>
        <w:numPr>
          <w:ilvl w:val="1"/>
          <w:numId w:val="7"/>
        </w:numPr>
        <w:ind w:left="540" w:hanging="540"/>
        <w:spacing w:line="400" w:lineRule="exact"/>
        <w:tabs>
          <w:tab w:val="left" w:pos="540" w:leader="none"/>
          <w:tab w:val="left" w:pos="851" w:leader="none"/>
        </w:tabs>
        <w:rPr>
          <w:rFonts w:hint="eastAsia" w:cs="宋体"/>
          <w:bCs/>
          <w:sz w:val="21"/>
          <w:szCs w:val="21"/>
        </w:rPr>
      </w:pPr>
      <w:r>
        <w:rPr>
          <w:rFonts w:hint="eastAsia"/>
          <w:sz w:val="21"/>
          <w:szCs w:val="21"/>
        </w:rPr>
        <w:t xml:space="preserve">投标人在获取招标文件后，若有疑问，应于</w:t>
      </w:r>
      <w:bookmarkStart w:id="10" w:name="_Hlk159337758"/>
      <w:r>
        <w:rPr>
          <w:rFonts w:hint="eastAsia"/>
          <w:sz w:val="21"/>
          <w:szCs w:val="21"/>
        </w:rPr>
        <w:t xml:space="preserve">投标截止时间</w:t>
      </w:r>
      <w:bookmarkEnd w:id="10"/>
      <w:r>
        <w:rPr>
          <w:rFonts w:hint="eastAsia"/>
          <w:sz w:val="21"/>
          <w:szCs w:val="21"/>
        </w:rPr>
        <w:t xml:space="preserve">之前，向采购代理机构提出，采购代理机构将予以解答</w:t>
      </w:r>
      <w:r>
        <w:rPr>
          <w:rFonts w:hint="eastAsia" w:cs="宋体"/>
          <w:bCs/>
          <w:sz w:val="21"/>
          <w:szCs w:val="21"/>
        </w:rPr>
        <w:t xml:space="preserve">。</w:t>
      </w:r>
      <w:r/>
    </w:p>
    <w:p>
      <w:pPr>
        <w:pStyle w:val="954"/>
        <w:numPr>
          <w:ilvl w:val="1"/>
          <w:numId w:val="7"/>
        </w:numPr>
        <w:ind w:left="540" w:hanging="540"/>
        <w:spacing w:line="400" w:lineRule="exact"/>
        <w:tabs>
          <w:tab w:val="left" w:pos="540" w:leader="none"/>
          <w:tab w:val="left" w:pos="851" w:leader="none"/>
        </w:tabs>
        <w:rPr>
          <w:rFonts w:hint="eastAsia"/>
          <w:bCs/>
          <w:sz w:val="21"/>
          <w:szCs w:val="21"/>
        </w:rPr>
      </w:pPr>
      <w:r>
        <w:rPr>
          <w:sz w:val="21"/>
          <w:szCs w:val="21"/>
        </w:rPr>
        <w:t xml:space="preserve">如有必要，问题答复将以“变更公告”形式由采</w:t>
      </w:r>
      <w:r>
        <w:rPr>
          <w:sz w:val="21"/>
          <w:szCs w:val="21"/>
        </w:rPr>
        <w:t xml:space="preserve">购代理机构按照本须知第11.7条的规定发出</w:t>
      </w:r>
      <w:r>
        <w:rPr>
          <w:rFonts w:hint="eastAsia"/>
          <w:bCs/>
          <w:sz w:val="21"/>
          <w:szCs w:val="21"/>
        </w:rPr>
        <w:t xml:space="preserve">。</w:t>
      </w:r>
      <w:r/>
    </w:p>
    <w:p>
      <w:pPr>
        <w:pStyle w:val="954"/>
        <w:numPr>
          <w:ilvl w:val="1"/>
          <w:numId w:val="7"/>
        </w:numPr>
        <w:ind w:left="540" w:hanging="540"/>
        <w:spacing w:line="400" w:lineRule="exact"/>
        <w:tabs>
          <w:tab w:val="left" w:pos="540" w:leader="none"/>
          <w:tab w:val="left" w:pos="851" w:leader="none"/>
        </w:tabs>
        <w:rPr>
          <w:rFonts w:hint="eastAsia"/>
          <w:bCs/>
          <w:sz w:val="21"/>
          <w:szCs w:val="21"/>
        </w:rPr>
      </w:pPr>
      <w:r>
        <w:rPr>
          <w:rFonts w:hint="eastAsia"/>
          <w:sz w:val="21"/>
          <w:szCs w:val="21"/>
        </w:rPr>
        <w:t xml:space="preserve">迟于前附表规定的询问和提交的疑问</w:t>
      </w:r>
      <w:r>
        <w:rPr>
          <w:rFonts w:hint="eastAsia"/>
          <w:bCs/>
          <w:sz w:val="21"/>
          <w:szCs w:val="21"/>
        </w:rPr>
        <w:t xml:space="preserve">，采购人和采购代理机构有权拒绝回答，也不承担由此带来的对投标人投标结果的影响。</w:t>
      </w:r>
      <w:r/>
    </w:p>
    <w:p>
      <w:pPr>
        <w:pStyle w:val="954"/>
        <w:numPr>
          <w:ilvl w:val="1"/>
          <w:numId w:val="7"/>
        </w:numPr>
        <w:ind w:left="540" w:hanging="540"/>
        <w:spacing w:line="400" w:lineRule="exact"/>
        <w:tabs>
          <w:tab w:val="left" w:pos="540" w:leader="none"/>
          <w:tab w:val="left" w:pos="851" w:leader="none"/>
        </w:tabs>
        <w:rPr>
          <w:rFonts w:hint="eastAsia"/>
          <w:bCs/>
          <w:sz w:val="21"/>
          <w:szCs w:val="21"/>
        </w:rPr>
      </w:pPr>
      <w:r>
        <w:rPr>
          <w:rFonts w:hint="eastAsia"/>
          <w:sz w:val="21"/>
          <w:szCs w:val="21"/>
        </w:rPr>
        <w:t xml:space="preserve">在投标截止时间</w:t>
      </w:r>
      <w:r>
        <w:rPr>
          <w:rFonts w:hint="eastAsia"/>
          <w:bCs/>
          <w:sz w:val="21"/>
          <w:szCs w:val="21"/>
        </w:rPr>
        <w:t xml:space="preserve">15日前，招标采购单位无论出于自己的考虑，还是出于对投标人提问的澄清，均可</w:t>
      </w:r>
      <w:r>
        <w:rPr>
          <w:bCs/>
          <w:sz w:val="21"/>
          <w:szCs w:val="21"/>
        </w:rPr>
        <w:t xml:space="preserve">对已发出的招标文件进行必要澄清或者修改</w:t>
      </w:r>
      <w:r>
        <w:rPr>
          <w:rFonts w:hint="eastAsia"/>
          <w:bCs/>
          <w:sz w:val="21"/>
          <w:szCs w:val="21"/>
        </w:rPr>
        <w:t xml:space="preserve">。</w:t>
      </w:r>
      <w:r/>
    </w:p>
    <w:p>
      <w:pPr>
        <w:pStyle w:val="954"/>
        <w:numPr>
          <w:ilvl w:val="1"/>
          <w:numId w:val="7"/>
        </w:numPr>
        <w:ind w:left="540" w:hanging="540"/>
        <w:spacing w:line="400" w:lineRule="exact"/>
        <w:tabs>
          <w:tab w:val="left" w:pos="540" w:leader="none"/>
          <w:tab w:val="left" w:pos="851" w:leader="none"/>
        </w:tabs>
        <w:rPr>
          <w:rFonts w:hint="eastAsia"/>
          <w:sz w:val="21"/>
          <w:szCs w:val="21"/>
        </w:rPr>
      </w:pPr>
      <w:r>
        <w:rPr>
          <w:rFonts w:hint="eastAsia"/>
          <w:bCs/>
          <w:sz w:val="21"/>
          <w:szCs w:val="21"/>
        </w:rPr>
        <w:t xml:space="preserve">为使投标人有足够的时间按招标文件的修改要求考虑修正投标文件，或出于其他原因，</w:t>
      </w:r>
      <w:r>
        <w:rPr>
          <w:rFonts w:hint="eastAsia"/>
          <w:sz w:val="21"/>
          <w:szCs w:val="21"/>
        </w:rPr>
        <w:t xml:space="preserve">招标采购单位有权推迟投标截止日期和开标日期</w:t>
      </w:r>
      <w:r>
        <w:rPr>
          <w:rFonts w:hint="eastAsia"/>
          <w:bCs/>
          <w:sz w:val="21"/>
          <w:szCs w:val="21"/>
        </w:rPr>
        <w:t xml:space="preserve">，并将此变更以补充通知的形式在网上发布公告。</w:t>
      </w:r>
      <w:r>
        <w:rPr>
          <w:rFonts w:hint="eastAsia"/>
          <w:sz w:val="21"/>
          <w:szCs w:val="21"/>
        </w:rPr>
      </w:r>
      <w:r/>
    </w:p>
    <w:p>
      <w:pPr>
        <w:pStyle w:val="954"/>
        <w:numPr>
          <w:ilvl w:val="1"/>
          <w:numId w:val="7"/>
        </w:numPr>
        <w:ind w:left="540" w:hanging="540"/>
        <w:spacing w:line="400" w:lineRule="exact"/>
        <w:tabs>
          <w:tab w:val="left" w:pos="540" w:leader="none"/>
          <w:tab w:val="left" w:pos="851" w:leader="none"/>
        </w:tabs>
        <w:rPr>
          <w:rFonts w:hint="eastAsia"/>
          <w:sz w:val="21"/>
          <w:szCs w:val="21"/>
        </w:rPr>
      </w:pPr>
      <w:r>
        <w:rPr>
          <w:rFonts w:hint="eastAsia"/>
          <w:sz w:val="21"/>
          <w:szCs w:val="21"/>
        </w:rPr>
        <w:t xml:space="preserve">招标文件的更正</w:t>
      </w:r>
      <w:r>
        <w:rPr>
          <w:rFonts w:hint="eastAsia"/>
          <w:bCs/>
          <w:sz w:val="21"/>
          <w:szCs w:val="21"/>
        </w:rPr>
        <w:t xml:space="preserve">（含澄清、修改等）内容与原招标文件</w:t>
      </w:r>
      <w:r>
        <w:rPr>
          <w:bCs/>
          <w:sz w:val="21"/>
          <w:szCs w:val="21"/>
        </w:rPr>
        <w:t xml:space="preserve">在同一内容</w:t>
      </w:r>
      <w:r>
        <w:rPr>
          <w:rFonts w:hint="eastAsia"/>
          <w:bCs/>
          <w:sz w:val="21"/>
          <w:szCs w:val="21"/>
        </w:rPr>
        <w:t xml:space="preserve">上表</w:t>
      </w:r>
      <w:r>
        <w:rPr>
          <w:rFonts w:hint="eastAsia"/>
          <w:bCs/>
          <w:sz w:val="21"/>
          <w:szCs w:val="21"/>
        </w:rPr>
        <w:t xml:space="preserve">述不一致时，以发出日期最接近开标时间的公告为准。</w:t>
      </w:r>
      <w:r>
        <w:rPr>
          <w:rFonts w:hint="eastAsia"/>
          <w:sz w:val="21"/>
          <w:szCs w:val="21"/>
        </w:rPr>
      </w:r>
      <w:r/>
    </w:p>
    <w:p>
      <w:pPr>
        <w:pStyle w:val="954"/>
        <w:numPr>
          <w:ilvl w:val="1"/>
          <w:numId w:val="7"/>
        </w:numPr>
        <w:ind w:left="540" w:hanging="540"/>
        <w:spacing w:line="400" w:lineRule="exact"/>
        <w:tabs>
          <w:tab w:val="left" w:pos="540" w:leader="none"/>
          <w:tab w:val="left" w:pos="851" w:leader="none"/>
        </w:tabs>
        <w:rPr>
          <w:sz w:val="21"/>
          <w:szCs w:val="21"/>
        </w:rPr>
      </w:pPr>
      <w:r>
        <w:rPr>
          <w:rFonts w:hint="eastAsia"/>
          <w:sz w:val="21"/>
          <w:szCs w:val="21"/>
        </w:rPr>
        <w:t xml:space="preserve">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rPr>
          <w:sz w:val="21"/>
          <w:szCs w:val="21"/>
        </w:rPr>
      </w:r>
      <w:r/>
    </w:p>
    <w:p>
      <w:pPr>
        <w:pStyle w:val="954"/>
        <w:numPr>
          <w:ilvl w:val="1"/>
          <w:numId w:val="7"/>
        </w:numPr>
        <w:ind w:left="540" w:hanging="540"/>
        <w:spacing w:line="400" w:lineRule="exact"/>
        <w:tabs>
          <w:tab w:val="left" w:pos="540" w:leader="none"/>
          <w:tab w:val="left" w:pos="851" w:leader="none"/>
        </w:tabs>
        <w:rPr>
          <w:sz w:val="21"/>
          <w:szCs w:val="21"/>
        </w:rPr>
      </w:pPr>
      <w:r>
        <w:rPr>
          <w:rFonts w:hint="eastAsia"/>
          <w:sz w:val="21"/>
          <w:szCs w:val="21"/>
        </w:rPr>
        <w:t xml:space="preserve">招标文件若有最新的答疑文件，投标供应商必须下载并使用该文件制作新的电子投标文件，否则将无法完成电子投标文件的上传及投标。</w:t>
      </w:r>
      <w:r>
        <w:rPr>
          <w:sz w:val="21"/>
          <w:szCs w:val="21"/>
        </w:rPr>
      </w:r>
      <w:r/>
    </w:p>
    <w:p>
      <w:pPr>
        <w:pStyle w:val="954"/>
        <w:numPr>
          <w:ilvl w:val="0"/>
          <w:numId w:val="7"/>
        </w:numPr>
        <w:ind w:left="540" w:hanging="540"/>
        <w:spacing w:line="400" w:lineRule="exact"/>
        <w:tabs>
          <w:tab w:val="left" w:pos="540" w:leader="none"/>
          <w:tab w:val="left" w:pos="709" w:leader="none"/>
        </w:tabs>
        <w:rPr>
          <w:rFonts w:cs="宋体"/>
          <w:b/>
          <w:sz w:val="21"/>
          <w:szCs w:val="21"/>
        </w:rPr>
      </w:pPr>
      <w:r>
        <w:rPr>
          <w:rFonts w:cs="宋体"/>
          <w:b/>
          <w:sz w:val="21"/>
          <w:szCs w:val="21"/>
        </w:rPr>
        <w:t xml:space="preserve">质疑</w:t>
      </w:r>
      <w:r/>
    </w:p>
    <w:p>
      <w:pPr>
        <w:pStyle w:val="954"/>
        <w:numPr>
          <w:ilvl w:val="1"/>
          <w:numId w:val="7"/>
        </w:numPr>
        <w:ind w:left="540" w:hanging="540"/>
        <w:spacing w:line="400" w:lineRule="exact"/>
        <w:tabs>
          <w:tab w:val="left" w:pos="540" w:leader="none"/>
          <w:tab w:val="left" w:pos="851" w:leader="none"/>
        </w:tabs>
        <w:rPr>
          <w:sz w:val="21"/>
          <w:szCs w:val="21"/>
        </w:rPr>
      </w:pPr>
      <w:r>
        <w:rPr>
          <w:sz w:val="21"/>
          <w:szCs w:val="21"/>
        </w:rPr>
        <w:t xml:space="preserve">供应商认为采购文件使自己的权益受到损害的，可以在知道或者应知其权益受到损害之日起七个工作日内，以书面形式向采购人提出质疑。</w:t>
      </w:r>
      <w:r>
        <w:rPr>
          <w:sz w:val="21"/>
          <w:szCs w:val="21"/>
        </w:rPr>
        <w:t xml:space="preserve">采购人应当在收到供应商书面质疑函后七个工作日内作出答复</w:t>
      </w:r>
      <w:r>
        <w:rPr>
          <w:rFonts w:hint="eastAsia"/>
          <w:sz w:val="21"/>
          <w:szCs w:val="21"/>
        </w:rPr>
        <w:t xml:space="preserve">。</w:t>
      </w:r>
      <w:r>
        <w:rPr>
          <w:sz w:val="21"/>
          <w:szCs w:val="21"/>
        </w:rPr>
      </w:r>
      <w:r/>
    </w:p>
    <w:p>
      <w:pPr>
        <w:pStyle w:val="954"/>
        <w:numPr>
          <w:ilvl w:val="1"/>
          <w:numId w:val="7"/>
        </w:numPr>
        <w:ind w:left="540" w:hanging="540"/>
        <w:spacing w:line="400" w:lineRule="exact"/>
        <w:tabs>
          <w:tab w:val="left" w:pos="540" w:leader="none"/>
          <w:tab w:val="left" w:pos="851" w:leader="none"/>
        </w:tabs>
        <w:rPr>
          <w:sz w:val="21"/>
          <w:szCs w:val="21"/>
        </w:rPr>
      </w:pPr>
      <w:r>
        <w:rPr>
          <w:sz w:val="21"/>
          <w:szCs w:val="21"/>
        </w:rPr>
        <w:t xml:space="preserve">提出质疑的供应商应当是参与所质疑项目采购活动的供应商，未参加投标活动的供应商或在投标活动中自身权益未受到损害的供应商所提出的质疑不予受理。</w:t>
      </w:r>
      <w:r/>
    </w:p>
    <w:p>
      <w:pPr>
        <w:pStyle w:val="954"/>
        <w:numPr>
          <w:ilvl w:val="1"/>
          <w:numId w:val="7"/>
        </w:numPr>
        <w:ind w:left="540" w:hanging="540"/>
        <w:spacing w:line="400" w:lineRule="exact"/>
        <w:tabs>
          <w:tab w:val="left" w:pos="540" w:leader="none"/>
          <w:tab w:val="left" w:pos="851" w:leader="none"/>
        </w:tabs>
        <w:rPr>
          <w:sz w:val="21"/>
          <w:szCs w:val="21"/>
        </w:rPr>
      </w:pPr>
      <w:r>
        <w:rPr>
          <w:sz w:val="21"/>
          <w:szCs w:val="21"/>
        </w:rPr>
        <w:t xml:space="preserve">上述应知其权益受到损害之日是指：</w:t>
      </w:r>
      <w:r/>
    </w:p>
    <w:p>
      <w:pPr>
        <w:pStyle w:val="954"/>
        <w:spacing w:line="400" w:lineRule="exact"/>
        <w:tabs>
          <w:tab w:val="left" w:pos="540" w:leader="none"/>
        </w:tabs>
        <w:rPr>
          <w:sz w:val="21"/>
          <w:szCs w:val="21"/>
        </w:rPr>
      </w:pPr>
      <w:r>
        <w:rPr>
          <w:sz w:val="21"/>
          <w:szCs w:val="21"/>
        </w:rPr>
        <w:t xml:space="preserve">12.3.1对采购文件提出质疑的，为获取采购文件或者采购文件公告期限届满之日起计算；</w:t>
      </w:r>
      <w:r/>
    </w:p>
    <w:p>
      <w:pPr>
        <w:pStyle w:val="954"/>
        <w:spacing w:line="400" w:lineRule="exact"/>
        <w:tabs>
          <w:tab w:val="left" w:pos="540" w:leader="none"/>
        </w:tabs>
        <w:rPr>
          <w:sz w:val="21"/>
          <w:szCs w:val="21"/>
        </w:rPr>
      </w:pPr>
      <w:r>
        <w:rPr>
          <w:sz w:val="21"/>
          <w:szCs w:val="21"/>
        </w:rPr>
        <w:t xml:space="preserve">12.3.2对采购过程提出质疑的，自采购程序环节结束之日起计算；</w:t>
      </w:r>
      <w:r/>
    </w:p>
    <w:p>
      <w:pPr>
        <w:pStyle w:val="954"/>
        <w:spacing w:line="400" w:lineRule="exact"/>
        <w:tabs>
          <w:tab w:val="left" w:pos="540" w:leader="none"/>
        </w:tabs>
        <w:rPr>
          <w:sz w:val="21"/>
          <w:szCs w:val="21"/>
        </w:rPr>
      </w:pPr>
      <w:r>
        <w:rPr>
          <w:sz w:val="21"/>
          <w:szCs w:val="21"/>
        </w:rPr>
        <w:t xml:space="preserve">12.3.3对中标结果提出质疑的，自中标结果公告期限届满之日起计算。</w:t>
      </w:r>
      <w:r/>
    </w:p>
    <w:p>
      <w:pPr>
        <w:pStyle w:val="954"/>
        <w:numPr>
          <w:ilvl w:val="1"/>
          <w:numId w:val="7"/>
        </w:numPr>
        <w:ind w:left="540" w:hanging="540"/>
        <w:spacing w:line="400" w:lineRule="exact"/>
        <w:tabs>
          <w:tab w:val="left" w:pos="540" w:leader="none"/>
          <w:tab w:val="left" w:pos="851" w:leader="none"/>
        </w:tabs>
        <w:rPr>
          <w:sz w:val="21"/>
          <w:szCs w:val="21"/>
        </w:rPr>
      </w:pPr>
      <w:r>
        <w:rPr>
          <w:sz w:val="21"/>
          <w:szCs w:val="21"/>
        </w:rPr>
        <w:t xml:space="preserve">供应商提出质疑应当提交质疑函和必要的证明材料。质疑函应当包括下列内容：</w:t>
      </w:r>
      <w:r/>
    </w:p>
    <w:p>
      <w:pPr>
        <w:pStyle w:val="954"/>
        <w:spacing w:line="400" w:lineRule="exact"/>
        <w:tabs>
          <w:tab w:val="left" w:pos="540" w:leader="none"/>
        </w:tabs>
        <w:rPr>
          <w:sz w:val="21"/>
          <w:szCs w:val="21"/>
        </w:rPr>
      </w:pPr>
      <w:r>
        <w:rPr>
          <w:sz w:val="21"/>
          <w:szCs w:val="21"/>
        </w:rPr>
        <w:t xml:space="preserve">12.4.1 供应商的姓名或者名称、地址、邮编、联系人及联系电话；</w:t>
      </w:r>
      <w:r/>
    </w:p>
    <w:p>
      <w:pPr>
        <w:pStyle w:val="954"/>
        <w:spacing w:line="400" w:lineRule="exact"/>
        <w:tabs>
          <w:tab w:val="left" w:pos="540" w:leader="none"/>
        </w:tabs>
        <w:rPr>
          <w:sz w:val="21"/>
          <w:szCs w:val="21"/>
        </w:rPr>
      </w:pPr>
      <w:r>
        <w:rPr>
          <w:sz w:val="21"/>
          <w:szCs w:val="21"/>
        </w:rPr>
        <w:t xml:space="preserve">12.4.2 质疑项目的名称、编号；</w:t>
      </w:r>
      <w:r/>
    </w:p>
    <w:p>
      <w:pPr>
        <w:pStyle w:val="954"/>
        <w:spacing w:line="400" w:lineRule="exact"/>
        <w:tabs>
          <w:tab w:val="left" w:pos="540" w:leader="none"/>
        </w:tabs>
        <w:rPr>
          <w:sz w:val="21"/>
          <w:szCs w:val="21"/>
        </w:rPr>
      </w:pPr>
      <w:r>
        <w:rPr>
          <w:sz w:val="21"/>
          <w:szCs w:val="21"/>
        </w:rPr>
        <w:t xml:space="preserve">12.4.3 具体、明确的质疑事项和与质疑事项相关的请求；</w:t>
      </w:r>
      <w:r/>
    </w:p>
    <w:p>
      <w:pPr>
        <w:pStyle w:val="954"/>
        <w:spacing w:line="400" w:lineRule="exact"/>
        <w:tabs>
          <w:tab w:val="left" w:pos="540" w:leader="none"/>
        </w:tabs>
        <w:rPr>
          <w:sz w:val="21"/>
          <w:szCs w:val="21"/>
        </w:rPr>
      </w:pPr>
      <w:r>
        <w:rPr>
          <w:sz w:val="21"/>
          <w:szCs w:val="21"/>
        </w:rPr>
        <w:t xml:space="preserve">12.4.4 事实依据；</w:t>
      </w:r>
      <w:r/>
    </w:p>
    <w:p>
      <w:pPr>
        <w:pStyle w:val="954"/>
        <w:spacing w:line="400" w:lineRule="exact"/>
        <w:tabs>
          <w:tab w:val="left" w:pos="540" w:leader="none"/>
        </w:tabs>
        <w:rPr>
          <w:sz w:val="21"/>
          <w:szCs w:val="21"/>
        </w:rPr>
      </w:pPr>
      <w:r>
        <w:rPr>
          <w:sz w:val="21"/>
          <w:szCs w:val="21"/>
        </w:rPr>
        <w:t xml:space="preserve">12.4.5 必要的法律依据；</w:t>
      </w:r>
      <w:r/>
    </w:p>
    <w:p>
      <w:pPr>
        <w:pStyle w:val="954"/>
        <w:spacing w:line="400" w:lineRule="exact"/>
        <w:tabs>
          <w:tab w:val="left" w:pos="540" w:leader="none"/>
        </w:tabs>
        <w:rPr>
          <w:sz w:val="21"/>
          <w:szCs w:val="21"/>
        </w:rPr>
      </w:pPr>
      <w:r>
        <w:rPr>
          <w:sz w:val="21"/>
          <w:szCs w:val="21"/>
        </w:rPr>
        <w:t xml:space="preserve">12.4.6 提出质疑的日期。</w:t>
      </w:r>
      <w:r/>
    </w:p>
    <w:p>
      <w:pPr>
        <w:pStyle w:val="954"/>
        <w:numPr>
          <w:ilvl w:val="1"/>
          <w:numId w:val="7"/>
        </w:numPr>
        <w:ind w:left="540" w:hanging="540"/>
        <w:spacing w:line="400" w:lineRule="exact"/>
        <w:tabs>
          <w:tab w:val="left" w:pos="540" w:leader="none"/>
          <w:tab w:val="left" w:pos="851" w:leader="none"/>
        </w:tabs>
        <w:rPr>
          <w:sz w:val="21"/>
          <w:szCs w:val="21"/>
        </w:rPr>
      </w:pPr>
      <w:r>
        <w:rPr>
          <w:sz w:val="21"/>
          <w:szCs w:val="21"/>
        </w:rPr>
        <w:t xml:space="preserve">质疑函的格式和内容应当符合财政部《政府采购供应商质疑函范本》要求，质疑函范本在财政部官网上提供下载。</w:t>
      </w:r>
      <w:r/>
    </w:p>
    <w:p>
      <w:pPr>
        <w:pStyle w:val="954"/>
        <w:numPr>
          <w:ilvl w:val="1"/>
          <w:numId w:val="7"/>
        </w:numPr>
        <w:ind w:left="540" w:hanging="540"/>
        <w:spacing w:line="400" w:lineRule="exact"/>
        <w:tabs>
          <w:tab w:val="left" w:pos="540" w:leader="none"/>
          <w:tab w:val="left" w:pos="851" w:leader="none"/>
        </w:tabs>
        <w:rPr>
          <w:sz w:val="21"/>
          <w:szCs w:val="21"/>
        </w:rPr>
      </w:pPr>
      <w:r>
        <w:rPr>
          <w:sz w:val="21"/>
          <w:szCs w:val="21"/>
        </w:rPr>
        <w:t xml:space="preserve">提交质疑函同时应当附如下证明材料：</w:t>
      </w:r>
      <w:r/>
    </w:p>
    <w:p>
      <w:pPr>
        <w:pStyle w:val="954"/>
        <w:spacing w:line="400" w:lineRule="exact"/>
        <w:tabs>
          <w:tab w:val="left" w:pos="540" w:leader="none"/>
        </w:tabs>
        <w:rPr>
          <w:sz w:val="21"/>
          <w:szCs w:val="21"/>
        </w:rPr>
      </w:pPr>
      <w:r>
        <w:rPr>
          <w:sz w:val="21"/>
          <w:szCs w:val="21"/>
        </w:rPr>
        <w:t xml:space="preserve">12.6.1对采购文件提出质疑的供应商提供参加本项目的“</w:t>
      </w:r>
      <w:r>
        <w:rPr>
          <w:rFonts w:hint="eastAsia"/>
          <w:sz w:val="21"/>
          <w:szCs w:val="21"/>
        </w:rPr>
        <w:t xml:space="preserve">投标供应商确认函</w:t>
      </w:r>
      <w:r>
        <w:rPr>
          <w:sz w:val="21"/>
          <w:szCs w:val="21"/>
        </w:rPr>
        <w:t xml:space="preserve">”；</w:t>
      </w:r>
      <w:r/>
    </w:p>
    <w:p>
      <w:pPr>
        <w:pStyle w:val="954"/>
        <w:spacing w:line="400" w:lineRule="exact"/>
        <w:tabs>
          <w:tab w:val="left" w:pos="540" w:leader="none"/>
        </w:tabs>
        <w:rPr>
          <w:sz w:val="21"/>
          <w:szCs w:val="21"/>
        </w:rPr>
      </w:pPr>
      <w:r>
        <w:rPr>
          <w:sz w:val="21"/>
          <w:szCs w:val="21"/>
        </w:rPr>
        <w:t xml:space="preserve">12.6.2质疑供应商的营</w:t>
      </w:r>
      <w:r>
        <w:rPr>
          <w:sz w:val="21"/>
          <w:szCs w:val="21"/>
        </w:rPr>
        <w:t xml:space="preserve">业执照复印件加盖单位公章；</w:t>
      </w:r>
      <w:r/>
    </w:p>
    <w:p>
      <w:pPr>
        <w:pStyle w:val="954"/>
        <w:spacing w:line="400" w:lineRule="exact"/>
        <w:tabs>
          <w:tab w:val="left" w:pos="540" w:leader="none"/>
        </w:tabs>
        <w:rPr>
          <w:sz w:val="21"/>
          <w:szCs w:val="21"/>
        </w:rPr>
      </w:pPr>
      <w:r>
        <w:rPr>
          <w:sz w:val="21"/>
          <w:szCs w:val="21"/>
        </w:rPr>
        <w:t xml:space="preserve">12.6.3质疑供应商法定代表人身份证复印件加盖单位公章；</w:t>
      </w:r>
      <w:r/>
    </w:p>
    <w:p>
      <w:pPr>
        <w:pStyle w:val="954"/>
        <w:spacing w:line="400" w:lineRule="exact"/>
        <w:tabs>
          <w:tab w:val="left" w:pos="540" w:leader="none"/>
        </w:tabs>
        <w:rPr>
          <w:sz w:val="21"/>
          <w:szCs w:val="21"/>
        </w:rPr>
      </w:pPr>
      <w:r>
        <w:rPr>
          <w:sz w:val="21"/>
          <w:szCs w:val="21"/>
        </w:rPr>
        <w:t xml:space="preserve">12.6.4质疑供应商若委托代理人进行质疑的，提供法人授权委托书及代理人身份证复印件加盖单位公章，授权委托书应载明代理人的姓名或者名称、代理事项、具体权限、期限和相关事项；</w:t>
      </w:r>
      <w:r/>
    </w:p>
    <w:p>
      <w:pPr>
        <w:pStyle w:val="954"/>
        <w:numPr>
          <w:ilvl w:val="1"/>
          <w:numId w:val="7"/>
        </w:numPr>
        <w:ind w:left="540" w:hanging="540"/>
        <w:spacing w:line="400" w:lineRule="exact"/>
        <w:tabs>
          <w:tab w:val="left" w:pos="540" w:leader="none"/>
          <w:tab w:val="left" w:pos="851" w:leader="none"/>
        </w:tabs>
        <w:rPr>
          <w:sz w:val="21"/>
          <w:szCs w:val="21"/>
        </w:rPr>
      </w:pPr>
      <w:r>
        <w:rPr>
          <w:sz w:val="21"/>
          <w:szCs w:val="21"/>
        </w:rPr>
        <w:t xml:space="preserve">供应商为自然人的，应当由本人签字；供应商为法人或者其他组织的，应当由法定代表人、主要负责人，或者其授权代表签字或者盖章，并加盖公章</w:t>
      </w:r>
      <w:r>
        <w:rPr>
          <w:rFonts w:hint="eastAsia"/>
          <w:sz w:val="21"/>
          <w:szCs w:val="21"/>
        </w:rPr>
        <w:t xml:space="preserve">；</w:t>
      </w:r>
      <w:r>
        <w:rPr>
          <w:sz w:val="21"/>
          <w:szCs w:val="21"/>
        </w:rPr>
      </w:r>
      <w:r/>
    </w:p>
    <w:p>
      <w:pPr>
        <w:pStyle w:val="954"/>
        <w:numPr>
          <w:ilvl w:val="1"/>
          <w:numId w:val="7"/>
        </w:numPr>
        <w:ind w:left="540" w:hanging="540"/>
        <w:spacing w:line="400" w:lineRule="exact"/>
        <w:tabs>
          <w:tab w:val="left" w:pos="540" w:leader="none"/>
          <w:tab w:val="left" w:pos="851" w:leader="none"/>
        </w:tabs>
        <w:rPr>
          <w:sz w:val="21"/>
          <w:szCs w:val="21"/>
        </w:rPr>
      </w:pPr>
      <w:r>
        <w:rPr>
          <w:sz w:val="21"/>
          <w:szCs w:val="21"/>
        </w:rPr>
        <w:t xml:space="preserve">供应商对招标项目技术、商务及其他要求，以及评审细则、标准提出询问或质疑的，应向采购人提出；供应商对采购过程及中标结果提出询问或质疑的，应向采购机代理构提出；</w:t>
      </w:r>
      <w:r/>
    </w:p>
    <w:p>
      <w:pPr>
        <w:pStyle w:val="954"/>
        <w:numPr>
          <w:ilvl w:val="1"/>
          <w:numId w:val="7"/>
        </w:numPr>
        <w:ind w:left="540" w:hanging="540"/>
        <w:spacing w:line="400" w:lineRule="exact"/>
        <w:tabs>
          <w:tab w:val="left" w:pos="540" w:leader="none"/>
          <w:tab w:val="left" w:pos="851" w:leader="none"/>
        </w:tabs>
        <w:rPr>
          <w:sz w:val="21"/>
          <w:szCs w:val="21"/>
        </w:rPr>
      </w:pPr>
      <w:r>
        <w:rPr>
          <w:sz w:val="21"/>
          <w:szCs w:val="21"/>
        </w:rPr>
        <w:t xml:space="preserve">供应商如对本项目提出质疑须在法定质疑期内一次性提出针对同一采购程序环节的质疑</w:t>
      </w:r>
      <w:r>
        <w:rPr>
          <w:rFonts w:hint="eastAsia"/>
          <w:sz w:val="21"/>
          <w:szCs w:val="21"/>
        </w:rPr>
        <w:t xml:space="preserve">；</w:t>
      </w:r>
      <w:r>
        <w:rPr>
          <w:sz w:val="21"/>
          <w:szCs w:val="21"/>
        </w:rPr>
      </w:r>
      <w:r/>
    </w:p>
    <w:p>
      <w:pPr>
        <w:pStyle w:val="954"/>
        <w:numPr>
          <w:ilvl w:val="1"/>
          <w:numId w:val="7"/>
        </w:numPr>
        <w:ind w:left="6804" w:hanging="6804"/>
        <w:spacing w:line="400" w:lineRule="exact"/>
        <w:tabs>
          <w:tab w:val="left" w:pos="540" w:leader="none"/>
          <w:tab w:val="left" w:pos="851" w:leader="none"/>
        </w:tabs>
        <w:rPr>
          <w:rFonts w:hint="eastAsia"/>
          <w:sz w:val="21"/>
          <w:szCs w:val="21"/>
        </w:rPr>
      </w:pPr>
      <w:r>
        <w:rPr>
          <w:sz w:val="21"/>
          <w:szCs w:val="21"/>
        </w:rPr>
        <w:t xml:space="preserve">接受质疑函联系方式见采购公告联系事项。</w:t>
      </w:r>
      <w:r>
        <w:rPr>
          <w:rFonts w:hint="eastAsia"/>
          <w:sz w:val="21"/>
          <w:szCs w:val="21"/>
        </w:rPr>
      </w:r>
      <w:r/>
    </w:p>
    <w:p>
      <w:pPr>
        <w:pStyle w:val="954"/>
        <w:numPr>
          <w:ilvl w:val="0"/>
          <w:numId w:val="5"/>
        </w:numPr>
        <w:ind w:left="540" w:hanging="540"/>
        <w:spacing w:line="400" w:lineRule="exact"/>
        <w:tabs>
          <w:tab w:val="left" w:pos="540" w:leader="none"/>
        </w:tabs>
        <w:rPr>
          <w:rFonts w:cs="宋体"/>
          <w:b/>
          <w:bCs/>
          <w:sz w:val="21"/>
          <w:szCs w:val="21"/>
        </w:rPr>
      </w:pPr>
      <w:r>
        <w:rPr>
          <w:rFonts w:hint="eastAsia" w:cs="宋体"/>
          <w:b/>
          <w:bCs/>
          <w:sz w:val="21"/>
          <w:szCs w:val="21"/>
        </w:rPr>
        <w:t xml:space="preserve">投标文件说明</w:t>
      </w:r>
      <w:r>
        <w:rPr>
          <w:rFonts w:cs="宋体"/>
          <w:b/>
          <w:bCs/>
          <w:sz w:val="21"/>
          <w:szCs w:val="21"/>
        </w:rPr>
      </w:r>
      <w:r/>
    </w:p>
    <w:p>
      <w:pPr>
        <w:pStyle w:val="954"/>
        <w:numPr>
          <w:ilvl w:val="0"/>
          <w:numId w:val="7"/>
        </w:numPr>
        <w:ind w:left="540" w:hanging="540"/>
        <w:spacing w:line="400" w:lineRule="exact"/>
        <w:tabs>
          <w:tab w:val="left" w:pos="540" w:leader="none"/>
          <w:tab w:val="left" w:pos="709" w:leader="none"/>
        </w:tabs>
        <w:rPr>
          <w:rFonts w:cs="宋体"/>
          <w:b/>
          <w:sz w:val="21"/>
          <w:szCs w:val="21"/>
        </w:rPr>
      </w:pPr>
      <w:r>
        <w:rPr>
          <w:rFonts w:cs="宋体"/>
          <w:b/>
          <w:sz w:val="21"/>
          <w:szCs w:val="21"/>
        </w:rPr>
        <w:t xml:space="preserve">提示与要求</w:t>
      </w:r>
      <w:r/>
    </w:p>
    <w:p>
      <w:pPr>
        <w:pStyle w:val="954"/>
        <w:numPr>
          <w:ilvl w:val="1"/>
          <w:numId w:val="7"/>
        </w:numPr>
        <w:ind w:left="540" w:hanging="540"/>
        <w:spacing w:line="400" w:lineRule="exact"/>
        <w:tabs>
          <w:tab w:val="left" w:pos="540" w:leader="none"/>
          <w:tab w:val="left" w:pos="851" w:leader="none"/>
        </w:tabs>
        <w:rPr>
          <w:sz w:val="21"/>
          <w:szCs w:val="21"/>
        </w:rPr>
      </w:pPr>
      <w:r>
        <w:rPr>
          <w:sz w:val="21"/>
          <w:szCs w:val="21"/>
        </w:rPr>
        <w:t xml:space="preserve">投标人应仔细阅读招标文件的所有内容，按招标文件的要求提供投标文件，并保证所提供的全部资料的真实性，以使其投标对招标文件做出实质性响应，否则，其投标可能被拒绝。</w:t>
      </w:r>
      <w:r/>
    </w:p>
    <w:p>
      <w:pPr>
        <w:pStyle w:val="954"/>
        <w:numPr>
          <w:ilvl w:val="1"/>
          <w:numId w:val="7"/>
        </w:numPr>
        <w:ind w:left="540" w:hanging="540"/>
        <w:spacing w:line="400" w:lineRule="exact"/>
        <w:tabs>
          <w:tab w:val="left" w:pos="540" w:leader="none"/>
          <w:tab w:val="left" w:pos="851" w:leader="none"/>
        </w:tabs>
        <w:rPr>
          <w:sz w:val="21"/>
          <w:szCs w:val="21"/>
        </w:rPr>
      </w:pPr>
      <w:r>
        <w:rPr>
          <w:sz w:val="21"/>
          <w:szCs w:val="21"/>
        </w:rPr>
        <w:t xml:space="preserve">无论是否递交投标文件，投标人都应将招标文件及以后的所有通知、文件等视为保密文件。</w:t>
      </w:r>
      <w:r/>
    </w:p>
    <w:p>
      <w:pPr>
        <w:pStyle w:val="954"/>
        <w:numPr>
          <w:ilvl w:val="0"/>
          <w:numId w:val="7"/>
        </w:numPr>
        <w:ind w:left="540" w:hanging="540"/>
        <w:spacing w:line="400" w:lineRule="exact"/>
        <w:tabs>
          <w:tab w:val="left" w:pos="540" w:leader="none"/>
          <w:tab w:val="left" w:pos="709" w:leader="none"/>
        </w:tabs>
        <w:rPr>
          <w:rFonts w:cs="宋体"/>
          <w:b/>
          <w:sz w:val="21"/>
          <w:szCs w:val="21"/>
        </w:rPr>
      </w:pPr>
      <w:r>
        <w:rPr>
          <w:rFonts w:cs="宋体"/>
          <w:b/>
          <w:sz w:val="21"/>
          <w:szCs w:val="21"/>
        </w:rPr>
        <w:t xml:space="preserve">投标文件计量单位和使用文字</w:t>
      </w:r>
      <w:r/>
    </w:p>
    <w:p>
      <w:pPr>
        <w:pStyle w:val="954"/>
        <w:numPr>
          <w:ilvl w:val="1"/>
          <w:numId w:val="7"/>
        </w:numPr>
        <w:ind w:left="540" w:hanging="540"/>
        <w:spacing w:line="400" w:lineRule="exact"/>
        <w:tabs>
          <w:tab w:val="left" w:pos="540" w:leader="none"/>
          <w:tab w:val="left" w:pos="851" w:leader="none"/>
        </w:tabs>
        <w:rPr>
          <w:sz w:val="21"/>
          <w:szCs w:val="21"/>
        </w:rPr>
      </w:pPr>
      <w:r>
        <w:rPr>
          <w:sz w:val="21"/>
          <w:szCs w:val="21"/>
        </w:rPr>
        <w:t xml:space="preserve">投标文件中所使用的计量单位，除招标文件中有特殊要求外，</w:t>
      </w:r>
      <w:r>
        <w:rPr>
          <w:sz w:val="21"/>
          <w:szCs w:val="21"/>
        </w:rPr>
        <w:t xml:space="preserve">均应使用中华人民共和国法定计量单位。</w:t>
      </w:r>
      <w:r/>
    </w:p>
    <w:p>
      <w:pPr>
        <w:pStyle w:val="954"/>
        <w:numPr>
          <w:ilvl w:val="1"/>
          <w:numId w:val="7"/>
        </w:numPr>
        <w:ind w:left="540" w:hanging="540"/>
        <w:spacing w:line="400" w:lineRule="exact"/>
        <w:tabs>
          <w:tab w:val="left" w:pos="540" w:leader="none"/>
          <w:tab w:val="left" w:pos="851" w:leader="none"/>
        </w:tabs>
        <w:rPr>
          <w:rFonts w:hint="eastAsia"/>
          <w:sz w:val="21"/>
          <w:szCs w:val="21"/>
        </w:rPr>
      </w:pPr>
      <w:r>
        <w:rPr>
          <w:sz w:val="21"/>
          <w:szCs w:val="21"/>
        </w:rPr>
        <w:t xml:space="preserve">投标文件应使用中文编制，投标文件中必须使用其他文字的，必须附有中文译本，且以中文译本为准。对于未附有中文译本和中文译本不准确的投标文件可能引起的对投标人不利的后果，采购代理机构概不负责。</w:t>
      </w:r>
      <w:r>
        <w:rPr>
          <w:rFonts w:hint="eastAsia"/>
          <w:sz w:val="21"/>
          <w:szCs w:val="21"/>
        </w:rPr>
      </w:r>
      <w:r/>
    </w:p>
    <w:p>
      <w:pPr>
        <w:pStyle w:val="954"/>
        <w:numPr>
          <w:ilvl w:val="0"/>
          <w:numId w:val="7"/>
        </w:numPr>
        <w:ind w:left="540" w:hanging="540"/>
        <w:spacing w:line="400" w:lineRule="exact"/>
        <w:tabs>
          <w:tab w:val="left" w:pos="540" w:leader="none"/>
          <w:tab w:val="left" w:pos="709" w:leader="none"/>
        </w:tabs>
        <w:rPr>
          <w:rFonts w:hint="eastAsia" w:cs="宋体"/>
          <w:b/>
          <w:sz w:val="21"/>
          <w:szCs w:val="21"/>
        </w:rPr>
      </w:pPr>
      <w:r/>
      <w:bookmarkStart w:id="11" w:name="_Toc217446047"/>
      <w:r>
        <w:rPr>
          <w:rFonts w:hint="eastAsia" w:cs="宋体"/>
          <w:b/>
          <w:sz w:val="21"/>
          <w:szCs w:val="21"/>
        </w:rPr>
        <w:t xml:space="preserve">知识产权</w:t>
      </w:r>
      <w:bookmarkEnd w:id="11"/>
      <w:r>
        <w:rPr>
          <w:rFonts w:hint="eastAsia" w:cs="宋体"/>
          <w:b/>
          <w:sz w:val="21"/>
          <w:szCs w:val="21"/>
        </w:rPr>
      </w:r>
      <w:r/>
    </w:p>
    <w:p>
      <w:pPr>
        <w:pStyle w:val="954"/>
        <w:numPr>
          <w:ilvl w:val="1"/>
          <w:numId w:val="7"/>
        </w:numPr>
        <w:ind w:left="540" w:hanging="540"/>
        <w:spacing w:line="400" w:lineRule="exact"/>
        <w:tabs>
          <w:tab w:val="left" w:pos="540" w:leader="none"/>
          <w:tab w:val="left" w:pos="851" w:leader="none"/>
        </w:tabs>
        <w:rPr>
          <w:rFonts w:hint="eastAsia"/>
          <w:sz w:val="21"/>
          <w:szCs w:val="21"/>
        </w:rPr>
      </w:pPr>
      <w:r>
        <w:rPr>
          <w:rFonts w:hint="eastAsia"/>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954"/>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投标文件的组成和顺序</w:t>
      </w:r>
      <w:r/>
    </w:p>
    <w:p>
      <w:pPr>
        <w:pStyle w:val="954"/>
        <w:ind w:firstLine="523"/>
        <w:spacing w:line="400" w:lineRule="exact"/>
        <w:tabs>
          <w:tab w:val="left" w:pos="0" w:leader="none"/>
        </w:tabs>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.1《开标一览表》(统一格式，用于唱标)；</w:t>
      </w:r>
      <w:r/>
    </w:p>
    <w:p>
      <w:pPr>
        <w:pStyle w:val="954"/>
        <w:ind w:left="540"/>
        <w:spacing w:line="400" w:lineRule="exact"/>
        <w:tabs>
          <w:tab w:val="left" w:pos="540" w:leader="none"/>
        </w:tabs>
        <w:rPr>
          <w:rFonts w:hint="eastAsia" w:cs="宋体"/>
          <w:b/>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2投标函（详见投标文件格式）；</w:t>
      </w:r>
      <w:r>
        <w:rPr>
          <w:rFonts w:hint="eastAsia" w:cs="宋体"/>
          <w:b/>
          <w:sz w:val="21"/>
          <w:szCs w:val="21"/>
        </w:rPr>
      </w:r>
      <w:r/>
    </w:p>
    <w:p>
      <w:pPr>
        <w:pStyle w:val="954"/>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.3投标人《营业执照》副本复印件；</w:t>
      </w:r>
      <w:r/>
    </w:p>
    <w:p>
      <w:pPr>
        <w:pStyle w:val="954"/>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.4投标人法定代表人授权委托书原件（如有授权）（详见投标文件格式）；</w:t>
      </w:r>
      <w:r/>
    </w:p>
    <w:p>
      <w:pPr>
        <w:pStyle w:val="954"/>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.5投标人法定代表人身份证复印件；</w:t>
      </w:r>
      <w:r/>
    </w:p>
    <w:p>
      <w:pPr>
        <w:pStyle w:val="954"/>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.6投标人代理人身份证复印件（如有授权）；</w:t>
      </w:r>
      <w:r/>
    </w:p>
    <w:p>
      <w:pPr>
        <w:pStyle w:val="954"/>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.7投标人资格证明文件（详见投标文件格式，并按要求提供资格证明材料，未提供或提供不全的为无效标）；</w:t>
      </w:r>
      <w:r/>
    </w:p>
    <w:p>
      <w:pPr>
        <w:pStyle w:val="954"/>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.8偏离</w:t>
      </w:r>
      <w:r>
        <w:rPr>
          <w:rFonts w:hint="eastAsia" w:cs="宋体"/>
          <w:sz w:val="21"/>
          <w:szCs w:val="21"/>
        </w:rPr>
        <w:t xml:space="preserve">表（详见投标文件格式）</w:t>
      </w:r>
      <w:r>
        <w:rPr>
          <w:rFonts w:hint="eastAsia" w:cs="宋体"/>
          <w:sz w:val="21"/>
          <w:szCs w:val="21"/>
        </w:rPr>
        <w:t xml:space="preserve">；</w:t>
      </w:r>
      <w:r/>
    </w:p>
    <w:p>
      <w:pPr>
        <w:pStyle w:val="954"/>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.9拟投入本项目的车辆情况一览表</w:t>
      </w:r>
      <w:r>
        <w:rPr>
          <w:rFonts w:hint="eastAsia" w:cs="宋体"/>
          <w:sz w:val="21"/>
          <w:szCs w:val="21"/>
        </w:rPr>
        <w:t xml:space="preserve">（详见投标文件格式）</w:t>
      </w:r>
      <w:r/>
    </w:p>
    <w:p>
      <w:pPr>
        <w:pStyle w:val="954"/>
        <w:ind w:firstLine="525"/>
        <w:spacing w:line="400" w:lineRule="exact"/>
        <w:rPr>
          <w:rFonts w:cs="仿宋"/>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.10拟投入人员情况表</w:t>
      </w:r>
      <w:r>
        <w:rPr>
          <w:rFonts w:hint="eastAsia" w:cs="宋体"/>
          <w:sz w:val="21"/>
          <w:szCs w:val="21"/>
        </w:rPr>
        <w:t xml:space="preserve">（详见投标文件格式）；</w:t>
      </w:r>
      <w:r>
        <w:rPr>
          <w:rFonts w:cs="仿宋"/>
          <w:sz w:val="21"/>
          <w:szCs w:val="21"/>
        </w:rPr>
      </w:r>
      <w:r/>
    </w:p>
    <w:p>
      <w:pPr>
        <w:pStyle w:val="954"/>
        <w:ind w:firstLine="525"/>
        <w:spacing w:line="400" w:lineRule="exact"/>
        <w:rPr>
          <w:rFonts w:hint="eastAsia" w:cs="宋体"/>
          <w:sz w:val="21"/>
          <w:szCs w:val="21"/>
        </w:rPr>
      </w:pPr>
      <w:r>
        <w:rPr>
          <w:rFonts w:cs="仿宋"/>
          <w:sz w:val="21"/>
          <w:szCs w:val="21"/>
        </w:rPr>
        <w:t xml:space="preserve">1</w:t>
      </w:r>
      <w:r>
        <w:rPr>
          <w:rFonts w:hint="eastAsia" w:cs="仿宋"/>
          <w:sz w:val="21"/>
          <w:szCs w:val="21"/>
        </w:rPr>
        <w:t xml:space="preserve">6</w:t>
      </w:r>
      <w:r>
        <w:rPr>
          <w:rFonts w:cs="仿宋"/>
          <w:sz w:val="21"/>
          <w:szCs w:val="21"/>
        </w:rPr>
        <w:t xml:space="preserve">.</w:t>
      </w:r>
      <w:r>
        <w:rPr>
          <w:rFonts w:hint="eastAsia" w:cs="仿宋"/>
          <w:sz w:val="21"/>
          <w:szCs w:val="21"/>
        </w:rPr>
        <w:t xml:space="preserve">11</w:t>
      </w:r>
      <w:r>
        <w:rPr>
          <w:rFonts w:cs="宋体"/>
          <w:sz w:val="21"/>
          <w:szCs w:val="21"/>
          <w:lang w:eastAsia="en-US"/>
        </w:rPr>
        <w:t xml:space="preserve">类似</w:t>
      </w:r>
      <w:r>
        <w:rPr>
          <w:rFonts w:cs="宋体"/>
          <w:sz w:val="21"/>
          <w:szCs w:val="21"/>
          <w:lang w:eastAsia="en-US"/>
        </w:rPr>
        <w:t xml:space="preserve">业绩一览表（</w:t>
      </w:r>
      <w:r>
        <w:rPr>
          <w:rFonts w:hint="eastAsia" w:cs="宋体"/>
          <w:sz w:val="21"/>
          <w:szCs w:val="21"/>
        </w:rPr>
        <w:t xml:space="preserve">详见投标文件格式）</w:t>
      </w:r>
      <w:r>
        <w:rPr>
          <w:rFonts w:cs="宋体"/>
          <w:sz w:val="21"/>
          <w:szCs w:val="21"/>
        </w:rPr>
        <w:t xml:space="preserve">；</w:t>
      </w:r>
      <w:r>
        <w:rPr>
          <w:rFonts w:hint="eastAsia" w:cs="宋体"/>
          <w:sz w:val="21"/>
          <w:szCs w:val="21"/>
        </w:rPr>
      </w:r>
      <w:r/>
    </w:p>
    <w:p>
      <w:pPr>
        <w:pStyle w:val="954"/>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.12方案、措施和制度等（格式自拟）</w:t>
      </w:r>
      <w:r>
        <w:rPr>
          <w:rFonts w:hint="eastAsia" w:cs="宋体"/>
          <w:sz w:val="21"/>
          <w:szCs w:val="21"/>
        </w:rPr>
        <w:t xml:space="preserve">；</w:t>
      </w:r>
      <w:r>
        <w:rPr>
          <w:rFonts w:hint="eastAsia" w:cs="宋体"/>
          <w:sz w:val="21"/>
          <w:szCs w:val="21"/>
        </w:rPr>
      </w:r>
      <w:r/>
    </w:p>
    <w:p>
      <w:pPr>
        <w:pStyle w:val="954"/>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.13其他参与评审的资料等（格式自拟）；</w:t>
      </w:r>
      <w:r/>
    </w:p>
    <w:p>
      <w:pPr>
        <w:pStyle w:val="954"/>
        <w:ind w:firstLine="525"/>
        <w:spacing w:line="400" w:lineRule="exact"/>
        <w:rPr>
          <w:rFonts w:hint="eastAsia" w:cs="宋体"/>
          <w:sz w:val="21"/>
          <w:szCs w:val="21"/>
        </w:rPr>
      </w:pPr>
      <w:r>
        <w:rPr>
          <w:rFonts w:hint="eastAsia" w:cs="宋体"/>
          <w:sz w:val="21"/>
          <w:szCs w:val="21"/>
        </w:rPr>
        <w:t xml:space="preserve">注：投标人必须提交上述1</w:t>
      </w:r>
      <w:r>
        <w:rPr>
          <w:rFonts w:cs="宋体"/>
          <w:sz w:val="21"/>
          <w:szCs w:val="21"/>
        </w:rPr>
        <w:t xml:space="preserve">6</w:t>
      </w:r>
      <w:r>
        <w:rPr>
          <w:rFonts w:hint="eastAsia" w:cs="宋体"/>
          <w:sz w:val="21"/>
          <w:szCs w:val="21"/>
        </w:rPr>
        <w:t xml:space="preserve">.1—1</w:t>
      </w:r>
      <w:r>
        <w:rPr>
          <w:rFonts w:cs="宋体"/>
          <w:sz w:val="21"/>
          <w:szCs w:val="21"/>
        </w:rPr>
        <w:t xml:space="preserve">6</w:t>
      </w:r>
      <w:r>
        <w:rPr>
          <w:rFonts w:hint="eastAsia" w:cs="宋体"/>
          <w:sz w:val="21"/>
          <w:szCs w:val="21"/>
        </w:rPr>
        <w:t xml:space="preserve">.9款规定的资料。否则，投标文件将因资格性条件不符或未实质性响应招标文件而被拒绝。</w:t>
      </w:r>
      <w:r/>
    </w:p>
    <w:p>
      <w:pPr>
        <w:pStyle w:val="954"/>
        <w:numPr>
          <w:ilvl w:val="0"/>
          <w:numId w:val="7"/>
        </w:numPr>
        <w:ind w:left="540" w:hanging="540"/>
        <w:spacing w:line="400" w:lineRule="exact"/>
        <w:tabs>
          <w:tab w:val="left" w:pos="540" w:leader="none"/>
          <w:tab w:val="left" w:pos="709" w:leader="none"/>
        </w:tabs>
        <w:rPr>
          <w:rFonts w:cs="宋体"/>
          <w:b/>
          <w:sz w:val="21"/>
          <w:szCs w:val="21"/>
        </w:rPr>
      </w:pPr>
      <w:r>
        <w:rPr>
          <w:rFonts w:hint="eastAsia" w:cs="宋体"/>
          <w:b/>
          <w:sz w:val="21"/>
          <w:szCs w:val="21"/>
        </w:rPr>
        <w:t xml:space="preserve">对本次投标的详细说明的编制</w:t>
      </w:r>
      <w:r>
        <w:rPr>
          <w:rFonts w:cs="宋体"/>
          <w:b/>
          <w:sz w:val="21"/>
          <w:szCs w:val="21"/>
        </w:rPr>
      </w:r>
      <w:r/>
    </w:p>
    <w:p>
      <w:pPr>
        <w:pStyle w:val="954"/>
        <w:numPr>
          <w:ilvl w:val="0"/>
          <w:numId w:val="20"/>
        </w:numPr>
        <w:spacing w:line="400" w:lineRule="exact"/>
        <w:tabs>
          <w:tab w:val="left" w:pos="540" w:leader="none"/>
        </w:tabs>
        <w:rPr>
          <w:rFonts w:hint="eastAsia"/>
          <w:sz w:val="21"/>
          <w:szCs w:val="21"/>
        </w:rPr>
      </w:pPr>
      <w:r>
        <w:rPr>
          <w:rFonts w:hint="eastAsia"/>
          <w:sz w:val="21"/>
          <w:szCs w:val="21"/>
        </w:rPr>
        <w:t xml:space="preserve">电子投标文件编制要求：投标人应使用招标文件要求的投标文件制作软件制作电子投标文件，电子投标文件按招标文件规定的格式制作，如果未按要求制作上传，可能导致投标无效。</w:t>
      </w:r>
      <w:r/>
    </w:p>
    <w:p>
      <w:pPr>
        <w:pStyle w:val="954"/>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投标报价（编制）要求的说明</w:t>
      </w:r>
      <w:r/>
    </w:p>
    <w:p>
      <w:pPr>
        <w:pStyle w:val="954"/>
        <w:numPr>
          <w:ilvl w:val="0"/>
          <w:numId w:val="21"/>
        </w:numPr>
        <w:spacing w:line="400" w:lineRule="exact"/>
        <w:tabs>
          <w:tab w:val="left" w:pos="540" w:leader="none"/>
        </w:tabs>
        <w:rPr>
          <w:rFonts w:hint="eastAsia"/>
          <w:sz w:val="21"/>
          <w:szCs w:val="21"/>
        </w:rPr>
      </w:pPr>
      <w:r>
        <w:rPr>
          <w:rFonts w:hint="eastAsia"/>
          <w:sz w:val="21"/>
          <w:szCs w:val="21"/>
        </w:rPr>
        <w:t xml:space="preserve">除非合同中另有规定，投标人对《开标一览表》中的全部货物和服务的报价应包括完成本项工作所需的</w:t>
      </w:r>
      <w:r>
        <w:rPr>
          <w:rFonts w:hint="eastAsia" w:cs="宋体"/>
          <w:sz w:val="21"/>
          <w:szCs w:val="21"/>
        </w:rPr>
        <w:t xml:space="preserve">一切费用，包括但不限于</w:t>
      </w:r>
      <w:r>
        <w:rPr>
          <w:rFonts w:hint="eastAsia"/>
          <w:bCs/>
          <w:sz w:val="21"/>
          <w:szCs w:val="21"/>
        </w:rPr>
        <w:t xml:space="preserve">完成本项目所需的人工费（包括人员工资、加班工资、社保等）、劳动工具、劳保用品、人身意外伤害险、车辆使用费、养护车辆和设备的保养、油料费、耗材、车辆保险费、完成本项目所需管理费、利润、风险费、各种税费、政策性文件规定的费用以及在服务过程中发生的一切费用</w:t>
      </w:r>
      <w:r>
        <w:rPr>
          <w:rFonts w:hint="eastAsia"/>
          <w:sz w:val="21"/>
          <w:szCs w:val="21"/>
        </w:rPr>
        <w:t xml:space="preserve">。</w:t>
      </w:r>
      <w:r/>
    </w:p>
    <w:p>
      <w:pPr>
        <w:pStyle w:val="954"/>
        <w:numPr>
          <w:ilvl w:val="0"/>
          <w:numId w:val="21"/>
        </w:numPr>
        <w:spacing w:line="400" w:lineRule="exact"/>
        <w:tabs>
          <w:tab w:val="left" w:pos="540" w:leader="none"/>
        </w:tabs>
        <w:rPr>
          <w:rFonts w:hint="eastAsia"/>
          <w:sz w:val="21"/>
          <w:szCs w:val="21"/>
        </w:rPr>
      </w:pPr>
      <w:r>
        <w:rPr>
          <w:rFonts w:hint="eastAsia"/>
          <w:sz w:val="21"/>
          <w:szCs w:val="21"/>
        </w:rPr>
        <w:t xml:space="preserve">投标人应对招标文件内所要采购的全部内容进行报价，只投其中部分内容者，其标书将被拒绝。但如果招标文件要求分标段投标的，则投标人可按招标文件要求有选择地只投其中一个或几个标段，也可投全部标段，但各标段</w:t>
      </w:r>
      <w:r>
        <w:rPr>
          <w:rFonts w:hint="eastAsia"/>
          <w:sz w:val="21"/>
          <w:szCs w:val="21"/>
        </w:rPr>
        <w:t xml:space="preserve">应分别计算填写单价和总价。</w:t>
      </w:r>
      <w:r/>
    </w:p>
    <w:p>
      <w:pPr>
        <w:pStyle w:val="954"/>
        <w:numPr>
          <w:ilvl w:val="0"/>
          <w:numId w:val="21"/>
        </w:numPr>
        <w:spacing w:line="400" w:lineRule="exact"/>
        <w:tabs>
          <w:tab w:val="left" w:pos="540" w:leader="none"/>
        </w:tabs>
        <w:rPr>
          <w:rFonts w:hint="eastAsia"/>
          <w:sz w:val="21"/>
          <w:szCs w:val="21"/>
        </w:rPr>
      </w:pPr>
      <w:r>
        <w:rPr>
          <w:rFonts w:hint="eastAsia"/>
          <w:sz w:val="21"/>
          <w:szCs w:val="21"/>
        </w:rPr>
        <w:t xml:space="preserve">一项投标内容只允许一个报价，招标采购单位不接受任何有选择性的投标报价。</w:t>
      </w:r>
      <w:r/>
    </w:p>
    <w:p>
      <w:pPr>
        <w:pStyle w:val="954"/>
        <w:numPr>
          <w:ilvl w:val="0"/>
          <w:numId w:val="21"/>
        </w:numPr>
        <w:spacing w:line="400" w:lineRule="exact"/>
        <w:tabs>
          <w:tab w:val="left" w:pos="540" w:leader="none"/>
        </w:tabs>
        <w:rPr>
          <w:rFonts w:hint="eastAsia"/>
          <w:sz w:val="21"/>
          <w:szCs w:val="21"/>
        </w:rPr>
      </w:pPr>
      <w:r>
        <w:rPr>
          <w:rFonts w:hint="eastAsia"/>
          <w:sz w:val="21"/>
          <w:szCs w:val="21"/>
        </w:rPr>
        <w:t xml:space="preserve">投标文件报价中的单价和总价全部采用人民币表示，除非合同的特殊条款另有规定。</w:t>
      </w:r>
      <w:r/>
    </w:p>
    <w:p>
      <w:pPr>
        <w:pStyle w:val="954"/>
        <w:numPr>
          <w:ilvl w:val="0"/>
          <w:numId w:val="21"/>
        </w:numPr>
        <w:spacing w:line="400" w:lineRule="exact"/>
        <w:tabs>
          <w:tab w:val="left" w:pos="540" w:leader="none"/>
        </w:tabs>
        <w:rPr>
          <w:rFonts w:hint="eastAsia"/>
          <w:sz w:val="21"/>
          <w:szCs w:val="21"/>
        </w:rPr>
      </w:pPr>
      <w:r>
        <w:rPr>
          <w:rFonts w:hint="eastAsia"/>
          <w:sz w:val="21"/>
          <w:szCs w:val="21"/>
        </w:rPr>
        <w:t xml:space="preserve">最低的投标报价或最高的折扣比例是中标的重要条件，但不是中标的唯一条件。</w:t>
      </w:r>
      <w:r/>
    </w:p>
    <w:p>
      <w:pPr>
        <w:pStyle w:val="954"/>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投标保证金</w:t>
      </w:r>
      <w:r/>
    </w:p>
    <w:p>
      <w:pPr>
        <w:pStyle w:val="954"/>
        <w:numPr>
          <w:ilvl w:val="0"/>
          <w:numId w:val="22"/>
        </w:numPr>
        <w:spacing w:line="400" w:lineRule="exact"/>
        <w:tabs>
          <w:tab w:val="left" w:pos="540" w:leader="none"/>
        </w:tabs>
        <w:rPr>
          <w:sz w:val="21"/>
          <w:szCs w:val="21"/>
        </w:rPr>
      </w:pPr>
      <w:r>
        <w:rPr>
          <w:rFonts w:hint="eastAsia"/>
          <w:sz w:val="21"/>
          <w:szCs w:val="21"/>
        </w:rPr>
        <w:t xml:space="preserve">根据《关于做好政府采购支持企业发展有关事项的通知（苏财购〔2020〕52号）》文件规定取消政府采购投标保证金。</w:t>
      </w:r>
      <w:r>
        <w:rPr>
          <w:sz w:val="21"/>
          <w:szCs w:val="21"/>
        </w:rPr>
      </w:r>
      <w:r/>
    </w:p>
    <w:p>
      <w:pPr>
        <w:pStyle w:val="954"/>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投标文件的有效期</w:t>
      </w:r>
      <w:r/>
    </w:p>
    <w:p>
      <w:pPr>
        <w:pStyle w:val="954"/>
        <w:numPr>
          <w:ilvl w:val="0"/>
          <w:numId w:val="23"/>
        </w:numPr>
        <w:spacing w:line="400" w:lineRule="exact"/>
        <w:tabs>
          <w:tab w:val="left" w:pos="540" w:leader="none"/>
        </w:tabs>
        <w:rPr>
          <w:rFonts w:hint="eastAsia"/>
          <w:sz w:val="21"/>
          <w:szCs w:val="21"/>
        </w:rPr>
      </w:pPr>
      <w:r>
        <w:rPr>
          <w:rFonts w:hint="eastAsia"/>
          <w:sz w:val="21"/>
          <w:szCs w:val="21"/>
        </w:rPr>
        <w:t xml:space="preserve">在本招标文件前附表规定的投标文件有效期内，投标人所提交的投标文件应保持有效。有效期短于这个规定期限的投标文件，将被认定为未实质性响应招标文件要求。</w:t>
      </w:r>
      <w:r/>
    </w:p>
    <w:p>
      <w:pPr>
        <w:pStyle w:val="954"/>
        <w:numPr>
          <w:ilvl w:val="0"/>
          <w:numId w:val="23"/>
        </w:numPr>
        <w:spacing w:line="400" w:lineRule="exact"/>
        <w:tabs>
          <w:tab w:val="left" w:pos="540" w:leader="none"/>
        </w:tabs>
        <w:rPr>
          <w:rFonts w:hint="eastAsia"/>
          <w:sz w:val="21"/>
          <w:szCs w:val="21"/>
        </w:rPr>
      </w:pPr>
      <w:r>
        <w:rPr>
          <w:rFonts w:hint="eastAsia"/>
          <w:sz w:val="21"/>
          <w:szCs w:val="21"/>
        </w:rPr>
        <w:t xml:space="preserve">在特殊情况下，招标采购单位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不会被没收。</w:t>
      </w:r>
      <w:r/>
    </w:p>
    <w:p>
      <w:pPr>
        <w:pStyle w:val="954"/>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投标文件的份数和签署</w:t>
      </w:r>
      <w:r/>
    </w:p>
    <w:p>
      <w:pPr>
        <w:pStyle w:val="954"/>
        <w:spacing w:line="400" w:lineRule="exact"/>
        <w:tabs>
          <w:tab w:val="left" w:pos="540" w:leader="none"/>
          <w:tab w:val="left" w:pos="709" w:leader="none"/>
        </w:tabs>
        <w:rPr>
          <w:rFonts w:hint="eastAsia" w:cs="宋体"/>
          <w:bCs/>
          <w:sz w:val="21"/>
          <w:szCs w:val="21"/>
        </w:rPr>
      </w:pPr>
      <w:r>
        <w:rPr>
          <w:rFonts w:hint="eastAsia" w:cs="宋体"/>
          <w:bCs/>
          <w:sz w:val="21"/>
          <w:szCs w:val="21"/>
        </w:rPr>
        <w:t xml:space="preserve">21.1投标单位应按照招标文件要求加盖电子章（公章、法人章等），否则视为无效标。</w:t>
      </w:r>
      <w:r/>
    </w:p>
    <w:p>
      <w:pPr>
        <w:pStyle w:val="954"/>
        <w:numPr>
          <w:ilvl w:val="0"/>
          <w:numId w:val="5"/>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投标文件的提交、修改和撤回</w:t>
      </w:r>
      <w:r/>
    </w:p>
    <w:p>
      <w:pPr>
        <w:pStyle w:val="954"/>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投标文件的上传、提交</w:t>
      </w:r>
      <w:r/>
    </w:p>
    <w:p>
      <w:pPr>
        <w:pStyle w:val="954"/>
        <w:numPr>
          <w:ilvl w:val="1"/>
          <w:numId w:val="24"/>
        </w:numPr>
        <w:spacing w:line="400" w:lineRule="exact"/>
        <w:tabs>
          <w:tab w:val="left" w:pos="540" w:leader="none"/>
        </w:tabs>
        <w:rPr>
          <w:rFonts w:hint="eastAsia" w:cs="宋体"/>
          <w:sz w:val="21"/>
          <w:szCs w:val="21"/>
        </w:rPr>
      </w:pPr>
      <w:r>
        <w:rPr>
          <w:rFonts w:hint="eastAsia"/>
          <w:sz w:val="21"/>
          <w:szCs w:val="21"/>
        </w:rPr>
        <w:t xml:space="preserve">投标人应将制作好的加密电子投标文件按要求在投标截止时间前上传到交易系统平台中</w:t>
      </w:r>
      <w:r>
        <w:rPr>
          <w:rFonts w:hint="eastAsia" w:cs="宋体"/>
          <w:sz w:val="21"/>
          <w:szCs w:val="21"/>
        </w:rPr>
        <w:t xml:space="preserve">。</w:t>
      </w:r>
      <w:r/>
    </w:p>
    <w:p>
      <w:pPr>
        <w:pStyle w:val="954"/>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投标截止</w:t>
      </w:r>
      <w:r>
        <w:rPr>
          <w:rFonts w:hint="eastAsia" w:cs="宋体"/>
          <w:b/>
          <w:sz w:val="21"/>
          <w:szCs w:val="21"/>
        </w:rPr>
        <w:t xml:space="preserve">时间</w:t>
      </w:r>
      <w:r/>
    </w:p>
    <w:p>
      <w:pPr>
        <w:pStyle w:val="954"/>
        <w:numPr>
          <w:ilvl w:val="1"/>
          <w:numId w:val="25"/>
        </w:numPr>
        <w:spacing w:line="400" w:lineRule="exact"/>
        <w:tabs>
          <w:tab w:val="left" w:pos="540" w:leader="none"/>
        </w:tabs>
        <w:rPr>
          <w:rFonts w:hint="eastAsia"/>
          <w:sz w:val="21"/>
          <w:szCs w:val="21"/>
        </w:rPr>
      </w:pPr>
      <w:r>
        <w:rPr>
          <w:rFonts w:hint="eastAsia"/>
          <w:sz w:val="21"/>
          <w:szCs w:val="21"/>
        </w:rPr>
        <w:t xml:space="preserve">电子投标文件必须按招标公告中规定的网上投标截止时间前提交，否则投标无效。</w:t>
      </w:r>
      <w:r/>
    </w:p>
    <w:p>
      <w:pPr>
        <w:pStyle w:val="954"/>
        <w:numPr>
          <w:ilvl w:val="1"/>
          <w:numId w:val="25"/>
        </w:numPr>
        <w:spacing w:line="400" w:lineRule="exact"/>
        <w:tabs>
          <w:tab w:val="left" w:pos="540" w:leader="none"/>
        </w:tabs>
        <w:rPr>
          <w:rFonts w:hint="eastAsia"/>
          <w:sz w:val="21"/>
          <w:szCs w:val="21"/>
        </w:rPr>
      </w:pPr>
      <w:r>
        <w:rPr>
          <w:rFonts w:hint="eastAsia"/>
          <w:sz w:val="21"/>
          <w:szCs w:val="21"/>
        </w:rPr>
        <w:t xml:space="preserve">采购代理机构推迟投标截止时间时，应以更正公告的形式，通知所有投标人。在这种情况下，采购代理机构和投标人的权利和义务将受到新的截止期的约束。</w:t>
      </w:r>
      <w:r/>
    </w:p>
    <w:p>
      <w:pPr>
        <w:pStyle w:val="954"/>
        <w:numPr>
          <w:ilvl w:val="1"/>
          <w:numId w:val="25"/>
        </w:numPr>
        <w:spacing w:line="400" w:lineRule="exact"/>
        <w:tabs>
          <w:tab w:val="left" w:pos="540" w:leader="none"/>
        </w:tabs>
        <w:rPr>
          <w:rFonts w:hint="eastAsia" w:cs="宋体"/>
          <w:sz w:val="21"/>
          <w:szCs w:val="21"/>
        </w:rPr>
      </w:pPr>
      <w:r>
        <w:rPr>
          <w:rFonts w:hint="eastAsia"/>
          <w:sz w:val="21"/>
          <w:szCs w:val="21"/>
        </w:rPr>
        <w:t xml:space="preserve">在投标截止时间招标采购单位收到的电子投标文件少于三份的，采购代理机构有权宣布本次招标失败</w:t>
      </w:r>
      <w:r>
        <w:rPr>
          <w:rFonts w:hint="eastAsia" w:cs="宋体"/>
          <w:sz w:val="21"/>
          <w:szCs w:val="21"/>
        </w:rPr>
        <w:t xml:space="preserve">。</w:t>
      </w:r>
      <w:r/>
    </w:p>
    <w:p>
      <w:pPr>
        <w:pStyle w:val="954"/>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投标文件的修改和撤回</w:t>
      </w:r>
      <w:r/>
    </w:p>
    <w:p>
      <w:pPr>
        <w:pStyle w:val="954"/>
        <w:numPr>
          <w:ilvl w:val="1"/>
          <w:numId w:val="26"/>
        </w:numPr>
        <w:spacing w:line="400" w:lineRule="exact"/>
        <w:tabs>
          <w:tab w:val="left" w:pos="540" w:leader="none"/>
        </w:tabs>
        <w:rPr>
          <w:rFonts w:hint="eastAsia"/>
          <w:sz w:val="21"/>
          <w:szCs w:val="21"/>
        </w:rPr>
      </w:pPr>
      <w:r>
        <w:rPr>
          <w:rFonts w:hint="eastAsia"/>
          <w:sz w:val="21"/>
          <w:szCs w:val="21"/>
        </w:rPr>
        <w:t xml:space="preserve">投标人在提交投标文件截止时间前，可对其投标文件进行撤回或修改。</w:t>
      </w:r>
      <w:r/>
    </w:p>
    <w:p>
      <w:pPr>
        <w:pStyle w:val="954"/>
        <w:numPr>
          <w:ilvl w:val="1"/>
          <w:numId w:val="26"/>
        </w:numPr>
        <w:spacing w:line="400" w:lineRule="exact"/>
        <w:tabs>
          <w:tab w:val="left" w:pos="540" w:leader="none"/>
        </w:tabs>
        <w:rPr>
          <w:rFonts w:hint="eastAsia"/>
          <w:sz w:val="21"/>
          <w:szCs w:val="21"/>
        </w:rPr>
      </w:pPr>
      <w:r>
        <w:rPr>
          <w:sz w:val="21"/>
          <w:szCs w:val="21"/>
        </w:rPr>
        <w:t xml:space="preserve">开标后投标人不得撤回投标</w:t>
      </w:r>
      <w:r>
        <w:rPr>
          <w:rFonts w:hint="eastAsia"/>
          <w:sz w:val="21"/>
          <w:szCs w:val="21"/>
        </w:rPr>
        <w:t xml:space="preserve">。</w:t>
      </w:r>
      <w:r/>
    </w:p>
    <w:p>
      <w:pPr>
        <w:pStyle w:val="954"/>
        <w:numPr>
          <w:ilvl w:val="0"/>
          <w:numId w:val="5"/>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开标和评标</w:t>
      </w:r>
      <w:r/>
    </w:p>
    <w:p>
      <w:pPr>
        <w:pStyle w:val="954"/>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开标</w:t>
      </w:r>
      <w:r/>
    </w:p>
    <w:p>
      <w:pPr>
        <w:pStyle w:val="954"/>
        <w:numPr>
          <w:ilvl w:val="1"/>
          <w:numId w:val="27"/>
        </w:numPr>
        <w:spacing w:line="400" w:lineRule="exact"/>
        <w:tabs>
          <w:tab w:val="left" w:pos="540" w:leader="none"/>
        </w:tabs>
        <w:rPr>
          <w:rFonts w:hint="eastAsia"/>
          <w:sz w:val="21"/>
          <w:szCs w:val="21"/>
        </w:rPr>
      </w:pPr>
      <w:r>
        <w:rPr>
          <w:rFonts w:hint="eastAsia"/>
          <w:sz w:val="21"/>
          <w:szCs w:val="21"/>
        </w:rPr>
        <w:t xml:space="preserve">采购代理机构按采购公告规定的时间、地点主持不见面开标活动。开标仪式由采购代理机构主持。</w:t>
      </w:r>
      <w:r/>
    </w:p>
    <w:p>
      <w:pPr>
        <w:pStyle w:val="954"/>
        <w:numPr>
          <w:ilvl w:val="1"/>
          <w:numId w:val="27"/>
        </w:numPr>
        <w:spacing w:line="400" w:lineRule="exact"/>
        <w:tabs>
          <w:tab w:val="left" w:pos="540" w:leader="none"/>
        </w:tabs>
        <w:rPr>
          <w:rFonts w:hint="eastAsia"/>
          <w:sz w:val="21"/>
          <w:szCs w:val="21"/>
        </w:rPr>
      </w:pPr>
      <w:r>
        <w:rPr>
          <w:rFonts w:hint="eastAsia"/>
          <w:sz w:val="21"/>
          <w:szCs w:val="21"/>
        </w:rPr>
        <w:t xml:space="preserve">参加开标的投标法定代表人或授权代理人须在项目开标前登录苏采云不见面开标系统，进入网上不见面开标大厅，做好相关准备工作</w:t>
      </w:r>
      <w:r>
        <w:rPr>
          <w:sz w:val="21"/>
          <w:szCs w:val="21"/>
        </w:rPr>
        <w:t xml:space="preserve">。</w:t>
      </w:r>
      <w:r>
        <w:rPr>
          <w:rFonts w:hint="eastAsia"/>
          <w:sz w:val="21"/>
          <w:szCs w:val="21"/>
        </w:rPr>
      </w:r>
      <w:r/>
    </w:p>
    <w:p>
      <w:pPr>
        <w:pStyle w:val="954"/>
        <w:numPr>
          <w:ilvl w:val="1"/>
          <w:numId w:val="27"/>
        </w:numPr>
        <w:spacing w:line="400" w:lineRule="exact"/>
        <w:tabs>
          <w:tab w:val="left" w:pos="540" w:leader="none"/>
        </w:tabs>
        <w:rPr>
          <w:rFonts w:hint="eastAsia"/>
          <w:sz w:val="21"/>
          <w:szCs w:val="21"/>
        </w:rPr>
      </w:pPr>
      <w:r>
        <w:rPr>
          <w:rFonts w:hint="eastAsia"/>
          <w:sz w:val="21"/>
          <w:szCs w:val="21"/>
        </w:rPr>
        <w:t xml:space="preserve">本项目开标后在规定的解密时间内，投标人须自行登录网上开标大厅解密投标文件，解密时间为</w:t>
      </w:r>
      <w:r>
        <w:rPr>
          <w:sz w:val="21"/>
          <w:szCs w:val="21"/>
        </w:rPr>
        <w:t xml:space="preserve">15分钟，因自身原因导致解密失败的，由投标人自行承担相关责任</w:t>
      </w:r>
      <w:r>
        <w:rPr>
          <w:rFonts w:hint="eastAsia"/>
          <w:sz w:val="21"/>
          <w:szCs w:val="21"/>
        </w:rPr>
        <w:t xml:space="preserve">。</w:t>
      </w:r>
      <w:r/>
    </w:p>
    <w:p>
      <w:pPr>
        <w:pStyle w:val="954"/>
        <w:numPr>
          <w:ilvl w:val="1"/>
          <w:numId w:val="27"/>
        </w:numPr>
        <w:spacing w:line="400" w:lineRule="exact"/>
        <w:tabs>
          <w:tab w:val="left" w:pos="540" w:leader="none"/>
        </w:tabs>
        <w:rPr>
          <w:rFonts w:hint="eastAsia"/>
          <w:sz w:val="21"/>
          <w:szCs w:val="21"/>
        </w:rPr>
      </w:pPr>
      <w:r>
        <w:rPr>
          <w:rFonts w:hint="eastAsia"/>
          <w:sz w:val="21"/>
          <w:szCs w:val="21"/>
        </w:rPr>
        <w:t xml:space="preserve">招标采购单位在开标仪式上，将公布投标人的名称、投标价格及其投标的修改、投标的撤回等，并将作唱标记录。</w:t>
      </w:r>
      <w:r/>
    </w:p>
    <w:p>
      <w:pPr>
        <w:pStyle w:val="954"/>
        <w:numPr>
          <w:ilvl w:val="1"/>
          <w:numId w:val="27"/>
        </w:numPr>
        <w:spacing w:line="400" w:lineRule="exact"/>
        <w:tabs>
          <w:tab w:val="left" w:pos="540" w:leader="none"/>
        </w:tabs>
        <w:rPr>
          <w:rFonts w:hint="eastAsia"/>
          <w:sz w:val="21"/>
          <w:szCs w:val="21"/>
        </w:rPr>
      </w:pPr>
      <w:r>
        <w:rPr>
          <w:rFonts w:hint="eastAsia" w:cs="Arial"/>
          <w:sz w:val="21"/>
          <w:szCs w:val="21"/>
        </w:rPr>
        <w:t xml:space="preserve">投标人代表对开标过程和开标记录有疑义，以及认为采购人、采购代理机构相关工作人员有需要回避的情形的，应通过不见面开标大厅提出</w:t>
      </w:r>
      <w:r>
        <w:rPr>
          <w:rFonts w:hint="eastAsia" w:cs="Arial"/>
          <w:sz w:val="21"/>
          <w:szCs w:val="21"/>
        </w:rPr>
        <w:t xml:space="preserve">询问或者回避申请。采购人、采购代理机构对投标人代表提出的询问或者回避申请应当及时处理</w:t>
      </w:r>
      <w:r>
        <w:rPr>
          <w:rFonts w:hint="eastAsia"/>
          <w:sz w:val="21"/>
          <w:szCs w:val="21"/>
        </w:rPr>
        <w:t xml:space="preserve">。</w:t>
      </w:r>
      <w:r/>
    </w:p>
    <w:p>
      <w:pPr>
        <w:pStyle w:val="954"/>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评标委员会</w:t>
      </w:r>
      <w:r/>
    </w:p>
    <w:p>
      <w:pPr>
        <w:pStyle w:val="954"/>
        <w:numPr>
          <w:ilvl w:val="1"/>
          <w:numId w:val="28"/>
        </w:numPr>
        <w:spacing w:line="400" w:lineRule="exact"/>
        <w:tabs>
          <w:tab w:val="left" w:pos="540" w:leader="none"/>
        </w:tabs>
        <w:rPr>
          <w:rFonts w:hint="eastAsia"/>
          <w:sz w:val="21"/>
          <w:szCs w:val="21"/>
        </w:rPr>
      </w:pPr>
      <w:r>
        <w:rPr>
          <w:rFonts w:hint="eastAsia"/>
          <w:sz w:val="21"/>
          <w:szCs w:val="21"/>
        </w:rPr>
        <w:t xml:space="preserve">评标委员会由招标采购单位依法组建，负责本项目的评标事务。</w:t>
      </w:r>
      <w:r/>
    </w:p>
    <w:p>
      <w:pPr>
        <w:pStyle w:val="954"/>
        <w:numPr>
          <w:ilvl w:val="1"/>
          <w:numId w:val="28"/>
        </w:numPr>
        <w:spacing w:line="400" w:lineRule="exact"/>
        <w:tabs>
          <w:tab w:val="left" w:pos="540" w:leader="none"/>
        </w:tabs>
        <w:rPr>
          <w:rFonts w:hint="eastAsia"/>
          <w:sz w:val="21"/>
          <w:szCs w:val="21"/>
        </w:rPr>
      </w:pPr>
      <w:r>
        <w:rPr>
          <w:rFonts w:hint="eastAsia"/>
          <w:sz w:val="21"/>
          <w:szCs w:val="21"/>
        </w:rPr>
        <w:t xml:space="preserve">评标委员会独立履行下列职责：</w:t>
      </w:r>
      <w:r/>
    </w:p>
    <w:p>
      <w:pPr>
        <w:pStyle w:val="969"/>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.2.1审查投标文件是否符合招标文件的要求，并作评价；</w:t>
      </w:r>
      <w:r/>
    </w:p>
    <w:p>
      <w:pPr>
        <w:pStyle w:val="969"/>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.2.2可要求投标供应商对投标文件有关事项作解释或澄清；</w:t>
      </w:r>
      <w:r/>
    </w:p>
    <w:p>
      <w:pPr>
        <w:pStyle w:val="969"/>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.2.3</w:t>
      </w:r>
      <w:r>
        <w:rPr>
          <w:rFonts w:ascii="宋体" w:hAnsi="宋体" w:eastAsia="宋体"/>
          <w:sz w:val="21"/>
          <w:szCs w:val="21"/>
        </w:rPr>
        <w:t xml:space="preserve">评标委员会负责本次招标的评标活动，向招标人推荐中标</w:t>
      </w:r>
      <w:r>
        <w:rPr>
          <w:rFonts w:hint="eastAsia" w:ascii="宋体" w:hAnsi="宋体" w:eastAsia="宋体"/>
          <w:sz w:val="21"/>
          <w:szCs w:val="21"/>
        </w:rPr>
        <w:t xml:space="preserve">供应商；</w:t>
      </w:r>
      <w:r/>
    </w:p>
    <w:p>
      <w:pPr>
        <w:pStyle w:val="969"/>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.2.4向招标采购单位或者有关部门报告非法干预评标工作的行为。</w:t>
      </w:r>
      <w:r/>
    </w:p>
    <w:p>
      <w:pPr>
        <w:pStyle w:val="954"/>
        <w:numPr>
          <w:ilvl w:val="1"/>
          <w:numId w:val="28"/>
        </w:numPr>
        <w:spacing w:line="400" w:lineRule="exact"/>
        <w:tabs>
          <w:tab w:val="left" w:pos="540" w:leader="none"/>
        </w:tabs>
        <w:rPr>
          <w:rFonts w:hint="eastAsia"/>
          <w:sz w:val="21"/>
          <w:szCs w:val="21"/>
        </w:rPr>
      </w:pPr>
      <w:r>
        <w:rPr>
          <w:rFonts w:hint="eastAsia"/>
          <w:sz w:val="21"/>
          <w:szCs w:val="21"/>
        </w:rPr>
        <w:t xml:space="preserve">评标委员会成员应当履行下列义务：</w:t>
      </w:r>
      <w:r/>
    </w:p>
    <w:p>
      <w:pPr>
        <w:pStyle w:val="969"/>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.3.1遵纪守法，客观、公正、廉洁地履行职责；</w:t>
      </w:r>
      <w:r/>
    </w:p>
    <w:p>
      <w:pPr>
        <w:pStyle w:val="969"/>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.3.2按照招标文件规定的评标办法和评标标准进行评标，对评审意见承担个人责任；</w:t>
      </w:r>
      <w:r/>
    </w:p>
    <w:p>
      <w:pPr>
        <w:pStyle w:val="969"/>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.3.3对评标过程和结果，以及投标人的商业秘密保密；</w:t>
      </w:r>
      <w:r/>
    </w:p>
    <w:p>
      <w:pPr>
        <w:pStyle w:val="969"/>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.3.4参与评标报告的起草；</w:t>
      </w:r>
      <w:r/>
    </w:p>
    <w:p>
      <w:pPr>
        <w:pStyle w:val="969"/>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.3.5配合相关部门的投诉处理工作；</w:t>
      </w:r>
      <w:r/>
    </w:p>
    <w:p>
      <w:pPr>
        <w:pStyle w:val="969"/>
        <w:ind w:firstLine="525"/>
        <w:jc w:val="both"/>
        <w:spacing w:line="400" w:lineRule="exact"/>
        <w:rPr>
          <w:rFonts w:hint="eastAsia" w:ascii="宋体" w:hAnsi="宋体" w:eastAsia="宋体" w:cs="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.3.6配合招标采购单位答复投标供应商提出的质疑</w:t>
      </w:r>
      <w:r>
        <w:rPr>
          <w:rFonts w:hint="eastAsia" w:ascii="宋体" w:hAnsi="宋体" w:eastAsia="宋体" w:cs="宋体"/>
          <w:sz w:val="21"/>
          <w:szCs w:val="21"/>
        </w:rPr>
        <w:t xml:space="preserve">。</w:t>
      </w:r>
      <w:r/>
    </w:p>
    <w:p>
      <w:pPr>
        <w:pStyle w:val="954"/>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评标内容的保密</w:t>
      </w:r>
      <w:r/>
    </w:p>
    <w:p>
      <w:pPr>
        <w:pStyle w:val="954"/>
        <w:numPr>
          <w:ilvl w:val="1"/>
          <w:numId w:val="29"/>
        </w:numPr>
        <w:spacing w:line="400" w:lineRule="exact"/>
        <w:tabs>
          <w:tab w:val="left" w:pos="540" w:leader="none"/>
        </w:tabs>
        <w:rPr>
          <w:rFonts w:hint="eastAsia"/>
          <w:sz w:val="21"/>
          <w:szCs w:val="21"/>
        </w:rPr>
      </w:pPr>
      <w:r>
        <w:rPr>
          <w:rFonts w:hint="eastAsia"/>
          <w:sz w:val="21"/>
          <w:szCs w:val="21"/>
        </w:rPr>
        <w:t xml:space="preserve">公开开标后，直到宣布授予中标供应商合同为止，凡属于审查、澄清、评价和比较投标的所有资料，有关授予合同的信息都不应向投标人或与评标无关的其他人泄露。</w:t>
      </w:r>
      <w:r/>
    </w:p>
    <w:p>
      <w:pPr>
        <w:pStyle w:val="954"/>
        <w:numPr>
          <w:ilvl w:val="1"/>
          <w:numId w:val="29"/>
        </w:numPr>
        <w:spacing w:line="400" w:lineRule="exact"/>
        <w:tabs>
          <w:tab w:val="left" w:pos="540" w:leader="none"/>
        </w:tabs>
        <w:rPr>
          <w:rFonts w:hint="eastAsia"/>
          <w:sz w:val="21"/>
          <w:szCs w:val="21"/>
        </w:rPr>
      </w:pPr>
      <w:r>
        <w:rPr>
          <w:rFonts w:hint="eastAsia"/>
          <w:sz w:val="21"/>
          <w:szCs w:val="21"/>
        </w:rPr>
        <w:t xml:space="preserve">在投标文件的审查、澄清、评价和比较以及授予合同的过</w:t>
      </w:r>
      <w:r>
        <w:rPr>
          <w:rFonts w:hint="eastAsia"/>
          <w:sz w:val="21"/>
          <w:szCs w:val="21"/>
        </w:rPr>
        <w:t xml:space="preserve">程中，投标人对招标采购单位和评标委员会成员施加影响的任何行为，都将取消其投标资格。</w:t>
      </w:r>
      <w:r/>
    </w:p>
    <w:p>
      <w:pPr>
        <w:pStyle w:val="954"/>
        <w:numPr>
          <w:ilvl w:val="1"/>
          <w:numId w:val="29"/>
        </w:numPr>
        <w:spacing w:line="400" w:lineRule="exact"/>
        <w:tabs>
          <w:tab w:val="left" w:pos="540" w:leader="none"/>
        </w:tabs>
        <w:rPr>
          <w:rFonts w:hint="eastAsia" w:cs="宋体"/>
          <w:sz w:val="21"/>
          <w:szCs w:val="21"/>
        </w:rPr>
      </w:pPr>
      <w:r>
        <w:rPr>
          <w:rFonts w:hint="eastAsia"/>
          <w:sz w:val="21"/>
          <w:szCs w:val="21"/>
        </w:rPr>
        <w:t xml:space="preserve">在评标期间，招标采购单位将通过指定联络人与投标人进行联系</w:t>
      </w:r>
      <w:r>
        <w:rPr>
          <w:rFonts w:hint="eastAsia" w:cs="宋体"/>
          <w:sz w:val="21"/>
          <w:szCs w:val="21"/>
        </w:rPr>
        <w:t xml:space="preserve">。</w:t>
      </w:r>
      <w:r/>
    </w:p>
    <w:p>
      <w:pPr>
        <w:pStyle w:val="954"/>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对投标文件初审</w:t>
      </w:r>
      <w:r/>
    </w:p>
    <w:p>
      <w:pPr>
        <w:pStyle w:val="954"/>
        <w:numPr>
          <w:ilvl w:val="1"/>
          <w:numId w:val="30"/>
        </w:numPr>
        <w:spacing w:line="400" w:lineRule="exact"/>
        <w:tabs>
          <w:tab w:val="left" w:pos="540" w:leader="none"/>
        </w:tabs>
        <w:rPr>
          <w:sz w:val="21"/>
          <w:szCs w:val="21"/>
        </w:rPr>
      </w:pPr>
      <w:r>
        <w:rPr>
          <w:sz w:val="21"/>
          <w:szCs w:val="21"/>
        </w:rPr>
        <w:t xml:space="preserve">投标文件初审分为资格性检查和符合性检查。</w:t>
      </w:r>
      <w:r/>
    </w:p>
    <w:p>
      <w:pPr>
        <w:pStyle w:val="954"/>
        <w:ind w:left="360"/>
        <w:spacing w:line="400" w:lineRule="exact"/>
        <w:tabs>
          <w:tab w:val="left" w:pos="540" w:leader="none"/>
        </w:tabs>
        <w:rPr>
          <w:sz w:val="21"/>
          <w:szCs w:val="21"/>
        </w:rPr>
      </w:pPr>
      <w:r>
        <w:rPr>
          <w:sz w:val="21"/>
          <w:szCs w:val="21"/>
        </w:rPr>
        <w:t xml:space="preserve">28.1.1资格性检查。依据法律法规和招标文件的规定，采购人或者采购代理机构依法对投标人的资格进行审查。对投标文件中的资格证明等进行审查，以确定投标供应商是否具备投标资格。</w:t>
      </w:r>
      <w:r/>
    </w:p>
    <w:p>
      <w:pPr>
        <w:pStyle w:val="954"/>
        <w:ind w:left="360"/>
        <w:spacing w:line="400" w:lineRule="exact"/>
        <w:tabs>
          <w:tab w:val="left" w:pos="540" w:leader="none"/>
        </w:tabs>
        <w:rPr>
          <w:sz w:val="21"/>
          <w:szCs w:val="21"/>
        </w:rPr>
      </w:pPr>
      <w:r>
        <w:rPr>
          <w:sz w:val="21"/>
          <w:szCs w:val="21"/>
        </w:rPr>
        <w:t xml:space="preserve">28.1.2 关于信用记录查询：</w:t>
      </w:r>
      <w:r/>
    </w:p>
    <w:p>
      <w:pPr>
        <w:pStyle w:val="954"/>
        <w:ind w:left="360"/>
        <w:spacing w:line="400" w:lineRule="exact"/>
        <w:tabs>
          <w:tab w:val="left" w:pos="540" w:leader="none"/>
        </w:tabs>
        <w:rPr>
          <w:sz w:val="21"/>
          <w:szCs w:val="21"/>
        </w:rPr>
      </w:pPr>
      <w:r>
        <w:rPr>
          <w:rFonts w:hint="eastAsia"/>
          <w:sz w:val="21"/>
          <w:szCs w:val="21"/>
        </w:rPr>
        <w:t xml:space="preserve">根据政府采购法及相关法规，以及《国务院关于建立完善守信联合激励和失信联合惩戒制度加快推进社会诚信建设的指导意见》（国发〔</w:t>
      </w:r>
      <w:r>
        <w:rPr>
          <w:sz w:val="21"/>
          <w:szCs w:val="21"/>
        </w:rPr>
        <w:t xml:space="preserve">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954"/>
        <w:ind w:left="360"/>
        <w:spacing w:line="400" w:lineRule="exact"/>
        <w:tabs>
          <w:tab w:val="left" w:pos="540" w:leader="none"/>
        </w:tabs>
        <w:rPr>
          <w:sz w:val="21"/>
          <w:szCs w:val="21"/>
        </w:rPr>
      </w:pPr>
      <w:r>
        <w:rPr>
          <w:sz w:val="21"/>
          <w:szCs w:val="21"/>
        </w:rPr>
        <w:t xml:space="preserve">28.1.2.1查询时间：评标开始前</w:t>
      </w:r>
      <w:r/>
    </w:p>
    <w:p>
      <w:pPr>
        <w:pStyle w:val="954"/>
        <w:ind w:left="360"/>
        <w:spacing w:line="400" w:lineRule="exact"/>
        <w:tabs>
          <w:tab w:val="left" w:pos="540" w:leader="none"/>
        </w:tabs>
        <w:rPr>
          <w:sz w:val="21"/>
          <w:szCs w:val="21"/>
        </w:rPr>
      </w:pPr>
      <w:r>
        <w:rPr>
          <w:sz w:val="21"/>
          <w:szCs w:val="21"/>
        </w:rPr>
        <w:t xml:space="preserve">28.1.2.2查询渠道：通过“信用中国”网站、中国政府采购网等渠道查询相关主体信用记录。</w:t>
      </w:r>
      <w:r/>
    </w:p>
    <w:p>
      <w:pPr>
        <w:pStyle w:val="954"/>
        <w:ind w:left="360"/>
        <w:spacing w:line="400" w:lineRule="exact"/>
        <w:tabs>
          <w:tab w:val="left" w:pos="540" w:leader="none"/>
        </w:tabs>
        <w:rPr>
          <w:sz w:val="21"/>
          <w:szCs w:val="21"/>
        </w:rPr>
      </w:pPr>
      <w:r>
        <w:rPr>
          <w:sz w:val="21"/>
          <w:szCs w:val="21"/>
        </w:rPr>
        <w:t xml:space="preserve">28.1.2.3查询证据留存方式：对存在失信信息的供应商，采购人或者采购代理机构应填写《政府采购供</w:t>
      </w:r>
      <w:r>
        <w:rPr>
          <w:sz w:val="21"/>
          <w:szCs w:val="21"/>
        </w:rPr>
        <w:t xml:space="preserve">应商失信信息确认函》，由失信供应商签名确认。同时，采购代理机构工作人员应根据失信信息，登陆到来源网站页面进行复核并打印，作为证据留存。</w:t>
      </w:r>
      <w:r/>
    </w:p>
    <w:p>
      <w:pPr>
        <w:pStyle w:val="954"/>
        <w:ind w:left="360"/>
        <w:spacing w:line="400" w:lineRule="exact"/>
        <w:tabs>
          <w:tab w:val="left" w:pos="540" w:leader="none"/>
        </w:tabs>
        <w:rPr>
          <w:sz w:val="21"/>
          <w:szCs w:val="21"/>
        </w:rPr>
      </w:pPr>
      <w:r>
        <w:rPr>
          <w:sz w:val="21"/>
          <w:szCs w:val="21"/>
        </w:rPr>
        <w:t xml:space="preserve">28.1.2.4信用记录使用规则：评审小组在对供应商进行资格性审查时，应根据查询结果对供应商的不良信用记录逐项甄别确认。</w:t>
      </w:r>
      <w:r/>
    </w:p>
    <w:p>
      <w:pPr>
        <w:pStyle w:val="954"/>
        <w:ind w:left="360"/>
        <w:spacing w:line="400" w:lineRule="exact"/>
        <w:tabs>
          <w:tab w:val="left" w:pos="540" w:leader="none"/>
        </w:tabs>
        <w:rPr>
          <w:sz w:val="21"/>
          <w:szCs w:val="21"/>
        </w:rPr>
      </w:pPr>
      <w:r>
        <w:rPr>
          <w:sz w:val="21"/>
          <w:szCs w:val="21"/>
        </w:rPr>
        <w:t xml:space="preserve">28.1.3符合性检查。依据招标文件的规定，从投标文件的有效性、完整性和对招标文件的响应程度进行审查，以确定是否对招标文件的实质性要求作出响应。</w:t>
      </w:r>
      <w:r/>
    </w:p>
    <w:p>
      <w:pPr>
        <w:pStyle w:val="954"/>
        <w:numPr>
          <w:ilvl w:val="1"/>
          <w:numId w:val="30"/>
        </w:numPr>
        <w:spacing w:line="400" w:lineRule="exact"/>
        <w:tabs>
          <w:tab w:val="left" w:pos="540" w:leader="none"/>
        </w:tabs>
        <w:rPr>
          <w:sz w:val="21"/>
          <w:szCs w:val="21"/>
        </w:rPr>
      </w:pPr>
      <w:r>
        <w:rPr>
          <w:sz w:val="21"/>
          <w:szCs w:val="21"/>
        </w:rPr>
        <w:t xml:space="preserve">开标后，评标委员会将审查投标文件是否实质性响应招标文件的要求、内容是否完整、价格构成有无计算错误、文件签署是否齐全等。投标文件属下列情况之一的，评标委员会将按无效投标处理：</w:t>
      </w:r>
      <w:r/>
    </w:p>
    <w:p>
      <w:pPr>
        <w:pStyle w:val="954"/>
        <w:ind w:left="360"/>
        <w:spacing w:line="400" w:lineRule="exact"/>
        <w:tabs>
          <w:tab w:val="left" w:pos="540" w:leader="none"/>
        </w:tabs>
        <w:rPr>
          <w:sz w:val="21"/>
          <w:szCs w:val="21"/>
        </w:rPr>
      </w:pPr>
      <w:r>
        <w:rPr>
          <w:sz w:val="21"/>
          <w:szCs w:val="21"/>
        </w:rPr>
        <w:t xml:space="preserve">28.2.1不同投标人的投标文件由同一单位或者个人编制；</w:t>
      </w:r>
      <w:r/>
    </w:p>
    <w:p>
      <w:pPr>
        <w:pStyle w:val="954"/>
        <w:ind w:left="360"/>
        <w:spacing w:line="400" w:lineRule="exact"/>
        <w:tabs>
          <w:tab w:val="left" w:pos="540" w:leader="none"/>
        </w:tabs>
        <w:rPr>
          <w:sz w:val="21"/>
          <w:szCs w:val="21"/>
        </w:rPr>
      </w:pPr>
      <w:r>
        <w:rPr>
          <w:sz w:val="21"/>
          <w:szCs w:val="21"/>
        </w:rPr>
        <w:t xml:space="preserve">28.2.2不同投标人委托同一单位或者个人办理投标事宜；</w:t>
      </w:r>
      <w:r/>
    </w:p>
    <w:p>
      <w:pPr>
        <w:pStyle w:val="954"/>
        <w:ind w:left="360"/>
        <w:spacing w:line="400" w:lineRule="exact"/>
        <w:tabs>
          <w:tab w:val="left" w:pos="540" w:leader="none"/>
        </w:tabs>
        <w:rPr>
          <w:sz w:val="21"/>
          <w:szCs w:val="21"/>
        </w:rPr>
      </w:pPr>
      <w:r>
        <w:rPr>
          <w:sz w:val="21"/>
          <w:szCs w:val="21"/>
        </w:rPr>
        <w:t xml:space="preserve">28.2.3不同投标人的投标文件载明的项目管理成员或者联系人员为同一人；</w:t>
      </w:r>
      <w:r/>
    </w:p>
    <w:p>
      <w:pPr>
        <w:pStyle w:val="954"/>
        <w:ind w:left="360"/>
        <w:spacing w:line="400" w:lineRule="exact"/>
        <w:tabs>
          <w:tab w:val="left" w:pos="540" w:leader="none"/>
        </w:tabs>
        <w:rPr>
          <w:sz w:val="21"/>
          <w:szCs w:val="21"/>
        </w:rPr>
      </w:pPr>
      <w:r>
        <w:rPr>
          <w:sz w:val="21"/>
          <w:szCs w:val="21"/>
        </w:rPr>
        <w:t xml:space="preserve">28.2.4不同投标人的投标文件异常一致或者投标报价呈规律性差异；</w:t>
      </w:r>
      <w:r/>
    </w:p>
    <w:p>
      <w:pPr>
        <w:pStyle w:val="954"/>
        <w:ind w:left="360"/>
        <w:spacing w:line="400" w:lineRule="exact"/>
        <w:tabs>
          <w:tab w:val="left" w:pos="540" w:leader="none"/>
        </w:tabs>
        <w:rPr>
          <w:sz w:val="21"/>
          <w:szCs w:val="21"/>
        </w:rPr>
      </w:pPr>
      <w:r>
        <w:rPr>
          <w:sz w:val="21"/>
          <w:szCs w:val="21"/>
        </w:rPr>
        <w:t xml:space="preserve">28.2.5不同投标人的投标文件相互混装；</w:t>
      </w:r>
      <w:r/>
    </w:p>
    <w:p>
      <w:pPr>
        <w:pStyle w:val="954"/>
        <w:numPr>
          <w:ilvl w:val="1"/>
          <w:numId w:val="30"/>
        </w:numPr>
        <w:spacing w:line="400" w:lineRule="exact"/>
        <w:tabs>
          <w:tab w:val="left" w:pos="540" w:leader="none"/>
        </w:tabs>
        <w:rPr>
          <w:sz w:val="21"/>
          <w:szCs w:val="21"/>
        </w:rPr>
      </w:pPr>
      <w:r>
        <w:rPr>
          <w:sz w:val="21"/>
          <w:szCs w:val="21"/>
        </w:rPr>
        <w:t xml:space="preserve">在详细评标之前，评标委员会将首先审查每份投标书是否实质响应了招标文件的要求。实质上响应的投标应该是与招标文件的全部条款、条件和规格相符，没有重大</w:t>
      </w:r>
      <w:r>
        <w:rPr>
          <w:sz w:val="21"/>
          <w:szCs w:val="21"/>
        </w:rPr>
        <w:t xml:space="preserve">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pStyle w:val="954"/>
        <w:numPr>
          <w:ilvl w:val="1"/>
          <w:numId w:val="30"/>
        </w:numPr>
        <w:spacing w:line="400" w:lineRule="exact"/>
        <w:tabs>
          <w:tab w:val="left" w:pos="540" w:leader="none"/>
        </w:tabs>
        <w:rPr>
          <w:sz w:val="21"/>
          <w:szCs w:val="21"/>
        </w:rPr>
      </w:pPr>
      <w:r>
        <w:rPr>
          <w:sz w:val="21"/>
          <w:szCs w:val="21"/>
        </w:rPr>
        <w:t xml:space="preserve">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pStyle w:val="954"/>
        <w:numPr>
          <w:ilvl w:val="1"/>
          <w:numId w:val="30"/>
        </w:numPr>
        <w:spacing w:line="400" w:lineRule="exact"/>
        <w:tabs>
          <w:tab w:val="left" w:pos="540" w:leader="none"/>
        </w:tabs>
        <w:rPr>
          <w:sz w:val="21"/>
          <w:szCs w:val="21"/>
        </w:rPr>
      </w:pPr>
      <w:r>
        <w:rPr>
          <w:sz w:val="21"/>
          <w:szCs w:val="21"/>
        </w:rPr>
        <w:t xml:space="preserve">评标委员会将允许修改投标中不构成重大偏离的微小的、非正规、不一致或不规则的地方，但这些修改不</w:t>
      </w:r>
      <w:r>
        <w:rPr>
          <w:sz w:val="21"/>
          <w:szCs w:val="21"/>
        </w:rPr>
        <w:t xml:space="preserve">能影响任何投标单位的名次相应排列。投标单位不得对招标文件进行实质性修改，否则投标文件将被拒绝。</w:t>
      </w:r>
      <w:r/>
    </w:p>
    <w:p>
      <w:pPr>
        <w:pStyle w:val="954"/>
        <w:numPr>
          <w:ilvl w:val="1"/>
          <w:numId w:val="30"/>
        </w:numPr>
        <w:spacing w:line="400" w:lineRule="exact"/>
        <w:tabs>
          <w:tab w:val="left" w:pos="540" w:leader="none"/>
        </w:tabs>
        <w:rPr>
          <w:sz w:val="21"/>
          <w:szCs w:val="21"/>
        </w:rPr>
      </w:pPr>
      <w:r>
        <w:rPr>
          <w:sz w:val="21"/>
          <w:szCs w:val="21"/>
        </w:rPr>
        <w:t xml:space="preserve">评标委员会将对确定为实质性响应的投标进行审核，看其是否有计算上或累加上的算术错误，修正错误的原则如下：</w:t>
      </w:r>
      <w:r/>
    </w:p>
    <w:p>
      <w:pPr>
        <w:pStyle w:val="954"/>
        <w:ind w:left="360"/>
        <w:spacing w:line="400" w:lineRule="exact"/>
        <w:tabs>
          <w:tab w:val="left" w:pos="540" w:leader="none"/>
        </w:tabs>
        <w:rPr>
          <w:sz w:val="21"/>
          <w:szCs w:val="21"/>
        </w:rPr>
      </w:pPr>
      <w:r>
        <w:rPr>
          <w:sz w:val="21"/>
          <w:szCs w:val="21"/>
        </w:rPr>
        <w:t xml:space="preserve">28.6.1投标文件中开标一览表（报价表）内容与投标文件中相应内容不一致的，以开标一览表（报价表）为准；</w:t>
      </w:r>
      <w:r/>
    </w:p>
    <w:p>
      <w:pPr>
        <w:pStyle w:val="954"/>
        <w:ind w:left="360"/>
        <w:spacing w:line="400" w:lineRule="exact"/>
        <w:tabs>
          <w:tab w:val="left" w:pos="540" w:leader="none"/>
        </w:tabs>
        <w:rPr>
          <w:sz w:val="21"/>
          <w:szCs w:val="21"/>
        </w:rPr>
      </w:pPr>
      <w:r>
        <w:rPr>
          <w:sz w:val="21"/>
          <w:szCs w:val="21"/>
        </w:rPr>
        <w:t xml:space="preserve">28.6.2大写金额和小写金额不一致的，以大写金额为准；</w:t>
      </w:r>
      <w:r/>
    </w:p>
    <w:p>
      <w:pPr>
        <w:pStyle w:val="954"/>
        <w:ind w:left="360"/>
        <w:spacing w:line="400" w:lineRule="exact"/>
        <w:tabs>
          <w:tab w:val="left" w:pos="540" w:leader="none"/>
        </w:tabs>
        <w:rPr>
          <w:sz w:val="21"/>
          <w:szCs w:val="21"/>
        </w:rPr>
      </w:pPr>
      <w:r>
        <w:rPr>
          <w:sz w:val="21"/>
          <w:szCs w:val="21"/>
        </w:rPr>
        <w:t xml:space="preserve">28.6.3单价金额小数点或者百分比有明显错位的，以开标一览表的总价为准，并修改单价；</w:t>
      </w:r>
      <w:r/>
    </w:p>
    <w:p>
      <w:pPr>
        <w:pStyle w:val="954"/>
        <w:ind w:left="360"/>
        <w:spacing w:line="400" w:lineRule="exact"/>
        <w:tabs>
          <w:tab w:val="left" w:pos="540" w:leader="none"/>
        </w:tabs>
        <w:rPr>
          <w:sz w:val="21"/>
          <w:szCs w:val="21"/>
        </w:rPr>
      </w:pPr>
      <w:r>
        <w:rPr>
          <w:sz w:val="21"/>
          <w:szCs w:val="21"/>
        </w:rPr>
        <w:t xml:space="preserve">28.6.4总</w:t>
      </w:r>
      <w:r>
        <w:rPr>
          <w:sz w:val="21"/>
          <w:szCs w:val="21"/>
        </w:rPr>
        <w:t xml:space="preserve">价金额与按单价汇总金额不一致的，以单价金额计算结果为准。</w:t>
      </w:r>
      <w:r/>
    </w:p>
    <w:p>
      <w:pPr>
        <w:pStyle w:val="954"/>
        <w:ind w:left="360"/>
        <w:spacing w:line="400" w:lineRule="exact"/>
        <w:tabs>
          <w:tab w:val="left" w:pos="540" w:leader="none"/>
        </w:tabs>
        <w:rPr>
          <w:sz w:val="21"/>
          <w:szCs w:val="21"/>
        </w:rPr>
      </w:pPr>
      <w:r>
        <w:rPr>
          <w:rFonts w:hint="eastAsia"/>
          <w:sz w:val="21"/>
          <w:szCs w:val="21"/>
        </w:rPr>
        <w:t xml:space="preserve">同时出现两种以上不一致的，按照前款规定的顺序修正。修正后的报价按照本须知</w:t>
      </w:r>
      <w:r>
        <w:rPr>
          <w:sz w:val="21"/>
          <w:szCs w:val="21"/>
        </w:rPr>
        <w:t xml:space="preserve">28.6条规定经投标人确认后产生约束力，投标人不确认的，其投标无效。</w:t>
      </w:r>
      <w:r/>
    </w:p>
    <w:p>
      <w:pPr>
        <w:pStyle w:val="954"/>
        <w:numPr>
          <w:ilvl w:val="1"/>
          <w:numId w:val="30"/>
        </w:numPr>
        <w:spacing w:line="400" w:lineRule="exact"/>
        <w:tabs>
          <w:tab w:val="left" w:pos="540" w:leader="none"/>
        </w:tabs>
        <w:rPr>
          <w:sz w:val="21"/>
          <w:szCs w:val="21"/>
        </w:rPr>
      </w:pPr>
      <w:r>
        <w:rPr>
          <w:rFonts w:hint="eastAsia"/>
          <w:sz w:val="21"/>
          <w:szCs w:val="21"/>
        </w:rPr>
        <w:t xml:space="preserve">根据（</w:t>
      </w:r>
      <w:r>
        <w:rPr>
          <w:rFonts w:hint="eastAsia"/>
          <w:sz w:val="21"/>
          <w:szCs w:val="21"/>
        </w:rPr>
        <w:t xml:space="preserve">财库〔2026〕2号</w:t>
      </w:r>
      <w:r>
        <w:rPr>
          <w:rFonts w:hint="eastAsia"/>
          <w:sz w:val="21"/>
          <w:szCs w:val="21"/>
        </w:rPr>
        <w:t xml:space="preserve">）关于推动解决政府采购异常低价问题的通知。</w:t>
      </w:r>
      <w:r>
        <w:rPr>
          <w:sz w:val="21"/>
          <w:szCs w:val="21"/>
        </w:rPr>
      </w:r>
      <w:r/>
    </w:p>
    <w:p>
      <w:pPr>
        <w:pStyle w:val="954"/>
        <w:ind w:left="440"/>
        <w:spacing w:line="400" w:lineRule="exact"/>
        <w:tabs>
          <w:tab w:val="left" w:pos="540" w:leader="none"/>
        </w:tabs>
        <w:rPr>
          <w:rFonts w:hint="eastAsia"/>
          <w:sz w:val="21"/>
          <w:szCs w:val="21"/>
        </w:rPr>
      </w:pPr>
      <w:r>
        <w:rPr>
          <w:rFonts w:hint="eastAsia"/>
          <w:sz w:val="21"/>
          <w:szCs w:val="21"/>
        </w:rPr>
        <w:t xml:space="preserve">28.7.1政府采购评审中出现下列情形之一的，评审委员会应当启动异常低价投标（响应）审查程序：</w:t>
      </w:r>
      <w:r/>
    </w:p>
    <w:p>
      <w:pPr>
        <w:pStyle w:val="954"/>
        <w:ind w:left="440"/>
        <w:spacing w:line="400" w:lineRule="exact"/>
        <w:tabs>
          <w:tab w:val="left" w:pos="540" w:leader="none"/>
        </w:tabs>
        <w:rPr>
          <w:rFonts w:hint="eastAsia"/>
          <w:sz w:val="21"/>
          <w:szCs w:val="21"/>
        </w:rPr>
      </w:pPr>
      <w:r>
        <w:rPr>
          <w:rFonts w:hint="eastAsia"/>
          <w:sz w:val="21"/>
          <w:szCs w:val="21"/>
        </w:rPr>
        <w:t xml:space="preserve">28.7.1.1投标（响应）报价低于全部通过符合性审查供应商投标（响应）报价平均值50%的，即投标（响应）报价&lt;全部通过符合性审查供应商投标（响应）报价平均值×50%；</w:t>
      </w:r>
      <w:r/>
    </w:p>
    <w:p>
      <w:pPr>
        <w:pStyle w:val="954"/>
        <w:ind w:left="440"/>
        <w:spacing w:line="400" w:lineRule="exact"/>
        <w:tabs>
          <w:tab w:val="left" w:pos="540" w:leader="none"/>
        </w:tabs>
        <w:rPr>
          <w:rFonts w:hint="eastAsia"/>
          <w:sz w:val="21"/>
          <w:szCs w:val="21"/>
        </w:rPr>
      </w:pPr>
      <w:r>
        <w:rPr>
          <w:rFonts w:hint="eastAsia"/>
          <w:sz w:val="21"/>
          <w:szCs w:val="21"/>
        </w:rPr>
        <w:t xml:space="preserve">28.7.1.2投标（响应）报价低于通过符合性审查的次低报价供应商投标（响应）报价50%的，即投标（响应）报价&lt;通过符合性审查的次低报价供应商投标（响应）报价×50%；</w:t>
      </w:r>
      <w:r/>
    </w:p>
    <w:p>
      <w:pPr>
        <w:pStyle w:val="954"/>
        <w:ind w:left="440"/>
        <w:spacing w:line="400" w:lineRule="exact"/>
        <w:tabs>
          <w:tab w:val="left" w:pos="540" w:leader="none"/>
        </w:tabs>
        <w:rPr>
          <w:rFonts w:hint="eastAsia"/>
          <w:sz w:val="21"/>
          <w:szCs w:val="21"/>
        </w:rPr>
      </w:pPr>
      <w:r>
        <w:rPr>
          <w:rFonts w:hint="eastAsia"/>
          <w:sz w:val="21"/>
          <w:szCs w:val="21"/>
        </w:rPr>
        <w:t xml:space="preserve">28.7.1.3投标（响应）报价低于采购项目最高限价45%的，即投标（响应）报价&lt;采购项目最高限价×45%；</w:t>
      </w:r>
      <w:r/>
    </w:p>
    <w:p>
      <w:pPr>
        <w:pStyle w:val="954"/>
        <w:ind w:left="440"/>
        <w:spacing w:line="400" w:lineRule="exact"/>
        <w:tabs>
          <w:tab w:val="left" w:pos="540" w:leader="none"/>
        </w:tabs>
        <w:rPr>
          <w:rFonts w:hint="eastAsia"/>
          <w:sz w:val="21"/>
          <w:szCs w:val="21"/>
        </w:rPr>
      </w:pPr>
      <w:r>
        <w:rPr>
          <w:rFonts w:hint="eastAsia"/>
          <w:sz w:val="21"/>
          <w:szCs w:val="21"/>
        </w:rPr>
        <w:t xml:space="preserve">28.7.1.4评审委员会基于专业判断，认为供应商报价过低，有可能影响产品质量或者不能诚信履约的其他情形。</w:t>
      </w:r>
      <w:r/>
    </w:p>
    <w:p>
      <w:pPr>
        <w:pStyle w:val="954"/>
        <w:ind w:left="440"/>
        <w:spacing w:line="400" w:lineRule="exact"/>
        <w:tabs>
          <w:tab w:val="left" w:pos="540" w:leader="none"/>
        </w:tabs>
        <w:rPr>
          <w:rFonts w:hint="eastAsia"/>
          <w:sz w:val="21"/>
          <w:szCs w:val="21"/>
        </w:rPr>
      </w:pPr>
      <w:r>
        <w:rPr>
          <w:rFonts w:hint="eastAsia"/>
          <w:sz w:val="21"/>
          <w:szCs w:val="21"/>
        </w:rPr>
        <w:t xml:space="preserve">28.7.2评审委员会启动异常低价投标（响应）审查后，属于前述第1项至第4项情形的，应当要求相关供应</w:t>
      </w:r>
      <w:r>
        <w:rPr>
          <w:rFonts w:hint="eastAsia"/>
          <w:sz w:val="21"/>
          <w:szCs w:val="21"/>
        </w:rPr>
        <w:t xml:space="preserve">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54"/>
        <w:ind w:left="440"/>
        <w:spacing w:line="400" w:lineRule="exact"/>
        <w:tabs>
          <w:tab w:val="left" w:pos="540" w:leader="none"/>
        </w:tabs>
        <w:rPr>
          <w:rFonts w:hint="eastAsia"/>
          <w:sz w:val="21"/>
          <w:szCs w:val="21"/>
        </w:rPr>
      </w:pPr>
      <w:r>
        <w:rPr>
          <w:rFonts w:hint="eastAsia"/>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54"/>
        <w:ind w:left="440"/>
        <w:spacing w:line="400" w:lineRule="exact"/>
        <w:tabs>
          <w:tab w:val="left" w:pos="540" w:leader="none"/>
        </w:tabs>
        <w:rPr>
          <w:rFonts w:hint="eastAsia"/>
          <w:sz w:val="21"/>
          <w:szCs w:val="21"/>
        </w:rPr>
      </w:pPr>
      <w:r>
        <w:rPr>
          <w:rFonts w:hint="eastAsia"/>
          <w:sz w:val="2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54"/>
        <w:ind w:left="440"/>
        <w:spacing w:line="400" w:lineRule="exact"/>
        <w:tabs>
          <w:tab w:val="left" w:pos="540" w:leader="none"/>
        </w:tabs>
        <w:rPr>
          <w:rFonts w:hint="eastAsia"/>
          <w:sz w:val="21"/>
          <w:szCs w:val="21"/>
        </w:rPr>
      </w:pPr>
      <w:r>
        <w:rPr>
          <w:rFonts w:hint="eastAsia"/>
          <w:sz w:val="21"/>
          <w:szCs w:val="21"/>
        </w:rPr>
        <w:t xml:space="preserve">异常低价投标（响应）审查的启动原因、审查意见和审查结果应当在评审报告中记录，并随供应商提供的相关书面说明及</w:t>
      </w:r>
      <w:r>
        <w:rPr>
          <w:rFonts w:hint="eastAsia"/>
          <w:sz w:val="21"/>
          <w:szCs w:val="21"/>
        </w:rPr>
        <w:t xml:space="preserve">证明材料，以及评审委员会有关互联网浏览、查询历史一并归档。</w:t>
      </w:r>
      <w:r/>
    </w:p>
    <w:p>
      <w:pPr>
        <w:pStyle w:val="954"/>
        <w:ind w:left="440"/>
        <w:spacing w:line="400" w:lineRule="exact"/>
        <w:tabs>
          <w:tab w:val="left" w:pos="540" w:leader="none"/>
        </w:tabs>
        <w:rPr>
          <w:rFonts w:hint="eastAsia"/>
          <w:sz w:val="21"/>
          <w:szCs w:val="21"/>
        </w:rPr>
      </w:pPr>
      <w:r>
        <w:rPr>
          <w:rFonts w:hint="eastAsia"/>
          <w:sz w:val="21"/>
          <w:szCs w:val="21"/>
        </w:rPr>
        <w:t xml:space="preserve">28.7.3各级财政部门应当加强对评审专家的指导和监管，进一步压实评审专家的责任。财政部门在投诉处理、监督检查中发现评审委员会未按规定对异常低价开展审查的，依法予以纠正并追究评审专家的法律责任。</w:t>
      </w:r>
      <w:r/>
    </w:p>
    <w:p>
      <w:pPr>
        <w:pStyle w:val="954"/>
        <w:numPr>
          <w:ilvl w:val="1"/>
          <w:numId w:val="30"/>
        </w:numPr>
        <w:spacing w:line="400" w:lineRule="exact"/>
        <w:tabs>
          <w:tab w:val="left" w:pos="540" w:leader="none"/>
        </w:tabs>
        <w:rPr>
          <w:sz w:val="21"/>
          <w:szCs w:val="21"/>
        </w:rPr>
      </w:pPr>
      <w:r>
        <w:rPr>
          <w:sz w:val="21"/>
          <w:szCs w:val="21"/>
        </w:rPr>
        <w:t xml:space="preserve">评标委员会对投标文件的判定，只依据投标内容本身，不依靠开标后的任何外来证明。</w:t>
      </w:r>
      <w:r/>
    </w:p>
    <w:p>
      <w:pPr>
        <w:pStyle w:val="954"/>
        <w:numPr>
          <w:ilvl w:val="1"/>
          <w:numId w:val="30"/>
        </w:numPr>
        <w:spacing w:line="400" w:lineRule="exact"/>
        <w:tabs>
          <w:tab w:val="left" w:pos="540" w:leader="none"/>
        </w:tabs>
        <w:rPr>
          <w:sz w:val="21"/>
          <w:szCs w:val="21"/>
        </w:rPr>
      </w:pPr>
      <w:r>
        <w:rPr>
          <w:sz w:val="21"/>
          <w:szCs w:val="21"/>
        </w:rPr>
        <w:t xml:space="preserve">评标委员会将拒绝被确定为非实质性响应的投标，投标人不能通过修正或撤销不符之处而使其投标成为实质性响应的投标</w:t>
      </w:r>
      <w:r>
        <w:rPr>
          <w:rFonts w:hint="eastAsia"/>
          <w:sz w:val="21"/>
          <w:szCs w:val="21"/>
        </w:rPr>
        <w:t xml:space="preserve">。</w:t>
      </w:r>
      <w:r>
        <w:rPr>
          <w:sz w:val="21"/>
          <w:szCs w:val="21"/>
        </w:rPr>
      </w:r>
      <w:r/>
    </w:p>
    <w:p>
      <w:pPr>
        <w:pStyle w:val="954"/>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投标的澄清</w:t>
      </w:r>
      <w:r/>
    </w:p>
    <w:p>
      <w:pPr>
        <w:pStyle w:val="954"/>
        <w:numPr>
          <w:ilvl w:val="1"/>
          <w:numId w:val="31"/>
        </w:numPr>
        <w:spacing w:line="400" w:lineRule="exact"/>
        <w:tabs>
          <w:tab w:val="left" w:pos="540" w:leader="none"/>
        </w:tabs>
        <w:rPr>
          <w:rFonts w:hint="eastAsia" w:cs="宋体"/>
          <w:sz w:val="21"/>
          <w:szCs w:val="21"/>
        </w:rPr>
      </w:pPr>
      <w:r>
        <w:rPr>
          <w:rFonts w:hint="eastAsia"/>
          <w:sz w:val="21"/>
          <w:szCs w:val="21"/>
        </w:rPr>
        <w:t xml:space="preserve">在投标文件中含有不明确、同类问题表述不一致或者有明显文字和计算错误的内容，评标委员会应当以书面（或电子件）形式（</w:t>
      </w:r>
      <w:r>
        <w:rPr>
          <w:rFonts w:hint="eastAsia"/>
          <w:sz w:val="21"/>
          <w:szCs w:val="21"/>
        </w:rPr>
        <w:t xml:space="preserve">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cs="宋体"/>
          <w:sz w:val="21"/>
          <w:szCs w:val="21"/>
        </w:rPr>
        <w:t xml:space="preserve">。</w:t>
      </w:r>
      <w:r/>
    </w:p>
    <w:p>
      <w:pPr>
        <w:pStyle w:val="954"/>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无效投标和废标</w:t>
      </w:r>
      <w:r/>
    </w:p>
    <w:p>
      <w:pPr>
        <w:pStyle w:val="954"/>
        <w:numPr>
          <w:ilvl w:val="1"/>
          <w:numId w:val="32"/>
        </w:numPr>
        <w:spacing w:line="400" w:lineRule="exact"/>
        <w:tabs>
          <w:tab w:val="left" w:pos="540" w:leader="none"/>
        </w:tabs>
        <w:rPr>
          <w:rFonts w:cs="宋体"/>
          <w:sz w:val="21"/>
          <w:szCs w:val="21"/>
        </w:rPr>
      </w:pPr>
      <w:r>
        <w:rPr>
          <w:rFonts w:cs="宋体"/>
          <w:sz w:val="21"/>
          <w:szCs w:val="21"/>
        </w:rPr>
        <w:t xml:space="preserve">无效投标的具体情形有：</w:t>
      </w:r>
      <w:r/>
    </w:p>
    <w:p>
      <w:pPr>
        <w:pStyle w:val="954"/>
        <w:ind w:left="709"/>
        <w:spacing w:line="400" w:lineRule="exact"/>
        <w:rPr>
          <w:rFonts w:cs="宋体"/>
          <w:sz w:val="21"/>
          <w:szCs w:val="21"/>
        </w:rPr>
      </w:pPr>
      <w:r>
        <w:rPr>
          <w:rFonts w:cs="宋体"/>
          <w:sz w:val="21"/>
          <w:szCs w:val="21"/>
        </w:rPr>
        <w:t xml:space="preserve">30.1.1投标文件未按招标文件要求签署、盖章或电子签章的；</w:t>
      </w:r>
      <w:r/>
    </w:p>
    <w:p>
      <w:pPr>
        <w:pStyle w:val="954"/>
        <w:ind w:left="709"/>
        <w:spacing w:line="400" w:lineRule="exact"/>
        <w:rPr>
          <w:rFonts w:cs="宋体"/>
          <w:sz w:val="21"/>
          <w:szCs w:val="21"/>
        </w:rPr>
      </w:pPr>
      <w:r>
        <w:rPr>
          <w:rFonts w:cs="宋体"/>
          <w:sz w:val="21"/>
          <w:szCs w:val="21"/>
        </w:rPr>
        <w:t xml:space="preserve">30.1.2不具备招标文件中规定的资格要求的；</w:t>
      </w:r>
      <w:r/>
    </w:p>
    <w:p>
      <w:pPr>
        <w:pStyle w:val="954"/>
        <w:ind w:left="709"/>
        <w:spacing w:line="400" w:lineRule="exact"/>
        <w:rPr>
          <w:rFonts w:cs="宋体"/>
          <w:sz w:val="21"/>
          <w:szCs w:val="21"/>
        </w:rPr>
      </w:pPr>
      <w:r>
        <w:rPr>
          <w:rFonts w:cs="宋体"/>
          <w:sz w:val="21"/>
          <w:szCs w:val="21"/>
        </w:rPr>
        <w:t xml:space="preserve">30.1.3报价超过招标文件中规定的预算金额或者最高限价的；</w:t>
      </w:r>
      <w:r/>
    </w:p>
    <w:p>
      <w:pPr>
        <w:pStyle w:val="954"/>
        <w:ind w:left="709"/>
        <w:spacing w:line="400" w:lineRule="exact"/>
        <w:rPr>
          <w:rFonts w:cs="宋体"/>
          <w:sz w:val="21"/>
          <w:szCs w:val="21"/>
        </w:rPr>
      </w:pPr>
      <w:r>
        <w:rPr>
          <w:rFonts w:cs="宋体"/>
          <w:sz w:val="21"/>
          <w:szCs w:val="21"/>
        </w:rPr>
        <w:t xml:space="preserve">30.1.4不同投标人的投标文件使用同一台电</w:t>
      </w:r>
      <w:r>
        <w:rPr>
          <w:rFonts w:cs="宋体"/>
          <w:sz w:val="21"/>
          <w:szCs w:val="21"/>
        </w:rPr>
        <w:t xml:space="preserve">脑编制的；</w:t>
      </w:r>
      <w:r/>
    </w:p>
    <w:p>
      <w:pPr>
        <w:pStyle w:val="954"/>
        <w:ind w:left="709"/>
        <w:spacing w:line="400" w:lineRule="exact"/>
        <w:rPr>
          <w:rFonts w:cs="宋体"/>
          <w:sz w:val="21"/>
          <w:szCs w:val="21"/>
        </w:rPr>
      </w:pPr>
      <w:r>
        <w:rPr>
          <w:rFonts w:cs="宋体"/>
          <w:sz w:val="21"/>
          <w:szCs w:val="21"/>
        </w:rPr>
        <w:t xml:space="preserve">30.1.5投标文件含有采购人不能接受的附加条件的；</w:t>
      </w:r>
      <w:r/>
    </w:p>
    <w:p>
      <w:pPr>
        <w:pStyle w:val="954"/>
        <w:ind w:left="709"/>
        <w:spacing w:line="400" w:lineRule="exact"/>
        <w:rPr>
          <w:rFonts w:cs="宋体"/>
          <w:sz w:val="21"/>
          <w:szCs w:val="21"/>
        </w:rPr>
      </w:pPr>
      <w:r>
        <w:rPr>
          <w:rFonts w:cs="宋体"/>
          <w:sz w:val="21"/>
          <w:szCs w:val="21"/>
        </w:rPr>
        <w:t xml:space="preserve">30.1.6法律、法规和招标文件规定的其他无效情形。</w:t>
      </w:r>
      <w:r/>
    </w:p>
    <w:p>
      <w:pPr>
        <w:pStyle w:val="954"/>
        <w:numPr>
          <w:ilvl w:val="1"/>
          <w:numId w:val="32"/>
        </w:numPr>
        <w:spacing w:line="400" w:lineRule="exact"/>
        <w:tabs>
          <w:tab w:val="left" w:pos="540" w:leader="none"/>
        </w:tabs>
        <w:rPr>
          <w:rFonts w:cs="宋体"/>
          <w:sz w:val="21"/>
          <w:szCs w:val="21"/>
        </w:rPr>
      </w:pPr>
      <w:r>
        <w:rPr>
          <w:rFonts w:cs="宋体"/>
          <w:sz w:val="21"/>
          <w:szCs w:val="21"/>
        </w:rPr>
        <w:t xml:space="preserve">在招标采购中，出现下列情形之一的，应予废标：</w:t>
      </w:r>
      <w:r/>
    </w:p>
    <w:p>
      <w:pPr>
        <w:pStyle w:val="954"/>
        <w:ind w:left="709"/>
        <w:spacing w:line="400" w:lineRule="exact"/>
        <w:rPr>
          <w:rFonts w:cs="宋体"/>
          <w:sz w:val="21"/>
          <w:szCs w:val="21"/>
        </w:rPr>
      </w:pPr>
      <w:r>
        <w:rPr>
          <w:rFonts w:cs="宋体"/>
          <w:sz w:val="21"/>
          <w:szCs w:val="21"/>
        </w:rPr>
        <w:t xml:space="preserve">30.2.1符合专业条件的供应商或者对招标文件作实质响应的供应商不足三家的；</w:t>
      </w:r>
      <w:r/>
    </w:p>
    <w:p>
      <w:pPr>
        <w:pStyle w:val="954"/>
        <w:ind w:left="709"/>
        <w:spacing w:line="400" w:lineRule="exact"/>
        <w:rPr>
          <w:rFonts w:cs="宋体"/>
          <w:sz w:val="21"/>
          <w:szCs w:val="21"/>
        </w:rPr>
      </w:pPr>
      <w:r>
        <w:rPr>
          <w:rFonts w:cs="宋体"/>
          <w:sz w:val="21"/>
          <w:szCs w:val="21"/>
        </w:rPr>
        <w:t xml:space="preserve">30.2.2出现影响采购公正的违法、违规行为的；</w:t>
      </w:r>
      <w:r/>
    </w:p>
    <w:p>
      <w:pPr>
        <w:pStyle w:val="954"/>
        <w:ind w:left="709"/>
        <w:spacing w:line="400" w:lineRule="exact"/>
        <w:rPr>
          <w:rFonts w:cs="宋体"/>
          <w:sz w:val="21"/>
          <w:szCs w:val="21"/>
        </w:rPr>
      </w:pPr>
      <w:r>
        <w:rPr>
          <w:rFonts w:cs="宋体"/>
          <w:sz w:val="21"/>
          <w:szCs w:val="21"/>
        </w:rPr>
        <w:t xml:space="preserve">30.2.3投标人的报价均超过了采购预算，采购人不能支付的；</w:t>
      </w:r>
      <w:r/>
    </w:p>
    <w:p>
      <w:pPr>
        <w:pStyle w:val="954"/>
        <w:ind w:left="709"/>
        <w:spacing w:line="400" w:lineRule="exact"/>
        <w:rPr>
          <w:rFonts w:cs="宋体"/>
          <w:sz w:val="21"/>
          <w:szCs w:val="21"/>
        </w:rPr>
      </w:pPr>
      <w:r>
        <w:rPr>
          <w:rFonts w:cs="宋体"/>
          <w:sz w:val="21"/>
          <w:szCs w:val="21"/>
        </w:rPr>
        <w:t xml:space="preserve">30.2.4因重大变故，采购任务取消的。</w:t>
      </w:r>
      <w:r/>
    </w:p>
    <w:p>
      <w:pPr>
        <w:pStyle w:val="954"/>
        <w:numPr>
          <w:ilvl w:val="1"/>
          <w:numId w:val="32"/>
        </w:numPr>
        <w:spacing w:line="400" w:lineRule="exact"/>
        <w:tabs>
          <w:tab w:val="left" w:pos="540" w:leader="none"/>
        </w:tabs>
        <w:rPr>
          <w:rFonts w:hint="eastAsia" w:cs="宋体"/>
          <w:sz w:val="21"/>
          <w:szCs w:val="21"/>
        </w:rPr>
      </w:pPr>
      <w:r>
        <w:rPr>
          <w:rFonts w:cs="宋体"/>
          <w:sz w:val="21"/>
          <w:szCs w:val="21"/>
        </w:rPr>
        <w:t xml:space="preserve">废标后，采购人应当将废标理由通知所有投标人</w:t>
      </w:r>
      <w:r>
        <w:rPr>
          <w:rFonts w:hint="eastAsia" w:cs="宋体"/>
          <w:sz w:val="21"/>
          <w:szCs w:val="21"/>
        </w:rPr>
        <w:t xml:space="preserve">。</w:t>
      </w:r>
      <w:r/>
    </w:p>
    <w:p>
      <w:pPr>
        <w:pStyle w:val="954"/>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投标文件的评价和比较</w:t>
      </w:r>
      <w:r/>
    </w:p>
    <w:p>
      <w:pPr>
        <w:pStyle w:val="954"/>
        <w:numPr>
          <w:ilvl w:val="1"/>
          <w:numId w:val="33"/>
        </w:numPr>
        <w:spacing w:line="400" w:lineRule="exact"/>
        <w:tabs>
          <w:tab w:val="left" w:pos="540" w:leader="none"/>
        </w:tabs>
        <w:rPr>
          <w:rFonts w:hint="eastAsia" w:cs="宋体"/>
          <w:sz w:val="21"/>
          <w:szCs w:val="21"/>
        </w:rPr>
      </w:pPr>
      <w:r>
        <w:rPr>
          <w:rFonts w:hint="eastAsia" w:cs="宋体"/>
          <w:sz w:val="21"/>
          <w:szCs w:val="21"/>
        </w:rPr>
        <w:t xml:space="preserve">评标委员会按招标文件规定的评标方法和标准，仅对资格性检查和符合性检查合格的投标文件进行商务和</w:t>
      </w:r>
      <w:r>
        <w:rPr>
          <w:rFonts w:hint="eastAsia" w:cs="宋体"/>
          <w:sz w:val="21"/>
          <w:szCs w:val="21"/>
        </w:rPr>
        <w:t xml:space="preserve">技术评估，综合比较与评价。</w:t>
      </w:r>
      <w:r/>
    </w:p>
    <w:p>
      <w:pPr>
        <w:pStyle w:val="954"/>
        <w:numPr>
          <w:ilvl w:val="1"/>
          <w:numId w:val="33"/>
        </w:numPr>
        <w:spacing w:line="400" w:lineRule="exact"/>
        <w:tabs>
          <w:tab w:val="left" w:pos="540" w:leader="none"/>
        </w:tabs>
        <w:rPr>
          <w:rFonts w:hint="eastAsia" w:cs="宋体"/>
          <w:sz w:val="21"/>
          <w:szCs w:val="21"/>
        </w:rPr>
      </w:pPr>
      <w:r>
        <w:rPr>
          <w:rFonts w:hint="eastAsia" w:cs="宋体"/>
          <w:sz w:val="21"/>
          <w:szCs w:val="21"/>
        </w:rPr>
        <w:t xml:space="preserve">评价和比较采用的办法见前附表，具体内容详见招标文件第六章。</w:t>
      </w:r>
      <w:r/>
    </w:p>
    <w:p>
      <w:pPr>
        <w:pStyle w:val="954"/>
        <w:numPr>
          <w:ilvl w:val="1"/>
          <w:numId w:val="33"/>
        </w:numPr>
        <w:spacing w:line="400" w:lineRule="exact"/>
        <w:tabs>
          <w:tab w:val="left" w:pos="540" w:leader="none"/>
        </w:tabs>
        <w:rPr>
          <w:rFonts w:hint="eastAsia" w:cs="宋体"/>
          <w:sz w:val="21"/>
          <w:szCs w:val="21"/>
        </w:rPr>
      </w:pPr>
      <w:r>
        <w:rPr>
          <w:rFonts w:hint="eastAsia" w:cs="宋体"/>
          <w:sz w:val="21"/>
          <w:szCs w:val="21"/>
        </w:rPr>
        <w:t xml:space="preserve">最低的投标报价是中标的重要条件，但不是唯一条件。</w:t>
      </w:r>
      <w:r/>
    </w:p>
    <w:p>
      <w:pPr>
        <w:pStyle w:val="954"/>
        <w:numPr>
          <w:ilvl w:val="0"/>
          <w:numId w:val="5"/>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签订合同</w:t>
      </w:r>
      <w:r/>
    </w:p>
    <w:p>
      <w:pPr>
        <w:pStyle w:val="954"/>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中标单位的确认</w:t>
      </w:r>
      <w:r/>
    </w:p>
    <w:p>
      <w:pPr>
        <w:pStyle w:val="954"/>
        <w:numPr>
          <w:ilvl w:val="1"/>
          <w:numId w:val="34"/>
        </w:numPr>
        <w:spacing w:line="400" w:lineRule="exact"/>
        <w:tabs>
          <w:tab w:val="left" w:pos="540" w:leader="none"/>
        </w:tabs>
        <w:rPr>
          <w:rFonts w:hint="eastAsia"/>
          <w:sz w:val="21"/>
          <w:szCs w:val="21"/>
        </w:rPr>
      </w:pPr>
      <w:r>
        <w:rPr>
          <w:rFonts w:hint="eastAsia"/>
          <w:sz w:val="21"/>
          <w:szCs w:val="21"/>
        </w:rPr>
        <w:t xml:space="preserve">评标委员会按招标文件规定的评标方法和标准进行详细评审后，按招标采购单位的委托确定一名中标单位。</w:t>
      </w:r>
      <w:r/>
    </w:p>
    <w:p>
      <w:pPr>
        <w:pStyle w:val="954"/>
        <w:numPr>
          <w:ilvl w:val="1"/>
          <w:numId w:val="34"/>
        </w:numPr>
        <w:spacing w:line="400" w:lineRule="exact"/>
        <w:tabs>
          <w:tab w:val="left" w:pos="540" w:leader="none"/>
        </w:tabs>
        <w:rPr>
          <w:sz w:val="21"/>
          <w:szCs w:val="21"/>
        </w:rPr>
      </w:pPr>
      <w:r>
        <w:rPr>
          <w:rFonts w:hint="eastAsia"/>
          <w:sz w:val="21"/>
          <w:szCs w:val="21"/>
        </w:rPr>
        <w:t xml:space="preserve">经评标委员会评审并确定中标供应商后，招标采购单位将在规定的时间内将中标结果在相关媒体上予以公示。</w:t>
      </w:r>
      <w:r>
        <w:rPr>
          <w:sz w:val="21"/>
          <w:szCs w:val="21"/>
        </w:rPr>
      </w:r>
      <w:r/>
    </w:p>
    <w:p>
      <w:pPr>
        <w:pStyle w:val="954"/>
        <w:numPr>
          <w:ilvl w:val="1"/>
          <w:numId w:val="34"/>
        </w:numPr>
        <w:spacing w:line="400" w:lineRule="exact"/>
        <w:tabs>
          <w:tab w:val="left" w:pos="540" w:leader="none"/>
        </w:tabs>
        <w:rPr>
          <w:rFonts w:hint="eastAsia"/>
          <w:sz w:val="21"/>
          <w:szCs w:val="21"/>
        </w:rPr>
      </w:pPr>
      <w:r>
        <w:rPr>
          <w:rFonts w:hint="eastAsia"/>
          <w:sz w:val="21"/>
          <w:szCs w:val="21"/>
        </w:rPr>
        <w:t xml:space="preserve">各投标单位如对公示结果有异议，应在发布中标公告后7个工作日内，以书面形式向招标采购单位提出质疑，同时该质疑应</w:t>
      </w:r>
      <w:r>
        <w:rPr>
          <w:rFonts w:hint="eastAsia"/>
          <w:sz w:val="21"/>
          <w:szCs w:val="21"/>
        </w:rPr>
        <w:t xml:space="preserve">有投标单位法定代表人或参加投标的代理人签署。招标采购单位将在收到经投标单位法定代表人或参加投标的代理人签署的书面质疑后7个工作日内，对质疑内容作答复。如投标单位在中标公告期满后7个工作日后向招标采购单位提出质疑或质疑未经投标单位法定代表人或参加投标的代理人签署，招标采购单位有权对该质疑不予答复。</w:t>
      </w:r>
      <w:r/>
    </w:p>
    <w:p>
      <w:pPr>
        <w:pStyle w:val="954"/>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合同授予标准</w:t>
      </w:r>
      <w:r/>
    </w:p>
    <w:p>
      <w:pPr>
        <w:pStyle w:val="954"/>
        <w:numPr>
          <w:ilvl w:val="1"/>
          <w:numId w:val="35"/>
        </w:numPr>
        <w:spacing w:line="400" w:lineRule="exact"/>
        <w:tabs>
          <w:tab w:val="left" w:pos="540" w:leader="none"/>
        </w:tabs>
        <w:rPr>
          <w:rFonts w:hint="eastAsia"/>
          <w:sz w:val="21"/>
          <w:szCs w:val="21"/>
        </w:rPr>
      </w:pPr>
      <w:r>
        <w:rPr>
          <w:rFonts w:hint="eastAsia"/>
          <w:sz w:val="21"/>
          <w:szCs w:val="21"/>
        </w:rPr>
        <w:t xml:space="preserve">招标采购单位将把合同授予其投标文件在实质上响应招标文件要求和按本须知规定评选出的投标人。确定为中标的投标人必须具有实施本合同的能力和资源。</w:t>
      </w:r>
      <w:r/>
    </w:p>
    <w:p>
      <w:pPr>
        <w:pStyle w:val="954"/>
        <w:numPr>
          <w:ilvl w:val="1"/>
          <w:numId w:val="35"/>
        </w:numPr>
        <w:spacing w:line="400" w:lineRule="exact"/>
        <w:tabs>
          <w:tab w:val="left" w:pos="540" w:leader="none"/>
        </w:tabs>
        <w:rPr>
          <w:rFonts w:hint="eastAsia"/>
          <w:sz w:val="21"/>
          <w:szCs w:val="21"/>
        </w:rPr>
      </w:pPr>
      <w:r>
        <w:rPr>
          <w:rFonts w:hint="eastAsia"/>
          <w:sz w:val="21"/>
          <w:szCs w:val="21"/>
        </w:rPr>
        <w:t xml:space="preserve">在合同签订之前，如发现中标供应商提供的材料或对招标文件所要求说明的情况故意隐瞒或虚报，则采购人有权取消其签约资格，不予退</w:t>
      </w:r>
      <w:r>
        <w:rPr>
          <w:rFonts w:hint="eastAsia"/>
          <w:sz w:val="21"/>
          <w:szCs w:val="21"/>
        </w:rPr>
        <w:t xml:space="preserve">还其投标保证金，并依据本办法的规定从其他中标候选人中重新确定，或者重新进行招标。</w:t>
      </w:r>
      <w:r/>
    </w:p>
    <w:p>
      <w:pPr>
        <w:pStyle w:val="954"/>
        <w:numPr>
          <w:ilvl w:val="1"/>
          <w:numId w:val="35"/>
        </w:numPr>
        <w:spacing w:line="400" w:lineRule="exact"/>
        <w:tabs>
          <w:tab w:val="left" w:pos="540" w:leader="none"/>
        </w:tabs>
        <w:rPr>
          <w:rFonts w:hint="eastAsia"/>
          <w:sz w:val="21"/>
          <w:szCs w:val="21"/>
        </w:rPr>
      </w:pPr>
      <w:r>
        <w:rPr>
          <w:rFonts w:hint="eastAsia"/>
          <w:sz w:val="21"/>
          <w:szCs w:val="21"/>
        </w:rPr>
        <w:t xml:space="preserve">政府采购合同履行中，采购人需追加与合同标的物相同的货物、工程或者服务的，在不改变合同其他条款的前提下，可与中标供应商签订补充合同，但所有补充合同的采购金额不得超过原合同采购金额的百分之十。</w:t>
      </w:r>
      <w:r/>
    </w:p>
    <w:p>
      <w:pPr>
        <w:pStyle w:val="954"/>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中标通知书</w:t>
      </w:r>
      <w:r/>
    </w:p>
    <w:p>
      <w:pPr>
        <w:pStyle w:val="954"/>
        <w:numPr>
          <w:ilvl w:val="1"/>
          <w:numId w:val="36"/>
        </w:numPr>
        <w:spacing w:line="400" w:lineRule="exact"/>
        <w:tabs>
          <w:tab w:val="left" w:pos="540" w:leader="none"/>
        </w:tabs>
        <w:rPr>
          <w:rFonts w:hint="eastAsia"/>
          <w:sz w:val="21"/>
          <w:szCs w:val="21"/>
        </w:rPr>
      </w:pPr>
      <w:r>
        <w:rPr>
          <w:rFonts w:hint="eastAsia"/>
          <w:sz w:val="21"/>
          <w:szCs w:val="21"/>
        </w:rPr>
        <w:t xml:space="preserve">确定出中标供应商后投标文件有效期截止前，招标采购单位应当向中标供应商发出中标通知书，中标通知书对采购人和中标供应商具有同等法律效力。中标通知书发出后，采购人改变中标结果</w:t>
      </w:r>
      <w:r>
        <w:rPr>
          <w:rFonts w:hint="eastAsia"/>
          <w:sz w:val="21"/>
          <w:szCs w:val="21"/>
        </w:rPr>
        <w:t xml:space="preserve">，或者中标供应商放弃中标，应当承担相应的法律责任。</w:t>
      </w:r>
      <w:r/>
    </w:p>
    <w:p>
      <w:pPr>
        <w:pStyle w:val="954"/>
        <w:numPr>
          <w:ilvl w:val="1"/>
          <w:numId w:val="36"/>
        </w:numPr>
        <w:spacing w:line="400" w:lineRule="exact"/>
        <w:tabs>
          <w:tab w:val="left" w:pos="540" w:leader="none"/>
        </w:tabs>
        <w:rPr>
          <w:sz w:val="21"/>
          <w:szCs w:val="21"/>
        </w:rPr>
      </w:pPr>
      <w:r>
        <w:rPr>
          <w:bCs/>
          <w:sz w:val="21"/>
          <w:szCs w:val="21"/>
        </w:rPr>
        <w:t xml:space="preserve">中标通知书在中标公告发布后将发布在业务系统中，中标通知书发布之日视为中标供应商领取之日，中标供应商自行在业务系统中下载打印。</w:t>
      </w:r>
      <w:r>
        <w:rPr>
          <w:sz w:val="21"/>
          <w:szCs w:val="21"/>
        </w:rPr>
      </w:r>
      <w:r/>
    </w:p>
    <w:p>
      <w:pPr>
        <w:pStyle w:val="954"/>
        <w:numPr>
          <w:ilvl w:val="1"/>
          <w:numId w:val="36"/>
        </w:numPr>
        <w:spacing w:line="400" w:lineRule="exact"/>
        <w:tabs>
          <w:tab w:val="left" w:pos="540" w:leader="none"/>
        </w:tabs>
        <w:rPr>
          <w:rFonts w:hint="eastAsia"/>
          <w:sz w:val="21"/>
          <w:szCs w:val="21"/>
        </w:rPr>
      </w:pPr>
      <w:r>
        <w:rPr>
          <w:rFonts w:hint="eastAsia"/>
          <w:sz w:val="21"/>
          <w:szCs w:val="21"/>
        </w:rPr>
        <w:t xml:space="preserve">中标通知书将成为合同的组成部分。</w:t>
      </w:r>
      <w:r/>
    </w:p>
    <w:p>
      <w:pPr>
        <w:pStyle w:val="954"/>
        <w:numPr>
          <w:ilvl w:val="1"/>
          <w:numId w:val="36"/>
        </w:numPr>
        <w:spacing w:line="400" w:lineRule="exact"/>
        <w:tabs>
          <w:tab w:val="left" w:pos="540" w:leader="none"/>
        </w:tabs>
        <w:rPr>
          <w:rFonts w:hint="eastAsia"/>
          <w:sz w:val="21"/>
          <w:szCs w:val="21"/>
        </w:rPr>
      </w:pPr>
      <w:r>
        <w:rPr>
          <w:rFonts w:hint="eastAsia"/>
          <w:sz w:val="21"/>
          <w:szCs w:val="21"/>
        </w:rPr>
        <w:t xml:space="preserve">招标采购单位对未中标供应商不承担解释未中标原因的义务。</w:t>
      </w:r>
      <w:r/>
    </w:p>
    <w:p>
      <w:pPr>
        <w:pStyle w:val="954"/>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履约保证金</w:t>
      </w:r>
      <w:r/>
    </w:p>
    <w:p>
      <w:pPr>
        <w:pStyle w:val="954"/>
        <w:numPr>
          <w:ilvl w:val="1"/>
          <w:numId w:val="37"/>
        </w:numPr>
        <w:spacing w:line="400" w:lineRule="exact"/>
        <w:tabs>
          <w:tab w:val="left" w:pos="540" w:leader="none"/>
        </w:tabs>
        <w:rPr>
          <w:rFonts w:hint="eastAsia"/>
          <w:sz w:val="21"/>
          <w:szCs w:val="21"/>
        </w:rPr>
      </w:pPr>
      <w:r>
        <w:rPr>
          <w:rFonts w:hint="eastAsia"/>
          <w:sz w:val="21"/>
          <w:szCs w:val="21"/>
        </w:rPr>
        <w:t xml:space="preserve">履约保证金按投标须知前附表规定执行。</w:t>
      </w:r>
      <w:r/>
    </w:p>
    <w:p>
      <w:pPr>
        <w:pStyle w:val="954"/>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合同的签订</w:t>
      </w:r>
      <w:r/>
    </w:p>
    <w:p>
      <w:pPr>
        <w:pStyle w:val="954"/>
        <w:numPr>
          <w:ilvl w:val="1"/>
          <w:numId w:val="38"/>
        </w:numPr>
        <w:spacing w:line="400" w:lineRule="exact"/>
        <w:tabs>
          <w:tab w:val="left" w:pos="540" w:leader="none"/>
        </w:tabs>
        <w:rPr>
          <w:rFonts w:hint="eastAsia" w:cs="宋体"/>
          <w:sz w:val="21"/>
          <w:szCs w:val="21"/>
        </w:rPr>
      </w:pPr>
      <w:r>
        <w:rPr>
          <w:rFonts w:hint="eastAsia" w:cs="宋体"/>
          <w:sz w:val="21"/>
          <w:szCs w:val="21"/>
        </w:rPr>
        <w:t xml:space="preserve">中标供应商应按中标通知书中规定的时间和地点，由法定代表人或代理人与采购人代表签订合同。否则按放弃中标权处理。</w:t>
      </w:r>
      <w:r/>
    </w:p>
    <w:p>
      <w:pPr>
        <w:pStyle w:val="954"/>
        <w:numPr>
          <w:ilvl w:val="1"/>
          <w:numId w:val="39"/>
        </w:numPr>
        <w:ind w:left="540" w:hanging="540"/>
        <w:spacing w:line="400" w:lineRule="exact"/>
        <w:tabs>
          <w:tab w:val="left" w:pos="540" w:leader="none"/>
        </w:tabs>
        <w:rPr>
          <w:rFonts w:hint="eastAsia" w:cs="宋体"/>
          <w:sz w:val="21"/>
          <w:szCs w:val="21"/>
        </w:rPr>
      </w:pPr>
      <w:r>
        <w:rPr>
          <w:rFonts w:hint="eastAsia" w:cs="宋体"/>
          <w:sz w:val="21"/>
          <w:szCs w:val="21"/>
        </w:rPr>
        <w:t xml:space="preserve">签订合同及合同条款应以招标文件和中标供应商的投标文件及其澄清文件为依据。</w:t>
      </w:r>
      <w:r/>
    </w:p>
    <w:p>
      <w:pPr>
        <w:pStyle w:val="954"/>
        <w:numPr>
          <w:ilvl w:val="1"/>
          <w:numId w:val="39"/>
        </w:numPr>
        <w:ind w:left="540" w:hanging="540"/>
        <w:spacing w:line="400" w:lineRule="exact"/>
        <w:tabs>
          <w:tab w:val="left" w:pos="540" w:leader="none"/>
        </w:tabs>
        <w:rPr>
          <w:rFonts w:hint="eastAsia" w:cs="宋体"/>
          <w:sz w:val="21"/>
          <w:szCs w:val="21"/>
        </w:rPr>
      </w:pPr>
      <w:r>
        <w:rPr>
          <w:rFonts w:hint="eastAsia" w:cs="宋体"/>
          <w:sz w:val="21"/>
          <w:szCs w:val="21"/>
        </w:rPr>
        <w:t xml:space="preserve">中标人无正当理由拒签合同的，或在签订合同时向采购人提出附加条件或者更改合同实质性内容的，采购人可取消其中标资格，并不予以退还其投标保证金，同时由中标人承担相应的法律责任。</w:t>
      </w:r>
      <w:r/>
    </w:p>
    <w:p>
      <w:pPr>
        <w:pStyle w:val="954"/>
        <w:numPr>
          <w:ilvl w:val="0"/>
          <w:numId w:val="5"/>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其他事项</w:t>
      </w:r>
      <w:r/>
    </w:p>
    <w:p>
      <w:pPr>
        <w:pStyle w:val="954"/>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招标代理服务费</w:t>
      </w:r>
      <w:r/>
    </w:p>
    <w:p>
      <w:pPr>
        <w:pStyle w:val="954"/>
        <w:numPr>
          <w:ilvl w:val="1"/>
          <w:numId w:val="40"/>
        </w:numPr>
        <w:spacing w:line="400" w:lineRule="exact"/>
        <w:tabs>
          <w:tab w:val="left" w:pos="540" w:leader="none"/>
        </w:tabs>
        <w:rPr>
          <w:rFonts w:hint="eastAsia" w:cs="宋体"/>
          <w:sz w:val="21"/>
          <w:szCs w:val="21"/>
        </w:rPr>
      </w:pPr>
      <w:r>
        <w:rPr>
          <w:rFonts w:hint="eastAsia" w:cs="宋体"/>
          <w:sz w:val="21"/>
          <w:szCs w:val="21"/>
        </w:rPr>
        <w:t xml:space="preserve">中标供应商须按前附表的规定支付招标代理服务费，该费用应在领取中标通知书时付清。</w:t>
      </w:r>
      <w:r/>
    </w:p>
    <w:p>
      <w:pPr>
        <w:pStyle w:val="954"/>
        <w:numPr>
          <w:ilvl w:val="1"/>
          <w:numId w:val="40"/>
        </w:numPr>
        <w:spacing w:line="400" w:lineRule="exact"/>
        <w:tabs>
          <w:tab w:val="left" w:pos="540" w:leader="none"/>
        </w:tabs>
        <w:rPr>
          <w:rFonts w:hint="eastAsia" w:cs="宋体"/>
          <w:sz w:val="21"/>
          <w:szCs w:val="21"/>
        </w:rPr>
      </w:pPr>
      <w:r>
        <w:rPr>
          <w:rFonts w:hint="eastAsia" w:cs="宋体"/>
          <w:sz w:val="21"/>
          <w:szCs w:val="21"/>
        </w:rPr>
        <w:t xml:space="preserve">中标供应商如果未按规定支付招标代理服务费，招标采购单位将不予退还其投标保证金，并保留诉讼的权利。</w:t>
      </w:r>
      <w:r/>
    </w:p>
    <w:p>
      <w:pPr>
        <w:pStyle w:val="954"/>
        <w:numPr>
          <w:ilvl w:val="0"/>
          <w:numId w:val="7"/>
        </w:numPr>
        <w:ind w:left="540" w:hanging="540"/>
        <w:spacing w:line="400" w:lineRule="exact"/>
        <w:tabs>
          <w:tab w:val="left" w:pos="540" w:leader="none"/>
          <w:tab w:val="left" w:pos="709" w:leader="none"/>
        </w:tabs>
        <w:rPr>
          <w:rFonts w:hint="eastAsia" w:cs="宋体"/>
          <w:b/>
          <w:bCs/>
          <w:sz w:val="21"/>
          <w:szCs w:val="21"/>
        </w:rPr>
      </w:pPr>
      <w:r>
        <w:rPr>
          <w:rFonts w:hint="eastAsia" w:cs="宋体"/>
          <w:b/>
          <w:sz w:val="21"/>
          <w:szCs w:val="21"/>
        </w:rPr>
        <w:t xml:space="preserve">监督</w:t>
      </w:r>
      <w:r>
        <w:rPr>
          <w:rFonts w:hint="eastAsia" w:cs="宋体"/>
          <w:b/>
          <w:bCs/>
          <w:sz w:val="21"/>
          <w:szCs w:val="21"/>
        </w:rPr>
      </w:r>
      <w:r/>
    </w:p>
    <w:p>
      <w:pPr>
        <w:pStyle w:val="954"/>
        <w:numPr>
          <w:ilvl w:val="1"/>
          <w:numId w:val="41"/>
        </w:numPr>
        <w:spacing w:line="400" w:lineRule="exact"/>
        <w:tabs>
          <w:tab w:val="left" w:pos="540" w:leader="none"/>
        </w:tabs>
        <w:rPr>
          <w:rFonts w:hint="eastAsia" w:cs="宋体"/>
          <w:sz w:val="21"/>
          <w:szCs w:val="21"/>
        </w:rPr>
      </w:pPr>
      <w:r>
        <w:rPr>
          <w:rFonts w:hint="eastAsia" w:cs="宋体"/>
          <w:sz w:val="21"/>
          <w:szCs w:val="21"/>
        </w:rPr>
        <w:t xml:space="preserve">政府有关监督部门将对招投标全过程进行监督。</w:t>
      </w:r>
      <w:r/>
    </w:p>
    <w:p>
      <w:pPr>
        <w:pStyle w:val="954"/>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未尽事宜</w:t>
      </w:r>
      <w:r/>
    </w:p>
    <w:p>
      <w:pPr>
        <w:pStyle w:val="954"/>
        <w:numPr>
          <w:ilvl w:val="1"/>
          <w:numId w:val="42"/>
        </w:numPr>
        <w:spacing w:line="400" w:lineRule="exact"/>
        <w:tabs>
          <w:tab w:val="left" w:pos="540" w:leader="none"/>
        </w:tabs>
        <w:rPr>
          <w:rFonts w:hint="eastAsia" w:cs="宋体"/>
          <w:sz w:val="21"/>
          <w:szCs w:val="21"/>
        </w:rPr>
      </w:pPr>
      <w:r>
        <w:rPr>
          <w:rFonts w:hint="eastAsia" w:cs="宋体"/>
          <w:sz w:val="21"/>
          <w:szCs w:val="21"/>
        </w:rPr>
        <w:t xml:space="preserve">按《中华人民共和国政府采购法》及其他有关法律法规的规定执行。</w:t>
      </w:r>
      <w:r/>
    </w:p>
    <w:p>
      <w:pPr>
        <w:pStyle w:val="955"/>
        <w:numPr>
          <w:ilvl w:val="0"/>
          <w:numId w:val="0"/>
        </w:numPr>
        <w:jc w:val="center"/>
        <w:tabs>
          <w:tab w:val="left" w:pos="432" w:leader="none"/>
        </w:tabs>
        <w:rPr>
          <w:rFonts w:hint="eastAsia" w:cs="宋体"/>
          <w:b w:val="0"/>
          <w:bCs/>
          <w:szCs w:val="44"/>
        </w:rPr>
      </w:pPr>
      <w:r>
        <w:rPr>
          <w:rFonts w:hint="eastAsia" w:cs="宋体"/>
          <w:b w:val="0"/>
          <w:bCs/>
          <w:szCs w:val="44"/>
        </w:rPr>
        <w:br w:type="page" w:clear="all"/>
      </w:r>
      <w:r>
        <w:rPr>
          <w:rFonts w:hint="eastAsia" w:ascii="宋体" w:hAnsi="宋体" w:cs="宋体"/>
        </w:rPr>
        <w:t xml:space="preserve">第三章 </w:t>
      </w:r>
      <w:bookmarkStart w:id="12" w:name="投标文件格式"/>
      <w:r>
        <w:rPr>
          <w:rFonts w:hint="eastAsia" w:ascii="宋体" w:hAnsi="宋体" w:cs="宋体"/>
        </w:rPr>
        <w:t xml:space="preserve">投</w:t>
      </w:r>
      <w:r>
        <w:rPr>
          <w:rFonts w:hint="eastAsia" w:ascii="宋体" w:hAnsi="宋体" w:cs="宋体"/>
        </w:rPr>
        <w:t xml:space="preserve">标文件格式</w:t>
      </w:r>
      <w:bookmarkEnd w:id="12"/>
      <w:r>
        <w:rPr>
          <w:rFonts w:hint="eastAsia" w:cs="宋体"/>
          <w:b w:val="0"/>
          <w:bCs/>
          <w:szCs w:val="44"/>
        </w:rPr>
      </w:r>
      <w:r/>
    </w:p>
    <w:p>
      <w:pPr>
        <w:pStyle w:val="954"/>
        <w:ind w:firstLine="422"/>
        <w:spacing w:line="400" w:lineRule="exact"/>
        <w:rPr>
          <w:rFonts w:hint="eastAsia" w:cs="宋体"/>
          <w:b/>
          <w:bCs/>
          <w:sz w:val="21"/>
          <w:szCs w:val="21"/>
        </w:rPr>
      </w:pPr>
      <w:r>
        <w:rPr>
          <w:rFonts w:hint="eastAsia" w:cs="宋体"/>
          <w:b/>
          <w:bCs/>
          <w:sz w:val="21"/>
          <w:szCs w:val="21"/>
        </w:rPr>
        <w:t xml:space="preserve">说明：</w:t>
      </w:r>
      <w:r/>
    </w:p>
    <w:p>
      <w:pPr>
        <w:pStyle w:val="954"/>
        <w:ind w:firstLine="420"/>
        <w:spacing w:line="400" w:lineRule="exact"/>
        <w:rPr>
          <w:rFonts w:hint="eastAsia" w:cs="宋体"/>
          <w:sz w:val="21"/>
          <w:szCs w:val="21"/>
        </w:rPr>
      </w:pPr>
      <w:r>
        <w:rPr>
          <w:rFonts w:hint="eastAsia" w:cs="宋体"/>
          <w:sz w:val="21"/>
          <w:szCs w:val="21"/>
        </w:rPr>
        <w:t xml:space="preserve">对本章所有的投标书格式，投标方可根据自身情况进行补充和修改，但补充和修改不得造成与本格式内容有实质性的违背。编制投标文件时，请按评分项的打分要求，在标书内附注评分目录表，以便评委评分时查找到相对应的页码。</w:t>
      </w:r>
      <w:r/>
    </w:p>
    <w:p>
      <w:pPr>
        <w:pStyle w:val="954"/>
        <w:ind w:firstLine="420"/>
        <w:spacing w:line="400" w:lineRule="exact"/>
        <w:rPr>
          <w:rFonts w:hint="eastAsia" w:cs="宋体"/>
          <w:sz w:val="21"/>
          <w:szCs w:val="21"/>
        </w:rPr>
      </w:pPr>
      <w:r>
        <w:rPr>
          <w:rFonts w:hint="eastAsia" w:cs="宋体"/>
          <w:sz w:val="21"/>
          <w:szCs w:val="21"/>
        </w:rPr>
      </w:r>
      <w:r/>
    </w:p>
    <w:p>
      <w:pPr>
        <w:pStyle w:val="954"/>
        <w:rPr>
          <w:rFonts w:hint="eastAsia" w:cs="宋体"/>
          <w:b/>
          <w:sz w:val="21"/>
          <w:szCs w:val="21"/>
        </w:rPr>
      </w:pPr>
      <w:r>
        <w:rPr>
          <w:rFonts w:hint="eastAsia" w:cs="宋体"/>
          <w:b/>
          <w:sz w:val="21"/>
          <w:szCs w:val="21"/>
        </w:rPr>
        <w:br w:type="page" w:clear="all"/>
        <w:t xml:space="preserve">附件1、投标函</w:t>
      </w:r>
      <w:r/>
    </w:p>
    <w:p>
      <w:pPr>
        <w:pStyle w:val="954"/>
        <w:ind w:left="480"/>
        <w:rPr>
          <w:rFonts w:hint="eastAsia" w:cs="宋体"/>
          <w:sz w:val="21"/>
          <w:szCs w:val="21"/>
        </w:rPr>
      </w:pPr>
      <w:r>
        <w:rPr>
          <w:rFonts w:hint="eastAsia" w:cs="宋体"/>
          <w:sz w:val="21"/>
          <w:szCs w:val="21"/>
        </w:rPr>
      </w:r>
      <w:r/>
    </w:p>
    <w:p>
      <w:pPr>
        <w:pStyle w:val="1005"/>
        <w:ind w:left="0" w:firstLine="0"/>
        <w:rPr>
          <w:rFonts w:hint="eastAsia" w:ascii="宋体" w:hAnsi="宋体" w:cs="宋体"/>
          <w:bCs/>
          <w:sz w:val="21"/>
          <w:szCs w:val="21"/>
        </w:rPr>
      </w:pPr>
      <w:r>
        <w:rPr>
          <w:rFonts w:hint="eastAsia" w:ascii="宋体" w:hAnsi="宋体" w:cs="宋体"/>
          <w:bCs/>
          <w:sz w:val="21"/>
          <w:szCs w:val="21"/>
        </w:rPr>
        <w:t xml:space="preserve">苏州乐族工程咨询有限公司：</w:t>
      </w:r>
      <w:r/>
    </w:p>
    <w:p>
      <w:pPr>
        <w:pStyle w:val="1005"/>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我方全面研究了 </w:t>
      </w:r>
      <w:r>
        <w:rPr>
          <w:rFonts w:hint="eastAsia" w:ascii="宋体" w:hAnsi="宋体" w:cs="宋体"/>
          <w:sz w:val="21"/>
          <w:szCs w:val="21"/>
          <w:u w:val="single"/>
        </w:rPr>
        <w:t xml:space="preserve">JSZC-320585-SZLZ-G2026-0002</w:t>
      </w:r>
      <w:r>
        <w:rPr>
          <w:rFonts w:hint="eastAsia" w:ascii="宋体" w:hAnsi="宋体" w:cs="宋体"/>
          <w:bCs/>
          <w:sz w:val="21"/>
          <w:szCs w:val="21"/>
          <w:u w:val="single"/>
        </w:rPr>
        <w:t xml:space="preserve"> </w:t>
      </w:r>
      <w:r>
        <w:rPr>
          <w:rFonts w:hint="eastAsia" w:ascii="宋体" w:hAnsi="宋体" w:cs="宋体"/>
          <w:bCs/>
          <w:sz w:val="21"/>
          <w:szCs w:val="21"/>
        </w:rPr>
        <w:t xml:space="preserve">项目招标文件，决定参加贵单位组织的本项目投标。</w:t>
      </w:r>
      <w:r/>
    </w:p>
    <w:p>
      <w:pPr>
        <w:pStyle w:val="1005"/>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1、我方自愿按照招标文件规定的各项要求向采购人提供所需服务。</w:t>
      </w:r>
      <w:r/>
    </w:p>
    <w:p>
      <w:pPr>
        <w:pStyle w:val="1005"/>
        <w:ind w:left="0" w:firstLine="525"/>
        <w:spacing w:line="360" w:lineRule="auto"/>
        <w:rPr>
          <w:rFonts w:hint="eastAsia" w:ascii="宋体" w:hAnsi="宋体" w:cs="宋体"/>
          <w:sz w:val="21"/>
          <w:szCs w:val="21"/>
        </w:rPr>
      </w:pPr>
      <w:r>
        <w:rPr>
          <w:rFonts w:hint="eastAsia" w:ascii="宋体" w:hAnsi="宋体" w:cs="宋体"/>
          <w:bCs/>
          <w:sz w:val="21"/>
          <w:szCs w:val="21"/>
        </w:rPr>
        <w:t xml:space="preserve">2、一旦我方中标，</w:t>
      </w:r>
      <w:r>
        <w:rPr>
          <w:rFonts w:hint="eastAsia" w:ascii="宋体" w:hAnsi="宋体" w:cs="宋体"/>
          <w:sz w:val="21"/>
          <w:szCs w:val="21"/>
        </w:rPr>
        <w:t xml:space="preserve">我们将严格履行招标文件中规定的每一项要求，按期、按质、按量履行合同的义务</w:t>
      </w:r>
      <w:r>
        <w:rPr>
          <w:rFonts w:hint="eastAsia" w:ascii="宋体" w:hAnsi="宋体" w:cs="宋体"/>
          <w:sz w:val="21"/>
          <w:szCs w:val="21"/>
        </w:rPr>
        <w:t xml:space="preserve">。</w:t>
      </w:r>
      <w:r/>
    </w:p>
    <w:p>
      <w:pPr>
        <w:pStyle w:val="1190"/>
        <w:ind w:firstLine="525"/>
        <w:spacing w:line="360" w:lineRule="auto"/>
        <w:rPr>
          <w:rFonts w:hint="eastAsia" w:hAnsi="宋体" w:eastAsia="宋体" w:cs="宋体"/>
          <w:sz w:val="21"/>
          <w:szCs w:val="21"/>
        </w:rPr>
      </w:pPr>
      <w:r>
        <w:rPr>
          <w:rFonts w:hint="eastAsia" w:hAnsi="宋体" w:eastAsia="宋体" w:cs="宋体"/>
          <w:sz w:val="21"/>
          <w:szCs w:val="21"/>
        </w:rPr>
        <w:t xml:space="preserve">3、我们已详细审查全部招标文件，包括更正文件(如有)，对招标文件及更正公告(如有)无任何异议。我们完全理解并同意放弃对这方面有不明及误解的权力。</w:t>
      </w:r>
      <w:r/>
    </w:p>
    <w:p>
      <w:pPr>
        <w:pStyle w:val="1190"/>
        <w:ind w:firstLine="525"/>
        <w:spacing w:line="360" w:lineRule="auto"/>
        <w:rPr>
          <w:rFonts w:hint="eastAsia" w:hAnsi="宋体" w:eastAsia="宋体" w:cs="宋体"/>
          <w:sz w:val="21"/>
          <w:szCs w:val="21"/>
        </w:rPr>
      </w:pPr>
      <w:r>
        <w:rPr>
          <w:rFonts w:hint="eastAsia" w:hAnsi="宋体" w:eastAsia="宋体" w:cs="宋体"/>
          <w:sz w:val="21"/>
          <w:szCs w:val="21"/>
        </w:rPr>
        <w:t xml:space="preserve">4、我们同意按招标文件中的规定，本投标书的有效期限为自投标截止之日起</w:t>
      </w:r>
      <w:r>
        <w:rPr>
          <w:rFonts w:hint="eastAsia" w:hAnsi="宋体" w:eastAsia="宋体" w:cs="宋体"/>
          <w:sz w:val="21"/>
          <w:szCs w:val="21"/>
          <w:u w:val="single"/>
        </w:rPr>
        <w:t xml:space="preserve">  60  </w:t>
      </w:r>
      <w:r>
        <w:rPr>
          <w:rFonts w:hint="eastAsia" w:hAnsi="宋体" w:eastAsia="宋体" w:cs="宋体"/>
          <w:sz w:val="21"/>
          <w:szCs w:val="21"/>
        </w:rPr>
        <w:t xml:space="preserve">天。</w:t>
      </w:r>
      <w:r/>
    </w:p>
    <w:p>
      <w:pPr>
        <w:pStyle w:val="1190"/>
        <w:ind w:firstLine="525"/>
        <w:spacing w:line="360" w:lineRule="auto"/>
        <w:rPr>
          <w:rFonts w:hint="eastAsia" w:hAnsi="宋体" w:eastAsia="宋体" w:cs="宋体"/>
          <w:sz w:val="21"/>
          <w:szCs w:val="21"/>
        </w:rPr>
      </w:pPr>
      <w:r>
        <w:rPr>
          <w:rFonts w:hint="eastAsia" w:hAnsi="宋体" w:eastAsia="宋体" w:cs="宋体"/>
          <w:sz w:val="21"/>
          <w:szCs w:val="21"/>
        </w:rPr>
        <w:t xml:space="preserve">5、我们愿意提供招标采购单位在招标文件中要求的相关资料。</w:t>
      </w:r>
      <w:r/>
    </w:p>
    <w:p>
      <w:pPr>
        <w:pStyle w:val="1190"/>
        <w:ind w:firstLine="525"/>
        <w:spacing w:line="360" w:lineRule="auto"/>
        <w:rPr>
          <w:rFonts w:hint="eastAsia" w:hAnsi="宋体" w:eastAsia="宋体" w:cs="宋体"/>
          <w:sz w:val="21"/>
          <w:szCs w:val="21"/>
        </w:rPr>
      </w:pPr>
      <w:r>
        <w:rPr>
          <w:rFonts w:hint="eastAsia" w:hAnsi="宋体" w:eastAsia="宋体" w:cs="宋体"/>
          <w:sz w:val="21"/>
          <w:szCs w:val="21"/>
        </w:rPr>
        <w:t xml:space="preserve">6、我们愿意遵守招标公告及招标文件中所列的收费标准。</w:t>
      </w:r>
      <w:r/>
    </w:p>
    <w:p>
      <w:pPr>
        <w:pStyle w:val="1190"/>
        <w:ind w:firstLine="525"/>
        <w:spacing w:line="360" w:lineRule="auto"/>
        <w:rPr>
          <w:rFonts w:hint="eastAsia" w:hAnsi="宋体" w:eastAsia="宋体" w:cs="宋体"/>
          <w:sz w:val="21"/>
          <w:szCs w:val="21"/>
        </w:rPr>
      </w:pPr>
      <w:r>
        <w:rPr>
          <w:rFonts w:hint="eastAsia" w:hAnsi="宋体" w:eastAsia="宋体" w:cs="宋体"/>
          <w:sz w:val="21"/>
          <w:szCs w:val="21"/>
        </w:rPr>
        <w:t xml:space="preserve">7、我们愿意按招标文件的规定交纳投标保证金，并同意遵守招标文件中投标保证金的有关规定。</w:t>
      </w:r>
      <w:r/>
    </w:p>
    <w:p>
      <w:pPr>
        <w:pStyle w:val="1190"/>
        <w:ind w:firstLine="525"/>
        <w:spacing w:line="360" w:lineRule="auto"/>
        <w:rPr>
          <w:rFonts w:hint="eastAsia" w:hAnsi="宋体" w:eastAsia="宋体" w:cs="宋体"/>
          <w:sz w:val="21"/>
          <w:szCs w:val="21"/>
        </w:rPr>
      </w:pPr>
      <w:r>
        <w:rPr>
          <w:rFonts w:hint="eastAsia" w:hAnsi="宋体" w:eastAsia="宋体" w:cs="宋体"/>
          <w:sz w:val="21"/>
          <w:szCs w:val="21"/>
        </w:rPr>
        <w:t xml:space="preserve">8、我们承诺该项投标在开标后的全过程中保</w:t>
      </w:r>
      <w:r>
        <w:rPr>
          <w:rFonts w:hint="eastAsia" w:hAnsi="宋体" w:eastAsia="宋体" w:cs="宋体"/>
          <w:sz w:val="21"/>
          <w:szCs w:val="21"/>
        </w:rPr>
        <w:t xml:space="preserve">持有效，不作任何更改和变动。</w:t>
      </w:r>
      <w:r/>
    </w:p>
    <w:p>
      <w:pPr>
        <w:pStyle w:val="1005"/>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9、我方愿意提供贵单位可能另外要求的，与投标有关的文件资料，并保证我方已提供和将要提供的文件资料是真实、准确的。</w:t>
      </w:r>
      <w:r/>
    </w:p>
    <w:p>
      <w:pPr>
        <w:pStyle w:val="1005"/>
        <w:ind w:left="0" w:firstLine="525"/>
        <w:spacing w:line="360" w:lineRule="auto"/>
        <w:rPr>
          <w:rFonts w:hint="eastAsia" w:ascii="宋体" w:hAnsi="宋体" w:cs="宋体"/>
          <w:bCs/>
          <w:sz w:val="21"/>
          <w:szCs w:val="21"/>
        </w:rPr>
      </w:pPr>
      <w:r>
        <w:rPr>
          <w:rFonts w:hint="eastAsia" w:ascii="宋体" w:hAnsi="宋体" w:cs="宋体"/>
          <w:bCs/>
          <w:sz w:val="21"/>
          <w:szCs w:val="21"/>
        </w:rPr>
      </w:r>
      <w:r/>
    </w:p>
    <w:p>
      <w:pPr>
        <w:pStyle w:val="1005"/>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投标人名称：        （盖章）</w:t>
      </w:r>
      <w:r/>
    </w:p>
    <w:p>
      <w:pPr>
        <w:pStyle w:val="1005"/>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法定代表人或代理人（签字或盖章）：</w:t>
      </w:r>
      <w:r/>
    </w:p>
    <w:p>
      <w:pPr>
        <w:pStyle w:val="1005"/>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通讯地址：</w:t>
      </w:r>
      <w:r/>
    </w:p>
    <w:p>
      <w:pPr>
        <w:pStyle w:val="1005"/>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邮政编码：</w:t>
      </w:r>
      <w:r/>
    </w:p>
    <w:p>
      <w:pPr>
        <w:pStyle w:val="1005"/>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联系电话：</w:t>
      </w:r>
      <w:r/>
    </w:p>
    <w:p>
      <w:pPr>
        <w:pStyle w:val="1005"/>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传    真：</w:t>
      </w:r>
      <w:r/>
    </w:p>
    <w:p>
      <w:pPr>
        <w:pStyle w:val="1005"/>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日    期：</w:t>
      </w:r>
      <w:r/>
    </w:p>
    <w:p>
      <w:pPr>
        <w:pStyle w:val="954"/>
        <w:ind w:firstLine="525"/>
        <w:spacing w:line="360" w:lineRule="auto"/>
        <w:rPr>
          <w:rFonts w:hint="eastAsia" w:cs="宋体"/>
          <w:b/>
          <w:sz w:val="21"/>
          <w:szCs w:val="21"/>
        </w:rPr>
      </w:pPr>
      <w:r>
        <w:rPr>
          <w:rFonts w:hint="eastAsia" w:cs="宋体"/>
          <w:sz w:val="21"/>
          <w:szCs w:val="21"/>
        </w:rPr>
        <w:br w:type="page" w:clear="all"/>
      </w:r>
      <w:r>
        <w:rPr>
          <w:rFonts w:hint="eastAsia" w:cs="宋体"/>
          <w:b/>
          <w:sz w:val="21"/>
          <w:szCs w:val="21"/>
        </w:rPr>
        <w:t xml:space="preserve">附件2、法定代表人授权委托书</w:t>
      </w:r>
      <w:r/>
    </w:p>
    <w:p>
      <w:pPr>
        <w:pStyle w:val="969"/>
        <w:rPr>
          <w:rFonts w:hint="eastAsia" w:ascii="宋体" w:hAnsi="宋体" w:eastAsia="宋体" w:cs="宋体"/>
          <w:sz w:val="21"/>
          <w:szCs w:val="21"/>
        </w:rPr>
      </w:pPr>
      <w:r>
        <w:rPr>
          <w:rFonts w:hint="eastAsia" w:ascii="宋体" w:hAnsi="宋体" w:eastAsia="宋体" w:cs="宋体"/>
          <w:sz w:val="21"/>
          <w:szCs w:val="21"/>
        </w:rPr>
      </w:r>
      <w:r/>
    </w:p>
    <w:p>
      <w:pPr>
        <w:pStyle w:val="969"/>
        <w:ind w:firstLine="0"/>
        <w:jc w:val="center"/>
        <w:rPr>
          <w:rFonts w:hint="eastAsia" w:ascii="宋体" w:hAnsi="宋体" w:eastAsia="宋体" w:cs="宋体"/>
          <w:b/>
          <w:sz w:val="21"/>
          <w:szCs w:val="21"/>
        </w:rPr>
      </w:pPr>
      <w:r>
        <w:rPr>
          <w:rFonts w:hint="eastAsia" w:ascii="宋体" w:hAnsi="宋体" w:eastAsia="宋体" w:cs="宋体"/>
          <w:b/>
          <w:sz w:val="21"/>
          <w:szCs w:val="21"/>
        </w:rPr>
        <w:t xml:space="preserve">法定代表人授权委托书</w:t>
      </w:r>
      <w:r/>
    </w:p>
    <w:p>
      <w:pPr>
        <w:pStyle w:val="969"/>
        <w:ind w:firstLine="0"/>
        <w:jc w:val="center"/>
        <w:rPr>
          <w:rFonts w:hint="eastAsia" w:ascii="宋体" w:hAnsi="宋体" w:eastAsia="宋体" w:cs="宋体"/>
          <w:sz w:val="21"/>
          <w:szCs w:val="21"/>
        </w:rPr>
      </w:pPr>
      <w:r>
        <w:rPr>
          <w:rFonts w:hint="eastAsia" w:ascii="宋体" w:hAnsi="宋体" w:eastAsia="宋体" w:cs="宋体"/>
          <w:sz w:val="21"/>
          <w:szCs w:val="21"/>
        </w:rPr>
      </w:r>
      <w:r/>
    </w:p>
    <w:p>
      <w:pPr>
        <w:pStyle w:val="969"/>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本授权委托书声明：  我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（姓名）系</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（投标人名称）的法定代表人，现授权委托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（姓名）为我公司授权代表（即</w:t>
      </w:r>
      <w:r>
        <w:rPr>
          <w:rFonts w:hint="eastAsia" w:ascii="宋体" w:hAnsi="宋体" w:eastAsia="宋体" w:cs="宋体"/>
          <w:sz w:val="21"/>
          <w:szCs w:val="21"/>
        </w:rPr>
        <w:t xml:space="preserve">代理人），以本公司的名义参加</w:t>
      </w:r>
      <w:r>
        <w:rPr>
          <w:rFonts w:hint="eastAsia" w:ascii="宋体" w:hAnsi="宋体" w:eastAsia="宋体" w:cs="宋体"/>
          <w:sz w:val="21"/>
          <w:szCs w:val="21"/>
          <w:u w:val="single"/>
        </w:rPr>
        <w:t xml:space="preserve"> 苏州乐族工程咨询有限公司</w:t>
      </w:r>
      <w:r>
        <w:rPr>
          <w:rFonts w:hint="eastAsia" w:ascii="宋体" w:hAnsi="宋体" w:eastAsia="宋体" w:cs="宋体"/>
          <w:i/>
          <w:sz w:val="21"/>
          <w:szCs w:val="21"/>
          <w:u w:val="single"/>
        </w:rPr>
        <w:t xml:space="preserve"> </w:t>
      </w:r>
      <w:r>
        <w:rPr>
          <w:rFonts w:hint="eastAsia" w:ascii="宋体" w:hAnsi="宋体" w:eastAsia="宋体" w:cs="宋体"/>
          <w:sz w:val="21"/>
          <w:szCs w:val="21"/>
        </w:rPr>
        <w:t xml:space="preserve">组织实施的编号为</w:t>
      </w:r>
      <w:r>
        <w:rPr>
          <w:rFonts w:hint="eastAsia" w:ascii="宋体" w:hAnsi="宋体" w:eastAsia="宋体" w:cs="宋体"/>
          <w:sz w:val="21"/>
          <w:szCs w:val="21"/>
          <w:u w:val="single"/>
        </w:rPr>
        <w:t xml:space="preserve">  JSZC-320585-SZLZ-G2026-0002  </w:t>
      </w:r>
      <w:r>
        <w:rPr>
          <w:rFonts w:hint="eastAsia" w:ascii="宋体" w:hAnsi="宋体" w:eastAsia="宋体" w:cs="宋体"/>
          <w:sz w:val="21"/>
          <w:szCs w:val="21"/>
        </w:rPr>
        <w:t xml:space="preserve">号的招标活动。代理人在开标、评标、合同谈判过程中所签署的一切文件和处理与这有关的一切事务，我均予以承认。</w:t>
      </w:r>
      <w:r/>
    </w:p>
    <w:p>
      <w:pPr>
        <w:pStyle w:val="969"/>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代理人在授权委托书有效期内签署的所有文件不因授权委托的撤销而失效，除非有撤销授权委托的书面通知，本授权委托书自投标开始至合同履行完毕止。</w:t>
      </w:r>
      <w:r/>
    </w:p>
    <w:p>
      <w:pPr>
        <w:pStyle w:val="969"/>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代理人无转委托权。特此委托。</w:t>
      </w:r>
      <w:r/>
    </w:p>
    <w:p>
      <w:pPr>
        <w:pStyle w:val="969"/>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pStyle w:val="969"/>
        <w:jc w:val="both"/>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投标人名称：</w:t>
      </w:r>
      <w:r>
        <w:rPr>
          <w:rFonts w:hint="eastAsia" w:ascii="宋体" w:hAnsi="宋体" w:eastAsia="宋体" w:cs="宋体"/>
          <w:sz w:val="21"/>
          <w:szCs w:val="21"/>
        </w:rPr>
        <w:t xml:space="preserve">（盖章）</w:t>
      </w:r>
      <w:r/>
    </w:p>
    <w:p>
      <w:pPr>
        <w:pStyle w:val="969"/>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法定代表人：（签字或盖章）</w:t>
      </w:r>
      <w:r/>
    </w:p>
    <w:p>
      <w:pPr>
        <w:pStyle w:val="969"/>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代理人：（签字或盖章）</w:t>
      </w:r>
      <w:r/>
    </w:p>
    <w:p>
      <w:pPr>
        <w:pStyle w:val="969"/>
        <w:jc w:val="right"/>
        <w:rPr>
          <w:rFonts w:hint="eastAsia" w:ascii="宋体" w:hAnsi="宋体" w:eastAsia="宋体" w:cs="宋体"/>
          <w:sz w:val="21"/>
          <w:szCs w:val="21"/>
        </w:rPr>
      </w:pPr>
      <w:r>
        <w:rPr>
          <w:rFonts w:hint="eastAsia" w:ascii="宋体" w:hAnsi="宋体" w:eastAsia="宋体" w:cs="宋体"/>
          <w:sz w:val="21"/>
          <w:szCs w:val="21"/>
        </w:rPr>
      </w:r>
      <w:r/>
    </w:p>
    <w:p>
      <w:pPr>
        <w:pStyle w:val="969"/>
        <w:jc w:val="right"/>
        <w:rPr>
          <w:rFonts w:hint="eastAsia" w:ascii="宋体" w:hAnsi="宋体" w:eastAsia="宋体" w:cs="宋体"/>
          <w:sz w:val="21"/>
          <w:szCs w:val="21"/>
        </w:rPr>
      </w:pPr>
      <w:r>
        <w:rPr>
          <w:rFonts w:hint="eastAsia" w:ascii="宋体" w:hAnsi="宋体" w:eastAsia="宋体" w:cs="宋体"/>
          <w:sz w:val="21"/>
          <w:szCs w:val="21"/>
        </w:rPr>
      </w:r>
      <w:r/>
    </w:p>
    <w:p>
      <w:pPr>
        <w:pStyle w:val="969"/>
        <w:jc w:val="right"/>
      </w:pPr>
      <w:r>
        <w:rPr>
          <w:rFonts w:hint="eastAsia" w:ascii="宋体" w:hAnsi="宋体" w:eastAsia="宋体" w:cs="宋体"/>
          <w:sz w:val="21"/>
          <w:szCs w:val="21"/>
        </w:rPr>
      </w:r>
      <w:r/>
    </w:p>
    <w:p>
      <w:pPr>
        <w:pStyle w:val="969"/>
        <w:jc w:val="center"/>
        <w:rPr>
          <w:rFonts w:hint="eastAsia" w:ascii="宋体" w:hAnsi="宋体" w:eastAsia="宋体" w:cs="宋体"/>
          <w:sz w:val="21"/>
          <w:szCs w:val="21"/>
        </w:rPr>
      </w:pPr>
      <w:r>
        <w:rPr>
          <w:rFonts w:hint="eastAsia" w:ascii="宋体" w:hAnsi="宋体" w:eastAsia="宋体" w:cs="宋体"/>
          <w:sz w:val="21"/>
          <w:szCs w:val="21"/>
        </w:rPr>
        <w:t xml:space="preserve">                                         年    月     日</w:t>
      </w:r>
      <w:r/>
    </w:p>
    <w:p>
      <w:pPr>
        <w:pStyle w:val="954"/>
        <w:rPr>
          <w:rFonts w:hint="eastAsia" w:cs="宋体"/>
          <w:b/>
          <w:sz w:val="21"/>
          <w:szCs w:val="21"/>
        </w:rPr>
      </w:pPr>
      <w:r>
        <w:rPr>
          <w:rFonts w:hint="eastAsia" w:cs="宋体"/>
          <w:sz w:val="21"/>
          <w:szCs w:val="21"/>
          <w:u w:val="single"/>
        </w:rPr>
        <w:br w:type="page" w:clear="all"/>
      </w:r>
      <w:r>
        <w:rPr>
          <w:rFonts w:hint="eastAsia" w:cs="宋体"/>
          <w:b/>
          <w:sz w:val="21"/>
          <w:szCs w:val="21"/>
        </w:rPr>
        <w:t xml:space="preserve">附件3、开标一览表</w:t>
      </w:r>
      <w:r/>
    </w:p>
    <w:p>
      <w:pPr>
        <w:pStyle w:val="954"/>
        <w:jc w:val="center"/>
        <w:spacing w:line="480" w:lineRule="auto"/>
        <w:rPr>
          <w:rFonts w:hint="eastAsia" w:cs="宋体"/>
          <w:b/>
          <w:sz w:val="21"/>
          <w:szCs w:val="21"/>
        </w:rPr>
      </w:pPr>
      <w:r>
        <w:rPr>
          <w:rFonts w:hint="eastAsia" w:cs="宋体"/>
          <w:b/>
          <w:sz w:val="21"/>
          <w:szCs w:val="21"/>
        </w:rPr>
        <w:t xml:space="preserve">开标一览表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8080"/>
      </w:tblGrid>
      <w:tr>
        <w:trPr>
          <w:trHeight w:val="567"/>
        </w:trPr>
        <w:tc>
          <w:tcPr>
            <w:tcW w:w="1951" w:type="dxa"/>
            <w:vAlign w:val="center"/>
            <w:textDirection w:val="lrTb"/>
            <w:noWrap w:val="false"/>
          </w:tcPr>
          <w:p>
            <w:pPr>
              <w:pStyle w:val="954"/>
              <w:jc w:val="center"/>
              <w:widowControl/>
              <w:rPr>
                <w:rFonts w:hint="eastAsia" w:cs="宋体"/>
                <w:sz w:val="21"/>
                <w:szCs w:val="21"/>
              </w:rPr>
            </w:pPr>
            <w:r>
              <w:rPr>
                <w:rFonts w:hint="eastAsia" w:cs="宋体"/>
                <w:sz w:val="21"/>
                <w:szCs w:val="21"/>
              </w:rPr>
              <w:t xml:space="preserve">项目名称</w:t>
            </w:r>
            <w:r/>
          </w:p>
        </w:tc>
        <w:tc>
          <w:tcPr>
            <w:tcW w:w="8080" w:type="dxa"/>
            <w:vAlign w:val="center"/>
            <w:textDirection w:val="lrTb"/>
            <w:noWrap w:val="false"/>
          </w:tcPr>
          <w:p>
            <w:pPr>
              <w:pStyle w:val="954"/>
              <w:widowControl/>
              <w:rPr>
                <w:rFonts w:hint="eastAsia" w:cs="宋体"/>
                <w:sz w:val="21"/>
                <w:szCs w:val="21"/>
              </w:rPr>
            </w:pPr>
            <w:r>
              <w:rPr>
                <w:rFonts w:cs="宋体"/>
                <w:sz w:val="21"/>
                <w:szCs w:val="21"/>
              </w:rPr>
              <w:t xml:space="preserve">2026年浮桥镇建筑垃圾清运服务</w:t>
            </w:r>
            <w:r>
              <w:rPr>
                <w:rFonts w:hint="eastAsia" w:cs="宋体"/>
                <w:sz w:val="21"/>
                <w:szCs w:val="21"/>
              </w:rPr>
            </w:r>
            <w:r/>
          </w:p>
        </w:tc>
      </w:tr>
      <w:tr>
        <w:trPr>
          <w:trHeight w:val="567"/>
        </w:trPr>
        <w:tc>
          <w:tcPr>
            <w:tcW w:w="1951" w:type="dxa"/>
            <w:vAlign w:val="center"/>
            <w:textDirection w:val="lrTb"/>
            <w:noWrap w:val="false"/>
          </w:tcPr>
          <w:p>
            <w:pPr>
              <w:pStyle w:val="954"/>
              <w:jc w:val="center"/>
              <w:widowControl/>
              <w:rPr>
                <w:rFonts w:hint="eastAsia" w:cs="宋体"/>
                <w:sz w:val="21"/>
                <w:szCs w:val="21"/>
              </w:rPr>
            </w:pPr>
            <w:r>
              <w:rPr>
                <w:rFonts w:hint="eastAsia" w:cs="宋体"/>
                <w:sz w:val="21"/>
                <w:szCs w:val="21"/>
              </w:rPr>
              <w:t xml:space="preserve">投标报价（元/吨）</w:t>
            </w:r>
            <w:r/>
          </w:p>
        </w:tc>
        <w:tc>
          <w:tcPr>
            <w:tcW w:w="8080" w:type="dxa"/>
            <w:vAlign w:val="center"/>
            <w:textDirection w:val="lrTb"/>
            <w:noWrap w:val="false"/>
          </w:tcPr>
          <w:p>
            <w:pPr>
              <w:pStyle w:val="954"/>
              <w:widowControl/>
              <w:rPr>
                <w:rFonts w:hint="eastAsia" w:cs="宋体"/>
                <w:sz w:val="21"/>
                <w:szCs w:val="21"/>
              </w:rPr>
            </w:pPr>
            <w:r>
              <w:rPr>
                <w:rFonts w:hint="eastAsia" w:cs="宋体"/>
                <w:sz w:val="21"/>
                <w:szCs w:val="21"/>
              </w:rPr>
              <w:t xml:space="preserve">大写：                   （小写： </w:t>
            </w:r>
            <w:r>
              <w:rPr>
                <w:rFonts w:cs="宋体"/>
                <w:sz w:val="21"/>
                <w:szCs w:val="21"/>
              </w:rPr>
              <w:t xml:space="preserve">         </w:t>
            </w:r>
            <w:r>
              <w:rPr>
                <w:rFonts w:hint="eastAsia" w:cs="宋体"/>
                <w:sz w:val="21"/>
                <w:szCs w:val="21"/>
              </w:rPr>
              <w:t xml:space="preserve">）</w:t>
            </w:r>
            <w:r>
              <w:rPr>
                <w:rFonts w:hint="eastAsia" w:cs="宋体"/>
                <w:sz w:val="21"/>
                <w:szCs w:val="21"/>
              </w:rPr>
            </w:r>
            <w:r/>
          </w:p>
        </w:tc>
      </w:tr>
    </w:tbl>
    <w:p>
      <w:pPr>
        <w:pStyle w:val="954"/>
        <w:ind w:firstLine="420"/>
        <w:jc w:val="left"/>
        <w:spacing w:line="360" w:lineRule="auto"/>
        <w:rPr>
          <w:rFonts w:cs="宋体"/>
          <w:sz w:val="21"/>
          <w:szCs w:val="21"/>
        </w:rPr>
      </w:pPr>
      <w:r>
        <w:rPr>
          <w:rFonts w:cs="宋体"/>
          <w:sz w:val="21"/>
          <w:szCs w:val="21"/>
        </w:rPr>
      </w:r>
      <w:r/>
    </w:p>
    <w:p>
      <w:pPr>
        <w:pStyle w:val="954"/>
        <w:ind w:firstLine="420"/>
        <w:jc w:val="left"/>
        <w:spacing w:line="360" w:lineRule="auto"/>
        <w:rPr>
          <w:rFonts w:hint="eastAsia" w:cs="宋体"/>
          <w:sz w:val="21"/>
          <w:szCs w:val="21"/>
        </w:rPr>
      </w:pPr>
      <w:r>
        <w:rPr>
          <w:rFonts w:hint="eastAsia" w:cs="宋体"/>
          <w:sz w:val="21"/>
          <w:szCs w:val="21"/>
        </w:rPr>
      </w:r>
      <w:r/>
    </w:p>
    <w:p>
      <w:pPr>
        <w:pStyle w:val="954"/>
        <w:ind w:firstLine="420"/>
        <w:jc w:val="left"/>
        <w:spacing w:line="360" w:lineRule="auto"/>
        <w:rPr>
          <w:rFonts w:hint="eastAsia" w:cs="宋体"/>
          <w:sz w:val="21"/>
          <w:szCs w:val="21"/>
        </w:rPr>
      </w:pPr>
      <w:r>
        <w:rPr>
          <w:rFonts w:hint="eastAsia" w:cs="宋体"/>
          <w:sz w:val="21"/>
          <w:szCs w:val="21"/>
        </w:rPr>
        <w:t xml:space="preserve">投标人名称：            （盖章）</w:t>
      </w:r>
      <w:r/>
    </w:p>
    <w:p>
      <w:pPr>
        <w:pStyle w:val="954"/>
        <w:ind w:firstLine="420"/>
        <w:jc w:val="left"/>
        <w:spacing w:line="360" w:lineRule="auto"/>
        <w:rPr>
          <w:rFonts w:hint="eastAsia" w:cs="宋体"/>
          <w:sz w:val="21"/>
          <w:szCs w:val="21"/>
        </w:rPr>
      </w:pPr>
      <w:r>
        <w:rPr>
          <w:rFonts w:hint="eastAsia" w:cs="宋体"/>
          <w:sz w:val="21"/>
          <w:szCs w:val="21"/>
        </w:rPr>
        <w:t xml:space="preserve">法定代表人或代理人（签字或盖章）：</w:t>
      </w:r>
      <w:r/>
    </w:p>
    <w:p>
      <w:pPr>
        <w:pStyle w:val="954"/>
        <w:ind w:firstLine="420"/>
        <w:jc w:val="left"/>
        <w:spacing w:line="360" w:lineRule="auto"/>
        <w:rPr>
          <w:rFonts w:hint="eastAsia" w:cs="宋体"/>
          <w:sz w:val="21"/>
          <w:szCs w:val="21"/>
        </w:rPr>
      </w:pPr>
      <w:r>
        <w:rPr>
          <w:rFonts w:hint="eastAsia" w:cs="宋体"/>
          <w:sz w:val="21"/>
          <w:szCs w:val="21"/>
        </w:rPr>
        <w:t xml:space="preserve">日期：    年    月    日</w:t>
      </w:r>
      <w:r/>
    </w:p>
    <w:p>
      <w:pPr>
        <w:pStyle w:val="954"/>
        <w:spacing w:line="440" w:lineRule="exact"/>
        <w:rPr>
          <w:rFonts w:hint="eastAsia" w:cs="宋体"/>
          <w:b/>
          <w:bCs/>
          <w:sz w:val="21"/>
          <w:szCs w:val="21"/>
        </w:rPr>
      </w:pPr>
      <w:r>
        <w:rPr>
          <w:rFonts w:hint="eastAsia" w:cs="宋体"/>
          <w:b/>
          <w:sz w:val="21"/>
          <w:szCs w:val="21"/>
        </w:rPr>
        <w:br w:type="page" w:clear="all"/>
      </w:r>
      <w:r>
        <w:rPr>
          <w:rFonts w:hint="eastAsia" w:cs="宋体"/>
          <w:b/>
          <w:bCs/>
          <w:sz w:val="21"/>
          <w:szCs w:val="21"/>
        </w:rPr>
        <w:t xml:space="preserve">附件4</w:t>
      </w:r>
      <w:r>
        <w:rPr>
          <w:rFonts w:hint="eastAsia" w:cs="宋体"/>
          <w:b/>
          <w:sz w:val="21"/>
          <w:szCs w:val="21"/>
        </w:rPr>
        <w:t xml:space="preserve">、</w:t>
      </w:r>
      <w:r>
        <w:rPr>
          <w:rFonts w:hint="eastAsia" w:cs="宋体"/>
          <w:b/>
          <w:bCs/>
          <w:sz w:val="21"/>
          <w:szCs w:val="21"/>
        </w:rPr>
        <w:t xml:space="preserve">偏离表</w:t>
      </w:r>
      <w:r/>
    </w:p>
    <w:p>
      <w:pPr>
        <w:pStyle w:val="954"/>
        <w:jc w:val="center"/>
        <w:spacing w:line="360" w:lineRule="auto"/>
        <w:rPr>
          <w:rFonts w:hint="eastAsia" w:cs="宋体"/>
          <w:b/>
          <w:spacing w:val="20"/>
          <w:sz w:val="21"/>
          <w:szCs w:val="21"/>
        </w:rPr>
      </w:pPr>
      <w:r/>
      <w:bookmarkStart w:id="13" w:name="_Hlk39583930"/>
      <w:r>
        <w:rPr>
          <w:rFonts w:hint="eastAsia" w:cs="宋体"/>
          <w:b/>
          <w:bCs/>
          <w:sz w:val="21"/>
          <w:szCs w:val="21"/>
        </w:rPr>
        <w:t xml:space="preserve">技术（</w:t>
      </w:r>
      <w:r>
        <w:rPr>
          <w:rFonts w:hint="eastAsia" w:cs="宋体"/>
          <w:b/>
          <w:bCs/>
          <w:spacing w:val="20"/>
          <w:sz w:val="21"/>
          <w:szCs w:val="21"/>
        </w:rPr>
        <w:t xml:space="preserve">服务</w:t>
      </w:r>
      <w:r>
        <w:rPr>
          <w:rFonts w:hint="eastAsia" w:cs="宋体"/>
          <w:b/>
          <w:spacing w:val="20"/>
          <w:sz w:val="21"/>
          <w:szCs w:val="21"/>
        </w:rPr>
        <w:t xml:space="preserve">）要求偏离表</w:t>
      </w:r>
      <w:r/>
    </w:p>
    <w:p>
      <w:pPr>
        <w:pStyle w:val="954"/>
        <w:ind w:firstLine="525"/>
        <w:spacing w:line="380" w:lineRule="exact"/>
        <w:rPr>
          <w:rFonts w:hint="eastAsia" w:cs="宋体"/>
          <w:b/>
          <w:spacing w:val="20"/>
          <w:sz w:val="21"/>
          <w:szCs w:val="21"/>
        </w:rPr>
      </w:pPr>
      <w:r/>
      <w:bookmarkEnd w:id="13"/>
      <w:r>
        <w:rPr>
          <w:rFonts w:hint="eastAsia" w:cs="宋体"/>
          <w:sz w:val="21"/>
          <w:szCs w:val="21"/>
          <w:lang w:val="zh-CN"/>
        </w:rPr>
        <w:t xml:space="preserve">投标人：                    </w:t>
      </w:r>
      <w:r>
        <w:rPr>
          <w:rFonts w:hint="eastAsia" w:cs="宋体"/>
          <w:sz w:val="21"/>
          <w:szCs w:val="21"/>
        </w:rPr>
        <w:t xml:space="preserve">                       </w:t>
      </w:r>
      <w:r>
        <w:rPr>
          <w:rFonts w:hint="eastAsia" w:cs="宋体"/>
          <w:sz w:val="21"/>
          <w:szCs w:val="21"/>
          <w:lang w:val="zh-CN"/>
        </w:rPr>
        <w:t xml:space="preserve">招标编号∶</w:t>
      </w:r>
      <w:r>
        <w:rPr>
          <w:rFonts w:hint="eastAsia" w:cs="宋体"/>
          <w:b/>
          <w:spacing w:val="20"/>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370"/>
        <w:gridCol w:w="2631"/>
        <w:gridCol w:w="2052"/>
      </w:tblGrid>
      <w:tr>
        <w:trPr/>
        <w:tc>
          <w:tcPr>
            <w:tcW w:w="958" w:type="dxa"/>
            <w:vAlign w:val="center"/>
            <w:textDirection w:val="lrTb"/>
            <w:noWrap w:val="false"/>
          </w:tcPr>
          <w:p>
            <w:pPr>
              <w:pStyle w:val="954"/>
              <w:jc w:val="center"/>
              <w:rPr>
                <w:rFonts w:hint="eastAsia" w:cs="宋体"/>
                <w:sz w:val="21"/>
                <w:szCs w:val="21"/>
              </w:rPr>
            </w:pPr>
            <w:r>
              <w:rPr>
                <w:rFonts w:hint="eastAsia" w:cs="宋体"/>
                <w:sz w:val="21"/>
                <w:szCs w:val="21"/>
              </w:rPr>
              <w:t xml:space="preserve">序号</w:t>
            </w:r>
            <w:r/>
          </w:p>
        </w:tc>
        <w:tc>
          <w:tcPr>
            <w:tcW w:w="1683" w:type="dxa"/>
            <w:vAlign w:val="center"/>
            <w:textDirection w:val="lrTb"/>
            <w:noWrap w:val="false"/>
          </w:tcPr>
          <w:p>
            <w:pPr>
              <w:pStyle w:val="969"/>
              <w:ind w:left="54"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服务内容</w:t>
            </w:r>
            <w:r/>
          </w:p>
        </w:tc>
        <w:tc>
          <w:tcPr>
            <w:tcW w:w="2370" w:type="dxa"/>
            <w:vAlign w:val="center"/>
            <w:textDirection w:val="lrTb"/>
            <w:noWrap w:val="false"/>
          </w:tcPr>
          <w:p>
            <w:pPr>
              <w:pStyle w:val="969"/>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招标要求</w:t>
            </w:r>
            <w:r/>
          </w:p>
        </w:tc>
        <w:tc>
          <w:tcPr>
            <w:tcW w:w="2631" w:type="dxa"/>
            <w:vAlign w:val="center"/>
            <w:textDirection w:val="lrTb"/>
            <w:noWrap w:val="false"/>
          </w:tcPr>
          <w:p>
            <w:pPr>
              <w:pStyle w:val="969"/>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偏离说明</w:t>
            </w:r>
            <w:r/>
          </w:p>
        </w:tc>
        <w:tc>
          <w:tcPr>
            <w:tcW w:w="2052" w:type="dxa"/>
            <w:vAlign w:val="center"/>
            <w:textDirection w:val="lrTb"/>
            <w:noWrap w:val="false"/>
          </w:tcPr>
          <w:p>
            <w:pPr>
              <w:pStyle w:val="969"/>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偏离内容</w:t>
            </w:r>
            <w:r/>
          </w:p>
        </w:tc>
      </w:tr>
      <w:tr>
        <w:trPr/>
        <w:tc>
          <w:tcPr>
            <w:tcW w:w="958" w:type="dxa"/>
            <w:vAlign w:val="center"/>
            <w:textDirection w:val="lrTb"/>
            <w:noWrap w:val="false"/>
          </w:tcPr>
          <w:p>
            <w:pPr>
              <w:pStyle w:val="954"/>
              <w:jc w:val="center"/>
              <w:rPr>
                <w:rFonts w:hint="eastAsia" w:cs="宋体"/>
                <w:sz w:val="21"/>
                <w:szCs w:val="21"/>
              </w:rPr>
            </w:pPr>
            <w:r>
              <w:rPr>
                <w:rFonts w:hint="eastAsia" w:cs="宋体"/>
                <w:sz w:val="21"/>
                <w:szCs w:val="21"/>
              </w:rPr>
              <w:t xml:space="preserve">1</w:t>
            </w:r>
            <w:r/>
          </w:p>
        </w:tc>
        <w:tc>
          <w:tcPr>
            <w:tcW w:w="1683" w:type="dxa"/>
            <w:vAlign w:val="top"/>
            <w:textDirection w:val="lrTb"/>
            <w:noWrap w:val="false"/>
          </w:tcPr>
          <w:p>
            <w:pPr>
              <w:pStyle w:val="96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96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96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96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center"/>
            <w:textDirection w:val="lrTb"/>
            <w:noWrap w:val="false"/>
          </w:tcPr>
          <w:p>
            <w:pPr>
              <w:pStyle w:val="954"/>
              <w:jc w:val="center"/>
              <w:rPr>
                <w:rFonts w:hint="eastAsia" w:cs="宋体"/>
                <w:sz w:val="21"/>
                <w:szCs w:val="21"/>
              </w:rPr>
            </w:pPr>
            <w:r>
              <w:rPr>
                <w:rFonts w:hint="eastAsia" w:cs="宋体"/>
                <w:sz w:val="21"/>
                <w:szCs w:val="21"/>
              </w:rPr>
              <w:t xml:space="preserve">2</w:t>
            </w:r>
            <w:r/>
          </w:p>
        </w:tc>
        <w:tc>
          <w:tcPr>
            <w:tcW w:w="1683" w:type="dxa"/>
            <w:vAlign w:val="top"/>
            <w:textDirection w:val="lrTb"/>
            <w:noWrap w:val="false"/>
          </w:tcPr>
          <w:p>
            <w:pPr>
              <w:pStyle w:val="96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96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96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96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center"/>
            <w:textDirection w:val="lrTb"/>
            <w:noWrap w:val="false"/>
          </w:tcPr>
          <w:p>
            <w:pPr>
              <w:pStyle w:val="954"/>
              <w:jc w:val="center"/>
              <w:rPr>
                <w:rFonts w:hint="eastAsia" w:cs="宋体"/>
                <w:sz w:val="21"/>
                <w:szCs w:val="21"/>
              </w:rPr>
            </w:pPr>
            <w:r>
              <w:rPr>
                <w:rFonts w:hint="eastAsia" w:cs="宋体"/>
                <w:sz w:val="21"/>
                <w:szCs w:val="21"/>
              </w:rPr>
              <w:t xml:space="preserve">3</w:t>
            </w:r>
            <w:r/>
          </w:p>
        </w:tc>
        <w:tc>
          <w:tcPr>
            <w:tcW w:w="1683" w:type="dxa"/>
            <w:vAlign w:val="top"/>
            <w:textDirection w:val="lrTb"/>
            <w:noWrap w:val="false"/>
          </w:tcPr>
          <w:p>
            <w:pPr>
              <w:pStyle w:val="96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96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96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96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center"/>
            <w:textDirection w:val="lrTb"/>
            <w:noWrap w:val="false"/>
          </w:tcPr>
          <w:p>
            <w:pPr>
              <w:pStyle w:val="954"/>
              <w:jc w:val="center"/>
              <w:rPr>
                <w:rFonts w:hint="eastAsia" w:cs="宋体"/>
                <w:sz w:val="21"/>
                <w:szCs w:val="21"/>
              </w:rPr>
            </w:pPr>
            <w:r>
              <w:rPr>
                <w:rFonts w:hint="eastAsia" w:cs="宋体"/>
                <w:sz w:val="21"/>
                <w:szCs w:val="21"/>
              </w:rPr>
              <w:t xml:space="preserve">4</w:t>
            </w:r>
            <w:r/>
          </w:p>
        </w:tc>
        <w:tc>
          <w:tcPr>
            <w:tcW w:w="1683" w:type="dxa"/>
            <w:vAlign w:val="top"/>
            <w:textDirection w:val="lrTb"/>
            <w:noWrap w:val="false"/>
          </w:tcPr>
          <w:p>
            <w:pPr>
              <w:pStyle w:val="96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96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96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96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center"/>
            <w:textDirection w:val="lrTb"/>
            <w:noWrap w:val="false"/>
          </w:tcPr>
          <w:p>
            <w:pPr>
              <w:pStyle w:val="954"/>
              <w:jc w:val="center"/>
              <w:rPr>
                <w:rFonts w:hint="eastAsia" w:cs="宋体"/>
                <w:sz w:val="21"/>
                <w:szCs w:val="21"/>
              </w:rPr>
            </w:pPr>
            <w:r>
              <w:rPr>
                <w:rFonts w:hint="eastAsia" w:cs="宋体"/>
                <w:sz w:val="21"/>
                <w:szCs w:val="21"/>
              </w:rPr>
              <w:t xml:space="preserve">5</w:t>
            </w:r>
            <w:r/>
          </w:p>
        </w:tc>
        <w:tc>
          <w:tcPr>
            <w:tcW w:w="1683" w:type="dxa"/>
            <w:vAlign w:val="top"/>
            <w:textDirection w:val="lrTb"/>
            <w:noWrap w:val="false"/>
          </w:tcPr>
          <w:p>
            <w:pPr>
              <w:pStyle w:val="96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96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96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96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center"/>
            <w:textDirection w:val="lrTb"/>
            <w:noWrap w:val="false"/>
          </w:tcPr>
          <w:p>
            <w:pPr>
              <w:pStyle w:val="954"/>
              <w:jc w:val="center"/>
              <w:rPr>
                <w:rFonts w:hint="eastAsia" w:cs="宋体"/>
                <w:sz w:val="21"/>
                <w:szCs w:val="21"/>
              </w:rPr>
            </w:pPr>
            <w:r>
              <w:rPr>
                <w:rFonts w:hint="eastAsia" w:cs="宋体"/>
                <w:sz w:val="21"/>
                <w:szCs w:val="21"/>
              </w:rPr>
              <w:t xml:space="preserve">6</w:t>
            </w:r>
            <w:r/>
          </w:p>
        </w:tc>
        <w:tc>
          <w:tcPr>
            <w:tcW w:w="1683" w:type="dxa"/>
            <w:vAlign w:val="top"/>
            <w:textDirection w:val="lrTb"/>
            <w:noWrap w:val="false"/>
          </w:tcPr>
          <w:p>
            <w:pPr>
              <w:pStyle w:val="96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96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96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96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top"/>
            <w:textDirection w:val="lrTb"/>
            <w:noWrap w:val="false"/>
          </w:tcPr>
          <w:p>
            <w:pPr>
              <w:pStyle w:val="954"/>
              <w:jc w:val="center"/>
              <w:rPr>
                <w:rFonts w:hint="eastAsia" w:cs="宋体"/>
                <w:sz w:val="21"/>
                <w:szCs w:val="21"/>
              </w:rPr>
            </w:pPr>
            <w:r>
              <w:rPr>
                <w:rFonts w:hint="eastAsia" w:cs="宋体"/>
                <w:sz w:val="21"/>
                <w:szCs w:val="21"/>
              </w:rPr>
              <w:t xml:space="preserve">……</w:t>
            </w:r>
            <w:r/>
          </w:p>
        </w:tc>
        <w:tc>
          <w:tcPr>
            <w:tcW w:w="1683" w:type="dxa"/>
            <w:vAlign w:val="top"/>
            <w:textDirection w:val="lrTb"/>
            <w:noWrap w:val="false"/>
          </w:tcPr>
          <w:p>
            <w:pPr>
              <w:pStyle w:val="96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96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96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96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954"/>
        <w:ind w:firstLine="525"/>
        <w:spacing w:line="400" w:lineRule="exact"/>
        <w:rPr>
          <w:rFonts w:hint="eastAsia" w:cs="宋体"/>
          <w:sz w:val="21"/>
          <w:szCs w:val="21"/>
        </w:rPr>
      </w:pPr>
      <w:r>
        <w:rPr>
          <w:rFonts w:hint="eastAsia" w:cs="宋体"/>
          <w:sz w:val="21"/>
          <w:szCs w:val="21"/>
        </w:rPr>
        <w:t xml:space="preserve">投标方：（单位盖章）</w:t>
      </w:r>
      <w:r/>
    </w:p>
    <w:p>
      <w:pPr>
        <w:pStyle w:val="954"/>
        <w:ind w:firstLine="525"/>
        <w:spacing w:line="400" w:lineRule="exact"/>
        <w:rPr>
          <w:rFonts w:hint="eastAsia" w:cs="宋体"/>
          <w:sz w:val="21"/>
          <w:szCs w:val="21"/>
        </w:rPr>
      </w:pPr>
      <w:r>
        <w:rPr>
          <w:rFonts w:hint="eastAsia" w:cs="宋体"/>
          <w:sz w:val="21"/>
          <w:szCs w:val="21"/>
        </w:rPr>
        <w:t xml:space="preserve">法定代表人或代理人：（签字或盖章）</w:t>
      </w:r>
      <w:r/>
    </w:p>
    <w:p>
      <w:pPr>
        <w:pStyle w:val="954"/>
        <w:ind w:firstLine="525"/>
        <w:spacing w:line="400" w:lineRule="exact"/>
        <w:rPr>
          <w:rFonts w:hint="eastAsia" w:cs="宋体"/>
          <w:b/>
          <w:sz w:val="21"/>
          <w:szCs w:val="21"/>
        </w:rPr>
      </w:pPr>
      <w:r>
        <w:rPr>
          <w:rFonts w:hint="eastAsia" w:cs="宋体"/>
          <w:sz w:val="21"/>
          <w:szCs w:val="21"/>
        </w:rPr>
        <w:t xml:space="preserve">日期：           年  月  日</w:t>
      </w:r>
      <w:r>
        <w:rPr>
          <w:rFonts w:hint="eastAsia" w:cs="宋体"/>
          <w:b/>
          <w:sz w:val="21"/>
          <w:szCs w:val="21"/>
        </w:rPr>
      </w:r>
      <w:r/>
    </w:p>
    <w:p>
      <w:pPr>
        <w:pStyle w:val="954"/>
        <w:jc w:val="center"/>
        <w:spacing w:line="360" w:lineRule="auto"/>
        <w:rPr>
          <w:rFonts w:hint="eastAsia" w:cs="宋体"/>
          <w:b/>
          <w:spacing w:val="20"/>
          <w:sz w:val="21"/>
          <w:szCs w:val="21"/>
        </w:rPr>
      </w:pPr>
      <w:r>
        <w:rPr>
          <w:rFonts w:hint="eastAsia" w:cs="宋体"/>
          <w:b/>
          <w:spacing w:val="20"/>
          <w:sz w:val="21"/>
          <w:szCs w:val="21"/>
        </w:rPr>
        <w:t xml:space="preserve">商务条款偏离表</w:t>
      </w:r>
      <w:r/>
    </w:p>
    <w:p>
      <w:pPr>
        <w:pStyle w:val="954"/>
        <w:ind w:firstLine="420"/>
        <w:spacing w:line="380" w:lineRule="exact"/>
        <w:rPr>
          <w:rFonts w:hint="eastAsia" w:cs="宋体"/>
          <w:sz w:val="21"/>
          <w:szCs w:val="21"/>
        </w:rPr>
      </w:pPr>
      <w:r>
        <w:rPr>
          <w:rFonts w:hint="eastAsia" w:cs="宋体"/>
          <w:sz w:val="21"/>
          <w:szCs w:val="21"/>
          <w:lang w:val="zh-CN"/>
        </w:rPr>
        <w:t xml:space="preserve">投标人：                     </w:t>
      </w:r>
      <w:r>
        <w:rPr>
          <w:rFonts w:hint="eastAsia" w:cs="宋体"/>
          <w:sz w:val="21"/>
          <w:szCs w:val="21"/>
        </w:rPr>
        <w:t xml:space="preserve">                       </w:t>
      </w:r>
      <w:r>
        <w:rPr>
          <w:rFonts w:hint="eastAsia" w:cs="宋体"/>
          <w:sz w:val="21"/>
          <w:szCs w:val="21"/>
          <w:lang w:val="zh-CN"/>
        </w:rPr>
        <w:t xml:space="preserve">招标编号∶</w:t>
      </w:r>
      <w:r>
        <w:rPr>
          <w:rFonts w:hint="eastAsia" w:cs="宋体"/>
          <w:sz w:val="21"/>
          <w:szCs w:val="21"/>
        </w:rPr>
      </w:r>
      <w:r/>
    </w:p>
    <w:tbl>
      <w:tblPr>
        <w:tblW w:w="0" w:type="auto"/>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2680"/>
        <w:gridCol w:w="1842"/>
        <w:gridCol w:w="1578"/>
      </w:tblGrid>
      <w:tr>
        <w:trPr>
          <w:cantSplit/>
          <w:trHeight w:val="454"/>
          <w:tblHeader/>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954"/>
              <w:jc w:val="center"/>
              <w:rPr>
                <w:rFonts w:hint="eastAsia" w:cs="宋体"/>
                <w:bCs/>
                <w:sz w:val="21"/>
                <w:szCs w:val="21"/>
              </w:rPr>
            </w:pPr>
            <w:r>
              <w:rPr>
                <w:rFonts w:hint="eastAsia" w:cs="宋体"/>
                <w:bCs/>
                <w:sz w:val="21"/>
                <w:szCs w:val="21"/>
              </w:rPr>
              <w:t xml:space="preserve">序号</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954"/>
              <w:jc w:val="center"/>
              <w:rPr>
                <w:rFonts w:hint="eastAsia" w:cs="宋体"/>
                <w:bCs/>
                <w:sz w:val="21"/>
                <w:szCs w:val="21"/>
              </w:rPr>
            </w:pPr>
            <w:r>
              <w:rPr>
                <w:rFonts w:hint="eastAsia" w:cs="宋体"/>
                <w:bCs/>
                <w:sz w:val="21"/>
                <w:szCs w:val="21"/>
              </w:rPr>
              <w:t xml:space="preserve">招标文件要求</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954"/>
              <w:jc w:val="center"/>
              <w:rPr>
                <w:rFonts w:hint="eastAsia" w:cs="宋体"/>
                <w:bCs/>
                <w:sz w:val="21"/>
                <w:szCs w:val="21"/>
              </w:rPr>
            </w:pPr>
            <w:r>
              <w:rPr>
                <w:rFonts w:hint="eastAsia" w:cs="宋体"/>
                <w:bCs/>
                <w:sz w:val="21"/>
                <w:szCs w:val="21"/>
              </w:rPr>
              <w:t xml:space="preserve">投标响应</w:t>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954"/>
              <w:jc w:val="center"/>
              <w:rPr>
                <w:rFonts w:hint="eastAsia" w:cs="宋体"/>
                <w:bCs/>
                <w:sz w:val="21"/>
                <w:szCs w:val="21"/>
              </w:rPr>
            </w:pPr>
            <w:r>
              <w:rPr>
                <w:rFonts w:hint="eastAsia" w:cs="宋体"/>
                <w:bCs/>
                <w:sz w:val="21"/>
                <w:szCs w:val="21"/>
              </w:rPr>
              <w:t xml:space="preserve">偏离说明</w:t>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954"/>
              <w:jc w:val="center"/>
              <w:rPr>
                <w:rFonts w:hint="eastAsia" w:cs="宋体"/>
                <w:bCs/>
                <w:sz w:val="21"/>
                <w:szCs w:val="21"/>
              </w:rPr>
            </w:pPr>
            <w:r>
              <w:rPr>
                <w:rFonts w:hint="eastAsia" w:cs="宋体"/>
                <w:bCs/>
                <w:sz w:val="21"/>
                <w:szCs w:val="21"/>
              </w:rPr>
              <w:t xml:space="preserve">偏离内容</w:t>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954"/>
              <w:jc w:val="center"/>
              <w:rPr>
                <w:rFonts w:hint="eastAsia" w:cs="宋体"/>
                <w:bCs/>
                <w:sz w:val="21"/>
                <w:szCs w:val="21"/>
              </w:rPr>
            </w:pPr>
            <w:r>
              <w:rPr>
                <w:rFonts w:hint="eastAsia" w:cs="宋体"/>
                <w:bCs/>
                <w:sz w:val="21"/>
                <w:szCs w:val="21"/>
              </w:rPr>
              <w:t xml:space="preserve">1</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954"/>
              <w:jc w:val="center"/>
              <w:rPr>
                <w:rFonts w:hint="eastAsia" w:cs="宋体"/>
                <w:sz w:val="21"/>
                <w:szCs w:val="21"/>
                <w:lang w:val="zh-CN"/>
              </w:rPr>
            </w:pPr>
            <w:r>
              <w:rPr>
                <w:rFonts w:hint="eastAsia" w:cs="宋体"/>
                <w:sz w:val="21"/>
                <w:szCs w:val="21"/>
                <w:lang w:val="zh-CN"/>
              </w:rPr>
              <w:t xml:space="preserve">合同履行期限</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954"/>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954"/>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954"/>
              <w:jc w:val="center"/>
              <w:rPr>
                <w:rFonts w:hint="eastAsia" w:cs="宋体"/>
                <w:sz w:val="21"/>
                <w:szCs w:val="21"/>
              </w:rPr>
            </w:pPr>
            <w:r>
              <w:rPr>
                <w:rFonts w:hint="eastAsia" w:cs="宋体"/>
                <w:sz w:val="21"/>
                <w:szCs w:val="21"/>
              </w:rPr>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954"/>
              <w:jc w:val="center"/>
              <w:rPr>
                <w:rFonts w:hint="eastAsia" w:cs="宋体"/>
                <w:bCs/>
                <w:sz w:val="21"/>
                <w:szCs w:val="21"/>
              </w:rPr>
            </w:pPr>
            <w:r>
              <w:rPr>
                <w:rFonts w:hint="eastAsia" w:cs="宋体"/>
                <w:bCs/>
                <w:sz w:val="21"/>
                <w:szCs w:val="21"/>
              </w:rPr>
              <w:t xml:space="preserve">2</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954"/>
              <w:jc w:val="center"/>
              <w:rPr>
                <w:rFonts w:hint="eastAsia" w:cs="宋体"/>
                <w:sz w:val="21"/>
                <w:szCs w:val="21"/>
                <w:lang w:val="zh-CN"/>
              </w:rPr>
            </w:pPr>
            <w:r>
              <w:rPr>
                <w:rFonts w:hint="eastAsia" w:cs="宋体"/>
                <w:sz w:val="21"/>
                <w:szCs w:val="21"/>
                <w:lang w:val="zh-CN"/>
              </w:rPr>
              <w:t xml:space="preserve">履行地点</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954"/>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954"/>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954"/>
              <w:jc w:val="center"/>
              <w:rPr>
                <w:rFonts w:hint="eastAsia" w:cs="宋体"/>
                <w:sz w:val="21"/>
                <w:szCs w:val="21"/>
              </w:rPr>
            </w:pPr>
            <w:r>
              <w:rPr>
                <w:rFonts w:hint="eastAsia" w:cs="宋体"/>
                <w:sz w:val="21"/>
                <w:szCs w:val="21"/>
              </w:rPr>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954"/>
              <w:jc w:val="center"/>
              <w:rPr>
                <w:rFonts w:hint="eastAsia" w:cs="宋体"/>
                <w:bCs/>
                <w:sz w:val="21"/>
                <w:szCs w:val="21"/>
              </w:rPr>
            </w:pPr>
            <w:r>
              <w:rPr>
                <w:rFonts w:hint="eastAsia" w:cs="宋体"/>
                <w:bCs/>
                <w:sz w:val="21"/>
                <w:szCs w:val="21"/>
              </w:rPr>
              <w:t xml:space="preserve">3</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954"/>
              <w:jc w:val="center"/>
              <w:rPr>
                <w:rFonts w:hint="eastAsia" w:cs="宋体"/>
                <w:sz w:val="21"/>
                <w:szCs w:val="21"/>
                <w:lang w:val="zh-CN"/>
              </w:rPr>
            </w:pPr>
            <w:r>
              <w:rPr>
                <w:rFonts w:hint="eastAsia" w:cs="宋体"/>
                <w:sz w:val="21"/>
                <w:szCs w:val="21"/>
                <w:lang w:val="zh-CN"/>
              </w:rPr>
              <w:t xml:space="preserve">付款步骤</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954"/>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954"/>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954"/>
              <w:jc w:val="center"/>
              <w:rPr>
                <w:rFonts w:hint="eastAsia" w:cs="宋体"/>
                <w:sz w:val="21"/>
                <w:szCs w:val="21"/>
              </w:rPr>
            </w:pPr>
            <w:r>
              <w:rPr>
                <w:rFonts w:hint="eastAsia" w:cs="宋体"/>
                <w:sz w:val="21"/>
                <w:szCs w:val="21"/>
              </w:rPr>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954"/>
              <w:jc w:val="center"/>
              <w:rPr>
                <w:rFonts w:hint="eastAsia" w:cs="宋体"/>
                <w:bCs/>
                <w:sz w:val="21"/>
                <w:szCs w:val="21"/>
              </w:rPr>
            </w:pPr>
            <w:r>
              <w:rPr>
                <w:rFonts w:hint="eastAsia" w:cs="宋体"/>
                <w:bCs/>
                <w:sz w:val="21"/>
                <w:szCs w:val="21"/>
              </w:rPr>
              <w:t xml:space="preserve">…</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954"/>
              <w:jc w:val="center"/>
              <w:rPr>
                <w:rFonts w:hint="eastAsia" w:cs="宋体"/>
                <w:bCs/>
                <w:sz w:val="21"/>
                <w:szCs w:val="21"/>
              </w:rPr>
            </w:pPr>
            <w:r>
              <w:rPr>
                <w:rFonts w:hint="eastAsia" w:cs="宋体"/>
                <w:sz w:val="21"/>
                <w:szCs w:val="21"/>
                <w:lang w:val="zh-CN"/>
              </w:rPr>
              <w:t xml:space="preserve">其他商务要求</w:t>
            </w:r>
            <w:r>
              <w:rPr>
                <w:rFonts w:hint="eastAsia" w:cs="宋体"/>
                <w:bCs/>
                <w:sz w:val="21"/>
                <w:szCs w:val="21"/>
              </w:rPr>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954"/>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954"/>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954"/>
              <w:jc w:val="center"/>
              <w:rPr>
                <w:rFonts w:hint="eastAsia" w:cs="宋体"/>
                <w:sz w:val="21"/>
                <w:szCs w:val="21"/>
              </w:rPr>
            </w:pPr>
            <w:r>
              <w:rPr>
                <w:rFonts w:hint="eastAsia" w:cs="宋体"/>
                <w:sz w:val="21"/>
                <w:szCs w:val="21"/>
              </w:rPr>
            </w:r>
            <w:r/>
          </w:p>
        </w:tc>
      </w:tr>
    </w:tbl>
    <w:p>
      <w:pPr>
        <w:pStyle w:val="954"/>
        <w:ind w:firstLine="420"/>
        <w:jc w:val="left"/>
        <w:spacing w:line="400" w:lineRule="exact"/>
        <w:rPr>
          <w:rFonts w:hint="eastAsia" w:cs="宋体"/>
          <w:sz w:val="21"/>
          <w:szCs w:val="21"/>
        </w:rPr>
      </w:pPr>
      <w:r>
        <w:rPr>
          <w:rFonts w:hint="eastAsia" w:cs="宋体"/>
          <w:sz w:val="21"/>
          <w:szCs w:val="21"/>
        </w:rPr>
        <w:t xml:space="preserve">投标人名称：         （盖章）</w:t>
      </w:r>
      <w:r/>
    </w:p>
    <w:p>
      <w:pPr>
        <w:pStyle w:val="954"/>
        <w:ind w:firstLine="420"/>
        <w:jc w:val="left"/>
        <w:spacing w:line="400" w:lineRule="exact"/>
        <w:rPr>
          <w:rFonts w:hint="eastAsia" w:cs="宋体"/>
          <w:sz w:val="21"/>
          <w:szCs w:val="21"/>
        </w:rPr>
      </w:pPr>
      <w:r>
        <w:rPr>
          <w:rFonts w:hint="eastAsia" w:cs="宋体"/>
          <w:sz w:val="21"/>
          <w:szCs w:val="21"/>
        </w:rPr>
        <w:t xml:space="preserve">法定代表人或代理人（签字或盖章）</w:t>
      </w:r>
      <w:r>
        <w:rPr>
          <w:rFonts w:hint="eastAsia" w:cs="宋体"/>
          <w:bCs/>
          <w:sz w:val="21"/>
          <w:szCs w:val="21"/>
        </w:rPr>
        <w:t xml:space="preserve">：</w:t>
      </w:r>
      <w:r>
        <w:rPr>
          <w:rFonts w:hint="eastAsia" w:cs="宋体"/>
          <w:sz w:val="21"/>
          <w:szCs w:val="21"/>
        </w:rPr>
      </w:r>
      <w:r/>
    </w:p>
    <w:p>
      <w:pPr>
        <w:pStyle w:val="954"/>
        <w:ind w:firstLine="420"/>
        <w:jc w:val="left"/>
        <w:spacing w:line="400" w:lineRule="exact"/>
        <w:rPr>
          <w:rFonts w:hint="eastAsia" w:cs="宋体"/>
          <w:sz w:val="21"/>
          <w:szCs w:val="21"/>
        </w:rPr>
      </w:pPr>
      <w:r>
        <w:rPr>
          <w:rFonts w:hint="eastAsia" w:cs="宋体"/>
          <w:sz w:val="21"/>
          <w:szCs w:val="21"/>
        </w:rPr>
        <w:t xml:space="preserve">日期：           年  月  日</w:t>
      </w:r>
      <w:r/>
    </w:p>
    <w:p>
      <w:pPr>
        <w:pStyle w:val="954"/>
        <w:ind w:left="630" w:hanging="630"/>
        <w:spacing w:line="400" w:lineRule="exact"/>
        <w:rPr>
          <w:rFonts w:hint="eastAsia" w:cs="宋体"/>
          <w:sz w:val="21"/>
          <w:szCs w:val="21"/>
        </w:rPr>
      </w:pPr>
      <w:r>
        <w:rPr>
          <w:rFonts w:hint="eastAsia" w:cs="宋体"/>
          <w:sz w:val="21"/>
          <w:szCs w:val="21"/>
          <w:lang w:val="zh-CN"/>
        </w:rPr>
        <w:t xml:space="preserve">注：</w:t>
      </w:r>
      <w:r>
        <w:rPr>
          <w:rFonts w:hint="eastAsia" w:cs="宋体"/>
          <w:sz w:val="21"/>
          <w:szCs w:val="21"/>
        </w:rPr>
        <w:t xml:space="preserve">1.投标人应在本表中对照招标文件技术要求（包括服务要求）和商务要求与实际投标技术要求（包括服务要求）和商务要求逐项对应列出，并在“偏离说明”项下填写以下内容：优于的，填写“正偏离”；符合的，填写“无偏离”；低于的，填写“负偏离”。此表描述若与投标文件中其他相关说明不一致时，以偏离表内容为准。偏离表未填写则视为无效标。</w:t>
      </w:r>
      <w:r/>
    </w:p>
    <w:p>
      <w:pPr>
        <w:pStyle w:val="954"/>
        <w:ind w:firstLine="420"/>
        <w:spacing w:line="400" w:lineRule="exact"/>
        <w:rPr>
          <w:rFonts w:hint="eastAsia" w:cs="宋体"/>
          <w:sz w:val="21"/>
          <w:szCs w:val="21"/>
        </w:rPr>
      </w:pPr>
      <w:r>
        <w:rPr>
          <w:rFonts w:hint="eastAsia" w:cs="宋体"/>
          <w:sz w:val="21"/>
          <w:szCs w:val="21"/>
        </w:rPr>
        <w:t xml:space="preserve">2.若事项较多，投标人可根据投标内容的实际情况另纸说明。</w:t>
      </w:r>
      <w:r/>
    </w:p>
    <w:p>
      <w:pPr>
        <w:pStyle w:val="954"/>
        <w:ind w:firstLine="420"/>
        <w:spacing w:line="400" w:lineRule="exact"/>
        <w:rPr>
          <w:rFonts w:hint="eastAsia" w:cs="宋体"/>
          <w:sz w:val="21"/>
          <w:szCs w:val="21"/>
        </w:rPr>
      </w:pPr>
      <w:r>
        <w:rPr>
          <w:rFonts w:hint="eastAsia" w:cs="宋体"/>
          <w:sz w:val="21"/>
          <w:szCs w:val="21"/>
        </w:rPr>
        <w:t xml:space="preserve">3.商务条款不允许出现负偏离，否则为无效标。</w:t>
      </w:r>
      <w:r/>
    </w:p>
    <w:p>
      <w:pPr>
        <w:pStyle w:val="954"/>
        <w:spacing w:line="400" w:lineRule="exact"/>
        <w:rPr>
          <w:rFonts w:hint="eastAsia" w:cs="宋体"/>
          <w:b/>
          <w:sz w:val="21"/>
          <w:szCs w:val="21"/>
        </w:rPr>
      </w:pPr>
      <w:r>
        <w:rPr>
          <w:rFonts w:hint="eastAsia" w:cs="宋体"/>
          <w:sz w:val="21"/>
          <w:szCs w:val="21"/>
        </w:rPr>
        <w:br w:type="page" w:clear="all"/>
      </w:r>
      <w:r>
        <w:rPr>
          <w:rFonts w:hint="eastAsia" w:cs="宋体"/>
          <w:b/>
          <w:sz w:val="21"/>
          <w:szCs w:val="21"/>
        </w:rPr>
        <w:t xml:space="preserve">附件5、资格证明文件</w:t>
      </w:r>
      <w:r/>
    </w:p>
    <w:p>
      <w:pPr>
        <w:pStyle w:val="954"/>
        <w:spacing w:line="400" w:lineRule="exact"/>
        <w:rPr>
          <w:rFonts w:hint="eastAsia" w:cs="宋体"/>
          <w:sz w:val="21"/>
          <w:szCs w:val="21"/>
        </w:rPr>
      </w:pPr>
      <w:r>
        <w:rPr>
          <w:rFonts w:hint="eastAsia" w:cs="宋体"/>
          <w:sz w:val="21"/>
          <w:szCs w:val="21"/>
        </w:rPr>
        <w:t xml:space="preserve">（1）关于资格文件的声明函</w:t>
      </w:r>
      <w:r/>
    </w:p>
    <w:p>
      <w:pPr>
        <w:pStyle w:val="954"/>
        <w:jc w:val="center"/>
        <w:spacing w:line="400" w:lineRule="exact"/>
        <w:rPr>
          <w:rFonts w:hint="eastAsia" w:cs="宋体"/>
          <w:b/>
          <w:sz w:val="21"/>
          <w:szCs w:val="21"/>
        </w:rPr>
      </w:pPr>
      <w:r>
        <w:rPr>
          <w:rFonts w:hint="eastAsia" w:cs="宋体"/>
          <w:b/>
          <w:sz w:val="21"/>
          <w:szCs w:val="21"/>
        </w:rPr>
        <w:t xml:space="preserve">关于资格文件的声明函</w:t>
      </w:r>
      <w:r/>
    </w:p>
    <w:p>
      <w:pPr>
        <w:pStyle w:val="954"/>
        <w:spacing w:line="400" w:lineRule="exact"/>
        <w:rPr>
          <w:rFonts w:hint="eastAsia" w:cs="宋体"/>
          <w:sz w:val="21"/>
          <w:szCs w:val="21"/>
        </w:rPr>
      </w:pPr>
      <w:r>
        <w:rPr>
          <w:rFonts w:hint="eastAsia" w:cs="宋体"/>
          <w:sz w:val="21"/>
          <w:szCs w:val="21"/>
          <w:u w:val="single"/>
        </w:rPr>
        <w:t xml:space="preserve">                      </w:t>
      </w:r>
      <w:r>
        <w:rPr>
          <w:rFonts w:hint="eastAsia" w:cs="宋体"/>
          <w:sz w:val="21"/>
          <w:szCs w:val="21"/>
        </w:rPr>
        <w:t xml:space="preserve">：</w:t>
      </w:r>
      <w:r/>
    </w:p>
    <w:p>
      <w:pPr>
        <w:pStyle w:val="954"/>
        <w:ind w:firstLine="480"/>
        <w:spacing w:line="400" w:lineRule="exact"/>
        <w:rPr>
          <w:rFonts w:hint="eastAsia" w:cs="宋体"/>
          <w:sz w:val="21"/>
          <w:szCs w:val="21"/>
        </w:rPr>
      </w:pPr>
      <w:r>
        <w:rPr>
          <w:rFonts w:hint="eastAsia" w:cs="宋体"/>
          <w:sz w:val="21"/>
          <w:szCs w:val="21"/>
        </w:rPr>
        <w:t xml:space="preserve">本公司愿就由贵公司组织实施的编号为 </w:t>
      </w:r>
      <w:r>
        <w:rPr>
          <w:rFonts w:hint="eastAsia" w:cs="宋体"/>
          <w:sz w:val="21"/>
          <w:szCs w:val="21"/>
          <w:u w:val="single"/>
        </w:rPr>
        <w:t xml:space="preserve">                    </w:t>
      </w:r>
      <w:r>
        <w:rPr>
          <w:rFonts w:hint="eastAsia" w:cs="宋体"/>
          <w:sz w:val="21"/>
          <w:szCs w:val="21"/>
        </w:rPr>
        <w:t xml:space="preserve"> 号的招标活动进行投标。本公司所提交的投标文件中所有关于投标资格的文件、证明和陈述均是真实的、准确的。若与真实情况不符，本公司愿意承担由此产生的一切后果。</w:t>
      </w:r>
      <w:r/>
    </w:p>
    <w:p>
      <w:pPr>
        <w:pStyle w:val="954"/>
        <w:ind w:firstLine="2730"/>
        <w:spacing w:line="400" w:lineRule="exact"/>
        <w:rPr>
          <w:rFonts w:hint="eastAsia" w:cs="宋体"/>
          <w:sz w:val="21"/>
          <w:szCs w:val="21"/>
        </w:rPr>
      </w:pPr>
      <w:r>
        <w:rPr>
          <w:rFonts w:hint="eastAsia" w:cs="宋体"/>
          <w:sz w:val="21"/>
          <w:szCs w:val="21"/>
        </w:rPr>
        <w:t xml:space="preserve">法定代表人：（签字或盖章）</w:t>
      </w:r>
      <w:r/>
    </w:p>
    <w:p>
      <w:pPr>
        <w:pStyle w:val="954"/>
        <w:ind w:firstLine="2730"/>
        <w:spacing w:line="400" w:lineRule="exact"/>
        <w:rPr>
          <w:rFonts w:hint="eastAsia" w:cs="宋体"/>
          <w:sz w:val="21"/>
          <w:szCs w:val="21"/>
        </w:rPr>
      </w:pPr>
      <w:r>
        <w:rPr>
          <w:rFonts w:hint="eastAsia" w:cs="宋体"/>
          <w:sz w:val="21"/>
          <w:szCs w:val="21"/>
        </w:rPr>
        <w:t xml:space="preserve">公章：</w:t>
      </w:r>
      <w:r/>
    </w:p>
    <w:p>
      <w:pPr>
        <w:pStyle w:val="954"/>
        <w:ind w:firstLine="5040"/>
        <w:spacing w:line="400" w:lineRule="exact"/>
        <w:rPr>
          <w:rFonts w:hint="eastAsia" w:cs="宋体"/>
          <w:sz w:val="21"/>
          <w:szCs w:val="21"/>
        </w:rPr>
      </w:pPr>
      <w:r>
        <w:rPr>
          <w:rFonts w:hint="eastAsia" w:cs="宋体"/>
          <w:sz w:val="21"/>
          <w:szCs w:val="21"/>
        </w:rPr>
        <w:t xml:space="preserve">年  月  日</w:t>
      </w:r>
      <w:r/>
    </w:p>
    <w:p>
      <w:pPr>
        <w:pStyle w:val="954"/>
        <w:ind w:firstLine="5040"/>
        <w:spacing w:line="400" w:lineRule="exact"/>
        <w:rPr>
          <w:rFonts w:hint="eastAsia" w:cs="宋体"/>
          <w:sz w:val="21"/>
          <w:szCs w:val="21"/>
        </w:rPr>
      </w:pPr>
      <w:r>
        <w:rPr>
          <w:rFonts w:hint="eastAsia" w:cs="宋体"/>
          <w:sz w:val="21"/>
          <w:szCs w:val="21"/>
        </w:rPr>
      </w:r>
      <w:r/>
    </w:p>
    <w:p>
      <w:pPr>
        <w:pStyle w:val="954"/>
        <w:spacing w:line="400" w:lineRule="exact"/>
        <w:rPr>
          <w:rFonts w:hint="eastAsia" w:cs="宋体"/>
          <w:sz w:val="21"/>
          <w:szCs w:val="21"/>
        </w:rPr>
      </w:pPr>
      <w:r>
        <w:rPr>
          <w:rFonts w:hint="eastAsia" w:cs="宋体"/>
          <w:sz w:val="21"/>
          <w:szCs w:val="21"/>
        </w:rPr>
        <w:t xml:space="preserve">（2）投标单</w:t>
      </w:r>
      <w:r>
        <w:rPr>
          <w:rFonts w:hint="eastAsia" w:cs="宋体"/>
          <w:sz w:val="21"/>
          <w:szCs w:val="21"/>
        </w:rPr>
        <w:t xml:space="preserve">位情况表</w:t>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cantSplit/>
        </w:trPr>
        <w:tc>
          <w:tcPr>
            <w:tcW w:w="2552" w:type="dxa"/>
            <w:vAlign w:val="top"/>
            <w:textDirection w:val="lrTb"/>
            <w:noWrap w:val="false"/>
          </w:tcPr>
          <w:p>
            <w:pPr>
              <w:pStyle w:val="969"/>
              <w:ind w:firstLine="0"/>
              <w:rPr>
                <w:rFonts w:hint="eastAsia" w:ascii="宋体" w:hAnsi="宋体" w:eastAsia="宋体" w:cs="宋体"/>
                <w:sz w:val="21"/>
                <w:szCs w:val="21"/>
              </w:rPr>
            </w:pPr>
            <w:r>
              <w:rPr>
                <w:rFonts w:hint="eastAsia" w:ascii="宋体" w:hAnsi="宋体" w:eastAsia="宋体" w:cs="宋体"/>
                <w:sz w:val="21"/>
                <w:szCs w:val="21"/>
              </w:rPr>
              <w:t xml:space="preserve">法定代表人</w:t>
            </w:r>
            <w:r/>
          </w:p>
        </w:tc>
        <w:tc>
          <w:tcPr>
            <w:tcW w:w="2268" w:type="dxa"/>
            <w:vAlign w:val="top"/>
            <w:textDirection w:val="lrTb"/>
            <w:noWrap w:val="false"/>
          </w:tcPr>
          <w:p>
            <w:pPr>
              <w:pStyle w:val="969"/>
              <w:ind w:firstLine="0"/>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top"/>
            <w:textDirection w:val="lrTb"/>
            <w:noWrap w:val="false"/>
          </w:tcPr>
          <w:p>
            <w:pPr>
              <w:pStyle w:val="969"/>
              <w:ind w:firstLine="0"/>
              <w:rPr>
                <w:rFonts w:hint="eastAsia" w:ascii="宋体" w:hAnsi="宋体" w:eastAsia="宋体" w:cs="宋体"/>
                <w:sz w:val="21"/>
                <w:szCs w:val="21"/>
              </w:rPr>
            </w:pPr>
            <w:r>
              <w:rPr>
                <w:rFonts w:hint="eastAsia" w:ascii="宋体" w:hAnsi="宋体" w:eastAsia="宋体" w:cs="宋体"/>
                <w:sz w:val="21"/>
                <w:szCs w:val="21"/>
              </w:rPr>
              <w:t xml:space="preserve">成立日期</w:t>
            </w:r>
            <w:r/>
          </w:p>
        </w:tc>
        <w:tc>
          <w:tcPr>
            <w:tcW w:w="2835" w:type="dxa"/>
            <w:vAlign w:val="top"/>
            <w:textDirection w:val="lrTb"/>
            <w:noWrap w:val="false"/>
          </w:tcPr>
          <w:p>
            <w:pPr>
              <w:pStyle w:val="969"/>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2552" w:type="dxa"/>
            <w:vAlign w:val="top"/>
            <w:textDirection w:val="lrTb"/>
            <w:noWrap w:val="false"/>
          </w:tcPr>
          <w:p>
            <w:pPr>
              <w:pStyle w:val="969"/>
              <w:ind w:firstLine="0"/>
              <w:rPr>
                <w:rFonts w:hint="eastAsia" w:ascii="宋体" w:hAnsi="宋体" w:eastAsia="宋体" w:cs="宋体"/>
                <w:sz w:val="21"/>
                <w:szCs w:val="21"/>
              </w:rPr>
            </w:pPr>
            <w:r>
              <w:rPr>
                <w:rFonts w:hint="eastAsia" w:ascii="宋体" w:hAnsi="宋体" w:eastAsia="宋体" w:cs="宋体"/>
                <w:sz w:val="21"/>
                <w:szCs w:val="21"/>
              </w:rPr>
              <w:t xml:space="preserve">注册地址</w:t>
            </w:r>
            <w:r/>
          </w:p>
        </w:tc>
        <w:tc>
          <w:tcPr>
            <w:tcW w:w="2268" w:type="dxa"/>
            <w:vAlign w:val="top"/>
            <w:textDirection w:val="lrTb"/>
            <w:noWrap w:val="false"/>
          </w:tcPr>
          <w:p>
            <w:pPr>
              <w:pStyle w:val="969"/>
              <w:ind w:firstLine="0"/>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top"/>
            <w:textDirection w:val="lrTb"/>
            <w:noWrap w:val="false"/>
          </w:tcPr>
          <w:p>
            <w:pPr>
              <w:pStyle w:val="969"/>
              <w:ind w:firstLine="0"/>
              <w:rPr>
                <w:rFonts w:hint="eastAsia" w:ascii="宋体" w:hAnsi="宋体" w:eastAsia="宋体" w:cs="宋体"/>
                <w:sz w:val="21"/>
                <w:szCs w:val="21"/>
              </w:rPr>
            </w:pPr>
            <w:r>
              <w:rPr>
                <w:rFonts w:hint="eastAsia" w:ascii="宋体" w:hAnsi="宋体" w:eastAsia="宋体" w:cs="宋体"/>
                <w:sz w:val="21"/>
                <w:szCs w:val="21"/>
              </w:rPr>
              <w:t xml:space="preserve">注册资金</w:t>
            </w:r>
            <w:r/>
          </w:p>
        </w:tc>
        <w:tc>
          <w:tcPr>
            <w:tcW w:w="2835" w:type="dxa"/>
            <w:vAlign w:val="top"/>
            <w:textDirection w:val="lrTb"/>
            <w:noWrap w:val="false"/>
          </w:tcPr>
          <w:p>
            <w:pPr>
              <w:pStyle w:val="969"/>
              <w:ind w:firstLine="216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2552" w:type="dxa"/>
            <w:vAlign w:val="top"/>
            <w:textDirection w:val="lrTb"/>
            <w:noWrap w:val="false"/>
          </w:tcPr>
          <w:p>
            <w:pPr>
              <w:pStyle w:val="969"/>
              <w:ind w:firstLine="0"/>
              <w:rPr>
                <w:rFonts w:hint="eastAsia" w:ascii="宋体" w:hAnsi="宋体" w:eastAsia="宋体" w:cs="宋体"/>
                <w:sz w:val="21"/>
                <w:szCs w:val="21"/>
              </w:rPr>
            </w:pPr>
            <w:r>
              <w:rPr>
                <w:rFonts w:hint="eastAsia" w:ascii="宋体" w:hAnsi="宋体" w:eastAsia="宋体" w:cs="宋体"/>
                <w:sz w:val="21"/>
                <w:szCs w:val="21"/>
              </w:rPr>
              <w:t xml:space="preserve">经营范围</w:t>
            </w:r>
            <w:r/>
          </w:p>
        </w:tc>
        <w:tc>
          <w:tcPr>
            <w:gridSpan w:val="3"/>
            <w:tcW w:w="6521" w:type="dxa"/>
            <w:vAlign w:val="top"/>
            <w:textDirection w:val="lrTb"/>
            <w:noWrap w:val="false"/>
          </w:tcPr>
          <w:p>
            <w:pPr>
              <w:pStyle w:val="969"/>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2552" w:type="dxa"/>
            <w:vAlign w:val="center"/>
            <w:textDirection w:val="lrTb"/>
            <w:noWrap w:val="false"/>
          </w:tcPr>
          <w:p>
            <w:pPr>
              <w:pStyle w:val="969"/>
              <w:ind w:firstLine="0"/>
              <w:jc w:val="both"/>
              <w:rPr>
                <w:rFonts w:hint="eastAsia" w:ascii="宋体" w:hAnsi="宋体" w:eastAsia="宋体" w:cs="宋体"/>
                <w:sz w:val="21"/>
                <w:szCs w:val="21"/>
              </w:rPr>
            </w:pPr>
            <w:r>
              <w:rPr>
                <w:rFonts w:hint="eastAsia" w:ascii="宋体" w:hAnsi="宋体" w:eastAsia="宋体" w:cs="宋体"/>
                <w:sz w:val="21"/>
                <w:szCs w:val="21"/>
              </w:rPr>
              <w:t xml:space="preserve">企业资质等级</w:t>
            </w:r>
            <w:r/>
          </w:p>
        </w:tc>
        <w:tc>
          <w:tcPr>
            <w:tcW w:w="2268" w:type="dxa"/>
            <w:vAlign w:val="bottom"/>
            <w:textDirection w:val="lrTb"/>
            <w:noWrap w:val="false"/>
          </w:tcPr>
          <w:p>
            <w:pPr>
              <w:pStyle w:val="969"/>
              <w:ind w:firstLine="0"/>
              <w:jc w:val="right"/>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center"/>
            <w:textDirection w:val="lrTb"/>
            <w:noWrap w:val="false"/>
          </w:tcPr>
          <w:p>
            <w:pPr>
              <w:pStyle w:val="969"/>
              <w:ind w:firstLine="0"/>
              <w:jc w:val="both"/>
              <w:rPr>
                <w:rFonts w:hint="eastAsia" w:ascii="宋体" w:hAnsi="宋体" w:eastAsia="宋体" w:cs="宋体"/>
                <w:sz w:val="21"/>
                <w:szCs w:val="21"/>
              </w:rPr>
            </w:pPr>
            <w:r>
              <w:rPr>
                <w:rFonts w:hint="eastAsia" w:ascii="宋体" w:hAnsi="宋体" w:eastAsia="宋体" w:cs="宋体"/>
                <w:sz w:val="21"/>
                <w:szCs w:val="21"/>
              </w:rPr>
              <w:t xml:space="preserve">员工总人数</w:t>
            </w:r>
            <w:r/>
          </w:p>
        </w:tc>
        <w:tc>
          <w:tcPr>
            <w:tcW w:w="2835" w:type="dxa"/>
            <w:vAlign w:val="bottom"/>
            <w:textDirection w:val="lrTb"/>
            <w:noWrap w:val="false"/>
          </w:tcPr>
          <w:p>
            <w:pPr>
              <w:pStyle w:val="969"/>
              <w:ind w:firstLine="0"/>
              <w:jc w:val="right"/>
              <w:rPr>
                <w:rFonts w:hint="eastAsia" w:ascii="宋体" w:hAnsi="宋体" w:eastAsia="宋体" w:cs="宋体"/>
                <w:sz w:val="21"/>
                <w:szCs w:val="21"/>
              </w:rPr>
            </w:pPr>
            <w:r>
              <w:rPr>
                <w:rFonts w:hint="eastAsia" w:ascii="宋体" w:hAnsi="宋体" w:eastAsia="宋体" w:cs="宋体"/>
                <w:sz w:val="21"/>
                <w:szCs w:val="21"/>
              </w:rPr>
            </w:r>
            <w:r/>
          </w:p>
        </w:tc>
      </w:tr>
      <w:tr>
        <w:trPr>
          <w:cantSplit/>
          <w:trHeight w:val="570"/>
        </w:trPr>
        <w:tc>
          <w:tcPr>
            <w:tcW w:w="2552" w:type="dxa"/>
            <w:vAlign w:val="center"/>
            <w:textDirection w:val="lrTb"/>
            <w:noWrap w:val="false"/>
          </w:tcPr>
          <w:p>
            <w:pPr>
              <w:pStyle w:val="969"/>
              <w:ind w:firstLine="0"/>
              <w:jc w:val="both"/>
              <w:rPr>
                <w:rFonts w:hint="eastAsia" w:ascii="宋体" w:hAnsi="宋体" w:eastAsia="宋体" w:cs="宋体"/>
                <w:sz w:val="21"/>
                <w:szCs w:val="21"/>
              </w:rPr>
            </w:pPr>
            <w:r>
              <w:rPr>
                <w:rFonts w:hint="eastAsia" w:ascii="宋体" w:hAnsi="宋体" w:eastAsia="宋体" w:cs="宋体"/>
                <w:sz w:val="21"/>
                <w:szCs w:val="21"/>
              </w:rPr>
              <w:t xml:space="preserve">资产总计</w:t>
            </w:r>
            <w:r/>
          </w:p>
        </w:tc>
        <w:tc>
          <w:tcPr>
            <w:tcW w:w="2268" w:type="dxa"/>
            <w:vAlign w:val="bottom"/>
            <w:textDirection w:val="lrTb"/>
            <w:noWrap w:val="false"/>
          </w:tcPr>
          <w:p>
            <w:pPr>
              <w:pStyle w:val="969"/>
              <w:ind w:firstLine="0"/>
              <w:jc w:val="righ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p>
        </w:tc>
        <w:tc>
          <w:tcPr>
            <w:tcW w:w="1418" w:type="dxa"/>
            <w:vAlign w:val="center"/>
            <w:textDirection w:val="lrTb"/>
            <w:noWrap w:val="false"/>
          </w:tcPr>
          <w:p>
            <w:pPr>
              <w:pStyle w:val="969"/>
              <w:ind w:firstLine="0"/>
              <w:jc w:val="both"/>
              <w:rPr>
                <w:rFonts w:hint="eastAsia" w:ascii="宋体" w:hAnsi="宋体" w:eastAsia="宋体" w:cs="宋体"/>
                <w:sz w:val="21"/>
                <w:szCs w:val="21"/>
              </w:rPr>
            </w:pPr>
            <w:r>
              <w:rPr>
                <w:rFonts w:hint="eastAsia" w:ascii="宋体" w:hAnsi="宋体" w:eastAsia="宋体" w:cs="宋体"/>
                <w:sz w:val="21"/>
                <w:szCs w:val="21"/>
              </w:rPr>
              <w:t xml:space="preserve">营业收入</w:t>
            </w:r>
            <w:r/>
          </w:p>
        </w:tc>
        <w:tc>
          <w:tcPr>
            <w:tcW w:w="2835" w:type="dxa"/>
            <w:vAlign w:val="bottom"/>
            <w:textDirection w:val="lrTb"/>
            <w:noWrap w:val="false"/>
          </w:tcPr>
          <w:p>
            <w:pPr>
              <w:pStyle w:val="969"/>
              <w:ind w:firstLine="0"/>
              <w:jc w:val="right"/>
              <w:rPr>
                <w:rFonts w:hint="eastAsia" w:ascii="宋体" w:hAnsi="宋体" w:eastAsia="宋体" w:cs="宋体"/>
                <w:sz w:val="21"/>
                <w:szCs w:val="21"/>
              </w:rPr>
            </w:pPr>
            <w:r>
              <w:rPr>
                <w:rFonts w:hint="eastAsia" w:ascii="宋体" w:hAnsi="宋体" w:eastAsia="宋体" w:cs="宋体"/>
                <w:sz w:val="21"/>
                <w:szCs w:val="21"/>
                <w:u w:val="single"/>
              </w:rPr>
              <w:t xml:space="preserve">20</w:t>
            </w:r>
            <w:r>
              <w:rPr>
                <w:rFonts w:ascii="宋体" w:hAnsi="宋体" w:eastAsia="宋体" w:cs="宋体"/>
                <w:sz w:val="21"/>
                <w:szCs w:val="21"/>
                <w:u w:val="single"/>
              </w:rPr>
              <w:t xml:space="preserve">2</w:t>
            </w:r>
            <w:r>
              <w:rPr>
                <w:rFonts w:hint="eastAsia" w:ascii="宋体" w:hAnsi="宋体" w:eastAsia="宋体" w:cs="宋体"/>
                <w:sz w:val="21"/>
                <w:szCs w:val="21"/>
                <w:u w:val="single"/>
              </w:rPr>
              <w:t xml:space="preserve">5</w:t>
            </w:r>
            <w:r>
              <w:rPr>
                <w:rFonts w:hint="eastAsia" w:ascii="宋体" w:hAnsi="宋体" w:eastAsia="宋体" w:cs="宋体"/>
                <w:sz w:val="21"/>
                <w:szCs w:val="21"/>
              </w:rPr>
              <w:t xml:space="preserve">年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p>
        </w:tc>
      </w:tr>
      <w:tr>
        <w:trPr>
          <w:cantSplit/>
        </w:trPr>
        <w:tc>
          <w:tcPr>
            <w:tcW w:w="2552" w:type="dxa"/>
            <w:vAlign w:val="center"/>
            <w:textDirection w:val="lrTb"/>
            <w:noWrap w:val="false"/>
          </w:tcPr>
          <w:p>
            <w:pPr>
              <w:pStyle w:val="969"/>
              <w:ind w:firstLine="0"/>
              <w:rPr>
                <w:rFonts w:hint="eastAsia" w:ascii="宋体" w:hAnsi="宋体" w:eastAsia="宋体" w:cs="宋体"/>
                <w:sz w:val="21"/>
                <w:szCs w:val="21"/>
              </w:rPr>
            </w:pPr>
            <w:r>
              <w:rPr>
                <w:rFonts w:hint="eastAsia" w:ascii="宋体" w:hAnsi="宋体" w:eastAsia="宋体" w:cs="宋体"/>
                <w:sz w:val="21"/>
                <w:szCs w:val="21"/>
              </w:rPr>
              <w:t xml:space="preserve">实现利润</w:t>
            </w:r>
            <w:r/>
          </w:p>
        </w:tc>
        <w:tc>
          <w:tcPr>
            <w:tcW w:w="2268" w:type="dxa"/>
            <w:vAlign w:val="bottom"/>
            <w:textDirection w:val="lrTb"/>
            <w:noWrap w:val="false"/>
          </w:tcPr>
          <w:p>
            <w:pPr>
              <w:pStyle w:val="969"/>
              <w:ind w:firstLine="0"/>
              <w:jc w:val="right"/>
              <w:rPr>
                <w:rFonts w:hint="eastAsia" w:ascii="宋体" w:hAnsi="宋体" w:eastAsia="宋体" w:cs="宋体"/>
                <w:sz w:val="21"/>
                <w:szCs w:val="21"/>
              </w:rPr>
            </w:pPr>
            <w:r>
              <w:rPr>
                <w:rFonts w:hint="eastAsia" w:ascii="宋体" w:hAnsi="宋体" w:eastAsia="宋体" w:cs="宋体"/>
                <w:sz w:val="21"/>
                <w:szCs w:val="21"/>
                <w:u w:val="single"/>
              </w:rPr>
              <w:t xml:space="preserve">20</w:t>
            </w:r>
            <w:r>
              <w:rPr>
                <w:rFonts w:ascii="宋体" w:hAnsi="宋体" w:eastAsia="宋体" w:cs="宋体"/>
                <w:sz w:val="21"/>
                <w:szCs w:val="21"/>
                <w:u w:val="single"/>
              </w:rPr>
              <w:t xml:space="preserve">2</w:t>
            </w:r>
            <w:r>
              <w:rPr>
                <w:rFonts w:hint="eastAsia" w:ascii="宋体" w:hAnsi="宋体" w:eastAsia="宋体" w:cs="宋体"/>
                <w:sz w:val="21"/>
                <w:szCs w:val="21"/>
                <w:u w:val="single"/>
              </w:rPr>
              <w:t xml:space="preserve">5</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p>
        </w:tc>
        <w:tc>
          <w:tcPr>
            <w:tcW w:w="1418" w:type="dxa"/>
            <w:vAlign w:val="top"/>
            <w:textDirection w:val="lrTb"/>
            <w:noWrap w:val="false"/>
          </w:tcPr>
          <w:p>
            <w:pPr>
              <w:pStyle w:val="969"/>
              <w:ind w:firstLine="0"/>
              <w:rPr>
                <w:rFonts w:hint="eastAsia" w:ascii="宋体" w:hAnsi="宋体" w:eastAsia="宋体" w:cs="宋体"/>
                <w:sz w:val="21"/>
                <w:szCs w:val="21"/>
              </w:rPr>
            </w:pPr>
            <w:r>
              <w:rPr>
                <w:rFonts w:hint="eastAsia" w:ascii="宋体" w:hAnsi="宋体" w:eastAsia="宋体" w:cs="宋体"/>
                <w:sz w:val="21"/>
                <w:szCs w:val="21"/>
              </w:rPr>
              <w:t xml:space="preserve">营业面积（含厂房面积）</w:t>
            </w:r>
            <w:r/>
          </w:p>
        </w:tc>
        <w:tc>
          <w:tcPr>
            <w:tcW w:w="2835" w:type="dxa"/>
            <w:vAlign w:val="bottom"/>
            <w:textDirection w:val="lrTb"/>
            <w:noWrap w:val="false"/>
          </w:tcPr>
          <w:p>
            <w:pPr>
              <w:pStyle w:val="969"/>
              <w:ind w:firstLine="0"/>
              <w:jc w:val="right"/>
              <w:rPr>
                <w:rFonts w:hint="eastAsia"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平方米</w:t>
            </w:r>
            <w:r/>
          </w:p>
        </w:tc>
      </w:tr>
      <w:tr>
        <w:trPr>
          <w:cantSplit/>
        </w:trPr>
        <w:tc>
          <w:tcPr>
            <w:tcW w:w="2552" w:type="dxa"/>
            <w:vAlign w:val="top"/>
            <w:textDirection w:val="lrTb"/>
            <w:noWrap w:val="false"/>
          </w:tcPr>
          <w:p>
            <w:pPr>
              <w:pStyle w:val="969"/>
              <w:ind w:firstLine="0"/>
              <w:rPr>
                <w:rFonts w:hint="eastAsia"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3"/>
            <w:tcW w:w="6521" w:type="dxa"/>
            <w:vAlign w:val="top"/>
            <w:textDirection w:val="lrTb"/>
            <w:noWrap w:val="false"/>
          </w:tcPr>
          <w:p>
            <w:pPr>
              <w:pStyle w:val="969"/>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2552" w:type="dxa"/>
            <w:vAlign w:val="top"/>
            <w:textDirection w:val="lrTb"/>
            <w:noWrap w:val="false"/>
          </w:tcPr>
          <w:p>
            <w:pPr>
              <w:pStyle w:val="969"/>
              <w:ind w:firstLine="0"/>
              <w:rPr>
                <w:rFonts w:hint="eastAsia" w:ascii="宋体" w:hAnsi="宋体" w:eastAsia="宋体" w:cs="宋体"/>
                <w:sz w:val="21"/>
                <w:szCs w:val="21"/>
              </w:rPr>
            </w:pPr>
            <w:r>
              <w:rPr>
                <w:rFonts w:hint="eastAsia" w:ascii="宋体" w:hAnsi="宋体" w:eastAsia="宋体" w:cs="宋体"/>
                <w:sz w:val="21"/>
                <w:szCs w:val="21"/>
              </w:rPr>
              <w:t xml:space="preserve">单位优势及特长</w:t>
            </w:r>
            <w:r/>
          </w:p>
        </w:tc>
        <w:tc>
          <w:tcPr>
            <w:gridSpan w:val="3"/>
            <w:tcW w:w="6521" w:type="dxa"/>
            <w:vAlign w:val="top"/>
            <w:textDirection w:val="lrTb"/>
            <w:noWrap w:val="false"/>
          </w:tcPr>
          <w:p>
            <w:pPr>
              <w:pStyle w:val="969"/>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1069"/>
        </w:trPr>
        <w:tc>
          <w:tcPr>
            <w:tcW w:w="2552" w:type="dxa"/>
            <w:vAlign w:val="center"/>
            <w:textDirection w:val="lrTb"/>
            <w:noWrap w:val="false"/>
          </w:tcPr>
          <w:p>
            <w:pPr>
              <w:pStyle w:val="969"/>
              <w:ind w:firstLine="0"/>
              <w:jc w:val="both"/>
              <w:rPr>
                <w:rFonts w:hint="eastAsia" w:ascii="宋体" w:hAnsi="宋体" w:eastAsia="宋体" w:cs="宋体"/>
                <w:sz w:val="21"/>
                <w:szCs w:val="21"/>
              </w:rPr>
            </w:pPr>
            <w:r>
              <w:rPr>
                <w:rFonts w:hint="eastAsia" w:ascii="宋体" w:hAnsi="宋体" w:eastAsia="宋体" w:cs="宋体"/>
                <w:sz w:val="21"/>
                <w:szCs w:val="21"/>
              </w:rPr>
              <w:t xml:space="preserve">商业信誉和健全的财务会计制度介绍</w:t>
            </w:r>
            <w:r/>
          </w:p>
        </w:tc>
        <w:tc>
          <w:tcPr>
            <w:gridSpan w:val="3"/>
            <w:tcW w:w="6521" w:type="dxa"/>
            <w:vAlign w:val="top"/>
            <w:textDirection w:val="lrTb"/>
            <w:noWrap w:val="false"/>
          </w:tcPr>
          <w:p>
            <w:pPr>
              <w:pStyle w:val="969"/>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1023"/>
        </w:trPr>
        <w:tc>
          <w:tcPr>
            <w:tcW w:w="2552" w:type="dxa"/>
            <w:vAlign w:val="center"/>
            <w:textDirection w:val="lrTb"/>
            <w:noWrap w:val="false"/>
          </w:tcPr>
          <w:p>
            <w:pPr>
              <w:pStyle w:val="969"/>
              <w:ind w:firstLine="0"/>
              <w:jc w:val="both"/>
              <w:rPr>
                <w:rFonts w:hint="eastAsia" w:ascii="宋体" w:hAnsi="宋体" w:eastAsia="宋体" w:cs="宋体"/>
                <w:sz w:val="21"/>
                <w:szCs w:val="21"/>
              </w:rPr>
            </w:pPr>
            <w:r>
              <w:rPr>
                <w:rFonts w:hint="eastAsia" w:ascii="宋体" w:hAnsi="宋体" w:eastAsia="宋体" w:cs="宋体"/>
                <w:sz w:val="21"/>
                <w:szCs w:val="21"/>
              </w:rPr>
              <w:t xml:space="preserve">履行合同所必需的设备和专业技术能力情况</w:t>
            </w:r>
            <w:r>
              <w:rPr>
                <w:rFonts w:hint="eastAsia" w:ascii="宋体" w:hAnsi="宋体" w:eastAsia="宋体" w:cs="宋体"/>
                <w:sz w:val="21"/>
                <w:szCs w:val="21"/>
              </w:rPr>
            </w:r>
            <w:r/>
          </w:p>
        </w:tc>
        <w:tc>
          <w:tcPr>
            <w:gridSpan w:val="3"/>
            <w:tcW w:w="6521" w:type="dxa"/>
            <w:vAlign w:val="top"/>
            <w:textDirection w:val="lrTb"/>
            <w:noWrap w:val="false"/>
          </w:tcPr>
          <w:p>
            <w:pPr>
              <w:pStyle w:val="969"/>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981"/>
        </w:trPr>
        <w:tc>
          <w:tcPr>
            <w:tcW w:w="2552" w:type="dxa"/>
            <w:vAlign w:val="center"/>
            <w:textDirection w:val="lrTb"/>
            <w:noWrap w:val="false"/>
          </w:tcPr>
          <w:p>
            <w:pPr>
              <w:pStyle w:val="969"/>
              <w:ind w:firstLine="0"/>
              <w:jc w:val="both"/>
              <w:rPr>
                <w:rFonts w:hint="eastAsia" w:ascii="宋体" w:hAnsi="宋体" w:eastAsia="宋体" w:cs="宋体"/>
                <w:sz w:val="21"/>
                <w:szCs w:val="21"/>
              </w:rPr>
            </w:pPr>
            <w:r>
              <w:rPr>
                <w:rFonts w:hint="eastAsia" w:ascii="宋体" w:hAnsi="宋体" w:eastAsia="宋体" w:cs="宋体"/>
                <w:sz w:val="21"/>
                <w:szCs w:val="21"/>
              </w:rPr>
              <w:t xml:space="preserve">依法缴纳税收和社会保障资金情况</w:t>
            </w:r>
            <w:r>
              <w:rPr>
                <w:rFonts w:hint="eastAsia" w:ascii="宋体" w:hAnsi="宋体" w:eastAsia="宋体" w:cs="宋体"/>
                <w:sz w:val="21"/>
                <w:szCs w:val="21"/>
              </w:rPr>
            </w:r>
            <w:r/>
          </w:p>
        </w:tc>
        <w:tc>
          <w:tcPr>
            <w:gridSpan w:val="3"/>
            <w:tcW w:w="6521" w:type="dxa"/>
            <w:vAlign w:val="top"/>
            <w:textDirection w:val="lrTb"/>
            <w:noWrap w:val="false"/>
          </w:tcPr>
          <w:p>
            <w:pPr>
              <w:pStyle w:val="969"/>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1257"/>
        </w:trPr>
        <w:tc>
          <w:tcPr>
            <w:tcW w:w="2552" w:type="dxa"/>
            <w:vAlign w:val="center"/>
            <w:textDirection w:val="lrTb"/>
            <w:noWrap w:val="false"/>
          </w:tcPr>
          <w:p>
            <w:pPr>
              <w:pStyle w:val="969"/>
              <w:ind w:firstLine="0"/>
              <w:jc w:val="both"/>
              <w:rPr>
                <w:rFonts w:hint="eastAsia"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w:t>
            </w:r>
            <w:r/>
          </w:p>
        </w:tc>
        <w:tc>
          <w:tcPr>
            <w:gridSpan w:val="3"/>
            <w:tcW w:w="6521" w:type="dxa"/>
            <w:vAlign w:val="top"/>
            <w:textDirection w:val="lrTb"/>
            <w:noWrap w:val="false"/>
          </w:tcPr>
          <w:p>
            <w:pPr>
              <w:pStyle w:val="969"/>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560"/>
        </w:trPr>
        <w:tc>
          <w:tcPr>
            <w:tcW w:w="2552" w:type="dxa"/>
            <w:vAlign w:val="center"/>
            <w:textDirection w:val="lrTb"/>
            <w:noWrap w:val="false"/>
          </w:tcPr>
          <w:p>
            <w:pPr>
              <w:pStyle w:val="969"/>
              <w:ind w:firstLine="0"/>
              <w:jc w:val="both"/>
              <w:rPr>
                <w:rFonts w:hint="eastAsia"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3"/>
            <w:tcW w:w="6521" w:type="dxa"/>
            <w:vAlign w:val="top"/>
            <w:textDirection w:val="lrTb"/>
            <w:noWrap w:val="false"/>
          </w:tcPr>
          <w:p>
            <w:pPr>
              <w:pStyle w:val="969"/>
              <w:ind w:firstLine="0"/>
              <w:rPr>
                <w:rFonts w:hint="eastAsia" w:ascii="宋体" w:hAnsi="宋体" w:eastAsia="宋体" w:cs="宋体"/>
                <w:sz w:val="21"/>
                <w:szCs w:val="21"/>
              </w:rPr>
            </w:pPr>
            <w:r>
              <w:rPr>
                <w:rFonts w:hint="eastAsia" w:ascii="宋体" w:hAnsi="宋体" w:eastAsia="宋体" w:cs="宋体"/>
                <w:sz w:val="21"/>
                <w:szCs w:val="21"/>
              </w:rPr>
            </w:r>
            <w:r/>
          </w:p>
        </w:tc>
      </w:tr>
    </w:tbl>
    <w:p>
      <w:pPr>
        <w:pStyle w:val="954"/>
        <w:spacing w:line="400" w:lineRule="exact"/>
        <w:rPr>
          <w:rFonts w:hint="eastAsia"/>
          <w:sz w:val="21"/>
          <w:szCs w:val="21"/>
        </w:rPr>
      </w:pPr>
      <w:r>
        <w:rPr>
          <w:rFonts w:hint="eastAsia"/>
          <w:sz w:val="21"/>
          <w:szCs w:val="21"/>
        </w:rPr>
        <w:t xml:space="preserve">注：因考虑到部分响应单位财务数据未更新，该表可按照2024年度的财务数据填写并备注好年份，未备注年份均视为2025年度财务数据，响应单位自行承担相应责任。</w:t>
      </w:r>
      <w:r/>
    </w:p>
    <w:p>
      <w:pPr>
        <w:pStyle w:val="954"/>
        <w:spacing w:line="400" w:lineRule="exact"/>
        <w:rPr>
          <w:rFonts w:hint="eastAsia" w:cs="宋体"/>
          <w:sz w:val="21"/>
          <w:szCs w:val="21"/>
        </w:rPr>
      </w:pPr>
      <w:r>
        <w:rPr>
          <w:rFonts w:hint="eastAsia" w:cs="宋体"/>
          <w:sz w:val="21"/>
          <w:szCs w:val="21"/>
        </w:rPr>
        <w:br w:type="page" w:clear="all"/>
        <w:t xml:space="preserve">（3）资格证明材料（按照资格条件提供相应证明材料）</w:t>
      </w:r>
      <w:r/>
    </w:p>
    <w:p>
      <w:pPr>
        <w:pStyle w:val="954"/>
        <w:ind w:firstLine="420"/>
        <w:spacing w:line="360" w:lineRule="auto"/>
        <w:rPr>
          <w:rFonts w:cs="宋体"/>
          <w:sz w:val="21"/>
          <w:szCs w:val="21"/>
        </w:rPr>
      </w:pPr>
      <w:r>
        <w:rPr>
          <w:rFonts w:cs="宋体"/>
          <w:sz w:val="21"/>
          <w:szCs w:val="21"/>
        </w:rPr>
        <w:t xml:space="preserve">1</w:t>
      </w:r>
      <w:r>
        <w:rPr>
          <w:rFonts w:hint="eastAsia" w:cs="宋体"/>
          <w:sz w:val="21"/>
          <w:szCs w:val="21"/>
        </w:rPr>
        <w:t xml:space="preserve">、</w:t>
      </w:r>
      <w:r>
        <w:rPr>
          <w:rFonts w:cs="宋体"/>
          <w:sz w:val="21"/>
          <w:szCs w:val="21"/>
        </w:rPr>
        <w:t xml:space="preserve">具有独立承担民事责任的能力（提供法人或者其他组织的营业执照等证明文件，自然人的身份证明）；</w:t>
      </w:r>
      <w:r/>
    </w:p>
    <w:p>
      <w:pPr>
        <w:pStyle w:val="954"/>
        <w:ind w:firstLine="420"/>
        <w:spacing w:line="360" w:lineRule="auto"/>
        <w:rPr>
          <w:rFonts w:cs="宋体"/>
          <w:sz w:val="21"/>
          <w:szCs w:val="21"/>
        </w:rPr>
      </w:pPr>
      <w:r>
        <w:rPr>
          <w:rFonts w:cs="宋体"/>
          <w:sz w:val="21"/>
          <w:szCs w:val="21"/>
        </w:rPr>
        <w:t xml:space="preserve">2</w:t>
      </w:r>
      <w:r>
        <w:rPr>
          <w:rFonts w:hint="eastAsia" w:cs="宋体"/>
          <w:sz w:val="21"/>
          <w:szCs w:val="21"/>
        </w:rPr>
        <w:t xml:space="preserve">、</w:t>
      </w:r>
      <w:r>
        <w:rPr>
          <w:rFonts w:cs="宋体"/>
          <w:sz w:val="21"/>
          <w:szCs w:val="21"/>
        </w:rPr>
        <w:t xml:space="preserve">具有良好的商业信誉和健全的财务会计制度（</w:t>
      </w:r>
      <w:r>
        <w:rPr>
          <w:rFonts w:hint="eastAsia" w:cs="宋体"/>
          <w:sz w:val="21"/>
          <w:szCs w:val="21"/>
        </w:rPr>
        <w:t xml:space="preserve">提供</w:t>
      </w:r>
      <w:r>
        <w:rPr>
          <w:rFonts w:cs="宋体"/>
          <w:sz w:val="21"/>
          <w:szCs w:val="21"/>
        </w:rPr>
        <w:t xml:space="preserve">最近一期的财务报告，其他组织、自然人及成立未满一年的法人应提供银行出具的资信证明）；</w:t>
      </w:r>
      <w:r/>
    </w:p>
    <w:p>
      <w:pPr>
        <w:pStyle w:val="954"/>
        <w:ind w:firstLine="420"/>
        <w:spacing w:line="360" w:lineRule="auto"/>
        <w:rPr>
          <w:rFonts w:cs="宋体"/>
          <w:sz w:val="21"/>
          <w:szCs w:val="21"/>
        </w:rPr>
      </w:pPr>
      <w:r>
        <w:rPr>
          <w:rFonts w:cs="宋体"/>
          <w:sz w:val="21"/>
          <w:szCs w:val="21"/>
        </w:rPr>
        <w:t xml:space="preserve">3</w:t>
      </w:r>
      <w:r>
        <w:rPr>
          <w:rFonts w:hint="eastAsia" w:cs="宋体"/>
          <w:sz w:val="21"/>
          <w:szCs w:val="21"/>
        </w:rPr>
        <w:t xml:space="preserve">、</w:t>
      </w:r>
      <w:r>
        <w:rPr>
          <w:rFonts w:cs="宋体"/>
          <w:sz w:val="21"/>
          <w:szCs w:val="21"/>
        </w:rPr>
        <w:t xml:space="preserve">具有履行合同所必需的设备和专业技术能力（提供履行合同所必</w:t>
      </w:r>
      <w:r>
        <w:rPr>
          <w:rFonts w:cs="宋体"/>
          <w:sz w:val="21"/>
          <w:szCs w:val="21"/>
        </w:rPr>
        <w:t xml:space="preserve">需的设备和专业技术能力的证明材料）；</w:t>
      </w:r>
      <w:r/>
    </w:p>
    <w:p>
      <w:pPr>
        <w:pStyle w:val="954"/>
        <w:ind w:firstLine="420"/>
        <w:spacing w:line="360" w:lineRule="auto"/>
        <w:rPr>
          <w:rFonts w:cs="宋体"/>
          <w:sz w:val="21"/>
          <w:szCs w:val="21"/>
        </w:rPr>
      </w:pPr>
      <w:r>
        <w:rPr>
          <w:rFonts w:cs="宋体"/>
          <w:sz w:val="21"/>
          <w:szCs w:val="21"/>
        </w:rPr>
        <w:t xml:space="preserve">4</w:t>
      </w:r>
      <w:r>
        <w:rPr>
          <w:rFonts w:hint="eastAsia" w:cs="宋体"/>
          <w:sz w:val="21"/>
          <w:szCs w:val="21"/>
        </w:rPr>
        <w:t xml:space="preserve">、</w:t>
      </w:r>
      <w:r>
        <w:rPr>
          <w:rFonts w:cs="宋体"/>
          <w:sz w:val="21"/>
          <w:szCs w:val="21"/>
        </w:rPr>
        <w:t xml:space="preserve">有依法缴纳税收和社会保障资金的良好记录（提供参加本次政府采购活动前半年（至少一个月）依法缴纳税收和社会保障资金的</w:t>
      </w:r>
      <w:r>
        <w:rPr>
          <w:rFonts w:hint="eastAsia" w:cs="宋体"/>
          <w:sz w:val="21"/>
          <w:szCs w:val="21"/>
        </w:rPr>
        <w:t xml:space="preserve">证明</w:t>
      </w:r>
      <w:r>
        <w:rPr>
          <w:rFonts w:cs="宋体"/>
          <w:sz w:val="21"/>
          <w:szCs w:val="21"/>
        </w:rPr>
        <w:t xml:space="preserve">材料，依法免税或不需要缴纳社会保障资金的，提供相关证明文件）；</w:t>
      </w:r>
      <w:r/>
    </w:p>
    <w:p>
      <w:pPr>
        <w:pStyle w:val="954"/>
        <w:ind w:firstLine="420"/>
        <w:spacing w:line="360" w:lineRule="auto"/>
        <w:rPr>
          <w:rFonts w:cs="宋体"/>
          <w:sz w:val="21"/>
          <w:szCs w:val="21"/>
        </w:rPr>
      </w:pPr>
      <w:r>
        <w:rPr>
          <w:rFonts w:cs="宋体"/>
          <w:sz w:val="21"/>
          <w:szCs w:val="21"/>
        </w:rPr>
        <w:t xml:space="preserve">5</w:t>
      </w:r>
      <w:r>
        <w:rPr>
          <w:rFonts w:hint="eastAsia" w:cs="宋体"/>
          <w:sz w:val="21"/>
          <w:szCs w:val="21"/>
        </w:rPr>
        <w:t xml:space="preserve">、</w:t>
      </w:r>
      <w:r>
        <w:rPr>
          <w:rFonts w:cs="宋体"/>
          <w:sz w:val="21"/>
          <w:szCs w:val="21"/>
        </w:rPr>
        <w:t xml:space="preserve">参加政府采购活动前三年内，在经营活动中没有重大违法记录（提供参加本次政府采购活动前3年内在经营活动中没有重大违法记录的书面声明）；</w:t>
      </w:r>
      <w:r/>
    </w:p>
    <w:p>
      <w:pPr>
        <w:pStyle w:val="954"/>
        <w:ind w:firstLine="420"/>
        <w:spacing w:line="360" w:lineRule="auto"/>
        <w:rPr>
          <w:rFonts w:hint="eastAsia" w:cs="宋体"/>
          <w:sz w:val="21"/>
          <w:szCs w:val="21"/>
        </w:rPr>
      </w:pPr>
      <w:r>
        <w:rPr>
          <w:rFonts w:cs="宋体"/>
          <w:sz w:val="21"/>
          <w:szCs w:val="21"/>
        </w:rPr>
        <w:t xml:space="preserve">6</w:t>
      </w:r>
      <w:r>
        <w:rPr>
          <w:rFonts w:hint="eastAsia" w:cs="宋体"/>
          <w:sz w:val="21"/>
          <w:szCs w:val="21"/>
        </w:rPr>
        <w:t xml:space="preserve">、</w:t>
      </w:r>
      <w:r>
        <w:rPr>
          <w:rFonts w:cs="宋体"/>
          <w:sz w:val="21"/>
          <w:szCs w:val="21"/>
        </w:rPr>
        <w:t xml:space="preserve">法律、行政法规规定的其他条件</w:t>
      </w:r>
      <w:r>
        <w:rPr>
          <w:rFonts w:hint="eastAsia" w:cs="宋体"/>
          <w:sz w:val="21"/>
          <w:szCs w:val="21"/>
        </w:rPr>
        <w:t xml:space="preserve">；</w:t>
      </w:r>
      <w:r/>
    </w:p>
    <w:p>
      <w:pPr>
        <w:pStyle w:val="954"/>
        <w:ind w:firstLine="420"/>
        <w:spacing w:line="360" w:lineRule="auto"/>
        <w:rPr>
          <w:rFonts w:cs="宋体"/>
          <w:sz w:val="21"/>
          <w:szCs w:val="21"/>
        </w:rPr>
      </w:pPr>
      <w:r>
        <w:rPr>
          <w:rFonts w:cs="宋体"/>
          <w:sz w:val="21"/>
          <w:szCs w:val="21"/>
        </w:rPr>
        <w:t xml:space="preserve">7</w:t>
      </w:r>
      <w:r>
        <w:rPr>
          <w:rFonts w:hint="eastAsia" w:cs="宋体"/>
          <w:sz w:val="21"/>
          <w:szCs w:val="21"/>
        </w:rPr>
        <w:t xml:space="preserve">、落实政府采购政策需满足的资格要求：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cs="宋体"/>
          <w:sz w:val="21"/>
          <w:szCs w:val="21"/>
        </w:rPr>
      </w:r>
      <w:r/>
    </w:p>
    <w:p>
      <w:pPr>
        <w:pStyle w:val="993"/>
        <w:spacing w:line="360" w:lineRule="auto"/>
        <w:rPr>
          <w:rFonts w:cs="宋体"/>
          <w:sz w:val="21"/>
        </w:rPr>
      </w:pPr>
      <w:r>
        <w:rPr>
          <w:rFonts w:hint="eastAsia" w:cs="宋体"/>
          <w:sz w:val="21"/>
        </w:rPr>
        <w:t xml:space="preserve">8、本项目的特定资格要求：</w:t>
      </w:r>
      <w:r>
        <w:rPr>
          <w:rFonts w:cs="宋体"/>
          <w:sz w:val="21"/>
        </w:rPr>
      </w:r>
      <w:r/>
    </w:p>
    <w:p>
      <w:pPr>
        <w:pStyle w:val="993"/>
        <w:spacing w:line="360" w:lineRule="auto"/>
        <w:rPr>
          <w:rFonts w:cs="宋体"/>
          <w:sz w:val="21"/>
        </w:rPr>
      </w:pPr>
      <w:r>
        <w:rPr>
          <w:rFonts w:hint="eastAsia" w:cs="宋体"/>
          <w:sz w:val="21"/>
        </w:rPr>
        <w:t xml:space="preserve">（1）投标人须具有有效的道路运输经营许可证和太仓市建筑垃圾(工程渣土)运输车辆通行证。（投标文件中须提供证书扫描件）</w:t>
      </w:r>
      <w:r>
        <w:rPr>
          <w:rFonts w:cs="宋体"/>
          <w:sz w:val="21"/>
        </w:rPr>
      </w:r>
      <w:r/>
    </w:p>
    <w:p>
      <w:pPr>
        <w:pStyle w:val="993"/>
        <w:spacing w:line="360" w:lineRule="auto"/>
        <w:rPr>
          <w:rFonts w:hint="eastAsia" w:cs="宋体"/>
          <w:sz w:val="21"/>
        </w:rPr>
      </w:pPr>
      <w:r>
        <w:rPr>
          <w:rFonts w:hint="eastAsia" w:cs="宋体"/>
          <w:sz w:val="21"/>
        </w:rPr>
        <w:t xml:space="preserve">（2）</w:t>
      </w:r>
      <w:bookmarkStart w:id="14" w:name="OLE_LINK10"/>
      <w:r>
        <w:rPr>
          <w:rFonts w:hint="eastAsia" w:cs="宋体"/>
          <w:sz w:val="21"/>
        </w:rPr>
        <w:t xml:space="preserve">投标人拟投入本项目的车辆不得少于：10辆自卸封闭渣土车和</w:t>
      </w:r>
      <w:r>
        <w:rPr>
          <w:rFonts w:hint="eastAsia" w:cs="宋体"/>
          <w:sz w:val="21"/>
        </w:rPr>
        <w:t xml:space="preserve">2</w:t>
      </w:r>
      <w:r>
        <w:rPr>
          <w:rFonts w:hint="eastAsia" w:cs="宋体"/>
          <w:sz w:val="21"/>
        </w:rPr>
        <w:t xml:space="preserve">辆挖掘机。（提供证明材料，如为自有，投标文件中须提供车辆权属登记证；如为租赁，投标文件中须提供车辆租赁合同及证明合同真实履行</w:t>
      </w:r>
      <w:r>
        <w:rPr>
          <w:rFonts w:hint="eastAsia" w:cs="宋体"/>
          <w:sz w:val="21"/>
        </w:rPr>
        <w:t xml:space="preserve">车辆租赁发票）</w:t>
      </w:r>
      <w:bookmarkEnd w:id="14"/>
      <w:r>
        <w:rPr>
          <w:rFonts w:hint="eastAsia" w:cs="宋体"/>
          <w:sz w:val="21"/>
        </w:rPr>
      </w:r>
      <w:r/>
    </w:p>
    <w:p>
      <w:pPr>
        <w:pStyle w:val="954"/>
        <w:spacing w:line="360" w:lineRule="auto"/>
        <w:rPr>
          <w:rFonts w:hint="eastAsia" w:cs="宋体"/>
          <w:sz w:val="21"/>
          <w:szCs w:val="21"/>
        </w:rPr>
      </w:pPr>
      <w:r>
        <w:rPr>
          <w:rFonts w:hint="eastAsia" w:cs="宋体"/>
          <w:b/>
          <w:bCs/>
          <w:sz w:val="44"/>
          <w:szCs w:val="44"/>
        </w:rPr>
        <w:br w:type="page" w:clear="all"/>
      </w:r>
      <w:r>
        <w:rPr>
          <w:rFonts w:hint="eastAsia" w:cs="宋体"/>
          <w:b/>
          <w:sz w:val="21"/>
          <w:szCs w:val="21"/>
        </w:rPr>
        <w:t xml:space="preserve">附件6、中小企业声明函</w:t>
      </w:r>
      <w:r>
        <w:rPr>
          <w:rFonts w:hint="eastAsia" w:cs="宋体"/>
          <w:sz w:val="21"/>
          <w:szCs w:val="21"/>
        </w:rPr>
      </w:r>
      <w:r/>
    </w:p>
    <w:p>
      <w:pPr>
        <w:pStyle w:val="954"/>
        <w:jc w:val="center"/>
        <w:spacing w:line="588" w:lineRule="exact"/>
        <w:rPr>
          <w:rFonts w:hint="eastAsia" w:cs="宋体"/>
          <w:b/>
          <w:spacing w:val="6"/>
        </w:rPr>
      </w:pPr>
      <w:r>
        <w:rPr>
          <w:rFonts w:hint="eastAsia" w:cs="宋体"/>
          <w:b/>
          <w:spacing w:val="6"/>
        </w:rPr>
      </w:r>
      <w:r/>
    </w:p>
    <w:p>
      <w:pPr>
        <w:pStyle w:val="954"/>
        <w:jc w:val="center"/>
        <w:spacing w:line="360" w:lineRule="auto"/>
        <w:rPr>
          <w:sz w:val="21"/>
          <w:szCs w:val="21"/>
        </w:rPr>
      </w:pPr>
      <w:r>
        <w:rPr>
          <w:rFonts w:hint="eastAsia"/>
          <w:sz w:val="21"/>
          <w:szCs w:val="21"/>
        </w:rPr>
        <w:t xml:space="preserve">中小企业声明函（服务）</w:t>
      </w:r>
      <w:r>
        <w:rPr>
          <w:sz w:val="21"/>
          <w:szCs w:val="21"/>
        </w:rPr>
      </w:r>
      <w:r/>
    </w:p>
    <w:p>
      <w:pPr>
        <w:pStyle w:val="954"/>
        <w:spacing w:line="360" w:lineRule="auto"/>
        <w:rPr>
          <w:sz w:val="21"/>
          <w:szCs w:val="21"/>
        </w:rPr>
      </w:pPr>
      <w:r>
        <w:rPr>
          <w:sz w:val="21"/>
          <w:szCs w:val="21"/>
        </w:rPr>
      </w:r>
      <w:r/>
    </w:p>
    <w:p>
      <w:pPr>
        <w:pStyle w:val="954"/>
        <w:ind w:firstLine="420"/>
        <w:spacing w:line="360" w:lineRule="auto"/>
        <w:rPr>
          <w:sz w:val="21"/>
          <w:szCs w:val="21"/>
        </w:rPr>
      </w:pPr>
      <w:r>
        <w:rPr>
          <w:rFonts w:hint="eastAsia"/>
          <w:sz w:val="21"/>
          <w:szCs w:val="21"/>
        </w:rPr>
        <w:t xml:space="preserve">本公司郑重声明，根据《政府采购促进中小企业发展管理办法》（财库﹝2020﹞46号）的规定，本公司参加</w:t>
      </w:r>
      <w:r>
        <w:rPr>
          <w:rFonts w:hint="eastAsia"/>
          <w:i/>
          <w:sz w:val="21"/>
          <w:szCs w:val="21"/>
          <w:u w:val="single"/>
        </w:rPr>
        <w:t xml:space="preserve">（单位名称）</w:t>
      </w:r>
      <w:r>
        <w:rPr>
          <w:rFonts w:hint="eastAsia"/>
          <w:sz w:val="21"/>
          <w:szCs w:val="21"/>
        </w:rPr>
        <w:t xml:space="preserve">的</w:t>
      </w:r>
      <w:r>
        <w:rPr>
          <w:rFonts w:hint="eastAsia"/>
          <w:i/>
          <w:sz w:val="21"/>
          <w:szCs w:val="21"/>
          <w:u w:val="single"/>
        </w:rPr>
        <w:t xml:space="preserve">（项目名称）</w:t>
      </w:r>
      <w:r>
        <w:rPr>
          <w:rFonts w:hint="eastAsia"/>
          <w:sz w:val="21"/>
          <w:szCs w:val="21"/>
        </w:rPr>
        <w:t xml:space="preserve">采购活动，服务全部由符合政策要求的中小企业承接。相关企业的具体情况如下：</w:t>
      </w:r>
      <w:r>
        <w:rPr>
          <w:sz w:val="21"/>
          <w:szCs w:val="21"/>
        </w:rPr>
      </w:r>
      <w:r/>
    </w:p>
    <w:p>
      <w:pPr>
        <w:pStyle w:val="954"/>
        <w:ind w:firstLine="420"/>
        <w:spacing w:line="360" w:lineRule="auto"/>
        <w:rPr>
          <w:sz w:val="21"/>
          <w:szCs w:val="21"/>
        </w:rPr>
      </w:pPr>
      <w:r>
        <w:rPr>
          <w:rFonts w:hint="eastAsia"/>
          <w:sz w:val="21"/>
          <w:szCs w:val="21"/>
        </w:rPr>
        <w:t xml:space="preserve">1、</w:t>
      </w:r>
      <w:r>
        <w:rPr>
          <w:rFonts w:hint="eastAsia"/>
          <w:i/>
          <w:sz w:val="21"/>
          <w:szCs w:val="21"/>
          <w:u w:val="single"/>
        </w:rPr>
        <w:t xml:space="preserve">（标的名称）</w:t>
      </w:r>
      <w:r>
        <w:rPr>
          <w:rFonts w:hint="eastAsia"/>
          <w:sz w:val="21"/>
          <w:szCs w:val="21"/>
        </w:rPr>
        <w:t xml:space="preserve">，属于</w:t>
      </w:r>
      <w:r>
        <w:rPr>
          <w:rFonts w:hint="eastAsia"/>
          <w:i/>
          <w:iCs/>
          <w:sz w:val="21"/>
          <w:szCs w:val="21"/>
          <w:u w:val="single"/>
        </w:rPr>
        <w:t xml:space="preserve">（采购文件中明确的所属行业）行业</w:t>
      </w:r>
      <w:r>
        <w:rPr>
          <w:rFonts w:hint="eastAsia"/>
          <w:sz w:val="21"/>
          <w:szCs w:val="21"/>
        </w:rPr>
        <w:t xml:space="preserve">；承接企业为</w:t>
      </w:r>
      <w:r>
        <w:rPr>
          <w:rFonts w:hint="eastAsia"/>
          <w:i/>
          <w:sz w:val="21"/>
          <w:szCs w:val="21"/>
          <w:u w:val="single"/>
        </w:rPr>
        <w:t xml:space="preserve">（企业名称）</w:t>
      </w:r>
      <w:r>
        <w:rPr>
          <w:rFonts w:hint="eastAsia"/>
          <w:sz w:val="21"/>
          <w:szCs w:val="21"/>
        </w:rPr>
        <w:t xml:space="preserve">，从业人员</w:t>
      </w:r>
      <w:r>
        <w:rPr>
          <w:rFonts w:hint="eastAsia"/>
          <w:sz w:val="21"/>
          <w:szCs w:val="21"/>
          <w:u w:val="single"/>
        </w:rPr>
        <w:tab/>
      </w:r>
      <w:r>
        <w:rPr>
          <w:rFonts w:hint="eastAsia"/>
          <w:sz w:val="21"/>
          <w:szCs w:val="21"/>
        </w:rPr>
        <w:t xml:space="preserve">人，营业收入为</w:t>
      </w:r>
      <w:r>
        <w:rPr>
          <w:rFonts w:hint="eastAsia"/>
          <w:sz w:val="21"/>
          <w:szCs w:val="21"/>
          <w:u w:val="single"/>
        </w:rPr>
        <w:tab/>
      </w:r>
      <w:r>
        <w:rPr>
          <w:rFonts w:hint="eastAsia"/>
          <w:sz w:val="21"/>
          <w:szCs w:val="21"/>
        </w:rPr>
        <w:t xml:space="preserve">万元，资产总额为</w:t>
      </w:r>
      <w:r>
        <w:rPr>
          <w:rFonts w:hint="eastAsia"/>
          <w:sz w:val="21"/>
          <w:szCs w:val="21"/>
          <w:u w:val="single"/>
        </w:rPr>
        <w:tab/>
      </w:r>
      <w:r>
        <w:rPr>
          <w:rFonts w:hint="eastAsia"/>
          <w:sz w:val="21"/>
          <w:szCs w:val="21"/>
        </w:rPr>
        <w:t xml:space="preserve">万元</w:t>
      </w:r>
      <w:r>
        <w:fldChar w:fldCharType="begin"/>
      </w:r>
      <w:r>
        <w:instrText xml:space="preserve">HYPERLINK "新建文件夹/最新TCGGZY-2021G024太仓市公安局关于2021-2023年公务用车维修保养服务项目采购13文件.docx" \l "_bookmark1"</w:instrText>
      </w:r>
      <w:r>
        <w:fldChar w:fldCharType="separate"/>
      </w:r>
      <w:r>
        <w:rPr>
          <w:rStyle w:val="1041"/>
          <w:color w:val="000000"/>
          <w:position w:val="16"/>
          <w:sz w:val="21"/>
          <w:szCs w:val="21"/>
        </w:rPr>
        <w:t xml:space="preserve">1</w:t>
      </w:r>
      <w:r>
        <w:rPr>
          <w:rStyle w:val="1041"/>
          <w:color w:val="000000"/>
          <w:position w:val="16"/>
          <w:sz w:val="21"/>
          <w:szCs w:val="21"/>
        </w:rPr>
        <w:fldChar w:fldCharType="end"/>
      </w:r>
      <w:r>
        <w:rPr>
          <w:rFonts w:hint="eastAsia"/>
          <w:sz w:val="21"/>
          <w:szCs w:val="21"/>
        </w:rPr>
        <w:t xml:space="preserve">，属于</w:t>
      </w:r>
      <w:r>
        <w:rPr>
          <w:rFonts w:hint="eastAsia"/>
          <w:i/>
          <w:sz w:val="21"/>
          <w:szCs w:val="21"/>
          <w:u w:val="single"/>
        </w:rPr>
        <w:t xml:space="preserve">（中型企业、小型企业、微型企业）</w:t>
      </w:r>
      <w:r>
        <w:rPr>
          <w:rFonts w:hint="eastAsia"/>
          <w:sz w:val="21"/>
          <w:szCs w:val="21"/>
        </w:rPr>
        <w:t xml:space="preserve">；</w:t>
      </w:r>
      <w:r>
        <w:rPr>
          <w:sz w:val="21"/>
          <w:szCs w:val="21"/>
        </w:rPr>
      </w:r>
      <w:r/>
    </w:p>
    <w:p>
      <w:pPr>
        <w:pStyle w:val="954"/>
        <w:ind w:firstLine="420"/>
        <w:spacing w:line="360" w:lineRule="auto"/>
        <w:rPr>
          <w:sz w:val="21"/>
          <w:szCs w:val="21"/>
        </w:rPr>
      </w:pPr>
      <w:r>
        <w:rPr>
          <w:rFonts w:hint="eastAsia"/>
          <w:sz w:val="21"/>
          <w:szCs w:val="21"/>
        </w:rPr>
        <w:t xml:space="preserve">……</w:t>
      </w:r>
      <w:r>
        <w:rPr>
          <w:sz w:val="21"/>
          <w:szCs w:val="21"/>
        </w:rPr>
      </w:r>
      <w:r/>
    </w:p>
    <w:p>
      <w:pPr>
        <w:pStyle w:val="954"/>
        <w:ind w:firstLine="420"/>
        <w:spacing w:line="360" w:lineRule="auto"/>
        <w:rPr>
          <w:sz w:val="21"/>
          <w:szCs w:val="21"/>
        </w:rPr>
      </w:pPr>
      <w:r>
        <w:rPr>
          <w:rFonts w:hint="eastAsia"/>
          <w:sz w:val="21"/>
          <w:szCs w:val="21"/>
        </w:rPr>
        <w:t xml:space="preserve">以上企业，不属于大企业的分支机构，不存在控股股东为大企业的情形，也不存在与大企业的负责人为同一人的情形。</w:t>
      </w:r>
      <w:r>
        <w:rPr>
          <w:sz w:val="21"/>
          <w:szCs w:val="21"/>
        </w:rPr>
      </w:r>
      <w:r/>
    </w:p>
    <w:p>
      <w:pPr>
        <w:pStyle w:val="954"/>
        <w:ind w:firstLine="420"/>
        <w:spacing w:line="360" w:lineRule="auto"/>
        <w:rPr>
          <w:sz w:val="21"/>
          <w:szCs w:val="21"/>
        </w:rPr>
      </w:pPr>
      <w:r>
        <w:rPr>
          <w:rFonts w:hint="eastAsia"/>
          <w:sz w:val="21"/>
          <w:szCs w:val="21"/>
        </w:rPr>
        <w:t xml:space="preserve">本企业对上述声明内容的真实性负责。如有虚假，将依法承担相应责任。</w:t>
      </w:r>
      <w:r>
        <w:rPr>
          <w:sz w:val="21"/>
          <w:szCs w:val="21"/>
        </w:rPr>
      </w:r>
      <w:r/>
    </w:p>
    <w:p>
      <w:pPr>
        <w:pStyle w:val="954"/>
        <w:ind w:firstLine="4200"/>
        <w:jc w:val="left"/>
        <w:spacing w:line="360" w:lineRule="auto"/>
        <w:rPr>
          <w:sz w:val="21"/>
          <w:szCs w:val="21"/>
        </w:rPr>
      </w:pPr>
      <w:r>
        <w:rPr>
          <w:rFonts w:hint="eastAsia"/>
          <w:sz w:val="21"/>
          <w:szCs w:val="21"/>
        </w:rPr>
        <w:t xml:space="preserve">企业名称（盖章）：</w:t>
      </w:r>
      <w:r>
        <w:rPr>
          <w:sz w:val="21"/>
          <w:szCs w:val="21"/>
        </w:rPr>
      </w:r>
      <w:r/>
    </w:p>
    <w:p>
      <w:pPr>
        <w:pStyle w:val="954"/>
        <w:ind w:right="1120" w:firstLine="4200"/>
        <w:jc w:val="left"/>
        <w:spacing w:line="360" w:lineRule="auto"/>
        <w:rPr>
          <w:sz w:val="21"/>
          <w:szCs w:val="21"/>
        </w:rPr>
      </w:pPr>
      <w:r>
        <w:rPr>
          <w:rFonts w:hint="eastAsia"/>
          <w:sz w:val="21"/>
          <w:szCs w:val="21"/>
        </w:rPr>
        <w:t xml:space="preserve">日期：</w:t>
      </w:r>
      <w:r>
        <w:rPr>
          <w:sz w:val="21"/>
          <w:szCs w:val="21"/>
        </w:rPr>
      </w:r>
      <w:r/>
    </w:p>
    <w:p>
      <w:pPr>
        <w:pStyle w:val="954"/>
        <w:spacing w:line="360" w:lineRule="auto"/>
        <w:rPr>
          <w:sz w:val="21"/>
          <w:szCs w:val="21"/>
        </w:rPr>
      </w:pPr>
      <w:r>
        <w:fldChar w:fldCharType="begin"/>
      </w:r>
      <w:r>
        <w:instrText xml:space="preserve">HYPERLINK "新建文件夹/最新TCGGZY-2021G024太仓市公安局关于2021-2023年公务用车维修保养服务项目采购13文件.docx" \l "_bookmark1"</w:instrText>
      </w:r>
      <w:r>
        <w:fldChar w:fldCharType="separate"/>
      </w:r>
      <w:r>
        <w:rPr>
          <w:rStyle w:val="1041"/>
          <w:color w:val="000000"/>
          <w:position w:val="16"/>
          <w:sz w:val="21"/>
          <w:szCs w:val="21"/>
        </w:rPr>
        <w:t xml:space="preserve">1</w:t>
      </w:r>
      <w:r>
        <w:rPr>
          <w:rStyle w:val="1041"/>
          <w:color w:val="000000"/>
          <w:position w:val="16"/>
          <w:sz w:val="21"/>
          <w:szCs w:val="21"/>
        </w:rPr>
        <w:fldChar w:fldCharType="end"/>
      </w:r>
      <w:r>
        <w:rPr>
          <w:rFonts w:hint="eastAsia"/>
          <w:sz w:val="21"/>
          <w:szCs w:val="21"/>
        </w:rPr>
        <w:t xml:space="preserve">从业人员、营业收入、资产总额填报上一年度数据，无上一年度数据的新成立企业可不填报。</w:t>
      </w:r>
      <w:r>
        <w:rPr>
          <w:sz w:val="21"/>
          <w:szCs w:val="21"/>
        </w:rPr>
      </w:r>
      <w:r/>
    </w:p>
    <w:p>
      <w:pPr>
        <w:pStyle w:val="954"/>
        <w:ind w:firstLine="422"/>
        <w:jc w:val="left"/>
        <w:spacing w:line="360" w:lineRule="auto"/>
        <w:rPr>
          <w:b/>
          <w:sz w:val="21"/>
          <w:szCs w:val="21"/>
        </w:rPr>
      </w:pPr>
      <w:r>
        <w:rPr>
          <w:rFonts w:hint="eastAsia"/>
          <w:b/>
          <w:sz w:val="21"/>
          <w:szCs w:val="21"/>
        </w:rPr>
        <w:t xml:space="preserve">备注：</w:t>
      </w:r>
      <w:r>
        <w:rPr>
          <w:b/>
          <w:sz w:val="21"/>
          <w:szCs w:val="21"/>
        </w:rPr>
      </w:r>
      <w:r/>
    </w:p>
    <w:p>
      <w:pPr>
        <w:pStyle w:val="954"/>
        <w:ind w:firstLine="420"/>
        <w:spacing w:line="360" w:lineRule="auto"/>
        <w:rPr>
          <w:sz w:val="21"/>
          <w:szCs w:val="21"/>
        </w:rPr>
      </w:pPr>
      <w:r>
        <w:rPr>
          <w:rFonts w:hint="eastAsia"/>
          <w:sz w:val="21"/>
          <w:szCs w:val="21"/>
        </w:rPr>
        <w:t xml:space="preserve">1、中小企业参加政府采购活动，应当出具《中小企业声明函》，否则不得享受相关中小企业扶持政策。</w:t>
      </w:r>
      <w:r>
        <w:rPr>
          <w:sz w:val="21"/>
          <w:szCs w:val="21"/>
        </w:rPr>
      </w:r>
      <w:r/>
    </w:p>
    <w:p>
      <w:pPr>
        <w:pStyle w:val="954"/>
        <w:ind w:firstLine="432"/>
        <w:spacing w:line="360" w:lineRule="auto"/>
        <w:rPr>
          <w:b/>
          <w:sz w:val="21"/>
          <w:szCs w:val="21"/>
        </w:rPr>
      </w:pPr>
      <w:r>
        <w:rPr>
          <w:rFonts w:hint="eastAsia"/>
          <w:sz w:val="21"/>
          <w:szCs w:val="21"/>
        </w:rPr>
        <w:t xml:space="preserve">2、供应商提供声明函内容不实的，属于提供虚假材料谋取中标、成交，依照《中华人民共和国政府采购法》 等国家有关规定追究相应责任</w:t>
      </w:r>
      <w:r>
        <w:rPr>
          <w:rFonts w:hint="eastAsia"/>
          <w:b/>
          <w:sz w:val="21"/>
          <w:szCs w:val="21"/>
        </w:rPr>
        <w:t xml:space="preserve">。</w:t>
      </w:r>
      <w:r>
        <w:rPr>
          <w:b/>
          <w:sz w:val="21"/>
          <w:szCs w:val="21"/>
        </w:rPr>
      </w:r>
      <w:r/>
    </w:p>
    <w:p>
      <w:pPr>
        <w:pStyle w:val="954"/>
      </w:pPr>
      <w:r/>
      <w:r/>
    </w:p>
    <w:p>
      <w:pPr>
        <w:pStyle w:val="954"/>
        <w:ind w:firstLine="432"/>
        <w:spacing w:line="360" w:lineRule="auto"/>
        <w:rPr>
          <w:b/>
          <w:sz w:val="21"/>
          <w:szCs w:val="21"/>
        </w:rPr>
      </w:pPr>
      <w:r>
        <w:rPr>
          <w:b/>
          <w:sz w:val="21"/>
          <w:szCs w:val="21"/>
        </w:rPr>
      </w:r>
      <w:r/>
    </w:p>
    <w:p>
      <w:pPr>
        <w:pStyle w:val="954"/>
      </w:pPr>
      <w:r/>
      <w:r/>
    </w:p>
    <w:p>
      <w:pPr>
        <w:pStyle w:val="954"/>
        <w:ind w:firstLine="432"/>
        <w:spacing w:line="360" w:lineRule="auto"/>
        <w:rPr>
          <w:b/>
          <w:sz w:val="21"/>
          <w:szCs w:val="21"/>
        </w:rPr>
      </w:pPr>
      <w:r>
        <w:rPr>
          <w:b/>
          <w:sz w:val="21"/>
          <w:szCs w:val="21"/>
        </w:rPr>
      </w:r>
      <w:r/>
    </w:p>
    <w:p>
      <w:pPr>
        <w:pStyle w:val="954"/>
      </w:pPr>
      <w:r/>
      <w:r/>
    </w:p>
    <w:p>
      <w:pPr>
        <w:pStyle w:val="954"/>
        <w:ind w:firstLine="432"/>
        <w:spacing w:line="360" w:lineRule="auto"/>
        <w:rPr>
          <w:b/>
          <w:sz w:val="21"/>
          <w:szCs w:val="21"/>
        </w:rPr>
      </w:pPr>
      <w:r>
        <w:rPr>
          <w:b/>
          <w:sz w:val="21"/>
          <w:szCs w:val="21"/>
        </w:rPr>
      </w:r>
      <w:r/>
    </w:p>
    <w:p>
      <w:pPr>
        <w:pStyle w:val="954"/>
      </w:pPr>
      <w:r/>
      <w:r/>
    </w:p>
    <w:p>
      <w:pPr>
        <w:pStyle w:val="954"/>
        <w:spacing w:line="360" w:lineRule="auto"/>
        <w:rPr>
          <w:rFonts w:hint="eastAsia" w:cs="宋体"/>
          <w:sz w:val="21"/>
          <w:szCs w:val="21"/>
        </w:rPr>
      </w:pPr>
      <w:r>
        <w:rPr>
          <w:rFonts w:hint="eastAsia" w:cs="宋体"/>
          <w:sz w:val="21"/>
          <w:szCs w:val="21"/>
        </w:rPr>
      </w:r>
      <w:r/>
    </w:p>
    <w:p>
      <w:pPr>
        <w:pStyle w:val="954"/>
        <w:spacing w:line="440" w:lineRule="exact"/>
        <w:rPr>
          <w:rFonts w:hint="eastAsia" w:cs="宋体"/>
          <w:b/>
          <w:sz w:val="21"/>
          <w:szCs w:val="21"/>
        </w:rPr>
      </w:pPr>
      <w:r>
        <w:rPr>
          <w:rFonts w:hint="eastAsia" w:cs="宋体"/>
          <w:b/>
          <w:sz w:val="21"/>
          <w:szCs w:val="21"/>
        </w:rPr>
        <w:br w:type="page" w:clear="all"/>
      </w:r>
      <w:r>
        <w:rPr>
          <w:rFonts w:hint="eastAsia" w:cs="宋体"/>
          <w:b/>
          <w:sz w:val="21"/>
          <w:szCs w:val="21"/>
        </w:rPr>
        <w:t xml:space="preserve">附件7、残疾人福利性单位声明函</w:t>
      </w:r>
      <w:r/>
    </w:p>
    <w:p>
      <w:pPr>
        <w:pStyle w:val="954"/>
        <w:jc w:val="left"/>
        <w:spacing w:line="480" w:lineRule="atLeast"/>
        <w:widowControl/>
        <w:rPr>
          <w:rFonts w:hint="eastAsia" w:cs="宋体"/>
          <w:b/>
          <w:sz w:val="32"/>
          <w:szCs w:val="32"/>
        </w:rPr>
      </w:pPr>
      <w:r>
        <w:rPr>
          <w:rFonts w:hint="eastAsia" w:cs="宋体"/>
          <w:b/>
          <w:sz w:val="32"/>
          <w:szCs w:val="32"/>
        </w:rPr>
      </w:r>
      <w:r/>
    </w:p>
    <w:p>
      <w:pPr>
        <w:pStyle w:val="954"/>
        <w:jc w:val="center"/>
        <w:spacing w:line="480" w:lineRule="atLeast"/>
        <w:widowControl/>
        <w:rPr>
          <w:rFonts w:hint="eastAsia" w:cs="宋体"/>
          <w:sz w:val="28"/>
          <w:szCs w:val="28"/>
        </w:rPr>
      </w:pPr>
      <w:r>
        <w:rPr>
          <w:rFonts w:hint="eastAsia" w:cs="宋体"/>
          <w:sz w:val="28"/>
          <w:szCs w:val="28"/>
        </w:rPr>
        <w:t xml:space="preserve">残疾人福利性单位声明函</w:t>
      </w:r>
      <w:r/>
    </w:p>
    <w:p>
      <w:pPr>
        <w:pStyle w:val="954"/>
        <w:ind w:firstLine="1687"/>
        <w:jc w:val="left"/>
        <w:spacing w:line="480" w:lineRule="atLeast"/>
        <w:widowControl/>
        <w:rPr>
          <w:rFonts w:hint="eastAsia" w:cs="宋体"/>
          <w:b/>
          <w:sz w:val="28"/>
          <w:szCs w:val="28"/>
        </w:rPr>
      </w:pPr>
      <w:r>
        <w:rPr>
          <w:rFonts w:hint="eastAsia" w:cs="宋体"/>
          <w:b/>
          <w:sz w:val="28"/>
          <w:szCs w:val="28"/>
        </w:rPr>
      </w:r>
      <w:r/>
    </w:p>
    <w:p>
      <w:pPr>
        <w:pStyle w:val="954"/>
        <w:ind w:firstLine="440"/>
        <w:jc w:val="left"/>
        <w:spacing w:line="480" w:lineRule="atLeast"/>
        <w:widowControl/>
        <w:rPr>
          <w:rFonts w:hint="eastAsia" w:cs="宋体"/>
          <w:sz w:val="22"/>
          <w:szCs w:val="22"/>
        </w:rPr>
      </w:pPr>
      <w:r>
        <w:rPr>
          <w:rFonts w:hint="eastAsia" w:cs="宋体"/>
          <w:sz w:val="22"/>
          <w:szCs w:val="22"/>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54"/>
        <w:ind w:firstLine="440"/>
        <w:jc w:val="left"/>
        <w:spacing w:line="480" w:lineRule="atLeast"/>
        <w:widowControl/>
        <w:rPr>
          <w:rFonts w:hint="eastAsia" w:cs="宋体"/>
          <w:sz w:val="22"/>
          <w:szCs w:val="22"/>
        </w:rPr>
      </w:pPr>
      <w:r>
        <w:rPr>
          <w:rFonts w:hint="eastAsia" w:cs="宋体"/>
          <w:sz w:val="22"/>
          <w:szCs w:val="22"/>
        </w:rPr>
        <w:t xml:space="preserve">本单位对上述声明的真实性负责。如有虚假，将依法承担相应责任。</w:t>
      </w:r>
      <w:r/>
    </w:p>
    <w:p>
      <w:pPr>
        <w:pStyle w:val="954"/>
        <w:jc w:val="left"/>
        <w:spacing w:line="480" w:lineRule="atLeast"/>
        <w:widowControl/>
        <w:rPr>
          <w:rFonts w:hint="eastAsia" w:cs="宋体"/>
          <w:sz w:val="22"/>
          <w:szCs w:val="22"/>
        </w:rPr>
      </w:pPr>
      <w:r>
        <w:rPr>
          <w:rFonts w:hint="eastAsia" w:cs="宋体"/>
          <w:sz w:val="22"/>
          <w:szCs w:val="22"/>
        </w:rPr>
      </w:r>
      <w:r/>
    </w:p>
    <w:p>
      <w:pPr>
        <w:pStyle w:val="954"/>
        <w:jc w:val="left"/>
        <w:spacing w:line="480" w:lineRule="atLeast"/>
        <w:widowControl/>
        <w:rPr>
          <w:rFonts w:hint="eastAsia" w:cs="宋体"/>
          <w:sz w:val="22"/>
          <w:szCs w:val="22"/>
        </w:rPr>
      </w:pPr>
      <w:r>
        <w:rPr>
          <w:rFonts w:hint="eastAsia" w:cs="宋体"/>
          <w:sz w:val="22"/>
          <w:szCs w:val="22"/>
        </w:rPr>
      </w:r>
      <w:r/>
    </w:p>
    <w:p>
      <w:pPr>
        <w:pStyle w:val="954"/>
        <w:jc w:val="left"/>
        <w:spacing w:line="480" w:lineRule="atLeast"/>
        <w:widowControl/>
        <w:rPr>
          <w:rFonts w:hint="eastAsia" w:cs="宋体"/>
          <w:sz w:val="22"/>
          <w:szCs w:val="22"/>
        </w:rPr>
      </w:pPr>
      <w:r>
        <w:rPr>
          <w:rFonts w:hint="eastAsia" w:cs="宋体"/>
          <w:sz w:val="22"/>
          <w:szCs w:val="22"/>
        </w:rPr>
        <w:t xml:space="preserve">                                         单位名称（盖章）：</w:t>
      </w:r>
      <w:r/>
    </w:p>
    <w:p>
      <w:pPr>
        <w:pStyle w:val="954"/>
        <w:jc w:val="left"/>
        <w:spacing w:line="480" w:lineRule="atLeast"/>
        <w:widowControl/>
        <w:rPr>
          <w:rFonts w:hint="eastAsia" w:cs="宋体"/>
          <w:sz w:val="22"/>
          <w:szCs w:val="22"/>
        </w:rPr>
      </w:pPr>
      <w:r>
        <w:rPr>
          <w:rFonts w:hint="eastAsia" w:cs="宋体"/>
          <w:sz w:val="22"/>
          <w:szCs w:val="22"/>
        </w:rPr>
        <w:t xml:space="preserve">                                               日</w:t>
      </w:r>
      <w:r>
        <w:rPr>
          <w:rFonts w:hint="eastAsia" w:cs="宋体"/>
          <w:sz w:val="22"/>
          <w:szCs w:val="22"/>
        </w:rPr>
        <w:t xml:space="preserve">  期：</w:t>
      </w:r>
      <w:r/>
    </w:p>
    <w:p>
      <w:pPr>
        <w:pStyle w:val="954"/>
        <w:ind w:right="-240"/>
        <w:spacing w:line="360" w:lineRule="auto"/>
        <w:rPr>
          <w:rFonts w:hint="eastAsia" w:cs="宋体"/>
          <w:b/>
          <w:sz w:val="21"/>
          <w:szCs w:val="21"/>
        </w:rPr>
      </w:pPr>
      <w:r>
        <w:rPr>
          <w:rFonts w:hint="eastAsia" w:cs="宋体"/>
          <w:b/>
          <w:bCs/>
          <w:szCs w:val="21"/>
        </w:rPr>
        <w:br w:type="page" w:clear="all"/>
      </w:r>
      <w:r>
        <w:rPr>
          <w:rFonts w:hint="eastAsia" w:cs="宋体"/>
          <w:b/>
          <w:bCs/>
          <w:sz w:val="21"/>
          <w:szCs w:val="21"/>
        </w:rPr>
        <w:t xml:space="preserve">附件8、参加政府采购活动前三年内，在经营活动中没有重大违法记录声明</w:t>
      </w:r>
      <w:r>
        <w:rPr>
          <w:rFonts w:hint="eastAsia" w:cs="宋体"/>
          <w:b/>
          <w:sz w:val="21"/>
          <w:szCs w:val="21"/>
        </w:rPr>
      </w:r>
      <w:r/>
    </w:p>
    <w:p>
      <w:pPr>
        <w:pStyle w:val="954"/>
        <w:ind w:left="-240" w:right="-240"/>
        <w:spacing w:line="360" w:lineRule="auto"/>
        <w:rPr>
          <w:rFonts w:hint="eastAsia" w:cs="宋体"/>
          <w:b/>
          <w:sz w:val="21"/>
          <w:szCs w:val="21"/>
        </w:rPr>
      </w:pPr>
      <w:r>
        <w:rPr>
          <w:rFonts w:hint="eastAsia" w:cs="宋体"/>
          <w:b/>
          <w:sz w:val="21"/>
          <w:szCs w:val="21"/>
        </w:rPr>
      </w:r>
      <w:r/>
    </w:p>
    <w:p>
      <w:pPr>
        <w:pStyle w:val="954"/>
        <w:jc w:val="center"/>
        <w:spacing w:line="360" w:lineRule="auto"/>
        <w:rPr>
          <w:rFonts w:hint="eastAsia" w:cs="宋体"/>
          <w:sz w:val="21"/>
          <w:szCs w:val="21"/>
        </w:rPr>
      </w:pPr>
      <w:r>
        <w:rPr>
          <w:rFonts w:hint="eastAsia" w:cs="宋体"/>
          <w:b/>
          <w:sz w:val="21"/>
          <w:szCs w:val="21"/>
        </w:rPr>
        <w:t xml:space="preserve">参加政府采购活动前三年内，在经营活动中没有重大违法记录声明</w:t>
      </w:r>
      <w:r>
        <w:rPr>
          <w:rFonts w:hint="eastAsia" w:cs="宋体"/>
          <w:sz w:val="21"/>
          <w:szCs w:val="21"/>
        </w:rPr>
      </w:r>
      <w:r/>
    </w:p>
    <w:p>
      <w:pPr>
        <w:pStyle w:val="954"/>
        <w:spacing w:line="360" w:lineRule="auto"/>
        <w:rPr>
          <w:rFonts w:hint="eastAsia" w:cs="宋体"/>
          <w:sz w:val="21"/>
          <w:szCs w:val="21"/>
        </w:rPr>
      </w:pPr>
      <w:r>
        <w:rPr>
          <w:rFonts w:hint="eastAsia" w:cs="宋体"/>
          <w:sz w:val="21"/>
          <w:szCs w:val="21"/>
        </w:rPr>
      </w:r>
      <w:r/>
    </w:p>
    <w:p>
      <w:pPr>
        <w:pStyle w:val="954"/>
        <w:spacing w:line="360" w:lineRule="auto"/>
        <w:rPr>
          <w:rFonts w:hint="eastAsia" w:cs="宋体"/>
          <w:sz w:val="21"/>
          <w:szCs w:val="21"/>
        </w:rPr>
      </w:pPr>
      <w:r>
        <w:rPr>
          <w:rFonts w:hint="eastAsia" w:cs="宋体"/>
          <w:sz w:val="21"/>
          <w:szCs w:val="21"/>
        </w:rPr>
        <w:t xml:space="preserve">致：苏州乐族工程咨询有限公司：</w:t>
      </w:r>
      <w:r/>
    </w:p>
    <w:p>
      <w:pPr>
        <w:pStyle w:val="954"/>
        <w:ind w:firstLine="420"/>
        <w:spacing w:line="360" w:lineRule="auto"/>
        <w:rPr>
          <w:rFonts w:hint="eastAsia" w:cs="宋体"/>
          <w:sz w:val="21"/>
          <w:szCs w:val="21"/>
        </w:rPr>
      </w:pPr>
      <w:r>
        <w:rPr>
          <w:rFonts w:hint="eastAsia" w:cs="宋体"/>
          <w:sz w:val="21"/>
          <w:szCs w:val="21"/>
        </w:rPr>
        <w:t xml:space="preserve">我单位</w:t>
      </w:r>
      <w:r>
        <w:rPr>
          <w:rFonts w:hint="eastAsia" w:cs="宋体"/>
          <w:sz w:val="22"/>
          <w:szCs w:val="22"/>
          <w:u w:val="single"/>
        </w:rPr>
        <w:t xml:space="preserve">      </w:t>
      </w:r>
      <w:r>
        <w:rPr>
          <w:rFonts w:hint="eastAsia" w:cs="宋体"/>
          <w:sz w:val="21"/>
          <w:szCs w:val="21"/>
          <w:u w:val="single"/>
        </w:rPr>
        <w:t xml:space="preserve">（供应商名称）         </w:t>
      </w:r>
      <w:r>
        <w:rPr>
          <w:rFonts w:hint="eastAsia" w:cs="宋体"/>
          <w:sz w:val="21"/>
          <w:szCs w:val="21"/>
        </w:rPr>
        <w:t xml:space="preserve">在参加政府采购活动前三年内，没有重大违法记录，特此声明。</w:t>
      </w:r>
      <w:r/>
    </w:p>
    <w:p>
      <w:pPr>
        <w:pStyle w:val="954"/>
        <w:ind w:firstLine="420"/>
        <w:spacing w:line="360" w:lineRule="auto"/>
        <w:rPr>
          <w:rFonts w:hint="eastAsia" w:cs="宋体"/>
          <w:sz w:val="21"/>
          <w:szCs w:val="21"/>
        </w:rPr>
      </w:pPr>
      <w:r>
        <w:rPr>
          <w:rFonts w:hint="eastAsia" w:cs="宋体"/>
          <w:sz w:val="21"/>
          <w:szCs w:val="21"/>
        </w:rPr>
        <w:t xml:space="preserve">若招标采购单位在本项目采购过程中发现我单位近三年内在政府采购活动中有重大违法记录，我单位将无条件退出本项目的招标，并承担因此引起的一切后果。</w:t>
      </w:r>
      <w:r/>
    </w:p>
    <w:p>
      <w:pPr>
        <w:pStyle w:val="954"/>
        <w:ind w:firstLine="420"/>
        <w:spacing w:line="360" w:lineRule="auto"/>
        <w:rPr>
          <w:rFonts w:hint="eastAsia" w:cs="宋体"/>
          <w:sz w:val="21"/>
          <w:szCs w:val="21"/>
        </w:rPr>
      </w:pPr>
      <w:r>
        <w:rPr>
          <w:rFonts w:hint="eastAsia" w:cs="宋体"/>
          <w:sz w:val="21"/>
          <w:szCs w:val="21"/>
        </w:rPr>
      </w:r>
      <w:r/>
    </w:p>
    <w:p>
      <w:pPr>
        <w:pStyle w:val="954"/>
        <w:ind w:firstLine="420"/>
        <w:spacing w:line="360" w:lineRule="auto"/>
        <w:rPr>
          <w:rFonts w:hint="eastAsia" w:cs="宋体"/>
          <w:sz w:val="21"/>
          <w:szCs w:val="21"/>
        </w:rPr>
      </w:pPr>
      <w:r>
        <w:rPr>
          <w:rFonts w:hint="eastAsia" w:cs="宋体"/>
          <w:sz w:val="21"/>
          <w:szCs w:val="21"/>
        </w:rPr>
        <w:t xml:space="preserve">供应商名称（单位公章）：</w:t>
      </w:r>
      <w:r/>
    </w:p>
    <w:p>
      <w:pPr>
        <w:pStyle w:val="954"/>
        <w:ind w:firstLine="420"/>
        <w:spacing w:line="360" w:lineRule="auto"/>
        <w:rPr>
          <w:rFonts w:hint="eastAsia" w:cs="宋体"/>
          <w:sz w:val="21"/>
          <w:szCs w:val="21"/>
        </w:rPr>
      </w:pPr>
      <w:r>
        <w:rPr>
          <w:rFonts w:hint="eastAsia" w:cs="宋体"/>
          <w:sz w:val="21"/>
          <w:szCs w:val="21"/>
        </w:rPr>
        <w:t xml:space="preserve">法定代表人（负责人）或代理人（签字或盖章）：</w:t>
      </w:r>
      <w:r/>
    </w:p>
    <w:p>
      <w:pPr>
        <w:pStyle w:val="954"/>
        <w:ind w:firstLine="420"/>
        <w:jc w:val="left"/>
        <w:spacing w:line="400" w:lineRule="exact"/>
        <w:rPr>
          <w:rFonts w:hint="eastAsia" w:cs="宋体"/>
          <w:sz w:val="21"/>
          <w:szCs w:val="21"/>
        </w:rPr>
      </w:pPr>
      <w:r>
        <w:rPr>
          <w:rFonts w:hint="eastAsia" w:cs="宋体"/>
          <w:sz w:val="21"/>
          <w:szCs w:val="21"/>
        </w:rPr>
        <w:t xml:space="preserve">日期：  年   月   日  </w:t>
      </w:r>
      <w:r/>
    </w:p>
    <w:p>
      <w:pPr>
        <w:pStyle w:val="954"/>
        <w:rPr>
          <w:rFonts w:hint="eastAsia" w:cs="宋体"/>
          <w:b/>
          <w:bCs/>
          <w:sz w:val="21"/>
          <w:szCs w:val="21"/>
        </w:rPr>
      </w:pPr>
      <w:r>
        <w:rPr>
          <w:rFonts w:hint="eastAsia" w:cs="宋体"/>
          <w:b/>
          <w:bCs/>
          <w:sz w:val="21"/>
          <w:szCs w:val="21"/>
        </w:rPr>
        <w:br w:type="page" w:clear="all"/>
        <w:t xml:space="preserve">附件9、拟投入人员情况表</w:t>
      </w:r>
      <w:r/>
    </w:p>
    <w:p>
      <w:pPr>
        <w:pStyle w:val="954"/>
        <w:jc w:val="center"/>
        <w:widowControl/>
        <w:rPr>
          <w:rFonts w:hint="eastAsia" w:cs="宋体"/>
          <w:sz w:val="21"/>
          <w:szCs w:val="21"/>
        </w:rPr>
      </w:pPr>
      <w:r>
        <w:rPr>
          <w:rFonts w:hint="eastAsia" w:cs="宋体"/>
          <w:sz w:val="21"/>
          <w:szCs w:val="21"/>
        </w:rPr>
        <w:t xml:space="preserve">拟投入人员情况表</w:t>
      </w:r>
      <w:r/>
    </w:p>
    <w:tbl>
      <w:tblPr>
        <w:tblW w:w="4343"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7"/>
        <w:gridCol w:w="674"/>
        <w:gridCol w:w="1326"/>
        <w:gridCol w:w="930"/>
        <w:gridCol w:w="993"/>
        <w:gridCol w:w="1257"/>
        <w:gridCol w:w="1248"/>
        <w:gridCol w:w="1700"/>
      </w:tblGrid>
      <w:tr>
        <w:trPr>
          <w:trHeight w:val="704"/>
        </w:trPr>
        <w:tc>
          <w:tcPr>
            <w:tcW w:w="358" w:type="pct"/>
            <w:vAlign w:val="center"/>
            <w:textDirection w:val="lrTb"/>
            <w:noWrap w:val="false"/>
          </w:tcPr>
          <w:p>
            <w:pPr>
              <w:pStyle w:val="954"/>
              <w:jc w:val="center"/>
              <w:widowControl/>
              <w:rPr>
                <w:rFonts w:hint="eastAsia" w:cs="宋体"/>
                <w:sz w:val="21"/>
                <w:szCs w:val="21"/>
              </w:rPr>
            </w:pPr>
            <w:r>
              <w:rPr>
                <w:rFonts w:hint="eastAsia" w:cs="宋体"/>
                <w:sz w:val="21"/>
                <w:szCs w:val="21"/>
              </w:rPr>
              <w:t xml:space="preserve">序号</w:t>
            </w:r>
            <w:r>
              <w:rPr>
                <w:rFonts w:hint="eastAsia" w:cs="宋体"/>
                <w:sz w:val="21"/>
                <w:szCs w:val="21"/>
              </w:rPr>
            </w:r>
            <w:r/>
          </w:p>
        </w:tc>
        <w:tc>
          <w:tcPr>
            <w:tcW w:w="385" w:type="pct"/>
            <w:vAlign w:val="center"/>
            <w:textDirection w:val="lrTb"/>
            <w:noWrap w:val="false"/>
          </w:tcPr>
          <w:p>
            <w:pPr>
              <w:pStyle w:val="954"/>
              <w:jc w:val="center"/>
              <w:widowControl/>
              <w:rPr>
                <w:rFonts w:hint="eastAsia" w:cs="宋体"/>
                <w:sz w:val="21"/>
                <w:szCs w:val="21"/>
              </w:rPr>
            </w:pPr>
            <w:r>
              <w:rPr>
                <w:rFonts w:hint="eastAsia" w:cs="宋体"/>
                <w:sz w:val="21"/>
                <w:szCs w:val="21"/>
              </w:rPr>
              <w:t xml:space="preserve">姓名</w:t>
            </w:r>
            <w:r/>
          </w:p>
        </w:tc>
        <w:tc>
          <w:tcPr>
            <w:tcW w:w="757" w:type="pct"/>
            <w:vAlign w:val="center"/>
            <w:textDirection w:val="lrTb"/>
            <w:noWrap w:val="false"/>
          </w:tcPr>
          <w:p>
            <w:pPr>
              <w:pStyle w:val="954"/>
              <w:jc w:val="center"/>
              <w:widowControl/>
              <w:rPr>
                <w:rFonts w:hint="eastAsia" w:cs="宋体"/>
                <w:sz w:val="21"/>
                <w:szCs w:val="21"/>
              </w:rPr>
            </w:pPr>
            <w:r>
              <w:rPr>
                <w:rFonts w:hint="eastAsia" w:cs="宋体"/>
                <w:sz w:val="21"/>
                <w:szCs w:val="21"/>
              </w:rPr>
              <w:t xml:space="preserve">在本项目中担任岗位</w:t>
            </w:r>
            <w:r>
              <w:rPr>
                <w:rFonts w:hint="eastAsia" w:cs="宋体"/>
                <w:sz w:val="21"/>
                <w:szCs w:val="21"/>
              </w:rPr>
            </w:r>
            <w:r/>
          </w:p>
        </w:tc>
        <w:tc>
          <w:tcPr>
            <w:tcW w:w="531" w:type="pct"/>
            <w:vAlign w:val="center"/>
            <w:textDirection w:val="lrTb"/>
            <w:noWrap w:val="false"/>
          </w:tcPr>
          <w:p>
            <w:pPr>
              <w:pStyle w:val="954"/>
              <w:jc w:val="center"/>
              <w:widowControl/>
              <w:rPr>
                <w:rFonts w:hint="eastAsia" w:cs="宋体"/>
                <w:sz w:val="21"/>
                <w:szCs w:val="21"/>
              </w:rPr>
            </w:pPr>
            <w:r>
              <w:rPr>
                <w:rFonts w:hint="eastAsia" w:cs="宋体"/>
                <w:sz w:val="21"/>
                <w:szCs w:val="21"/>
              </w:rPr>
              <w:t xml:space="preserve">年龄</w:t>
            </w:r>
            <w:r>
              <w:rPr>
                <w:rFonts w:hint="eastAsia" w:cs="宋体"/>
                <w:sz w:val="21"/>
                <w:szCs w:val="21"/>
              </w:rPr>
            </w:r>
            <w:r/>
          </w:p>
        </w:tc>
        <w:tc>
          <w:tcPr>
            <w:tcW w:w="567" w:type="pct"/>
            <w:vAlign w:val="center"/>
            <w:textDirection w:val="lrTb"/>
            <w:noWrap w:val="false"/>
          </w:tcPr>
          <w:p>
            <w:pPr>
              <w:pStyle w:val="954"/>
              <w:jc w:val="center"/>
              <w:widowControl/>
              <w:rPr>
                <w:rFonts w:hint="eastAsia" w:cs="宋体"/>
                <w:sz w:val="21"/>
                <w:szCs w:val="21"/>
              </w:rPr>
            </w:pPr>
            <w:r>
              <w:rPr>
                <w:rFonts w:hint="eastAsia" w:cs="宋体"/>
                <w:sz w:val="21"/>
                <w:szCs w:val="21"/>
              </w:rPr>
              <w:t xml:space="preserve">性别</w:t>
            </w:r>
            <w:r>
              <w:rPr>
                <w:rFonts w:hint="eastAsia" w:cs="宋体"/>
                <w:sz w:val="21"/>
                <w:szCs w:val="21"/>
              </w:rPr>
            </w:r>
            <w:r/>
          </w:p>
        </w:tc>
        <w:tc>
          <w:tcPr>
            <w:tcW w:w="718" w:type="pct"/>
            <w:vAlign w:val="center"/>
            <w:textDirection w:val="lrTb"/>
            <w:noWrap w:val="false"/>
          </w:tcPr>
          <w:p>
            <w:pPr>
              <w:pStyle w:val="954"/>
              <w:jc w:val="center"/>
              <w:widowControl/>
              <w:rPr>
                <w:rFonts w:hint="eastAsia" w:cs="宋体"/>
                <w:sz w:val="21"/>
                <w:szCs w:val="21"/>
              </w:rPr>
            </w:pPr>
            <w:r>
              <w:rPr>
                <w:rFonts w:hint="eastAsia" w:cs="宋体"/>
                <w:sz w:val="21"/>
                <w:szCs w:val="21"/>
              </w:rPr>
              <w:t xml:space="preserve">学历</w:t>
            </w:r>
            <w:r/>
          </w:p>
        </w:tc>
        <w:tc>
          <w:tcPr>
            <w:tcW w:w="713" w:type="pct"/>
            <w:vAlign w:val="center"/>
            <w:textDirection w:val="lrTb"/>
            <w:noWrap w:val="false"/>
          </w:tcPr>
          <w:p>
            <w:pPr>
              <w:pStyle w:val="954"/>
              <w:jc w:val="center"/>
              <w:widowControl/>
              <w:rPr>
                <w:rFonts w:hint="eastAsia" w:cs="宋体"/>
                <w:sz w:val="21"/>
                <w:szCs w:val="21"/>
                <w:lang w:eastAsia="en-US"/>
              </w:rPr>
            </w:pPr>
            <w:r>
              <w:rPr>
                <w:rFonts w:hint="eastAsia" w:cs="宋体"/>
                <w:sz w:val="21"/>
                <w:szCs w:val="21"/>
                <w:lang w:eastAsia="en-US"/>
              </w:rPr>
              <w:t xml:space="preserve">持证情况</w:t>
            </w:r>
            <w:r/>
          </w:p>
        </w:tc>
        <w:tc>
          <w:tcPr>
            <w:tcW w:w="971" w:type="pct"/>
            <w:vAlign w:val="center"/>
            <w:textDirection w:val="lrTb"/>
            <w:noWrap w:val="false"/>
          </w:tcPr>
          <w:p>
            <w:pPr>
              <w:pStyle w:val="954"/>
              <w:jc w:val="center"/>
              <w:widowControl/>
              <w:rPr>
                <w:rFonts w:hint="eastAsia" w:cs="宋体"/>
                <w:sz w:val="21"/>
                <w:szCs w:val="21"/>
                <w:lang w:eastAsia="en-US"/>
              </w:rPr>
            </w:pPr>
            <w:r>
              <w:rPr>
                <w:rFonts w:hint="eastAsia" w:cs="宋体"/>
                <w:sz w:val="21"/>
                <w:szCs w:val="21"/>
                <w:lang w:eastAsia="en-US"/>
              </w:rPr>
              <w:t xml:space="preserve">备注</w:t>
            </w:r>
            <w:r/>
          </w:p>
        </w:tc>
      </w:tr>
      <w:tr>
        <w:trPr>
          <w:trHeight w:val="567"/>
        </w:trPr>
        <w:tc>
          <w:tcPr>
            <w:tcW w:w="358" w:type="pct"/>
            <w:vAlign w:val="center"/>
            <w:textDirection w:val="lrTb"/>
            <w:noWrap w:val="false"/>
          </w:tcPr>
          <w:p>
            <w:pPr>
              <w:pStyle w:val="954"/>
              <w:jc w:val="center"/>
              <w:widowControl/>
              <w:rPr>
                <w:rFonts w:hint="eastAsia" w:cs="宋体"/>
                <w:sz w:val="21"/>
                <w:szCs w:val="21"/>
              </w:rPr>
            </w:pPr>
            <w:r>
              <w:rPr>
                <w:rFonts w:hint="eastAsia" w:cs="宋体"/>
                <w:sz w:val="21"/>
                <w:szCs w:val="21"/>
              </w:rPr>
            </w:r>
            <w:r/>
          </w:p>
        </w:tc>
        <w:tc>
          <w:tcPr>
            <w:tcW w:w="385" w:type="pct"/>
            <w:vAlign w:val="center"/>
            <w:textDirection w:val="lrTb"/>
            <w:noWrap w:val="false"/>
          </w:tcPr>
          <w:p>
            <w:pPr>
              <w:pStyle w:val="954"/>
              <w:jc w:val="center"/>
              <w:widowControl/>
              <w:rPr>
                <w:rFonts w:hint="eastAsia" w:cs="宋体"/>
                <w:sz w:val="21"/>
                <w:szCs w:val="21"/>
              </w:rPr>
            </w:pPr>
            <w:r>
              <w:rPr>
                <w:rFonts w:hint="eastAsia" w:cs="宋体"/>
                <w:sz w:val="21"/>
                <w:szCs w:val="21"/>
              </w:rPr>
            </w:r>
            <w:r/>
          </w:p>
        </w:tc>
        <w:tc>
          <w:tcPr>
            <w:tcW w:w="757" w:type="pct"/>
            <w:vAlign w:val="center"/>
            <w:textDirection w:val="lrTb"/>
            <w:noWrap w:val="false"/>
          </w:tcPr>
          <w:p>
            <w:pPr>
              <w:pStyle w:val="954"/>
              <w:jc w:val="center"/>
              <w:widowControl/>
              <w:rPr>
                <w:rFonts w:hint="eastAsia" w:cs="宋体"/>
                <w:sz w:val="21"/>
                <w:szCs w:val="21"/>
              </w:rPr>
            </w:pPr>
            <w:r>
              <w:rPr>
                <w:rFonts w:hint="eastAsia" w:cs="宋体"/>
                <w:sz w:val="21"/>
                <w:szCs w:val="21"/>
              </w:rPr>
            </w:r>
            <w:r/>
          </w:p>
        </w:tc>
        <w:tc>
          <w:tcPr>
            <w:tcW w:w="531" w:type="pct"/>
            <w:vAlign w:val="center"/>
            <w:textDirection w:val="lrTb"/>
            <w:noWrap w:val="false"/>
          </w:tcPr>
          <w:p>
            <w:pPr>
              <w:pStyle w:val="954"/>
              <w:jc w:val="center"/>
              <w:widowControl/>
              <w:rPr>
                <w:rFonts w:hint="eastAsia" w:cs="宋体"/>
                <w:sz w:val="21"/>
                <w:szCs w:val="21"/>
              </w:rPr>
            </w:pPr>
            <w:r>
              <w:rPr>
                <w:rFonts w:hint="eastAsia" w:cs="宋体"/>
                <w:sz w:val="21"/>
                <w:szCs w:val="21"/>
              </w:rPr>
            </w:r>
            <w:r/>
          </w:p>
        </w:tc>
        <w:tc>
          <w:tcPr>
            <w:tcW w:w="567" w:type="pct"/>
            <w:vAlign w:val="center"/>
            <w:textDirection w:val="lrTb"/>
            <w:noWrap w:val="false"/>
          </w:tcPr>
          <w:p>
            <w:pPr>
              <w:pStyle w:val="954"/>
              <w:jc w:val="center"/>
              <w:widowControl/>
              <w:rPr>
                <w:rFonts w:hint="eastAsia" w:cs="宋体"/>
                <w:sz w:val="21"/>
                <w:szCs w:val="21"/>
              </w:rPr>
            </w:pPr>
            <w:r>
              <w:rPr>
                <w:rFonts w:hint="eastAsia" w:cs="宋体"/>
                <w:sz w:val="21"/>
                <w:szCs w:val="21"/>
              </w:rPr>
            </w:r>
            <w:r/>
          </w:p>
        </w:tc>
        <w:tc>
          <w:tcPr>
            <w:tcW w:w="718" w:type="pct"/>
            <w:vAlign w:val="center"/>
            <w:textDirection w:val="lrTb"/>
            <w:noWrap w:val="false"/>
          </w:tcPr>
          <w:p>
            <w:pPr>
              <w:pStyle w:val="954"/>
              <w:jc w:val="center"/>
              <w:widowControl/>
              <w:rPr>
                <w:rFonts w:hint="eastAsia" w:cs="宋体"/>
                <w:sz w:val="21"/>
                <w:szCs w:val="21"/>
              </w:rPr>
            </w:pPr>
            <w:r>
              <w:rPr>
                <w:rFonts w:hint="eastAsia" w:cs="宋体"/>
                <w:sz w:val="21"/>
                <w:szCs w:val="21"/>
              </w:rPr>
            </w:r>
            <w:r/>
          </w:p>
        </w:tc>
        <w:tc>
          <w:tcPr>
            <w:tcW w:w="713" w:type="pct"/>
            <w:vAlign w:val="center"/>
            <w:textDirection w:val="lrTb"/>
            <w:noWrap w:val="false"/>
          </w:tcPr>
          <w:p>
            <w:pPr>
              <w:pStyle w:val="954"/>
              <w:jc w:val="center"/>
              <w:widowControl/>
              <w:rPr>
                <w:rFonts w:hint="eastAsia" w:cs="宋体"/>
                <w:sz w:val="21"/>
                <w:szCs w:val="21"/>
              </w:rPr>
            </w:pPr>
            <w:r>
              <w:rPr>
                <w:rFonts w:hint="eastAsia" w:cs="宋体"/>
                <w:sz w:val="21"/>
                <w:szCs w:val="21"/>
              </w:rPr>
            </w:r>
            <w:r/>
          </w:p>
        </w:tc>
        <w:tc>
          <w:tcPr>
            <w:tcW w:w="971" w:type="pct"/>
            <w:vAlign w:val="center"/>
            <w:textDirection w:val="lrTb"/>
            <w:noWrap w:val="false"/>
          </w:tcPr>
          <w:p>
            <w:pPr>
              <w:pStyle w:val="954"/>
              <w:jc w:val="center"/>
              <w:widowControl/>
              <w:rPr>
                <w:rFonts w:hint="eastAsia" w:cs="宋体"/>
                <w:sz w:val="21"/>
                <w:szCs w:val="21"/>
              </w:rPr>
            </w:pPr>
            <w:r>
              <w:rPr>
                <w:rFonts w:hint="eastAsia" w:cs="宋体"/>
                <w:sz w:val="21"/>
                <w:szCs w:val="21"/>
              </w:rPr>
            </w:r>
            <w:r/>
          </w:p>
        </w:tc>
      </w:tr>
      <w:tr>
        <w:trPr>
          <w:trHeight w:val="567"/>
        </w:trPr>
        <w:tc>
          <w:tcPr>
            <w:tcW w:w="358" w:type="pct"/>
            <w:vAlign w:val="center"/>
            <w:textDirection w:val="lrTb"/>
            <w:noWrap w:val="false"/>
          </w:tcPr>
          <w:p>
            <w:pPr>
              <w:pStyle w:val="954"/>
              <w:jc w:val="center"/>
              <w:widowControl/>
              <w:rPr>
                <w:rFonts w:hint="eastAsia" w:cs="宋体"/>
                <w:sz w:val="21"/>
                <w:szCs w:val="21"/>
              </w:rPr>
            </w:pPr>
            <w:r>
              <w:rPr>
                <w:rFonts w:hint="eastAsia" w:cs="宋体"/>
                <w:sz w:val="21"/>
                <w:szCs w:val="21"/>
              </w:rPr>
            </w:r>
            <w:r/>
          </w:p>
        </w:tc>
        <w:tc>
          <w:tcPr>
            <w:tcW w:w="385" w:type="pct"/>
            <w:vAlign w:val="center"/>
            <w:textDirection w:val="lrTb"/>
            <w:noWrap w:val="false"/>
          </w:tcPr>
          <w:p>
            <w:pPr>
              <w:pStyle w:val="954"/>
              <w:jc w:val="center"/>
              <w:widowControl/>
              <w:rPr>
                <w:rFonts w:hint="eastAsia" w:cs="宋体"/>
                <w:sz w:val="21"/>
                <w:szCs w:val="21"/>
              </w:rPr>
            </w:pPr>
            <w:r>
              <w:rPr>
                <w:rFonts w:hint="eastAsia" w:cs="宋体"/>
                <w:sz w:val="21"/>
                <w:szCs w:val="21"/>
              </w:rPr>
            </w:r>
            <w:r/>
          </w:p>
        </w:tc>
        <w:tc>
          <w:tcPr>
            <w:tcW w:w="757" w:type="pct"/>
            <w:vAlign w:val="center"/>
            <w:textDirection w:val="lrTb"/>
            <w:noWrap w:val="false"/>
          </w:tcPr>
          <w:p>
            <w:pPr>
              <w:pStyle w:val="954"/>
              <w:jc w:val="center"/>
              <w:widowControl/>
              <w:rPr>
                <w:rFonts w:hint="eastAsia" w:cs="宋体"/>
                <w:sz w:val="21"/>
                <w:szCs w:val="21"/>
              </w:rPr>
            </w:pPr>
            <w:r>
              <w:rPr>
                <w:rFonts w:hint="eastAsia" w:cs="宋体"/>
                <w:sz w:val="21"/>
                <w:szCs w:val="21"/>
              </w:rPr>
            </w:r>
            <w:r/>
          </w:p>
        </w:tc>
        <w:tc>
          <w:tcPr>
            <w:tcW w:w="531" w:type="pct"/>
            <w:vAlign w:val="center"/>
            <w:textDirection w:val="lrTb"/>
            <w:noWrap w:val="false"/>
          </w:tcPr>
          <w:p>
            <w:pPr>
              <w:pStyle w:val="954"/>
              <w:jc w:val="center"/>
              <w:widowControl/>
              <w:rPr>
                <w:rFonts w:hint="eastAsia" w:cs="宋体"/>
                <w:sz w:val="21"/>
                <w:szCs w:val="21"/>
              </w:rPr>
            </w:pPr>
            <w:r>
              <w:rPr>
                <w:rFonts w:hint="eastAsia" w:cs="宋体"/>
                <w:sz w:val="21"/>
                <w:szCs w:val="21"/>
              </w:rPr>
            </w:r>
            <w:r/>
          </w:p>
        </w:tc>
        <w:tc>
          <w:tcPr>
            <w:tcW w:w="567" w:type="pct"/>
            <w:vAlign w:val="center"/>
            <w:textDirection w:val="lrTb"/>
            <w:noWrap w:val="false"/>
          </w:tcPr>
          <w:p>
            <w:pPr>
              <w:pStyle w:val="954"/>
              <w:jc w:val="center"/>
              <w:widowControl/>
              <w:rPr>
                <w:rFonts w:hint="eastAsia" w:cs="宋体"/>
                <w:sz w:val="21"/>
                <w:szCs w:val="21"/>
              </w:rPr>
            </w:pPr>
            <w:r>
              <w:rPr>
                <w:rFonts w:hint="eastAsia" w:cs="宋体"/>
                <w:sz w:val="21"/>
                <w:szCs w:val="21"/>
              </w:rPr>
            </w:r>
            <w:r/>
          </w:p>
        </w:tc>
        <w:tc>
          <w:tcPr>
            <w:tcW w:w="718" w:type="pct"/>
            <w:vAlign w:val="center"/>
            <w:textDirection w:val="lrTb"/>
            <w:noWrap w:val="false"/>
          </w:tcPr>
          <w:p>
            <w:pPr>
              <w:pStyle w:val="954"/>
              <w:jc w:val="center"/>
              <w:widowControl/>
              <w:rPr>
                <w:rFonts w:hint="eastAsia" w:cs="宋体"/>
                <w:sz w:val="21"/>
                <w:szCs w:val="21"/>
              </w:rPr>
            </w:pPr>
            <w:r>
              <w:rPr>
                <w:rFonts w:hint="eastAsia" w:cs="宋体"/>
                <w:sz w:val="21"/>
                <w:szCs w:val="21"/>
              </w:rPr>
            </w:r>
            <w:r/>
          </w:p>
        </w:tc>
        <w:tc>
          <w:tcPr>
            <w:tcW w:w="713" w:type="pct"/>
            <w:vAlign w:val="center"/>
            <w:textDirection w:val="lrTb"/>
            <w:noWrap w:val="false"/>
          </w:tcPr>
          <w:p>
            <w:pPr>
              <w:pStyle w:val="954"/>
              <w:jc w:val="center"/>
              <w:widowControl/>
              <w:rPr>
                <w:rFonts w:hint="eastAsia" w:cs="宋体"/>
                <w:sz w:val="21"/>
                <w:szCs w:val="21"/>
              </w:rPr>
            </w:pPr>
            <w:r>
              <w:rPr>
                <w:rFonts w:hint="eastAsia" w:cs="宋体"/>
                <w:sz w:val="21"/>
                <w:szCs w:val="21"/>
              </w:rPr>
            </w:r>
            <w:r/>
          </w:p>
        </w:tc>
        <w:tc>
          <w:tcPr>
            <w:tcW w:w="971" w:type="pct"/>
            <w:vAlign w:val="center"/>
            <w:textDirection w:val="lrTb"/>
            <w:noWrap w:val="false"/>
          </w:tcPr>
          <w:p>
            <w:pPr>
              <w:pStyle w:val="954"/>
              <w:jc w:val="center"/>
              <w:widowControl/>
              <w:rPr>
                <w:rFonts w:hint="eastAsia" w:cs="宋体"/>
                <w:sz w:val="21"/>
                <w:szCs w:val="21"/>
              </w:rPr>
            </w:pPr>
            <w:r>
              <w:rPr>
                <w:rFonts w:hint="eastAsia" w:cs="宋体"/>
                <w:sz w:val="21"/>
                <w:szCs w:val="21"/>
              </w:rPr>
            </w:r>
            <w:r/>
          </w:p>
        </w:tc>
      </w:tr>
      <w:tr>
        <w:trPr>
          <w:trHeight w:val="567"/>
        </w:trPr>
        <w:tc>
          <w:tcPr>
            <w:tcW w:w="358" w:type="pct"/>
            <w:vAlign w:val="center"/>
            <w:textDirection w:val="lrTb"/>
            <w:noWrap w:val="false"/>
          </w:tcPr>
          <w:p>
            <w:pPr>
              <w:pStyle w:val="954"/>
              <w:jc w:val="center"/>
              <w:widowControl/>
              <w:rPr>
                <w:rFonts w:hint="eastAsia" w:cs="宋体"/>
                <w:sz w:val="21"/>
                <w:szCs w:val="21"/>
              </w:rPr>
            </w:pPr>
            <w:r>
              <w:rPr>
                <w:rFonts w:hint="eastAsia" w:cs="宋体"/>
                <w:sz w:val="21"/>
                <w:szCs w:val="21"/>
              </w:rPr>
            </w:r>
            <w:r/>
          </w:p>
        </w:tc>
        <w:tc>
          <w:tcPr>
            <w:tcW w:w="385" w:type="pct"/>
            <w:vAlign w:val="center"/>
            <w:textDirection w:val="lrTb"/>
            <w:noWrap w:val="false"/>
          </w:tcPr>
          <w:p>
            <w:pPr>
              <w:pStyle w:val="954"/>
              <w:jc w:val="center"/>
              <w:widowControl/>
              <w:rPr>
                <w:rFonts w:hint="eastAsia" w:cs="宋体"/>
                <w:sz w:val="21"/>
                <w:szCs w:val="21"/>
              </w:rPr>
            </w:pPr>
            <w:r>
              <w:rPr>
                <w:rFonts w:hint="eastAsia" w:cs="宋体"/>
                <w:sz w:val="21"/>
                <w:szCs w:val="21"/>
              </w:rPr>
            </w:r>
            <w:r/>
          </w:p>
        </w:tc>
        <w:tc>
          <w:tcPr>
            <w:tcW w:w="757" w:type="pct"/>
            <w:vAlign w:val="center"/>
            <w:textDirection w:val="lrTb"/>
            <w:noWrap w:val="false"/>
          </w:tcPr>
          <w:p>
            <w:pPr>
              <w:pStyle w:val="954"/>
              <w:jc w:val="center"/>
              <w:widowControl/>
              <w:rPr>
                <w:rFonts w:hint="eastAsia" w:cs="宋体"/>
                <w:sz w:val="21"/>
                <w:szCs w:val="21"/>
              </w:rPr>
            </w:pPr>
            <w:r>
              <w:rPr>
                <w:rFonts w:hint="eastAsia" w:cs="宋体"/>
                <w:sz w:val="21"/>
                <w:szCs w:val="21"/>
              </w:rPr>
            </w:r>
            <w:r/>
          </w:p>
        </w:tc>
        <w:tc>
          <w:tcPr>
            <w:tcW w:w="531" w:type="pct"/>
            <w:vAlign w:val="center"/>
            <w:textDirection w:val="lrTb"/>
            <w:noWrap w:val="false"/>
          </w:tcPr>
          <w:p>
            <w:pPr>
              <w:pStyle w:val="954"/>
              <w:jc w:val="center"/>
              <w:widowControl/>
              <w:rPr>
                <w:rFonts w:hint="eastAsia" w:cs="宋体"/>
                <w:sz w:val="21"/>
                <w:szCs w:val="21"/>
              </w:rPr>
            </w:pPr>
            <w:r>
              <w:rPr>
                <w:rFonts w:hint="eastAsia" w:cs="宋体"/>
                <w:sz w:val="21"/>
                <w:szCs w:val="21"/>
              </w:rPr>
            </w:r>
            <w:r/>
          </w:p>
        </w:tc>
        <w:tc>
          <w:tcPr>
            <w:tcW w:w="567" w:type="pct"/>
            <w:vAlign w:val="center"/>
            <w:textDirection w:val="lrTb"/>
            <w:noWrap w:val="false"/>
          </w:tcPr>
          <w:p>
            <w:pPr>
              <w:pStyle w:val="954"/>
              <w:jc w:val="center"/>
              <w:widowControl/>
              <w:rPr>
                <w:rFonts w:hint="eastAsia" w:cs="宋体"/>
                <w:sz w:val="21"/>
                <w:szCs w:val="21"/>
              </w:rPr>
            </w:pPr>
            <w:r>
              <w:rPr>
                <w:rFonts w:hint="eastAsia" w:cs="宋体"/>
                <w:sz w:val="21"/>
                <w:szCs w:val="21"/>
              </w:rPr>
            </w:r>
            <w:r/>
          </w:p>
        </w:tc>
        <w:tc>
          <w:tcPr>
            <w:tcW w:w="718" w:type="pct"/>
            <w:vAlign w:val="center"/>
            <w:textDirection w:val="lrTb"/>
            <w:noWrap w:val="false"/>
          </w:tcPr>
          <w:p>
            <w:pPr>
              <w:pStyle w:val="954"/>
              <w:jc w:val="center"/>
              <w:widowControl/>
              <w:rPr>
                <w:rFonts w:hint="eastAsia" w:cs="宋体"/>
                <w:sz w:val="21"/>
                <w:szCs w:val="21"/>
              </w:rPr>
            </w:pPr>
            <w:r>
              <w:rPr>
                <w:rFonts w:hint="eastAsia" w:cs="宋体"/>
                <w:sz w:val="21"/>
                <w:szCs w:val="21"/>
              </w:rPr>
            </w:r>
            <w:r/>
          </w:p>
        </w:tc>
        <w:tc>
          <w:tcPr>
            <w:tcW w:w="713" w:type="pct"/>
            <w:vAlign w:val="center"/>
            <w:textDirection w:val="lrTb"/>
            <w:noWrap w:val="false"/>
          </w:tcPr>
          <w:p>
            <w:pPr>
              <w:pStyle w:val="954"/>
              <w:jc w:val="center"/>
              <w:widowControl/>
              <w:rPr>
                <w:rFonts w:hint="eastAsia" w:cs="宋体"/>
                <w:sz w:val="21"/>
                <w:szCs w:val="21"/>
              </w:rPr>
            </w:pPr>
            <w:r>
              <w:rPr>
                <w:rFonts w:hint="eastAsia" w:cs="宋体"/>
                <w:sz w:val="21"/>
                <w:szCs w:val="21"/>
              </w:rPr>
            </w:r>
            <w:r/>
          </w:p>
        </w:tc>
        <w:tc>
          <w:tcPr>
            <w:tcW w:w="971" w:type="pct"/>
            <w:vAlign w:val="center"/>
            <w:textDirection w:val="lrTb"/>
            <w:noWrap w:val="false"/>
          </w:tcPr>
          <w:p>
            <w:pPr>
              <w:pStyle w:val="954"/>
              <w:jc w:val="center"/>
              <w:widowControl/>
              <w:rPr>
                <w:rFonts w:hint="eastAsia" w:cs="宋体"/>
                <w:sz w:val="21"/>
                <w:szCs w:val="21"/>
              </w:rPr>
            </w:pPr>
            <w:r>
              <w:rPr>
                <w:rFonts w:hint="eastAsia" w:cs="宋体"/>
                <w:sz w:val="21"/>
                <w:szCs w:val="21"/>
              </w:rPr>
            </w:r>
            <w:r/>
          </w:p>
        </w:tc>
      </w:tr>
      <w:tr>
        <w:trPr>
          <w:trHeight w:val="567"/>
        </w:trPr>
        <w:tc>
          <w:tcPr>
            <w:tcW w:w="358" w:type="pct"/>
            <w:vAlign w:val="center"/>
            <w:textDirection w:val="lrTb"/>
            <w:noWrap w:val="false"/>
          </w:tcPr>
          <w:p>
            <w:pPr>
              <w:pStyle w:val="954"/>
              <w:jc w:val="center"/>
              <w:widowControl/>
              <w:rPr>
                <w:rFonts w:hint="eastAsia" w:cs="宋体"/>
                <w:sz w:val="21"/>
                <w:szCs w:val="21"/>
              </w:rPr>
            </w:pPr>
            <w:r>
              <w:rPr>
                <w:rFonts w:hint="eastAsia" w:cs="宋体"/>
                <w:sz w:val="21"/>
                <w:szCs w:val="21"/>
              </w:rPr>
            </w:r>
            <w:r/>
          </w:p>
        </w:tc>
        <w:tc>
          <w:tcPr>
            <w:tcW w:w="385" w:type="pct"/>
            <w:vAlign w:val="center"/>
            <w:textDirection w:val="lrTb"/>
            <w:noWrap w:val="false"/>
          </w:tcPr>
          <w:p>
            <w:pPr>
              <w:pStyle w:val="954"/>
              <w:jc w:val="center"/>
              <w:widowControl/>
              <w:rPr>
                <w:rFonts w:hint="eastAsia" w:cs="宋体"/>
                <w:sz w:val="21"/>
                <w:szCs w:val="21"/>
              </w:rPr>
            </w:pPr>
            <w:r>
              <w:rPr>
                <w:rFonts w:hint="eastAsia" w:cs="宋体"/>
                <w:sz w:val="21"/>
                <w:szCs w:val="21"/>
              </w:rPr>
            </w:r>
            <w:r/>
          </w:p>
        </w:tc>
        <w:tc>
          <w:tcPr>
            <w:tcW w:w="757" w:type="pct"/>
            <w:vAlign w:val="center"/>
            <w:textDirection w:val="lrTb"/>
            <w:noWrap w:val="false"/>
          </w:tcPr>
          <w:p>
            <w:pPr>
              <w:pStyle w:val="954"/>
              <w:jc w:val="center"/>
              <w:widowControl/>
              <w:rPr>
                <w:rFonts w:hint="eastAsia" w:cs="宋体"/>
                <w:sz w:val="21"/>
                <w:szCs w:val="21"/>
              </w:rPr>
            </w:pPr>
            <w:r>
              <w:rPr>
                <w:rFonts w:hint="eastAsia" w:cs="宋体"/>
                <w:sz w:val="21"/>
                <w:szCs w:val="21"/>
              </w:rPr>
              <w:t xml:space="preserve">…</w:t>
            </w:r>
            <w:r/>
          </w:p>
        </w:tc>
        <w:tc>
          <w:tcPr>
            <w:tcW w:w="531" w:type="pct"/>
            <w:vAlign w:val="center"/>
            <w:textDirection w:val="lrTb"/>
            <w:noWrap w:val="false"/>
          </w:tcPr>
          <w:p>
            <w:pPr>
              <w:pStyle w:val="954"/>
              <w:jc w:val="center"/>
              <w:widowControl/>
              <w:rPr>
                <w:rFonts w:hint="eastAsia" w:cs="宋体"/>
                <w:sz w:val="21"/>
                <w:szCs w:val="21"/>
              </w:rPr>
            </w:pPr>
            <w:r>
              <w:rPr>
                <w:rFonts w:hint="eastAsia" w:cs="宋体"/>
                <w:sz w:val="21"/>
                <w:szCs w:val="21"/>
              </w:rPr>
            </w:r>
            <w:r/>
          </w:p>
        </w:tc>
        <w:tc>
          <w:tcPr>
            <w:tcW w:w="567" w:type="pct"/>
            <w:vAlign w:val="center"/>
            <w:textDirection w:val="lrTb"/>
            <w:noWrap w:val="false"/>
          </w:tcPr>
          <w:p>
            <w:pPr>
              <w:pStyle w:val="954"/>
              <w:jc w:val="center"/>
              <w:widowControl/>
              <w:rPr>
                <w:rFonts w:hint="eastAsia" w:cs="宋体"/>
                <w:sz w:val="21"/>
                <w:szCs w:val="21"/>
              </w:rPr>
            </w:pPr>
            <w:r>
              <w:rPr>
                <w:rFonts w:hint="eastAsia" w:cs="宋体"/>
                <w:sz w:val="21"/>
                <w:szCs w:val="21"/>
              </w:rPr>
            </w:r>
            <w:r/>
          </w:p>
        </w:tc>
        <w:tc>
          <w:tcPr>
            <w:tcW w:w="718" w:type="pct"/>
            <w:vAlign w:val="center"/>
            <w:textDirection w:val="lrTb"/>
            <w:noWrap w:val="false"/>
          </w:tcPr>
          <w:p>
            <w:pPr>
              <w:pStyle w:val="954"/>
              <w:jc w:val="center"/>
              <w:widowControl/>
              <w:rPr>
                <w:rFonts w:hint="eastAsia" w:cs="宋体"/>
                <w:sz w:val="21"/>
                <w:szCs w:val="21"/>
              </w:rPr>
            </w:pPr>
            <w:r>
              <w:rPr>
                <w:rFonts w:hint="eastAsia" w:cs="宋体"/>
                <w:sz w:val="21"/>
                <w:szCs w:val="21"/>
              </w:rPr>
            </w:r>
            <w:r/>
          </w:p>
        </w:tc>
        <w:tc>
          <w:tcPr>
            <w:tcW w:w="713" w:type="pct"/>
            <w:vAlign w:val="center"/>
            <w:textDirection w:val="lrTb"/>
            <w:noWrap w:val="false"/>
          </w:tcPr>
          <w:p>
            <w:pPr>
              <w:pStyle w:val="954"/>
              <w:jc w:val="center"/>
              <w:widowControl/>
              <w:rPr>
                <w:rFonts w:hint="eastAsia" w:cs="宋体"/>
                <w:sz w:val="21"/>
                <w:szCs w:val="21"/>
              </w:rPr>
            </w:pPr>
            <w:r>
              <w:rPr>
                <w:rFonts w:hint="eastAsia" w:cs="宋体"/>
                <w:sz w:val="21"/>
                <w:szCs w:val="21"/>
              </w:rPr>
            </w:r>
            <w:r/>
          </w:p>
        </w:tc>
        <w:tc>
          <w:tcPr>
            <w:tcW w:w="971" w:type="pct"/>
            <w:vAlign w:val="center"/>
            <w:textDirection w:val="lrTb"/>
            <w:noWrap w:val="false"/>
          </w:tcPr>
          <w:p>
            <w:pPr>
              <w:pStyle w:val="954"/>
              <w:jc w:val="center"/>
              <w:widowControl/>
              <w:rPr>
                <w:rFonts w:hint="eastAsia" w:cs="宋体"/>
                <w:sz w:val="21"/>
                <w:szCs w:val="21"/>
              </w:rPr>
            </w:pPr>
            <w:r>
              <w:rPr>
                <w:rFonts w:hint="eastAsia" w:cs="宋体"/>
                <w:sz w:val="21"/>
                <w:szCs w:val="21"/>
              </w:rPr>
            </w:r>
            <w:r/>
          </w:p>
        </w:tc>
      </w:tr>
      <w:tr>
        <w:trPr>
          <w:trHeight w:val="567"/>
        </w:trPr>
        <w:tc>
          <w:tcPr>
            <w:tcW w:w="358" w:type="pct"/>
            <w:vAlign w:val="center"/>
            <w:textDirection w:val="lrTb"/>
            <w:noWrap w:val="false"/>
          </w:tcPr>
          <w:p>
            <w:pPr>
              <w:pStyle w:val="954"/>
              <w:jc w:val="center"/>
              <w:widowControl/>
              <w:rPr>
                <w:rFonts w:hint="eastAsia" w:cs="宋体"/>
                <w:sz w:val="21"/>
                <w:szCs w:val="21"/>
              </w:rPr>
            </w:pPr>
            <w:r>
              <w:rPr>
                <w:rFonts w:hint="eastAsia" w:cs="宋体"/>
                <w:sz w:val="21"/>
                <w:szCs w:val="21"/>
              </w:rPr>
            </w:r>
            <w:r/>
          </w:p>
        </w:tc>
        <w:tc>
          <w:tcPr>
            <w:tcW w:w="385" w:type="pct"/>
            <w:vAlign w:val="center"/>
            <w:textDirection w:val="lrTb"/>
            <w:noWrap w:val="false"/>
          </w:tcPr>
          <w:p>
            <w:pPr>
              <w:pStyle w:val="954"/>
              <w:jc w:val="center"/>
              <w:widowControl/>
              <w:rPr>
                <w:rFonts w:hint="eastAsia" w:cs="宋体"/>
                <w:sz w:val="21"/>
                <w:szCs w:val="21"/>
              </w:rPr>
            </w:pPr>
            <w:r>
              <w:rPr>
                <w:rFonts w:hint="eastAsia" w:cs="宋体"/>
                <w:sz w:val="21"/>
                <w:szCs w:val="21"/>
              </w:rPr>
            </w:r>
            <w:r/>
          </w:p>
        </w:tc>
        <w:tc>
          <w:tcPr>
            <w:tcW w:w="757" w:type="pct"/>
            <w:vAlign w:val="center"/>
            <w:textDirection w:val="lrTb"/>
            <w:noWrap w:val="false"/>
          </w:tcPr>
          <w:p>
            <w:pPr>
              <w:pStyle w:val="954"/>
              <w:jc w:val="center"/>
              <w:widowControl/>
              <w:rPr>
                <w:rFonts w:hint="eastAsia" w:cs="宋体"/>
                <w:sz w:val="21"/>
                <w:szCs w:val="21"/>
              </w:rPr>
            </w:pPr>
            <w:r>
              <w:rPr>
                <w:rFonts w:hint="eastAsia" w:cs="宋体"/>
                <w:sz w:val="21"/>
                <w:szCs w:val="21"/>
              </w:rPr>
              <w:t xml:space="preserve">…</w:t>
            </w:r>
            <w:r/>
          </w:p>
        </w:tc>
        <w:tc>
          <w:tcPr>
            <w:tcW w:w="531" w:type="pct"/>
            <w:vAlign w:val="center"/>
            <w:textDirection w:val="lrTb"/>
            <w:noWrap w:val="false"/>
          </w:tcPr>
          <w:p>
            <w:pPr>
              <w:pStyle w:val="954"/>
              <w:jc w:val="center"/>
              <w:widowControl/>
              <w:rPr>
                <w:rFonts w:hint="eastAsia" w:cs="宋体"/>
                <w:sz w:val="21"/>
                <w:szCs w:val="21"/>
              </w:rPr>
            </w:pPr>
            <w:r>
              <w:rPr>
                <w:rFonts w:hint="eastAsia" w:cs="宋体"/>
                <w:sz w:val="21"/>
                <w:szCs w:val="21"/>
              </w:rPr>
            </w:r>
            <w:r/>
          </w:p>
        </w:tc>
        <w:tc>
          <w:tcPr>
            <w:tcW w:w="567" w:type="pct"/>
            <w:vAlign w:val="center"/>
            <w:textDirection w:val="lrTb"/>
            <w:noWrap w:val="false"/>
          </w:tcPr>
          <w:p>
            <w:pPr>
              <w:pStyle w:val="954"/>
              <w:jc w:val="center"/>
              <w:widowControl/>
              <w:rPr>
                <w:rFonts w:hint="eastAsia" w:cs="宋体"/>
                <w:sz w:val="21"/>
                <w:szCs w:val="21"/>
              </w:rPr>
            </w:pPr>
            <w:r>
              <w:rPr>
                <w:rFonts w:hint="eastAsia" w:cs="宋体"/>
                <w:sz w:val="21"/>
                <w:szCs w:val="21"/>
              </w:rPr>
            </w:r>
            <w:r/>
          </w:p>
        </w:tc>
        <w:tc>
          <w:tcPr>
            <w:tcW w:w="718" w:type="pct"/>
            <w:vAlign w:val="center"/>
            <w:textDirection w:val="lrTb"/>
            <w:noWrap w:val="false"/>
          </w:tcPr>
          <w:p>
            <w:pPr>
              <w:pStyle w:val="954"/>
              <w:jc w:val="center"/>
              <w:widowControl/>
              <w:rPr>
                <w:rFonts w:hint="eastAsia" w:cs="宋体"/>
                <w:sz w:val="21"/>
                <w:szCs w:val="21"/>
              </w:rPr>
            </w:pPr>
            <w:r>
              <w:rPr>
                <w:rFonts w:hint="eastAsia" w:cs="宋体"/>
                <w:sz w:val="21"/>
                <w:szCs w:val="21"/>
              </w:rPr>
            </w:r>
            <w:r/>
          </w:p>
        </w:tc>
        <w:tc>
          <w:tcPr>
            <w:tcW w:w="713" w:type="pct"/>
            <w:vAlign w:val="center"/>
            <w:textDirection w:val="lrTb"/>
            <w:noWrap w:val="false"/>
          </w:tcPr>
          <w:p>
            <w:pPr>
              <w:pStyle w:val="954"/>
              <w:jc w:val="center"/>
              <w:widowControl/>
              <w:rPr>
                <w:rFonts w:hint="eastAsia" w:cs="宋体"/>
                <w:sz w:val="21"/>
                <w:szCs w:val="21"/>
              </w:rPr>
            </w:pPr>
            <w:r>
              <w:rPr>
                <w:rFonts w:hint="eastAsia" w:cs="宋体"/>
                <w:sz w:val="21"/>
                <w:szCs w:val="21"/>
              </w:rPr>
            </w:r>
            <w:r/>
          </w:p>
        </w:tc>
        <w:tc>
          <w:tcPr>
            <w:tcW w:w="971" w:type="pct"/>
            <w:vAlign w:val="center"/>
            <w:textDirection w:val="lrTb"/>
            <w:noWrap w:val="false"/>
          </w:tcPr>
          <w:p>
            <w:pPr>
              <w:pStyle w:val="954"/>
              <w:jc w:val="center"/>
              <w:widowControl/>
              <w:rPr>
                <w:rFonts w:hint="eastAsia" w:cs="宋体"/>
                <w:sz w:val="21"/>
                <w:szCs w:val="21"/>
              </w:rPr>
            </w:pPr>
            <w:r>
              <w:rPr>
                <w:rFonts w:hint="eastAsia" w:cs="宋体"/>
                <w:sz w:val="21"/>
                <w:szCs w:val="21"/>
              </w:rPr>
            </w:r>
            <w:r/>
          </w:p>
        </w:tc>
      </w:tr>
      <w:tr>
        <w:trPr>
          <w:trHeight w:val="567"/>
        </w:trPr>
        <w:tc>
          <w:tcPr>
            <w:tcW w:w="358" w:type="pct"/>
            <w:vAlign w:val="center"/>
            <w:textDirection w:val="lrTb"/>
            <w:noWrap w:val="false"/>
          </w:tcPr>
          <w:p>
            <w:pPr>
              <w:pStyle w:val="954"/>
              <w:jc w:val="center"/>
              <w:widowControl/>
              <w:rPr>
                <w:rFonts w:hint="eastAsia" w:cs="宋体"/>
                <w:sz w:val="21"/>
                <w:szCs w:val="21"/>
              </w:rPr>
            </w:pPr>
            <w:r>
              <w:rPr>
                <w:rFonts w:hint="eastAsia" w:cs="宋体"/>
                <w:sz w:val="21"/>
                <w:szCs w:val="21"/>
              </w:rPr>
              <w:t xml:space="preserve">…</w:t>
            </w:r>
            <w:r/>
          </w:p>
        </w:tc>
        <w:tc>
          <w:tcPr>
            <w:tcW w:w="385" w:type="pct"/>
            <w:vAlign w:val="center"/>
            <w:textDirection w:val="lrTb"/>
            <w:noWrap w:val="false"/>
          </w:tcPr>
          <w:p>
            <w:pPr>
              <w:pStyle w:val="954"/>
              <w:jc w:val="center"/>
              <w:widowControl/>
              <w:rPr>
                <w:rFonts w:hint="eastAsia" w:cs="宋体"/>
                <w:sz w:val="21"/>
                <w:szCs w:val="21"/>
              </w:rPr>
            </w:pPr>
            <w:r>
              <w:rPr>
                <w:rFonts w:hint="eastAsia" w:cs="宋体"/>
                <w:sz w:val="21"/>
                <w:szCs w:val="21"/>
              </w:rPr>
              <w:t xml:space="preserve">…</w:t>
            </w:r>
            <w:r/>
          </w:p>
        </w:tc>
        <w:tc>
          <w:tcPr>
            <w:tcW w:w="757" w:type="pct"/>
            <w:vAlign w:val="center"/>
            <w:textDirection w:val="lrTb"/>
            <w:noWrap w:val="false"/>
          </w:tcPr>
          <w:p>
            <w:pPr>
              <w:pStyle w:val="954"/>
              <w:jc w:val="center"/>
              <w:widowControl/>
              <w:rPr>
                <w:rFonts w:hint="eastAsia" w:cs="宋体"/>
                <w:sz w:val="21"/>
                <w:szCs w:val="21"/>
              </w:rPr>
            </w:pPr>
            <w:r>
              <w:rPr>
                <w:rFonts w:hint="eastAsia" w:cs="宋体"/>
                <w:sz w:val="21"/>
                <w:szCs w:val="21"/>
              </w:rPr>
              <w:t xml:space="preserve">…</w:t>
            </w:r>
            <w:r/>
          </w:p>
        </w:tc>
        <w:tc>
          <w:tcPr>
            <w:tcW w:w="531" w:type="pct"/>
            <w:vAlign w:val="center"/>
            <w:textDirection w:val="lrTb"/>
            <w:noWrap w:val="false"/>
          </w:tcPr>
          <w:p>
            <w:pPr>
              <w:pStyle w:val="954"/>
              <w:jc w:val="center"/>
              <w:widowControl/>
              <w:rPr>
                <w:rFonts w:hint="eastAsia" w:cs="宋体"/>
                <w:sz w:val="21"/>
                <w:szCs w:val="21"/>
              </w:rPr>
            </w:pPr>
            <w:r>
              <w:rPr>
                <w:rFonts w:hint="eastAsia" w:cs="宋体"/>
                <w:sz w:val="21"/>
                <w:szCs w:val="21"/>
              </w:rPr>
              <w:t xml:space="preserve">…</w:t>
            </w:r>
            <w:r/>
          </w:p>
        </w:tc>
        <w:tc>
          <w:tcPr>
            <w:tcW w:w="567" w:type="pct"/>
            <w:vAlign w:val="center"/>
            <w:textDirection w:val="lrTb"/>
            <w:noWrap w:val="false"/>
          </w:tcPr>
          <w:p>
            <w:pPr>
              <w:pStyle w:val="954"/>
              <w:jc w:val="center"/>
              <w:widowControl/>
              <w:rPr>
                <w:rFonts w:hint="eastAsia" w:cs="宋体"/>
                <w:sz w:val="21"/>
                <w:szCs w:val="21"/>
              </w:rPr>
            </w:pPr>
            <w:r>
              <w:rPr>
                <w:rFonts w:hint="eastAsia" w:cs="宋体"/>
                <w:sz w:val="21"/>
                <w:szCs w:val="21"/>
              </w:rPr>
              <w:t xml:space="preserve">…</w:t>
            </w:r>
            <w:r/>
          </w:p>
        </w:tc>
        <w:tc>
          <w:tcPr>
            <w:tcW w:w="718" w:type="pct"/>
            <w:vAlign w:val="center"/>
            <w:textDirection w:val="lrTb"/>
            <w:noWrap w:val="false"/>
          </w:tcPr>
          <w:p>
            <w:pPr>
              <w:pStyle w:val="954"/>
              <w:jc w:val="center"/>
              <w:widowControl/>
              <w:rPr>
                <w:rFonts w:hint="eastAsia" w:cs="宋体"/>
                <w:sz w:val="21"/>
                <w:szCs w:val="21"/>
              </w:rPr>
            </w:pPr>
            <w:r>
              <w:rPr>
                <w:rFonts w:hint="eastAsia" w:cs="宋体"/>
                <w:sz w:val="21"/>
                <w:szCs w:val="21"/>
              </w:rPr>
              <w:t xml:space="preserve">…</w:t>
            </w:r>
            <w:r/>
          </w:p>
        </w:tc>
        <w:tc>
          <w:tcPr>
            <w:tcW w:w="713" w:type="pct"/>
            <w:vAlign w:val="center"/>
            <w:textDirection w:val="lrTb"/>
            <w:noWrap w:val="false"/>
          </w:tcPr>
          <w:p>
            <w:pPr>
              <w:pStyle w:val="954"/>
              <w:jc w:val="center"/>
              <w:widowControl/>
              <w:rPr>
                <w:rFonts w:hint="eastAsia" w:cs="宋体"/>
                <w:sz w:val="21"/>
                <w:szCs w:val="21"/>
              </w:rPr>
            </w:pPr>
            <w:r>
              <w:rPr>
                <w:rFonts w:hint="eastAsia" w:cs="宋体"/>
                <w:sz w:val="21"/>
                <w:szCs w:val="21"/>
              </w:rPr>
            </w:r>
            <w:r/>
          </w:p>
        </w:tc>
        <w:tc>
          <w:tcPr>
            <w:tcW w:w="971" w:type="pct"/>
            <w:vAlign w:val="center"/>
            <w:textDirection w:val="lrTb"/>
            <w:noWrap w:val="false"/>
          </w:tcPr>
          <w:p>
            <w:pPr>
              <w:pStyle w:val="954"/>
              <w:jc w:val="center"/>
              <w:widowControl/>
              <w:rPr>
                <w:rFonts w:hint="eastAsia" w:cs="宋体"/>
                <w:sz w:val="21"/>
                <w:szCs w:val="21"/>
              </w:rPr>
            </w:pPr>
            <w:r>
              <w:rPr>
                <w:rFonts w:hint="eastAsia" w:cs="宋体"/>
                <w:sz w:val="21"/>
                <w:szCs w:val="21"/>
              </w:rPr>
              <w:t xml:space="preserve">…</w:t>
            </w:r>
            <w:r/>
          </w:p>
        </w:tc>
      </w:tr>
    </w:tbl>
    <w:p>
      <w:pPr>
        <w:pStyle w:val="954"/>
        <w:ind w:firstLine="420"/>
        <w:spacing w:line="360" w:lineRule="auto"/>
        <w:rPr>
          <w:rFonts w:cs="宋体"/>
          <w:sz w:val="21"/>
          <w:szCs w:val="21"/>
          <w:lang w:eastAsia="en-US"/>
        </w:rPr>
      </w:pPr>
      <w:r>
        <w:rPr>
          <w:rFonts w:hint="eastAsia" w:cs="宋体"/>
          <w:sz w:val="21"/>
          <w:szCs w:val="21"/>
          <w:lang w:eastAsia="en-US"/>
        </w:rPr>
        <w:t xml:space="preserve">注</w:t>
      </w:r>
      <w:r>
        <w:rPr>
          <w:rFonts w:cs="宋体"/>
          <w:sz w:val="21"/>
          <w:szCs w:val="21"/>
          <w:lang w:eastAsia="en-US"/>
        </w:rPr>
        <w:t xml:space="preserve">：</w:t>
      </w:r>
      <w:r>
        <w:rPr>
          <w:rFonts w:hint="eastAsia" w:cs="宋体"/>
          <w:sz w:val="21"/>
          <w:szCs w:val="21"/>
          <w:lang w:eastAsia="en-US"/>
        </w:rPr>
        <w:t xml:space="preserve">按照招标文件要求及评分标准提供相应证明材料。</w:t>
      </w:r>
      <w:r>
        <w:rPr>
          <w:rFonts w:cs="宋体"/>
          <w:sz w:val="21"/>
          <w:szCs w:val="21"/>
          <w:lang w:eastAsia="en-US"/>
        </w:rPr>
      </w:r>
      <w:r/>
    </w:p>
    <w:p>
      <w:pPr>
        <w:pStyle w:val="954"/>
        <w:ind w:firstLine="420"/>
        <w:spacing w:line="360" w:lineRule="auto"/>
        <w:rPr>
          <w:rFonts w:hint="eastAsia" w:cs="宋体"/>
          <w:sz w:val="21"/>
          <w:szCs w:val="21"/>
          <w:lang w:eastAsia="en-US"/>
        </w:rPr>
      </w:pPr>
      <w:r>
        <w:rPr>
          <w:rFonts w:hint="eastAsia" w:cs="宋体"/>
          <w:sz w:val="21"/>
          <w:szCs w:val="21"/>
          <w:lang w:eastAsia="en-US"/>
        </w:rPr>
      </w:r>
      <w:r/>
    </w:p>
    <w:p>
      <w:pPr>
        <w:pStyle w:val="954"/>
        <w:jc w:val="left"/>
        <w:spacing w:line="400" w:lineRule="exact"/>
        <w:rPr>
          <w:rFonts w:hint="eastAsia" w:cs="宋体"/>
          <w:sz w:val="21"/>
          <w:szCs w:val="21"/>
        </w:rPr>
      </w:pPr>
      <w:r>
        <w:rPr>
          <w:rFonts w:hint="eastAsia" w:cs="宋体"/>
          <w:sz w:val="21"/>
          <w:szCs w:val="21"/>
        </w:rPr>
      </w:r>
      <w:r/>
    </w:p>
    <w:p>
      <w:pPr>
        <w:pStyle w:val="954"/>
        <w:ind w:firstLine="420"/>
        <w:jc w:val="left"/>
        <w:spacing w:line="400" w:lineRule="exact"/>
        <w:rPr>
          <w:rFonts w:cs="宋体"/>
          <w:sz w:val="21"/>
          <w:szCs w:val="21"/>
        </w:rPr>
      </w:pPr>
      <w:r>
        <w:rPr>
          <w:rFonts w:cs="宋体"/>
          <w:sz w:val="21"/>
          <w:szCs w:val="21"/>
        </w:rPr>
      </w:r>
      <w:r/>
    </w:p>
    <w:p>
      <w:pPr>
        <w:pStyle w:val="954"/>
        <w:ind w:firstLine="420"/>
        <w:jc w:val="left"/>
        <w:spacing w:line="400" w:lineRule="exact"/>
        <w:rPr>
          <w:rFonts w:hint="eastAsia" w:cs="宋体"/>
          <w:sz w:val="21"/>
          <w:szCs w:val="21"/>
        </w:rPr>
      </w:pPr>
      <w:r>
        <w:rPr>
          <w:rFonts w:hint="eastAsia" w:cs="宋体"/>
          <w:sz w:val="21"/>
          <w:szCs w:val="21"/>
        </w:rPr>
        <w:t xml:space="preserve">投标人名称：         （盖章）</w:t>
      </w:r>
      <w:r/>
    </w:p>
    <w:p>
      <w:pPr>
        <w:pStyle w:val="954"/>
        <w:ind w:firstLine="420"/>
        <w:jc w:val="left"/>
        <w:spacing w:line="400" w:lineRule="exact"/>
        <w:rPr>
          <w:rFonts w:hint="eastAsia" w:cs="宋体"/>
          <w:sz w:val="21"/>
          <w:szCs w:val="21"/>
        </w:rPr>
      </w:pPr>
      <w:r>
        <w:rPr>
          <w:rFonts w:hint="eastAsia" w:cs="宋体"/>
          <w:sz w:val="21"/>
          <w:szCs w:val="21"/>
        </w:rPr>
        <w:t xml:space="preserve">法定代表人或代理人（签字或盖章）</w:t>
      </w:r>
      <w:r>
        <w:rPr>
          <w:rFonts w:hint="eastAsia" w:cs="宋体"/>
          <w:bCs/>
          <w:sz w:val="21"/>
          <w:szCs w:val="21"/>
        </w:rPr>
        <w:t xml:space="preserve">：</w:t>
      </w:r>
      <w:r>
        <w:rPr>
          <w:rFonts w:hint="eastAsia" w:cs="宋体"/>
          <w:sz w:val="21"/>
          <w:szCs w:val="21"/>
        </w:rPr>
      </w:r>
      <w:r/>
    </w:p>
    <w:p>
      <w:pPr>
        <w:pStyle w:val="954"/>
        <w:ind w:firstLine="420"/>
        <w:jc w:val="left"/>
        <w:spacing w:line="400" w:lineRule="exact"/>
        <w:rPr>
          <w:rFonts w:hint="eastAsia" w:cs="宋体"/>
          <w:sz w:val="21"/>
          <w:szCs w:val="21"/>
        </w:rPr>
      </w:pPr>
      <w:r>
        <w:rPr>
          <w:rFonts w:hint="eastAsia" w:cs="宋体"/>
          <w:sz w:val="21"/>
          <w:szCs w:val="21"/>
        </w:rPr>
        <w:t xml:space="preserve">日期：           年  月  日</w:t>
      </w:r>
      <w:r/>
    </w:p>
    <w:p>
      <w:pPr>
        <w:pStyle w:val="954"/>
        <w:jc w:val="left"/>
        <w:spacing w:line="400" w:lineRule="exact"/>
        <w:rPr>
          <w:rFonts w:hint="eastAsia" w:cs="宋体"/>
          <w:sz w:val="21"/>
          <w:szCs w:val="21"/>
        </w:rPr>
      </w:pPr>
      <w:r>
        <w:rPr>
          <w:rFonts w:hint="eastAsia" w:cs="宋体"/>
          <w:sz w:val="21"/>
          <w:szCs w:val="21"/>
        </w:rPr>
      </w:r>
      <w:r/>
    </w:p>
    <w:p>
      <w:pPr>
        <w:pStyle w:val="954"/>
        <w:rPr>
          <w:b/>
          <w:bCs/>
          <w:sz w:val="21"/>
          <w:szCs w:val="21"/>
        </w:rPr>
      </w:pPr>
      <w:r>
        <w:rPr>
          <w:rFonts w:hint="eastAsia" w:cs="宋体"/>
          <w:sz w:val="21"/>
          <w:szCs w:val="21"/>
        </w:rPr>
        <w:br w:type="page" w:clear="all"/>
      </w:r>
      <w:r>
        <w:rPr>
          <w:rFonts w:hint="eastAsia" w:cs="宋体"/>
          <w:b/>
          <w:bCs/>
          <w:sz w:val="21"/>
          <w:szCs w:val="21"/>
        </w:rPr>
        <w:t xml:space="preserve">附件</w:t>
      </w:r>
      <w:r>
        <w:rPr>
          <w:rFonts w:hint="eastAsia"/>
          <w:b/>
          <w:bCs/>
          <w:sz w:val="21"/>
          <w:szCs w:val="21"/>
        </w:rPr>
        <w:t xml:space="preserve">10、拟投入本项目的车辆情况一览表</w:t>
      </w:r>
      <w:r>
        <w:rPr>
          <w:b/>
          <w:bCs/>
          <w:sz w:val="21"/>
          <w:szCs w:val="21"/>
        </w:rPr>
      </w:r>
      <w:r/>
    </w:p>
    <w:p>
      <w:pPr>
        <w:pStyle w:val="954"/>
        <w:ind w:firstLine="420"/>
        <w:rPr>
          <w:rFonts w:hint="eastAsia"/>
        </w:rPr>
      </w:pPr>
      <w:r>
        <w:rPr>
          <w:rFonts w:hint="eastAsia"/>
        </w:rPr>
      </w:r>
      <w:r/>
    </w:p>
    <w:p>
      <w:pPr>
        <w:pStyle w:val="954"/>
        <w:jc w:val="center"/>
        <w:spacing w:line="420" w:lineRule="exact"/>
        <w:rPr>
          <w:rFonts w:hint="eastAsia"/>
          <w:b/>
        </w:rPr>
      </w:pPr>
      <w:r>
        <w:rPr>
          <w:rFonts w:hint="eastAsia"/>
          <w:b/>
        </w:rPr>
        <w:t xml:space="preserve">拟投入本项目的车辆情况一览表</w:t>
      </w:r>
      <w:r>
        <w:rPr>
          <w:rFonts w:hint="eastAsia"/>
          <w:b/>
        </w:rPr>
      </w:r>
      <w:r/>
    </w:p>
    <w:p>
      <w:pPr>
        <w:pStyle w:val="954"/>
        <w:spacing w:line="420" w:lineRule="exact"/>
        <w:rPr>
          <w:rFonts w:hint="eastAsia"/>
          <w:b/>
        </w:rPr>
      </w:pPr>
      <w:r>
        <w:rPr>
          <w:rFonts w:hint="eastAsia"/>
          <w:b/>
        </w:rPr>
      </w:r>
      <w:r/>
    </w:p>
    <w:tbl>
      <w:tblPr>
        <w:tblW w:w="969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7"/>
        <w:gridCol w:w="1346"/>
        <w:gridCol w:w="1553"/>
        <w:gridCol w:w="1438"/>
        <w:gridCol w:w="1356"/>
        <w:gridCol w:w="1942"/>
        <w:gridCol w:w="1417"/>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pStyle w:val="954"/>
              <w:jc w:val="center"/>
              <w:rPr>
                <w:rFonts w:hint="eastAsia"/>
                <w:sz w:val="21"/>
                <w:szCs w:val="21"/>
              </w:rPr>
            </w:pPr>
            <w:r>
              <w:rPr>
                <w:rFonts w:hint="eastAsia"/>
                <w:sz w:val="21"/>
                <w:szCs w:val="21"/>
              </w:rPr>
              <w:t xml:space="preserve">序号</w:t>
            </w:r>
            <w:r/>
          </w:p>
        </w:tc>
        <w:tc>
          <w:tcPr>
            <w:tcBorders>
              <w:top w:val="single" w:color="000000" w:sz="2" w:space="0"/>
              <w:left w:val="single" w:color="000000" w:sz="4" w:space="0"/>
              <w:bottom w:val="single" w:color="000000" w:sz="2" w:space="0"/>
              <w:right w:val="single" w:color="000000" w:sz="4" w:space="0"/>
            </w:tcBorders>
            <w:tcW w:w="1346" w:type="dxa"/>
            <w:vAlign w:val="center"/>
            <w:textDirection w:val="lrTb"/>
            <w:noWrap w:val="false"/>
          </w:tcPr>
          <w:p>
            <w:pPr>
              <w:pStyle w:val="954"/>
              <w:jc w:val="center"/>
              <w:rPr>
                <w:rFonts w:hint="eastAsia"/>
                <w:sz w:val="21"/>
                <w:szCs w:val="21"/>
              </w:rPr>
            </w:pPr>
            <w:r>
              <w:rPr>
                <w:rFonts w:hint="eastAsia"/>
                <w:sz w:val="21"/>
                <w:szCs w:val="21"/>
              </w:rPr>
              <w:t xml:space="preserve">名称</w:t>
            </w:r>
            <w:r/>
          </w:p>
        </w:tc>
        <w:tc>
          <w:tcPr>
            <w:tcBorders>
              <w:top w:val="single" w:color="000000" w:sz="2" w:space="0"/>
              <w:left w:val="none" w:color="000000" w:sz="4" w:space="0"/>
              <w:bottom w:val="single" w:color="000000" w:sz="2" w:space="0"/>
              <w:right w:val="single" w:color="000000" w:sz="2" w:space="0"/>
            </w:tcBorders>
            <w:tcW w:w="1553" w:type="dxa"/>
            <w:vAlign w:val="center"/>
            <w:textDirection w:val="lrTb"/>
            <w:noWrap w:val="false"/>
          </w:tcPr>
          <w:p>
            <w:pPr>
              <w:pStyle w:val="954"/>
              <w:jc w:val="center"/>
              <w:rPr>
                <w:rFonts w:hint="eastAsia"/>
                <w:sz w:val="21"/>
                <w:szCs w:val="21"/>
              </w:rPr>
            </w:pPr>
            <w:r>
              <w:rPr>
                <w:rFonts w:hint="eastAsia"/>
                <w:sz w:val="21"/>
                <w:szCs w:val="21"/>
              </w:rPr>
              <w:t xml:space="preserve">车牌</w:t>
            </w:r>
            <w:r/>
          </w:p>
        </w:tc>
        <w:tc>
          <w:tcPr>
            <w:tcBorders>
              <w:top w:val="single" w:color="000000" w:sz="2" w:space="0"/>
              <w:left w:val="single" w:color="000000" w:sz="4" w:space="0"/>
              <w:bottom w:val="single" w:color="000000" w:sz="2" w:space="0"/>
              <w:right w:val="single" w:color="000000" w:sz="4" w:space="0"/>
            </w:tcBorders>
            <w:tcW w:w="1438" w:type="dxa"/>
            <w:vAlign w:val="center"/>
            <w:textDirection w:val="lrTb"/>
            <w:noWrap w:val="false"/>
          </w:tcPr>
          <w:p>
            <w:pPr>
              <w:pStyle w:val="954"/>
              <w:jc w:val="center"/>
              <w:rPr>
                <w:rFonts w:hint="eastAsia"/>
                <w:sz w:val="21"/>
                <w:szCs w:val="21"/>
              </w:rPr>
            </w:pPr>
            <w:r>
              <w:rPr>
                <w:rFonts w:hint="eastAsia"/>
                <w:sz w:val="21"/>
                <w:szCs w:val="21"/>
              </w:rPr>
              <w:t xml:space="preserve">自有/租赁</w:t>
            </w:r>
            <w:r/>
          </w:p>
        </w:tc>
        <w:tc>
          <w:tcPr>
            <w:tcBorders>
              <w:top w:val="single" w:color="000000" w:sz="2" w:space="0"/>
              <w:left w:val="none" w:color="000000" w:sz="4" w:space="0"/>
              <w:bottom w:val="single" w:color="000000" w:sz="2" w:space="0"/>
              <w:right w:val="single" w:color="000000" w:sz="4" w:space="0"/>
            </w:tcBorders>
            <w:tcW w:w="1356" w:type="dxa"/>
            <w:vAlign w:val="center"/>
            <w:textDirection w:val="lrTb"/>
            <w:noWrap w:val="false"/>
          </w:tcPr>
          <w:p>
            <w:pPr>
              <w:pStyle w:val="954"/>
              <w:jc w:val="center"/>
              <w:rPr>
                <w:rFonts w:hint="eastAsia"/>
                <w:sz w:val="21"/>
                <w:szCs w:val="21"/>
              </w:rPr>
            </w:pPr>
            <w:r>
              <w:rPr>
                <w:rFonts w:hint="eastAsia"/>
                <w:sz w:val="21"/>
                <w:szCs w:val="21"/>
              </w:rPr>
              <w:t xml:space="preserve">招标文件要求最低数量</w:t>
            </w:r>
            <w:r/>
          </w:p>
        </w:tc>
        <w:tc>
          <w:tcPr>
            <w:tcBorders>
              <w:top w:val="single" w:color="000000" w:sz="2" w:space="0"/>
              <w:left w:val="none" w:color="000000" w:sz="4" w:space="0"/>
              <w:bottom w:val="single" w:color="000000" w:sz="2" w:space="0"/>
              <w:right w:val="single" w:color="000000" w:sz="4" w:space="0"/>
            </w:tcBorders>
            <w:tcW w:w="1942" w:type="dxa"/>
            <w:vAlign w:val="center"/>
            <w:textDirection w:val="lrTb"/>
            <w:noWrap w:val="false"/>
          </w:tcPr>
          <w:p>
            <w:pPr>
              <w:pStyle w:val="954"/>
              <w:jc w:val="center"/>
              <w:rPr>
                <w:rFonts w:hint="eastAsia"/>
                <w:sz w:val="21"/>
                <w:szCs w:val="21"/>
              </w:rPr>
            </w:pPr>
            <w:r>
              <w:rPr>
                <w:rFonts w:hint="eastAsia"/>
                <w:sz w:val="21"/>
                <w:szCs w:val="21"/>
              </w:rPr>
              <w:t xml:space="preserve">投标人拟投入本项目数量</w:t>
            </w:r>
            <w:r/>
          </w:p>
        </w:tc>
        <w:tc>
          <w:tcPr>
            <w:tcBorders>
              <w:top w:val="single" w:color="000000" w:sz="2" w:space="0"/>
              <w:left w:val="none" w:color="000000" w:sz="4" w:space="0"/>
              <w:bottom w:val="single" w:color="000000" w:sz="2" w:space="0"/>
              <w:right w:val="single" w:color="000000" w:sz="2" w:space="0"/>
            </w:tcBorders>
            <w:tcW w:w="1417" w:type="dxa"/>
            <w:vAlign w:val="center"/>
            <w:textDirection w:val="lrTb"/>
            <w:noWrap w:val="false"/>
          </w:tcPr>
          <w:p>
            <w:pPr>
              <w:pStyle w:val="954"/>
              <w:jc w:val="center"/>
              <w:rPr>
                <w:rFonts w:hint="eastAsia"/>
                <w:sz w:val="21"/>
                <w:szCs w:val="21"/>
              </w:rPr>
            </w:pPr>
            <w:r>
              <w:rPr>
                <w:rFonts w:hint="eastAsia"/>
                <w:sz w:val="21"/>
                <w:szCs w:val="21"/>
              </w:rPr>
              <w:t xml:space="preserve">备注</w:t>
            </w:r>
            <w:r/>
          </w:p>
        </w:tc>
      </w:tr>
      <w:tr>
        <w:trPr>
          <w:trHeight w:val="567"/>
        </w:trPr>
        <w:tc>
          <w:tcPr>
            <w:tcBorders>
              <w:top w:val="single" w:color="000000" w:sz="4" w:space="0"/>
              <w:left w:val="single" w:color="000000" w:sz="2" w:space="0"/>
              <w:bottom w:val="single" w:color="000000" w:sz="2" w:space="0"/>
              <w:right w:val="single" w:color="000000" w:sz="2" w:space="0"/>
            </w:tcBorders>
            <w:tcW w:w="647" w:type="dxa"/>
            <w:vAlign w:val="center"/>
            <w:textDirection w:val="lrTb"/>
            <w:noWrap w:val="false"/>
          </w:tcPr>
          <w:p>
            <w:pPr>
              <w:pStyle w:val="954"/>
              <w:ind w:firstLine="240"/>
              <w:rPr>
                <w:rFonts w:hint="eastAsia"/>
                <w:sz w:val="21"/>
                <w:szCs w:val="21"/>
              </w:rPr>
            </w:pPr>
            <w:r>
              <w:rPr>
                <w:rFonts w:hint="eastAsia"/>
                <w:sz w:val="21"/>
                <w:szCs w:val="21"/>
              </w:rPr>
              <w:t xml:space="preserve">1</w:t>
            </w:r>
            <w:r/>
          </w:p>
        </w:tc>
        <w:tc>
          <w:tcPr>
            <w:tcBorders>
              <w:top w:val="single" w:color="000000" w:sz="4" w:space="0"/>
              <w:left w:val="single" w:color="000000" w:sz="4" w:space="0"/>
              <w:bottom w:val="single" w:color="000000" w:sz="2" w:space="0"/>
              <w:right w:val="single" w:color="000000" w:sz="4" w:space="0"/>
            </w:tcBorders>
            <w:tcW w:w="1346" w:type="dxa"/>
            <w:vAlign w:val="center"/>
            <w:textDirection w:val="lrTb"/>
            <w:noWrap w:val="false"/>
          </w:tcPr>
          <w:p>
            <w:pPr>
              <w:pStyle w:val="954"/>
              <w:jc w:val="center"/>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2" w:space="0"/>
            </w:tcBorders>
            <w:tcW w:w="1553" w:type="dxa"/>
            <w:vAlign w:val="center"/>
            <w:textDirection w:val="lrTb"/>
            <w:noWrap w:val="false"/>
          </w:tcPr>
          <w:p>
            <w:pPr>
              <w:pStyle w:val="954"/>
              <w:ind w:firstLine="480"/>
              <w:jc w:val="center"/>
              <w:rPr>
                <w:rFonts w:hint="eastAsia"/>
                <w:sz w:val="21"/>
                <w:szCs w:val="21"/>
              </w:rPr>
            </w:pPr>
            <w:r>
              <w:rPr>
                <w:rFonts w:hint="eastAsia"/>
                <w:sz w:val="21"/>
                <w:szCs w:val="21"/>
              </w:rPr>
            </w:r>
            <w:r/>
          </w:p>
        </w:tc>
        <w:tc>
          <w:tcPr>
            <w:tcBorders>
              <w:top w:val="single" w:color="000000" w:sz="4" w:space="0"/>
              <w:left w:val="single" w:color="000000" w:sz="4" w:space="0"/>
              <w:bottom w:val="single" w:color="000000" w:sz="2" w:space="0"/>
              <w:right w:val="single" w:color="000000" w:sz="4" w:space="0"/>
            </w:tcBorders>
            <w:tcW w:w="1438" w:type="dxa"/>
            <w:vAlign w:val="center"/>
            <w:textDirection w:val="lrTb"/>
            <w:noWrap w:val="false"/>
          </w:tcPr>
          <w:p>
            <w:pPr>
              <w:pStyle w:val="954"/>
              <w:ind w:firstLine="480"/>
              <w:jc w:val="center"/>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4" w:space="0"/>
            </w:tcBorders>
            <w:tcW w:w="1356" w:type="dxa"/>
            <w:vAlign w:val="center"/>
            <w:textDirection w:val="lrTb"/>
            <w:noWrap w:val="false"/>
          </w:tcPr>
          <w:p>
            <w:pPr>
              <w:pStyle w:val="954"/>
              <w:ind w:firstLine="480"/>
              <w:jc w:val="center"/>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4" w:space="0"/>
            </w:tcBorders>
            <w:tcW w:w="1942" w:type="dxa"/>
            <w:vAlign w:val="center"/>
            <w:textDirection w:val="lrTb"/>
            <w:noWrap w:val="false"/>
          </w:tcPr>
          <w:p>
            <w:pPr>
              <w:pStyle w:val="954"/>
              <w:ind w:firstLine="480"/>
              <w:jc w:val="center"/>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2" w:space="0"/>
            </w:tcBorders>
            <w:tcW w:w="1417" w:type="dxa"/>
            <w:vAlign w:val="center"/>
            <w:textDirection w:val="lrTb"/>
            <w:noWrap w:val="false"/>
          </w:tcPr>
          <w:p>
            <w:pPr>
              <w:pStyle w:val="954"/>
              <w:ind w:firstLine="480"/>
              <w:jc w:val="center"/>
              <w:rPr>
                <w:rFonts w:hint="eastAsia"/>
                <w:sz w:val="21"/>
                <w:szCs w:val="21"/>
              </w:rPr>
            </w:pPr>
            <w:r>
              <w:rPr>
                <w:rFonts w:hint="eastAsia"/>
                <w:sz w:val="21"/>
                <w:szCs w:val="21"/>
              </w:rPr>
            </w:r>
            <w:r/>
          </w:p>
        </w:tc>
      </w:tr>
      <w:tr>
        <w:trPr>
          <w:trHeight w:val="567"/>
        </w:trPr>
        <w:tc>
          <w:tcPr>
            <w:tcBorders>
              <w:top w:val="single" w:color="000000" w:sz="4" w:space="0"/>
              <w:left w:val="single" w:color="000000" w:sz="2" w:space="0"/>
              <w:bottom w:val="single" w:color="000000" w:sz="2" w:space="0"/>
              <w:right w:val="single" w:color="000000" w:sz="2" w:space="0"/>
            </w:tcBorders>
            <w:tcW w:w="647" w:type="dxa"/>
            <w:vAlign w:val="center"/>
            <w:textDirection w:val="lrTb"/>
            <w:noWrap w:val="false"/>
          </w:tcPr>
          <w:p>
            <w:pPr>
              <w:pStyle w:val="954"/>
              <w:ind w:firstLine="240"/>
              <w:rPr>
                <w:rFonts w:hint="eastAsia"/>
                <w:sz w:val="21"/>
                <w:szCs w:val="21"/>
              </w:rPr>
            </w:pPr>
            <w:r>
              <w:rPr>
                <w:rFonts w:hint="eastAsia"/>
                <w:sz w:val="21"/>
                <w:szCs w:val="21"/>
              </w:rPr>
              <w:t xml:space="preserve">2</w:t>
            </w:r>
            <w:r/>
          </w:p>
        </w:tc>
        <w:tc>
          <w:tcPr>
            <w:tcBorders>
              <w:top w:val="single" w:color="000000" w:sz="4" w:space="0"/>
              <w:left w:val="single" w:color="000000" w:sz="4" w:space="0"/>
              <w:bottom w:val="single" w:color="000000" w:sz="2" w:space="0"/>
              <w:right w:val="single" w:color="000000" w:sz="4" w:space="0"/>
            </w:tcBorders>
            <w:tcW w:w="1346" w:type="dxa"/>
            <w:vAlign w:val="center"/>
            <w:textDirection w:val="lrTb"/>
            <w:noWrap w:val="false"/>
          </w:tcPr>
          <w:p>
            <w:pPr>
              <w:pStyle w:val="954"/>
              <w:jc w:val="center"/>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2" w:space="0"/>
            </w:tcBorders>
            <w:tcW w:w="1553" w:type="dxa"/>
            <w:vAlign w:val="center"/>
            <w:textDirection w:val="lrTb"/>
            <w:noWrap w:val="false"/>
          </w:tcPr>
          <w:p>
            <w:pPr>
              <w:pStyle w:val="954"/>
              <w:ind w:firstLine="480"/>
              <w:jc w:val="center"/>
              <w:rPr>
                <w:rFonts w:hint="eastAsia"/>
                <w:sz w:val="21"/>
                <w:szCs w:val="21"/>
              </w:rPr>
            </w:pPr>
            <w:r>
              <w:rPr>
                <w:rFonts w:hint="eastAsia"/>
                <w:sz w:val="21"/>
                <w:szCs w:val="21"/>
              </w:rPr>
            </w:r>
            <w:r/>
          </w:p>
        </w:tc>
        <w:tc>
          <w:tcPr>
            <w:tcBorders>
              <w:top w:val="single" w:color="000000" w:sz="4" w:space="0"/>
              <w:left w:val="single" w:color="000000" w:sz="4" w:space="0"/>
              <w:bottom w:val="single" w:color="000000" w:sz="2" w:space="0"/>
              <w:right w:val="single" w:color="000000" w:sz="4" w:space="0"/>
            </w:tcBorders>
            <w:tcW w:w="1438" w:type="dxa"/>
            <w:vAlign w:val="center"/>
            <w:textDirection w:val="lrTb"/>
            <w:noWrap w:val="false"/>
          </w:tcPr>
          <w:p>
            <w:pPr>
              <w:pStyle w:val="954"/>
              <w:ind w:firstLine="480"/>
              <w:jc w:val="center"/>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4" w:space="0"/>
            </w:tcBorders>
            <w:tcW w:w="1356" w:type="dxa"/>
            <w:vAlign w:val="center"/>
            <w:textDirection w:val="lrTb"/>
            <w:noWrap w:val="false"/>
          </w:tcPr>
          <w:p>
            <w:pPr>
              <w:pStyle w:val="954"/>
              <w:ind w:firstLine="480"/>
              <w:jc w:val="center"/>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4" w:space="0"/>
            </w:tcBorders>
            <w:tcW w:w="1942" w:type="dxa"/>
            <w:vAlign w:val="center"/>
            <w:textDirection w:val="lrTb"/>
            <w:noWrap w:val="false"/>
          </w:tcPr>
          <w:p>
            <w:pPr>
              <w:pStyle w:val="954"/>
              <w:ind w:firstLine="480"/>
              <w:jc w:val="center"/>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2" w:space="0"/>
            </w:tcBorders>
            <w:tcW w:w="1417" w:type="dxa"/>
            <w:vAlign w:val="center"/>
            <w:textDirection w:val="lrTb"/>
            <w:noWrap w:val="false"/>
          </w:tcPr>
          <w:p>
            <w:pPr>
              <w:pStyle w:val="954"/>
              <w:ind w:firstLine="480"/>
              <w:jc w:val="center"/>
              <w:rPr>
                <w:rFonts w:hint="eastAsia"/>
                <w:sz w:val="21"/>
                <w:szCs w:val="21"/>
              </w:rPr>
            </w:pPr>
            <w:r>
              <w:rPr>
                <w:rFonts w:hint="eastAsia"/>
                <w:sz w:val="21"/>
                <w:szCs w:val="21"/>
              </w:rPr>
            </w:r>
            <w:r/>
          </w:p>
        </w:tc>
      </w:tr>
      <w:tr>
        <w:trPr>
          <w:trHeight w:val="567"/>
        </w:trPr>
        <w:tc>
          <w:tcPr>
            <w:tcBorders>
              <w:top w:val="single" w:color="000000" w:sz="4" w:space="0"/>
              <w:left w:val="single" w:color="000000" w:sz="2" w:space="0"/>
              <w:bottom w:val="single" w:color="000000" w:sz="2" w:space="0"/>
              <w:right w:val="single" w:color="000000" w:sz="2" w:space="0"/>
            </w:tcBorders>
            <w:tcW w:w="647" w:type="dxa"/>
            <w:vAlign w:val="center"/>
            <w:textDirection w:val="lrTb"/>
            <w:noWrap w:val="false"/>
          </w:tcPr>
          <w:p>
            <w:pPr>
              <w:pStyle w:val="954"/>
              <w:ind w:firstLine="240"/>
              <w:rPr>
                <w:rFonts w:hint="eastAsia"/>
                <w:sz w:val="21"/>
                <w:szCs w:val="21"/>
              </w:rPr>
            </w:pPr>
            <w:r>
              <w:rPr>
                <w:rFonts w:hint="eastAsia"/>
                <w:sz w:val="21"/>
                <w:szCs w:val="21"/>
              </w:rPr>
              <w:t xml:space="preserve">3</w:t>
            </w:r>
            <w:r/>
          </w:p>
        </w:tc>
        <w:tc>
          <w:tcPr>
            <w:tcBorders>
              <w:top w:val="single" w:color="000000" w:sz="4" w:space="0"/>
              <w:left w:val="single" w:color="000000" w:sz="4" w:space="0"/>
              <w:bottom w:val="single" w:color="000000" w:sz="2" w:space="0"/>
              <w:right w:val="single" w:color="000000" w:sz="4" w:space="0"/>
            </w:tcBorders>
            <w:tcW w:w="1346" w:type="dxa"/>
            <w:vAlign w:val="center"/>
            <w:textDirection w:val="lrTb"/>
            <w:noWrap w:val="false"/>
          </w:tcPr>
          <w:p>
            <w:pPr>
              <w:pStyle w:val="954"/>
              <w:jc w:val="center"/>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2" w:space="0"/>
            </w:tcBorders>
            <w:tcW w:w="1553" w:type="dxa"/>
            <w:vAlign w:val="center"/>
            <w:textDirection w:val="lrTb"/>
            <w:noWrap w:val="false"/>
          </w:tcPr>
          <w:p>
            <w:pPr>
              <w:pStyle w:val="954"/>
              <w:ind w:firstLine="480"/>
              <w:jc w:val="center"/>
              <w:rPr>
                <w:rFonts w:hint="eastAsia"/>
                <w:sz w:val="21"/>
                <w:szCs w:val="21"/>
              </w:rPr>
            </w:pPr>
            <w:r>
              <w:rPr>
                <w:rFonts w:hint="eastAsia"/>
                <w:sz w:val="21"/>
                <w:szCs w:val="21"/>
              </w:rPr>
            </w:r>
            <w:r/>
          </w:p>
        </w:tc>
        <w:tc>
          <w:tcPr>
            <w:tcBorders>
              <w:top w:val="single" w:color="000000" w:sz="4" w:space="0"/>
              <w:left w:val="single" w:color="000000" w:sz="4" w:space="0"/>
              <w:bottom w:val="single" w:color="000000" w:sz="2" w:space="0"/>
              <w:right w:val="single" w:color="000000" w:sz="4" w:space="0"/>
            </w:tcBorders>
            <w:tcW w:w="1438" w:type="dxa"/>
            <w:vAlign w:val="center"/>
            <w:textDirection w:val="lrTb"/>
            <w:noWrap w:val="false"/>
          </w:tcPr>
          <w:p>
            <w:pPr>
              <w:pStyle w:val="954"/>
              <w:ind w:firstLine="480"/>
              <w:jc w:val="center"/>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4" w:space="0"/>
            </w:tcBorders>
            <w:tcW w:w="1356" w:type="dxa"/>
            <w:vAlign w:val="center"/>
            <w:textDirection w:val="lrTb"/>
            <w:noWrap w:val="false"/>
          </w:tcPr>
          <w:p>
            <w:pPr>
              <w:pStyle w:val="954"/>
              <w:ind w:firstLine="480"/>
              <w:jc w:val="center"/>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4" w:space="0"/>
            </w:tcBorders>
            <w:tcW w:w="1942" w:type="dxa"/>
            <w:vAlign w:val="center"/>
            <w:textDirection w:val="lrTb"/>
            <w:noWrap w:val="false"/>
          </w:tcPr>
          <w:p>
            <w:pPr>
              <w:pStyle w:val="954"/>
              <w:ind w:firstLine="480"/>
              <w:jc w:val="center"/>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2" w:space="0"/>
            </w:tcBorders>
            <w:tcW w:w="1417" w:type="dxa"/>
            <w:vAlign w:val="center"/>
            <w:textDirection w:val="lrTb"/>
            <w:noWrap w:val="false"/>
          </w:tcPr>
          <w:p>
            <w:pPr>
              <w:pStyle w:val="954"/>
              <w:ind w:firstLine="480"/>
              <w:jc w:val="center"/>
              <w:rPr>
                <w:rFonts w:hint="eastAsia"/>
                <w:sz w:val="21"/>
                <w:szCs w:val="21"/>
              </w:rPr>
            </w:pPr>
            <w:r>
              <w:rPr>
                <w:rFonts w:hint="eastAsia"/>
                <w:sz w:val="21"/>
                <w:szCs w:val="21"/>
              </w:rPr>
            </w:r>
            <w:r/>
          </w:p>
        </w:tc>
      </w:tr>
      <w:tr>
        <w:trPr>
          <w:trHeight w:val="567"/>
        </w:trPr>
        <w:tc>
          <w:tcPr>
            <w:tcBorders>
              <w:top w:val="single" w:color="000000" w:sz="4" w:space="0"/>
              <w:left w:val="single" w:color="000000" w:sz="2" w:space="0"/>
              <w:bottom w:val="single" w:color="000000" w:sz="2" w:space="0"/>
              <w:right w:val="single" w:color="000000" w:sz="2" w:space="0"/>
            </w:tcBorders>
            <w:tcW w:w="647" w:type="dxa"/>
            <w:vAlign w:val="center"/>
            <w:textDirection w:val="lrTb"/>
            <w:noWrap w:val="false"/>
          </w:tcPr>
          <w:p>
            <w:pPr>
              <w:pStyle w:val="954"/>
              <w:ind w:firstLine="480"/>
              <w:rPr>
                <w:rFonts w:hint="eastAsia"/>
                <w:sz w:val="21"/>
                <w:szCs w:val="21"/>
              </w:rPr>
            </w:pPr>
            <w:r>
              <w:rPr>
                <w:rFonts w:hint="eastAsia"/>
                <w:sz w:val="21"/>
                <w:szCs w:val="21"/>
              </w:rPr>
            </w:r>
            <w:r/>
          </w:p>
        </w:tc>
        <w:tc>
          <w:tcPr>
            <w:tcBorders>
              <w:top w:val="single" w:color="000000" w:sz="4" w:space="0"/>
              <w:left w:val="single" w:color="000000" w:sz="4" w:space="0"/>
              <w:bottom w:val="single" w:color="000000" w:sz="2" w:space="0"/>
              <w:right w:val="single" w:color="000000" w:sz="4" w:space="0"/>
            </w:tcBorders>
            <w:tcW w:w="1346" w:type="dxa"/>
            <w:vAlign w:val="center"/>
            <w:textDirection w:val="lrTb"/>
            <w:noWrap w:val="false"/>
          </w:tcPr>
          <w:p>
            <w:pPr>
              <w:pStyle w:val="954"/>
              <w:ind w:firstLine="480"/>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2" w:space="0"/>
            </w:tcBorders>
            <w:tcW w:w="1553" w:type="dxa"/>
            <w:vAlign w:val="center"/>
            <w:textDirection w:val="lrTb"/>
            <w:noWrap w:val="false"/>
          </w:tcPr>
          <w:p>
            <w:pPr>
              <w:pStyle w:val="954"/>
              <w:ind w:firstLine="480"/>
              <w:rPr>
                <w:rFonts w:hint="eastAsia"/>
                <w:sz w:val="21"/>
                <w:szCs w:val="21"/>
              </w:rPr>
            </w:pPr>
            <w:r>
              <w:rPr>
                <w:rFonts w:hint="eastAsia"/>
                <w:sz w:val="21"/>
                <w:szCs w:val="21"/>
              </w:rPr>
            </w:r>
            <w:r/>
          </w:p>
        </w:tc>
        <w:tc>
          <w:tcPr>
            <w:tcBorders>
              <w:top w:val="single" w:color="000000" w:sz="4" w:space="0"/>
              <w:left w:val="single" w:color="000000" w:sz="4" w:space="0"/>
              <w:bottom w:val="single" w:color="000000" w:sz="2" w:space="0"/>
              <w:right w:val="single" w:color="000000" w:sz="4" w:space="0"/>
            </w:tcBorders>
            <w:tcW w:w="1438" w:type="dxa"/>
            <w:vAlign w:val="center"/>
            <w:textDirection w:val="lrTb"/>
            <w:noWrap w:val="false"/>
          </w:tcPr>
          <w:p>
            <w:pPr>
              <w:pStyle w:val="954"/>
              <w:ind w:firstLine="480"/>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4" w:space="0"/>
            </w:tcBorders>
            <w:tcW w:w="1356" w:type="dxa"/>
            <w:vAlign w:val="center"/>
            <w:textDirection w:val="lrTb"/>
            <w:noWrap w:val="false"/>
          </w:tcPr>
          <w:p>
            <w:pPr>
              <w:pStyle w:val="954"/>
              <w:ind w:firstLine="480"/>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4" w:space="0"/>
            </w:tcBorders>
            <w:tcW w:w="1942" w:type="dxa"/>
            <w:vAlign w:val="center"/>
            <w:textDirection w:val="lrTb"/>
            <w:noWrap w:val="false"/>
          </w:tcPr>
          <w:p>
            <w:pPr>
              <w:pStyle w:val="954"/>
              <w:ind w:firstLine="480"/>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2" w:space="0"/>
            </w:tcBorders>
            <w:tcW w:w="1417" w:type="dxa"/>
            <w:vAlign w:val="center"/>
            <w:textDirection w:val="lrTb"/>
            <w:noWrap w:val="false"/>
          </w:tcPr>
          <w:p>
            <w:pPr>
              <w:pStyle w:val="954"/>
              <w:ind w:firstLine="480"/>
              <w:rPr>
                <w:rFonts w:hint="eastAsia"/>
                <w:sz w:val="21"/>
                <w:szCs w:val="21"/>
              </w:rPr>
            </w:pPr>
            <w:r>
              <w:rPr>
                <w:rFonts w:hint="eastAsia"/>
                <w:sz w:val="21"/>
                <w:szCs w:val="21"/>
              </w:rPr>
            </w:r>
            <w:r/>
          </w:p>
        </w:tc>
      </w:tr>
      <w:tr>
        <w:trPr>
          <w:trHeight w:val="567"/>
        </w:trPr>
        <w:tc>
          <w:tcPr>
            <w:tcBorders>
              <w:top w:val="single" w:color="000000" w:sz="4" w:space="0"/>
              <w:left w:val="single" w:color="000000" w:sz="2" w:space="0"/>
              <w:bottom w:val="single" w:color="000000" w:sz="2" w:space="0"/>
              <w:right w:val="single" w:color="000000" w:sz="2" w:space="0"/>
            </w:tcBorders>
            <w:tcW w:w="647" w:type="dxa"/>
            <w:vAlign w:val="center"/>
            <w:textDirection w:val="lrTb"/>
            <w:noWrap w:val="false"/>
          </w:tcPr>
          <w:p>
            <w:pPr>
              <w:pStyle w:val="954"/>
              <w:ind w:firstLine="480"/>
              <w:rPr>
                <w:rFonts w:hint="eastAsia"/>
                <w:sz w:val="21"/>
                <w:szCs w:val="21"/>
              </w:rPr>
            </w:pPr>
            <w:r>
              <w:rPr>
                <w:rFonts w:hint="eastAsia"/>
                <w:sz w:val="21"/>
                <w:szCs w:val="21"/>
              </w:rPr>
            </w:r>
            <w:r/>
          </w:p>
        </w:tc>
        <w:tc>
          <w:tcPr>
            <w:tcBorders>
              <w:top w:val="single" w:color="000000" w:sz="4" w:space="0"/>
              <w:left w:val="single" w:color="000000" w:sz="4" w:space="0"/>
              <w:bottom w:val="single" w:color="000000" w:sz="2" w:space="0"/>
              <w:right w:val="single" w:color="000000" w:sz="4" w:space="0"/>
            </w:tcBorders>
            <w:tcW w:w="1346" w:type="dxa"/>
            <w:vAlign w:val="center"/>
            <w:textDirection w:val="lrTb"/>
            <w:noWrap w:val="false"/>
          </w:tcPr>
          <w:p>
            <w:pPr>
              <w:pStyle w:val="954"/>
              <w:ind w:firstLine="480"/>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2" w:space="0"/>
            </w:tcBorders>
            <w:tcW w:w="1553" w:type="dxa"/>
            <w:vAlign w:val="center"/>
            <w:textDirection w:val="lrTb"/>
            <w:noWrap w:val="false"/>
          </w:tcPr>
          <w:p>
            <w:pPr>
              <w:pStyle w:val="954"/>
              <w:ind w:firstLine="480"/>
              <w:rPr>
                <w:rFonts w:hint="eastAsia"/>
                <w:sz w:val="21"/>
                <w:szCs w:val="21"/>
              </w:rPr>
            </w:pPr>
            <w:r>
              <w:rPr>
                <w:rFonts w:hint="eastAsia"/>
                <w:sz w:val="21"/>
                <w:szCs w:val="21"/>
              </w:rPr>
            </w:r>
            <w:r/>
          </w:p>
        </w:tc>
        <w:tc>
          <w:tcPr>
            <w:tcBorders>
              <w:top w:val="single" w:color="000000" w:sz="4" w:space="0"/>
              <w:left w:val="single" w:color="000000" w:sz="4" w:space="0"/>
              <w:bottom w:val="single" w:color="000000" w:sz="2" w:space="0"/>
              <w:right w:val="single" w:color="000000" w:sz="4" w:space="0"/>
            </w:tcBorders>
            <w:tcW w:w="1438" w:type="dxa"/>
            <w:vAlign w:val="center"/>
            <w:textDirection w:val="lrTb"/>
            <w:noWrap w:val="false"/>
          </w:tcPr>
          <w:p>
            <w:pPr>
              <w:pStyle w:val="954"/>
              <w:ind w:firstLine="480"/>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4" w:space="0"/>
            </w:tcBorders>
            <w:tcW w:w="1356" w:type="dxa"/>
            <w:vAlign w:val="center"/>
            <w:textDirection w:val="lrTb"/>
            <w:noWrap w:val="false"/>
          </w:tcPr>
          <w:p>
            <w:pPr>
              <w:pStyle w:val="954"/>
              <w:ind w:firstLine="480"/>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4" w:space="0"/>
            </w:tcBorders>
            <w:tcW w:w="1942" w:type="dxa"/>
            <w:vAlign w:val="center"/>
            <w:textDirection w:val="lrTb"/>
            <w:noWrap w:val="false"/>
          </w:tcPr>
          <w:p>
            <w:pPr>
              <w:pStyle w:val="954"/>
              <w:ind w:firstLine="480"/>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2" w:space="0"/>
            </w:tcBorders>
            <w:tcW w:w="1417" w:type="dxa"/>
            <w:vAlign w:val="center"/>
            <w:textDirection w:val="lrTb"/>
            <w:noWrap w:val="false"/>
          </w:tcPr>
          <w:p>
            <w:pPr>
              <w:pStyle w:val="954"/>
              <w:ind w:firstLine="480"/>
              <w:rPr>
                <w:rFonts w:hint="eastAsia"/>
                <w:sz w:val="21"/>
                <w:szCs w:val="21"/>
              </w:rPr>
            </w:pPr>
            <w:r>
              <w:rPr>
                <w:rFonts w:hint="eastAsia"/>
                <w:sz w:val="21"/>
                <w:szCs w:val="21"/>
              </w:rPr>
            </w:r>
            <w:r/>
          </w:p>
        </w:tc>
      </w:tr>
      <w:tr>
        <w:trPr>
          <w:trHeight w:val="567"/>
        </w:trPr>
        <w:tc>
          <w:tcPr>
            <w:tcBorders>
              <w:top w:val="single" w:color="000000" w:sz="4" w:space="0"/>
              <w:left w:val="single" w:color="000000" w:sz="2" w:space="0"/>
              <w:bottom w:val="single" w:color="000000" w:sz="2" w:space="0"/>
              <w:right w:val="single" w:color="000000" w:sz="2" w:space="0"/>
            </w:tcBorders>
            <w:tcW w:w="647" w:type="dxa"/>
            <w:vAlign w:val="center"/>
            <w:textDirection w:val="lrTb"/>
            <w:noWrap w:val="false"/>
          </w:tcPr>
          <w:p>
            <w:pPr>
              <w:pStyle w:val="954"/>
              <w:ind w:firstLine="480"/>
              <w:rPr>
                <w:rFonts w:hint="eastAsia"/>
                <w:sz w:val="21"/>
                <w:szCs w:val="21"/>
              </w:rPr>
            </w:pPr>
            <w:r>
              <w:rPr>
                <w:rFonts w:hint="eastAsia"/>
                <w:sz w:val="21"/>
                <w:szCs w:val="21"/>
              </w:rPr>
            </w:r>
            <w:r/>
          </w:p>
        </w:tc>
        <w:tc>
          <w:tcPr>
            <w:tcBorders>
              <w:top w:val="single" w:color="000000" w:sz="4" w:space="0"/>
              <w:left w:val="single" w:color="000000" w:sz="4" w:space="0"/>
              <w:bottom w:val="single" w:color="000000" w:sz="2" w:space="0"/>
              <w:right w:val="single" w:color="000000" w:sz="4" w:space="0"/>
            </w:tcBorders>
            <w:tcW w:w="1346" w:type="dxa"/>
            <w:vAlign w:val="center"/>
            <w:textDirection w:val="lrTb"/>
            <w:noWrap w:val="false"/>
          </w:tcPr>
          <w:p>
            <w:pPr>
              <w:pStyle w:val="954"/>
              <w:ind w:firstLine="480"/>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2" w:space="0"/>
            </w:tcBorders>
            <w:tcW w:w="1553" w:type="dxa"/>
            <w:vAlign w:val="center"/>
            <w:textDirection w:val="lrTb"/>
            <w:noWrap w:val="false"/>
          </w:tcPr>
          <w:p>
            <w:pPr>
              <w:pStyle w:val="954"/>
              <w:ind w:firstLine="480"/>
              <w:rPr>
                <w:rFonts w:hint="eastAsia"/>
                <w:sz w:val="21"/>
                <w:szCs w:val="21"/>
              </w:rPr>
            </w:pPr>
            <w:r>
              <w:rPr>
                <w:rFonts w:hint="eastAsia"/>
                <w:sz w:val="21"/>
                <w:szCs w:val="21"/>
              </w:rPr>
            </w:r>
            <w:r/>
          </w:p>
        </w:tc>
        <w:tc>
          <w:tcPr>
            <w:tcBorders>
              <w:top w:val="single" w:color="000000" w:sz="4" w:space="0"/>
              <w:left w:val="single" w:color="000000" w:sz="4" w:space="0"/>
              <w:bottom w:val="single" w:color="000000" w:sz="2" w:space="0"/>
              <w:right w:val="single" w:color="000000" w:sz="4" w:space="0"/>
            </w:tcBorders>
            <w:tcW w:w="1438" w:type="dxa"/>
            <w:vAlign w:val="center"/>
            <w:textDirection w:val="lrTb"/>
            <w:noWrap w:val="false"/>
          </w:tcPr>
          <w:p>
            <w:pPr>
              <w:pStyle w:val="954"/>
              <w:ind w:firstLine="480"/>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4" w:space="0"/>
            </w:tcBorders>
            <w:tcW w:w="1356" w:type="dxa"/>
            <w:vAlign w:val="center"/>
            <w:textDirection w:val="lrTb"/>
            <w:noWrap w:val="false"/>
          </w:tcPr>
          <w:p>
            <w:pPr>
              <w:pStyle w:val="954"/>
              <w:ind w:firstLine="480"/>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4" w:space="0"/>
            </w:tcBorders>
            <w:tcW w:w="1942" w:type="dxa"/>
            <w:vAlign w:val="center"/>
            <w:textDirection w:val="lrTb"/>
            <w:noWrap w:val="false"/>
          </w:tcPr>
          <w:p>
            <w:pPr>
              <w:pStyle w:val="954"/>
              <w:ind w:firstLine="480"/>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2" w:space="0"/>
            </w:tcBorders>
            <w:tcW w:w="1417" w:type="dxa"/>
            <w:vAlign w:val="center"/>
            <w:textDirection w:val="lrTb"/>
            <w:noWrap w:val="false"/>
          </w:tcPr>
          <w:p>
            <w:pPr>
              <w:pStyle w:val="954"/>
              <w:ind w:firstLine="480"/>
              <w:rPr>
                <w:rFonts w:hint="eastAsia"/>
                <w:sz w:val="21"/>
                <w:szCs w:val="21"/>
              </w:rPr>
            </w:pPr>
            <w:r>
              <w:rPr>
                <w:rFonts w:hint="eastAsia"/>
                <w:sz w:val="21"/>
                <w:szCs w:val="21"/>
              </w:rPr>
            </w:r>
            <w:r/>
          </w:p>
        </w:tc>
      </w:tr>
      <w:tr>
        <w:trPr>
          <w:trHeight w:val="567"/>
        </w:trPr>
        <w:tc>
          <w:tcPr>
            <w:tcBorders>
              <w:top w:val="single" w:color="000000" w:sz="4" w:space="0"/>
              <w:left w:val="single" w:color="000000" w:sz="2" w:space="0"/>
              <w:bottom w:val="single" w:color="000000" w:sz="2" w:space="0"/>
              <w:right w:val="single" w:color="000000" w:sz="2" w:space="0"/>
            </w:tcBorders>
            <w:tcW w:w="647" w:type="dxa"/>
            <w:vAlign w:val="center"/>
            <w:textDirection w:val="lrTb"/>
            <w:noWrap w:val="false"/>
          </w:tcPr>
          <w:p>
            <w:pPr>
              <w:pStyle w:val="954"/>
              <w:ind w:firstLine="480"/>
              <w:rPr>
                <w:rFonts w:hint="eastAsia"/>
                <w:sz w:val="21"/>
                <w:szCs w:val="21"/>
              </w:rPr>
            </w:pPr>
            <w:r>
              <w:rPr>
                <w:rFonts w:hint="eastAsia"/>
                <w:sz w:val="21"/>
                <w:szCs w:val="21"/>
              </w:rPr>
            </w:r>
            <w:r/>
          </w:p>
        </w:tc>
        <w:tc>
          <w:tcPr>
            <w:tcBorders>
              <w:top w:val="single" w:color="000000" w:sz="4" w:space="0"/>
              <w:left w:val="single" w:color="000000" w:sz="4" w:space="0"/>
              <w:bottom w:val="single" w:color="000000" w:sz="2" w:space="0"/>
              <w:right w:val="single" w:color="000000" w:sz="4" w:space="0"/>
            </w:tcBorders>
            <w:tcW w:w="1346" w:type="dxa"/>
            <w:vAlign w:val="center"/>
            <w:textDirection w:val="lrTb"/>
            <w:noWrap w:val="false"/>
          </w:tcPr>
          <w:p>
            <w:pPr>
              <w:pStyle w:val="954"/>
              <w:ind w:firstLine="480"/>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2" w:space="0"/>
            </w:tcBorders>
            <w:tcW w:w="1553" w:type="dxa"/>
            <w:vAlign w:val="center"/>
            <w:textDirection w:val="lrTb"/>
            <w:noWrap w:val="false"/>
          </w:tcPr>
          <w:p>
            <w:pPr>
              <w:pStyle w:val="954"/>
              <w:ind w:firstLine="480"/>
              <w:rPr>
                <w:rFonts w:hint="eastAsia"/>
                <w:sz w:val="21"/>
                <w:szCs w:val="21"/>
              </w:rPr>
            </w:pPr>
            <w:r>
              <w:rPr>
                <w:rFonts w:hint="eastAsia"/>
                <w:sz w:val="21"/>
                <w:szCs w:val="21"/>
              </w:rPr>
            </w:r>
            <w:r/>
          </w:p>
        </w:tc>
        <w:tc>
          <w:tcPr>
            <w:tcBorders>
              <w:top w:val="single" w:color="000000" w:sz="4" w:space="0"/>
              <w:left w:val="single" w:color="000000" w:sz="4" w:space="0"/>
              <w:bottom w:val="single" w:color="000000" w:sz="2" w:space="0"/>
              <w:right w:val="single" w:color="000000" w:sz="4" w:space="0"/>
            </w:tcBorders>
            <w:tcW w:w="1438" w:type="dxa"/>
            <w:vAlign w:val="center"/>
            <w:textDirection w:val="lrTb"/>
            <w:noWrap w:val="false"/>
          </w:tcPr>
          <w:p>
            <w:pPr>
              <w:pStyle w:val="954"/>
              <w:ind w:firstLine="480"/>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4" w:space="0"/>
            </w:tcBorders>
            <w:tcW w:w="1356" w:type="dxa"/>
            <w:vAlign w:val="center"/>
            <w:textDirection w:val="lrTb"/>
            <w:noWrap w:val="false"/>
          </w:tcPr>
          <w:p>
            <w:pPr>
              <w:pStyle w:val="954"/>
              <w:ind w:firstLine="480"/>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4" w:space="0"/>
            </w:tcBorders>
            <w:tcW w:w="1942" w:type="dxa"/>
            <w:vAlign w:val="center"/>
            <w:textDirection w:val="lrTb"/>
            <w:noWrap w:val="false"/>
          </w:tcPr>
          <w:p>
            <w:pPr>
              <w:pStyle w:val="954"/>
              <w:ind w:firstLine="480"/>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2" w:space="0"/>
            </w:tcBorders>
            <w:tcW w:w="1417" w:type="dxa"/>
            <w:vAlign w:val="center"/>
            <w:textDirection w:val="lrTb"/>
            <w:noWrap w:val="false"/>
          </w:tcPr>
          <w:p>
            <w:pPr>
              <w:pStyle w:val="954"/>
              <w:ind w:firstLine="480"/>
              <w:rPr>
                <w:rFonts w:hint="eastAsia"/>
                <w:sz w:val="21"/>
                <w:szCs w:val="21"/>
              </w:rPr>
            </w:pPr>
            <w:r>
              <w:rPr>
                <w:rFonts w:hint="eastAsia"/>
                <w:sz w:val="21"/>
                <w:szCs w:val="21"/>
              </w:rPr>
            </w:r>
            <w:r/>
          </w:p>
        </w:tc>
      </w:tr>
      <w:tr>
        <w:trPr>
          <w:trHeight w:val="567"/>
        </w:trPr>
        <w:tc>
          <w:tcPr>
            <w:tcBorders>
              <w:top w:val="single" w:color="000000" w:sz="4" w:space="0"/>
              <w:left w:val="single" w:color="000000" w:sz="2" w:space="0"/>
              <w:bottom w:val="single" w:color="000000" w:sz="2" w:space="0"/>
              <w:right w:val="single" w:color="000000" w:sz="2" w:space="0"/>
            </w:tcBorders>
            <w:tcW w:w="647" w:type="dxa"/>
            <w:vAlign w:val="center"/>
            <w:textDirection w:val="lrTb"/>
            <w:noWrap w:val="false"/>
          </w:tcPr>
          <w:p>
            <w:pPr>
              <w:pStyle w:val="954"/>
              <w:ind w:firstLine="480"/>
              <w:rPr>
                <w:rFonts w:hint="eastAsia"/>
                <w:sz w:val="21"/>
                <w:szCs w:val="21"/>
              </w:rPr>
            </w:pPr>
            <w:r>
              <w:rPr>
                <w:rFonts w:hint="eastAsia"/>
                <w:sz w:val="21"/>
                <w:szCs w:val="21"/>
              </w:rPr>
            </w:r>
            <w:r/>
          </w:p>
        </w:tc>
        <w:tc>
          <w:tcPr>
            <w:tcBorders>
              <w:top w:val="single" w:color="000000" w:sz="4" w:space="0"/>
              <w:left w:val="single" w:color="000000" w:sz="4" w:space="0"/>
              <w:bottom w:val="single" w:color="000000" w:sz="2" w:space="0"/>
              <w:right w:val="single" w:color="000000" w:sz="4" w:space="0"/>
            </w:tcBorders>
            <w:tcW w:w="1346" w:type="dxa"/>
            <w:vAlign w:val="center"/>
            <w:textDirection w:val="lrTb"/>
            <w:noWrap w:val="false"/>
          </w:tcPr>
          <w:p>
            <w:pPr>
              <w:pStyle w:val="954"/>
              <w:ind w:firstLine="480"/>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2" w:space="0"/>
            </w:tcBorders>
            <w:tcW w:w="1553" w:type="dxa"/>
            <w:vAlign w:val="center"/>
            <w:textDirection w:val="lrTb"/>
            <w:noWrap w:val="false"/>
          </w:tcPr>
          <w:p>
            <w:pPr>
              <w:pStyle w:val="954"/>
              <w:ind w:firstLine="480"/>
              <w:rPr>
                <w:rFonts w:hint="eastAsia"/>
                <w:sz w:val="21"/>
                <w:szCs w:val="21"/>
              </w:rPr>
            </w:pPr>
            <w:r>
              <w:rPr>
                <w:rFonts w:hint="eastAsia"/>
                <w:sz w:val="21"/>
                <w:szCs w:val="21"/>
              </w:rPr>
            </w:r>
            <w:r/>
          </w:p>
        </w:tc>
        <w:tc>
          <w:tcPr>
            <w:tcBorders>
              <w:top w:val="single" w:color="000000" w:sz="4" w:space="0"/>
              <w:left w:val="single" w:color="000000" w:sz="4" w:space="0"/>
              <w:bottom w:val="single" w:color="000000" w:sz="2" w:space="0"/>
              <w:right w:val="single" w:color="000000" w:sz="4" w:space="0"/>
            </w:tcBorders>
            <w:tcW w:w="1438" w:type="dxa"/>
            <w:vAlign w:val="center"/>
            <w:textDirection w:val="lrTb"/>
            <w:noWrap w:val="false"/>
          </w:tcPr>
          <w:p>
            <w:pPr>
              <w:pStyle w:val="954"/>
              <w:ind w:firstLine="480"/>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4" w:space="0"/>
            </w:tcBorders>
            <w:tcW w:w="1356" w:type="dxa"/>
            <w:vAlign w:val="center"/>
            <w:textDirection w:val="lrTb"/>
            <w:noWrap w:val="false"/>
          </w:tcPr>
          <w:p>
            <w:pPr>
              <w:pStyle w:val="954"/>
              <w:ind w:firstLine="480"/>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4" w:space="0"/>
            </w:tcBorders>
            <w:tcW w:w="1942" w:type="dxa"/>
            <w:vAlign w:val="center"/>
            <w:textDirection w:val="lrTb"/>
            <w:noWrap w:val="false"/>
          </w:tcPr>
          <w:p>
            <w:pPr>
              <w:pStyle w:val="954"/>
              <w:ind w:firstLine="480"/>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2" w:space="0"/>
            </w:tcBorders>
            <w:tcW w:w="1417" w:type="dxa"/>
            <w:vAlign w:val="center"/>
            <w:textDirection w:val="lrTb"/>
            <w:noWrap w:val="false"/>
          </w:tcPr>
          <w:p>
            <w:pPr>
              <w:pStyle w:val="954"/>
              <w:ind w:firstLine="480"/>
              <w:rPr>
                <w:rFonts w:hint="eastAsia"/>
                <w:sz w:val="21"/>
                <w:szCs w:val="21"/>
              </w:rPr>
            </w:pPr>
            <w:r>
              <w:rPr>
                <w:rFonts w:hint="eastAsia"/>
                <w:sz w:val="21"/>
                <w:szCs w:val="21"/>
              </w:rPr>
            </w:r>
            <w:r/>
          </w:p>
        </w:tc>
      </w:tr>
      <w:tr>
        <w:trPr>
          <w:trHeight w:val="567"/>
        </w:trPr>
        <w:tc>
          <w:tcPr>
            <w:tcBorders>
              <w:top w:val="single" w:color="000000" w:sz="4" w:space="0"/>
              <w:left w:val="single" w:color="000000" w:sz="2" w:space="0"/>
              <w:bottom w:val="single" w:color="000000" w:sz="2" w:space="0"/>
              <w:right w:val="single" w:color="000000" w:sz="2" w:space="0"/>
            </w:tcBorders>
            <w:tcW w:w="647" w:type="dxa"/>
            <w:vAlign w:val="center"/>
            <w:textDirection w:val="lrTb"/>
            <w:noWrap w:val="false"/>
          </w:tcPr>
          <w:p>
            <w:pPr>
              <w:pStyle w:val="954"/>
              <w:ind w:firstLine="480"/>
              <w:rPr>
                <w:rFonts w:hint="eastAsia"/>
                <w:sz w:val="21"/>
                <w:szCs w:val="21"/>
              </w:rPr>
            </w:pPr>
            <w:r>
              <w:rPr>
                <w:rFonts w:hint="eastAsia"/>
                <w:sz w:val="21"/>
                <w:szCs w:val="21"/>
              </w:rPr>
            </w:r>
            <w:r/>
          </w:p>
        </w:tc>
        <w:tc>
          <w:tcPr>
            <w:tcBorders>
              <w:top w:val="single" w:color="000000" w:sz="4" w:space="0"/>
              <w:left w:val="single" w:color="000000" w:sz="4" w:space="0"/>
              <w:bottom w:val="single" w:color="000000" w:sz="2" w:space="0"/>
              <w:right w:val="single" w:color="000000" w:sz="4" w:space="0"/>
            </w:tcBorders>
            <w:tcW w:w="1346" w:type="dxa"/>
            <w:vAlign w:val="center"/>
            <w:textDirection w:val="lrTb"/>
            <w:noWrap w:val="false"/>
          </w:tcPr>
          <w:p>
            <w:pPr>
              <w:pStyle w:val="954"/>
              <w:ind w:firstLine="480"/>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2" w:space="0"/>
            </w:tcBorders>
            <w:tcW w:w="1553" w:type="dxa"/>
            <w:vAlign w:val="center"/>
            <w:textDirection w:val="lrTb"/>
            <w:noWrap w:val="false"/>
          </w:tcPr>
          <w:p>
            <w:pPr>
              <w:pStyle w:val="954"/>
              <w:ind w:firstLine="480"/>
              <w:rPr>
                <w:rFonts w:hint="eastAsia"/>
                <w:sz w:val="21"/>
                <w:szCs w:val="21"/>
              </w:rPr>
            </w:pPr>
            <w:r>
              <w:rPr>
                <w:rFonts w:hint="eastAsia"/>
                <w:sz w:val="21"/>
                <w:szCs w:val="21"/>
              </w:rPr>
            </w:r>
            <w:r/>
          </w:p>
        </w:tc>
        <w:tc>
          <w:tcPr>
            <w:tcBorders>
              <w:top w:val="single" w:color="000000" w:sz="4" w:space="0"/>
              <w:left w:val="single" w:color="000000" w:sz="4" w:space="0"/>
              <w:bottom w:val="single" w:color="000000" w:sz="2" w:space="0"/>
              <w:right w:val="single" w:color="000000" w:sz="4" w:space="0"/>
            </w:tcBorders>
            <w:tcW w:w="1438" w:type="dxa"/>
            <w:vAlign w:val="center"/>
            <w:textDirection w:val="lrTb"/>
            <w:noWrap w:val="false"/>
          </w:tcPr>
          <w:p>
            <w:pPr>
              <w:pStyle w:val="954"/>
              <w:ind w:firstLine="480"/>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4" w:space="0"/>
            </w:tcBorders>
            <w:tcW w:w="1356" w:type="dxa"/>
            <w:vAlign w:val="center"/>
            <w:textDirection w:val="lrTb"/>
            <w:noWrap w:val="false"/>
          </w:tcPr>
          <w:p>
            <w:pPr>
              <w:pStyle w:val="954"/>
              <w:ind w:firstLine="480"/>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4" w:space="0"/>
            </w:tcBorders>
            <w:tcW w:w="1942" w:type="dxa"/>
            <w:vAlign w:val="center"/>
            <w:textDirection w:val="lrTb"/>
            <w:noWrap w:val="false"/>
          </w:tcPr>
          <w:p>
            <w:pPr>
              <w:pStyle w:val="954"/>
              <w:ind w:firstLine="480"/>
              <w:rPr>
                <w:rFonts w:hint="eastAsia"/>
                <w:sz w:val="21"/>
                <w:szCs w:val="21"/>
              </w:rPr>
            </w:pPr>
            <w:r>
              <w:rPr>
                <w:rFonts w:hint="eastAsia"/>
                <w:sz w:val="21"/>
                <w:szCs w:val="21"/>
              </w:rPr>
            </w:r>
            <w:r/>
          </w:p>
        </w:tc>
        <w:tc>
          <w:tcPr>
            <w:tcBorders>
              <w:top w:val="single" w:color="000000" w:sz="4" w:space="0"/>
              <w:left w:val="none" w:color="000000" w:sz="4" w:space="0"/>
              <w:bottom w:val="single" w:color="000000" w:sz="2" w:space="0"/>
              <w:right w:val="single" w:color="000000" w:sz="2" w:space="0"/>
            </w:tcBorders>
            <w:tcW w:w="1417" w:type="dxa"/>
            <w:vAlign w:val="center"/>
            <w:textDirection w:val="lrTb"/>
            <w:noWrap w:val="false"/>
          </w:tcPr>
          <w:p>
            <w:pPr>
              <w:pStyle w:val="954"/>
              <w:ind w:firstLine="480"/>
              <w:rPr>
                <w:rFonts w:hint="eastAsia"/>
                <w:sz w:val="21"/>
                <w:szCs w:val="21"/>
              </w:rPr>
            </w:pPr>
            <w:r>
              <w:rPr>
                <w:rFonts w:hint="eastAsia"/>
                <w:sz w:val="21"/>
                <w:szCs w:val="21"/>
              </w:rPr>
            </w:r>
            <w:r/>
          </w:p>
        </w:tc>
      </w:tr>
    </w:tbl>
    <w:p>
      <w:pPr>
        <w:pStyle w:val="954"/>
        <w:ind w:firstLine="420"/>
        <w:spacing w:line="360" w:lineRule="auto"/>
        <w:rPr>
          <w:rFonts w:cs="宋体"/>
          <w:sz w:val="21"/>
          <w:szCs w:val="21"/>
          <w:lang w:eastAsia="en-US"/>
        </w:rPr>
      </w:pPr>
      <w:r>
        <w:rPr>
          <w:rFonts w:hint="eastAsia" w:cs="宋体"/>
          <w:sz w:val="21"/>
          <w:szCs w:val="21"/>
          <w:lang w:eastAsia="en-US"/>
        </w:rPr>
        <w:t xml:space="preserve">注</w:t>
      </w:r>
      <w:r>
        <w:rPr>
          <w:rFonts w:cs="宋体"/>
          <w:sz w:val="21"/>
          <w:szCs w:val="21"/>
          <w:lang w:eastAsia="en-US"/>
        </w:rPr>
        <w:t xml:space="preserve">：</w:t>
      </w:r>
      <w:r>
        <w:rPr>
          <w:rFonts w:hint="eastAsia" w:cs="宋体"/>
          <w:sz w:val="21"/>
          <w:szCs w:val="21"/>
          <w:lang w:eastAsia="en-US"/>
        </w:rPr>
        <w:t xml:space="preserve">按照招标文件要求及评分标准提供相应证明材料。</w:t>
      </w:r>
      <w:r>
        <w:rPr>
          <w:rFonts w:cs="宋体"/>
          <w:sz w:val="21"/>
          <w:szCs w:val="21"/>
          <w:lang w:eastAsia="en-US"/>
        </w:rPr>
      </w:r>
      <w:r/>
    </w:p>
    <w:p>
      <w:pPr>
        <w:pStyle w:val="954"/>
        <w:ind w:firstLine="420"/>
        <w:spacing w:line="360" w:lineRule="auto"/>
        <w:rPr>
          <w:rFonts w:hint="eastAsia" w:cs="宋体"/>
          <w:sz w:val="21"/>
          <w:szCs w:val="21"/>
          <w:lang w:eastAsia="en-US"/>
        </w:rPr>
      </w:pPr>
      <w:r>
        <w:rPr>
          <w:rFonts w:hint="eastAsia" w:cs="宋体"/>
          <w:sz w:val="21"/>
          <w:szCs w:val="21"/>
          <w:lang w:eastAsia="en-US"/>
        </w:rPr>
      </w:r>
      <w:r/>
    </w:p>
    <w:p>
      <w:pPr>
        <w:pStyle w:val="954"/>
        <w:jc w:val="left"/>
        <w:spacing w:line="400" w:lineRule="exact"/>
        <w:rPr>
          <w:rFonts w:hint="eastAsia" w:cs="宋体"/>
          <w:sz w:val="21"/>
          <w:szCs w:val="21"/>
        </w:rPr>
      </w:pPr>
      <w:r>
        <w:rPr>
          <w:rFonts w:hint="eastAsia" w:cs="宋体"/>
          <w:sz w:val="21"/>
          <w:szCs w:val="21"/>
        </w:rPr>
      </w:r>
      <w:r/>
    </w:p>
    <w:p>
      <w:pPr>
        <w:pStyle w:val="954"/>
        <w:ind w:firstLine="420"/>
        <w:jc w:val="left"/>
        <w:spacing w:line="400" w:lineRule="exact"/>
        <w:rPr>
          <w:rFonts w:cs="宋体"/>
          <w:sz w:val="21"/>
          <w:szCs w:val="21"/>
        </w:rPr>
      </w:pPr>
      <w:r>
        <w:rPr>
          <w:rFonts w:cs="宋体"/>
          <w:sz w:val="21"/>
          <w:szCs w:val="21"/>
        </w:rPr>
      </w:r>
      <w:r/>
    </w:p>
    <w:p>
      <w:pPr>
        <w:pStyle w:val="954"/>
        <w:ind w:firstLine="420"/>
        <w:jc w:val="left"/>
        <w:spacing w:line="400" w:lineRule="exact"/>
        <w:rPr>
          <w:rFonts w:hint="eastAsia" w:cs="宋体"/>
          <w:sz w:val="21"/>
          <w:szCs w:val="21"/>
        </w:rPr>
      </w:pPr>
      <w:r>
        <w:rPr>
          <w:rFonts w:hint="eastAsia" w:cs="宋体"/>
          <w:sz w:val="21"/>
          <w:szCs w:val="21"/>
        </w:rPr>
        <w:t xml:space="preserve">投标人名称：         （盖章）</w:t>
      </w:r>
      <w:r/>
    </w:p>
    <w:p>
      <w:pPr>
        <w:pStyle w:val="954"/>
        <w:ind w:firstLine="420"/>
        <w:jc w:val="left"/>
        <w:spacing w:line="400" w:lineRule="exact"/>
        <w:rPr>
          <w:rFonts w:hint="eastAsia" w:cs="宋体"/>
          <w:sz w:val="21"/>
          <w:szCs w:val="21"/>
        </w:rPr>
      </w:pPr>
      <w:r>
        <w:rPr>
          <w:rFonts w:hint="eastAsia" w:cs="宋体"/>
          <w:sz w:val="21"/>
          <w:szCs w:val="21"/>
        </w:rPr>
        <w:t xml:space="preserve">法定代表人或代理人（签字或盖章）</w:t>
      </w:r>
      <w:r>
        <w:rPr>
          <w:rFonts w:hint="eastAsia" w:cs="宋体"/>
          <w:bCs/>
          <w:sz w:val="21"/>
          <w:szCs w:val="21"/>
        </w:rPr>
        <w:t xml:space="preserve">：</w:t>
      </w:r>
      <w:r>
        <w:rPr>
          <w:rFonts w:hint="eastAsia" w:cs="宋体"/>
          <w:sz w:val="21"/>
          <w:szCs w:val="21"/>
        </w:rPr>
      </w:r>
      <w:r/>
    </w:p>
    <w:p>
      <w:pPr>
        <w:pStyle w:val="954"/>
        <w:ind w:firstLine="420"/>
        <w:jc w:val="left"/>
        <w:spacing w:line="400" w:lineRule="exact"/>
        <w:rPr>
          <w:rFonts w:hint="eastAsia" w:cs="宋体"/>
          <w:sz w:val="21"/>
          <w:szCs w:val="21"/>
        </w:rPr>
      </w:pPr>
      <w:r>
        <w:rPr>
          <w:rFonts w:hint="eastAsia" w:cs="宋体"/>
          <w:sz w:val="21"/>
          <w:szCs w:val="21"/>
        </w:rPr>
        <w:t xml:space="preserve">日期：           年  月  日</w:t>
      </w:r>
      <w:r/>
    </w:p>
    <w:p>
      <w:pPr>
        <w:pStyle w:val="954"/>
        <w:jc w:val="left"/>
        <w:spacing w:line="400" w:lineRule="exact"/>
        <w:rPr>
          <w:rFonts w:hint="eastAsia" w:cs="宋体"/>
          <w:b/>
          <w:bCs/>
          <w:sz w:val="21"/>
          <w:szCs w:val="21"/>
          <w:lang w:eastAsia="en-US"/>
        </w:rPr>
      </w:pPr>
      <w:r>
        <w:rPr>
          <w:rFonts w:hint="eastAsia" w:cs="宋体"/>
          <w:b/>
          <w:bCs/>
          <w:sz w:val="21"/>
          <w:szCs w:val="21"/>
        </w:rPr>
        <w:br w:type="page" w:clear="all"/>
      </w:r>
      <w:r>
        <w:rPr>
          <w:rFonts w:hint="eastAsia" w:cs="宋体"/>
          <w:b/>
          <w:bCs/>
          <w:sz w:val="21"/>
          <w:szCs w:val="21"/>
          <w:lang w:eastAsia="en-US"/>
        </w:rPr>
        <w:t xml:space="preserve">附件</w:t>
      </w:r>
      <w:r>
        <w:rPr>
          <w:rFonts w:cs="宋体"/>
          <w:b/>
          <w:bCs/>
          <w:sz w:val="21"/>
          <w:szCs w:val="21"/>
          <w:lang w:eastAsia="en-US"/>
        </w:rPr>
        <w:t xml:space="preserve">1</w:t>
      </w:r>
      <w:r>
        <w:rPr>
          <w:rFonts w:hint="eastAsia" w:cs="宋体"/>
          <w:b/>
          <w:bCs/>
          <w:sz w:val="21"/>
          <w:szCs w:val="21"/>
        </w:rPr>
        <w:t xml:space="preserve">1</w:t>
      </w:r>
      <w:r>
        <w:rPr>
          <w:rFonts w:cs="宋体"/>
          <w:b/>
          <w:bCs/>
          <w:sz w:val="21"/>
          <w:szCs w:val="21"/>
          <w:lang w:eastAsia="en-US"/>
        </w:rPr>
        <w:t xml:space="preserve">、</w:t>
      </w:r>
      <w:r>
        <w:rPr>
          <w:rFonts w:hint="eastAsia" w:cs="宋体"/>
          <w:b/>
          <w:bCs/>
          <w:sz w:val="21"/>
          <w:szCs w:val="21"/>
          <w:lang w:eastAsia="en-US"/>
        </w:rPr>
        <w:t xml:space="preserve">类似业绩一览表</w:t>
      </w:r>
      <w:r/>
    </w:p>
    <w:p>
      <w:pPr>
        <w:pStyle w:val="954"/>
        <w:jc w:val="left"/>
        <w:spacing w:line="400" w:lineRule="exact"/>
        <w:rPr>
          <w:rFonts w:hint="eastAsia" w:cs="宋体"/>
          <w:b/>
          <w:bCs/>
          <w:sz w:val="21"/>
          <w:szCs w:val="21"/>
          <w:lang w:eastAsia="en-US"/>
        </w:rPr>
      </w:pPr>
      <w:r>
        <w:rPr>
          <w:rFonts w:hint="eastAsia" w:cs="宋体"/>
          <w:b/>
          <w:bCs/>
          <w:sz w:val="21"/>
          <w:szCs w:val="21"/>
          <w:lang w:eastAsia="en-US"/>
        </w:rPr>
      </w:r>
      <w:r/>
    </w:p>
    <w:p>
      <w:pPr>
        <w:pStyle w:val="954"/>
        <w:jc w:val="center"/>
        <w:spacing w:line="400" w:lineRule="exact"/>
        <w:rPr>
          <w:rFonts w:hint="eastAsia" w:cs="宋体"/>
          <w:b/>
          <w:bCs/>
          <w:sz w:val="21"/>
          <w:szCs w:val="21"/>
          <w:lang w:eastAsia="en-US"/>
        </w:rPr>
      </w:pPr>
      <w:r>
        <w:rPr>
          <w:rFonts w:hint="eastAsia" w:cs="宋体"/>
          <w:b/>
          <w:bCs/>
          <w:sz w:val="21"/>
          <w:szCs w:val="21"/>
          <w:lang w:eastAsia="en-US"/>
        </w:rPr>
        <w:t xml:space="preserve">类似业绩一览表</w:t>
      </w:r>
      <w:r/>
    </w:p>
    <w:p>
      <w:pPr>
        <w:pStyle w:val="954"/>
        <w:jc w:val="center"/>
        <w:spacing w:line="400" w:lineRule="exact"/>
        <w:rPr>
          <w:rFonts w:hint="eastAsia" w:cs="宋体"/>
          <w:b/>
          <w:bCs/>
          <w:sz w:val="21"/>
          <w:szCs w:val="21"/>
          <w:lang w:eastAsia="en-US"/>
        </w:rPr>
      </w:pPr>
      <w:r>
        <w:rPr>
          <w:rFonts w:hint="eastAsia" w:cs="宋体"/>
          <w:b/>
          <w:bCs/>
          <w:sz w:val="21"/>
          <w:szCs w:val="21"/>
          <w:lang w:eastAsia="en-US"/>
        </w:rPr>
      </w:r>
      <w:r/>
    </w:p>
    <w:tbl>
      <w:tblPr>
        <w:tblW w:w="5000" w:type="pct"/>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066"/>
        <w:gridCol w:w="1722"/>
        <w:gridCol w:w="1722"/>
        <w:gridCol w:w="2049"/>
        <w:gridCol w:w="2222"/>
        <w:gridCol w:w="1139"/>
      </w:tblGrid>
      <w:tr>
        <w:trPr>
          <w:cantSplit/>
          <w:trHeight w:val="612"/>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969"/>
              <w:ind w:firstLine="0"/>
              <w:jc w:val="center"/>
              <w:rPr>
                <w:rFonts w:eastAsia="宋体"/>
                <w:bCs/>
                <w:sz w:val="21"/>
                <w:szCs w:val="21"/>
              </w:rPr>
            </w:pPr>
            <w:r>
              <w:rPr>
                <w:rFonts w:eastAsia="宋体"/>
                <w:bCs/>
                <w:sz w:val="21"/>
                <w:szCs w:val="21"/>
              </w:rPr>
              <w:t xml:space="preserve">序号</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9"/>
              <w:ind w:firstLine="0"/>
              <w:jc w:val="center"/>
              <w:rPr>
                <w:rFonts w:eastAsia="宋体"/>
                <w:bCs/>
                <w:sz w:val="21"/>
                <w:szCs w:val="21"/>
              </w:rPr>
            </w:pPr>
            <w:r>
              <w:rPr>
                <w:rFonts w:eastAsia="宋体"/>
                <w:bCs/>
                <w:sz w:val="21"/>
                <w:szCs w:val="21"/>
              </w:rPr>
              <w:t xml:space="preserve">项目名称</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9"/>
              <w:ind w:firstLine="0"/>
              <w:jc w:val="center"/>
              <w:rPr>
                <w:rFonts w:eastAsia="宋体"/>
                <w:bCs/>
                <w:sz w:val="21"/>
                <w:szCs w:val="21"/>
              </w:rPr>
            </w:pPr>
            <w:r>
              <w:rPr>
                <w:rFonts w:eastAsia="宋体"/>
                <w:bCs/>
                <w:sz w:val="21"/>
                <w:szCs w:val="21"/>
              </w:rPr>
              <w:t xml:space="preserve">采购单位</w:t>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969"/>
              <w:ind w:firstLine="0"/>
              <w:jc w:val="center"/>
              <w:rPr>
                <w:rFonts w:eastAsia="宋体"/>
                <w:bCs/>
                <w:sz w:val="21"/>
                <w:szCs w:val="21"/>
              </w:rPr>
            </w:pPr>
            <w:r>
              <w:rPr>
                <w:rFonts w:hint="eastAsia" w:eastAsia="宋体"/>
                <w:bCs/>
                <w:sz w:val="21"/>
                <w:szCs w:val="21"/>
              </w:rPr>
              <w:t xml:space="preserve">合同</w:t>
            </w:r>
            <w:r>
              <w:rPr>
                <w:rFonts w:eastAsia="宋体"/>
                <w:bCs/>
                <w:sz w:val="21"/>
                <w:szCs w:val="21"/>
              </w:rPr>
              <w:t xml:space="preserve">签订日期</w:t>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969"/>
              <w:ind w:firstLine="0"/>
              <w:jc w:val="center"/>
              <w:rPr>
                <w:rFonts w:eastAsia="宋体"/>
                <w:bCs/>
                <w:sz w:val="21"/>
                <w:szCs w:val="21"/>
              </w:rPr>
            </w:pPr>
            <w:r>
              <w:rPr>
                <w:rFonts w:eastAsia="宋体"/>
                <w:bCs/>
                <w:sz w:val="21"/>
                <w:szCs w:val="21"/>
              </w:rPr>
              <w:t xml:space="preserve">合同金额（万元）</w:t>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969"/>
              <w:ind w:firstLine="0"/>
              <w:jc w:val="center"/>
              <w:rPr>
                <w:rFonts w:eastAsia="宋体"/>
                <w:bCs/>
                <w:sz w:val="21"/>
                <w:szCs w:val="21"/>
              </w:rPr>
            </w:pPr>
            <w:r>
              <w:rPr>
                <w:rFonts w:eastAsia="宋体"/>
                <w:bCs/>
                <w:sz w:val="21"/>
                <w:szCs w:val="21"/>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969"/>
              <w:ind w:firstLine="0"/>
              <w:jc w:val="center"/>
              <w:rPr>
                <w:rFonts w:ascii="宋体" w:hAnsi="宋体" w:eastAsia="宋体"/>
                <w:bCs/>
                <w:sz w:val="21"/>
                <w:szCs w:val="21"/>
              </w:rPr>
            </w:pPr>
            <w:r>
              <w:rPr>
                <w:rFonts w:ascii="宋体" w:hAnsi="宋体" w:eastAsia="宋体"/>
                <w:bCs/>
                <w:sz w:val="21"/>
                <w:szCs w:val="21"/>
              </w:rPr>
              <w:t xml:space="preserve">1</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969"/>
              <w:ind w:firstLine="0"/>
              <w:jc w:val="center"/>
              <w:rPr>
                <w:rFonts w:ascii="宋体" w:hAnsi="宋体" w:eastAsia="宋体"/>
                <w:bCs/>
                <w:sz w:val="21"/>
                <w:szCs w:val="21"/>
              </w:rPr>
            </w:pPr>
            <w:r>
              <w:rPr>
                <w:rFonts w:ascii="宋体" w:hAnsi="宋体" w:eastAsia="宋体"/>
                <w:bCs/>
                <w:sz w:val="21"/>
                <w:szCs w:val="21"/>
              </w:rPr>
              <w:t xml:space="preserve">2</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969"/>
              <w:ind w:firstLine="0"/>
              <w:jc w:val="center"/>
              <w:rPr>
                <w:rFonts w:ascii="宋体" w:hAnsi="宋体" w:eastAsia="宋体"/>
                <w:bCs/>
                <w:sz w:val="21"/>
                <w:szCs w:val="21"/>
              </w:rPr>
            </w:pPr>
            <w:r>
              <w:rPr>
                <w:rFonts w:ascii="宋体" w:hAnsi="宋体" w:eastAsia="宋体"/>
                <w:bCs/>
                <w:sz w:val="21"/>
                <w:szCs w:val="21"/>
              </w:rPr>
              <w:t xml:space="preserve">3</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969"/>
              <w:ind w:firstLine="0"/>
              <w:jc w:val="center"/>
              <w:rPr>
                <w:rFonts w:ascii="宋体" w:hAnsi="宋体" w:eastAsia="宋体"/>
                <w:bCs/>
                <w:sz w:val="21"/>
                <w:szCs w:val="21"/>
              </w:rPr>
            </w:pPr>
            <w:r>
              <w:rPr>
                <w:rFonts w:ascii="宋体" w:hAnsi="宋体" w:eastAsia="宋体"/>
                <w:bCs/>
                <w:sz w:val="21"/>
                <w:szCs w:val="21"/>
              </w:rPr>
              <w:t xml:space="preserve">4</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969"/>
              <w:ind w:firstLine="0"/>
              <w:jc w:val="center"/>
              <w:rPr>
                <w:rFonts w:ascii="宋体" w:hAnsi="宋体" w:eastAsia="宋体"/>
                <w:bCs/>
                <w:sz w:val="21"/>
                <w:szCs w:val="21"/>
              </w:rPr>
            </w:pPr>
            <w:r>
              <w:rPr>
                <w:rFonts w:ascii="宋体" w:hAnsi="宋体" w:eastAsia="宋体"/>
                <w:bCs/>
                <w:sz w:val="21"/>
                <w:szCs w:val="21"/>
              </w:rPr>
              <w:t xml:space="preserve">5</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tbRlV"/>
            <w:noWrap w:val="false"/>
          </w:tcPr>
          <w:p>
            <w:pPr>
              <w:pStyle w:val="969"/>
              <w:ind w:firstLine="0"/>
              <w:jc w:val="center"/>
              <w:rPr>
                <w:rFonts w:ascii="宋体" w:hAnsi="宋体" w:eastAsia="宋体"/>
                <w:bCs/>
                <w:sz w:val="21"/>
                <w:szCs w:val="21"/>
              </w:rPr>
            </w:pPr>
            <w:r>
              <w:rPr>
                <w:rFonts w:ascii="宋体" w:hAnsi="宋体" w:eastAsia="宋体"/>
                <w:bCs/>
                <w:sz w:val="21"/>
                <w:szCs w:val="21"/>
              </w:rPr>
              <w:t xml:space="preserve">…</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969"/>
              <w:ind w:firstLine="0"/>
              <w:jc w:val="center"/>
              <w:rPr>
                <w:rFonts w:eastAsia="宋体"/>
                <w:bCs/>
                <w:sz w:val="21"/>
                <w:szCs w:val="21"/>
              </w:rPr>
            </w:pPr>
            <w:r>
              <w:rPr>
                <w:rFonts w:eastAsia="宋体"/>
                <w:bCs/>
                <w:sz w:val="21"/>
                <w:szCs w:val="21"/>
              </w:rPr>
            </w:r>
            <w:r/>
          </w:p>
        </w:tc>
      </w:tr>
    </w:tbl>
    <w:p>
      <w:pPr>
        <w:pStyle w:val="954"/>
        <w:jc w:val="left"/>
        <w:spacing w:line="400" w:lineRule="exact"/>
        <w:rPr>
          <w:rFonts w:cs="宋体"/>
          <w:sz w:val="21"/>
          <w:szCs w:val="21"/>
          <w:lang w:eastAsia="en-US"/>
        </w:rPr>
      </w:pPr>
      <w:r>
        <w:rPr>
          <w:rFonts w:hint="eastAsia" w:cs="宋体"/>
          <w:sz w:val="21"/>
          <w:szCs w:val="21"/>
          <w:lang w:eastAsia="en-US"/>
        </w:rPr>
        <w:t xml:space="preserve">注</w:t>
      </w:r>
      <w:r>
        <w:rPr>
          <w:rFonts w:cs="宋体"/>
          <w:sz w:val="21"/>
          <w:szCs w:val="21"/>
          <w:lang w:eastAsia="en-US"/>
        </w:rPr>
        <w:t xml:space="preserve">：</w:t>
      </w:r>
      <w:r>
        <w:rPr>
          <w:rFonts w:hint="eastAsia" w:cs="宋体"/>
          <w:sz w:val="21"/>
          <w:szCs w:val="21"/>
          <w:lang w:eastAsia="en-US"/>
        </w:rPr>
        <w:t xml:space="preserve">按照招标文件要求及评分标准提供相应证明材料。</w:t>
      </w:r>
      <w:r>
        <w:rPr>
          <w:rFonts w:cs="宋体"/>
          <w:sz w:val="21"/>
          <w:szCs w:val="21"/>
          <w:lang w:eastAsia="en-US"/>
        </w:rPr>
      </w:r>
      <w:r/>
    </w:p>
    <w:p>
      <w:pPr>
        <w:pStyle w:val="954"/>
        <w:jc w:val="left"/>
        <w:spacing w:line="400" w:lineRule="exact"/>
        <w:rPr>
          <w:rFonts w:cs="宋体"/>
          <w:sz w:val="21"/>
          <w:szCs w:val="21"/>
        </w:rPr>
      </w:pPr>
      <w:r>
        <w:rPr>
          <w:rFonts w:cs="宋体"/>
          <w:sz w:val="21"/>
          <w:szCs w:val="21"/>
        </w:rPr>
      </w:r>
      <w:r/>
    </w:p>
    <w:p>
      <w:pPr>
        <w:pStyle w:val="954"/>
        <w:jc w:val="left"/>
        <w:spacing w:line="400" w:lineRule="exact"/>
        <w:rPr>
          <w:rFonts w:hint="eastAsia" w:cs="宋体"/>
          <w:b/>
          <w:bCs/>
          <w:sz w:val="21"/>
          <w:szCs w:val="21"/>
        </w:rPr>
      </w:pPr>
      <w:r>
        <w:rPr>
          <w:rFonts w:hint="eastAsia" w:cs="宋体"/>
          <w:b/>
          <w:bCs/>
          <w:sz w:val="21"/>
          <w:szCs w:val="21"/>
        </w:rPr>
      </w:r>
      <w:r/>
    </w:p>
    <w:p>
      <w:pPr>
        <w:pStyle w:val="954"/>
        <w:jc w:val="left"/>
        <w:spacing w:line="400" w:lineRule="exact"/>
        <w:rPr>
          <w:rFonts w:hint="eastAsia" w:cs="宋体"/>
          <w:b/>
          <w:bCs/>
          <w:sz w:val="21"/>
          <w:szCs w:val="21"/>
        </w:rPr>
      </w:pPr>
      <w:r>
        <w:rPr>
          <w:rFonts w:hint="eastAsia" w:cs="宋体"/>
          <w:b/>
          <w:bCs/>
          <w:sz w:val="21"/>
          <w:szCs w:val="21"/>
        </w:rPr>
      </w:r>
      <w:r/>
    </w:p>
    <w:p>
      <w:pPr>
        <w:pStyle w:val="954"/>
        <w:ind w:firstLine="420"/>
        <w:jc w:val="left"/>
        <w:spacing w:line="400" w:lineRule="exact"/>
        <w:rPr>
          <w:rFonts w:hint="eastAsia" w:cs="宋体"/>
          <w:sz w:val="21"/>
          <w:szCs w:val="21"/>
        </w:rPr>
      </w:pPr>
      <w:r>
        <w:rPr>
          <w:rFonts w:hint="eastAsia" w:cs="宋体"/>
          <w:sz w:val="21"/>
          <w:szCs w:val="21"/>
        </w:rPr>
        <w:t xml:space="preserve">投标人名称：         （盖章）</w:t>
      </w:r>
      <w:r/>
    </w:p>
    <w:p>
      <w:pPr>
        <w:pStyle w:val="954"/>
        <w:ind w:firstLine="420"/>
        <w:jc w:val="left"/>
        <w:spacing w:line="400" w:lineRule="exact"/>
        <w:rPr>
          <w:rFonts w:hint="eastAsia" w:cs="宋体"/>
          <w:sz w:val="21"/>
          <w:szCs w:val="21"/>
        </w:rPr>
      </w:pPr>
      <w:r>
        <w:rPr>
          <w:rFonts w:hint="eastAsia" w:cs="宋体"/>
          <w:sz w:val="21"/>
          <w:szCs w:val="21"/>
        </w:rPr>
        <w:t xml:space="preserve">法定代表人或代理人（签字或盖章）</w:t>
      </w:r>
      <w:r>
        <w:rPr>
          <w:rFonts w:hint="eastAsia" w:cs="宋体"/>
          <w:bCs/>
          <w:sz w:val="21"/>
          <w:szCs w:val="21"/>
        </w:rPr>
        <w:t xml:space="preserve">：</w:t>
      </w:r>
      <w:r>
        <w:rPr>
          <w:rFonts w:hint="eastAsia" w:cs="宋体"/>
          <w:sz w:val="21"/>
          <w:szCs w:val="21"/>
        </w:rPr>
      </w:r>
      <w:r/>
    </w:p>
    <w:p>
      <w:pPr>
        <w:pStyle w:val="954"/>
        <w:ind w:firstLine="420"/>
        <w:jc w:val="left"/>
        <w:spacing w:line="400" w:lineRule="exact"/>
        <w:rPr>
          <w:rFonts w:hint="eastAsia" w:cs="宋体"/>
          <w:b/>
          <w:bCs/>
          <w:sz w:val="21"/>
          <w:szCs w:val="21"/>
        </w:rPr>
      </w:pPr>
      <w:r>
        <w:rPr>
          <w:rFonts w:hint="eastAsia" w:cs="宋体"/>
          <w:sz w:val="21"/>
          <w:szCs w:val="21"/>
        </w:rPr>
        <w:t xml:space="preserve">日期：           年  月  日</w:t>
      </w:r>
      <w:r>
        <w:rPr>
          <w:rFonts w:hint="eastAsia" w:cs="宋体"/>
          <w:b/>
          <w:bCs/>
          <w:sz w:val="21"/>
          <w:szCs w:val="21"/>
        </w:rPr>
        <w:br w:type="page" w:clear="all"/>
        <w:t xml:space="preserve">附件</w:t>
      </w:r>
      <w:r>
        <w:rPr>
          <w:rFonts w:cs="宋体"/>
          <w:b/>
          <w:bCs/>
          <w:sz w:val="21"/>
          <w:szCs w:val="21"/>
        </w:rPr>
        <w:t xml:space="preserve">1</w:t>
      </w:r>
      <w:r>
        <w:rPr>
          <w:rFonts w:hint="eastAsia" w:cs="宋体"/>
          <w:b/>
          <w:bCs/>
          <w:sz w:val="21"/>
          <w:szCs w:val="21"/>
        </w:rPr>
        <w:t xml:space="preserve">2、其他由招标文件要求自行编写格式</w:t>
      </w:r>
      <w:r/>
    </w:p>
    <w:p>
      <w:pPr>
        <w:pStyle w:val="955"/>
        <w:numPr>
          <w:ilvl w:val="0"/>
          <w:numId w:val="0"/>
        </w:numPr>
        <w:jc w:val="center"/>
        <w:tabs>
          <w:tab w:val="left" w:pos="432" w:leader="none"/>
        </w:tabs>
        <w:rPr>
          <w:rFonts w:hint="eastAsia" w:cs="宋体"/>
          <w:szCs w:val="44"/>
        </w:rPr>
      </w:pPr>
      <w:r>
        <w:rPr>
          <w:rFonts w:hint="eastAsia" w:cs="宋体"/>
          <w:b w:val="0"/>
          <w:bCs/>
          <w:szCs w:val="44"/>
        </w:rPr>
        <w:br w:type="page" w:clear="all"/>
      </w:r>
      <w:r>
        <w:rPr>
          <w:rFonts w:hint="eastAsia" w:ascii="宋体" w:hAnsi="宋体" w:cs="宋体"/>
        </w:rPr>
        <w:t xml:space="preserve">第四章 </w:t>
      </w:r>
      <w:bookmarkStart w:id="15" w:name="招标书"/>
      <w:r>
        <w:rPr>
          <w:rFonts w:hint="eastAsia" w:ascii="宋体" w:hAnsi="宋体" w:cs="宋体"/>
        </w:rPr>
        <w:t xml:space="preserve">招标书</w:t>
      </w:r>
      <w:bookmarkEnd w:id="15"/>
      <w:r>
        <w:rPr>
          <w:rFonts w:hint="eastAsia" w:cs="宋体"/>
          <w:szCs w:val="44"/>
        </w:rPr>
      </w:r>
      <w:r/>
    </w:p>
    <w:p>
      <w:pPr>
        <w:pStyle w:val="1020"/>
        <w:ind w:firstLine="420"/>
        <w:rPr>
          <w:rFonts w:hint="eastAsia" w:ascii="宋体" w:hAnsi="宋体" w:cs="宋体"/>
          <w:sz w:val="21"/>
          <w:szCs w:val="21"/>
        </w:rPr>
      </w:pPr>
      <w:r>
        <w:rPr>
          <w:rFonts w:hint="eastAsia" w:ascii="宋体" w:hAnsi="宋体" w:cs="宋体"/>
          <w:sz w:val="21"/>
          <w:szCs w:val="21"/>
        </w:rPr>
        <w:t xml:space="preserve">苏州乐族工程咨询有限公司受</w:t>
      </w:r>
      <w:r>
        <w:rPr>
          <w:rFonts w:ascii="宋体" w:hAnsi="宋体" w:cs="宋体"/>
          <w:sz w:val="21"/>
          <w:szCs w:val="21"/>
        </w:rPr>
        <w:t xml:space="preserve">太仓市浮桥镇人民政府</w:t>
      </w:r>
      <w:r>
        <w:rPr>
          <w:rFonts w:hint="eastAsia" w:ascii="宋体" w:hAnsi="宋体" w:cs="宋体"/>
          <w:sz w:val="21"/>
          <w:szCs w:val="21"/>
        </w:rPr>
        <w:t xml:space="preserve">的委托，就</w:t>
      </w:r>
      <w:r>
        <w:rPr>
          <w:rFonts w:ascii="宋体" w:hAnsi="宋体" w:cs="宋体"/>
          <w:sz w:val="21"/>
          <w:szCs w:val="21"/>
        </w:rPr>
        <w:t xml:space="preserve">2026年浮桥镇建筑垃圾清运服务</w:t>
      </w:r>
      <w:r>
        <w:rPr>
          <w:rFonts w:hint="eastAsia" w:ascii="宋体" w:hAnsi="宋体" w:cs="宋体"/>
          <w:sz w:val="21"/>
          <w:szCs w:val="21"/>
        </w:rPr>
        <w:t xml:space="preserve">进行公开招标采购。</w:t>
      </w:r>
      <w:r/>
    </w:p>
    <w:p>
      <w:pPr>
        <w:pStyle w:val="954"/>
        <w:contextualSpacing/>
        <w:spacing w:line="360" w:lineRule="auto"/>
        <w:rPr>
          <w:rFonts w:hint="eastAsia" w:cs="宋体"/>
          <w:sz w:val="21"/>
          <w:szCs w:val="21"/>
        </w:rPr>
      </w:pPr>
      <w:r>
        <w:rPr>
          <w:rFonts w:hint="eastAsia" w:cs="宋体"/>
          <w:sz w:val="21"/>
          <w:szCs w:val="21"/>
        </w:rPr>
        <w:t xml:space="preserve">一、采购编号：JSZC-320585-SZLZ-G2026-0002</w:t>
      </w:r>
      <w:r/>
    </w:p>
    <w:p>
      <w:pPr>
        <w:pStyle w:val="954"/>
        <w:contextualSpacing/>
        <w:spacing w:line="360" w:lineRule="auto"/>
        <w:rPr>
          <w:rFonts w:hint="eastAsia" w:cs="宋体"/>
          <w:sz w:val="21"/>
          <w:szCs w:val="21"/>
        </w:rPr>
      </w:pPr>
      <w:r>
        <w:rPr>
          <w:rFonts w:hint="eastAsia" w:cs="宋体"/>
          <w:sz w:val="21"/>
          <w:szCs w:val="21"/>
        </w:rPr>
        <w:t xml:space="preserve">二、项目名称：</w:t>
      </w:r>
      <w:r>
        <w:rPr>
          <w:rFonts w:cs="宋体"/>
          <w:sz w:val="21"/>
          <w:szCs w:val="21"/>
        </w:rPr>
        <w:t xml:space="preserve">2026年浮桥镇建筑垃圾清运服务</w:t>
      </w:r>
      <w:r>
        <w:rPr>
          <w:rFonts w:hint="eastAsia" w:cs="宋体"/>
          <w:sz w:val="21"/>
          <w:szCs w:val="21"/>
        </w:rPr>
      </w:r>
      <w:r/>
    </w:p>
    <w:p>
      <w:pPr>
        <w:pStyle w:val="954"/>
        <w:contextualSpacing/>
        <w:spacing w:line="360" w:lineRule="auto"/>
        <w:rPr>
          <w:rFonts w:hint="eastAsia" w:cs="宋体"/>
          <w:sz w:val="21"/>
          <w:szCs w:val="21"/>
        </w:rPr>
      </w:pPr>
      <w:r>
        <w:rPr>
          <w:rFonts w:hint="eastAsia" w:cs="宋体"/>
          <w:sz w:val="21"/>
          <w:szCs w:val="21"/>
        </w:rPr>
        <w:t xml:space="preserve">三、预算金额：人民币150万元</w:t>
      </w:r>
      <w:r/>
    </w:p>
    <w:p>
      <w:pPr>
        <w:pStyle w:val="954"/>
        <w:contextualSpacing/>
        <w:spacing w:line="360" w:lineRule="auto"/>
        <w:rPr>
          <w:rFonts w:cs="宋体"/>
          <w:sz w:val="21"/>
          <w:szCs w:val="21"/>
        </w:rPr>
      </w:pPr>
      <w:r>
        <w:rPr>
          <w:rFonts w:hint="eastAsia" w:cs="宋体"/>
          <w:sz w:val="21"/>
          <w:szCs w:val="21"/>
        </w:rPr>
        <w:t xml:space="preserve">四、最高限价：人民币</w:t>
      </w:r>
      <w:bookmarkStart w:id="16" w:name="OLE_LINK5"/>
      <w:r>
        <w:rPr>
          <w:rFonts w:hint="eastAsia" w:cs="宋体"/>
          <w:sz w:val="21"/>
          <w:szCs w:val="21"/>
        </w:rPr>
        <w:t xml:space="preserve">70元/吨</w:t>
      </w:r>
      <w:bookmarkEnd w:id="16"/>
      <w:r>
        <w:rPr>
          <w:rFonts w:hint="eastAsia" w:cs="宋体"/>
          <w:sz w:val="21"/>
          <w:szCs w:val="21"/>
        </w:rPr>
        <w:t xml:space="preserve">（投标报价超过此限价的为无效标）</w:t>
      </w:r>
      <w:r>
        <w:rPr>
          <w:rFonts w:cs="宋体"/>
          <w:sz w:val="21"/>
          <w:szCs w:val="21"/>
        </w:rPr>
      </w:r>
      <w:r/>
    </w:p>
    <w:p>
      <w:pPr>
        <w:pStyle w:val="954"/>
        <w:contextualSpacing/>
        <w:spacing w:line="360" w:lineRule="auto"/>
        <w:rPr>
          <w:rFonts w:cs="宋体"/>
          <w:sz w:val="21"/>
          <w:szCs w:val="21"/>
        </w:rPr>
      </w:pPr>
      <w:r>
        <w:rPr>
          <w:rFonts w:hint="eastAsia" w:cs="宋体"/>
          <w:sz w:val="21"/>
          <w:szCs w:val="21"/>
        </w:rPr>
        <w:t xml:space="preserve">五、采购内容及要求：</w:t>
      </w:r>
      <w:r>
        <w:rPr>
          <w:rFonts w:cs="宋体"/>
          <w:sz w:val="21"/>
          <w:szCs w:val="21"/>
        </w:rPr>
      </w:r>
      <w:r/>
    </w:p>
    <w:p>
      <w:pPr>
        <w:pStyle w:val="954"/>
        <w:ind w:firstLine="422"/>
        <w:spacing w:line="360" w:lineRule="auto"/>
        <w:tabs>
          <w:tab w:val="left" w:pos="567" w:leader="none"/>
        </w:tabs>
        <w:rPr>
          <w:b/>
          <w:bCs/>
          <w:sz w:val="21"/>
          <w:szCs w:val="21"/>
        </w:rPr>
      </w:pPr>
      <w:r>
        <w:rPr>
          <w:rFonts w:hint="eastAsia"/>
          <w:b/>
          <w:bCs/>
          <w:sz w:val="21"/>
          <w:szCs w:val="21"/>
        </w:rPr>
        <w:t xml:space="preserve">（一）服务内容</w:t>
      </w:r>
      <w:r>
        <w:rPr>
          <w:b/>
          <w:bCs/>
          <w:sz w:val="21"/>
          <w:szCs w:val="21"/>
        </w:rPr>
      </w:r>
      <w:r/>
    </w:p>
    <w:p>
      <w:pPr>
        <w:pStyle w:val="954"/>
        <w:ind w:firstLine="480"/>
        <w:spacing w:line="360" w:lineRule="auto"/>
        <w:tabs>
          <w:tab w:val="left" w:pos="567" w:leader="none"/>
        </w:tabs>
        <w:rPr>
          <w:rFonts w:hint="eastAsia"/>
          <w:sz w:val="21"/>
          <w:szCs w:val="21"/>
        </w:rPr>
      </w:pPr>
      <w:r>
        <w:rPr>
          <w:rFonts w:hint="eastAsia"/>
          <w:sz w:val="21"/>
          <w:szCs w:val="21"/>
        </w:rPr>
        <w:t xml:space="preserve">对浮桥镇区域内建筑垃圾进行清运至太仓市城发资源循环利用有限公司，称重后将垃圾运输到指定的垃圾处置地点倾倒。称重由第三方单位负责，清运单位须配合相应工作。</w:t>
      </w:r>
      <w:r/>
    </w:p>
    <w:p>
      <w:pPr>
        <w:pStyle w:val="954"/>
        <w:ind w:firstLine="422"/>
        <w:spacing w:line="360" w:lineRule="auto"/>
        <w:rPr>
          <w:rFonts w:hint="eastAsia"/>
          <w:b/>
          <w:bCs/>
          <w:sz w:val="21"/>
          <w:szCs w:val="21"/>
        </w:rPr>
      </w:pPr>
      <w:r>
        <w:rPr>
          <w:rFonts w:hint="eastAsia"/>
          <w:b/>
          <w:bCs/>
          <w:sz w:val="21"/>
          <w:szCs w:val="21"/>
        </w:rPr>
        <w:t xml:space="preserve">（二）服务要求</w:t>
      </w:r>
      <w:r/>
    </w:p>
    <w:p>
      <w:pPr>
        <w:pStyle w:val="954"/>
        <w:ind w:firstLine="480"/>
        <w:spacing w:line="360" w:lineRule="auto"/>
        <w:tabs>
          <w:tab w:val="left" w:pos="567" w:leader="none"/>
        </w:tabs>
        <w:rPr>
          <w:rFonts w:hint="eastAsia"/>
          <w:sz w:val="21"/>
          <w:szCs w:val="21"/>
        </w:rPr>
      </w:pPr>
      <w:r>
        <w:rPr>
          <w:rFonts w:hint="eastAsia"/>
          <w:b/>
          <w:bCs/>
          <w:sz w:val="21"/>
          <w:szCs w:val="21"/>
        </w:rPr>
        <w:t xml:space="preserve">1、投标人拟投入本项目的车辆不得少于：10辆自卸封闭渣土车和</w:t>
      </w:r>
      <w:r>
        <w:rPr>
          <w:rFonts w:hint="eastAsia"/>
          <w:b/>
          <w:bCs/>
          <w:sz w:val="21"/>
          <w:szCs w:val="21"/>
        </w:rPr>
        <w:t xml:space="preserve">2</w:t>
      </w:r>
      <w:r>
        <w:rPr>
          <w:rFonts w:hint="eastAsia"/>
          <w:b/>
          <w:bCs/>
          <w:sz w:val="21"/>
          <w:szCs w:val="21"/>
        </w:rPr>
        <w:t xml:space="preserve">辆挖掘机</w:t>
      </w:r>
      <w:r>
        <w:rPr>
          <w:rFonts w:hint="eastAsia"/>
          <w:b/>
          <w:bCs/>
          <w:sz w:val="21"/>
          <w:szCs w:val="21"/>
        </w:rPr>
        <w:t xml:space="preserve">。</w:t>
      </w:r>
      <w:r>
        <w:rPr>
          <w:rFonts w:hint="eastAsia"/>
          <w:sz w:val="21"/>
          <w:szCs w:val="21"/>
        </w:rPr>
      </w:r>
      <w:r/>
    </w:p>
    <w:p>
      <w:pPr>
        <w:pStyle w:val="954"/>
        <w:ind w:firstLine="480"/>
        <w:spacing w:line="360" w:lineRule="auto"/>
        <w:tabs>
          <w:tab w:val="left" w:pos="567" w:leader="none"/>
        </w:tabs>
        <w:rPr>
          <w:rFonts w:hint="eastAsia"/>
          <w:sz w:val="21"/>
          <w:szCs w:val="21"/>
        </w:rPr>
      </w:pPr>
      <w:r>
        <w:rPr>
          <w:rFonts w:hint="eastAsia"/>
          <w:sz w:val="21"/>
          <w:szCs w:val="21"/>
        </w:rPr>
        <w:t xml:space="preserve">2、以上车辆须符合法律法规要求，具备购买或租赁手续，证照齐全，并具有车辆保险手续，垃圾装卸及运输过程中所产生费用及事故责任均由中标单位承担。</w:t>
      </w:r>
      <w:r/>
    </w:p>
    <w:p>
      <w:pPr>
        <w:pStyle w:val="954"/>
        <w:ind w:firstLine="482"/>
        <w:spacing w:line="360" w:lineRule="auto"/>
        <w:rPr>
          <w:rFonts w:hint="eastAsia"/>
          <w:sz w:val="21"/>
          <w:szCs w:val="21"/>
        </w:rPr>
      </w:pPr>
      <w:r>
        <w:rPr>
          <w:rFonts w:hint="eastAsia"/>
          <w:b/>
          <w:bCs/>
          <w:sz w:val="21"/>
          <w:szCs w:val="21"/>
        </w:rPr>
        <w:t xml:space="preserve">如为自有，投标文件中须提供车辆权属登记证；如为租赁，投标文件中须提供车辆租赁合同及证明合同真实履行车辆租赁发票。</w:t>
      </w:r>
      <w:r>
        <w:rPr>
          <w:rFonts w:hint="eastAsia"/>
          <w:sz w:val="21"/>
          <w:szCs w:val="21"/>
        </w:rPr>
      </w:r>
      <w:r/>
    </w:p>
    <w:p>
      <w:pPr>
        <w:pStyle w:val="954"/>
        <w:ind w:firstLine="480"/>
        <w:spacing w:line="360" w:lineRule="auto"/>
        <w:tabs>
          <w:tab w:val="left" w:pos="567" w:leader="none"/>
        </w:tabs>
        <w:rPr>
          <w:rFonts w:hint="eastAsia"/>
          <w:sz w:val="21"/>
          <w:szCs w:val="21"/>
        </w:rPr>
      </w:pPr>
      <w:r>
        <w:rPr>
          <w:rFonts w:hint="eastAsia"/>
          <w:sz w:val="21"/>
          <w:szCs w:val="21"/>
        </w:rPr>
        <w:t xml:space="preserve">3、投标单位须为本项目配备项目负责人、技术人员及相应车辆驾驶员，以满足本项目所需。投标单位拟投入现场的人员需在投标文件中列明人员明细，中标单位在实施过程中，人员更换需经采购人同意，否则采购人有权解除合同。</w:t>
      </w:r>
      <w:r/>
    </w:p>
    <w:p>
      <w:pPr>
        <w:pStyle w:val="954"/>
        <w:ind w:firstLine="480"/>
        <w:spacing w:line="360" w:lineRule="auto"/>
        <w:tabs>
          <w:tab w:val="left" w:pos="567" w:leader="none"/>
        </w:tabs>
        <w:rPr>
          <w:rFonts w:hint="eastAsia"/>
          <w:sz w:val="21"/>
          <w:szCs w:val="21"/>
        </w:rPr>
      </w:pPr>
      <w:r>
        <w:rPr>
          <w:rFonts w:hint="eastAsia"/>
          <w:sz w:val="21"/>
          <w:szCs w:val="21"/>
        </w:rPr>
        <w:t xml:space="preserve">（1）项目负责人具有一定建筑垃圾清运管理经验。负责主持协调工作及内</w:t>
      </w:r>
      <w:r>
        <w:rPr>
          <w:rFonts w:hint="eastAsia"/>
          <w:sz w:val="21"/>
          <w:szCs w:val="21"/>
        </w:rPr>
        <w:t xml:space="preserve">部行政管理、考核，制度执行。确保垃圾清运按时完成，达到采购人要求。垃圾清运作业期间项目负责人更换必须及时书面报告采购人。</w:t>
      </w:r>
      <w:r/>
    </w:p>
    <w:p>
      <w:pPr>
        <w:pStyle w:val="954"/>
        <w:ind w:firstLine="480"/>
        <w:spacing w:line="360" w:lineRule="auto"/>
        <w:tabs>
          <w:tab w:val="left" w:pos="567" w:leader="none"/>
        </w:tabs>
        <w:rPr>
          <w:rFonts w:hint="eastAsia"/>
          <w:sz w:val="21"/>
          <w:szCs w:val="21"/>
        </w:rPr>
      </w:pPr>
      <w:r>
        <w:rPr>
          <w:rFonts w:hint="eastAsia"/>
          <w:sz w:val="21"/>
          <w:szCs w:val="21"/>
        </w:rPr>
        <w:t xml:space="preserve">（2）驾驶员持证上岗，负责垃圾清运工作，保证本项目垃圾的正常运输。</w:t>
      </w:r>
      <w:r/>
    </w:p>
    <w:p>
      <w:pPr>
        <w:pStyle w:val="954"/>
        <w:ind w:firstLine="480"/>
        <w:spacing w:line="360" w:lineRule="auto"/>
        <w:tabs>
          <w:tab w:val="left" w:pos="567" w:leader="none"/>
        </w:tabs>
        <w:rPr>
          <w:rFonts w:hint="eastAsia"/>
          <w:sz w:val="21"/>
          <w:szCs w:val="21"/>
        </w:rPr>
      </w:pPr>
      <w:r>
        <w:rPr>
          <w:rFonts w:hint="eastAsia"/>
          <w:sz w:val="21"/>
          <w:szCs w:val="21"/>
        </w:rPr>
        <w:t xml:space="preserve">（3）安全管理人员、维修工等辅助人员根据实际需要配备。</w:t>
      </w:r>
      <w:r/>
    </w:p>
    <w:p>
      <w:pPr>
        <w:pStyle w:val="954"/>
        <w:ind w:firstLine="480"/>
        <w:spacing w:line="360" w:lineRule="auto"/>
        <w:tabs>
          <w:tab w:val="left" w:pos="567" w:leader="none"/>
        </w:tabs>
        <w:rPr>
          <w:rFonts w:hint="eastAsia"/>
          <w:sz w:val="21"/>
          <w:szCs w:val="21"/>
        </w:rPr>
      </w:pPr>
      <w:r>
        <w:rPr>
          <w:rFonts w:hint="eastAsia"/>
          <w:sz w:val="21"/>
          <w:szCs w:val="21"/>
        </w:rPr>
        <w:t xml:space="preserve">注：本项目专门面向中小企业采购，服务人员应当是具备《劳动合同》的或者承诺中标后聘请签订《劳动合同》的服务人员参与本项目。</w:t>
      </w:r>
      <w:r/>
    </w:p>
    <w:p>
      <w:pPr>
        <w:pStyle w:val="954"/>
        <w:ind w:firstLine="420"/>
        <w:spacing w:line="360" w:lineRule="auto"/>
        <w:rPr>
          <w:sz w:val="21"/>
          <w:szCs w:val="21"/>
        </w:rPr>
      </w:pPr>
      <w:r>
        <w:rPr>
          <w:rFonts w:hint="eastAsia"/>
          <w:sz w:val="21"/>
          <w:szCs w:val="21"/>
        </w:rPr>
        <w:t xml:space="preserve">4、作业质量标准要求</w:t>
      </w:r>
      <w:r>
        <w:rPr>
          <w:sz w:val="21"/>
          <w:szCs w:val="21"/>
        </w:rPr>
      </w:r>
      <w:r/>
    </w:p>
    <w:p>
      <w:pPr>
        <w:pStyle w:val="954"/>
        <w:ind w:firstLine="420"/>
        <w:spacing w:line="360" w:lineRule="auto"/>
        <w:rPr>
          <w:sz w:val="21"/>
          <w:szCs w:val="21"/>
        </w:rPr>
      </w:pPr>
      <w:r>
        <w:rPr>
          <w:rFonts w:hint="eastAsia"/>
          <w:sz w:val="21"/>
          <w:szCs w:val="21"/>
        </w:rPr>
        <w:t xml:space="preserve">（1）通用标准</w:t>
      </w:r>
      <w:r>
        <w:rPr>
          <w:sz w:val="21"/>
          <w:szCs w:val="21"/>
        </w:rPr>
      </w:r>
      <w:r/>
    </w:p>
    <w:p>
      <w:pPr>
        <w:pStyle w:val="954"/>
        <w:ind w:firstLine="420"/>
        <w:spacing w:line="360" w:lineRule="auto"/>
        <w:rPr>
          <w:sz w:val="21"/>
          <w:szCs w:val="21"/>
        </w:rPr>
      </w:pPr>
      <w:r/>
      <w:bookmarkStart w:id="17" w:name="OLE_LINK17"/>
      <w:r>
        <w:rPr>
          <w:rFonts w:hint="eastAsia"/>
          <w:sz w:val="21"/>
          <w:szCs w:val="21"/>
        </w:rPr>
        <w:t xml:space="preserve">1）</w:t>
      </w:r>
      <w:bookmarkEnd w:id="17"/>
      <w:r>
        <w:rPr>
          <w:rFonts w:hint="eastAsia"/>
          <w:sz w:val="21"/>
          <w:szCs w:val="21"/>
        </w:rPr>
        <w:t xml:space="preserve">作业人员统一着装、佩证上岗。</w:t>
      </w:r>
      <w:r>
        <w:rPr>
          <w:sz w:val="21"/>
          <w:szCs w:val="21"/>
        </w:rPr>
      </w:r>
      <w:r/>
    </w:p>
    <w:p>
      <w:pPr>
        <w:pStyle w:val="954"/>
        <w:ind w:firstLine="420"/>
        <w:spacing w:line="360" w:lineRule="auto"/>
        <w:rPr>
          <w:sz w:val="21"/>
          <w:szCs w:val="21"/>
        </w:rPr>
      </w:pPr>
      <w:r>
        <w:rPr>
          <w:rFonts w:hint="eastAsia"/>
          <w:sz w:val="21"/>
          <w:szCs w:val="21"/>
        </w:rPr>
        <w:t xml:space="preserve">2）作业人员无拾荒行为，无聚堆闲聊、瞌睡或做与工作无关之事。</w:t>
      </w:r>
      <w:r>
        <w:rPr>
          <w:sz w:val="21"/>
          <w:szCs w:val="21"/>
        </w:rPr>
      </w:r>
      <w:r/>
    </w:p>
    <w:p>
      <w:pPr>
        <w:pStyle w:val="954"/>
        <w:ind w:firstLine="420"/>
        <w:spacing w:line="360" w:lineRule="auto"/>
        <w:rPr>
          <w:sz w:val="21"/>
          <w:szCs w:val="21"/>
        </w:rPr>
      </w:pPr>
      <w:r>
        <w:rPr>
          <w:rFonts w:hint="eastAsia"/>
          <w:sz w:val="21"/>
          <w:szCs w:val="21"/>
        </w:rPr>
        <w:t xml:space="preserve">3）作业文明，采取有效措施减少噪音、占道等作业扰民问题。</w:t>
      </w:r>
      <w:r>
        <w:rPr>
          <w:sz w:val="21"/>
          <w:szCs w:val="21"/>
        </w:rPr>
      </w:r>
      <w:r/>
    </w:p>
    <w:p>
      <w:pPr>
        <w:pStyle w:val="954"/>
        <w:ind w:firstLine="420"/>
        <w:spacing w:line="360" w:lineRule="auto"/>
        <w:rPr>
          <w:sz w:val="21"/>
          <w:szCs w:val="21"/>
        </w:rPr>
      </w:pPr>
      <w:r>
        <w:rPr>
          <w:rFonts w:hint="eastAsia"/>
          <w:sz w:val="21"/>
          <w:szCs w:val="21"/>
        </w:rPr>
        <w:t xml:space="preserve">（2）建筑（装修）垃圾运输作业要求表</w:t>
      </w:r>
      <w:r>
        <w:rPr>
          <w:sz w:val="21"/>
          <w:szCs w:val="21"/>
        </w:rPr>
      </w:r>
      <w:r/>
    </w:p>
    <w:tbl>
      <w:tblPr>
        <w:tblW w:w="0" w:type="auto"/>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069"/>
        <w:gridCol w:w="8285"/>
      </w:tblGrid>
      <w:tr>
        <w:trPr/>
        <w:tc>
          <w:tcPr>
            <w:tcBorders>
              <w:top w:val="single" w:color="000000" w:sz="8" w:space="0"/>
              <w:left w:val="single" w:color="000000" w:sz="8" w:space="0"/>
              <w:bottom w:val="single" w:color="000000" w:sz="8" w:space="0"/>
              <w:right w:val="single" w:color="000000" w:sz="8" w:space="0"/>
            </w:tcBorders>
            <w:tcW w:w="1069" w:type="dxa"/>
            <w:vAlign w:val="center"/>
            <w:textDirection w:val="lrTb"/>
            <w:noWrap/>
          </w:tcPr>
          <w:p>
            <w:pPr>
              <w:pStyle w:val="954"/>
              <w:jc w:val="center"/>
              <w:spacing w:line="360" w:lineRule="auto"/>
              <w:rPr>
                <w:sz w:val="21"/>
                <w:szCs w:val="21"/>
              </w:rPr>
            </w:pPr>
            <w:r>
              <w:rPr>
                <w:rFonts w:hint="eastAsia"/>
                <w:sz w:val="21"/>
                <w:szCs w:val="21"/>
              </w:rPr>
              <w:t xml:space="preserve">序号</w:t>
            </w:r>
            <w:r>
              <w:rPr>
                <w:sz w:val="21"/>
                <w:szCs w:val="21"/>
              </w:rPr>
            </w:r>
            <w:r/>
          </w:p>
        </w:tc>
        <w:tc>
          <w:tcPr>
            <w:tcBorders>
              <w:top w:val="single" w:color="000000" w:sz="8" w:space="0"/>
              <w:left w:val="none" w:color="FFFFFF" w:sz="255" w:space="0"/>
              <w:bottom w:val="single" w:color="000000" w:sz="8" w:space="0"/>
              <w:right w:val="single" w:color="000000" w:sz="8" w:space="0"/>
            </w:tcBorders>
            <w:tcW w:w="8285" w:type="dxa"/>
            <w:vAlign w:val="center"/>
            <w:textDirection w:val="lrTb"/>
            <w:noWrap/>
          </w:tcPr>
          <w:p>
            <w:pPr>
              <w:pStyle w:val="954"/>
              <w:ind w:firstLine="420"/>
              <w:jc w:val="center"/>
              <w:spacing w:line="360" w:lineRule="auto"/>
              <w:rPr>
                <w:sz w:val="21"/>
                <w:szCs w:val="21"/>
              </w:rPr>
            </w:pPr>
            <w:r>
              <w:rPr>
                <w:rFonts w:hint="eastAsia"/>
                <w:sz w:val="21"/>
                <w:szCs w:val="21"/>
              </w:rPr>
              <w:t xml:space="preserve">项目</w:t>
            </w:r>
            <w:r>
              <w:rPr>
                <w:sz w:val="21"/>
                <w:szCs w:val="21"/>
              </w:rPr>
            </w:r>
            <w:r/>
          </w:p>
        </w:tc>
      </w:tr>
      <w:tr>
        <w:trPr/>
        <w:tc>
          <w:tcPr>
            <w:tcBorders>
              <w:top w:val="none" w:color="FFFFFF" w:sz="255" w:space="0"/>
              <w:left w:val="single" w:color="000000" w:sz="8" w:space="0"/>
              <w:bottom w:val="single" w:color="000000" w:sz="8" w:space="0"/>
              <w:right w:val="single" w:color="000000" w:sz="8" w:space="0"/>
            </w:tcBorders>
            <w:tcW w:w="1069" w:type="dxa"/>
            <w:vAlign w:val="center"/>
            <w:textDirection w:val="lrTb"/>
            <w:noWrap/>
          </w:tcPr>
          <w:p>
            <w:pPr>
              <w:pStyle w:val="954"/>
              <w:ind w:firstLine="420"/>
              <w:spacing w:line="360" w:lineRule="auto"/>
              <w:rPr>
                <w:sz w:val="21"/>
                <w:szCs w:val="21"/>
              </w:rPr>
            </w:pPr>
            <w:r>
              <w:rPr>
                <w:rFonts w:hint="eastAsia"/>
                <w:sz w:val="21"/>
                <w:szCs w:val="21"/>
              </w:rPr>
              <w:t xml:space="preserve">1</w:t>
            </w:r>
            <w:r>
              <w:rPr>
                <w:sz w:val="21"/>
                <w:szCs w:val="21"/>
              </w:rPr>
            </w:r>
            <w:r/>
          </w:p>
        </w:tc>
        <w:tc>
          <w:tcPr>
            <w:tcBorders>
              <w:top w:val="none" w:color="FFFFFF" w:sz="255" w:space="0"/>
              <w:left w:val="none" w:color="FFFFFF" w:sz="255" w:space="0"/>
              <w:bottom w:val="single" w:color="000000" w:sz="8" w:space="0"/>
              <w:right w:val="single" w:color="000000" w:sz="8" w:space="0"/>
            </w:tcBorders>
            <w:tcW w:w="8285" w:type="dxa"/>
            <w:vAlign w:val="center"/>
            <w:textDirection w:val="lrTb"/>
            <w:noWrap/>
          </w:tcPr>
          <w:p>
            <w:pPr>
              <w:pStyle w:val="954"/>
              <w:spacing w:line="360" w:lineRule="auto"/>
              <w:rPr>
                <w:sz w:val="21"/>
                <w:szCs w:val="21"/>
              </w:rPr>
            </w:pPr>
            <w:r>
              <w:rPr>
                <w:rFonts w:hint="eastAsia"/>
                <w:sz w:val="21"/>
                <w:szCs w:val="21"/>
              </w:rPr>
              <w:t xml:space="preserve">建筑垃圾运输车运行时间安排应避开交通高峰时段，以减少对交通的影响；</w:t>
            </w:r>
            <w:r>
              <w:rPr>
                <w:sz w:val="21"/>
                <w:szCs w:val="21"/>
              </w:rPr>
            </w:r>
            <w:r/>
          </w:p>
        </w:tc>
      </w:tr>
      <w:tr>
        <w:trPr/>
        <w:tc>
          <w:tcPr>
            <w:tcBorders>
              <w:top w:val="none" w:color="FFFFFF" w:sz="255" w:space="0"/>
              <w:left w:val="single" w:color="000000" w:sz="8" w:space="0"/>
              <w:bottom w:val="single" w:color="000000" w:sz="8" w:space="0"/>
              <w:right w:val="single" w:color="000000" w:sz="8" w:space="0"/>
            </w:tcBorders>
            <w:tcW w:w="1069" w:type="dxa"/>
            <w:vAlign w:val="center"/>
            <w:textDirection w:val="lrTb"/>
            <w:noWrap/>
          </w:tcPr>
          <w:p>
            <w:pPr>
              <w:pStyle w:val="954"/>
              <w:ind w:firstLine="420"/>
              <w:spacing w:line="360" w:lineRule="auto"/>
              <w:rPr>
                <w:sz w:val="21"/>
                <w:szCs w:val="21"/>
              </w:rPr>
            </w:pPr>
            <w:r>
              <w:rPr>
                <w:rFonts w:hint="eastAsia"/>
                <w:sz w:val="21"/>
                <w:szCs w:val="21"/>
              </w:rPr>
              <w:t xml:space="preserve">2</w:t>
            </w:r>
            <w:r>
              <w:rPr>
                <w:sz w:val="21"/>
                <w:szCs w:val="21"/>
              </w:rPr>
            </w:r>
            <w:r/>
          </w:p>
        </w:tc>
        <w:tc>
          <w:tcPr>
            <w:tcBorders>
              <w:top w:val="none" w:color="FFFFFF" w:sz="255" w:space="0"/>
              <w:left w:val="none" w:color="FFFFFF" w:sz="255" w:space="0"/>
              <w:bottom w:val="single" w:color="000000" w:sz="8" w:space="0"/>
              <w:right w:val="single" w:color="000000" w:sz="8" w:space="0"/>
            </w:tcBorders>
            <w:tcW w:w="8285" w:type="dxa"/>
            <w:vAlign w:val="center"/>
            <w:textDirection w:val="lrTb"/>
            <w:noWrap/>
          </w:tcPr>
          <w:p>
            <w:pPr>
              <w:pStyle w:val="954"/>
              <w:spacing w:line="360" w:lineRule="auto"/>
              <w:rPr>
                <w:sz w:val="21"/>
                <w:szCs w:val="21"/>
              </w:rPr>
            </w:pPr>
            <w:r>
              <w:rPr>
                <w:rFonts w:hint="eastAsia"/>
                <w:sz w:val="21"/>
                <w:szCs w:val="21"/>
              </w:rPr>
              <w:t xml:space="preserve">建筑垃圾运输车辆的运输路线，应由当地建筑垃圾主管部门会同交通管理部门规定；</w:t>
            </w:r>
            <w:r>
              <w:rPr>
                <w:sz w:val="21"/>
                <w:szCs w:val="21"/>
              </w:rPr>
            </w:r>
            <w:r/>
          </w:p>
        </w:tc>
      </w:tr>
      <w:tr>
        <w:trPr/>
        <w:tc>
          <w:tcPr>
            <w:tcBorders>
              <w:top w:val="none" w:color="FFFFFF" w:sz="255" w:space="0"/>
              <w:left w:val="single" w:color="000000" w:sz="8" w:space="0"/>
              <w:bottom w:val="single" w:color="000000" w:sz="8" w:space="0"/>
              <w:right w:val="single" w:color="000000" w:sz="8" w:space="0"/>
            </w:tcBorders>
            <w:tcW w:w="1069" w:type="dxa"/>
            <w:vAlign w:val="center"/>
            <w:textDirection w:val="lrTb"/>
            <w:noWrap/>
          </w:tcPr>
          <w:p>
            <w:pPr>
              <w:pStyle w:val="954"/>
              <w:ind w:firstLine="420"/>
              <w:spacing w:line="360" w:lineRule="auto"/>
              <w:rPr>
                <w:sz w:val="21"/>
                <w:szCs w:val="21"/>
              </w:rPr>
            </w:pPr>
            <w:r>
              <w:rPr>
                <w:rFonts w:hint="eastAsia"/>
                <w:sz w:val="21"/>
                <w:szCs w:val="21"/>
              </w:rPr>
              <w:t xml:space="preserve">3</w:t>
            </w:r>
            <w:r>
              <w:rPr>
                <w:sz w:val="21"/>
                <w:szCs w:val="21"/>
              </w:rPr>
            </w:r>
            <w:r/>
          </w:p>
        </w:tc>
        <w:tc>
          <w:tcPr>
            <w:tcBorders>
              <w:top w:val="none" w:color="FFFFFF" w:sz="255" w:space="0"/>
              <w:left w:val="none" w:color="FFFFFF" w:sz="255" w:space="0"/>
              <w:bottom w:val="single" w:color="000000" w:sz="8" w:space="0"/>
              <w:right w:val="single" w:color="000000" w:sz="8" w:space="0"/>
            </w:tcBorders>
            <w:tcW w:w="8285" w:type="dxa"/>
            <w:vAlign w:val="center"/>
            <w:textDirection w:val="lrTb"/>
            <w:noWrap/>
          </w:tcPr>
          <w:p>
            <w:pPr>
              <w:pStyle w:val="954"/>
              <w:spacing w:line="360" w:lineRule="auto"/>
              <w:rPr>
                <w:sz w:val="21"/>
                <w:szCs w:val="21"/>
              </w:rPr>
            </w:pPr>
            <w:r>
              <w:rPr>
                <w:rFonts w:hint="eastAsia"/>
                <w:sz w:val="21"/>
                <w:szCs w:val="21"/>
              </w:rPr>
              <w:t xml:space="preserve">建筑垃圾运输车辆应容貌整洁、外观完整、标志齐全。</w:t>
            </w:r>
            <w:r>
              <w:rPr>
                <w:sz w:val="21"/>
                <w:szCs w:val="21"/>
              </w:rPr>
            </w:r>
            <w:r/>
          </w:p>
          <w:p>
            <w:pPr>
              <w:pStyle w:val="954"/>
              <w:spacing w:line="360" w:lineRule="auto"/>
              <w:rPr>
                <w:sz w:val="21"/>
                <w:szCs w:val="21"/>
              </w:rPr>
            </w:pPr>
            <w:r>
              <w:rPr>
                <w:rFonts w:hint="eastAsia"/>
                <w:sz w:val="21"/>
                <w:szCs w:val="21"/>
              </w:rPr>
              <w:t xml:space="preserve">1)车辆车窗、挡风玻璃、反光镜、车灯应明亮，无浮尘、无污迹</w:t>
            </w:r>
            <w:r>
              <w:rPr>
                <w:rFonts w:hint="eastAsia"/>
                <w:sz w:val="21"/>
                <w:szCs w:val="21"/>
              </w:rPr>
              <w:t xml:space="preserve">。</w:t>
            </w:r>
            <w:r>
              <w:rPr>
                <w:sz w:val="21"/>
                <w:szCs w:val="21"/>
              </w:rPr>
            </w:r>
            <w:r/>
          </w:p>
          <w:p>
            <w:pPr>
              <w:pStyle w:val="954"/>
              <w:spacing w:line="360" w:lineRule="auto"/>
              <w:rPr>
                <w:sz w:val="21"/>
                <w:szCs w:val="21"/>
              </w:rPr>
            </w:pPr>
            <w:r>
              <w:rPr>
                <w:rFonts w:hint="eastAsia"/>
                <w:sz w:val="21"/>
                <w:szCs w:val="21"/>
              </w:rPr>
              <w:t xml:space="preserve">2)车辆车牌号应清晰、无明显污渍，距车牌 15m 处能清晰分辨车牌上的字迹</w:t>
            </w:r>
            <w:r>
              <w:rPr>
                <w:rFonts w:hint="eastAsia"/>
                <w:sz w:val="21"/>
                <w:szCs w:val="21"/>
              </w:rPr>
              <w:t xml:space="preserve">。</w:t>
            </w:r>
            <w:r>
              <w:rPr>
                <w:sz w:val="21"/>
                <w:szCs w:val="21"/>
              </w:rPr>
            </w:r>
            <w:r/>
          </w:p>
          <w:p>
            <w:pPr>
              <w:pStyle w:val="954"/>
              <w:spacing w:line="360" w:lineRule="auto"/>
              <w:rPr>
                <w:sz w:val="21"/>
                <w:szCs w:val="21"/>
              </w:rPr>
            </w:pPr>
            <w:r>
              <w:rPr>
                <w:rFonts w:hint="eastAsia"/>
                <w:sz w:val="21"/>
                <w:szCs w:val="21"/>
              </w:rPr>
              <w:t xml:space="preserve">3)车厢厢体、厢盖外表面光滑平整，无明显的凹陷和变形。</w:t>
            </w:r>
            <w:r>
              <w:rPr>
                <w:sz w:val="21"/>
                <w:szCs w:val="21"/>
              </w:rPr>
            </w:r>
            <w:r/>
          </w:p>
          <w:p>
            <w:pPr>
              <w:pStyle w:val="954"/>
              <w:spacing w:line="360" w:lineRule="auto"/>
              <w:rPr>
                <w:sz w:val="21"/>
                <w:szCs w:val="21"/>
              </w:rPr>
            </w:pPr>
            <w:r>
              <w:rPr>
                <w:rFonts w:hint="eastAsia"/>
                <w:sz w:val="21"/>
                <w:szCs w:val="21"/>
              </w:rPr>
              <w:t xml:space="preserve">4)车辆底盘无大块泥沙等附着物，轻轻敲打时，无块状泥沙等污渍脱落</w:t>
            </w:r>
            <w:r>
              <w:rPr>
                <w:rFonts w:hint="eastAsia"/>
                <w:sz w:val="21"/>
                <w:szCs w:val="21"/>
              </w:rPr>
              <w:t xml:space="preserve">。</w:t>
            </w:r>
            <w:r>
              <w:rPr>
                <w:sz w:val="21"/>
                <w:szCs w:val="21"/>
              </w:rPr>
            </w:r>
            <w:r/>
          </w:p>
          <w:p>
            <w:pPr>
              <w:pStyle w:val="954"/>
              <w:spacing w:line="360" w:lineRule="auto"/>
              <w:rPr>
                <w:sz w:val="21"/>
                <w:szCs w:val="21"/>
              </w:rPr>
            </w:pPr>
            <w:r>
              <w:rPr>
                <w:rFonts w:hint="eastAsia"/>
                <w:sz w:val="21"/>
                <w:szCs w:val="21"/>
              </w:rPr>
              <w:t xml:space="preserve">5)建筑垃圾装载高度低于车厢栏板高度，装载量不超过车辆额定载重量。</w:t>
            </w:r>
            <w:r>
              <w:rPr>
                <w:sz w:val="21"/>
                <w:szCs w:val="21"/>
              </w:rPr>
            </w:r>
            <w:r/>
          </w:p>
          <w:p>
            <w:pPr>
              <w:pStyle w:val="954"/>
              <w:spacing w:line="360" w:lineRule="auto"/>
              <w:rPr>
                <w:sz w:val="21"/>
                <w:szCs w:val="21"/>
              </w:rPr>
            </w:pPr>
            <w:r>
              <w:rPr>
                <w:rFonts w:hint="eastAsia"/>
                <w:sz w:val="21"/>
                <w:szCs w:val="21"/>
              </w:rPr>
              <w:t xml:space="preserve">6)车辆装载完毕后</w:t>
            </w:r>
            <w:r>
              <w:rPr>
                <w:rFonts w:hint="eastAsia"/>
                <w:sz w:val="21"/>
                <w:szCs w:val="21"/>
              </w:rPr>
              <w:t xml:space="preserve">，</w:t>
            </w:r>
            <w:r>
              <w:rPr>
                <w:rFonts w:hint="eastAsia"/>
                <w:sz w:val="21"/>
                <w:szCs w:val="21"/>
              </w:rPr>
              <w:t xml:space="preserve">厢盖关闭到位，并检查车厢卸料门锁紧装置，保证锁紧有效、可靠。</w:t>
            </w:r>
            <w:r>
              <w:rPr>
                <w:sz w:val="21"/>
                <w:szCs w:val="21"/>
              </w:rPr>
            </w:r>
            <w:r/>
          </w:p>
          <w:p>
            <w:pPr>
              <w:pStyle w:val="954"/>
              <w:spacing w:line="360" w:lineRule="auto"/>
              <w:rPr>
                <w:sz w:val="21"/>
                <w:szCs w:val="21"/>
              </w:rPr>
            </w:pPr>
            <w:r>
              <w:rPr>
                <w:rFonts w:hint="eastAsia"/>
                <w:sz w:val="21"/>
                <w:szCs w:val="21"/>
              </w:rPr>
              <w:t xml:space="preserve">7)车厢液压举升机构及厢盖液压、启闭机构的液压部件各结合面无明显渗漏。</w:t>
            </w:r>
            <w:r>
              <w:rPr>
                <w:sz w:val="21"/>
                <w:szCs w:val="21"/>
              </w:rPr>
            </w:r>
            <w:r/>
          </w:p>
          <w:p>
            <w:pPr>
              <w:pStyle w:val="954"/>
              <w:spacing w:line="360" w:lineRule="auto"/>
              <w:rPr>
                <w:sz w:val="21"/>
                <w:szCs w:val="21"/>
              </w:rPr>
            </w:pPr>
            <w:r>
              <w:rPr>
                <w:rFonts w:hint="eastAsia"/>
                <w:sz w:val="21"/>
                <w:szCs w:val="21"/>
              </w:rPr>
              <w:t xml:space="preserve">8)运输单位定期对车辆进行维护和检测，保证车况完好。</w:t>
            </w:r>
            <w:r>
              <w:rPr>
                <w:sz w:val="21"/>
                <w:szCs w:val="21"/>
              </w:rPr>
            </w:r>
            <w:r/>
          </w:p>
          <w:p>
            <w:pPr>
              <w:pStyle w:val="954"/>
              <w:spacing w:line="360" w:lineRule="auto"/>
              <w:rPr>
                <w:sz w:val="21"/>
                <w:szCs w:val="21"/>
              </w:rPr>
            </w:pPr>
            <w:r>
              <w:rPr>
                <w:rFonts w:hint="eastAsia"/>
                <w:sz w:val="21"/>
                <w:szCs w:val="21"/>
              </w:rPr>
              <w:t xml:space="preserve">9)出门车辆必须对车辆进行冲洗，保证灰土不带出工地</w:t>
            </w:r>
            <w:r>
              <w:rPr>
                <w:rFonts w:hint="eastAsia"/>
                <w:sz w:val="21"/>
                <w:szCs w:val="21"/>
              </w:rPr>
              <w:t xml:space="preserve">。</w:t>
            </w:r>
            <w:r>
              <w:rPr>
                <w:sz w:val="21"/>
                <w:szCs w:val="21"/>
              </w:rPr>
            </w:r>
            <w:r/>
          </w:p>
          <w:p>
            <w:pPr>
              <w:pStyle w:val="954"/>
              <w:spacing w:line="360" w:lineRule="auto"/>
              <w:rPr>
                <w:sz w:val="21"/>
                <w:szCs w:val="21"/>
              </w:rPr>
            </w:pPr>
            <w:r>
              <w:rPr>
                <w:rFonts w:hint="eastAsia"/>
                <w:sz w:val="21"/>
                <w:szCs w:val="21"/>
              </w:rPr>
              <w:t xml:space="preserve">10)运输单位定期对车辆进行维护和检测，保证车况完好。</w:t>
            </w:r>
            <w:r>
              <w:rPr>
                <w:sz w:val="21"/>
                <w:szCs w:val="21"/>
              </w:rPr>
            </w:r>
            <w:r/>
          </w:p>
        </w:tc>
      </w:tr>
      <w:tr>
        <w:trPr/>
        <w:tc>
          <w:tcPr>
            <w:tcBorders>
              <w:top w:val="none" w:color="FFFFFF" w:sz="255" w:space="0"/>
              <w:left w:val="single" w:color="000000" w:sz="8" w:space="0"/>
              <w:bottom w:val="single" w:color="000000" w:sz="8" w:space="0"/>
              <w:right w:val="single" w:color="000000" w:sz="8" w:space="0"/>
            </w:tcBorders>
            <w:tcW w:w="1069" w:type="dxa"/>
            <w:vAlign w:val="center"/>
            <w:textDirection w:val="lrTb"/>
            <w:noWrap/>
          </w:tcPr>
          <w:p>
            <w:pPr>
              <w:pStyle w:val="954"/>
              <w:ind w:firstLine="420"/>
              <w:spacing w:line="360" w:lineRule="auto"/>
              <w:rPr>
                <w:sz w:val="21"/>
                <w:szCs w:val="21"/>
              </w:rPr>
            </w:pPr>
            <w:r>
              <w:rPr>
                <w:rFonts w:hint="eastAsia"/>
                <w:sz w:val="21"/>
                <w:szCs w:val="21"/>
              </w:rPr>
              <w:t xml:space="preserve">4</w:t>
            </w:r>
            <w:r>
              <w:rPr>
                <w:sz w:val="21"/>
                <w:szCs w:val="21"/>
              </w:rPr>
            </w:r>
            <w:r/>
          </w:p>
        </w:tc>
        <w:tc>
          <w:tcPr>
            <w:tcBorders>
              <w:top w:val="none" w:color="FFFFFF" w:sz="255" w:space="0"/>
              <w:left w:val="none" w:color="FFFFFF" w:sz="255" w:space="0"/>
              <w:bottom w:val="single" w:color="000000" w:sz="8" w:space="0"/>
              <w:right w:val="single" w:color="000000" w:sz="8" w:space="0"/>
            </w:tcBorders>
            <w:tcW w:w="8285" w:type="dxa"/>
            <w:vAlign w:val="center"/>
            <w:textDirection w:val="lrTb"/>
            <w:noWrap/>
          </w:tcPr>
          <w:p>
            <w:pPr>
              <w:pStyle w:val="954"/>
              <w:spacing w:line="360" w:lineRule="auto"/>
              <w:rPr>
                <w:sz w:val="21"/>
                <w:szCs w:val="21"/>
              </w:rPr>
            </w:pPr>
            <w:r>
              <w:rPr>
                <w:rFonts w:hint="eastAsia"/>
                <w:sz w:val="21"/>
                <w:szCs w:val="21"/>
              </w:rPr>
              <w:t xml:space="preserve">清运中注意的问题</w:t>
            </w:r>
            <w:r>
              <w:rPr>
                <w:rFonts w:hint="eastAsia"/>
                <w:sz w:val="21"/>
                <w:szCs w:val="21"/>
              </w:rPr>
              <w:t xml:space="preserve">：</w:t>
            </w:r>
            <w:r>
              <w:rPr>
                <w:sz w:val="21"/>
                <w:szCs w:val="21"/>
              </w:rPr>
            </w:r>
            <w:r/>
          </w:p>
          <w:p>
            <w:pPr>
              <w:pStyle w:val="954"/>
              <w:spacing w:line="360" w:lineRule="auto"/>
              <w:rPr>
                <w:sz w:val="21"/>
                <w:szCs w:val="21"/>
              </w:rPr>
            </w:pPr>
            <w:r>
              <w:rPr>
                <w:rFonts w:hint="eastAsia"/>
                <w:sz w:val="21"/>
                <w:szCs w:val="21"/>
              </w:rPr>
              <w:t xml:space="preserve">1)清理施工垃圾时严禁随意凌空抛</w:t>
            </w:r>
            <w:r>
              <w:rPr>
                <w:rFonts w:hint="eastAsia"/>
                <w:sz w:val="21"/>
                <w:szCs w:val="21"/>
              </w:rPr>
              <w:t xml:space="preserve">撒</w:t>
            </w:r>
            <w:r>
              <w:rPr>
                <w:rFonts w:hint="eastAsia"/>
                <w:sz w:val="21"/>
                <w:szCs w:val="21"/>
              </w:rPr>
              <w:t xml:space="preserve">造成扬尘。装修垃圾及时清运，清运时，适量洒水减少扬尘。</w:t>
            </w:r>
            <w:r>
              <w:rPr>
                <w:sz w:val="21"/>
                <w:szCs w:val="21"/>
              </w:rPr>
            </w:r>
            <w:r/>
          </w:p>
          <w:p>
            <w:pPr>
              <w:pStyle w:val="954"/>
              <w:spacing w:line="360" w:lineRule="auto"/>
              <w:rPr>
                <w:sz w:val="21"/>
                <w:szCs w:val="21"/>
              </w:rPr>
            </w:pPr>
            <w:r>
              <w:rPr>
                <w:rFonts w:hint="eastAsia"/>
                <w:sz w:val="21"/>
                <w:szCs w:val="21"/>
              </w:rPr>
              <w:t xml:space="preserve">2)易飞扬的废料尽量保持湿润，如露天存放时采用严密遮盖。运输和卸运时防止遗洒飞扬。</w:t>
            </w:r>
            <w:r>
              <w:rPr>
                <w:sz w:val="21"/>
                <w:szCs w:val="21"/>
              </w:rPr>
            </w:r>
            <w:r/>
          </w:p>
          <w:p>
            <w:pPr>
              <w:pStyle w:val="954"/>
              <w:spacing w:line="360" w:lineRule="auto"/>
              <w:rPr>
                <w:sz w:val="21"/>
                <w:szCs w:val="21"/>
              </w:rPr>
            </w:pPr>
            <w:r>
              <w:rPr>
                <w:rFonts w:hint="eastAsia"/>
                <w:sz w:val="21"/>
                <w:szCs w:val="21"/>
              </w:rPr>
              <w:t xml:space="preserve">3)在清运过程中应注意安全。</w:t>
            </w:r>
            <w:r>
              <w:rPr>
                <w:sz w:val="21"/>
                <w:szCs w:val="21"/>
              </w:rPr>
            </w:r>
            <w:r/>
          </w:p>
        </w:tc>
      </w:tr>
    </w:tbl>
    <w:p>
      <w:pPr>
        <w:pStyle w:val="954"/>
        <w:ind w:firstLine="420"/>
        <w:spacing w:line="360" w:lineRule="auto"/>
        <w:rPr>
          <w:sz w:val="21"/>
          <w:szCs w:val="21"/>
        </w:rPr>
      </w:pPr>
      <w:r>
        <w:rPr>
          <w:rFonts w:hint="eastAsia"/>
          <w:sz w:val="21"/>
          <w:szCs w:val="21"/>
        </w:rPr>
        <w:t xml:space="preserve">5、安全生产保证</w:t>
      </w:r>
      <w:r>
        <w:rPr>
          <w:sz w:val="21"/>
          <w:szCs w:val="21"/>
        </w:rPr>
      </w:r>
      <w:r/>
    </w:p>
    <w:p>
      <w:pPr>
        <w:pStyle w:val="954"/>
        <w:ind w:firstLine="420"/>
        <w:spacing w:line="360" w:lineRule="auto"/>
        <w:rPr>
          <w:sz w:val="21"/>
          <w:szCs w:val="21"/>
        </w:rPr>
      </w:pPr>
      <w:r>
        <w:rPr>
          <w:rFonts w:hint="eastAsia"/>
          <w:sz w:val="21"/>
          <w:szCs w:val="21"/>
        </w:rPr>
        <w:t xml:space="preserve">服务单位必须坚持“安全第一、预防为主”的方针，严格遵守招标人安全生产要求，杜绝安全事故的发生，建立建全安全管理体系和安全生产责任制。根据安全生产责任制的要求，把安全责任目标分解到岗，落实到人。因服务单位原因出现安全事故，由服务单位承担全部责任。</w:t>
      </w:r>
      <w:r>
        <w:rPr>
          <w:sz w:val="21"/>
          <w:szCs w:val="21"/>
        </w:rPr>
      </w:r>
      <w:r/>
    </w:p>
    <w:p>
      <w:pPr>
        <w:pStyle w:val="954"/>
        <w:jc w:val="center"/>
        <w:spacing w:line="360" w:lineRule="auto"/>
        <w:rPr>
          <w:sz w:val="21"/>
          <w:szCs w:val="21"/>
        </w:rPr>
      </w:pPr>
      <w:r>
        <w:rPr>
          <w:rFonts w:hint="eastAsia"/>
          <w:b/>
          <w:sz w:val="21"/>
          <w:szCs w:val="21"/>
        </w:rPr>
        <w:t xml:space="preserve">安全保证计划表</w:t>
      </w:r>
      <w:r>
        <w:rPr>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8443"/>
      </w:tblGrid>
      <w:tr>
        <w:trPr/>
        <w:tc>
          <w:tcPr>
            <w:tcW w:w="845" w:type="dxa"/>
            <w:vAlign w:val="center"/>
            <w:textDirection w:val="lrTb"/>
            <w:noWrap/>
          </w:tcPr>
          <w:p>
            <w:pPr>
              <w:pStyle w:val="954"/>
              <w:jc w:val="center"/>
              <w:spacing w:line="360" w:lineRule="auto"/>
              <w:rPr>
                <w:sz w:val="21"/>
                <w:szCs w:val="21"/>
              </w:rPr>
            </w:pPr>
            <w:r>
              <w:rPr>
                <w:rFonts w:hint="eastAsia"/>
                <w:sz w:val="21"/>
                <w:szCs w:val="21"/>
              </w:rPr>
              <w:t xml:space="preserve">序号</w:t>
            </w:r>
            <w:r>
              <w:rPr>
                <w:sz w:val="21"/>
                <w:szCs w:val="21"/>
              </w:rPr>
            </w:r>
            <w:r/>
          </w:p>
        </w:tc>
        <w:tc>
          <w:tcPr>
            <w:tcW w:w="8443" w:type="dxa"/>
            <w:vAlign w:val="center"/>
            <w:textDirection w:val="lrTb"/>
            <w:noWrap/>
          </w:tcPr>
          <w:p>
            <w:pPr>
              <w:pStyle w:val="954"/>
              <w:jc w:val="center"/>
              <w:spacing w:line="360" w:lineRule="auto"/>
              <w:rPr>
                <w:sz w:val="21"/>
                <w:szCs w:val="21"/>
              </w:rPr>
            </w:pPr>
            <w:r>
              <w:rPr>
                <w:rFonts w:hint="eastAsia"/>
                <w:sz w:val="21"/>
                <w:szCs w:val="21"/>
              </w:rPr>
              <w:t xml:space="preserve">项目</w:t>
            </w:r>
            <w:r>
              <w:rPr>
                <w:sz w:val="21"/>
                <w:szCs w:val="21"/>
              </w:rPr>
            </w:r>
            <w:r/>
          </w:p>
        </w:tc>
      </w:tr>
      <w:tr>
        <w:trPr/>
        <w:tc>
          <w:tcPr>
            <w:tcW w:w="845" w:type="dxa"/>
            <w:vAlign w:val="center"/>
            <w:textDirection w:val="lrTb"/>
            <w:noWrap/>
          </w:tcPr>
          <w:p>
            <w:pPr>
              <w:pStyle w:val="954"/>
              <w:jc w:val="center"/>
              <w:spacing w:line="360" w:lineRule="auto"/>
              <w:rPr>
                <w:sz w:val="21"/>
                <w:szCs w:val="21"/>
              </w:rPr>
            </w:pPr>
            <w:r>
              <w:rPr>
                <w:rFonts w:hint="eastAsia"/>
                <w:sz w:val="21"/>
                <w:szCs w:val="21"/>
              </w:rPr>
              <w:t xml:space="preserve">1</w:t>
            </w:r>
            <w:r>
              <w:rPr>
                <w:sz w:val="21"/>
                <w:szCs w:val="21"/>
              </w:rPr>
            </w:r>
            <w:r/>
          </w:p>
        </w:tc>
        <w:tc>
          <w:tcPr>
            <w:tcW w:w="8443" w:type="dxa"/>
            <w:vAlign w:val="center"/>
            <w:textDirection w:val="lrTb"/>
            <w:noWrap/>
          </w:tcPr>
          <w:p>
            <w:pPr>
              <w:pStyle w:val="954"/>
              <w:spacing w:line="360" w:lineRule="auto"/>
              <w:rPr>
                <w:sz w:val="21"/>
                <w:szCs w:val="21"/>
              </w:rPr>
            </w:pPr>
            <w:r>
              <w:rPr>
                <w:rFonts w:hint="eastAsia"/>
                <w:sz w:val="21"/>
                <w:szCs w:val="21"/>
              </w:rPr>
              <w:t xml:space="preserve">根据项目安全目标配置必要的资源，确保作业安全，保证目标的实现。专业性较强的作业项目，应编制专项安全作业组织设计并采取安全技术措施。</w:t>
            </w:r>
            <w:r>
              <w:rPr>
                <w:sz w:val="21"/>
                <w:szCs w:val="21"/>
              </w:rPr>
            </w:r>
            <w:r/>
          </w:p>
        </w:tc>
      </w:tr>
      <w:tr>
        <w:trPr/>
        <w:tc>
          <w:tcPr>
            <w:tcW w:w="845" w:type="dxa"/>
            <w:vAlign w:val="center"/>
            <w:textDirection w:val="lrTb"/>
            <w:noWrap/>
          </w:tcPr>
          <w:p>
            <w:pPr>
              <w:pStyle w:val="954"/>
              <w:jc w:val="center"/>
              <w:spacing w:line="360" w:lineRule="auto"/>
              <w:rPr>
                <w:sz w:val="21"/>
                <w:szCs w:val="21"/>
              </w:rPr>
            </w:pPr>
            <w:r>
              <w:rPr>
                <w:rFonts w:hint="eastAsia"/>
                <w:sz w:val="21"/>
                <w:szCs w:val="21"/>
              </w:rPr>
              <w:t xml:space="preserve">2</w:t>
            </w:r>
            <w:r>
              <w:rPr>
                <w:sz w:val="21"/>
                <w:szCs w:val="21"/>
              </w:rPr>
            </w:r>
            <w:r/>
          </w:p>
        </w:tc>
        <w:tc>
          <w:tcPr>
            <w:tcW w:w="8443" w:type="dxa"/>
            <w:vAlign w:val="center"/>
            <w:textDirection w:val="lrTb"/>
            <w:noWrap/>
          </w:tcPr>
          <w:p>
            <w:pPr>
              <w:pStyle w:val="954"/>
              <w:spacing w:line="360" w:lineRule="auto"/>
              <w:rPr>
                <w:sz w:val="21"/>
                <w:szCs w:val="21"/>
              </w:rPr>
            </w:pPr>
            <w:r>
              <w:rPr>
                <w:rFonts w:hint="eastAsia"/>
                <w:sz w:val="21"/>
                <w:szCs w:val="21"/>
              </w:rPr>
              <w:t xml:space="preserve">根据项目特点、作业方法、作业工序、安全法规和标准的要求，采取可靠的技术措施，消除隐患，保证作业安全。</w:t>
            </w:r>
            <w:r>
              <w:rPr>
                <w:sz w:val="21"/>
                <w:szCs w:val="21"/>
              </w:rPr>
            </w:r>
            <w:r/>
          </w:p>
        </w:tc>
      </w:tr>
      <w:tr>
        <w:trPr/>
        <w:tc>
          <w:tcPr>
            <w:tcW w:w="845" w:type="dxa"/>
            <w:vAlign w:val="center"/>
            <w:textDirection w:val="lrTb"/>
            <w:noWrap/>
          </w:tcPr>
          <w:p>
            <w:pPr>
              <w:pStyle w:val="954"/>
              <w:jc w:val="center"/>
              <w:spacing w:line="360" w:lineRule="auto"/>
              <w:rPr>
                <w:sz w:val="21"/>
                <w:szCs w:val="21"/>
              </w:rPr>
            </w:pPr>
            <w:r>
              <w:rPr>
                <w:rFonts w:hint="eastAsia"/>
                <w:sz w:val="21"/>
                <w:szCs w:val="21"/>
              </w:rPr>
              <w:t xml:space="preserve">3</w:t>
            </w:r>
            <w:r>
              <w:rPr>
                <w:sz w:val="21"/>
                <w:szCs w:val="21"/>
              </w:rPr>
            </w:r>
            <w:r/>
          </w:p>
        </w:tc>
        <w:tc>
          <w:tcPr>
            <w:tcW w:w="8443" w:type="dxa"/>
            <w:vAlign w:val="center"/>
            <w:textDirection w:val="lrTb"/>
            <w:noWrap/>
          </w:tcPr>
          <w:p>
            <w:pPr>
              <w:pStyle w:val="954"/>
              <w:spacing w:line="360" w:lineRule="auto"/>
              <w:rPr>
                <w:sz w:val="21"/>
                <w:szCs w:val="21"/>
              </w:rPr>
            </w:pPr>
            <w:r>
              <w:rPr>
                <w:rFonts w:hint="eastAsia"/>
                <w:sz w:val="21"/>
                <w:szCs w:val="21"/>
              </w:rPr>
              <w:t xml:space="preserve">对作业难度大、安全风险大的作业项目，除制定项目安全技术总体安全保证计划外，还必须制定专项安全作业技术措施。</w:t>
            </w:r>
            <w:r>
              <w:rPr>
                <w:sz w:val="21"/>
                <w:szCs w:val="21"/>
              </w:rPr>
            </w:r>
            <w:r/>
          </w:p>
        </w:tc>
      </w:tr>
      <w:tr>
        <w:trPr/>
        <w:tc>
          <w:tcPr>
            <w:tcW w:w="845" w:type="dxa"/>
            <w:vAlign w:val="center"/>
            <w:textDirection w:val="lrTb"/>
            <w:noWrap/>
          </w:tcPr>
          <w:p>
            <w:pPr>
              <w:pStyle w:val="954"/>
              <w:jc w:val="center"/>
              <w:spacing w:line="360" w:lineRule="auto"/>
              <w:rPr>
                <w:sz w:val="21"/>
                <w:szCs w:val="21"/>
              </w:rPr>
            </w:pPr>
            <w:r>
              <w:rPr>
                <w:rFonts w:hint="eastAsia"/>
                <w:sz w:val="21"/>
                <w:szCs w:val="21"/>
              </w:rPr>
              <w:t xml:space="preserve">4</w:t>
            </w:r>
            <w:r>
              <w:rPr>
                <w:sz w:val="21"/>
                <w:szCs w:val="21"/>
              </w:rPr>
            </w:r>
            <w:r/>
          </w:p>
        </w:tc>
        <w:tc>
          <w:tcPr>
            <w:tcW w:w="8443" w:type="dxa"/>
            <w:vAlign w:val="center"/>
            <w:textDirection w:val="lrTb"/>
            <w:noWrap/>
          </w:tcPr>
          <w:p>
            <w:pPr>
              <w:pStyle w:val="954"/>
              <w:spacing w:line="360" w:lineRule="auto"/>
              <w:rPr>
                <w:sz w:val="21"/>
                <w:szCs w:val="21"/>
              </w:rPr>
            </w:pPr>
            <w:r>
              <w:rPr>
                <w:rFonts w:hint="eastAsia"/>
                <w:sz w:val="21"/>
                <w:szCs w:val="21"/>
              </w:rPr>
              <w:t xml:space="preserve">安全技术措施应包括</w:t>
            </w:r>
            <w:r>
              <w:rPr>
                <w:rFonts w:hint="eastAsia"/>
                <w:sz w:val="21"/>
                <w:szCs w:val="21"/>
              </w:rPr>
              <w:t xml:space="preserve">：</w:t>
            </w:r>
            <w:r>
              <w:rPr>
                <w:rFonts w:hint="eastAsia"/>
                <w:sz w:val="21"/>
                <w:szCs w:val="21"/>
              </w:rPr>
              <w:t xml:space="preserve">防火、防毒、防爆、防尘、防触电、防物体打击、防机械伤害、防高空坠落、防交通事故、防寒、防暑、防疫、防环境污染等方面的措施。</w:t>
            </w:r>
            <w:r>
              <w:rPr>
                <w:sz w:val="21"/>
                <w:szCs w:val="21"/>
              </w:rPr>
            </w:r>
            <w:r/>
          </w:p>
        </w:tc>
      </w:tr>
    </w:tbl>
    <w:p>
      <w:pPr>
        <w:pStyle w:val="954"/>
        <w:jc w:val="center"/>
        <w:spacing w:line="360" w:lineRule="auto"/>
        <w:rPr>
          <w:sz w:val="21"/>
          <w:szCs w:val="21"/>
        </w:rPr>
      </w:pPr>
      <w:r>
        <w:rPr>
          <w:rFonts w:hint="eastAsia"/>
          <w:b/>
          <w:sz w:val="21"/>
          <w:szCs w:val="21"/>
        </w:rPr>
        <w:t xml:space="preserve">安全教育措施表</w:t>
      </w:r>
      <w:r>
        <w:rPr>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6"/>
        <w:gridCol w:w="8402"/>
      </w:tblGrid>
      <w:tr>
        <w:trPr/>
        <w:tc>
          <w:tcPr>
            <w:tcW w:w="886" w:type="dxa"/>
            <w:vAlign w:val="center"/>
            <w:textDirection w:val="lrTb"/>
            <w:noWrap/>
          </w:tcPr>
          <w:p>
            <w:pPr>
              <w:pStyle w:val="954"/>
              <w:jc w:val="center"/>
              <w:spacing w:line="360" w:lineRule="auto"/>
              <w:rPr>
                <w:sz w:val="21"/>
                <w:szCs w:val="21"/>
              </w:rPr>
            </w:pPr>
            <w:r>
              <w:rPr>
                <w:rFonts w:hint="eastAsia"/>
                <w:sz w:val="21"/>
                <w:szCs w:val="21"/>
              </w:rPr>
              <w:t xml:space="preserve">序号</w:t>
            </w:r>
            <w:r>
              <w:rPr>
                <w:sz w:val="21"/>
                <w:szCs w:val="21"/>
              </w:rPr>
            </w:r>
            <w:r/>
          </w:p>
        </w:tc>
        <w:tc>
          <w:tcPr>
            <w:tcW w:w="8402" w:type="dxa"/>
            <w:vAlign w:val="center"/>
            <w:textDirection w:val="lrTb"/>
            <w:noWrap/>
          </w:tcPr>
          <w:p>
            <w:pPr>
              <w:pStyle w:val="954"/>
              <w:jc w:val="center"/>
              <w:spacing w:line="360" w:lineRule="auto"/>
              <w:rPr>
                <w:sz w:val="21"/>
                <w:szCs w:val="21"/>
              </w:rPr>
            </w:pPr>
            <w:r>
              <w:rPr>
                <w:rFonts w:hint="eastAsia"/>
                <w:sz w:val="21"/>
                <w:szCs w:val="21"/>
              </w:rPr>
              <w:t xml:space="preserve">项目</w:t>
            </w:r>
            <w:r>
              <w:rPr>
                <w:sz w:val="21"/>
                <w:szCs w:val="21"/>
              </w:rPr>
            </w:r>
            <w:r/>
          </w:p>
        </w:tc>
      </w:tr>
      <w:tr>
        <w:trPr/>
        <w:tc>
          <w:tcPr>
            <w:tcW w:w="886" w:type="dxa"/>
            <w:vAlign w:val="center"/>
            <w:textDirection w:val="lrTb"/>
            <w:noWrap/>
          </w:tcPr>
          <w:p>
            <w:pPr>
              <w:pStyle w:val="954"/>
              <w:jc w:val="center"/>
              <w:spacing w:line="360" w:lineRule="auto"/>
              <w:rPr>
                <w:sz w:val="21"/>
                <w:szCs w:val="21"/>
              </w:rPr>
            </w:pPr>
            <w:r>
              <w:rPr>
                <w:rFonts w:hint="eastAsia"/>
                <w:sz w:val="21"/>
                <w:szCs w:val="21"/>
              </w:rPr>
              <w:t xml:space="preserve">1</w:t>
            </w:r>
            <w:r>
              <w:rPr>
                <w:sz w:val="21"/>
                <w:szCs w:val="21"/>
              </w:rPr>
            </w:r>
            <w:r/>
          </w:p>
        </w:tc>
        <w:tc>
          <w:tcPr>
            <w:tcW w:w="8402" w:type="dxa"/>
            <w:vAlign w:val="center"/>
            <w:textDirection w:val="lrTb"/>
            <w:noWrap/>
          </w:tcPr>
          <w:p>
            <w:pPr>
              <w:pStyle w:val="954"/>
              <w:spacing w:line="360" w:lineRule="auto"/>
              <w:rPr>
                <w:sz w:val="21"/>
                <w:szCs w:val="21"/>
              </w:rPr>
            </w:pPr>
            <w:r>
              <w:rPr>
                <w:rFonts w:hint="eastAsia"/>
                <w:sz w:val="21"/>
                <w:szCs w:val="21"/>
              </w:rPr>
              <w:t xml:space="preserve">服务单位应建立安全生产教育制度未经作业安全生产教育的人员不得，上岗作业。</w:t>
            </w:r>
            <w:r>
              <w:rPr>
                <w:sz w:val="21"/>
                <w:szCs w:val="21"/>
              </w:rPr>
            </w:r>
            <w:r/>
          </w:p>
        </w:tc>
      </w:tr>
      <w:tr>
        <w:trPr/>
        <w:tc>
          <w:tcPr>
            <w:tcW w:w="886" w:type="dxa"/>
            <w:vAlign w:val="center"/>
            <w:textDirection w:val="lrTb"/>
            <w:noWrap/>
          </w:tcPr>
          <w:p>
            <w:pPr>
              <w:pStyle w:val="954"/>
              <w:jc w:val="center"/>
              <w:spacing w:line="360" w:lineRule="auto"/>
              <w:rPr>
                <w:sz w:val="21"/>
                <w:szCs w:val="21"/>
              </w:rPr>
            </w:pPr>
            <w:r>
              <w:rPr>
                <w:rFonts w:hint="eastAsia"/>
                <w:sz w:val="21"/>
                <w:szCs w:val="21"/>
              </w:rPr>
              <w:t xml:space="preserve">2</w:t>
            </w:r>
            <w:r>
              <w:rPr>
                <w:sz w:val="21"/>
                <w:szCs w:val="21"/>
              </w:rPr>
            </w:r>
            <w:r/>
          </w:p>
        </w:tc>
        <w:tc>
          <w:tcPr>
            <w:tcW w:w="8402" w:type="dxa"/>
            <w:vAlign w:val="center"/>
            <w:textDirection w:val="lrTb"/>
            <w:noWrap/>
          </w:tcPr>
          <w:p>
            <w:pPr>
              <w:pStyle w:val="954"/>
              <w:spacing w:line="360" w:lineRule="auto"/>
              <w:rPr>
                <w:sz w:val="21"/>
                <w:szCs w:val="21"/>
              </w:rPr>
            </w:pPr>
            <w:r>
              <w:rPr>
                <w:rFonts w:hint="eastAsia"/>
                <w:sz w:val="21"/>
                <w:szCs w:val="21"/>
              </w:rPr>
              <w:t xml:space="preserve">定期开展日常性安全教育培训，保存培训记录。</w:t>
            </w:r>
            <w:r>
              <w:rPr>
                <w:sz w:val="21"/>
                <w:szCs w:val="21"/>
              </w:rPr>
            </w:r>
            <w:r/>
          </w:p>
        </w:tc>
      </w:tr>
      <w:tr>
        <w:trPr/>
        <w:tc>
          <w:tcPr>
            <w:tcW w:w="886" w:type="dxa"/>
            <w:vAlign w:val="center"/>
            <w:textDirection w:val="lrTb"/>
            <w:noWrap/>
          </w:tcPr>
          <w:p>
            <w:pPr>
              <w:pStyle w:val="954"/>
              <w:jc w:val="center"/>
              <w:spacing w:line="360" w:lineRule="auto"/>
              <w:rPr>
                <w:sz w:val="21"/>
                <w:szCs w:val="21"/>
              </w:rPr>
            </w:pPr>
            <w:r>
              <w:rPr>
                <w:rFonts w:hint="eastAsia"/>
                <w:sz w:val="21"/>
                <w:szCs w:val="21"/>
              </w:rPr>
              <w:t xml:space="preserve">3</w:t>
            </w:r>
            <w:r>
              <w:rPr>
                <w:sz w:val="21"/>
                <w:szCs w:val="21"/>
              </w:rPr>
            </w:r>
            <w:r/>
          </w:p>
        </w:tc>
        <w:tc>
          <w:tcPr>
            <w:tcW w:w="8402" w:type="dxa"/>
            <w:vAlign w:val="center"/>
            <w:textDirection w:val="lrTb"/>
            <w:noWrap/>
          </w:tcPr>
          <w:p>
            <w:pPr>
              <w:pStyle w:val="954"/>
              <w:spacing w:line="360" w:lineRule="auto"/>
              <w:rPr>
                <w:sz w:val="21"/>
                <w:szCs w:val="21"/>
              </w:rPr>
            </w:pPr>
            <w:r>
              <w:rPr>
                <w:rFonts w:hint="eastAsia"/>
                <w:sz w:val="21"/>
                <w:szCs w:val="21"/>
              </w:rPr>
              <w:t xml:space="preserve">熟知招标人的相关安全管理制度和规范要求。</w:t>
            </w:r>
            <w:r>
              <w:rPr>
                <w:sz w:val="21"/>
                <w:szCs w:val="21"/>
              </w:rPr>
            </w:r>
            <w:r/>
          </w:p>
          <w:p>
            <w:pPr>
              <w:pStyle w:val="954"/>
              <w:spacing w:line="360" w:lineRule="auto"/>
              <w:rPr>
                <w:sz w:val="21"/>
                <w:szCs w:val="21"/>
              </w:rPr>
            </w:pPr>
            <w:r>
              <w:rPr>
                <w:rFonts w:hint="eastAsia"/>
                <w:sz w:val="21"/>
                <w:szCs w:val="21"/>
              </w:rPr>
              <w:t xml:space="preserve">工作人员安全教育内容包括</w:t>
            </w:r>
            <w:r>
              <w:rPr>
                <w:rFonts w:hint="eastAsia"/>
                <w:sz w:val="21"/>
                <w:szCs w:val="21"/>
              </w:rPr>
              <w:t xml:space="preserve">：</w:t>
            </w:r>
            <w:r>
              <w:rPr>
                <w:rFonts w:hint="eastAsia"/>
                <w:sz w:val="21"/>
                <w:szCs w:val="21"/>
              </w:rPr>
              <w:t xml:space="preserve">了解所承担作业任务的特点，学习作业安全基本知识、安全生产制度及相关工种的安全技术操作规程</w:t>
            </w:r>
            <w:r>
              <w:rPr>
                <w:rFonts w:hint="eastAsia"/>
                <w:sz w:val="21"/>
                <w:szCs w:val="21"/>
              </w:rPr>
              <w:t xml:space="preserve">；</w:t>
            </w:r>
            <w:r>
              <w:rPr>
                <w:rFonts w:hint="eastAsia"/>
                <w:sz w:val="21"/>
                <w:szCs w:val="21"/>
              </w:rPr>
              <w:t xml:space="preserve">学习作业机具设备使用等安全基本知识；学习防火、防毒、防尘、防雷击、防触电、防高空坠落、防物体打击、防机械伤害知识及紧急安全救护知识。</w:t>
            </w:r>
            <w:r>
              <w:rPr>
                <w:sz w:val="21"/>
                <w:szCs w:val="21"/>
              </w:rPr>
            </w:r>
            <w:r/>
          </w:p>
        </w:tc>
      </w:tr>
    </w:tbl>
    <w:p>
      <w:pPr>
        <w:pStyle w:val="954"/>
        <w:ind w:firstLine="480"/>
        <w:spacing w:line="360" w:lineRule="auto"/>
        <w:tabs>
          <w:tab w:val="left" w:pos="567" w:leader="none"/>
        </w:tabs>
        <w:rPr>
          <w:rFonts w:hint="eastAsia"/>
          <w:sz w:val="21"/>
          <w:szCs w:val="21"/>
        </w:rPr>
      </w:pPr>
      <w:r>
        <w:rPr>
          <w:rFonts w:hint="eastAsia"/>
          <w:sz w:val="21"/>
          <w:szCs w:val="21"/>
        </w:rPr>
        <w:t xml:space="preserve">6</w:t>
      </w:r>
      <w:r>
        <w:rPr>
          <w:rFonts w:hint="eastAsia"/>
          <w:sz w:val="21"/>
          <w:szCs w:val="21"/>
        </w:rPr>
        <w:t xml:space="preserve">、投标单位须服从项目相关方（包括但不限于采购方、城管、交警、垃圾处置方等）的管理。</w:t>
      </w:r>
      <w:r/>
    </w:p>
    <w:p>
      <w:pPr>
        <w:pStyle w:val="954"/>
        <w:ind w:firstLine="480"/>
        <w:spacing w:line="360" w:lineRule="auto"/>
        <w:tabs>
          <w:tab w:val="left" w:pos="567" w:leader="none"/>
        </w:tabs>
        <w:rPr>
          <w:rFonts w:hint="eastAsia"/>
          <w:sz w:val="21"/>
          <w:szCs w:val="21"/>
        </w:rPr>
      </w:pPr>
      <w:r>
        <w:rPr>
          <w:rFonts w:hint="eastAsia"/>
          <w:sz w:val="21"/>
          <w:szCs w:val="21"/>
        </w:rPr>
        <w:t xml:space="preserve">7</w:t>
      </w:r>
      <w:r>
        <w:rPr>
          <w:rFonts w:hint="eastAsia"/>
          <w:sz w:val="21"/>
          <w:szCs w:val="21"/>
        </w:rPr>
        <w:t xml:space="preserve">、投标单位自行考虑运距，结算不再调整。</w:t>
      </w:r>
      <w:r/>
    </w:p>
    <w:p>
      <w:pPr>
        <w:pStyle w:val="954"/>
        <w:ind w:firstLine="480"/>
        <w:spacing w:line="360" w:lineRule="auto"/>
        <w:tabs>
          <w:tab w:val="left" w:pos="567" w:leader="none"/>
        </w:tabs>
        <w:rPr>
          <w:rFonts w:hint="eastAsia"/>
          <w:sz w:val="21"/>
          <w:szCs w:val="21"/>
        </w:rPr>
      </w:pPr>
      <w:r>
        <w:rPr>
          <w:rFonts w:hint="eastAsia"/>
          <w:sz w:val="21"/>
          <w:szCs w:val="21"/>
        </w:rPr>
        <w:t xml:space="preserve">8</w:t>
      </w:r>
      <w:r>
        <w:rPr>
          <w:rFonts w:hint="eastAsia"/>
          <w:sz w:val="21"/>
          <w:szCs w:val="21"/>
        </w:rPr>
        <w:t xml:space="preserve">、投标单位针对本项目服务内容及要求提供服务实施方案，内容至少包括：</w:t>
      </w:r>
      <w:r/>
    </w:p>
    <w:p>
      <w:pPr>
        <w:pStyle w:val="954"/>
        <w:ind w:firstLine="480"/>
        <w:spacing w:line="360" w:lineRule="auto"/>
        <w:tabs>
          <w:tab w:val="left" w:pos="567" w:leader="none"/>
        </w:tabs>
        <w:rPr>
          <w:rFonts w:hint="eastAsia"/>
          <w:sz w:val="21"/>
          <w:szCs w:val="21"/>
        </w:rPr>
      </w:pPr>
      <w:r>
        <w:rPr>
          <w:rFonts w:hint="eastAsia"/>
          <w:sz w:val="21"/>
          <w:szCs w:val="21"/>
        </w:rPr>
        <w:t xml:space="preserve">（1）清运方案（运输路线规划、服务响应、作业流程、与项目相关方的协调配合等）；</w:t>
      </w:r>
      <w:r/>
    </w:p>
    <w:p>
      <w:pPr>
        <w:pStyle w:val="954"/>
        <w:ind w:firstLine="480"/>
        <w:spacing w:line="360" w:lineRule="auto"/>
        <w:tabs>
          <w:tab w:val="left" w:pos="567" w:leader="none"/>
        </w:tabs>
        <w:rPr>
          <w:rFonts w:hint="eastAsia"/>
          <w:sz w:val="21"/>
          <w:szCs w:val="21"/>
        </w:rPr>
      </w:pPr>
      <w:r>
        <w:rPr>
          <w:rFonts w:hint="eastAsia"/>
          <w:sz w:val="21"/>
          <w:szCs w:val="21"/>
        </w:rPr>
        <w:t xml:space="preserve">（2）人员配备（岗位设置、人员安排及分工、责任划分、人员安全作业培训等）；</w:t>
      </w:r>
      <w:r/>
    </w:p>
    <w:p>
      <w:pPr>
        <w:pStyle w:val="954"/>
        <w:ind w:firstLine="480"/>
        <w:spacing w:line="360" w:lineRule="auto"/>
        <w:tabs>
          <w:tab w:val="left" w:pos="567" w:leader="none"/>
        </w:tabs>
        <w:rPr>
          <w:rFonts w:hint="eastAsia"/>
          <w:sz w:val="21"/>
          <w:szCs w:val="21"/>
        </w:rPr>
      </w:pPr>
      <w:r>
        <w:rPr>
          <w:rFonts w:hint="eastAsia"/>
          <w:sz w:val="21"/>
          <w:szCs w:val="21"/>
        </w:rPr>
        <w:t xml:space="preserve">（3）车辆配备（车辆配置清单、车辆调度方案等）。</w:t>
      </w:r>
      <w:r/>
    </w:p>
    <w:p>
      <w:pPr>
        <w:pStyle w:val="954"/>
        <w:ind w:firstLine="480"/>
        <w:spacing w:line="360" w:lineRule="auto"/>
        <w:tabs>
          <w:tab w:val="left" w:pos="567" w:leader="none"/>
        </w:tabs>
        <w:rPr>
          <w:rFonts w:hint="eastAsia"/>
          <w:sz w:val="21"/>
          <w:szCs w:val="21"/>
        </w:rPr>
      </w:pPr>
      <w:r>
        <w:rPr>
          <w:rFonts w:hint="eastAsia"/>
          <w:sz w:val="21"/>
          <w:szCs w:val="21"/>
        </w:rPr>
        <w:t xml:space="preserve">9</w:t>
      </w:r>
      <w:r>
        <w:rPr>
          <w:rFonts w:hint="eastAsia"/>
          <w:sz w:val="21"/>
          <w:szCs w:val="21"/>
        </w:rPr>
        <w:t xml:space="preserve">、投标单位针对本项目制定相应措施，防止作业现场尘土飞扬、污水流溢，控制、防范车辆在运输过程中抛洒、滴漏和对空气造成污染的不良影响。</w:t>
      </w:r>
      <w:r/>
    </w:p>
    <w:p>
      <w:pPr>
        <w:pStyle w:val="954"/>
        <w:ind w:firstLine="480"/>
        <w:spacing w:line="360" w:lineRule="auto"/>
        <w:tabs>
          <w:tab w:val="left" w:pos="567" w:leader="none"/>
        </w:tabs>
        <w:rPr>
          <w:rFonts w:hint="eastAsia"/>
          <w:sz w:val="21"/>
          <w:szCs w:val="21"/>
        </w:rPr>
      </w:pPr>
      <w:r>
        <w:rPr>
          <w:rFonts w:hint="eastAsia"/>
          <w:sz w:val="21"/>
          <w:szCs w:val="21"/>
        </w:rPr>
        <w:t xml:space="preserve">10</w:t>
      </w:r>
      <w:r>
        <w:rPr>
          <w:rFonts w:hint="eastAsia"/>
          <w:sz w:val="21"/>
          <w:szCs w:val="21"/>
        </w:rPr>
        <w:t xml:space="preserve">、建立健全应急预案，明确应急责任人、响应时间，针对不同事件明确处置方式，包括但不限于装修旺季清运预案，车辆抛锚、交通事故应急预案，各类恶劣灾害性天气应急预案，突发事件应急预案等。</w:t>
      </w:r>
      <w:r/>
    </w:p>
    <w:p>
      <w:pPr>
        <w:pStyle w:val="954"/>
        <w:ind w:firstLine="480"/>
        <w:spacing w:line="360" w:lineRule="auto"/>
        <w:tabs>
          <w:tab w:val="left" w:pos="567" w:leader="none"/>
        </w:tabs>
        <w:rPr>
          <w:rFonts w:hint="eastAsia"/>
          <w:sz w:val="21"/>
          <w:szCs w:val="21"/>
        </w:rPr>
      </w:pPr>
      <w:r>
        <w:rPr>
          <w:rFonts w:hint="eastAsia"/>
          <w:sz w:val="21"/>
          <w:szCs w:val="21"/>
        </w:rPr>
        <w:t xml:space="preserve">11</w:t>
      </w:r>
      <w:r>
        <w:rPr>
          <w:rFonts w:hint="eastAsia"/>
          <w:sz w:val="21"/>
          <w:szCs w:val="21"/>
        </w:rPr>
        <w:t xml:space="preserve">、建立健全各项管理制度，包括但不限于人员操作、技术、安全作业培训制度，车辆运营、安全、保养、行政管理制度，装、运、卸过程安全管理制度，日常清运台账、过磅记录等内业资料管理制度等。</w:t>
      </w:r>
      <w:r/>
    </w:p>
    <w:p>
      <w:pPr>
        <w:pStyle w:val="954"/>
        <w:ind w:firstLine="480"/>
        <w:spacing w:line="360" w:lineRule="auto"/>
        <w:tabs>
          <w:tab w:val="left" w:pos="567" w:leader="none"/>
        </w:tabs>
        <w:rPr>
          <w:rFonts w:hint="eastAsia"/>
          <w:sz w:val="21"/>
          <w:szCs w:val="21"/>
        </w:rPr>
      </w:pPr>
      <w:r>
        <w:rPr>
          <w:rFonts w:hint="eastAsia"/>
          <w:sz w:val="21"/>
          <w:szCs w:val="21"/>
        </w:rPr>
        <w:t xml:space="preserve">1</w:t>
      </w:r>
      <w:r>
        <w:rPr>
          <w:rFonts w:hint="eastAsia"/>
          <w:sz w:val="21"/>
          <w:szCs w:val="21"/>
        </w:rPr>
        <w:t xml:space="preserve">2、</w:t>
      </w:r>
      <w:r>
        <w:rPr>
          <w:rFonts w:hint="eastAsia"/>
          <w:sz w:val="21"/>
          <w:szCs w:val="21"/>
        </w:rPr>
        <w:t xml:space="preserve">安全责任：中标单位负责在服务中一切安全工作，如发生人员伤亡等意外事故，一切后果全部由中标单位负责，采购方不承担</w:t>
      </w:r>
      <w:r>
        <w:rPr>
          <w:rFonts w:hint="eastAsia"/>
          <w:sz w:val="21"/>
          <w:szCs w:val="21"/>
        </w:rPr>
        <w:t xml:space="preserve">任何安全及事故责任。</w:t>
      </w:r>
      <w:r/>
    </w:p>
    <w:p>
      <w:pPr>
        <w:pStyle w:val="954"/>
        <w:ind w:firstLine="422"/>
        <w:spacing w:line="360" w:lineRule="auto"/>
        <w:rPr>
          <w:rFonts w:hint="eastAsia"/>
          <w:b/>
          <w:bCs/>
          <w:sz w:val="21"/>
          <w:szCs w:val="21"/>
        </w:rPr>
      </w:pPr>
      <w:r>
        <w:rPr>
          <w:rFonts w:hint="eastAsia"/>
          <w:b/>
          <w:bCs/>
          <w:sz w:val="21"/>
          <w:szCs w:val="21"/>
        </w:rPr>
        <w:t xml:space="preserve">（三）合同履行期限：</w:t>
      </w:r>
      <w:r>
        <w:rPr>
          <w:rFonts w:hint="eastAsia"/>
          <w:sz w:val="21"/>
          <w:szCs w:val="21"/>
        </w:rPr>
        <w:t xml:space="preserve">一年或项目服务累计结算金额达到预算金额（二者中以先到者为准），具体进场日期以采购方通知为准。</w:t>
      </w:r>
      <w:r>
        <w:rPr>
          <w:rFonts w:hint="eastAsia"/>
          <w:b/>
          <w:bCs/>
          <w:sz w:val="21"/>
          <w:szCs w:val="21"/>
        </w:rPr>
      </w:r>
      <w:r/>
    </w:p>
    <w:p>
      <w:pPr>
        <w:pStyle w:val="954"/>
        <w:ind w:firstLine="422"/>
        <w:spacing w:line="360" w:lineRule="auto"/>
        <w:rPr>
          <w:rFonts w:hint="eastAsia"/>
          <w:b/>
          <w:bCs/>
          <w:sz w:val="21"/>
          <w:szCs w:val="21"/>
        </w:rPr>
      </w:pPr>
      <w:r>
        <w:rPr>
          <w:rFonts w:hint="eastAsia"/>
          <w:b/>
          <w:bCs/>
          <w:sz w:val="21"/>
          <w:szCs w:val="21"/>
        </w:rPr>
        <w:t xml:space="preserve">（四）报价要求</w:t>
      </w:r>
      <w:r/>
    </w:p>
    <w:p>
      <w:pPr>
        <w:pStyle w:val="954"/>
        <w:ind w:firstLine="480"/>
        <w:spacing w:line="360" w:lineRule="auto"/>
        <w:tabs>
          <w:tab w:val="left" w:pos="567" w:leader="none"/>
        </w:tabs>
        <w:rPr>
          <w:rFonts w:hint="eastAsia"/>
          <w:sz w:val="21"/>
          <w:szCs w:val="21"/>
        </w:rPr>
      </w:pPr>
      <w:r>
        <w:rPr>
          <w:rFonts w:hint="eastAsia"/>
          <w:sz w:val="21"/>
          <w:szCs w:val="21"/>
        </w:rPr>
        <w:t xml:space="preserve">1、投标人须对本项目中的所有内容进行报价，否则作无效投标处理。</w:t>
      </w:r>
      <w:r/>
    </w:p>
    <w:p>
      <w:pPr>
        <w:pStyle w:val="954"/>
        <w:ind w:firstLine="480"/>
        <w:spacing w:line="360" w:lineRule="auto"/>
        <w:tabs>
          <w:tab w:val="left" w:pos="567" w:leader="none"/>
        </w:tabs>
        <w:rPr>
          <w:rFonts w:hint="eastAsia"/>
          <w:sz w:val="21"/>
          <w:szCs w:val="21"/>
        </w:rPr>
      </w:pPr>
      <w:r>
        <w:rPr>
          <w:rFonts w:hint="eastAsia"/>
          <w:sz w:val="21"/>
          <w:szCs w:val="21"/>
        </w:rPr>
        <w:t xml:space="preserve">2、投标应以人民币报价，投标报价一次报定，报价均已包括但不限于完成本项目所需的人工费（包括人员工资、加班工资、社保等）、劳动工具、劳保用品、人身意外伤害险、车辆使用费、养护车辆和设备的保养、油料费、耗材、车辆保险费、完成本项目所需管理费、利润、风险费、各种税费、政策性文件规定的费用以及在服务过程中发生的一切费用。</w:t>
      </w:r>
      <w:r/>
    </w:p>
    <w:p>
      <w:pPr>
        <w:pStyle w:val="954"/>
        <w:ind w:firstLine="480"/>
        <w:spacing w:line="360" w:lineRule="auto"/>
        <w:tabs>
          <w:tab w:val="left" w:pos="567" w:leader="none"/>
        </w:tabs>
        <w:rPr>
          <w:rFonts w:hint="eastAsia"/>
          <w:sz w:val="21"/>
          <w:szCs w:val="21"/>
        </w:rPr>
      </w:pPr>
      <w:r>
        <w:rPr>
          <w:rFonts w:hint="eastAsia"/>
          <w:sz w:val="21"/>
          <w:szCs w:val="21"/>
        </w:rPr>
        <w:t xml:space="preserve">3、投标人应根据项目需求充分考虑本项目的特殊性和不可预见性在内的所有为完成本项目的所有费用，采购人不承担由于投标人漏报、少报所带来的全部风险和责任。</w:t>
      </w:r>
      <w:r/>
    </w:p>
    <w:p>
      <w:pPr>
        <w:pStyle w:val="954"/>
        <w:ind w:firstLine="480"/>
        <w:spacing w:line="360" w:lineRule="auto"/>
        <w:tabs>
          <w:tab w:val="left" w:pos="567" w:leader="none"/>
        </w:tabs>
        <w:rPr>
          <w:rFonts w:hint="eastAsia"/>
          <w:sz w:val="21"/>
          <w:szCs w:val="21"/>
        </w:rPr>
      </w:pPr>
      <w:r>
        <w:rPr>
          <w:rFonts w:hint="eastAsia"/>
          <w:sz w:val="21"/>
          <w:szCs w:val="21"/>
        </w:rPr>
        <w:t xml:space="preserve">4、请投标人根据自身经验，充分考虑本项目的潜在风险，并自行承担由此而产生的一切费用，采购人不因项目不可预见的情况而支付任何费用。</w:t>
      </w:r>
      <w:r/>
    </w:p>
    <w:p>
      <w:pPr>
        <w:pStyle w:val="954"/>
        <w:ind w:firstLine="422"/>
        <w:spacing w:line="360" w:lineRule="auto"/>
        <w:rPr>
          <w:rFonts w:hint="eastAsia"/>
          <w:b/>
          <w:sz w:val="21"/>
          <w:szCs w:val="21"/>
        </w:rPr>
      </w:pPr>
      <w:r>
        <w:rPr>
          <w:rFonts w:hint="eastAsia"/>
          <w:b/>
          <w:sz w:val="21"/>
          <w:szCs w:val="21"/>
        </w:rPr>
        <w:t xml:space="preserve">（五）考核</w:t>
      </w:r>
      <w:r/>
    </w:p>
    <w:p>
      <w:pPr>
        <w:pStyle w:val="954"/>
        <w:ind w:firstLine="480"/>
        <w:spacing w:line="360" w:lineRule="auto"/>
        <w:tabs>
          <w:tab w:val="left" w:pos="567" w:leader="none"/>
        </w:tabs>
        <w:rPr>
          <w:rFonts w:hint="eastAsia"/>
          <w:sz w:val="21"/>
          <w:szCs w:val="21"/>
        </w:rPr>
      </w:pPr>
      <w:r>
        <w:rPr>
          <w:rFonts w:hint="eastAsia"/>
          <w:sz w:val="21"/>
          <w:szCs w:val="21"/>
        </w:rPr>
        <w:t xml:space="preserve">采购人按月对中标单位进行考核，与费用结算挂钩，满分为100分。达到90分（含90分）以上，不扣款；85分（含85分）以上，90分以下，处以每月合同款3%的扣款；80分（含80分）以上，85分以下，处以</w:t>
      </w:r>
      <w:r>
        <w:rPr>
          <w:rFonts w:hint="eastAsia"/>
          <w:sz w:val="21"/>
          <w:szCs w:val="21"/>
        </w:rPr>
        <w:t xml:space="preserve">每月合同款5%的扣款；60分（含60分）以上，80分以下，处以每月合同款10%的扣款；60分以下，处以每月合同款50%的扣款。考核内容及标准详见合同附件。</w:t>
      </w:r>
      <w:r/>
    </w:p>
    <w:p>
      <w:pPr>
        <w:pStyle w:val="954"/>
        <w:ind w:firstLine="422"/>
        <w:spacing w:line="360" w:lineRule="auto"/>
        <w:rPr>
          <w:rFonts w:hint="eastAsia"/>
          <w:b/>
          <w:sz w:val="21"/>
          <w:szCs w:val="21"/>
        </w:rPr>
      </w:pPr>
      <w:r>
        <w:rPr>
          <w:rFonts w:hint="eastAsia"/>
          <w:b/>
          <w:sz w:val="21"/>
          <w:szCs w:val="21"/>
        </w:rPr>
        <w:t xml:space="preserve">（六）付款步骤：详见第五章 合同主要条款</w:t>
      </w:r>
      <w:r/>
    </w:p>
    <w:p>
      <w:pPr>
        <w:pStyle w:val="954"/>
        <w:contextualSpacing/>
        <w:ind w:firstLine="422"/>
        <w:spacing w:line="360" w:lineRule="auto"/>
        <w:rPr>
          <w:rFonts w:hint="eastAsia" w:cs="宋体"/>
          <w:b/>
          <w:bCs/>
          <w:sz w:val="21"/>
          <w:szCs w:val="21"/>
        </w:rPr>
      </w:pPr>
      <w:r>
        <w:rPr>
          <w:rFonts w:hint="eastAsia" w:cs="宋体"/>
          <w:b/>
          <w:bCs/>
          <w:sz w:val="21"/>
          <w:szCs w:val="21"/>
        </w:rPr>
        <w:t xml:space="preserve">（七）综合说明</w:t>
      </w:r>
      <w:r/>
    </w:p>
    <w:p>
      <w:pPr>
        <w:pStyle w:val="954"/>
        <w:contextualSpacing/>
        <w:ind w:firstLine="420"/>
        <w:spacing w:line="360" w:lineRule="auto"/>
        <w:rPr>
          <w:rFonts w:hint="eastAsia" w:cs="宋体"/>
          <w:sz w:val="21"/>
          <w:szCs w:val="21"/>
        </w:rPr>
      </w:pPr>
      <w:r>
        <w:rPr>
          <w:rFonts w:hint="eastAsia" w:cs="宋体"/>
          <w:sz w:val="21"/>
          <w:szCs w:val="21"/>
        </w:rPr>
        <w:t xml:space="preserve">1、中标人应自行承担项目实施过程中安全生产责任，采购人任何情况下均不承担因此产生的任何法律责任和经济责任。</w:t>
      </w:r>
      <w:r/>
    </w:p>
    <w:p>
      <w:pPr>
        <w:pStyle w:val="954"/>
        <w:contextualSpacing/>
        <w:ind w:firstLine="420"/>
        <w:spacing w:line="360" w:lineRule="auto"/>
        <w:rPr>
          <w:rFonts w:hint="eastAsia" w:cs="宋体"/>
          <w:sz w:val="21"/>
          <w:szCs w:val="21"/>
        </w:rPr>
      </w:pPr>
      <w:r>
        <w:rPr>
          <w:rFonts w:hint="eastAsia" w:cs="宋体"/>
          <w:sz w:val="21"/>
          <w:szCs w:val="21"/>
        </w:rPr>
        <w:t xml:space="preserve">2、因中标人原因，给采购人及第三人造成的一切后果及损失，由中标人承担，后果严重的采购方有权解除合同。</w:t>
      </w:r>
      <w:r/>
    </w:p>
    <w:p>
      <w:pPr>
        <w:pStyle w:val="954"/>
        <w:contextualSpacing/>
        <w:ind w:firstLine="420"/>
        <w:spacing w:line="360" w:lineRule="auto"/>
        <w:rPr>
          <w:rFonts w:hint="eastAsia" w:cs="宋体"/>
          <w:sz w:val="21"/>
          <w:szCs w:val="21"/>
        </w:rPr>
      </w:pPr>
      <w:r>
        <w:rPr>
          <w:rFonts w:hint="eastAsia" w:cs="宋体"/>
          <w:sz w:val="21"/>
          <w:szCs w:val="21"/>
        </w:rPr>
        <w:t xml:space="preserve">3、中标人在合同履行期间应严格遵守国家相关法律法规和项目所在地的相关规定，所有产生的一切纠纷由中标人承担，采购人不承担任何责任。</w:t>
      </w:r>
      <w:r/>
    </w:p>
    <w:p>
      <w:pPr>
        <w:pStyle w:val="954"/>
        <w:contextualSpacing/>
        <w:ind w:firstLine="420"/>
        <w:spacing w:line="360" w:lineRule="auto"/>
        <w:rPr>
          <w:rFonts w:hint="eastAsia" w:cs="宋体"/>
          <w:sz w:val="21"/>
          <w:szCs w:val="21"/>
        </w:rPr>
      </w:pPr>
      <w:r>
        <w:rPr>
          <w:rFonts w:hint="eastAsia" w:cs="宋体"/>
          <w:sz w:val="21"/>
          <w:szCs w:val="21"/>
        </w:rPr>
        <w:t xml:space="preserve">4、中标人在合同履行期间应严格遵守采购人的廉政、保密等相关制度，如有违反，采购人有权无条件终止合同，情节严重的，移交纪委、司法部门处理。</w:t>
      </w:r>
      <w:r/>
    </w:p>
    <w:p>
      <w:pPr>
        <w:pStyle w:val="954"/>
        <w:contextualSpacing/>
        <w:ind w:firstLine="420"/>
        <w:spacing w:line="360" w:lineRule="auto"/>
        <w:rPr>
          <w:rFonts w:hint="eastAsia" w:cs="宋体"/>
          <w:sz w:val="21"/>
          <w:szCs w:val="21"/>
        </w:rPr>
      </w:pPr>
      <w:r>
        <w:rPr>
          <w:rFonts w:hint="eastAsia" w:cs="宋体"/>
          <w:sz w:val="21"/>
          <w:szCs w:val="21"/>
        </w:rPr>
        <w:t xml:space="preserve">5、中标人须按招标文件的要求和投标承诺完成全部工作。</w:t>
      </w:r>
      <w:r/>
    </w:p>
    <w:p>
      <w:pPr>
        <w:pStyle w:val="954"/>
        <w:contextualSpacing/>
        <w:ind w:firstLine="420"/>
        <w:spacing w:line="360" w:lineRule="auto"/>
        <w:rPr>
          <w:rFonts w:hint="eastAsia" w:cs="宋体"/>
          <w:sz w:val="21"/>
          <w:szCs w:val="21"/>
        </w:rPr>
      </w:pPr>
      <w:r>
        <w:rPr>
          <w:rFonts w:hint="eastAsia" w:cs="宋体"/>
          <w:sz w:val="21"/>
          <w:szCs w:val="21"/>
        </w:rPr>
        <w:t xml:space="preserve">6、中标人对服务缺陷不予更正，采购人有权另请其他单位更正，所发生的费用在服务费中扣除。</w:t>
      </w:r>
      <w:r/>
    </w:p>
    <w:p>
      <w:pPr>
        <w:pStyle w:val="954"/>
        <w:contextualSpacing/>
        <w:ind w:firstLine="420"/>
        <w:spacing w:line="360" w:lineRule="auto"/>
        <w:rPr>
          <w:rFonts w:hint="eastAsia" w:cs="宋体"/>
          <w:sz w:val="21"/>
          <w:szCs w:val="21"/>
        </w:rPr>
      </w:pPr>
      <w:r>
        <w:rPr>
          <w:rFonts w:hint="eastAsia" w:cs="宋体"/>
          <w:sz w:val="21"/>
          <w:szCs w:val="21"/>
        </w:rPr>
        <w:t xml:space="preserve">7、本项目采购人不组织统一现场勘察，请各投标人认真阅读招标文件，自行踏勘现场，充分了解本次招标情况，承担投标风险。任何因投标人对招标文件理解、现场踏勘原因导致的投标失误，均由投标人承担，采购</w:t>
      </w:r>
      <w:r>
        <w:rPr>
          <w:rFonts w:hint="eastAsia" w:cs="宋体"/>
          <w:sz w:val="21"/>
          <w:szCs w:val="21"/>
        </w:rPr>
        <w:t xml:space="preserve">人不承担任何责任。</w:t>
      </w:r>
      <w:r/>
    </w:p>
    <w:p>
      <w:pPr>
        <w:pStyle w:val="954"/>
        <w:contextualSpacing/>
        <w:ind w:firstLine="420"/>
        <w:spacing w:line="360" w:lineRule="auto"/>
        <w:rPr>
          <w:rFonts w:cs="宋体"/>
          <w:bCs/>
          <w:sz w:val="21"/>
          <w:szCs w:val="21"/>
        </w:rPr>
      </w:pPr>
      <w:r>
        <w:rPr>
          <w:rFonts w:hint="eastAsia" w:cs="宋体"/>
          <w:bCs/>
          <w:sz w:val="21"/>
          <w:szCs w:val="21"/>
        </w:rPr>
        <w:t xml:space="preserve">8、</w:t>
      </w:r>
      <w:r>
        <w:rPr>
          <w:rFonts w:cs="宋体"/>
          <w:bCs/>
          <w:sz w:val="21"/>
          <w:szCs w:val="21"/>
        </w:rPr>
        <w:t xml:space="preserve">凡涉及采购公告的补充说明和修改，均以江苏省政府采购网、苏州市政府采购网发布的补充通知为准</w:t>
      </w:r>
      <w:r>
        <w:rPr>
          <w:rFonts w:hint="eastAsia" w:cs="宋体"/>
          <w:bCs/>
          <w:sz w:val="21"/>
          <w:szCs w:val="21"/>
        </w:rPr>
        <w:t xml:space="preserve">。</w:t>
      </w:r>
      <w:r>
        <w:rPr>
          <w:rFonts w:cs="宋体"/>
          <w:bCs/>
          <w:sz w:val="21"/>
          <w:szCs w:val="21"/>
        </w:rPr>
      </w:r>
      <w:r/>
    </w:p>
    <w:p>
      <w:pPr>
        <w:pStyle w:val="954"/>
        <w:contextualSpacing/>
        <w:ind w:firstLine="422"/>
        <w:spacing w:line="360" w:lineRule="auto"/>
        <w:rPr>
          <w:rFonts w:cs="宋体"/>
          <w:b/>
          <w:sz w:val="21"/>
          <w:szCs w:val="21"/>
        </w:rPr>
      </w:pPr>
      <w:r>
        <w:rPr>
          <w:rFonts w:hint="eastAsia" w:cs="宋体"/>
          <w:b/>
          <w:sz w:val="21"/>
          <w:szCs w:val="21"/>
        </w:rPr>
        <w:t xml:space="preserve">（八）验收</w:t>
      </w:r>
      <w:r>
        <w:rPr>
          <w:rFonts w:cs="宋体"/>
          <w:b/>
          <w:sz w:val="21"/>
          <w:szCs w:val="21"/>
        </w:rPr>
      </w:r>
      <w:r/>
    </w:p>
    <w:p>
      <w:pPr>
        <w:pStyle w:val="954"/>
        <w:ind w:firstLine="420"/>
        <w:spacing w:line="360" w:lineRule="auto"/>
        <w:rPr>
          <w:bCs/>
          <w:sz w:val="21"/>
          <w:szCs w:val="21"/>
        </w:rPr>
      </w:pPr>
      <w:r>
        <w:rPr>
          <w:rFonts w:hint="eastAsia"/>
          <w:bCs/>
          <w:sz w:val="21"/>
          <w:szCs w:val="21"/>
        </w:rPr>
        <w:t xml:space="preserve">1、验收组织方式：本项目由采购人组织相关人员进行验收。</w:t>
      </w:r>
      <w:r>
        <w:rPr>
          <w:bCs/>
          <w:sz w:val="21"/>
          <w:szCs w:val="21"/>
        </w:rPr>
      </w:r>
      <w:r/>
    </w:p>
    <w:p>
      <w:pPr>
        <w:pStyle w:val="954"/>
        <w:ind w:firstLine="420"/>
        <w:spacing w:line="360" w:lineRule="auto"/>
        <w:rPr>
          <w:rFonts w:hint="eastAsia"/>
          <w:bCs/>
          <w:sz w:val="21"/>
          <w:szCs w:val="21"/>
        </w:rPr>
      </w:pPr>
      <w:r>
        <w:rPr>
          <w:rFonts w:hint="eastAsia"/>
          <w:bCs/>
          <w:sz w:val="21"/>
          <w:szCs w:val="21"/>
        </w:rPr>
        <w:t xml:space="preserve">2、履约验收时间：</w:t>
      </w:r>
      <w:r>
        <w:rPr>
          <w:rFonts w:hint="eastAsia" w:cs="宋体"/>
          <w:sz w:val="21"/>
          <w:szCs w:val="21"/>
          <w:lang w:val="zh-CN"/>
        </w:rPr>
        <w:t xml:space="preserve">每半年</w:t>
      </w:r>
      <w:r>
        <w:rPr>
          <w:rFonts w:hint="eastAsia"/>
          <w:sz w:val="21"/>
          <w:szCs w:val="21"/>
        </w:rPr>
        <w:t xml:space="preserve">验收一次，</w:t>
      </w:r>
      <w:r>
        <w:rPr>
          <w:rFonts w:hint="eastAsia"/>
          <w:bCs/>
          <w:sz w:val="21"/>
          <w:szCs w:val="21"/>
        </w:rPr>
        <w:t xml:space="preserve">采购人向供应商发出《政府采购履约验收通知单》（附件1），验收完成后形成《政府采购履约验收书》（附件2）。</w:t>
      </w:r>
      <w:r/>
    </w:p>
    <w:p>
      <w:pPr>
        <w:pStyle w:val="954"/>
        <w:ind w:firstLine="420"/>
        <w:spacing w:line="360" w:lineRule="auto"/>
        <w:rPr>
          <w:rFonts w:hint="eastAsia"/>
          <w:bCs/>
          <w:sz w:val="21"/>
          <w:szCs w:val="21"/>
        </w:rPr>
      </w:pPr>
      <w:r>
        <w:rPr>
          <w:rFonts w:hint="eastAsia"/>
          <w:bCs/>
          <w:sz w:val="21"/>
          <w:szCs w:val="21"/>
        </w:rPr>
        <w:t xml:space="preserve">3、履约验收的内容及标准：根据招标文件、中标单位的投标文件、双方签订的合同文件及其附件、国家的相关规定。</w:t>
      </w:r>
      <w:r/>
    </w:p>
    <w:p>
      <w:pPr>
        <w:pStyle w:val="954"/>
        <w:ind w:firstLine="422"/>
        <w:spacing w:line="360" w:lineRule="auto"/>
        <w:rPr>
          <w:rFonts w:hint="eastAsia" w:cs="宋体"/>
          <w:b/>
          <w:sz w:val="21"/>
          <w:szCs w:val="21"/>
        </w:rPr>
      </w:pPr>
      <w:r>
        <w:rPr>
          <w:rFonts w:hint="eastAsia"/>
          <w:b/>
          <w:sz w:val="21"/>
          <w:szCs w:val="21"/>
        </w:rPr>
        <w:t xml:space="preserve">六、</w:t>
      </w:r>
      <w:r>
        <w:rPr>
          <w:rFonts w:hint="eastAsia" w:cs="宋体"/>
          <w:b/>
          <w:sz w:val="21"/>
          <w:szCs w:val="21"/>
        </w:rPr>
        <w:t xml:space="preserve">政府政策</w:t>
      </w:r>
      <w:r/>
    </w:p>
    <w:p>
      <w:pPr>
        <w:pStyle w:val="954"/>
        <w:contextualSpacing/>
        <w:ind w:firstLine="420"/>
        <w:spacing w:line="360" w:lineRule="auto"/>
        <w:rPr>
          <w:rFonts w:cs="宋体"/>
          <w:sz w:val="21"/>
          <w:szCs w:val="21"/>
        </w:rPr>
      </w:pPr>
      <w:r>
        <w:rPr>
          <w:rFonts w:hint="eastAsia" w:cs="宋体"/>
          <w:sz w:val="21"/>
          <w:szCs w:val="21"/>
        </w:rPr>
        <w:t xml:space="preserve">（一）节能产品和环境标志产品</w:t>
      </w:r>
      <w:r>
        <w:rPr>
          <w:rFonts w:cs="宋体"/>
          <w:sz w:val="21"/>
          <w:szCs w:val="21"/>
        </w:rPr>
      </w:r>
      <w:r/>
    </w:p>
    <w:p>
      <w:pPr>
        <w:pStyle w:val="954"/>
        <w:contextualSpacing/>
        <w:ind w:firstLine="420"/>
        <w:spacing w:line="360" w:lineRule="auto"/>
        <w:rPr>
          <w:rFonts w:cs="宋体"/>
          <w:sz w:val="21"/>
          <w:szCs w:val="21"/>
        </w:rPr>
      </w:pPr>
      <w:r>
        <w:rPr>
          <w:rFonts w:hint="eastAsia" w:cs="宋体"/>
          <w:sz w:val="21"/>
          <w:szCs w:val="21"/>
        </w:rPr>
        <w:t xml:space="preserve">根据《关于调整优化节能产品、环境标志产品政府采购执行机制的通知》（财库〔</w:t>
      </w:r>
      <w:r>
        <w:rPr>
          <w:rFonts w:cs="宋体"/>
          <w:sz w:val="21"/>
          <w:szCs w:val="21"/>
        </w:rPr>
        <w:t xml:space="preserve">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pStyle w:val="954"/>
        <w:contextualSpacing/>
        <w:ind w:firstLine="420"/>
        <w:spacing w:line="360" w:lineRule="auto"/>
        <w:rPr>
          <w:rFonts w:cs="宋体"/>
          <w:sz w:val="21"/>
          <w:szCs w:val="21"/>
        </w:rPr>
      </w:pPr>
      <w:r>
        <w:rPr>
          <w:rFonts w:hint="eastAsia" w:cs="宋体"/>
          <w:sz w:val="21"/>
          <w:szCs w:val="21"/>
        </w:rPr>
        <w:t xml:space="preserve">（二）中小企业相关政策：</w:t>
      </w:r>
      <w:r>
        <w:rPr>
          <w:rFonts w:cs="宋体"/>
          <w:sz w:val="21"/>
          <w:szCs w:val="21"/>
        </w:rPr>
      </w:r>
      <w:r/>
    </w:p>
    <w:p>
      <w:pPr>
        <w:pStyle w:val="954"/>
        <w:contextualSpacing/>
        <w:ind w:firstLine="420"/>
        <w:spacing w:line="360" w:lineRule="auto"/>
        <w:rPr>
          <w:rFonts w:cs="宋体"/>
          <w:sz w:val="21"/>
          <w:szCs w:val="21"/>
        </w:rPr>
      </w:pPr>
      <w:r>
        <w:rPr>
          <w:rFonts w:cs="宋体"/>
          <w:sz w:val="21"/>
          <w:szCs w:val="21"/>
        </w:rPr>
        <w:t xml:space="preserve">1、本项目专门面向中小企业采购，执行以下相关政策：</w:t>
      </w:r>
      <w:r/>
    </w:p>
    <w:p>
      <w:pPr>
        <w:pStyle w:val="954"/>
        <w:contextualSpacing/>
        <w:ind w:firstLine="420"/>
        <w:spacing w:line="360" w:lineRule="auto"/>
        <w:rPr>
          <w:rFonts w:cs="宋体"/>
          <w:sz w:val="21"/>
          <w:szCs w:val="21"/>
        </w:rPr>
      </w:pPr>
      <w:r>
        <w:rPr>
          <w:rFonts w:hint="eastAsia" w:cs="宋体"/>
          <w:sz w:val="21"/>
          <w:szCs w:val="21"/>
        </w:rPr>
        <w:t xml:space="preserve">根据《政府采购促进中小企业发展管理办法》（财库〔</w:t>
      </w:r>
      <w:r>
        <w:rPr>
          <w:rFonts w:cs="宋体"/>
          <w:sz w:val="21"/>
          <w:szCs w:val="21"/>
        </w:rPr>
        <w:t xml:space="preserve">2020〕46号）有关规定，投标</w:t>
      </w:r>
      <w:r>
        <w:rPr>
          <w:rFonts w:cs="宋体"/>
          <w:sz w:val="21"/>
          <w:szCs w:val="21"/>
        </w:rPr>
        <w:t xml:space="preserve">人应当提供中小企业声明函或残疾人福利性单位声明函或省级以上监狱管理局、戒毒管理局（含新疆生产建设兵团）出具的属于监狱企业的证明文件,否则视为投标无效。</w:t>
      </w:r>
      <w:r/>
    </w:p>
    <w:p>
      <w:pPr>
        <w:pStyle w:val="954"/>
        <w:contextualSpacing/>
        <w:ind w:firstLine="420"/>
        <w:spacing w:line="360" w:lineRule="auto"/>
        <w:rPr>
          <w:rFonts w:cs="宋体"/>
          <w:sz w:val="21"/>
          <w:szCs w:val="21"/>
        </w:rPr>
      </w:pPr>
      <w:r>
        <w:rPr>
          <w:rFonts w:cs="宋体"/>
          <w:sz w:val="21"/>
          <w:szCs w:val="21"/>
        </w:rPr>
        <w:t xml:space="preserve">1.1中小企业划分：</w:t>
      </w:r>
      <w:r/>
    </w:p>
    <w:p>
      <w:pPr>
        <w:pStyle w:val="954"/>
        <w:contextualSpacing/>
        <w:ind w:firstLine="420"/>
        <w:spacing w:line="360" w:lineRule="auto"/>
        <w:rPr>
          <w:rFonts w:cs="宋体"/>
          <w:sz w:val="21"/>
          <w:szCs w:val="21"/>
        </w:rPr>
      </w:pPr>
      <w:r>
        <w:rPr>
          <w:rFonts w:hint="eastAsia" w:cs="宋体"/>
          <w:sz w:val="21"/>
          <w:szCs w:val="21"/>
        </w:rPr>
        <w:t xml:space="preserve">（</w:t>
      </w:r>
      <w:r>
        <w:rPr>
          <w:rFonts w:cs="宋体"/>
          <w:sz w:val="21"/>
          <w:szCs w:val="21"/>
        </w:rPr>
        <w:t xml:space="preserve">1）符合中小企业划分标准的个体工商户，在政府采购活动中视同中小企业。</w:t>
      </w:r>
      <w:r/>
    </w:p>
    <w:p>
      <w:pPr>
        <w:pStyle w:val="954"/>
        <w:contextualSpacing/>
        <w:ind w:firstLine="420"/>
        <w:spacing w:line="360" w:lineRule="auto"/>
        <w:rPr>
          <w:rFonts w:cs="宋体"/>
          <w:sz w:val="21"/>
          <w:szCs w:val="21"/>
        </w:rPr>
      </w:pPr>
      <w:r>
        <w:rPr>
          <w:rFonts w:hint="eastAsia" w:cs="宋体"/>
          <w:sz w:val="21"/>
          <w:szCs w:val="21"/>
        </w:rPr>
        <w:t xml:space="preserve">（</w:t>
      </w:r>
      <w:r>
        <w:rPr>
          <w:rFonts w:cs="宋体"/>
          <w:sz w:val="21"/>
          <w:szCs w:val="21"/>
        </w:rPr>
        <w:t xml:space="preserve">2）中小企业划分标准详见“工信部联企业〔2011〕300号通知”</w:t>
      </w:r>
      <w:r/>
    </w:p>
    <w:p>
      <w:pPr>
        <w:pStyle w:val="954"/>
        <w:contextualSpacing/>
        <w:ind w:firstLine="420"/>
        <w:spacing w:line="360" w:lineRule="auto"/>
        <w:rPr>
          <w:rFonts w:cs="宋体"/>
          <w:sz w:val="21"/>
          <w:szCs w:val="21"/>
        </w:rPr>
      </w:pPr>
      <w:r>
        <w:rPr>
          <w:rFonts w:cs="宋体"/>
          <w:sz w:val="21"/>
          <w:szCs w:val="21"/>
        </w:rPr>
        <w:t xml:space="preserve">1.2残疾人福利性单位政策：</w:t>
      </w:r>
      <w:r/>
    </w:p>
    <w:p>
      <w:pPr>
        <w:pStyle w:val="954"/>
        <w:contextualSpacing/>
        <w:ind w:firstLine="420"/>
        <w:spacing w:line="360" w:lineRule="auto"/>
        <w:rPr>
          <w:rFonts w:cs="宋体"/>
          <w:sz w:val="21"/>
          <w:szCs w:val="21"/>
        </w:rPr>
      </w:pPr>
      <w:r>
        <w:rPr>
          <w:rFonts w:hint="eastAsia" w:cs="宋体"/>
          <w:sz w:val="21"/>
          <w:szCs w:val="21"/>
        </w:rPr>
        <w:t xml:space="preserve">根据《关于促进残疾人就业政府采购政策的通知》（财库〔</w:t>
      </w:r>
      <w:r>
        <w:rPr>
          <w:rFonts w:cs="宋体"/>
          <w:sz w:val="21"/>
          <w:szCs w:val="21"/>
        </w:rPr>
        <w:t xml:space="preserve">2017〕141号）规定，投标人若为残疾人福利性单位的，提供残疾人福利性单位声明函的，视同小微型企业。残疾人福利性单位属于小微型企业的，不重复认定。</w:t>
      </w:r>
      <w:r/>
    </w:p>
    <w:p>
      <w:pPr>
        <w:pStyle w:val="954"/>
        <w:contextualSpacing/>
        <w:ind w:firstLine="420"/>
        <w:spacing w:line="360" w:lineRule="auto"/>
        <w:rPr>
          <w:rFonts w:cs="宋体"/>
          <w:sz w:val="21"/>
          <w:szCs w:val="21"/>
        </w:rPr>
      </w:pPr>
      <w:r>
        <w:rPr>
          <w:rFonts w:cs="宋体"/>
          <w:sz w:val="21"/>
          <w:szCs w:val="21"/>
        </w:rPr>
        <w:t xml:space="preserve">1.3监狱企业发展政策：</w:t>
      </w:r>
      <w:r/>
    </w:p>
    <w:p>
      <w:pPr>
        <w:pStyle w:val="954"/>
        <w:contextualSpacing/>
        <w:ind w:firstLine="420"/>
        <w:spacing w:line="360" w:lineRule="auto"/>
        <w:rPr>
          <w:rFonts w:cs="宋体"/>
          <w:sz w:val="21"/>
          <w:szCs w:val="21"/>
        </w:rPr>
      </w:pPr>
      <w:r>
        <w:rPr>
          <w:rFonts w:hint="eastAsia" w:cs="宋体"/>
          <w:sz w:val="21"/>
          <w:szCs w:val="21"/>
        </w:rPr>
        <w:t xml:space="preserve">根据《关于政府采购支持监狱企业发展有关问题的通知》（财库〔</w:t>
      </w:r>
      <w:r>
        <w:rPr>
          <w:rFonts w:cs="宋体"/>
          <w:sz w:val="21"/>
          <w:szCs w:val="21"/>
        </w:rPr>
        <w:t xml:space="preserve">2014〕68号）规定，投标人若为监狱企业的，提供省级以上监狱管理局、戒毒管理局（含新疆生产建设兵团）出具的属于监狱企业的证明文件的，视同小微型企业。</w:t>
      </w:r>
      <w:r/>
    </w:p>
    <w:p>
      <w:pPr>
        <w:pStyle w:val="954"/>
        <w:contextualSpacing/>
        <w:ind w:firstLine="420"/>
        <w:spacing w:line="360" w:lineRule="auto"/>
        <w:rPr>
          <w:rFonts w:cs="宋体"/>
          <w:sz w:val="21"/>
          <w:szCs w:val="21"/>
        </w:rPr>
      </w:pPr>
      <w:r>
        <w:rPr>
          <w:rFonts w:cs="宋体"/>
          <w:sz w:val="21"/>
          <w:szCs w:val="21"/>
        </w:rPr>
        <w:t xml:space="preserve">1.4、中标、成交供应商享受规定的中小企业扶持政策的，其声明函及相关证明材料应当随中标、成交结果同时公告，接受社会监督。</w:t>
      </w:r>
      <w:r/>
    </w:p>
    <w:p>
      <w:pPr>
        <w:pStyle w:val="954"/>
        <w:contextualSpacing/>
        <w:ind w:firstLine="420"/>
        <w:spacing w:line="360" w:lineRule="auto"/>
        <w:rPr>
          <w:rFonts w:cs="宋体"/>
          <w:sz w:val="21"/>
          <w:szCs w:val="21"/>
        </w:rPr>
      </w:pPr>
      <w:r>
        <w:rPr>
          <w:rFonts w:cs="宋体"/>
          <w:sz w:val="21"/>
          <w:szCs w:val="21"/>
        </w:rPr>
        <w:t xml:space="preserve">1.5、专门面向中小企业采购的项目，不再执行价格评审优惠的扶持政策。</w:t>
      </w:r>
      <w:r/>
    </w:p>
    <w:p>
      <w:pPr>
        <w:pStyle w:val="954"/>
        <w:contextualSpacing/>
        <w:ind w:firstLine="420"/>
        <w:spacing w:line="360" w:lineRule="auto"/>
        <w:rPr>
          <w:rFonts w:cs="宋体"/>
          <w:sz w:val="21"/>
          <w:szCs w:val="21"/>
        </w:rPr>
      </w:pPr>
      <w:r>
        <w:rPr>
          <w:rFonts w:hint="eastAsia" w:cs="宋体"/>
          <w:sz w:val="21"/>
          <w:szCs w:val="21"/>
        </w:rPr>
        <w:t xml:space="preserve">（三）</w:t>
      </w:r>
      <w:r>
        <w:rPr>
          <w:rFonts w:cs="宋体"/>
          <w:sz w:val="21"/>
        </w:rPr>
        <w:t xml:space="preserve">根据政府采购法及相关法规，以及《国务院关于建</w:t>
      </w:r>
      <w:r>
        <w:rPr>
          <w:rFonts w:cs="宋体"/>
          <w:sz w:val="21"/>
        </w:rPr>
        <w:t xml:space="preserve">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sz w:val="21"/>
        </w:rPr>
        <w:t xml:space="preserve">。</w:t>
      </w:r>
      <w:r>
        <w:rPr>
          <w:rFonts w:cs="宋体"/>
          <w:sz w:val="21"/>
          <w:szCs w:val="21"/>
        </w:rPr>
      </w:r>
      <w:r/>
    </w:p>
    <w:p>
      <w:pPr>
        <w:pStyle w:val="954"/>
        <w:contextualSpacing/>
        <w:ind w:firstLine="420"/>
        <w:spacing w:line="360" w:lineRule="auto"/>
        <w:rPr>
          <w:rFonts w:cs="宋体"/>
          <w:sz w:val="21"/>
          <w:szCs w:val="21"/>
        </w:rPr>
      </w:pPr>
      <w:r>
        <w:rPr>
          <w:rFonts w:hint="eastAsia" w:cs="宋体"/>
          <w:sz w:val="21"/>
          <w:szCs w:val="21"/>
        </w:rPr>
        <w:t xml:space="preserve">（</w:t>
      </w:r>
      <w:r>
        <w:rPr>
          <w:rFonts w:cs="宋体"/>
          <w:sz w:val="21"/>
          <w:szCs w:val="21"/>
        </w:rPr>
        <w:t xml:space="preserve">1）查询时间：</w:t>
      </w:r>
      <w:r>
        <w:rPr>
          <w:rFonts w:hint="eastAsia" w:cs="宋体"/>
          <w:sz w:val="21"/>
          <w:szCs w:val="21"/>
        </w:rPr>
        <w:t xml:space="preserve">投标</w:t>
      </w:r>
      <w:r>
        <w:rPr>
          <w:rFonts w:cs="宋体"/>
          <w:sz w:val="21"/>
          <w:szCs w:val="21"/>
        </w:rPr>
        <w:t xml:space="preserve">文件递交截止时间后。</w:t>
      </w:r>
      <w:r/>
    </w:p>
    <w:p>
      <w:pPr>
        <w:pStyle w:val="954"/>
        <w:contextualSpacing/>
        <w:ind w:firstLine="420"/>
        <w:spacing w:line="360" w:lineRule="auto"/>
        <w:rPr>
          <w:rFonts w:cs="宋体"/>
          <w:sz w:val="21"/>
          <w:szCs w:val="21"/>
        </w:rPr>
      </w:pPr>
      <w:r>
        <w:rPr>
          <w:rFonts w:hint="eastAsia" w:cs="宋体"/>
          <w:sz w:val="21"/>
          <w:szCs w:val="21"/>
        </w:rPr>
        <w:t xml:space="preserve">（</w:t>
      </w:r>
      <w:r>
        <w:rPr>
          <w:rFonts w:cs="宋体"/>
          <w:sz w:val="21"/>
          <w:szCs w:val="21"/>
        </w:rPr>
        <w:t xml:space="preserve">2）查询渠道：</w:t>
      </w:r>
      <w:r>
        <w:rPr>
          <w:sz w:val="21"/>
          <w:szCs w:val="21"/>
        </w:rPr>
        <w:t xml:space="preserve">通过“信用中国”网站、中国政府采购网等渠道查询相关主体信用记录</w:t>
      </w:r>
      <w:r>
        <w:rPr>
          <w:rFonts w:hint="eastAsia"/>
          <w:sz w:val="21"/>
          <w:szCs w:val="21"/>
        </w:rPr>
        <w:t xml:space="preserve">。</w:t>
      </w:r>
      <w:r>
        <w:rPr>
          <w:rFonts w:cs="宋体"/>
          <w:sz w:val="21"/>
          <w:szCs w:val="21"/>
        </w:rPr>
      </w:r>
      <w:r/>
    </w:p>
    <w:p>
      <w:pPr>
        <w:pStyle w:val="954"/>
        <w:contextualSpacing/>
        <w:ind w:firstLine="420"/>
        <w:spacing w:line="360" w:lineRule="auto"/>
        <w:rPr>
          <w:rFonts w:cs="宋体"/>
          <w:sz w:val="21"/>
          <w:szCs w:val="21"/>
        </w:rPr>
      </w:pPr>
      <w:r>
        <w:rPr>
          <w:rFonts w:hint="eastAsia" w:cs="宋体"/>
          <w:sz w:val="21"/>
          <w:szCs w:val="21"/>
        </w:rPr>
        <w:t xml:space="preserve">（</w:t>
      </w:r>
      <w:r>
        <w:rPr>
          <w:rFonts w:cs="宋体"/>
          <w:sz w:val="21"/>
          <w:szCs w:val="21"/>
        </w:rPr>
        <w:t xml:space="preserve">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r/>
    </w:p>
    <w:p>
      <w:pPr>
        <w:pStyle w:val="954"/>
        <w:contextualSpacing/>
        <w:ind w:firstLine="420"/>
        <w:spacing w:line="360" w:lineRule="auto"/>
        <w:rPr>
          <w:rFonts w:cs="宋体"/>
          <w:sz w:val="21"/>
          <w:szCs w:val="21"/>
          <w:lang w:val="zh-CN"/>
        </w:rPr>
      </w:pPr>
      <w:r>
        <w:rPr>
          <w:rFonts w:hint="eastAsia" w:cs="宋体"/>
          <w:sz w:val="21"/>
          <w:szCs w:val="21"/>
        </w:rPr>
        <w:t xml:space="preserve">（</w:t>
      </w:r>
      <w:r>
        <w:rPr>
          <w:rFonts w:cs="宋体"/>
          <w:sz w:val="21"/>
          <w:szCs w:val="21"/>
        </w:rPr>
        <w:t xml:space="preserve">4）信用记录使用规则：</w:t>
      </w:r>
      <w:r>
        <w:rPr>
          <w:rFonts w:hint="eastAsia" w:cs="宋体"/>
          <w:sz w:val="21"/>
          <w:szCs w:val="21"/>
        </w:rPr>
        <w:t xml:space="preserve">评审小组在</w:t>
      </w:r>
      <w:r>
        <w:rPr>
          <w:rFonts w:cs="宋体"/>
          <w:sz w:val="21"/>
          <w:szCs w:val="21"/>
        </w:rPr>
        <w:t xml:space="preserve">对供应商进行资格性审查时，应根据查询结果对供应商的不良信用记录逐项甄别确认</w:t>
      </w:r>
      <w:r>
        <w:rPr>
          <w:rFonts w:hint="eastAsia" w:cs="宋体"/>
          <w:sz w:val="21"/>
          <w:szCs w:val="21"/>
          <w:lang w:val="zh-CN"/>
        </w:rPr>
        <w:t xml:space="preserve">。</w:t>
      </w:r>
      <w:r>
        <w:rPr>
          <w:rFonts w:cs="宋体"/>
          <w:sz w:val="21"/>
          <w:szCs w:val="21"/>
          <w:lang w:val="zh-CN"/>
        </w:rPr>
      </w:r>
      <w:r/>
    </w:p>
    <w:p>
      <w:pPr>
        <w:pStyle w:val="954"/>
        <w:ind w:firstLine="420"/>
        <w:spacing w:line="360" w:lineRule="auto"/>
        <w:rPr>
          <w:sz w:val="21"/>
          <w:szCs w:val="21"/>
        </w:rPr>
      </w:pPr>
      <w:r>
        <w:rPr>
          <w:rFonts w:hint="eastAsia" w:cs="宋体"/>
          <w:sz w:val="21"/>
          <w:szCs w:val="21"/>
          <w:lang w:val="zh-CN"/>
        </w:rPr>
        <w:br w:type="page" w:clear="all"/>
      </w:r>
      <w:r>
        <w:rPr>
          <w:rFonts w:hint="eastAsia"/>
          <w:sz w:val="21"/>
          <w:szCs w:val="21"/>
        </w:rPr>
        <w:t xml:space="preserve">附件1：</w:t>
      </w:r>
      <w:r>
        <w:rPr>
          <w:sz w:val="21"/>
          <w:szCs w:val="21"/>
        </w:rPr>
      </w:r>
      <w:r/>
    </w:p>
    <w:p>
      <w:pPr>
        <w:pStyle w:val="954"/>
        <w:jc w:val="center"/>
        <w:spacing w:before="104"/>
        <w:rPr>
          <w:rFonts w:hint="eastAsia" w:ascii="微软雅黑" w:hAnsi="微软雅黑" w:eastAsia="微软雅黑"/>
          <w:spacing w:val="19"/>
          <w:sz w:val="36"/>
          <w:szCs w:val="36"/>
        </w:rPr>
      </w:pPr>
      <w:r>
        <w:rPr>
          <w:rFonts w:hint="eastAsia" w:ascii="微软雅黑" w:hAnsi="微软雅黑" w:eastAsia="微软雅黑"/>
          <w:spacing w:val="19"/>
          <w:sz w:val="36"/>
          <w:szCs w:val="36"/>
        </w:rPr>
        <w:t xml:space="preserve">政府采购履约验收通知单（样本）</w:t>
      </w:r>
      <w:r/>
    </w:p>
    <w:p>
      <w:pPr>
        <w:pStyle w:val="954"/>
        <w:ind w:left="85"/>
        <w:spacing w:before="216"/>
        <w:rPr>
          <w:rFonts w:hint="eastAsia"/>
          <w:sz w:val="23"/>
          <w:szCs w:val="23"/>
        </w:rPr>
      </w:pPr>
      <w:r>
        <w:rPr>
          <w:rFonts w:hint="eastAsia"/>
          <w:spacing w:val="9"/>
          <w:sz w:val="23"/>
          <w:szCs w:val="23"/>
        </w:rPr>
        <w:t xml:space="preserve">供应商：</w:t>
      </w:r>
      <w:r>
        <w:rPr>
          <w:rFonts w:hint="eastAsia"/>
          <w:sz w:val="23"/>
          <w:szCs w:val="23"/>
        </w:rPr>
      </w:r>
      <w:r/>
    </w:p>
    <w:p>
      <w:pPr>
        <w:pStyle w:val="954"/>
        <w:spacing w:line="44" w:lineRule="exact"/>
        <w:rPr>
          <w:rFonts w:hint="eastAsia"/>
          <w:sz w:val="21"/>
          <w:szCs w:val="21"/>
        </w:rPr>
      </w:pPr>
      <w:r>
        <w:rPr>
          <w:sz w:val="21"/>
          <w:szCs w:val="21"/>
        </w:rPr>
        <w:t xml:space="preserve"> </w:t>
      </w:r>
      <w:r>
        <w:rPr>
          <w:rFonts w:hint="eastAsia"/>
          <w:sz w:val="21"/>
          <w:szCs w:val="21"/>
        </w:rPr>
      </w:r>
      <w:r/>
    </w:p>
    <w:tbl>
      <w:tblPr>
        <w:tblW w:w="9318" w:type="dxa"/>
        <w:tblInd w:w="27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Borders>
              <w:top w:val="single" w:color="000000" w:sz="2" w:space="0"/>
              <w:left w:val="single" w:color="000000" w:sz="2" w:space="0"/>
              <w:bottom w:val="single" w:color="000000" w:sz="2" w:space="0"/>
              <w:right w:val="single" w:color="000000" w:sz="2" w:space="0"/>
            </w:tcBorders>
            <w:tcW w:w="2610" w:type="dxa"/>
            <w:vAlign w:val="top"/>
            <w:textDirection w:val="lrTb"/>
            <w:noWrap w:val="false"/>
          </w:tcPr>
          <w:p>
            <w:pPr>
              <w:pStyle w:val="954"/>
              <w:ind w:left="961"/>
              <w:spacing w:before="249"/>
              <w:rPr>
                <w:rFonts w:hint="eastAsia"/>
                <w:sz w:val="21"/>
                <w:szCs w:val="21"/>
              </w:rPr>
            </w:pPr>
            <w:r>
              <w:rPr>
                <w:rFonts w:hint="eastAsia"/>
                <w:spacing w:val="2"/>
                <w:sz w:val="21"/>
                <w:szCs w:val="21"/>
              </w:rPr>
              <w:t xml:space="preserve">采购人</w:t>
            </w:r>
            <w:r>
              <w:rPr>
                <w:rFonts w:hint="eastAsia"/>
                <w:sz w:val="21"/>
                <w:szCs w:val="21"/>
              </w:rPr>
            </w:r>
            <w:r/>
          </w:p>
        </w:tc>
        <w:tc>
          <w:tcPr>
            <w:gridSpan w:val="3"/>
            <w:tcBorders>
              <w:top w:val="single" w:color="000000" w:sz="2" w:space="0"/>
              <w:left w:val="none" w:color="000000" w:sz="4" w:space="0"/>
              <w:bottom w:val="single" w:color="000000" w:sz="2" w:space="0"/>
              <w:right w:val="single" w:color="000000" w:sz="2" w:space="0"/>
            </w:tcBorders>
            <w:tcW w:w="6708" w:type="dxa"/>
            <w:vAlign w:val="top"/>
            <w:textDirection w:val="lrTb"/>
            <w:noWrap w:val="false"/>
          </w:tcPr>
          <w:p>
            <w:pPr>
              <w:pStyle w:val="954"/>
              <w:rPr>
                <w:rFonts w:hint="eastAsia" w:cs="Arial"/>
                <w:sz w:val="21"/>
                <w:szCs w:val="21"/>
              </w:rPr>
            </w:pPr>
            <w:r>
              <w:rPr>
                <w:rFonts w:hint="eastAsia" w:cs="Arial"/>
                <w:sz w:val="21"/>
                <w:szCs w:val="21"/>
              </w:rPr>
            </w:r>
            <w:r/>
          </w:p>
        </w:tc>
      </w:tr>
      <w:tr>
        <w:trPr>
          <w:trHeight w:val="560"/>
        </w:trPr>
        <w:tc>
          <w:tcPr>
            <w:tcBorders>
              <w:top w:val="single" w:color="000000" w:sz="2" w:space="0"/>
              <w:left w:val="single" w:color="000000" w:sz="2" w:space="0"/>
              <w:bottom w:val="single" w:color="000000" w:sz="2" w:space="0"/>
              <w:right w:val="single" w:color="000000" w:sz="2" w:space="0"/>
            </w:tcBorders>
            <w:tcW w:w="2610" w:type="dxa"/>
            <w:vAlign w:val="top"/>
            <w:textDirection w:val="lrTb"/>
            <w:noWrap w:val="false"/>
          </w:tcPr>
          <w:p>
            <w:pPr>
              <w:pStyle w:val="954"/>
              <w:ind w:left="841"/>
              <w:spacing w:before="249"/>
              <w:rPr>
                <w:rFonts w:hint="eastAsia"/>
                <w:sz w:val="21"/>
                <w:szCs w:val="21"/>
              </w:rPr>
            </w:pPr>
            <w:r>
              <w:rPr>
                <w:rFonts w:hint="eastAsia"/>
                <w:spacing w:val="2"/>
                <w:sz w:val="21"/>
                <w:szCs w:val="21"/>
              </w:rPr>
              <w:t xml:space="preserve">项目名称</w:t>
            </w:r>
            <w:r>
              <w:rPr>
                <w:rFonts w:hint="eastAsia"/>
                <w:sz w:val="21"/>
                <w:szCs w:val="21"/>
              </w:rPr>
            </w:r>
            <w:r/>
          </w:p>
        </w:tc>
        <w:tc>
          <w:tcPr>
            <w:gridSpan w:val="3"/>
            <w:tcBorders>
              <w:top w:val="single" w:color="000000" w:sz="2" w:space="0"/>
              <w:left w:val="none" w:color="000000" w:sz="4" w:space="0"/>
              <w:bottom w:val="single" w:color="000000" w:sz="2" w:space="0"/>
              <w:right w:val="single" w:color="000000" w:sz="2" w:space="0"/>
            </w:tcBorders>
            <w:tcW w:w="6708" w:type="dxa"/>
            <w:vAlign w:val="top"/>
            <w:textDirection w:val="lrTb"/>
            <w:noWrap w:val="false"/>
          </w:tcPr>
          <w:p>
            <w:pPr>
              <w:pStyle w:val="954"/>
              <w:rPr>
                <w:rFonts w:hint="eastAsia" w:cs="Arial"/>
                <w:sz w:val="21"/>
                <w:szCs w:val="21"/>
              </w:rPr>
            </w:pPr>
            <w:r>
              <w:rPr>
                <w:rFonts w:hint="eastAsia" w:cs="Arial"/>
                <w:sz w:val="21"/>
                <w:szCs w:val="21"/>
              </w:rPr>
            </w:r>
            <w:r/>
          </w:p>
        </w:tc>
      </w:tr>
      <w:tr>
        <w:trPr>
          <w:trHeight w:val="559"/>
        </w:trPr>
        <w:tc>
          <w:tcPr>
            <w:tcBorders>
              <w:top w:val="single" w:color="000000" w:sz="2" w:space="0"/>
              <w:left w:val="single" w:color="000000" w:sz="2" w:space="0"/>
              <w:bottom w:val="single" w:color="000000" w:sz="2" w:space="0"/>
              <w:right w:val="single" w:color="000000" w:sz="2" w:space="0"/>
            </w:tcBorders>
            <w:tcW w:w="2610" w:type="dxa"/>
            <w:vAlign w:val="top"/>
            <w:textDirection w:val="lrTb"/>
            <w:noWrap w:val="false"/>
          </w:tcPr>
          <w:p>
            <w:pPr>
              <w:pStyle w:val="954"/>
              <w:ind w:left="841"/>
              <w:spacing w:before="247"/>
              <w:rPr>
                <w:rFonts w:hint="eastAsia"/>
                <w:sz w:val="21"/>
                <w:szCs w:val="21"/>
              </w:rPr>
            </w:pPr>
            <w:r>
              <w:rPr>
                <w:rFonts w:hint="eastAsia"/>
                <w:spacing w:val="2"/>
                <w:sz w:val="21"/>
                <w:szCs w:val="21"/>
              </w:rPr>
              <w:t xml:space="preserve">合同名称</w:t>
            </w:r>
            <w:r>
              <w:rPr>
                <w:rFonts w:hint="eastAsia"/>
                <w:sz w:val="21"/>
                <w:szCs w:val="21"/>
              </w:rPr>
            </w:r>
            <w:r/>
          </w:p>
        </w:tc>
        <w:tc>
          <w:tcPr>
            <w:gridSpan w:val="3"/>
            <w:tcBorders>
              <w:top w:val="single" w:color="000000" w:sz="2" w:space="0"/>
              <w:left w:val="none" w:color="000000" w:sz="4" w:space="0"/>
              <w:bottom w:val="single" w:color="000000" w:sz="2" w:space="0"/>
              <w:right w:val="single" w:color="000000" w:sz="2" w:space="0"/>
            </w:tcBorders>
            <w:tcW w:w="6708" w:type="dxa"/>
            <w:vAlign w:val="top"/>
            <w:textDirection w:val="lrTb"/>
            <w:noWrap w:val="false"/>
          </w:tcPr>
          <w:p>
            <w:pPr>
              <w:pStyle w:val="954"/>
              <w:rPr>
                <w:rFonts w:hint="eastAsia" w:cs="Arial"/>
                <w:sz w:val="21"/>
                <w:szCs w:val="21"/>
              </w:rPr>
            </w:pPr>
            <w:r>
              <w:rPr>
                <w:rFonts w:hint="eastAsia" w:cs="Arial"/>
                <w:sz w:val="21"/>
                <w:szCs w:val="21"/>
              </w:rPr>
            </w:r>
            <w:r/>
          </w:p>
        </w:tc>
      </w:tr>
      <w:tr>
        <w:trPr>
          <w:trHeight w:val="560"/>
        </w:trPr>
        <w:tc>
          <w:tcPr>
            <w:tcBorders>
              <w:top w:val="single" w:color="000000" w:sz="2" w:space="0"/>
              <w:left w:val="single" w:color="000000" w:sz="2" w:space="0"/>
              <w:bottom w:val="single" w:color="000000" w:sz="2" w:space="0"/>
              <w:right w:val="single" w:color="000000" w:sz="2" w:space="0"/>
            </w:tcBorders>
            <w:tcW w:w="2610" w:type="dxa"/>
            <w:vAlign w:val="top"/>
            <w:textDirection w:val="lrTb"/>
            <w:noWrap w:val="false"/>
          </w:tcPr>
          <w:p>
            <w:pPr>
              <w:pStyle w:val="954"/>
              <w:ind w:left="841"/>
              <w:spacing w:before="247"/>
              <w:rPr>
                <w:rFonts w:hint="eastAsia"/>
                <w:sz w:val="21"/>
                <w:szCs w:val="21"/>
              </w:rPr>
            </w:pPr>
            <w:r>
              <w:rPr>
                <w:rFonts w:hint="eastAsia"/>
                <w:spacing w:val="2"/>
                <w:sz w:val="21"/>
                <w:szCs w:val="21"/>
              </w:rPr>
              <w:t xml:space="preserve">合同编号</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1961" w:type="dxa"/>
            <w:vAlign w:val="top"/>
            <w:textDirection w:val="lrTb"/>
            <w:noWrap w:val="false"/>
          </w:tcPr>
          <w:p>
            <w:pPr>
              <w:pStyle w:val="954"/>
              <w:rPr>
                <w:rFonts w:hint="eastAsia" w:cs="Arial"/>
                <w:sz w:val="21"/>
                <w:szCs w:val="21"/>
              </w:rPr>
            </w:pPr>
            <w:r>
              <w:rPr>
                <w:rFonts w:hint="eastAsia" w:cs="Arial"/>
                <w:sz w:val="21"/>
                <w:szCs w:val="21"/>
              </w:rPr>
            </w:r>
            <w:r/>
          </w:p>
        </w:tc>
        <w:tc>
          <w:tcPr>
            <w:tcBorders>
              <w:top w:val="single" w:color="000000" w:sz="2" w:space="0"/>
              <w:left w:val="none" w:color="000000" w:sz="4" w:space="0"/>
              <w:bottom w:val="single" w:color="000000" w:sz="2" w:space="0"/>
              <w:right w:val="single" w:color="000000" w:sz="2" w:space="0"/>
            </w:tcBorders>
            <w:tcW w:w="2139" w:type="dxa"/>
            <w:vAlign w:val="top"/>
            <w:textDirection w:val="lrTb"/>
            <w:noWrap w:val="false"/>
          </w:tcPr>
          <w:p>
            <w:pPr>
              <w:pStyle w:val="954"/>
              <w:ind w:left="607"/>
              <w:spacing w:before="247"/>
              <w:rPr>
                <w:rFonts w:hint="eastAsia"/>
                <w:sz w:val="21"/>
                <w:szCs w:val="21"/>
              </w:rPr>
            </w:pPr>
            <w:r>
              <w:rPr>
                <w:rFonts w:hint="eastAsia"/>
                <w:spacing w:val="2"/>
                <w:sz w:val="21"/>
                <w:szCs w:val="21"/>
              </w:rPr>
              <w:t xml:space="preserve">合同金额</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2608" w:type="dxa"/>
            <w:vAlign w:val="top"/>
            <w:textDirection w:val="lrTb"/>
            <w:noWrap w:val="false"/>
          </w:tcPr>
          <w:p>
            <w:pPr>
              <w:pStyle w:val="954"/>
              <w:rPr>
                <w:rFonts w:hint="eastAsia" w:cs="Arial"/>
                <w:sz w:val="21"/>
                <w:szCs w:val="21"/>
              </w:rPr>
            </w:pPr>
            <w:r>
              <w:rPr>
                <w:rFonts w:hint="eastAsia" w:cs="Arial"/>
                <w:sz w:val="21"/>
                <w:szCs w:val="21"/>
              </w:rPr>
            </w:r>
            <w:r/>
          </w:p>
        </w:tc>
      </w:tr>
      <w:tr>
        <w:trPr>
          <w:trHeight w:val="559"/>
        </w:trPr>
        <w:tc>
          <w:tcPr>
            <w:tcBorders>
              <w:top w:val="single" w:color="000000" w:sz="2" w:space="0"/>
              <w:left w:val="single" w:color="000000" w:sz="2" w:space="0"/>
              <w:bottom w:val="single" w:color="000000" w:sz="2" w:space="0"/>
              <w:right w:val="single" w:color="000000" w:sz="2" w:space="0"/>
            </w:tcBorders>
            <w:tcW w:w="2610" w:type="dxa"/>
            <w:vAlign w:val="top"/>
            <w:textDirection w:val="lrTb"/>
            <w:noWrap w:val="false"/>
          </w:tcPr>
          <w:p>
            <w:pPr>
              <w:pStyle w:val="954"/>
              <w:ind w:left="841"/>
              <w:spacing w:before="248"/>
              <w:rPr>
                <w:rFonts w:hint="eastAsia"/>
                <w:sz w:val="21"/>
                <w:szCs w:val="21"/>
              </w:rPr>
            </w:pPr>
            <w:r>
              <w:rPr>
                <w:rFonts w:hint="eastAsia"/>
                <w:spacing w:val="4"/>
                <w:sz w:val="21"/>
                <w:szCs w:val="21"/>
              </w:rPr>
              <w:t xml:space="preserve">验收时间</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1961" w:type="dxa"/>
            <w:vAlign w:val="top"/>
            <w:textDirection w:val="lrTb"/>
            <w:noWrap w:val="false"/>
          </w:tcPr>
          <w:p>
            <w:pPr>
              <w:pStyle w:val="954"/>
              <w:rPr>
                <w:rFonts w:hint="eastAsia" w:cs="Arial"/>
                <w:sz w:val="21"/>
                <w:szCs w:val="21"/>
              </w:rPr>
            </w:pPr>
            <w:r>
              <w:rPr>
                <w:rFonts w:hint="eastAsia" w:cs="Arial"/>
                <w:sz w:val="21"/>
                <w:szCs w:val="21"/>
              </w:rPr>
            </w:r>
            <w:r/>
          </w:p>
        </w:tc>
        <w:tc>
          <w:tcPr>
            <w:tcBorders>
              <w:top w:val="single" w:color="000000" w:sz="2" w:space="0"/>
              <w:left w:val="none" w:color="000000" w:sz="4" w:space="0"/>
              <w:bottom w:val="single" w:color="000000" w:sz="2" w:space="0"/>
              <w:right w:val="single" w:color="000000" w:sz="2" w:space="0"/>
            </w:tcBorders>
            <w:tcW w:w="2139" w:type="dxa"/>
            <w:vAlign w:val="top"/>
            <w:textDirection w:val="lrTb"/>
            <w:noWrap w:val="false"/>
          </w:tcPr>
          <w:p>
            <w:pPr>
              <w:pStyle w:val="954"/>
              <w:ind w:left="607"/>
              <w:spacing w:before="248"/>
              <w:rPr>
                <w:rFonts w:hint="eastAsia"/>
                <w:sz w:val="21"/>
                <w:szCs w:val="21"/>
              </w:rPr>
            </w:pPr>
            <w:r>
              <w:rPr>
                <w:rFonts w:hint="eastAsia"/>
                <w:spacing w:val="4"/>
                <w:sz w:val="21"/>
                <w:szCs w:val="21"/>
              </w:rPr>
              <w:t xml:space="preserve">验收地点</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2608" w:type="dxa"/>
            <w:vAlign w:val="top"/>
            <w:textDirection w:val="lrTb"/>
            <w:noWrap w:val="false"/>
          </w:tcPr>
          <w:p>
            <w:pPr>
              <w:pStyle w:val="954"/>
              <w:rPr>
                <w:rFonts w:hint="eastAsia" w:cs="Arial"/>
                <w:sz w:val="21"/>
                <w:szCs w:val="21"/>
              </w:rPr>
            </w:pPr>
            <w:r>
              <w:rPr>
                <w:rFonts w:hint="eastAsia" w:cs="Arial"/>
                <w:sz w:val="21"/>
                <w:szCs w:val="21"/>
              </w:rPr>
            </w:r>
            <w:r/>
          </w:p>
        </w:tc>
      </w:tr>
      <w:tr>
        <w:trPr>
          <w:trHeight w:val="560"/>
        </w:trPr>
        <w:tc>
          <w:tcPr>
            <w:tcBorders>
              <w:top w:val="single" w:color="000000" w:sz="2" w:space="0"/>
              <w:left w:val="single" w:color="000000" w:sz="2" w:space="0"/>
              <w:bottom w:val="single" w:color="000000" w:sz="2" w:space="0"/>
              <w:right w:val="single" w:color="000000" w:sz="2" w:space="0"/>
            </w:tcBorders>
            <w:tcW w:w="2610" w:type="dxa"/>
            <w:vAlign w:val="top"/>
            <w:textDirection w:val="lrTb"/>
            <w:noWrap w:val="false"/>
          </w:tcPr>
          <w:p>
            <w:pPr>
              <w:pStyle w:val="954"/>
              <w:ind w:left="960"/>
              <w:spacing w:before="248"/>
              <w:rPr>
                <w:rFonts w:hint="eastAsia"/>
                <w:sz w:val="21"/>
                <w:szCs w:val="21"/>
              </w:rPr>
            </w:pPr>
            <w:r>
              <w:rPr>
                <w:rFonts w:hint="eastAsia"/>
                <w:spacing w:val="1"/>
                <w:sz w:val="21"/>
                <w:szCs w:val="21"/>
              </w:rPr>
              <w:t xml:space="preserve">联系人</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1961" w:type="dxa"/>
            <w:vAlign w:val="top"/>
            <w:textDirection w:val="lrTb"/>
            <w:noWrap w:val="false"/>
          </w:tcPr>
          <w:p>
            <w:pPr>
              <w:pStyle w:val="954"/>
              <w:rPr>
                <w:rFonts w:hint="eastAsia" w:cs="Arial"/>
                <w:sz w:val="21"/>
                <w:szCs w:val="21"/>
              </w:rPr>
            </w:pPr>
            <w:r>
              <w:rPr>
                <w:rFonts w:hint="eastAsia" w:cs="Arial"/>
                <w:sz w:val="21"/>
                <w:szCs w:val="21"/>
              </w:rPr>
            </w:r>
            <w:r/>
          </w:p>
        </w:tc>
        <w:tc>
          <w:tcPr>
            <w:tcBorders>
              <w:top w:val="single" w:color="000000" w:sz="2" w:space="0"/>
              <w:left w:val="none" w:color="000000" w:sz="4" w:space="0"/>
              <w:bottom w:val="single" w:color="000000" w:sz="2" w:space="0"/>
              <w:right w:val="single" w:color="000000" w:sz="2" w:space="0"/>
            </w:tcBorders>
            <w:tcW w:w="2139" w:type="dxa"/>
            <w:vAlign w:val="top"/>
            <w:textDirection w:val="lrTb"/>
            <w:noWrap w:val="false"/>
          </w:tcPr>
          <w:p>
            <w:pPr>
              <w:pStyle w:val="954"/>
              <w:ind w:left="605"/>
              <w:spacing w:before="248"/>
              <w:rPr>
                <w:rFonts w:hint="eastAsia"/>
                <w:sz w:val="21"/>
                <w:szCs w:val="21"/>
              </w:rPr>
            </w:pPr>
            <w:r>
              <w:rPr>
                <w:rFonts w:hint="eastAsia"/>
                <w:spacing w:val="3"/>
                <w:sz w:val="21"/>
                <w:szCs w:val="21"/>
              </w:rPr>
              <w:t xml:space="preserve">联系电话</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2608" w:type="dxa"/>
            <w:vAlign w:val="top"/>
            <w:textDirection w:val="lrTb"/>
            <w:noWrap w:val="false"/>
          </w:tcPr>
          <w:p>
            <w:pPr>
              <w:pStyle w:val="954"/>
              <w:rPr>
                <w:rFonts w:hint="eastAsia" w:cs="Arial"/>
                <w:sz w:val="21"/>
                <w:szCs w:val="21"/>
              </w:rPr>
            </w:pPr>
            <w:r>
              <w:rPr>
                <w:rFonts w:hint="eastAsia" w:cs="Arial"/>
                <w:sz w:val="21"/>
                <w:szCs w:val="21"/>
              </w:rPr>
            </w:r>
            <w:r/>
          </w:p>
        </w:tc>
      </w:tr>
      <w:tr>
        <w:trPr>
          <w:trHeight w:val="560"/>
        </w:trPr>
        <w:tc>
          <w:tcPr>
            <w:gridSpan w:val="4"/>
            <w:tcBorders>
              <w:top w:val="single" w:color="000000" w:sz="2" w:space="0"/>
              <w:left w:val="single" w:color="000000" w:sz="2" w:space="0"/>
              <w:bottom w:val="single" w:color="000000" w:sz="2" w:space="0"/>
              <w:right w:val="single" w:color="000000" w:sz="2" w:space="0"/>
            </w:tcBorders>
            <w:tcW w:w="9318" w:type="dxa"/>
            <w:vAlign w:val="top"/>
            <w:textDirection w:val="lrTb"/>
            <w:noWrap w:val="false"/>
          </w:tcPr>
          <w:p>
            <w:pPr>
              <w:pStyle w:val="954"/>
              <w:ind w:left="3353"/>
              <w:spacing w:before="250"/>
              <w:rPr>
                <w:rFonts w:hint="eastAsia"/>
                <w:sz w:val="21"/>
                <w:szCs w:val="21"/>
              </w:rPr>
            </w:pPr>
            <w:r>
              <w:rPr>
                <w:rFonts w:hint="eastAsia"/>
                <w:spacing w:val="7"/>
                <w:sz w:val="21"/>
                <w:szCs w:val="21"/>
              </w:rPr>
              <w:t xml:space="preserve">履约验收方案及工作要求</w:t>
            </w:r>
            <w:r>
              <w:rPr>
                <w:rFonts w:hint="eastAsia"/>
                <w:sz w:val="21"/>
                <w:szCs w:val="21"/>
              </w:rPr>
            </w:r>
            <w:r/>
          </w:p>
        </w:tc>
      </w:tr>
      <w:tr>
        <w:trPr>
          <w:trHeight w:val="7569"/>
        </w:trPr>
        <w:tc>
          <w:tcPr>
            <w:gridSpan w:val="4"/>
            <w:tcBorders>
              <w:top w:val="single" w:color="000000" w:sz="2" w:space="0"/>
              <w:left w:val="single" w:color="000000" w:sz="2" w:space="0"/>
              <w:bottom w:val="single" w:color="000000" w:sz="2" w:space="0"/>
              <w:right w:val="single" w:color="000000" w:sz="2" w:space="0"/>
            </w:tcBorders>
            <w:tcW w:w="9318" w:type="dxa"/>
            <w:vAlign w:val="top"/>
            <w:textDirection w:val="lrTb"/>
            <w:noWrap w:val="false"/>
          </w:tcPr>
          <w:p>
            <w:pPr>
              <w:pStyle w:val="954"/>
              <w:rPr>
                <w:rFonts w:hint="eastAsia" w:cs="Arial"/>
                <w:sz w:val="21"/>
                <w:szCs w:val="21"/>
              </w:rPr>
            </w:pPr>
            <w:r>
              <w:rPr>
                <w:rFonts w:hint="eastAsia" w:cs="Arial"/>
                <w:sz w:val="21"/>
                <w:szCs w:val="21"/>
              </w:rPr>
            </w:r>
            <w:r/>
          </w:p>
          <w:p>
            <w:pPr>
              <w:pStyle w:val="954"/>
              <w:rPr>
                <w:rFonts w:hint="eastAsia" w:cs="Arial"/>
                <w:sz w:val="21"/>
                <w:szCs w:val="21"/>
              </w:rPr>
            </w:pPr>
            <w:r>
              <w:rPr>
                <w:rFonts w:hint="eastAsia" w:cs="Arial"/>
                <w:sz w:val="21"/>
                <w:szCs w:val="21"/>
              </w:rPr>
            </w:r>
            <w:r/>
          </w:p>
          <w:p>
            <w:pPr>
              <w:pStyle w:val="954"/>
              <w:rPr>
                <w:rFonts w:cs="Arial"/>
                <w:sz w:val="21"/>
                <w:szCs w:val="21"/>
              </w:rPr>
            </w:pPr>
            <w:r>
              <w:rPr>
                <w:rFonts w:cs="Arial"/>
                <w:sz w:val="21"/>
                <w:szCs w:val="21"/>
              </w:rPr>
            </w:r>
            <w:r/>
          </w:p>
          <w:p>
            <w:pPr>
              <w:pStyle w:val="954"/>
              <w:rPr>
                <w:rFonts w:cs="Arial"/>
                <w:sz w:val="21"/>
                <w:szCs w:val="21"/>
              </w:rPr>
            </w:pPr>
            <w:r>
              <w:rPr>
                <w:rFonts w:cs="Arial"/>
                <w:sz w:val="21"/>
                <w:szCs w:val="21"/>
              </w:rPr>
            </w:r>
            <w:r/>
          </w:p>
          <w:p>
            <w:pPr>
              <w:pStyle w:val="954"/>
              <w:rPr>
                <w:rFonts w:cs="Arial"/>
                <w:sz w:val="21"/>
                <w:szCs w:val="21"/>
              </w:rPr>
            </w:pPr>
            <w:r>
              <w:rPr>
                <w:rFonts w:cs="Arial"/>
                <w:sz w:val="21"/>
                <w:szCs w:val="21"/>
              </w:rPr>
            </w:r>
            <w:r/>
          </w:p>
          <w:p>
            <w:pPr>
              <w:pStyle w:val="954"/>
              <w:rPr>
                <w:rFonts w:cs="Arial"/>
                <w:sz w:val="21"/>
                <w:szCs w:val="21"/>
              </w:rPr>
            </w:pPr>
            <w:r>
              <w:rPr>
                <w:rFonts w:cs="Arial"/>
                <w:sz w:val="21"/>
                <w:szCs w:val="21"/>
              </w:rPr>
            </w:r>
            <w:r/>
          </w:p>
          <w:p>
            <w:pPr>
              <w:pStyle w:val="954"/>
              <w:rPr>
                <w:rFonts w:cs="Arial"/>
                <w:sz w:val="21"/>
                <w:szCs w:val="21"/>
              </w:rPr>
            </w:pPr>
            <w:r>
              <w:rPr>
                <w:rFonts w:cs="Arial"/>
                <w:sz w:val="21"/>
                <w:szCs w:val="21"/>
              </w:rPr>
            </w:r>
            <w:r/>
          </w:p>
          <w:p>
            <w:pPr>
              <w:pStyle w:val="954"/>
              <w:rPr>
                <w:rFonts w:cs="Arial"/>
                <w:sz w:val="21"/>
                <w:szCs w:val="21"/>
              </w:rPr>
            </w:pPr>
            <w:r>
              <w:rPr>
                <w:rFonts w:cs="Arial"/>
                <w:sz w:val="21"/>
                <w:szCs w:val="21"/>
              </w:rPr>
            </w:r>
            <w:r/>
          </w:p>
          <w:p>
            <w:pPr>
              <w:pStyle w:val="954"/>
              <w:rPr>
                <w:rFonts w:cs="Arial"/>
                <w:sz w:val="21"/>
                <w:szCs w:val="21"/>
              </w:rPr>
            </w:pPr>
            <w:r>
              <w:rPr>
                <w:rFonts w:cs="Arial"/>
                <w:sz w:val="21"/>
                <w:szCs w:val="21"/>
              </w:rPr>
            </w:r>
            <w:r/>
          </w:p>
          <w:p>
            <w:pPr>
              <w:pStyle w:val="954"/>
              <w:rPr>
                <w:rFonts w:cs="Arial"/>
                <w:sz w:val="21"/>
                <w:szCs w:val="21"/>
              </w:rPr>
            </w:pPr>
            <w:r>
              <w:rPr>
                <w:rFonts w:cs="Arial"/>
                <w:sz w:val="21"/>
                <w:szCs w:val="21"/>
              </w:rPr>
            </w:r>
            <w:r/>
          </w:p>
          <w:p>
            <w:pPr>
              <w:pStyle w:val="954"/>
              <w:rPr>
                <w:rFonts w:cs="Arial"/>
                <w:sz w:val="21"/>
                <w:szCs w:val="21"/>
              </w:rPr>
            </w:pPr>
            <w:r>
              <w:rPr>
                <w:rFonts w:cs="Arial"/>
                <w:sz w:val="21"/>
                <w:szCs w:val="21"/>
              </w:rPr>
            </w:r>
            <w:r/>
          </w:p>
          <w:p>
            <w:pPr>
              <w:pStyle w:val="954"/>
              <w:rPr>
                <w:rFonts w:cs="Arial"/>
                <w:sz w:val="21"/>
                <w:szCs w:val="21"/>
              </w:rPr>
            </w:pPr>
            <w:r>
              <w:rPr>
                <w:rFonts w:cs="Arial"/>
                <w:sz w:val="21"/>
                <w:szCs w:val="21"/>
              </w:rPr>
            </w:r>
            <w:r/>
          </w:p>
          <w:p>
            <w:pPr>
              <w:pStyle w:val="954"/>
              <w:rPr>
                <w:rFonts w:cs="Arial"/>
                <w:sz w:val="21"/>
                <w:szCs w:val="21"/>
              </w:rPr>
            </w:pPr>
            <w:r>
              <w:rPr>
                <w:rFonts w:cs="Arial"/>
                <w:sz w:val="21"/>
                <w:szCs w:val="21"/>
              </w:rPr>
            </w:r>
            <w:r/>
          </w:p>
          <w:p>
            <w:pPr>
              <w:pStyle w:val="954"/>
              <w:rPr>
                <w:rFonts w:cs="Arial"/>
                <w:sz w:val="21"/>
                <w:szCs w:val="21"/>
              </w:rPr>
            </w:pPr>
            <w:r>
              <w:rPr>
                <w:rFonts w:cs="Arial"/>
                <w:sz w:val="21"/>
                <w:szCs w:val="21"/>
              </w:rPr>
            </w:r>
            <w:r/>
          </w:p>
          <w:p>
            <w:pPr>
              <w:pStyle w:val="954"/>
              <w:rPr>
                <w:rFonts w:cs="Arial"/>
                <w:sz w:val="21"/>
                <w:szCs w:val="21"/>
              </w:rPr>
            </w:pPr>
            <w:r>
              <w:rPr>
                <w:rFonts w:cs="Arial"/>
                <w:sz w:val="21"/>
                <w:szCs w:val="21"/>
              </w:rPr>
            </w:r>
            <w:r/>
          </w:p>
          <w:p>
            <w:pPr>
              <w:pStyle w:val="954"/>
              <w:rPr>
                <w:rFonts w:hint="eastAsia" w:cs="Arial"/>
                <w:sz w:val="21"/>
                <w:szCs w:val="21"/>
              </w:rPr>
            </w:pPr>
            <w:r>
              <w:rPr>
                <w:rFonts w:hint="eastAsia" w:cs="Arial"/>
                <w:sz w:val="21"/>
                <w:szCs w:val="21"/>
              </w:rPr>
            </w:r>
            <w:r/>
          </w:p>
          <w:p>
            <w:pPr>
              <w:pStyle w:val="954"/>
              <w:rPr>
                <w:rFonts w:cs="Arial"/>
                <w:sz w:val="21"/>
                <w:szCs w:val="21"/>
              </w:rPr>
            </w:pPr>
            <w:r>
              <w:rPr>
                <w:rFonts w:cs="Arial"/>
                <w:sz w:val="21"/>
                <w:szCs w:val="21"/>
              </w:rPr>
            </w:r>
            <w:r/>
          </w:p>
          <w:p>
            <w:pPr>
              <w:pStyle w:val="954"/>
              <w:ind w:right="2893" w:firstLine="4720"/>
              <w:spacing w:before="75" w:line="504" w:lineRule="auto"/>
              <w:rPr>
                <w:rFonts w:hint="eastAsia"/>
                <w:spacing w:val="3"/>
                <w:sz w:val="21"/>
                <w:szCs w:val="21"/>
              </w:rPr>
            </w:pPr>
            <w:r>
              <w:rPr>
                <w:rFonts w:hint="eastAsia"/>
                <w:spacing w:val="3"/>
                <w:sz w:val="21"/>
                <w:szCs w:val="21"/>
              </w:rPr>
              <w:t xml:space="preserve">单位公章</w:t>
            </w:r>
            <w:r/>
          </w:p>
          <w:p>
            <w:pPr>
              <w:pStyle w:val="954"/>
              <w:ind w:right="2893" w:firstLine="4600"/>
              <w:spacing w:before="75" w:line="504" w:lineRule="auto"/>
              <w:rPr>
                <w:rFonts w:hint="eastAsia"/>
                <w:sz w:val="21"/>
                <w:szCs w:val="21"/>
              </w:rPr>
            </w:pPr>
            <w:r>
              <w:rPr>
                <w:rFonts w:hint="eastAsia"/>
                <w:sz w:val="21"/>
                <w:szCs w:val="21"/>
              </w:rPr>
              <w:t xml:space="preserve">  </w:t>
            </w:r>
            <w:r>
              <w:rPr>
                <w:rFonts w:hint="eastAsia"/>
                <w:spacing w:val="-16"/>
                <w:sz w:val="21"/>
                <w:szCs w:val="21"/>
              </w:rPr>
              <w:t xml:space="preserve">年</w:t>
            </w:r>
            <w:r>
              <w:rPr>
                <w:rFonts w:hint="eastAsia"/>
                <w:spacing w:val="18"/>
                <w:sz w:val="21"/>
                <w:szCs w:val="21"/>
              </w:rPr>
              <w:t xml:space="preserve"> </w:t>
            </w:r>
            <w:r>
              <w:rPr>
                <w:rFonts w:hint="eastAsia"/>
                <w:spacing w:val="-16"/>
                <w:sz w:val="21"/>
                <w:szCs w:val="21"/>
              </w:rPr>
              <w:t xml:space="preserve">月</w:t>
            </w:r>
            <w:r>
              <w:rPr>
                <w:rFonts w:hint="eastAsia"/>
                <w:spacing w:val="12"/>
                <w:sz w:val="21"/>
                <w:szCs w:val="21"/>
              </w:rPr>
              <w:t xml:space="preserve">  </w:t>
            </w:r>
            <w:r>
              <w:rPr>
                <w:rFonts w:hint="eastAsia"/>
                <w:spacing w:val="-16"/>
                <w:sz w:val="21"/>
                <w:szCs w:val="21"/>
              </w:rPr>
              <w:t xml:space="preserve">日</w:t>
            </w:r>
            <w:r>
              <w:rPr>
                <w:rFonts w:hint="eastAsia"/>
                <w:sz w:val="21"/>
                <w:szCs w:val="21"/>
              </w:rPr>
            </w:r>
            <w:r/>
          </w:p>
        </w:tc>
      </w:tr>
    </w:tbl>
    <w:p>
      <w:pPr>
        <w:pStyle w:val="954"/>
        <w:contextualSpacing/>
        <w:ind w:firstLine="420"/>
        <w:spacing w:line="360" w:lineRule="auto"/>
        <w:rPr>
          <w:rFonts w:hint="eastAsia" w:cs="宋体"/>
          <w:sz w:val="21"/>
          <w:szCs w:val="21"/>
          <w:lang w:val="zh-CN"/>
        </w:rPr>
        <w:sectPr>
          <w:footerReference w:type="default" r:id="rId9"/>
          <w:footerReference w:type="even" r:id="rId10"/>
          <w:footerReference w:type="first" r:id="rId11"/>
          <w:footnotePr/>
          <w:endnotePr/>
          <w:type w:val="nextPage"/>
          <w:pgSz w:w="11906" w:h="16838" w:orient="portrait"/>
          <w:pgMar w:top="675" w:right="1021" w:bottom="1702" w:left="1021" w:header="426" w:footer="284" w:gutter="0"/>
          <w:pgNumType w:start="1"/>
          <w:cols w:num="1" w:sep="0" w:space="720" w:equalWidth="1"/>
          <w:docGrid w:linePitch="360"/>
          <w:titlePg/>
        </w:sectPr>
      </w:pPr>
      <w:r>
        <w:rPr>
          <w:rFonts w:hint="eastAsia" w:cs="宋体"/>
          <w:sz w:val="21"/>
          <w:szCs w:val="21"/>
          <w:lang w:val="zh-CN"/>
        </w:rPr>
      </w:r>
      <w:r/>
    </w:p>
    <w:p>
      <w:pPr>
        <w:pStyle w:val="954"/>
        <w:contextualSpacing/>
        <w:ind w:firstLine="420"/>
        <w:spacing w:line="360" w:lineRule="auto"/>
        <w:rPr>
          <w:sz w:val="21"/>
          <w:szCs w:val="21"/>
        </w:rPr>
      </w:pPr>
      <w:r>
        <w:rPr>
          <w:rFonts w:hint="eastAsia"/>
          <w:sz w:val="21"/>
          <w:szCs w:val="21"/>
        </w:rPr>
        <w:t xml:space="preserve">附件2：</w:t>
      </w:r>
      <w:r>
        <w:rPr>
          <w:sz w:val="21"/>
          <w:szCs w:val="21"/>
        </w:rPr>
      </w:r>
      <w:r/>
    </w:p>
    <w:p>
      <w:pPr>
        <w:pStyle w:val="954"/>
        <w:jc w:val="center"/>
        <w:spacing w:before="104"/>
        <w:rPr>
          <w:rFonts w:hint="eastAsia" w:ascii="微软雅黑" w:hAnsi="微软雅黑" w:eastAsia="微软雅黑"/>
          <w:spacing w:val="19"/>
          <w:sz w:val="36"/>
          <w:szCs w:val="36"/>
        </w:rPr>
      </w:pPr>
      <w:r>
        <w:rPr>
          <w:rFonts w:hint="eastAsia" w:ascii="微软雅黑" w:hAnsi="微软雅黑" w:eastAsia="微软雅黑"/>
          <w:spacing w:val="19"/>
          <w:sz w:val="36"/>
          <w:szCs w:val="36"/>
        </w:rPr>
        <w:t xml:space="preserve">政府采购履约验收书参考样本(服务类)</w:t>
      </w:r>
      <w:r/>
    </w:p>
    <w:tbl>
      <w:tblPr>
        <w:tblW w:w="1417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282"/>
        <w:gridCol w:w="2556"/>
      </w:tblGrid>
      <w:tr>
        <w:trPr>
          <w:trHeight w:val="477"/>
        </w:trPr>
        <w:tc>
          <w:tcPr>
            <w:tcBorders>
              <w:top w:val="single" w:color="000000" w:sz="2" w:space="0"/>
              <w:left w:val="single" w:color="000000" w:sz="2" w:space="0"/>
              <w:bottom w:val="single" w:color="000000" w:sz="2" w:space="0"/>
              <w:right w:val="single" w:color="000000" w:sz="2" w:space="0"/>
            </w:tcBorders>
            <w:tcW w:w="1625" w:type="dxa"/>
            <w:vAlign w:val="top"/>
            <w:textDirection w:val="lrTb"/>
            <w:noWrap w:val="false"/>
          </w:tcPr>
          <w:p>
            <w:pPr>
              <w:pStyle w:val="954"/>
              <w:ind w:left="543"/>
              <w:rPr>
                <w:rFonts w:hint="eastAsia"/>
                <w:sz w:val="21"/>
                <w:szCs w:val="21"/>
              </w:rPr>
            </w:pPr>
            <w:r>
              <w:rPr>
                <w:rFonts w:hint="eastAsia"/>
                <w:spacing w:val="-3"/>
                <w:sz w:val="21"/>
                <w:szCs w:val="21"/>
              </w:rPr>
              <w:t xml:space="preserve">采购人</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1714" w:type="dxa"/>
            <w:vAlign w:val="top"/>
            <w:textDirection w:val="lrTb"/>
            <w:noWrap w:val="false"/>
          </w:tcPr>
          <w:p>
            <w:pPr>
              <w:pStyle w:val="954"/>
              <w:rPr>
                <w:rFonts w:hint="eastAsia" w:cs="Arial"/>
                <w:sz w:val="21"/>
                <w:szCs w:val="21"/>
              </w:rPr>
            </w:pPr>
            <w:r>
              <w:rPr>
                <w:rFonts w:hint="eastAsia" w:cs="Arial"/>
                <w:sz w:val="21"/>
                <w:szCs w:val="21"/>
              </w:rPr>
            </w:r>
            <w:r/>
          </w:p>
        </w:tc>
        <w:tc>
          <w:tcPr>
            <w:tcBorders>
              <w:top w:val="single" w:color="000000" w:sz="2" w:space="0"/>
              <w:left w:val="none" w:color="000000" w:sz="4" w:space="0"/>
              <w:bottom w:val="single" w:color="000000" w:sz="2" w:space="0"/>
              <w:right w:val="single" w:color="000000" w:sz="2" w:space="0"/>
            </w:tcBorders>
            <w:tcW w:w="1816" w:type="dxa"/>
            <w:vAlign w:val="top"/>
            <w:textDirection w:val="lrTb"/>
            <w:noWrap w:val="false"/>
          </w:tcPr>
          <w:p>
            <w:pPr>
              <w:pStyle w:val="954"/>
              <w:ind w:left="553"/>
              <w:rPr>
                <w:rFonts w:hint="eastAsia"/>
                <w:sz w:val="21"/>
                <w:szCs w:val="21"/>
              </w:rPr>
            </w:pPr>
            <w:r>
              <w:rPr>
                <w:rFonts w:hint="eastAsia"/>
                <w:spacing w:val="-3"/>
                <w:sz w:val="21"/>
                <w:szCs w:val="21"/>
              </w:rPr>
              <w:t xml:space="preserve">项目名称</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2476" w:type="dxa"/>
            <w:vAlign w:val="top"/>
            <w:textDirection w:val="lrTb"/>
            <w:noWrap w:val="false"/>
          </w:tcPr>
          <w:p>
            <w:pPr>
              <w:pStyle w:val="954"/>
              <w:rPr>
                <w:rFonts w:hint="eastAsia" w:cs="Arial"/>
                <w:sz w:val="21"/>
                <w:szCs w:val="21"/>
              </w:rPr>
            </w:pPr>
            <w:r>
              <w:rPr>
                <w:rFonts w:hint="eastAsia" w:cs="Arial"/>
                <w:sz w:val="21"/>
                <w:szCs w:val="21"/>
              </w:rPr>
            </w:r>
            <w:r/>
          </w:p>
        </w:tc>
        <w:tc>
          <w:tcPr>
            <w:gridSpan w:val="2"/>
            <w:tcBorders>
              <w:top w:val="single" w:color="000000" w:sz="2" w:space="0"/>
              <w:left w:val="none" w:color="000000" w:sz="4" w:space="0"/>
              <w:bottom w:val="single" w:color="000000" w:sz="2" w:space="0"/>
              <w:right w:val="single" w:color="000000" w:sz="2" w:space="0"/>
            </w:tcBorders>
            <w:tcW w:w="3987" w:type="dxa"/>
            <w:vAlign w:val="top"/>
            <w:textDirection w:val="lrTb"/>
            <w:noWrap w:val="false"/>
          </w:tcPr>
          <w:p>
            <w:pPr>
              <w:pStyle w:val="954"/>
              <w:ind w:left="1640"/>
              <w:rPr>
                <w:rFonts w:hint="eastAsia"/>
                <w:sz w:val="21"/>
                <w:szCs w:val="21"/>
              </w:rPr>
            </w:pPr>
            <w:r>
              <w:rPr>
                <w:rFonts w:hint="eastAsia"/>
                <w:spacing w:val="-2"/>
                <w:sz w:val="21"/>
                <w:szCs w:val="21"/>
              </w:rPr>
              <w:t xml:space="preserve">合同名称</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2556" w:type="dxa"/>
            <w:vAlign w:val="top"/>
            <w:textDirection w:val="lrTb"/>
            <w:noWrap w:val="false"/>
          </w:tcPr>
          <w:p>
            <w:pPr>
              <w:pStyle w:val="954"/>
              <w:rPr>
                <w:rFonts w:hint="eastAsia" w:cs="Arial"/>
                <w:sz w:val="21"/>
                <w:szCs w:val="21"/>
              </w:rPr>
            </w:pPr>
            <w:r>
              <w:rPr>
                <w:rFonts w:hint="eastAsia" w:cs="Arial"/>
                <w:sz w:val="21"/>
                <w:szCs w:val="21"/>
              </w:rPr>
            </w:r>
            <w:r/>
          </w:p>
        </w:tc>
      </w:tr>
      <w:tr>
        <w:trPr>
          <w:trHeight w:val="564"/>
        </w:trPr>
        <w:tc>
          <w:tcPr>
            <w:tcBorders>
              <w:top w:val="single" w:color="000000" w:sz="2" w:space="0"/>
              <w:left w:val="single" w:color="000000" w:sz="2" w:space="0"/>
              <w:bottom w:val="single" w:color="000000" w:sz="2" w:space="0"/>
              <w:right w:val="single" w:color="000000" w:sz="2" w:space="0"/>
            </w:tcBorders>
            <w:tcW w:w="1625" w:type="dxa"/>
            <w:vAlign w:val="top"/>
            <w:textDirection w:val="lrTb"/>
            <w:noWrap w:val="false"/>
          </w:tcPr>
          <w:p>
            <w:pPr>
              <w:pStyle w:val="954"/>
              <w:ind w:left="544"/>
              <w:rPr>
                <w:rFonts w:hint="eastAsia"/>
                <w:sz w:val="21"/>
                <w:szCs w:val="21"/>
              </w:rPr>
            </w:pPr>
            <w:r>
              <w:rPr>
                <w:rFonts w:hint="eastAsia"/>
                <w:spacing w:val="-3"/>
                <w:sz w:val="21"/>
                <w:szCs w:val="21"/>
              </w:rPr>
              <w:t xml:space="preserve">供应商</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1714" w:type="dxa"/>
            <w:vAlign w:val="top"/>
            <w:textDirection w:val="lrTb"/>
            <w:noWrap w:val="false"/>
          </w:tcPr>
          <w:p>
            <w:pPr>
              <w:pStyle w:val="954"/>
              <w:rPr>
                <w:rFonts w:hint="eastAsia" w:cs="Arial"/>
                <w:sz w:val="21"/>
                <w:szCs w:val="21"/>
              </w:rPr>
            </w:pPr>
            <w:r>
              <w:rPr>
                <w:rFonts w:hint="eastAsia" w:cs="Arial"/>
                <w:sz w:val="21"/>
                <w:szCs w:val="21"/>
              </w:rPr>
            </w:r>
            <w:r/>
          </w:p>
        </w:tc>
        <w:tc>
          <w:tcPr>
            <w:tcBorders>
              <w:top w:val="single" w:color="000000" w:sz="2" w:space="0"/>
              <w:left w:val="none" w:color="000000" w:sz="4" w:space="0"/>
              <w:bottom w:val="single" w:color="000000" w:sz="2" w:space="0"/>
              <w:right w:val="single" w:color="000000" w:sz="2" w:space="0"/>
            </w:tcBorders>
            <w:tcW w:w="1816" w:type="dxa"/>
            <w:vAlign w:val="top"/>
            <w:textDirection w:val="lrTb"/>
            <w:noWrap w:val="false"/>
          </w:tcPr>
          <w:p>
            <w:pPr>
              <w:pStyle w:val="954"/>
              <w:ind w:left="285"/>
              <w:rPr>
                <w:rFonts w:hint="eastAsia"/>
                <w:sz w:val="21"/>
                <w:szCs w:val="21"/>
              </w:rPr>
            </w:pPr>
            <w:r>
              <w:rPr>
                <w:rFonts w:hint="eastAsia"/>
                <w:spacing w:val="-2"/>
                <w:sz w:val="21"/>
                <w:szCs w:val="21"/>
              </w:rPr>
              <w:t xml:space="preserve">项目及合同编号</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2476" w:type="dxa"/>
            <w:vAlign w:val="top"/>
            <w:textDirection w:val="lrTb"/>
            <w:noWrap w:val="false"/>
          </w:tcPr>
          <w:p>
            <w:pPr>
              <w:pStyle w:val="954"/>
              <w:rPr>
                <w:rFonts w:hint="eastAsia" w:cs="Arial"/>
                <w:sz w:val="21"/>
                <w:szCs w:val="21"/>
              </w:rPr>
            </w:pPr>
            <w:r>
              <w:rPr>
                <w:rFonts w:hint="eastAsia" w:cs="Arial"/>
                <w:sz w:val="21"/>
                <w:szCs w:val="21"/>
              </w:rPr>
            </w:r>
            <w:r/>
          </w:p>
        </w:tc>
        <w:tc>
          <w:tcPr>
            <w:gridSpan w:val="2"/>
            <w:tcBorders>
              <w:top w:val="single" w:color="000000" w:sz="2" w:space="0"/>
              <w:left w:val="none" w:color="000000" w:sz="4" w:space="0"/>
              <w:bottom w:val="single" w:color="000000" w:sz="2" w:space="0"/>
              <w:right w:val="single" w:color="000000" w:sz="2" w:space="0"/>
            </w:tcBorders>
            <w:tcW w:w="3987" w:type="dxa"/>
            <w:vAlign w:val="top"/>
            <w:textDirection w:val="lrTb"/>
            <w:noWrap w:val="false"/>
          </w:tcPr>
          <w:p>
            <w:pPr>
              <w:pStyle w:val="954"/>
              <w:ind w:left="1640"/>
              <w:rPr>
                <w:rFonts w:hint="eastAsia"/>
                <w:sz w:val="21"/>
                <w:szCs w:val="21"/>
              </w:rPr>
            </w:pPr>
            <w:r>
              <w:rPr>
                <w:rFonts w:hint="eastAsia"/>
                <w:spacing w:val="-2"/>
                <w:sz w:val="21"/>
                <w:szCs w:val="21"/>
              </w:rPr>
              <w:t xml:space="preserve">合同金额</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2556" w:type="dxa"/>
            <w:vAlign w:val="top"/>
            <w:textDirection w:val="lrTb"/>
            <w:noWrap w:val="false"/>
          </w:tcPr>
          <w:p>
            <w:pPr>
              <w:pStyle w:val="954"/>
              <w:rPr>
                <w:rFonts w:hint="eastAsia" w:cs="Arial"/>
                <w:sz w:val="21"/>
                <w:szCs w:val="21"/>
              </w:rPr>
            </w:pPr>
            <w:r>
              <w:rPr>
                <w:rFonts w:hint="eastAsia" w:cs="Arial"/>
                <w:sz w:val="21"/>
                <w:szCs w:val="21"/>
              </w:rPr>
            </w:r>
            <w:r/>
          </w:p>
        </w:tc>
      </w:tr>
      <w:tr>
        <w:trPr>
          <w:trHeight w:val="559"/>
        </w:trPr>
        <w:tc>
          <w:tcPr>
            <w:tcBorders>
              <w:top w:val="single" w:color="000000" w:sz="2" w:space="0"/>
              <w:left w:val="single" w:color="000000" w:sz="2" w:space="0"/>
              <w:bottom w:val="single" w:color="000000" w:sz="2" w:space="0"/>
              <w:right w:val="single" w:color="000000" w:sz="2" w:space="0"/>
            </w:tcBorders>
            <w:tcW w:w="1625" w:type="dxa"/>
            <w:vAlign w:val="top"/>
            <w:textDirection w:val="lrTb"/>
            <w:noWrap w:val="false"/>
          </w:tcPr>
          <w:p>
            <w:pPr>
              <w:pStyle w:val="954"/>
              <w:ind w:left="186"/>
              <w:rPr>
                <w:rFonts w:hint="eastAsia"/>
                <w:sz w:val="21"/>
                <w:szCs w:val="21"/>
              </w:rPr>
            </w:pPr>
            <w:r>
              <w:rPr>
                <w:rFonts w:hint="eastAsia"/>
                <w:spacing w:val="-2"/>
                <w:position w:val="1"/>
                <w:sz w:val="21"/>
                <w:szCs w:val="21"/>
              </w:rPr>
              <w:t xml:space="preserve">分期（段）验收</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1714" w:type="dxa"/>
            <w:vAlign w:val="top"/>
            <w:textDirection w:val="lrTb"/>
            <w:noWrap w:val="false"/>
          </w:tcPr>
          <w:p>
            <w:pPr>
              <w:pStyle w:val="954"/>
              <w:ind w:left="367"/>
              <w:rPr>
                <w:rFonts w:hint="eastAsia"/>
                <w:sz w:val="21"/>
                <w:szCs w:val="21"/>
              </w:rPr>
            </w:pPr>
            <w:r>
              <w:rPr>
                <w:rFonts w:hint="eastAsia"/>
                <w:spacing w:val="-6"/>
                <w:position w:val="1"/>
                <w:sz w:val="21"/>
                <w:szCs w:val="21"/>
              </w:rPr>
              <w:t xml:space="preserve">是□</w:t>
            </w:r>
            <w:r>
              <w:rPr>
                <w:rFonts w:hint="eastAsia"/>
                <w:spacing w:val="4"/>
                <w:position w:val="1"/>
                <w:sz w:val="21"/>
                <w:szCs w:val="21"/>
              </w:rPr>
              <w:t xml:space="preserve">   </w:t>
            </w:r>
            <w:r>
              <w:rPr>
                <w:rFonts w:hint="eastAsia"/>
                <w:spacing w:val="-6"/>
                <w:position w:val="1"/>
                <w:sz w:val="21"/>
                <w:szCs w:val="21"/>
              </w:rPr>
              <w:t xml:space="preserve">否□</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1816" w:type="dxa"/>
            <w:vAlign w:val="top"/>
            <w:textDirection w:val="lrTb"/>
            <w:noWrap w:val="false"/>
          </w:tcPr>
          <w:p>
            <w:pPr>
              <w:pStyle w:val="954"/>
              <w:ind w:left="284"/>
              <w:rPr>
                <w:rFonts w:hint="eastAsia"/>
                <w:sz w:val="21"/>
                <w:szCs w:val="21"/>
              </w:rPr>
            </w:pPr>
            <w:r>
              <w:rPr>
                <w:rFonts w:hint="eastAsia"/>
                <w:spacing w:val="-2"/>
                <w:position w:val="1"/>
                <w:sz w:val="21"/>
                <w:szCs w:val="21"/>
              </w:rPr>
              <w:t xml:space="preserve">分期（段）情况</w:t>
            </w:r>
            <w:r>
              <w:rPr>
                <w:rFonts w:hint="eastAsia"/>
                <w:sz w:val="21"/>
                <w:szCs w:val="21"/>
              </w:rPr>
            </w:r>
            <w:r/>
          </w:p>
        </w:tc>
        <w:tc>
          <w:tcPr>
            <w:gridSpan w:val="4"/>
            <w:tcBorders>
              <w:top w:val="single" w:color="000000" w:sz="2" w:space="0"/>
              <w:left w:val="none" w:color="000000" w:sz="4" w:space="0"/>
              <w:bottom w:val="single" w:color="000000" w:sz="2" w:space="0"/>
              <w:right w:val="single" w:color="000000" w:sz="2" w:space="0"/>
            </w:tcBorders>
            <w:tcW w:w="9019" w:type="dxa"/>
            <w:vAlign w:val="top"/>
            <w:textDirection w:val="lrTb"/>
            <w:noWrap w:val="false"/>
          </w:tcPr>
          <w:p>
            <w:pPr>
              <w:pStyle w:val="954"/>
              <w:ind w:left="2804"/>
              <w:rPr>
                <w:rFonts w:hint="eastAsia"/>
                <w:sz w:val="21"/>
                <w:szCs w:val="21"/>
              </w:rPr>
            </w:pPr>
            <w:r>
              <w:rPr>
                <w:rFonts w:hint="eastAsia"/>
                <w:spacing w:val="-1"/>
                <w:position w:val="1"/>
                <w:sz w:val="21"/>
                <w:szCs w:val="21"/>
              </w:rPr>
              <w:t xml:space="preserve">共分   期（段</w:t>
            </w:r>
            <w:r>
              <w:rPr>
                <w:rFonts w:hint="eastAsia"/>
                <w:spacing w:val="6"/>
                <w:position w:val="1"/>
                <w:sz w:val="21"/>
                <w:szCs w:val="21"/>
              </w:rPr>
              <w:t xml:space="preserve">），</w:t>
            </w:r>
            <w:r>
              <w:rPr>
                <w:rFonts w:hint="eastAsia"/>
                <w:spacing w:val="-1"/>
                <w:position w:val="1"/>
                <w:sz w:val="21"/>
                <w:szCs w:val="21"/>
              </w:rPr>
              <w:t xml:space="preserve">此为第   期（段）验收</w:t>
            </w:r>
            <w:r>
              <w:rPr>
                <w:rFonts w:hint="eastAsia"/>
                <w:sz w:val="21"/>
                <w:szCs w:val="21"/>
              </w:rPr>
            </w:r>
            <w:r/>
          </w:p>
        </w:tc>
      </w:tr>
      <w:tr>
        <w:trPr>
          <w:trHeight w:val="1679"/>
        </w:trPr>
        <w:tc>
          <w:tcPr>
            <w:tcBorders>
              <w:top w:val="single" w:color="000000" w:sz="2" w:space="0"/>
              <w:left w:val="single" w:color="000000" w:sz="2" w:space="0"/>
              <w:bottom w:val="single" w:color="000000" w:sz="2" w:space="0"/>
              <w:right w:val="single" w:color="000000" w:sz="2" w:space="0"/>
            </w:tcBorders>
            <w:tcW w:w="1625" w:type="dxa"/>
            <w:vAlign w:val="top"/>
            <w:textDirection w:val="lrTb"/>
            <w:noWrap w:val="false"/>
          </w:tcPr>
          <w:p>
            <w:pPr>
              <w:pStyle w:val="954"/>
              <w:rPr>
                <w:rFonts w:hint="eastAsia" w:cs="Arial"/>
                <w:sz w:val="21"/>
                <w:szCs w:val="21"/>
              </w:rPr>
            </w:pPr>
            <w:r>
              <w:rPr>
                <w:rFonts w:hint="eastAsia" w:cs="Arial"/>
                <w:sz w:val="21"/>
                <w:szCs w:val="21"/>
              </w:rPr>
            </w:r>
            <w:r/>
          </w:p>
          <w:p>
            <w:pPr>
              <w:pStyle w:val="954"/>
              <w:rPr>
                <w:rFonts w:hint="eastAsia" w:cs="Arial"/>
                <w:sz w:val="21"/>
                <w:szCs w:val="21"/>
              </w:rPr>
            </w:pPr>
            <w:r>
              <w:rPr>
                <w:rFonts w:hint="eastAsia" w:cs="Arial"/>
                <w:sz w:val="21"/>
                <w:szCs w:val="21"/>
              </w:rPr>
            </w:r>
            <w:r/>
          </w:p>
          <w:p>
            <w:pPr>
              <w:pStyle w:val="954"/>
              <w:rPr>
                <w:rFonts w:cs="Arial"/>
                <w:sz w:val="21"/>
                <w:szCs w:val="21"/>
              </w:rPr>
            </w:pPr>
            <w:r>
              <w:rPr>
                <w:rFonts w:cs="Arial"/>
                <w:sz w:val="21"/>
                <w:szCs w:val="21"/>
              </w:rPr>
            </w:r>
            <w:r/>
          </w:p>
          <w:p>
            <w:pPr>
              <w:pStyle w:val="954"/>
              <w:ind w:left="454"/>
              <w:rPr>
                <w:sz w:val="21"/>
                <w:szCs w:val="21"/>
              </w:rPr>
            </w:pPr>
            <w:r>
              <w:rPr>
                <w:rFonts w:hint="eastAsia"/>
                <w:spacing w:val="-2"/>
                <w:sz w:val="21"/>
                <w:szCs w:val="21"/>
              </w:rPr>
              <w:t xml:space="preserve">验收时间</w:t>
            </w:r>
            <w:r>
              <w:rPr>
                <w:sz w:val="21"/>
                <w:szCs w:val="21"/>
              </w:rPr>
            </w:r>
            <w:r/>
          </w:p>
        </w:tc>
        <w:tc>
          <w:tcPr>
            <w:tcBorders>
              <w:top w:val="single" w:color="000000" w:sz="2" w:space="0"/>
              <w:left w:val="none" w:color="000000" w:sz="4" w:space="0"/>
              <w:bottom w:val="single" w:color="000000" w:sz="2" w:space="0"/>
              <w:right w:val="single" w:color="000000" w:sz="2" w:space="0"/>
            </w:tcBorders>
            <w:tcW w:w="1714" w:type="dxa"/>
            <w:vAlign w:val="top"/>
            <w:textDirection w:val="lrTb"/>
            <w:noWrap w:val="false"/>
          </w:tcPr>
          <w:p>
            <w:pPr>
              <w:pStyle w:val="954"/>
              <w:rPr>
                <w:rFonts w:hint="eastAsia" w:cs="Arial"/>
                <w:sz w:val="21"/>
                <w:szCs w:val="21"/>
              </w:rPr>
            </w:pPr>
            <w:r>
              <w:rPr>
                <w:rFonts w:hint="eastAsia" w:cs="Arial"/>
                <w:sz w:val="21"/>
                <w:szCs w:val="21"/>
              </w:rPr>
            </w:r>
            <w:r/>
          </w:p>
        </w:tc>
        <w:tc>
          <w:tcPr>
            <w:tcBorders>
              <w:top w:val="single" w:color="000000" w:sz="2" w:space="0"/>
              <w:left w:val="none" w:color="000000" w:sz="4" w:space="0"/>
              <w:bottom w:val="single" w:color="000000" w:sz="2" w:space="0"/>
              <w:right w:val="single" w:color="000000" w:sz="2" w:space="0"/>
            </w:tcBorders>
            <w:tcW w:w="1816" w:type="dxa"/>
            <w:vAlign w:val="top"/>
            <w:textDirection w:val="lrTb"/>
            <w:noWrap w:val="false"/>
          </w:tcPr>
          <w:p>
            <w:pPr>
              <w:pStyle w:val="954"/>
              <w:rPr>
                <w:rFonts w:hint="eastAsia" w:cs="Arial"/>
                <w:sz w:val="21"/>
                <w:szCs w:val="21"/>
              </w:rPr>
            </w:pPr>
            <w:r>
              <w:rPr>
                <w:rFonts w:hint="eastAsia" w:cs="Arial"/>
                <w:sz w:val="21"/>
                <w:szCs w:val="21"/>
              </w:rPr>
            </w:r>
            <w:r/>
          </w:p>
          <w:p>
            <w:pPr>
              <w:pStyle w:val="954"/>
              <w:rPr>
                <w:rFonts w:cs="Arial"/>
                <w:sz w:val="21"/>
                <w:szCs w:val="21"/>
              </w:rPr>
            </w:pPr>
            <w:r>
              <w:rPr>
                <w:rFonts w:cs="Arial"/>
                <w:sz w:val="21"/>
                <w:szCs w:val="21"/>
              </w:rPr>
            </w:r>
            <w:r/>
          </w:p>
          <w:p>
            <w:pPr>
              <w:pStyle w:val="954"/>
              <w:rPr>
                <w:rFonts w:cs="Arial"/>
                <w:sz w:val="21"/>
                <w:szCs w:val="21"/>
              </w:rPr>
            </w:pPr>
            <w:r>
              <w:rPr>
                <w:rFonts w:cs="Arial"/>
                <w:sz w:val="21"/>
                <w:szCs w:val="21"/>
              </w:rPr>
            </w:r>
            <w:r/>
          </w:p>
          <w:p>
            <w:pPr>
              <w:pStyle w:val="954"/>
              <w:ind w:left="550"/>
              <w:rPr>
                <w:sz w:val="21"/>
                <w:szCs w:val="21"/>
              </w:rPr>
            </w:pPr>
            <w:r>
              <w:rPr>
                <w:rFonts w:hint="eastAsia"/>
                <w:spacing w:val="-2"/>
                <w:sz w:val="21"/>
                <w:szCs w:val="21"/>
              </w:rPr>
              <w:t xml:space="preserve">验收地点</w:t>
            </w:r>
            <w:r>
              <w:rPr>
                <w:sz w:val="21"/>
                <w:szCs w:val="21"/>
              </w:rPr>
            </w:r>
            <w:r/>
          </w:p>
        </w:tc>
        <w:tc>
          <w:tcPr>
            <w:tcBorders>
              <w:top w:val="single" w:color="000000" w:sz="2" w:space="0"/>
              <w:left w:val="none" w:color="000000" w:sz="4" w:space="0"/>
              <w:bottom w:val="single" w:color="000000" w:sz="2" w:space="0"/>
              <w:right w:val="single" w:color="000000" w:sz="2" w:space="0"/>
            </w:tcBorders>
            <w:tcW w:w="2476" w:type="dxa"/>
            <w:vAlign w:val="top"/>
            <w:textDirection w:val="lrTb"/>
            <w:noWrap w:val="false"/>
          </w:tcPr>
          <w:p>
            <w:pPr>
              <w:pStyle w:val="954"/>
              <w:rPr>
                <w:rFonts w:hint="eastAsia" w:cs="Arial"/>
                <w:sz w:val="21"/>
                <w:szCs w:val="21"/>
              </w:rPr>
            </w:pPr>
            <w:r>
              <w:rPr>
                <w:rFonts w:hint="eastAsia" w:cs="Arial"/>
                <w:sz w:val="21"/>
                <w:szCs w:val="21"/>
              </w:rPr>
            </w:r>
            <w:r/>
          </w:p>
        </w:tc>
        <w:tc>
          <w:tcPr>
            <w:gridSpan w:val="2"/>
            <w:tcBorders>
              <w:top w:val="single" w:color="000000" w:sz="2" w:space="0"/>
              <w:left w:val="none" w:color="000000" w:sz="4" w:space="0"/>
              <w:bottom w:val="single" w:color="000000" w:sz="2" w:space="0"/>
              <w:right w:val="single" w:color="000000" w:sz="2" w:space="0"/>
            </w:tcBorders>
            <w:tcW w:w="3987" w:type="dxa"/>
            <w:vAlign w:val="top"/>
            <w:textDirection w:val="lrTb"/>
            <w:noWrap w:val="false"/>
          </w:tcPr>
          <w:p>
            <w:pPr>
              <w:pStyle w:val="954"/>
              <w:rPr>
                <w:rFonts w:hint="eastAsia" w:cs="Arial"/>
                <w:sz w:val="21"/>
                <w:szCs w:val="21"/>
              </w:rPr>
            </w:pPr>
            <w:r>
              <w:rPr>
                <w:rFonts w:hint="eastAsia" w:cs="Arial"/>
                <w:sz w:val="21"/>
                <w:szCs w:val="21"/>
              </w:rPr>
            </w:r>
            <w:r/>
          </w:p>
          <w:p>
            <w:pPr>
              <w:pStyle w:val="954"/>
              <w:rPr>
                <w:rFonts w:cs="Arial"/>
                <w:sz w:val="21"/>
                <w:szCs w:val="21"/>
              </w:rPr>
            </w:pPr>
            <w:r>
              <w:rPr>
                <w:rFonts w:cs="Arial"/>
                <w:sz w:val="21"/>
                <w:szCs w:val="21"/>
              </w:rPr>
            </w:r>
            <w:r/>
          </w:p>
          <w:p>
            <w:pPr>
              <w:pStyle w:val="954"/>
              <w:rPr>
                <w:rFonts w:cs="Arial"/>
                <w:sz w:val="21"/>
                <w:szCs w:val="21"/>
              </w:rPr>
            </w:pPr>
            <w:r>
              <w:rPr>
                <w:rFonts w:cs="Arial"/>
                <w:sz w:val="21"/>
                <w:szCs w:val="21"/>
              </w:rPr>
            </w:r>
            <w:r/>
          </w:p>
          <w:p>
            <w:pPr>
              <w:pStyle w:val="954"/>
              <w:ind w:left="1459"/>
              <w:rPr>
                <w:sz w:val="21"/>
                <w:szCs w:val="21"/>
              </w:rPr>
            </w:pPr>
            <w:r>
              <w:rPr>
                <w:rFonts w:hint="eastAsia"/>
                <w:spacing w:val="-2"/>
                <w:sz w:val="21"/>
                <w:szCs w:val="21"/>
              </w:rPr>
              <w:t xml:space="preserve">验收组织形式</w:t>
            </w:r>
            <w:r>
              <w:rPr>
                <w:sz w:val="21"/>
                <w:szCs w:val="21"/>
              </w:rPr>
            </w:r>
            <w:r/>
          </w:p>
        </w:tc>
        <w:tc>
          <w:tcPr>
            <w:tcBorders>
              <w:top w:val="single" w:color="000000" w:sz="2" w:space="0"/>
              <w:left w:val="none" w:color="000000" w:sz="4" w:space="0"/>
              <w:bottom w:val="single" w:color="000000" w:sz="2" w:space="0"/>
              <w:right w:val="single" w:color="000000" w:sz="2" w:space="0"/>
            </w:tcBorders>
            <w:tcW w:w="2556" w:type="dxa"/>
            <w:vAlign w:val="top"/>
            <w:textDirection w:val="lrTb"/>
            <w:noWrap w:val="false"/>
          </w:tcPr>
          <w:p>
            <w:pPr>
              <w:pStyle w:val="954"/>
              <w:ind w:left="673"/>
              <w:rPr>
                <w:rFonts w:hint="eastAsia"/>
                <w:sz w:val="21"/>
                <w:szCs w:val="21"/>
              </w:rPr>
            </w:pPr>
            <w:r>
              <w:rPr>
                <w:rFonts w:hint="eastAsia"/>
                <w:spacing w:val="-4"/>
                <w:position w:val="1"/>
                <w:sz w:val="21"/>
                <w:szCs w:val="21"/>
              </w:rPr>
              <w:t xml:space="preserve">□自行简易验收</w:t>
            </w:r>
            <w:r>
              <w:rPr>
                <w:rFonts w:hint="eastAsia"/>
                <w:sz w:val="21"/>
                <w:szCs w:val="21"/>
              </w:rPr>
            </w:r>
            <w:r/>
          </w:p>
          <w:p>
            <w:pPr>
              <w:pStyle w:val="954"/>
              <w:rPr>
                <w:rFonts w:hint="eastAsia" w:cs="Arial"/>
                <w:sz w:val="21"/>
                <w:szCs w:val="21"/>
              </w:rPr>
            </w:pPr>
            <w:r>
              <w:rPr>
                <w:rFonts w:hint="eastAsia" w:cs="Arial"/>
                <w:sz w:val="21"/>
                <w:szCs w:val="21"/>
              </w:rPr>
            </w:r>
            <w:r/>
          </w:p>
          <w:p>
            <w:pPr>
              <w:pStyle w:val="954"/>
              <w:ind w:left="673"/>
              <w:rPr>
                <w:rFonts w:hint="eastAsia"/>
                <w:sz w:val="21"/>
                <w:szCs w:val="21"/>
              </w:rPr>
            </w:pPr>
            <w:r>
              <w:rPr>
                <w:rFonts w:hint="eastAsia"/>
                <w:spacing w:val="-4"/>
                <w:position w:val="1"/>
                <w:sz w:val="21"/>
                <w:szCs w:val="21"/>
              </w:rPr>
              <w:t xml:space="preserve">□验收小组验收</w:t>
            </w:r>
            <w:r>
              <w:rPr>
                <w:rFonts w:hint="eastAsia"/>
                <w:sz w:val="21"/>
                <w:szCs w:val="21"/>
              </w:rPr>
            </w:r>
            <w:r/>
          </w:p>
          <w:p>
            <w:pPr>
              <w:pStyle w:val="954"/>
              <w:rPr>
                <w:rFonts w:hint="eastAsia" w:cs="Arial"/>
                <w:sz w:val="21"/>
                <w:szCs w:val="21"/>
              </w:rPr>
            </w:pPr>
            <w:r>
              <w:rPr>
                <w:rFonts w:hint="eastAsia" w:cs="Arial"/>
                <w:sz w:val="21"/>
                <w:szCs w:val="21"/>
              </w:rPr>
            </w:r>
            <w:r/>
          </w:p>
          <w:p>
            <w:pPr>
              <w:pStyle w:val="954"/>
              <w:ind w:left="582"/>
              <w:rPr>
                <w:rFonts w:hint="eastAsia"/>
                <w:sz w:val="21"/>
                <w:szCs w:val="21"/>
              </w:rPr>
            </w:pPr>
            <w:r>
              <w:rPr>
                <w:rFonts w:hint="eastAsia"/>
                <w:spacing w:val="-3"/>
                <w:position w:val="1"/>
                <w:sz w:val="21"/>
                <w:szCs w:val="21"/>
              </w:rPr>
              <w:t xml:space="preserve">□采购代理机构验收</w:t>
            </w:r>
            <w:r>
              <w:rPr>
                <w:rFonts w:hint="eastAsia"/>
                <w:sz w:val="21"/>
                <w:szCs w:val="21"/>
              </w:rPr>
            </w:r>
            <w:r/>
          </w:p>
        </w:tc>
      </w:tr>
      <w:tr>
        <w:trPr>
          <w:cantSplit/>
          <w:trHeight w:val="560"/>
        </w:trPr>
        <w:tc>
          <w:tcPr>
            <w:tcBorders>
              <w:top w:val="none" w:color="000000" w:sz="4" w:space="0"/>
              <w:left w:val="single" w:color="000000" w:sz="2" w:space="0"/>
              <w:bottom w:val="single" w:color="000000" w:sz="2" w:space="0"/>
              <w:right w:val="single" w:color="000000" w:sz="2" w:space="0"/>
            </w:tcBorders>
            <w:tcW w:w="1625" w:type="dxa"/>
            <w:vAlign w:val="top"/>
            <w:vMerge w:val="restart"/>
            <w:textDirection w:val="lrTb"/>
            <w:noWrap w:val="false"/>
          </w:tcPr>
          <w:p>
            <w:pPr>
              <w:pStyle w:val="954"/>
              <w:rPr>
                <w:rFonts w:hint="eastAsia" w:cs="Arial"/>
                <w:sz w:val="21"/>
                <w:szCs w:val="21"/>
              </w:rPr>
            </w:pPr>
            <w:r>
              <w:rPr>
                <w:rFonts w:hint="eastAsia" w:cs="Arial"/>
                <w:sz w:val="21"/>
                <w:szCs w:val="21"/>
              </w:rPr>
            </w:r>
            <w:r/>
          </w:p>
          <w:p>
            <w:pPr>
              <w:pStyle w:val="954"/>
              <w:rPr>
                <w:rFonts w:hint="eastAsia" w:cs="Arial"/>
                <w:sz w:val="21"/>
                <w:szCs w:val="21"/>
              </w:rPr>
            </w:pPr>
            <w:r>
              <w:rPr>
                <w:rFonts w:hint="eastAsia" w:cs="Arial"/>
                <w:sz w:val="21"/>
                <w:szCs w:val="21"/>
              </w:rPr>
            </w:r>
            <w:r/>
          </w:p>
          <w:p>
            <w:pPr>
              <w:pStyle w:val="954"/>
              <w:rPr>
                <w:rFonts w:cs="Arial"/>
                <w:sz w:val="21"/>
                <w:szCs w:val="21"/>
              </w:rPr>
            </w:pPr>
            <w:r>
              <w:rPr>
                <w:rFonts w:cs="Arial"/>
                <w:sz w:val="21"/>
                <w:szCs w:val="21"/>
              </w:rPr>
            </w:r>
            <w:r/>
          </w:p>
          <w:p>
            <w:pPr>
              <w:pStyle w:val="954"/>
              <w:ind w:left="454"/>
              <w:rPr>
                <w:sz w:val="21"/>
                <w:szCs w:val="21"/>
              </w:rPr>
            </w:pPr>
            <w:r>
              <w:rPr>
                <w:rFonts w:hint="eastAsia"/>
                <w:spacing w:val="-2"/>
                <w:sz w:val="21"/>
                <w:szCs w:val="21"/>
              </w:rPr>
              <w:t xml:space="preserve">验收内容</w:t>
            </w:r>
            <w:r>
              <w:rPr>
                <w:sz w:val="21"/>
                <w:szCs w:val="21"/>
              </w:rPr>
            </w:r>
            <w:r/>
          </w:p>
        </w:tc>
        <w:tc>
          <w:tcPr>
            <w:tcBorders>
              <w:top w:val="single" w:color="000000" w:sz="2" w:space="0"/>
              <w:left w:val="none" w:color="000000" w:sz="4" w:space="0"/>
              <w:bottom w:val="single" w:color="000000" w:sz="2" w:space="0"/>
              <w:right w:val="single" w:color="000000" w:sz="2" w:space="0"/>
            </w:tcBorders>
            <w:tcW w:w="1714" w:type="dxa"/>
            <w:vAlign w:val="top"/>
            <w:textDirection w:val="lrTb"/>
            <w:noWrap w:val="false"/>
          </w:tcPr>
          <w:p>
            <w:pPr>
              <w:pStyle w:val="954"/>
              <w:ind w:left="498"/>
              <w:rPr>
                <w:rFonts w:hint="eastAsia"/>
                <w:sz w:val="21"/>
                <w:szCs w:val="21"/>
              </w:rPr>
            </w:pPr>
            <w:r>
              <w:rPr>
                <w:rFonts w:hint="eastAsia"/>
                <w:spacing w:val="-2"/>
                <w:sz w:val="21"/>
                <w:szCs w:val="21"/>
              </w:rPr>
              <w:t xml:space="preserve">服务质量</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1816" w:type="dxa"/>
            <w:vAlign w:val="top"/>
            <w:textDirection w:val="lrTb"/>
            <w:noWrap w:val="false"/>
          </w:tcPr>
          <w:p>
            <w:pPr>
              <w:pStyle w:val="954"/>
              <w:ind w:left="551"/>
              <w:rPr>
                <w:rFonts w:hint="eastAsia"/>
                <w:sz w:val="21"/>
                <w:szCs w:val="21"/>
              </w:rPr>
            </w:pPr>
            <w:r>
              <w:rPr>
                <w:rFonts w:hint="eastAsia"/>
                <w:spacing w:val="-2"/>
                <w:sz w:val="21"/>
                <w:szCs w:val="21"/>
              </w:rPr>
              <w:t xml:space="preserve">服务进度</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2476" w:type="dxa"/>
            <w:vAlign w:val="top"/>
            <w:textDirection w:val="lrTb"/>
            <w:noWrap w:val="false"/>
          </w:tcPr>
          <w:p>
            <w:pPr>
              <w:pStyle w:val="954"/>
              <w:ind w:left="387"/>
              <w:rPr>
                <w:rFonts w:hint="eastAsia"/>
                <w:sz w:val="21"/>
                <w:szCs w:val="21"/>
              </w:rPr>
            </w:pPr>
            <w:r>
              <w:rPr>
                <w:rFonts w:hint="eastAsia"/>
                <w:spacing w:val="-1"/>
                <w:sz w:val="21"/>
                <w:szCs w:val="21"/>
              </w:rPr>
              <w:t xml:space="preserve">人员、设备 配备情况</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1705" w:type="dxa"/>
            <w:vAlign w:val="top"/>
            <w:textDirection w:val="lrTb"/>
            <w:noWrap w:val="false"/>
          </w:tcPr>
          <w:p>
            <w:pPr>
              <w:pStyle w:val="954"/>
              <w:ind w:left="231"/>
              <w:rPr>
                <w:rFonts w:hint="eastAsia"/>
                <w:sz w:val="21"/>
                <w:szCs w:val="21"/>
              </w:rPr>
            </w:pPr>
            <w:r>
              <w:rPr>
                <w:rFonts w:hint="eastAsia"/>
                <w:spacing w:val="-2"/>
                <w:sz w:val="21"/>
                <w:szCs w:val="21"/>
              </w:rPr>
              <w:t xml:space="preserve">行业、安全标准</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2282" w:type="dxa"/>
            <w:vAlign w:val="top"/>
            <w:textDirection w:val="lrTb"/>
            <w:noWrap w:val="false"/>
          </w:tcPr>
          <w:p>
            <w:pPr>
              <w:pStyle w:val="954"/>
              <w:ind w:left="340"/>
              <w:rPr>
                <w:rFonts w:hint="eastAsia"/>
                <w:sz w:val="21"/>
                <w:szCs w:val="21"/>
              </w:rPr>
            </w:pPr>
            <w:r>
              <w:rPr>
                <w:rFonts w:hint="eastAsia"/>
                <w:spacing w:val="-2"/>
                <w:sz w:val="21"/>
                <w:szCs w:val="21"/>
              </w:rPr>
              <w:t xml:space="preserve">项目需求、服务承诺</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2556" w:type="dxa"/>
            <w:vAlign w:val="top"/>
            <w:textDirection w:val="lrTb"/>
            <w:noWrap w:val="false"/>
          </w:tcPr>
          <w:p>
            <w:pPr>
              <w:pStyle w:val="954"/>
              <w:ind w:left="159"/>
              <w:rPr>
                <w:rFonts w:hint="eastAsia"/>
                <w:sz w:val="21"/>
                <w:szCs w:val="21"/>
              </w:rPr>
            </w:pPr>
            <w:r>
              <w:rPr>
                <w:rFonts w:hint="eastAsia"/>
                <w:spacing w:val="-1"/>
                <w:sz w:val="21"/>
                <w:szCs w:val="21"/>
              </w:rPr>
              <w:t xml:space="preserve">合同履约时间、 地点、方式</w:t>
            </w:r>
            <w:r>
              <w:rPr>
                <w:rFonts w:hint="eastAsia"/>
                <w:sz w:val="21"/>
                <w:szCs w:val="21"/>
              </w:rPr>
            </w:r>
            <w:r/>
          </w:p>
        </w:tc>
      </w:tr>
      <w:tr>
        <w:trPr>
          <w:cantSplit/>
          <w:trHeight w:val="1119"/>
        </w:trPr>
        <w:tc>
          <w:tcPr>
            <w:tcBorders>
              <w:top w:val="none" w:color="000000" w:sz="4" w:space="0"/>
              <w:left w:val="single" w:color="000000" w:sz="2" w:space="0"/>
              <w:bottom w:val="single" w:color="000000" w:sz="2" w:space="0"/>
              <w:right w:val="single" w:color="000000" w:sz="2" w:space="0"/>
            </w:tcBorders>
            <w:tcW w:w="300" w:type="dxa"/>
            <w:vAlign w:val="center"/>
            <w:vMerge w:val="continue"/>
            <w:textDirection w:val="lrTb"/>
            <w:noWrap w:val="false"/>
          </w:tcPr>
          <w:p>
            <w:pPr>
              <w:pStyle w:val="954"/>
              <w:jc w:val="left"/>
              <w:widowControl/>
              <w:rPr>
                <w:sz w:val="21"/>
                <w:szCs w:val="21"/>
              </w:rPr>
            </w:pPr>
            <w:r>
              <w:rPr>
                <w:sz w:val="21"/>
                <w:szCs w:val="21"/>
              </w:rPr>
            </w:r>
            <w:r/>
          </w:p>
        </w:tc>
        <w:tc>
          <w:tcPr>
            <w:tcBorders>
              <w:top w:val="single" w:color="000000" w:sz="2" w:space="0"/>
              <w:left w:val="none" w:color="000000" w:sz="4" w:space="0"/>
              <w:bottom w:val="single" w:color="000000" w:sz="2" w:space="0"/>
              <w:right w:val="single" w:color="000000" w:sz="2" w:space="0"/>
            </w:tcBorders>
            <w:tcW w:w="1714" w:type="dxa"/>
            <w:vAlign w:val="top"/>
            <w:textDirection w:val="lrTb"/>
            <w:noWrap w:val="false"/>
          </w:tcPr>
          <w:p>
            <w:pPr>
              <w:pStyle w:val="954"/>
              <w:ind w:left="501" w:right="497" w:hanging="2"/>
              <w:rPr>
                <w:rFonts w:hint="eastAsia"/>
                <w:sz w:val="21"/>
                <w:szCs w:val="21"/>
              </w:rPr>
            </w:pPr>
            <w:r>
              <w:rPr>
                <w:rFonts w:hint="eastAsia"/>
                <w:spacing w:val="-5"/>
                <w:sz w:val="21"/>
                <w:szCs w:val="21"/>
              </w:rPr>
              <w:t xml:space="preserve">合</w:t>
            </w:r>
            <w:r>
              <w:rPr>
                <w:rFonts w:hint="eastAsia"/>
                <w:spacing w:val="3"/>
                <w:sz w:val="21"/>
                <w:szCs w:val="21"/>
              </w:rPr>
              <w:t xml:space="preserve">  </w:t>
            </w:r>
            <w:r>
              <w:rPr>
                <w:rFonts w:hint="eastAsia"/>
                <w:spacing w:val="-5"/>
                <w:sz w:val="21"/>
                <w:szCs w:val="21"/>
              </w:rPr>
              <w:t xml:space="preserve">格□</w:t>
            </w:r>
            <w:r>
              <w:rPr>
                <w:rFonts w:hint="eastAsia"/>
                <w:sz w:val="21"/>
                <w:szCs w:val="21"/>
              </w:rPr>
              <w:t xml:space="preserve"> </w:t>
            </w:r>
            <w:r>
              <w:rPr>
                <w:rFonts w:hint="eastAsia"/>
                <w:spacing w:val="-3"/>
                <w:sz w:val="21"/>
                <w:szCs w:val="21"/>
              </w:rPr>
              <w:t xml:space="preserve">不合格□</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1816" w:type="dxa"/>
            <w:vAlign w:val="top"/>
            <w:textDirection w:val="lrTb"/>
            <w:noWrap w:val="false"/>
          </w:tcPr>
          <w:p>
            <w:pPr>
              <w:pStyle w:val="954"/>
              <w:ind w:left="553" w:right="547" w:hanging="1"/>
              <w:rPr>
                <w:rFonts w:hint="eastAsia"/>
                <w:sz w:val="21"/>
                <w:szCs w:val="21"/>
              </w:rPr>
            </w:pPr>
            <w:r>
              <w:rPr>
                <w:rFonts w:hint="eastAsia"/>
                <w:spacing w:val="-8"/>
                <w:sz w:val="21"/>
                <w:szCs w:val="21"/>
              </w:rPr>
              <w:t xml:space="preserve">按</w:t>
            </w:r>
            <w:r>
              <w:rPr>
                <w:rFonts w:hint="eastAsia"/>
                <w:spacing w:val="7"/>
                <w:sz w:val="21"/>
                <w:szCs w:val="21"/>
              </w:rPr>
              <w:t xml:space="preserve">  </w:t>
            </w:r>
            <w:r>
              <w:rPr>
                <w:rFonts w:hint="eastAsia"/>
                <w:spacing w:val="-8"/>
                <w:sz w:val="21"/>
                <w:szCs w:val="21"/>
              </w:rPr>
              <w:t xml:space="preserve">时□</w:t>
            </w:r>
            <w:r>
              <w:rPr>
                <w:rFonts w:hint="eastAsia"/>
                <w:sz w:val="21"/>
                <w:szCs w:val="21"/>
              </w:rPr>
              <w:t xml:space="preserve"> </w:t>
            </w:r>
            <w:r>
              <w:rPr>
                <w:rFonts w:hint="eastAsia"/>
                <w:spacing w:val="-3"/>
                <w:sz w:val="21"/>
                <w:szCs w:val="21"/>
              </w:rPr>
              <w:t xml:space="preserve">不按时□</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2476" w:type="dxa"/>
            <w:vAlign w:val="top"/>
            <w:textDirection w:val="lrTb"/>
            <w:noWrap w:val="false"/>
          </w:tcPr>
          <w:p>
            <w:pPr>
              <w:pStyle w:val="954"/>
              <w:ind w:left="885" w:right="875" w:hanging="2"/>
              <w:rPr>
                <w:rFonts w:hint="eastAsia"/>
                <w:sz w:val="21"/>
                <w:szCs w:val="21"/>
              </w:rPr>
            </w:pPr>
            <w:r>
              <w:rPr>
                <w:rFonts w:hint="eastAsia"/>
                <w:spacing w:val="-5"/>
                <w:sz w:val="21"/>
                <w:szCs w:val="21"/>
              </w:rPr>
              <w:t xml:space="preserve">合</w:t>
            </w:r>
            <w:r>
              <w:rPr>
                <w:rFonts w:hint="eastAsia"/>
                <w:spacing w:val="3"/>
                <w:sz w:val="21"/>
                <w:szCs w:val="21"/>
              </w:rPr>
              <w:t xml:space="preserve">  </w:t>
            </w:r>
            <w:r>
              <w:rPr>
                <w:rFonts w:hint="eastAsia"/>
                <w:spacing w:val="-5"/>
                <w:sz w:val="21"/>
                <w:szCs w:val="21"/>
              </w:rPr>
              <w:t xml:space="preserve">格□</w:t>
            </w:r>
            <w:r>
              <w:rPr>
                <w:rFonts w:hint="eastAsia"/>
                <w:sz w:val="21"/>
                <w:szCs w:val="21"/>
              </w:rPr>
              <w:t xml:space="preserve"> </w:t>
            </w:r>
            <w:r>
              <w:rPr>
                <w:rFonts w:hint="eastAsia"/>
                <w:spacing w:val="-3"/>
                <w:sz w:val="21"/>
                <w:szCs w:val="21"/>
              </w:rPr>
              <w:t xml:space="preserve">不合格□</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1705" w:type="dxa"/>
            <w:vAlign w:val="top"/>
            <w:textDirection w:val="lrTb"/>
            <w:noWrap w:val="false"/>
          </w:tcPr>
          <w:p>
            <w:pPr>
              <w:pStyle w:val="954"/>
              <w:ind w:left="500" w:right="489" w:hanging="2"/>
              <w:rPr>
                <w:rFonts w:hint="eastAsia"/>
                <w:sz w:val="21"/>
                <w:szCs w:val="21"/>
              </w:rPr>
            </w:pPr>
            <w:r>
              <w:rPr>
                <w:rFonts w:hint="eastAsia"/>
                <w:spacing w:val="-5"/>
                <w:sz w:val="21"/>
                <w:szCs w:val="21"/>
              </w:rPr>
              <w:t xml:space="preserve">合</w:t>
            </w:r>
            <w:r>
              <w:rPr>
                <w:rFonts w:hint="eastAsia"/>
                <w:spacing w:val="3"/>
                <w:sz w:val="21"/>
                <w:szCs w:val="21"/>
              </w:rPr>
              <w:t xml:space="preserve">  </w:t>
            </w:r>
            <w:r>
              <w:rPr>
                <w:rFonts w:hint="eastAsia"/>
                <w:spacing w:val="-5"/>
                <w:sz w:val="21"/>
                <w:szCs w:val="21"/>
              </w:rPr>
              <w:t xml:space="preserve">格□</w:t>
            </w:r>
            <w:r>
              <w:rPr>
                <w:rFonts w:hint="eastAsia"/>
                <w:sz w:val="21"/>
                <w:szCs w:val="21"/>
              </w:rPr>
              <w:t xml:space="preserve"> </w:t>
            </w:r>
            <w:r>
              <w:rPr>
                <w:rFonts w:hint="eastAsia"/>
                <w:spacing w:val="-3"/>
                <w:sz w:val="21"/>
                <w:szCs w:val="21"/>
              </w:rPr>
              <w:t xml:space="preserve">不合格□</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2282" w:type="dxa"/>
            <w:vAlign w:val="top"/>
            <w:textDirection w:val="lrTb"/>
            <w:noWrap w:val="false"/>
          </w:tcPr>
          <w:p>
            <w:pPr>
              <w:pStyle w:val="954"/>
              <w:ind w:left="789" w:right="777" w:hanging="2"/>
              <w:rPr>
                <w:rFonts w:hint="eastAsia"/>
                <w:sz w:val="21"/>
                <w:szCs w:val="21"/>
              </w:rPr>
            </w:pPr>
            <w:r>
              <w:rPr>
                <w:rFonts w:hint="eastAsia"/>
                <w:spacing w:val="-5"/>
                <w:sz w:val="21"/>
                <w:szCs w:val="21"/>
              </w:rPr>
              <w:t xml:space="preserve">合</w:t>
            </w:r>
            <w:r>
              <w:rPr>
                <w:rFonts w:hint="eastAsia"/>
                <w:spacing w:val="3"/>
                <w:sz w:val="21"/>
                <w:szCs w:val="21"/>
              </w:rPr>
              <w:t xml:space="preserve">  </w:t>
            </w:r>
            <w:r>
              <w:rPr>
                <w:rFonts w:hint="eastAsia"/>
                <w:spacing w:val="-5"/>
                <w:sz w:val="21"/>
                <w:szCs w:val="21"/>
              </w:rPr>
              <w:t xml:space="preserve">格□</w:t>
            </w:r>
            <w:r>
              <w:rPr>
                <w:rFonts w:hint="eastAsia"/>
                <w:sz w:val="21"/>
                <w:szCs w:val="21"/>
              </w:rPr>
              <w:t xml:space="preserve"> </w:t>
            </w:r>
            <w:r>
              <w:rPr>
                <w:rFonts w:hint="eastAsia"/>
                <w:spacing w:val="-3"/>
                <w:sz w:val="21"/>
                <w:szCs w:val="21"/>
              </w:rPr>
              <w:t xml:space="preserve">不合格□</w:t>
            </w:r>
            <w:r>
              <w:rPr>
                <w:rFonts w:hint="eastAsia"/>
                <w:sz w:val="21"/>
                <w:szCs w:val="21"/>
              </w:rPr>
            </w:r>
            <w:r/>
          </w:p>
        </w:tc>
        <w:tc>
          <w:tcPr>
            <w:tcBorders>
              <w:top w:val="single" w:color="000000" w:sz="2" w:space="0"/>
              <w:left w:val="none" w:color="000000" w:sz="4" w:space="0"/>
              <w:bottom w:val="single" w:color="000000" w:sz="2" w:space="0"/>
              <w:right w:val="single" w:color="000000" w:sz="2" w:space="0"/>
            </w:tcBorders>
            <w:tcW w:w="2556" w:type="dxa"/>
            <w:vAlign w:val="top"/>
            <w:textDirection w:val="lrTb"/>
            <w:noWrap w:val="false"/>
          </w:tcPr>
          <w:p>
            <w:pPr>
              <w:pStyle w:val="954"/>
              <w:ind w:left="926" w:right="914" w:hanging="2"/>
              <w:rPr>
                <w:rFonts w:hint="eastAsia"/>
                <w:sz w:val="21"/>
                <w:szCs w:val="21"/>
              </w:rPr>
            </w:pPr>
            <w:r>
              <w:rPr>
                <w:rFonts w:hint="eastAsia"/>
                <w:spacing w:val="-5"/>
                <w:sz w:val="21"/>
                <w:szCs w:val="21"/>
              </w:rPr>
              <w:t xml:space="preserve">合</w:t>
            </w:r>
            <w:r>
              <w:rPr>
                <w:rFonts w:hint="eastAsia"/>
                <w:spacing w:val="3"/>
                <w:sz w:val="21"/>
                <w:szCs w:val="21"/>
              </w:rPr>
              <w:t xml:space="preserve">  </w:t>
            </w:r>
            <w:r>
              <w:rPr>
                <w:rFonts w:hint="eastAsia"/>
                <w:spacing w:val="-5"/>
                <w:sz w:val="21"/>
                <w:szCs w:val="21"/>
              </w:rPr>
              <w:t xml:space="preserve">格□</w:t>
            </w:r>
            <w:r>
              <w:rPr>
                <w:rFonts w:hint="eastAsia"/>
                <w:sz w:val="21"/>
                <w:szCs w:val="21"/>
              </w:rPr>
              <w:t xml:space="preserve"> </w:t>
            </w:r>
            <w:r>
              <w:rPr>
                <w:rFonts w:hint="eastAsia"/>
                <w:spacing w:val="-3"/>
                <w:sz w:val="21"/>
                <w:szCs w:val="21"/>
              </w:rPr>
              <w:t xml:space="preserve">不合格□</w:t>
            </w:r>
            <w:r>
              <w:rPr>
                <w:rFonts w:hint="eastAsia"/>
                <w:sz w:val="21"/>
                <w:szCs w:val="21"/>
              </w:rPr>
            </w:r>
            <w:r/>
          </w:p>
        </w:tc>
      </w:tr>
      <w:tr>
        <w:trPr>
          <w:trHeight w:val="1119"/>
        </w:trPr>
        <w:tc>
          <w:tcPr>
            <w:tcBorders>
              <w:top w:val="single" w:color="000000" w:sz="2" w:space="0"/>
              <w:left w:val="single" w:color="000000" w:sz="2" w:space="0"/>
              <w:bottom w:val="single" w:color="000000" w:sz="2" w:space="0"/>
              <w:right w:val="single" w:color="000000" w:sz="2" w:space="0"/>
            </w:tcBorders>
            <w:tcW w:w="1625" w:type="dxa"/>
            <w:vAlign w:val="top"/>
            <w:textDirection w:val="lrTb"/>
            <w:noWrap w:val="false"/>
          </w:tcPr>
          <w:p>
            <w:pPr>
              <w:pStyle w:val="954"/>
              <w:ind w:left="185"/>
              <w:rPr>
                <w:rFonts w:hint="eastAsia"/>
                <w:spacing w:val="-2"/>
                <w:sz w:val="21"/>
                <w:szCs w:val="21"/>
              </w:rPr>
            </w:pPr>
            <w:r>
              <w:rPr>
                <w:rFonts w:hint="eastAsia"/>
                <w:spacing w:val="-2"/>
                <w:sz w:val="21"/>
                <w:szCs w:val="21"/>
              </w:rPr>
              <w:t xml:space="preserve">专业检测机构情</w:t>
            </w:r>
            <w:r/>
          </w:p>
          <w:p>
            <w:pPr>
              <w:pStyle w:val="954"/>
              <w:ind w:left="185"/>
              <w:rPr>
                <w:rFonts w:hint="eastAsia"/>
                <w:sz w:val="21"/>
                <w:szCs w:val="21"/>
              </w:rPr>
            </w:pPr>
            <w:r>
              <w:rPr>
                <w:rFonts w:hint="eastAsia"/>
                <w:sz w:val="21"/>
                <w:szCs w:val="21"/>
              </w:rPr>
            </w:r>
            <w:r/>
          </w:p>
          <w:p>
            <w:pPr>
              <w:pStyle w:val="954"/>
              <w:ind w:left="545"/>
              <w:rPr>
                <w:rFonts w:hint="eastAsia"/>
                <w:sz w:val="21"/>
                <w:szCs w:val="21"/>
              </w:rPr>
            </w:pPr>
            <w:r>
              <w:rPr>
                <w:rFonts w:hint="eastAsia"/>
                <w:spacing w:val="-3"/>
                <w:sz w:val="21"/>
                <w:szCs w:val="21"/>
              </w:rPr>
              <w:t xml:space="preserve">况说明</w:t>
            </w:r>
            <w:r>
              <w:rPr>
                <w:rFonts w:hint="eastAsia"/>
                <w:sz w:val="21"/>
                <w:szCs w:val="21"/>
              </w:rPr>
            </w:r>
            <w:r/>
          </w:p>
        </w:tc>
        <w:tc>
          <w:tcPr>
            <w:gridSpan w:val="6"/>
            <w:tcBorders>
              <w:top w:val="single" w:color="000000" w:sz="2" w:space="0"/>
              <w:left w:val="none" w:color="000000" w:sz="4" w:space="0"/>
              <w:bottom w:val="single" w:color="000000" w:sz="2" w:space="0"/>
              <w:right w:val="single" w:color="000000" w:sz="2" w:space="0"/>
            </w:tcBorders>
            <w:tcW w:w="12549" w:type="dxa"/>
            <w:vAlign w:val="top"/>
            <w:textDirection w:val="lrTb"/>
            <w:noWrap w:val="false"/>
          </w:tcPr>
          <w:p>
            <w:pPr>
              <w:pStyle w:val="954"/>
              <w:rPr>
                <w:rFonts w:hint="eastAsia" w:cs="Arial"/>
                <w:sz w:val="21"/>
                <w:szCs w:val="21"/>
              </w:rPr>
            </w:pPr>
            <w:r>
              <w:rPr>
                <w:rFonts w:hint="eastAsia" w:cs="Arial"/>
                <w:sz w:val="21"/>
                <w:szCs w:val="21"/>
              </w:rPr>
            </w:r>
            <w:r/>
          </w:p>
        </w:tc>
      </w:tr>
      <w:tr>
        <w:trPr>
          <w:trHeight w:val="1120"/>
        </w:trPr>
        <w:tc>
          <w:tcPr>
            <w:tcBorders>
              <w:top w:val="single" w:color="000000" w:sz="2" w:space="0"/>
              <w:left w:val="single" w:color="000000" w:sz="2" w:space="0"/>
              <w:bottom w:val="single" w:color="000000" w:sz="2" w:space="0"/>
              <w:right w:val="single" w:color="000000" w:sz="2" w:space="0"/>
            </w:tcBorders>
            <w:tcW w:w="1625" w:type="dxa"/>
            <w:vAlign w:val="top"/>
            <w:textDirection w:val="lrTb"/>
            <w:noWrap w:val="false"/>
          </w:tcPr>
          <w:p>
            <w:pPr>
              <w:pStyle w:val="954"/>
              <w:jc w:val="center"/>
              <w:rPr>
                <w:rFonts w:hint="eastAsia"/>
                <w:spacing w:val="-2"/>
                <w:sz w:val="21"/>
                <w:szCs w:val="21"/>
              </w:rPr>
            </w:pPr>
            <w:r>
              <w:rPr>
                <w:rFonts w:hint="eastAsia"/>
                <w:spacing w:val="-2"/>
                <w:sz w:val="21"/>
                <w:szCs w:val="21"/>
              </w:rPr>
              <w:t xml:space="preserve">存在问题</w:t>
            </w:r>
            <w:r/>
          </w:p>
          <w:p>
            <w:pPr>
              <w:pStyle w:val="954"/>
              <w:jc w:val="center"/>
              <w:rPr>
                <w:rFonts w:hint="eastAsia"/>
                <w:sz w:val="21"/>
                <w:szCs w:val="21"/>
              </w:rPr>
            </w:pPr>
            <w:r>
              <w:rPr>
                <w:rFonts w:hint="eastAsia"/>
                <w:sz w:val="21"/>
                <w:szCs w:val="21"/>
              </w:rPr>
            </w:r>
            <w:r/>
          </w:p>
          <w:p>
            <w:pPr>
              <w:pStyle w:val="954"/>
              <w:jc w:val="center"/>
              <w:rPr>
                <w:rFonts w:hint="eastAsia"/>
                <w:sz w:val="21"/>
                <w:szCs w:val="21"/>
              </w:rPr>
            </w:pPr>
            <w:r>
              <w:rPr>
                <w:rFonts w:hint="eastAsia"/>
                <w:spacing w:val="-2"/>
                <w:sz w:val="21"/>
                <w:szCs w:val="21"/>
              </w:rPr>
              <w:t xml:space="preserve">和改进意见</w:t>
            </w:r>
            <w:r>
              <w:rPr>
                <w:rFonts w:hint="eastAsia"/>
                <w:sz w:val="21"/>
                <w:szCs w:val="21"/>
              </w:rPr>
            </w:r>
            <w:r/>
          </w:p>
        </w:tc>
        <w:tc>
          <w:tcPr>
            <w:gridSpan w:val="6"/>
            <w:tcBorders>
              <w:top w:val="single" w:color="000000" w:sz="2" w:space="0"/>
              <w:left w:val="none" w:color="000000" w:sz="4" w:space="0"/>
              <w:bottom w:val="single" w:color="000000" w:sz="2" w:space="0"/>
              <w:right w:val="single" w:color="000000" w:sz="2" w:space="0"/>
            </w:tcBorders>
            <w:tcW w:w="12549" w:type="dxa"/>
            <w:vAlign w:val="top"/>
            <w:textDirection w:val="lrTb"/>
            <w:noWrap w:val="false"/>
          </w:tcPr>
          <w:p>
            <w:pPr>
              <w:pStyle w:val="954"/>
              <w:rPr>
                <w:rFonts w:hint="eastAsia" w:cs="Arial"/>
                <w:sz w:val="21"/>
                <w:szCs w:val="21"/>
              </w:rPr>
            </w:pPr>
            <w:r>
              <w:rPr>
                <w:rFonts w:hint="eastAsia" w:cs="Arial"/>
                <w:sz w:val="21"/>
                <w:szCs w:val="21"/>
              </w:rPr>
            </w:r>
            <w:r/>
          </w:p>
        </w:tc>
      </w:tr>
    </w:tbl>
    <w:p>
      <w:pPr>
        <w:pStyle w:val="954"/>
        <w:contextualSpacing/>
        <w:ind w:firstLine="420"/>
        <w:spacing w:line="360" w:lineRule="auto"/>
        <w:rPr>
          <w:rFonts w:cs="宋体"/>
          <w:sz w:val="21"/>
          <w:szCs w:val="21"/>
        </w:rPr>
      </w:pPr>
      <w:r>
        <w:rPr>
          <w:rFonts w:cs="宋体"/>
          <w:sz w:val="21"/>
          <w:szCs w:val="21"/>
        </w:rPr>
      </w:r>
      <w:r/>
    </w:p>
    <w:p>
      <w:pPr>
        <w:pStyle w:val="954"/>
        <w:contextualSpacing/>
        <w:ind w:firstLine="420"/>
        <w:spacing w:line="360" w:lineRule="auto"/>
        <w:rPr>
          <w:rFonts w:cs="宋体"/>
          <w:sz w:val="21"/>
          <w:szCs w:val="21"/>
        </w:rPr>
      </w:pPr>
      <w:r>
        <w:rPr>
          <w:rFonts w:cs="宋体"/>
          <w:sz w:val="21"/>
          <w:szCs w:val="21"/>
        </w:rPr>
      </w:r>
      <w:r/>
    </w:p>
    <w:tbl>
      <w:tblPr>
        <w:tblW w:w="14174" w:type="dxa"/>
        <w:tblInd w:w="2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4"/>
        <w:gridCol w:w="5435"/>
        <w:gridCol w:w="7115"/>
      </w:tblGrid>
      <w:tr>
        <w:trPr>
          <w:trHeight w:val="687"/>
        </w:trPr>
        <w:tc>
          <w:tcPr>
            <w:tcBorders>
              <w:top w:val="single" w:color="000000" w:sz="2" w:space="0"/>
              <w:left w:val="single" w:color="000000" w:sz="2" w:space="0"/>
              <w:bottom w:val="single" w:color="000000" w:sz="2" w:space="0"/>
              <w:right w:val="single" w:color="000000" w:sz="2" w:space="0"/>
            </w:tcBorders>
            <w:tcW w:w="1624" w:type="dxa"/>
            <w:vAlign w:val="top"/>
            <w:textDirection w:val="lrTb"/>
            <w:noWrap w:val="false"/>
          </w:tcPr>
          <w:p>
            <w:pPr>
              <w:pStyle w:val="954"/>
              <w:spacing w:line="300" w:lineRule="auto"/>
              <w:rPr>
                <w:rFonts w:cs="Arial"/>
                <w:sz w:val="21"/>
                <w:szCs w:val="21"/>
              </w:rPr>
            </w:pPr>
            <w:r>
              <w:rPr>
                <w:rFonts w:cs="Arial"/>
                <w:sz w:val="21"/>
                <w:szCs w:val="21"/>
              </w:rPr>
            </w:r>
            <w:r/>
          </w:p>
          <w:p>
            <w:pPr>
              <w:pStyle w:val="954"/>
              <w:ind w:left="457"/>
              <w:spacing w:before="58"/>
              <w:rPr>
                <w:sz w:val="21"/>
                <w:szCs w:val="21"/>
              </w:rPr>
            </w:pPr>
            <w:r>
              <w:rPr>
                <w:rFonts w:cs="Arial"/>
                <w:spacing w:val="-3"/>
                <w:sz w:val="21"/>
                <w:szCs w:val="21"/>
              </w:rPr>
              <w:t xml:space="preserve">最终结论</w:t>
            </w:r>
            <w:r>
              <w:rPr>
                <w:sz w:val="21"/>
                <w:szCs w:val="21"/>
              </w:rPr>
            </w:r>
            <w:r/>
          </w:p>
        </w:tc>
        <w:tc>
          <w:tcPr>
            <w:gridSpan w:val="2"/>
            <w:tcBorders>
              <w:top w:val="single" w:color="000000" w:sz="2" w:space="0"/>
              <w:left w:val="none" w:color="000000" w:sz="4" w:space="0"/>
              <w:bottom w:val="single" w:color="000000" w:sz="2" w:space="0"/>
              <w:right w:val="single" w:color="000000" w:sz="2" w:space="0"/>
            </w:tcBorders>
            <w:tcW w:w="12550" w:type="dxa"/>
            <w:vAlign w:val="top"/>
            <w:textDirection w:val="lrTb"/>
            <w:noWrap w:val="false"/>
          </w:tcPr>
          <w:p>
            <w:pPr>
              <w:pStyle w:val="954"/>
              <w:spacing w:line="266" w:lineRule="auto"/>
              <w:rPr>
                <w:rFonts w:hint="eastAsia" w:cs="Arial"/>
                <w:sz w:val="21"/>
                <w:szCs w:val="21"/>
              </w:rPr>
            </w:pPr>
            <w:r>
              <w:rPr>
                <w:rFonts w:hint="eastAsia" w:cs="Arial"/>
                <w:sz w:val="21"/>
                <w:szCs w:val="21"/>
              </w:rPr>
            </w:r>
            <w:r/>
          </w:p>
          <w:p>
            <w:pPr>
              <w:pStyle w:val="954"/>
              <w:ind w:left="4210"/>
              <w:spacing w:before="58" w:line="240" w:lineRule="exact"/>
              <w:rPr>
                <w:sz w:val="21"/>
                <w:szCs w:val="21"/>
              </w:rPr>
            </w:pPr>
            <w:r>
              <w:rPr>
                <w:rFonts w:cs="Arial"/>
                <w:spacing w:val="-2"/>
                <w:position w:val="1"/>
                <w:sz w:val="21"/>
                <w:szCs w:val="21"/>
              </w:rPr>
              <w:t xml:space="preserve">合 </w:t>
            </w:r>
            <w:r>
              <w:rPr>
                <w:rFonts w:hint="eastAsia" w:cs="Arial"/>
                <w:spacing w:val="-2"/>
                <w:position w:val="1"/>
                <w:sz w:val="21"/>
                <w:szCs w:val="21"/>
              </w:rPr>
              <w:t xml:space="preserve"> </w:t>
            </w:r>
            <w:r>
              <w:rPr>
                <w:rFonts w:cs="Arial"/>
                <w:spacing w:val="-2"/>
                <w:position w:val="1"/>
                <w:sz w:val="21"/>
                <w:szCs w:val="21"/>
              </w:rPr>
              <w:t xml:space="preserve">格□</w:t>
            </w:r>
            <w:r>
              <w:rPr>
                <w:rFonts w:hint="eastAsia" w:cs="Arial"/>
                <w:position w:val="1"/>
                <w:sz w:val="21"/>
                <w:szCs w:val="21"/>
              </w:rPr>
              <w:t xml:space="preserve">                              </w:t>
            </w:r>
            <w:r>
              <w:rPr>
                <w:rFonts w:cs="Arial"/>
                <w:spacing w:val="-2"/>
                <w:position w:val="1"/>
                <w:sz w:val="21"/>
                <w:szCs w:val="21"/>
              </w:rPr>
              <w:t xml:space="preserve">不合格□</w:t>
            </w:r>
            <w:r>
              <w:rPr>
                <w:sz w:val="21"/>
                <w:szCs w:val="21"/>
              </w:rPr>
            </w:r>
            <w:r/>
          </w:p>
        </w:tc>
      </w:tr>
      <w:tr>
        <w:trPr>
          <w:trHeight w:val="1119"/>
        </w:trPr>
        <w:tc>
          <w:tcPr>
            <w:tcBorders>
              <w:top w:val="single" w:color="000000" w:sz="2" w:space="0"/>
              <w:left w:val="single" w:color="000000" w:sz="2" w:space="0"/>
              <w:bottom w:val="single" w:color="000000" w:sz="2" w:space="0"/>
              <w:right w:val="single" w:color="000000" w:sz="2" w:space="0"/>
            </w:tcBorders>
            <w:tcW w:w="1624" w:type="dxa"/>
            <w:vAlign w:val="top"/>
            <w:textDirection w:val="lrTb"/>
            <w:noWrap w:val="false"/>
          </w:tcPr>
          <w:p>
            <w:pPr>
              <w:pStyle w:val="954"/>
              <w:ind w:left="274"/>
              <w:spacing w:before="295"/>
              <w:rPr>
                <w:rFonts w:hint="eastAsia" w:cs="Arial"/>
                <w:sz w:val="21"/>
                <w:szCs w:val="21"/>
              </w:rPr>
            </w:pPr>
            <w:r>
              <w:rPr>
                <w:rFonts w:cs="Arial"/>
                <w:spacing w:val="-2"/>
                <w:sz w:val="21"/>
                <w:szCs w:val="21"/>
              </w:rPr>
              <w:t xml:space="preserve">验收小组成员</w:t>
            </w:r>
            <w:r>
              <w:rPr>
                <w:rFonts w:hint="eastAsia" w:cs="Arial"/>
                <w:sz w:val="21"/>
                <w:szCs w:val="21"/>
              </w:rPr>
            </w:r>
            <w:r/>
          </w:p>
          <w:p>
            <w:pPr>
              <w:pStyle w:val="954"/>
              <w:spacing w:line="295" w:lineRule="auto"/>
              <w:rPr>
                <w:rFonts w:cs="Arial"/>
                <w:sz w:val="21"/>
                <w:szCs w:val="21"/>
              </w:rPr>
            </w:pPr>
            <w:r>
              <w:rPr>
                <w:rFonts w:cs="Arial"/>
                <w:sz w:val="21"/>
                <w:szCs w:val="21"/>
              </w:rPr>
            </w:r>
            <w:r/>
          </w:p>
          <w:p>
            <w:pPr>
              <w:pStyle w:val="954"/>
              <w:ind w:left="635"/>
              <w:spacing w:before="58"/>
              <w:rPr>
                <w:sz w:val="21"/>
                <w:szCs w:val="21"/>
              </w:rPr>
            </w:pPr>
            <w:r>
              <w:rPr>
                <w:rFonts w:cs="Arial"/>
                <w:spacing w:val="-4"/>
                <w:sz w:val="21"/>
                <w:szCs w:val="21"/>
              </w:rPr>
              <w:t xml:space="preserve">签字</w:t>
            </w:r>
            <w:r>
              <w:rPr>
                <w:sz w:val="21"/>
                <w:szCs w:val="21"/>
              </w:rPr>
            </w:r>
            <w:r/>
          </w:p>
        </w:tc>
        <w:tc>
          <w:tcPr>
            <w:gridSpan w:val="2"/>
            <w:tcBorders>
              <w:top w:val="single" w:color="000000" w:sz="2" w:space="0"/>
              <w:left w:val="none" w:color="000000" w:sz="4" w:space="0"/>
              <w:bottom w:val="single" w:color="000000" w:sz="2" w:space="0"/>
              <w:right w:val="single" w:color="000000" w:sz="2" w:space="0"/>
            </w:tcBorders>
            <w:tcW w:w="12550" w:type="dxa"/>
            <w:vAlign w:val="top"/>
            <w:textDirection w:val="lrTb"/>
            <w:noWrap w:val="false"/>
          </w:tcPr>
          <w:p>
            <w:pPr>
              <w:pStyle w:val="954"/>
              <w:rPr>
                <w:rFonts w:hint="eastAsia" w:cs="Arial"/>
                <w:sz w:val="21"/>
                <w:szCs w:val="21"/>
              </w:rPr>
            </w:pPr>
            <w:r>
              <w:rPr>
                <w:rFonts w:hint="eastAsia" w:cs="Arial"/>
                <w:sz w:val="21"/>
                <w:szCs w:val="21"/>
              </w:rPr>
            </w:r>
            <w:r/>
          </w:p>
        </w:tc>
      </w:tr>
      <w:tr>
        <w:trPr>
          <w:trHeight w:val="559"/>
        </w:trPr>
        <w:tc>
          <w:tcPr>
            <w:gridSpan w:val="2"/>
            <w:tcBorders>
              <w:top w:val="single" w:color="000000" w:sz="2" w:space="0"/>
              <w:left w:val="single" w:color="000000" w:sz="2" w:space="0"/>
              <w:bottom w:val="single" w:color="000000" w:sz="2" w:space="0"/>
              <w:right w:val="single" w:color="000000" w:sz="2" w:space="0"/>
            </w:tcBorders>
            <w:tcW w:w="7059" w:type="dxa"/>
            <w:vAlign w:val="top"/>
            <w:textDirection w:val="lrTb"/>
            <w:noWrap w:val="false"/>
          </w:tcPr>
          <w:p>
            <w:pPr>
              <w:pStyle w:val="954"/>
              <w:ind w:left="2814"/>
              <w:spacing w:before="297"/>
              <w:rPr>
                <w:sz w:val="21"/>
                <w:szCs w:val="21"/>
              </w:rPr>
            </w:pPr>
            <w:r>
              <w:rPr>
                <w:rFonts w:cs="Arial"/>
                <w:spacing w:val="-1"/>
                <w:sz w:val="21"/>
                <w:szCs w:val="21"/>
              </w:rPr>
              <w:t xml:space="preserve">采购代理机构意见</w:t>
            </w:r>
            <w:r>
              <w:rPr>
                <w:sz w:val="21"/>
                <w:szCs w:val="21"/>
              </w:rPr>
            </w:r>
            <w:r/>
          </w:p>
        </w:tc>
        <w:tc>
          <w:tcPr>
            <w:tcBorders>
              <w:top w:val="single" w:color="000000" w:sz="2" w:space="0"/>
              <w:left w:val="none" w:color="000000" w:sz="4" w:space="0"/>
              <w:bottom w:val="single" w:color="000000" w:sz="2" w:space="0"/>
              <w:right w:val="single" w:color="000000" w:sz="2" w:space="0"/>
            </w:tcBorders>
            <w:tcW w:w="7115" w:type="dxa"/>
            <w:vAlign w:val="top"/>
            <w:textDirection w:val="lrTb"/>
            <w:noWrap w:val="false"/>
          </w:tcPr>
          <w:p>
            <w:pPr>
              <w:pStyle w:val="954"/>
              <w:ind w:left="3111"/>
              <w:spacing w:before="297"/>
              <w:rPr>
                <w:rFonts w:hint="eastAsia" w:cs="Arial"/>
                <w:sz w:val="21"/>
                <w:szCs w:val="21"/>
              </w:rPr>
            </w:pPr>
            <w:r>
              <w:rPr>
                <w:rFonts w:cs="Arial"/>
                <w:spacing w:val="-2"/>
                <w:sz w:val="21"/>
                <w:szCs w:val="21"/>
              </w:rPr>
              <w:t xml:space="preserve">采购人意见</w:t>
            </w:r>
            <w:r>
              <w:rPr>
                <w:rFonts w:hint="eastAsia" w:cs="Arial"/>
                <w:sz w:val="21"/>
                <w:szCs w:val="21"/>
              </w:rPr>
            </w:r>
            <w:r/>
          </w:p>
        </w:tc>
      </w:tr>
      <w:tr>
        <w:trPr>
          <w:trHeight w:val="1119"/>
        </w:trPr>
        <w:tc>
          <w:tcPr>
            <w:gridSpan w:val="2"/>
            <w:tcBorders>
              <w:top w:val="single" w:color="000000" w:sz="2" w:space="0"/>
              <w:left w:val="single" w:color="000000" w:sz="2" w:space="0"/>
              <w:bottom w:val="single" w:color="000000" w:sz="2" w:space="0"/>
              <w:right w:val="single" w:color="000000" w:sz="2" w:space="0"/>
            </w:tcBorders>
            <w:tcW w:w="7059" w:type="dxa"/>
            <w:vAlign w:val="top"/>
            <w:textDirection w:val="lrTb"/>
            <w:noWrap w:val="false"/>
          </w:tcPr>
          <w:p>
            <w:pPr>
              <w:pStyle w:val="954"/>
              <w:spacing w:line="252" w:lineRule="auto"/>
              <w:rPr>
                <w:rFonts w:cs="Arial"/>
                <w:sz w:val="21"/>
                <w:szCs w:val="21"/>
              </w:rPr>
            </w:pPr>
            <w:r>
              <w:rPr>
                <w:rFonts w:cs="Arial"/>
                <w:sz w:val="21"/>
                <w:szCs w:val="21"/>
              </w:rPr>
            </w:r>
            <w:r/>
          </w:p>
          <w:p>
            <w:pPr>
              <w:pStyle w:val="954"/>
              <w:spacing w:line="252" w:lineRule="auto"/>
              <w:rPr>
                <w:rFonts w:cs="Arial"/>
                <w:sz w:val="21"/>
                <w:szCs w:val="21"/>
              </w:rPr>
            </w:pPr>
            <w:r>
              <w:rPr>
                <w:rFonts w:cs="Arial"/>
                <w:sz w:val="21"/>
                <w:szCs w:val="21"/>
              </w:rPr>
            </w:r>
            <w:r/>
          </w:p>
          <w:p>
            <w:pPr>
              <w:pStyle w:val="954"/>
              <w:spacing w:line="252" w:lineRule="auto"/>
              <w:rPr>
                <w:rFonts w:cs="Arial"/>
                <w:sz w:val="21"/>
                <w:szCs w:val="21"/>
              </w:rPr>
            </w:pPr>
            <w:r>
              <w:rPr>
                <w:rFonts w:cs="Arial"/>
                <w:sz w:val="21"/>
                <w:szCs w:val="21"/>
              </w:rPr>
            </w:r>
            <w:r/>
          </w:p>
          <w:p>
            <w:pPr>
              <w:pStyle w:val="954"/>
              <w:ind w:left="113"/>
              <w:spacing w:before="59" w:line="238" w:lineRule="exact"/>
              <w:rPr>
                <w:sz w:val="21"/>
                <w:szCs w:val="21"/>
              </w:rPr>
            </w:pPr>
            <w:r>
              <w:rPr>
                <w:rFonts w:cs="Arial"/>
                <w:spacing w:val="1"/>
                <w:position w:val="1"/>
                <w:sz w:val="21"/>
                <w:szCs w:val="21"/>
              </w:rPr>
              <w:t xml:space="preserve">经办人： </w:t>
            </w:r>
            <w:r>
              <w:rPr>
                <w:rFonts w:hint="eastAsia" w:cs="Arial"/>
                <w:spacing w:val="1"/>
                <w:position w:val="1"/>
                <w:sz w:val="21"/>
                <w:szCs w:val="21"/>
              </w:rPr>
              <w:t xml:space="preserve">        </w:t>
            </w:r>
            <w:r>
              <w:rPr>
                <w:rFonts w:cs="Arial"/>
                <w:spacing w:val="1"/>
                <w:position w:val="1"/>
                <w:sz w:val="21"/>
                <w:szCs w:val="21"/>
              </w:rPr>
              <w:t xml:space="preserve">负责人</w:t>
            </w:r>
            <w:r>
              <w:rPr>
                <w:rFonts w:cs="Arial"/>
                <w:spacing w:val="-18"/>
                <w:position w:val="1"/>
                <w:sz w:val="21"/>
                <w:szCs w:val="21"/>
              </w:rPr>
              <w:t xml:space="preserve">：</w:t>
            </w:r>
            <w:r>
              <w:rPr>
                <w:rFonts w:hint="eastAsia" w:cs="Arial"/>
                <w:position w:val="1"/>
                <w:sz w:val="21"/>
                <w:szCs w:val="21"/>
              </w:rPr>
              <w:t xml:space="preserve">           </w:t>
            </w:r>
            <w:r>
              <w:rPr>
                <w:rFonts w:cs="Arial"/>
                <w:spacing w:val="-18"/>
                <w:position w:val="1"/>
                <w:sz w:val="21"/>
                <w:szCs w:val="21"/>
              </w:rPr>
              <w:t xml:space="preserve">（</w:t>
            </w:r>
            <w:r>
              <w:rPr>
                <w:rFonts w:cs="Arial"/>
                <w:spacing w:val="1"/>
                <w:position w:val="1"/>
                <w:sz w:val="21"/>
                <w:szCs w:val="21"/>
              </w:rPr>
              <w:t xml:space="preserve">采购代理机构公章）</w:t>
            </w:r>
            <w:r>
              <w:rPr>
                <w:sz w:val="21"/>
                <w:szCs w:val="21"/>
              </w:rPr>
            </w:r>
            <w:r/>
          </w:p>
        </w:tc>
        <w:tc>
          <w:tcPr>
            <w:tcBorders>
              <w:top w:val="single" w:color="000000" w:sz="2" w:space="0"/>
              <w:left w:val="none" w:color="000000" w:sz="4" w:space="0"/>
              <w:bottom w:val="single" w:color="000000" w:sz="2" w:space="0"/>
              <w:right w:val="single" w:color="000000" w:sz="2" w:space="0"/>
            </w:tcBorders>
            <w:tcW w:w="7115" w:type="dxa"/>
            <w:vAlign w:val="top"/>
            <w:textDirection w:val="lrTb"/>
            <w:noWrap w:val="false"/>
          </w:tcPr>
          <w:p>
            <w:pPr>
              <w:pStyle w:val="954"/>
              <w:spacing w:line="252" w:lineRule="auto"/>
              <w:rPr>
                <w:rFonts w:hint="eastAsia" w:cs="Arial"/>
                <w:sz w:val="21"/>
                <w:szCs w:val="21"/>
              </w:rPr>
            </w:pPr>
            <w:r>
              <w:rPr>
                <w:rFonts w:hint="eastAsia" w:cs="Arial"/>
                <w:sz w:val="21"/>
                <w:szCs w:val="21"/>
              </w:rPr>
            </w:r>
            <w:r/>
          </w:p>
          <w:p>
            <w:pPr>
              <w:pStyle w:val="954"/>
              <w:spacing w:line="252" w:lineRule="auto"/>
              <w:rPr>
                <w:rFonts w:cs="Arial"/>
                <w:sz w:val="21"/>
                <w:szCs w:val="21"/>
              </w:rPr>
            </w:pPr>
            <w:r>
              <w:rPr>
                <w:rFonts w:cs="Arial"/>
                <w:sz w:val="21"/>
                <w:szCs w:val="21"/>
              </w:rPr>
            </w:r>
            <w:r/>
          </w:p>
          <w:p>
            <w:pPr>
              <w:pStyle w:val="954"/>
              <w:spacing w:line="252" w:lineRule="auto"/>
              <w:rPr>
                <w:rFonts w:cs="Arial"/>
                <w:sz w:val="21"/>
                <w:szCs w:val="21"/>
              </w:rPr>
            </w:pPr>
            <w:r>
              <w:rPr>
                <w:rFonts w:cs="Arial"/>
                <w:sz w:val="21"/>
                <w:szCs w:val="21"/>
              </w:rPr>
            </w:r>
            <w:r/>
          </w:p>
          <w:p>
            <w:pPr>
              <w:pStyle w:val="954"/>
              <w:ind w:left="115"/>
              <w:spacing w:before="59" w:line="238" w:lineRule="exact"/>
              <w:rPr>
                <w:sz w:val="21"/>
                <w:szCs w:val="21"/>
              </w:rPr>
            </w:pPr>
            <w:r>
              <w:rPr>
                <w:rFonts w:cs="Arial"/>
                <w:spacing w:val="1"/>
                <w:position w:val="1"/>
                <w:sz w:val="21"/>
                <w:szCs w:val="21"/>
              </w:rPr>
              <w:t xml:space="preserve">经办人： </w:t>
            </w:r>
            <w:r>
              <w:rPr>
                <w:rFonts w:hint="eastAsia" w:cs="Arial"/>
                <w:spacing w:val="1"/>
                <w:position w:val="1"/>
                <w:sz w:val="21"/>
                <w:szCs w:val="21"/>
              </w:rPr>
              <w:t xml:space="preserve">        </w:t>
            </w:r>
            <w:r>
              <w:rPr>
                <w:rFonts w:cs="Arial"/>
                <w:spacing w:val="1"/>
                <w:position w:val="1"/>
                <w:sz w:val="21"/>
                <w:szCs w:val="21"/>
              </w:rPr>
              <w:t xml:space="preserve">负责人</w:t>
            </w:r>
            <w:r>
              <w:rPr>
                <w:rFonts w:cs="Arial"/>
                <w:spacing w:val="-17"/>
                <w:position w:val="1"/>
                <w:sz w:val="21"/>
                <w:szCs w:val="21"/>
              </w:rPr>
              <w:t xml:space="preserve">：</w:t>
            </w:r>
            <w:r>
              <w:rPr>
                <w:rFonts w:hint="eastAsia" w:cs="Arial"/>
                <w:position w:val="1"/>
                <w:sz w:val="21"/>
                <w:szCs w:val="21"/>
              </w:rPr>
              <w:t xml:space="preserve">               </w:t>
            </w:r>
            <w:r>
              <w:rPr>
                <w:rFonts w:cs="Arial"/>
                <w:spacing w:val="-17"/>
                <w:position w:val="1"/>
                <w:sz w:val="21"/>
                <w:szCs w:val="21"/>
              </w:rPr>
              <w:t xml:space="preserve">（</w:t>
            </w:r>
            <w:r>
              <w:rPr>
                <w:rFonts w:cs="Arial"/>
                <w:spacing w:val="1"/>
                <w:position w:val="1"/>
                <w:sz w:val="21"/>
                <w:szCs w:val="21"/>
              </w:rPr>
              <w:t xml:space="preserve">采购人</w:t>
            </w:r>
            <w:r>
              <w:rPr>
                <w:rFonts w:cs="Arial"/>
                <w:spacing w:val="1"/>
                <w:position w:val="1"/>
                <w:sz w:val="21"/>
                <w:szCs w:val="21"/>
              </w:rPr>
              <w:t xml:space="preserve">公章）</w:t>
            </w:r>
            <w:r>
              <w:rPr>
                <w:sz w:val="21"/>
                <w:szCs w:val="21"/>
              </w:rPr>
            </w:r>
            <w:r/>
          </w:p>
        </w:tc>
      </w:tr>
      <w:tr>
        <w:trPr>
          <w:trHeight w:val="1681"/>
        </w:trPr>
        <w:tc>
          <w:tcPr>
            <w:gridSpan w:val="3"/>
            <w:tcBorders>
              <w:top w:val="single" w:color="000000" w:sz="2" w:space="0"/>
              <w:left w:val="single" w:color="000000" w:sz="2" w:space="0"/>
              <w:bottom w:val="single" w:color="000000" w:sz="2" w:space="0"/>
              <w:right w:val="single" w:color="000000" w:sz="2" w:space="0"/>
            </w:tcBorders>
            <w:tcW w:w="14174" w:type="dxa"/>
            <w:vAlign w:val="top"/>
            <w:textDirection w:val="lrTb"/>
            <w:noWrap w:val="false"/>
          </w:tcPr>
          <w:p>
            <w:pPr>
              <w:pStyle w:val="954"/>
              <w:ind w:left="112"/>
              <w:spacing w:before="299"/>
              <w:rPr>
                <w:rFonts w:hint="eastAsia" w:cs="Arial"/>
                <w:sz w:val="21"/>
                <w:szCs w:val="21"/>
              </w:rPr>
            </w:pPr>
            <w:r>
              <w:rPr>
                <w:rFonts w:cs="Arial"/>
                <w:spacing w:val="-2"/>
                <w:sz w:val="21"/>
                <w:szCs w:val="21"/>
              </w:rPr>
              <w:t xml:space="preserve">供应商确认：</w:t>
            </w:r>
            <w:r>
              <w:rPr>
                <w:rFonts w:hint="eastAsia" w:cs="Arial"/>
                <w:sz w:val="21"/>
                <w:szCs w:val="21"/>
              </w:rPr>
            </w:r>
            <w:r/>
          </w:p>
          <w:p>
            <w:pPr>
              <w:pStyle w:val="954"/>
              <w:spacing w:line="271" w:lineRule="auto"/>
              <w:rPr>
                <w:rFonts w:cs="Arial"/>
                <w:sz w:val="21"/>
                <w:szCs w:val="21"/>
              </w:rPr>
            </w:pPr>
            <w:r>
              <w:rPr>
                <w:rFonts w:cs="Arial"/>
                <w:sz w:val="21"/>
                <w:szCs w:val="21"/>
              </w:rPr>
            </w:r>
            <w:r/>
          </w:p>
          <w:p>
            <w:pPr>
              <w:pStyle w:val="954"/>
              <w:spacing w:line="271" w:lineRule="auto"/>
              <w:rPr>
                <w:rFonts w:cs="Arial"/>
                <w:sz w:val="21"/>
                <w:szCs w:val="21"/>
              </w:rPr>
            </w:pPr>
            <w:r>
              <w:rPr>
                <w:rFonts w:cs="Arial"/>
                <w:sz w:val="21"/>
                <w:szCs w:val="21"/>
              </w:rPr>
            </w:r>
            <w:r/>
          </w:p>
          <w:p>
            <w:pPr>
              <w:pStyle w:val="954"/>
              <w:spacing w:line="271" w:lineRule="auto"/>
              <w:rPr>
                <w:rFonts w:cs="Arial"/>
                <w:sz w:val="21"/>
                <w:szCs w:val="21"/>
              </w:rPr>
            </w:pPr>
            <w:r>
              <w:rPr>
                <w:rFonts w:cs="Arial"/>
                <w:sz w:val="21"/>
                <w:szCs w:val="21"/>
              </w:rPr>
            </w:r>
            <w:r/>
          </w:p>
          <w:p>
            <w:pPr>
              <w:pStyle w:val="954"/>
              <w:ind w:left="117"/>
              <w:spacing w:before="58" w:line="239" w:lineRule="exact"/>
              <w:rPr>
                <w:sz w:val="21"/>
                <w:szCs w:val="21"/>
              </w:rPr>
            </w:pPr>
            <w:r>
              <w:rPr>
                <w:rFonts w:cs="Arial"/>
                <w:spacing w:val="-1"/>
                <w:position w:val="1"/>
                <w:sz w:val="21"/>
                <w:szCs w:val="21"/>
              </w:rPr>
              <w:t xml:space="preserve">（单位公章或授权代表签字）</w:t>
            </w:r>
            <w:r>
              <w:rPr>
                <w:sz w:val="21"/>
                <w:szCs w:val="21"/>
              </w:rPr>
            </w:r>
            <w:r/>
          </w:p>
        </w:tc>
      </w:tr>
    </w:tbl>
    <w:p>
      <w:pPr>
        <w:pStyle w:val="954"/>
        <w:contextualSpacing/>
        <w:ind w:firstLine="420"/>
        <w:spacing w:line="360" w:lineRule="auto"/>
        <w:rPr>
          <w:rFonts w:cs="宋体"/>
          <w:sz w:val="21"/>
          <w:szCs w:val="21"/>
        </w:rPr>
      </w:pPr>
      <w:r>
        <w:rPr>
          <w:rFonts w:hint="eastAsia" w:cs="宋体"/>
          <w:sz w:val="21"/>
          <w:szCs w:val="21"/>
        </w:rPr>
        <w:t xml:space="preserve">说明：1.该表为服务类项目履约验收的参考样表，采购人或采购代理机构可以根据工作实际进行调整。</w:t>
      </w:r>
      <w:r>
        <w:rPr>
          <w:rFonts w:cs="宋体"/>
          <w:sz w:val="21"/>
          <w:szCs w:val="21"/>
        </w:rPr>
      </w:r>
      <w:r/>
    </w:p>
    <w:p>
      <w:pPr>
        <w:pStyle w:val="954"/>
        <w:contextualSpacing/>
        <w:ind w:firstLine="420"/>
        <w:spacing w:line="360" w:lineRule="auto"/>
        <w:rPr>
          <w:rFonts w:cs="宋体"/>
          <w:sz w:val="21"/>
          <w:szCs w:val="21"/>
        </w:rPr>
      </w:pPr>
      <w:r>
        <w:rPr>
          <w:rFonts w:hint="eastAsia" w:cs="宋体"/>
          <w:sz w:val="21"/>
          <w:szCs w:val="21"/>
        </w:rPr>
        <w:t xml:space="preserve">2.未委托采购代理机构开展履约验收工作的，无需填写“采购代理机构意见 ”。</w:t>
      </w:r>
      <w:r>
        <w:rPr>
          <w:rFonts w:cs="宋体"/>
          <w:sz w:val="21"/>
          <w:szCs w:val="21"/>
        </w:rPr>
      </w:r>
      <w:r/>
    </w:p>
    <w:p>
      <w:pPr>
        <w:pStyle w:val="954"/>
        <w:contextualSpacing/>
        <w:ind w:firstLine="420"/>
        <w:spacing w:line="360" w:lineRule="auto"/>
        <w:rPr>
          <w:rFonts w:hint="eastAsia" w:cs="宋体"/>
          <w:sz w:val="21"/>
          <w:szCs w:val="21"/>
        </w:rPr>
      </w:pPr>
      <w:r>
        <w:rPr>
          <w:rFonts w:hint="eastAsia" w:cs="宋体"/>
          <w:sz w:val="21"/>
          <w:szCs w:val="21"/>
        </w:rPr>
      </w:r>
      <w:r/>
    </w:p>
    <w:p>
      <w:pPr>
        <w:pStyle w:val="954"/>
        <w:contextualSpacing/>
        <w:spacing w:line="360" w:lineRule="auto"/>
        <w:rPr>
          <w:rFonts w:hint="eastAsia" w:cs="宋体"/>
          <w:sz w:val="21"/>
          <w:szCs w:val="21"/>
          <w:lang w:val="zh-CN"/>
        </w:rPr>
        <w:sectPr>
          <w:footnotePr/>
          <w:endnotePr/>
          <w:type w:val="nextPage"/>
          <w:pgSz w:w="16838" w:h="11906" w:orient="landscape"/>
          <w:pgMar w:top="1021" w:right="675" w:bottom="1021" w:left="1702" w:header="426" w:footer="284" w:gutter="0"/>
          <w:cols w:num="1" w:sep="0" w:space="720" w:equalWidth="1"/>
          <w:docGrid w:linePitch="360"/>
          <w:titlePg/>
        </w:sectPr>
      </w:pPr>
      <w:r>
        <w:rPr>
          <w:rFonts w:hint="eastAsia" w:cs="宋体"/>
          <w:sz w:val="21"/>
          <w:szCs w:val="21"/>
          <w:lang w:val="zh-CN"/>
        </w:rPr>
      </w:r>
      <w:r/>
    </w:p>
    <w:p>
      <w:pPr>
        <w:pStyle w:val="955"/>
        <w:numPr>
          <w:ilvl w:val="0"/>
          <w:numId w:val="0"/>
        </w:numPr>
        <w:jc w:val="center"/>
        <w:tabs>
          <w:tab w:val="left" w:pos="432" w:leader="none"/>
        </w:tabs>
        <w:rPr>
          <w:rFonts w:hint="eastAsia" w:cs="宋体"/>
          <w:sz w:val="21"/>
          <w:szCs w:val="21"/>
        </w:rPr>
      </w:pPr>
      <w:r>
        <w:rPr>
          <w:rFonts w:hint="eastAsia" w:ascii="宋体" w:hAnsi="宋体" w:cs="宋体"/>
        </w:rPr>
        <w:t xml:space="preserve">第五章 合同主要条款</w:t>
      </w:r>
      <w:r>
        <w:rPr>
          <w:rFonts w:hint="eastAsia" w:cs="宋体"/>
          <w:sz w:val="21"/>
          <w:szCs w:val="21"/>
        </w:rPr>
      </w:r>
      <w:r/>
    </w:p>
    <w:tbl>
      <w:tblPr>
        <w:tblW w:w="8505"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111"/>
        <w:gridCol w:w="4394"/>
      </w:tblGrid>
      <w:tr>
        <w:trPr/>
        <w:tc>
          <w:tcPr>
            <w:tcBorders>
              <w:top w:val="none" w:color="000000" w:sz="0" w:space="0"/>
              <w:left w:val="none" w:color="000000" w:sz="0" w:space="0"/>
              <w:bottom w:val="none" w:color="000000" w:sz="0" w:space="0"/>
              <w:right w:val="none" w:color="000000" w:sz="0" w:space="0"/>
            </w:tcBorders>
            <w:tcW w:w="4111" w:type="dxa"/>
            <w:vAlign w:val="center"/>
            <w:textDirection w:val="lrTb"/>
            <w:noWrap w:val="false"/>
          </w:tcPr>
          <w:p>
            <w:pPr>
              <w:pStyle w:val="954"/>
              <w:spacing w:line="360" w:lineRule="auto"/>
              <w:rPr>
                <w:rFonts w:cs="宋体"/>
                <w:sz w:val="21"/>
                <w:szCs w:val="21"/>
              </w:rPr>
            </w:pPr>
            <w:r>
              <w:rPr>
                <w:rFonts w:hint="eastAsia" w:cs="宋体"/>
                <w:sz w:val="21"/>
                <w:szCs w:val="21"/>
              </w:rPr>
              <w:t xml:space="preserve">甲方（采购人）：太仓市浮桥镇人民政府</w:t>
            </w:r>
            <w:r>
              <w:rPr>
                <w:rFonts w:cs="宋体"/>
                <w:sz w:val="21"/>
                <w:szCs w:val="21"/>
              </w:rPr>
            </w:r>
            <w:r/>
          </w:p>
        </w:tc>
        <w:tc>
          <w:tcPr>
            <w:tcBorders>
              <w:top w:val="none" w:color="000000" w:sz="0" w:space="0"/>
              <w:left w:val="none" w:color="000000" w:sz="0" w:space="0"/>
              <w:bottom w:val="none" w:color="000000" w:sz="0" w:space="0"/>
              <w:right w:val="none" w:color="000000" w:sz="0" w:space="0"/>
            </w:tcBorders>
            <w:tcW w:w="4394" w:type="dxa"/>
            <w:vAlign w:val="center"/>
            <w:textDirection w:val="lrTb"/>
            <w:noWrap w:val="false"/>
          </w:tcPr>
          <w:p>
            <w:pPr>
              <w:pStyle w:val="954"/>
              <w:spacing w:line="360" w:lineRule="auto"/>
              <w:rPr>
                <w:rFonts w:cs="宋体"/>
                <w:sz w:val="21"/>
                <w:szCs w:val="21"/>
              </w:rPr>
            </w:pPr>
            <w:r>
              <w:rPr>
                <w:rFonts w:hint="eastAsia" w:cs="宋体"/>
                <w:sz w:val="21"/>
                <w:szCs w:val="21"/>
              </w:rPr>
              <w:t xml:space="preserve">单位地址：江苏省太仓市浮桥镇北环路12号</w:t>
            </w:r>
            <w:r>
              <w:rPr>
                <w:rFonts w:cs="宋体"/>
                <w:sz w:val="21"/>
                <w:szCs w:val="21"/>
              </w:rPr>
            </w:r>
            <w:r/>
          </w:p>
        </w:tc>
      </w:tr>
      <w:tr>
        <w:trPr/>
        <w:tc>
          <w:tcPr>
            <w:tcBorders>
              <w:top w:val="none" w:color="000000" w:sz="0" w:space="0"/>
              <w:left w:val="none" w:color="000000" w:sz="0" w:space="0"/>
              <w:bottom w:val="none" w:color="000000" w:sz="0" w:space="0"/>
              <w:right w:val="none" w:color="000000" w:sz="0" w:space="0"/>
            </w:tcBorders>
            <w:tcW w:w="4111" w:type="dxa"/>
            <w:vAlign w:val="center"/>
            <w:textDirection w:val="lrTb"/>
            <w:noWrap w:val="false"/>
          </w:tcPr>
          <w:p>
            <w:pPr>
              <w:pStyle w:val="954"/>
              <w:spacing w:line="360" w:lineRule="auto"/>
              <w:rPr>
                <w:rFonts w:cs="宋体"/>
                <w:sz w:val="21"/>
                <w:szCs w:val="21"/>
              </w:rPr>
            </w:pPr>
            <w:r>
              <w:rPr>
                <w:rFonts w:hint="eastAsia" w:cs="宋体"/>
                <w:sz w:val="21"/>
                <w:szCs w:val="21"/>
              </w:rPr>
              <w:t xml:space="preserve">乙方（供应商）：</w:t>
            </w:r>
            <w:r>
              <w:rPr>
                <w:rFonts w:cs="宋体"/>
                <w:sz w:val="21"/>
                <w:szCs w:val="21"/>
              </w:rPr>
            </w:r>
            <w:r/>
          </w:p>
        </w:tc>
        <w:tc>
          <w:tcPr>
            <w:tcBorders>
              <w:top w:val="none" w:color="000000" w:sz="0" w:space="0"/>
              <w:left w:val="none" w:color="000000" w:sz="0" w:space="0"/>
              <w:bottom w:val="none" w:color="000000" w:sz="0" w:space="0"/>
              <w:right w:val="none" w:color="000000" w:sz="0" w:space="0"/>
            </w:tcBorders>
            <w:tcW w:w="4394" w:type="dxa"/>
            <w:vAlign w:val="center"/>
            <w:textDirection w:val="lrTb"/>
            <w:noWrap w:val="false"/>
          </w:tcPr>
          <w:p>
            <w:pPr>
              <w:pStyle w:val="954"/>
              <w:spacing w:line="360" w:lineRule="auto"/>
              <w:rPr>
                <w:rFonts w:cs="宋体"/>
                <w:sz w:val="21"/>
                <w:szCs w:val="21"/>
              </w:rPr>
            </w:pPr>
            <w:r>
              <w:rPr>
                <w:rFonts w:hint="eastAsia" w:cs="宋体"/>
                <w:sz w:val="21"/>
                <w:szCs w:val="21"/>
              </w:rPr>
              <w:t xml:space="preserve">单位地址：</w:t>
            </w:r>
            <w:r>
              <w:rPr>
                <w:rFonts w:cs="宋体"/>
                <w:sz w:val="21"/>
                <w:szCs w:val="21"/>
              </w:rPr>
            </w:r>
            <w:r/>
          </w:p>
        </w:tc>
      </w:tr>
      <w:tr>
        <w:trPr/>
        <w:tc>
          <w:tcPr>
            <w:tcBorders>
              <w:top w:val="none" w:color="000000" w:sz="0" w:space="0"/>
              <w:left w:val="none" w:color="000000" w:sz="0" w:space="0"/>
              <w:bottom w:val="none" w:color="000000" w:sz="0" w:space="0"/>
              <w:right w:val="none" w:color="000000" w:sz="0" w:space="0"/>
            </w:tcBorders>
            <w:tcW w:w="4111" w:type="dxa"/>
            <w:vAlign w:val="center"/>
            <w:textDirection w:val="lrTb"/>
            <w:noWrap w:val="false"/>
          </w:tcPr>
          <w:p>
            <w:pPr>
              <w:pStyle w:val="954"/>
              <w:spacing w:line="360" w:lineRule="auto"/>
              <w:rPr>
                <w:rFonts w:cs="宋体"/>
                <w:sz w:val="21"/>
                <w:szCs w:val="21"/>
              </w:rPr>
            </w:pPr>
            <w:r>
              <w:rPr>
                <w:rFonts w:hint="eastAsia" w:cs="宋体"/>
                <w:sz w:val="21"/>
                <w:szCs w:val="21"/>
              </w:rPr>
              <w:t xml:space="preserve">签订日期：</w:t>
            </w:r>
            <w:r>
              <w:rPr>
                <w:rFonts w:cs="宋体"/>
                <w:sz w:val="21"/>
                <w:szCs w:val="21"/>
                <w:u w:val="single"/>
              </w:rPr>
              <w:t xml:space="preserve">      </w:t>
            </w:r>
            <w:r>
              <w:rPr>
                <w:rFonts w:hint="eastAsia" w:cs="宋体"/>
                <w:sz w:val="21"/>
                <w:szCs w:val="21"/>
              </w:rPr>
              <w:t xml:space="preserve">年</w:t>
            </w:r>
            <w:r>
              <w:rPr>
                <w:rFonts w:hint="eastAsia" w:cs="宋体"/>
                <w:sz w:val="21"/>
                <w:szCs w:val="21"/>
                <w:u w:val="single"/>
              </w:rPr>
              <w:t xml:space="preserve">     </w:t>
            </w:r>
            <w:r>
              <w:rPr>
                <w:rFonts w:hint="eastAsia" w:cs="宋体"/>
                <w:sz w:val="21"/>
                <w:szCs w:val="21"/>
              </w:rPr>
              <w:t xml:space="preserve">月</w:t>
            </w:r>
            <w:r>
              <w:rPr>
                <w:rFonts w:hint="eastAsia" w:cs="宋体"/>
                <w:sz w:val="21"/>
                <w:szCs w:val="21"/>
                <w:u w:val="single"/>
              </w:rPr>
              <w:t xml:space="preserve">     </w:t>
            </w:r>
            <w:r>
              <w:rPr>
                <w:rFonts w:hint="eastAsia" w:cs="宋体"/>
                <w:sz w:val="21"/>
                <w:szCs w:val="21"/>
              </w:rPr>
              <w:t xml:space="preserve">日</w:t>
            </w:r>
            <w:r>
              <w:rPr>
                <w:rFonts w:cs="宋体"/>
                <w:sz w:val="21"/>
                <w:szCs w:val="21"/>
              </w:rPr>
            </w:r>
            <w:r/>
          </w:p>
        </w:tc>
        <w:tc>
          <w:tcPr>
            <w:tcBorders>
              <w:top w:val="none" w:color="000000" w:sz="0" w:space="0"/>
              <w:left w:val="none" w:color="000000" w:sz="0" w:space="0"/>
              <w:bottom w:val="none" w:color="000000" w:sz="0" w:space="0"/>
              <w:right w:val="none" w:color="000000" w:sz="0" w:space="0"/>
            </w:tcBorders>
            <w:tcW w:w="4394" w:type="dxa"/>
            <w:vAlign w:val="center"/>
            <w:textDirection w:val="lrTb"/>
            <w:noWrap w:val="false"/>
          </w:tcPr>
          <w:p>
            <w:pPr>
              <w:pStyle w:val="954"/>
              <w:spacing w:line="360" w:lineRule="auto"/>
              <w:rPr>
                <w:rFonts w:cs="宋体"/>
                <w:sz w:val="21"/>
                <w:szCs w:val="21"/>
              </w:rPr>
            </w:pPr>
            <w:r>
              <w:rPr>
                <w:rFonts w:hint="eastAsia" w:cs="宋体"/>
                <w:sz w:val="21"/>
                <w:szCs w:val="21"/>
              </w:rPr>
              <w:t xml:space="preserve">签订地点：太仓市</w:t>
            </w:r>
            <w:r>
              <w:rPr>
                <w:rFonts w:cs="宋体"/>
                <w:sz w:val="21"/>
                <w:szCs w:val="21"/>
              </w:rPr>
            </w:r>
            <w:r/>
          </w:p>
        </w:tc>
      </w:tr>
    </w:tbl>
    <w:p>
      <w:pPr>
        <w:pStyle w:val="954"/>
        <w:ind w:firstLine="420"/>
        <w:spacing w:line="360" w:lineRule="auto"/>
        <w:rPr>
          <w:rFonts w:cs="宋体"/>
          <w:sz w:val="21"/>
          <w:szCs w:val="21"/>
        </w:rPr>
      </w:pPr>
      <w:r>
        <w:rPr>
          <w:rFonts w:hint="eastAsia" w:cs="宋体"/>
          <w:sz w:val="21"/>
          <w:szCs w:val="21"/>
        </w:rPr>
        <w:t xml:space="preserve">根据苏州乐族工程咨询有限公司招标编号</w:t>
      </w:r>
      <w:r>
        <w:rPr>
          <w:rFonts w:hint="eastAsia" w:cs="宋体"/>
          <w:sz w:val="21"/>
          <w:szCs w:val="21"/>
          <w:u w:val="single"/>
        </w:rPr>
        <w:t xml:space="preserve">JSZC-320585-SZLZ-G2026-0002</w:t>
      </w:r>
      <w:r>
        <w:rPr>
          <w:rFonts w:hint="eastAsia" w:cs="宋体"/>
          <w:sz w:val="21"/>
          <w:szCs w:val="21"/>
        </w:rPr>
        <w:t xml:space="preserve">号招标文件及中标单位的投标文件和中标通知书，甲乙双方就此次中标的服务内容，签订本合同书。</w:t>
      </w:r>
      <w:r>
        <w:rPr>
          <w:rFonts w:cs="宋体"/>
          <w:sz w:val="21"/>
          <w:szCs w:val="21"/>
        </w:rPr>
      </w:r>
      <w:r/>
    </w:p>
    <w:p>
      <w:pPr>
        <w:pStyle w:val="954"/>
        <w:ind w:firstLine="422"/>
        <w:spacing w:line="360" w:lineRule="auto"/>
        <w:rPr>
          <w:b/>
          <w:bCs/>
          <w:sz w:val="21"/>
          <w:szCs w:val="21"/>
        </w:rPr>
      </w:pPr>
      <w:r>
        <w:rPr>
          <w:rFonts w:hint="eastAsia"/>
          <w:b/>
          <w:bCs/>
          <w:sz w:val="21"/>
          <w:szCs w:val="21"/>
        </w:rPr>
        <w:t xml:space="preserve">第一条 合同内容</w:t>
      </w:r>
      <w:r>
        <w:rPr>
          <w:b/>
          <w:bCs/>
          <w:sz w:val="21"/>
          <w:szCs w:val="21"/>
        </w:rPr>
      </w:r>
      <w:r/>
    </w:p>
    <w:p>
      <w:pPr>
        <w:pStyle w:val="954"/>
        <w:ind w:firstLine="420"/>
        <w:spacing w:line="360" w:lineRule="auto"/>
        <w:rPr>
          <w:rFonts w:hint="eastAsia"/>
          <w:sz w:val="21"/>
          <w:szCs w:val="21"/>
        </w:rPr>
      </w:pPr>
      <w:r>
        <w:rPr>
          <w:rFonts w:hint="eastAsia"/>
          <w:sz w:val="21"/>
          <w:szCs w:val="21"/>
        </w:rPr>
        <w:t xml:space="preserve">甲方聘请乙方提供以下服务：</w:t>
      </w:r>
      <w:r/>
    </w:p>
    <w:p>
      <w:pPr>
        <w:pStyle w:val="954"/>
        <w:ind w:firstLine="420"/>
        <w:spacing w:line="360" w:lineRule="auto"/>
        <w:rPr>
          <w:rFonts w:hint="eastAsia"/>
          <w:sz w:val="21"/>
          <w:szCs w:val="21"/>
        </w:rPr>
      </w:pPr>
      <w:r>
        <w:rPr>
          <w:rFonts w:hint="eastAsia"/>
          <w:sz w:val="21"/>
          <w:szCs w:val="21"/>
        </w:rPr>
        <w:t xml:space="preserve">1、本合同项下的服务指：</w:t>
      </w:r>
      <w:r>
        <w:rPr>
          <w:rFonts w:cs="宋体"/>
          <w:sz w:val="21"/>
        </w:rPr>
        <w:t xml:space="preserve">2026年浮桥镇建筑垃圾清运服务</w:t>
      </w:r>
      <w:r>
        <w:rPr>
          <w:rFonts w:hint="eastAsia"/>
          <w:sz w:val="21"/>
          <w:szCs w:val="21"/>
        </w:rPr>
      </w:r>
      <w:r/>
    </w:p>
    <w:p>
      <w:pPr>
        <w:pStyle w:val="954"/>
        <w:ind w:firstLine="420"/>
        <w:spacing w:line="360" w:lineRule="auto"/>
        <w:rPr>
          <w:rFonts w:hint="eastAsia"/>
          <w:sz w:val="21"/>
          <w:szCs w:val="21"/>
        </w:rPr>
      </w:pPr>
      <w:r>
        <w:rPr>
          <w:rFonts w:hint="eastAsia"/>
          <w:sz w:val="21"/>
          <w:szCs w:val="21"/>
        </w:rPr>
        <w:t xml:space="preserve">2、服务内容：对浮桥镇区域内建筑垃圾进行清运至太仓市城发资源循环利用有限公司，称重后将垃圾运输到指定的垃圾处置地点倾倒。称重由第三方单位负责，乙方须配合相应工作。</w:t>
      </w:r>
      <w:r/>
    </w:p>
    <w:p>
      <w:pPr>
        <w:pStyle w:val="954"/>
        <w:ind w:firstLine="420"/>
        <w:spacing w:line="360" w:lineRule="auto"/>
        <w:rPr>
          <w:rFonts w:hint="eastAsia"/>
          <w:sz w:val="21"/>
          <w:szCs w:val="21"/>
        </w:rPr>
      </w:pPr>
      <w:r>
        <w:rPr>
          <w:rFonts w:hint="eastAsia"/>
          <w:sz w:val="21"/>
          <w:szCs w:val="21"/>
        </w:rPr>
        <w:t xml:space="preserve">3、服务要求：</w:t>
      </w:r>
      <w:r>
        <w:rPr>
          <w:rFonts w:hint="eastAsia"/>
          <w:bCs/>
          <w:sz w:val="21"/>
          <w:szCs w:val="21"/>
        </w:rPr>
        <w:t xml:space="preserve">详见招标文件要求及投标文件中所做的承诺。</w:t>
      </w:r>
      <w:r>
        <w:rPr>
          <w:rFonts w:hint="eastAsia"/>
          <w:sz w:val="21"/>
          <w:szCs w:val="21"/>
        </w:rPr>
      </w:r>
      <w:r/>
    </w:p>
    <w:p>
      <w:pPr>
        <w:pStyle w:val="954"/>
        <w:ind w:firstLine="420"/>
        <w:spacing w:line="360" w:lineRule="auto"/>
        <w:rPr>
          <w:rFonts w:hint="eastAsia"/>
          <w:sz w:val="21"/>
          <w:szCs w:val="21"/>
        </w:rPr>
      </w:pPr>
      <w:r>
        <w:rPr>
          <w:rFonts w:hint="eastAsia"/>
          <w:sz w:val="21"/>
          <w:szCs w:val="21"/>
        </w:rPr>
        <w:t xml:space="preserve">4、合同履行期限：一年或项目服务累计结算金额达到预算金额（二者中以先到者为准），</w:t>
      </w:r>
      <w:r>
        <w:rPr>
          <w:rFonts w:hint="eastAsia"/>
          <w:sz w:val="21"/>
          <w:szCs w:val="21"/>
        </w:rPr>
        <w:t xml:space="preserve">具体进场日期以甲方通知为准，乙方需在收到甲方进场通知后一天内完成全部进场准备工作，并正式开展服务。</w:t>
      </w:r>
      <w:r/>
    </w:p>
    <w:p>
      <w:pPr>
        <w:pStyle w:val="954"/>
        <w:ind w:firstLine="420"/>
        <w:spacing w:line="360" w:lineRule="auto"/>
        <w:rPr>
          <w:rFonts w:hint="eastAsia"/>
          <w:sz w:val="21"/>
          <w:szCs w:val="21"/>
        </w:rPr>
      </w:pPr>
      <w:r>
        <w:rPr>
          <w:rFonts w:hint="eastAsia"/>
          <w:sz w:val="21"/>
          <w:szCs w:val="21"/>
        </w:rPr>
        <w:t xml:space="preserve">注：若合同金额因达到预算金额上限而终止时，现场仍有已经产生、未清运完毕的垃圾，乙方必须无条件完成该批次垃圾的收尾清运工作，不得额外收费或拒绝服务，且该收尾清运费用已包含在合同单价内，甲方不在另行支付。</w:t>
      </w:r>
      <w:r/>
    </w:p>
    <w:p>
      <w:pPr>
        <w:pStyle w:val="954"/>
        <w:ind w:firstLine="422"/>
        <w:spacing w:line="360" w:lineRule="auto"/>
        <w:rPr>
          <w:rFonts w:hint="eastAsia"/>
          <w:b/>
          <w:bCs/>
          <w:sz w:val="21"/>
          <w:szCs w:val="21"/>
        </w:rPr>
      </w:pPr>
      <w:r>
        <w:rPr>
          <w:rFonts w:hint="eastAsia"/>
          <w:b/>
          <w:bCs/>
          <w:sz w:val="21"/>
          <w:szCs w:val="21"/>
        </w:rPr>
        <w:t xml:space="preserve">第二条 组成本合同的有关文件</w:t>
      </w:r>
      <w:r/>
    </w:p>
    <w:p>
      <w:pPr>
        <w:pStyle w:val="954"/>
        <w:ind w:firstLine="420"/>
        <w:spacing w:line="360" w:lineRule="auto"/>
        <w:rPr>
          <w:rFonts w:hint="eastAsia"/>
          <w:sz w:val="21"/>
          <w:szCs w:val="21"/>
        </w:rPr>
      </w:pPr>
      <w:r>
        <w:rPr>
          <w:rFonts w:hint="eastAsia"/>
          <w:sz w:val="21"/>
          <w:szCs w:val="21"/>
        </w:rPr>
        <w:t xml:space="preserve">下列与本次采购活动有关的文件及有关附件是本合同不可分割的组成部分，与本合同具有同等法律效力，这些文件包括但不限于：</w:t>
      </w:r>
      <w:r/>
    </w:p>
    <w:p>
      <w:pPr>
        <w:pStyle w:val="954"/>
        <w:ind w:firstLine="420"/>
        <w:spacing w:line="360" w:lineRule="auto"/>
        <w:rPr>
          <w:rFonts w:hint="eastAsia"/>
          <w:sz w:val="21"/>
          <w:szCs w:val="21"/>
        </w:rPr>
      </w:pPr>
      <w:r>
        <w:rPr>
          <w:rFonts w:hint="eastAsia"/>
          <w:sz w:val="21"/>
          <w:szCs w:val="21"/>
        </w:rPr>
        <w:t xml:space="preserve">1、招标文件；</w:t>
      </w:r>
      <w:r/>
    </w:p>
    <w:p>
      <w:pPr>
        <w:pStyle w:val="954"/>
        <w:ind w:firstLine="420"/>
        <w:spacing w:line="360" w:lineRule="auto"/>
        <w:rPr>
          <w:rFonts w:hint="eastAsia"/>
          <w:sz w:val="21"/>
          <w:szCs w:val="21"/>
        </w:rPr>
      </w:pPr>
      <w:r>
        <w:rPr>
          <w:rFonts w:hint="eastAsia"/>
          <w:sz w:val="21"/>
          <w:szCs w:val="21"/>
        </w:rPr>
        <w:t xml:space="preserve">2、乙方提供的投标文件和投标报价表；</w:t>
      </w:r>
      <w:r/>
    </w:p>
    <w:p>
      <w:pPr>
        <w:pStyle w:val="954"/>
        <w:ind w:firstLine="420"/>
        <w:spacing w:line="360" w:lineRule="auto"/>
        <w:rPr>
          <w:rFonts w:hint="eastAsia"/>
          <w:sz w:val="21"/>
          <w:szCs w:val="21"/>
        </w:rPr>
      </w:pPr>
      <w:r>
        <w:rPr>
          <w:rFonts w:hint="eastAsia"/>
          <w:sz w:val="21"/>
          <w:szCs w:val="21"/>
        </w:rPr>
        <w:t xml:space="preserve">3、乙方在投标过程中所作的其他承诺、声明、书面澄清等；</w:t>
      </w:r>
      <w:r/>
    </w:p>
    <w:p>
      <w:pPr>
        <w:pStyle w:val="954"/>
        <w:ind w:firstLine="420"/>
        <w:spacing w:line="360" w:lineRule="auto"/>
        <w:rPr>
          <w:rFonts w:hint="eastAsia"/>
          <w:sz w:val="21"/>
          <w:szCs w:val="21"/>
        </w:rPr>
      </w:pPr>
      <w:r>
        <w:rPr>
          <w:rFonts w:hint="eastAsia"/>
          <w:sz w:val="21"/>
          <w:szCs w:val="21"/>
        </w:rPr>
        <w:t xml:space="preserve">4、中标通知书；</w:t>
      </w:r>
      <w:r/>
    </w:p>
    <w:p>
      <w:pPr>
        <w:pStyle w:val="954"/>
        <w:ind w:firstLine="420"/>
        <w:spacing w:line="360" w:lineRule="auto"/>
        <w:rPr>
          <w:rFonts w:hint="eastAsia"/>
          <w:sz w:val="21"/>
          <w:szCs w:val="21"/>
        </w:rPr>
      </w:pPr>
      <w:r>
        <w:rPr>
          <w:rFonts w:hint="eastAsia"/>
          <w:sz w:val="21"/>
          <w:szCs w:val="21"/>
        </w:rPr>
        <w:t xml:space="preserve">5、甲乙双方商定的其他文件等。</w:t>
      </w:r>
      <w:r/>
    </w:p>
    <w:p>
      <w:pPr>
        <w:pStyle w:val="954"/>
        <w:ind w:firstLine="422"/>
        <w:spacing w:line="360" w:lineRule="auto"/>
        <w:rPr>
          <w:rFonts w:hint="eastAsia"/>
          <w:b/>
          <w:bCs/>
          <w:sz w:val="21"/>
          <w:szCs w:val="21"/>
        </w:rPr>
      </w:pPr>
      <w:r>
        <w:rPr>
          <w:rFonts w:hint="eastAsia"/>
          <w:b/>
          <w:bCs/>
          <w:sz w:val="21"/>
          <w:szCs w:val="21"/>
        </w:rPr>
        <w:t xml:space="preserve">第三条 合同总价款 </w:t>
      </w:r>
      <w:r/>
    </w:p>
    <w:p>
      <w:pPr>
        <w:pStyle w:val="954"/>
        <w:ind w:firstLine="420"/>
        <w:spacing w:line="360" w:lineRule="auto"/>
        <w:rPr>
          <w:rFonts w:hint="eastAsia"/>
          <w:sz w:val="21"/>
          <w:szCs w:val="21"/>
        </w:rPr>
      </w:pPr>
      <w:r>
        <w:rPr>
          <w:rFonts w:hint="eastAsia"/>
          <w:sz w:val="21"/>
          <w:szCs w:val="21"/>
        </w:rPr>
        <w:t xml:space="preserve">合同价格按此次中标单价执行：</w:t>
      </w:r>
      <w:r>
        <w:rPr>
          <w:rFonts w:hint="eastAsia"/>
          <w:sz w:val="21"/>
          <w:szCs w:val="21"/>
          <w:u w:val="single"/>
        </w:rPr>
        <w:t xml:space="preserve">       </w:t>
      </w:r>
      <w:r>
        <w:rPr>
          <w:rFonts w:hint="eastAsia"/>
          <w:sz w:val="21"/>
          <w:szCs w:val="21"/>
        </w:rPr>
        <w:t xml:space="preserve">元/吨。</w:t>
      </w:r>
      <w:r/>
    </w:p>
    <w:p>
      <w:pPr>
        <w:pStyle w:val="954"/>
        <w:ind w:firstLine="420"/>
        <w:spacing w:line="360" w:lineRule="auto"/>
        <w:rPr>
          <w:rFonts w:hint="eastAsia"/>
          <w:sz w:val="21"/>
          <w:szCs w:val="21"/>
        </w:rPr>
      </w:pPr>
      <w:r>
        <w:rPr>
          <w:rFonts w:hint="eastAsia"/>
          <w:sz w:val="21"/>
          <w:szCs w:val="21"/>
        </w:rPr>
        <w:t xml:space="preserve">合同价款包括在服务期内完成服务内容所需要的一切费用，包括但不限于：</w:t>
      </w:r>
      <w:bookmarkStart w:id="18" w:name="OLE_LINK8"/>
      <w:r>
        <w:rPr>
          <w:rFonts w:hint="eastAsia"/>
          <w:sz w:val="21"/>
          <w:szCs w:val="21"/>
        </w:rPr>
        <w:t xml:space="preserve">人工费（包括人员工资、加班工资、社保等）</w:t>
      </w:r>
      <w:bookmarkEnd w:id="18"/>
      <w:r>
        <w:rPr>
          <w:rFonts w:hint="eastAsia"/>
          <w:sz w:val="21"/>
          <w:szCs w:val="21"/>
        </w:rPr>
        <w:t xml:space="preserve">、劳动工具、劳保用品、人身意外伤害险、车辆使用费、养护车辆和设备的保养、油料费、耗材、车辆保险费、完成本项目所需管理费、利润、风险费、各种税费、政策性文件规定的费用以及在服务过程中发生的一切费用</w:t>
      </w:r>
      <w:r>
        <w:rPr>
          <w:sz w:val="21"/>
          <w:szCs w:val="21"/>
        </w:rPr>
        <w:t xml:space="preserve">，</w:t>
      </w:r>
      <w:r>
        <w:rPr>
          <w:rFonts w:hint="eastAsia"/>
          <w:sz w:val="21"/>
          <w:szCs w:val="21"/>
        </w:rPr>
        <w:t xml:space="preserve">包括但不限于因乙方作业不符合要求导致的整</w:t>
      </w:r>
      <w:r>
        <w:rPr>
          <w:rFonts w:hint="eastAsia"/>
          <w:sz w:val="21"/>
          <w:szCs w:val="21"/>
        </w:rPr>
        <w:t xml:space="preserve">改、返工、补运等费用。</w:t>
      </w:r>
      <w:r/>
    </w:p>
    <w:p>
      <w:pPr>
        <w:pStyle w:val="954"/>
        <w:ind w:firstLine="422"/>
        <w:spacing w:line="360" w:lineRule="auto"/>
        <w:rPr>
          <w:rFonts w:hint="eastAsia"/>
          <w:b/>
          <w:bCs/>
          <w:sz w:val="21"/>
          <w:szCs w:val="21"/>
        </w:rPr>
      </w:pPr>
      <w:r>
        <w:rPr>
          <w:rFonts w:hint="eastAsia"/>
          <w:b/>
          <w:bCs/>
          <w:sz w:val="21"/>
          <w:szCs w:val="21"/>
        </w:rPr>
        <w:t xml:space="preserve">第四条 合同款支付</w:t>
      </w:r>
      <w:r/>
    </w:p>
    <w:p>
      <w:pPr>
        <w:pStyle w:val="954"/>
        <w:ind w:firstLine="420"/>
        <w:spacing w:line="360" w:lineRule="auto"/>
        <w:rPr>
          <w:rFonts w:hint="eastAsia"/>
          <w:sz w:val="21"/>
          <w:szCs w:val="21"/>
        </w:rPr>
      </w:pPr>
      <w:r>
        <w:rPr>
          <w:rFonts w:hint="eastAsia"/>
          <w:sz w:val="21"/>
          <w:szCs w:val="21"/>
        </w:rPr>
        <w:t xml:space="preserve">1、本合同项下所有款项均以人民币支付。</w:t>
      </w:r>
      <w:r/>
    </w:p>
    <w:p>
      <w:pPr>
        <w:pStyle w:val="954"/>
        <w:ind w:firstLine="420"/>
        <w:spacing w:line="360" w:lineRule="auto"/>
        <w:rPr>
          <w:rFonts w:hint="eastAsia"/>
          <w:sz w:val="21"/>
          <w:szCs w:val="21"/>
        </w:rPr>
      </w:pPr>
      <w:r>
        <w:rPr>
          <w:rFonts w:hint="eastAsia"/>
          <w:sz w:val="21"/>
          <w:szCs w:val="21"/>
        </w:rPr>
        <w:t xml:space="preserve">2、本合同项下的采购资金由甲方自行支付，乙方向甲方开具发票，先票后付。</w:t>
      </w:r>
      <w:r/>
    </w:p>
    <w:p>
      <w:pPr>
        <w:pStyle w:val="954"/>
        <w:ind w:firstLine="420"/>
        <w:spacing w:line="360" w:lineRule="auto"/>
        <w:rPr>
          <w:rFonts w:hint="eastAsia"/>
          <w:sz w:val="21"/>
          <w:szCs w:val="21"/>
        </w:rPr>
      </w:pPr>
      <w:r>
        <w:rPr>
          <w:rFonts w:hint="eastAsia"/>
          <w:sz w:val="21"/>
          <w:szCs w:val="21"/>
        </w:rPr>
        <w:t xml:space="preserve">3、根据现行税法对乙方征收的与本合同有关的一切税费均由乙方承担。</w:t>
      </w:r>
      <w:r/>
    </w:p>
    <w:p>
      <w:pPr>
        <w:pStyle w:val="954"/>
        <w:ind w:firstLine="420"/>
        <w:spacing w:line="360" w:lineRule="auto"/>
        <w:rPr>
          <w:sz w:val="21"/>
          <w:szCs w:val="21"/>
        </w:rPr>
      </w:pPr>
      <w:r>
        <w:rPr>
          <w:rFonts w:hint="eastAsia"/>
          <w:sz w:val="21"/>
          <w:szCs w:val="21"/>
        </w:rPr>
        <w:t xml:space="preserve">4、付款步骤</w:t>
      </w:r>
      <w:r>
        <w:rPr>
          <w:rFonts w:hint="eastAsia" w:cs="Arial"/>
          <w:sz w:val="21"/>
          <w:szCs w:val="21"/>
        </w:rPr>
        <w:t xml:space="preserve">（以下结算方式二选一）</w:t>
      </w:r>
      <w:r>
        <w:rPr>
          <w:rFonts w:hint="eastAsia"/>
          <w:sz w:val="21"/>
          <w:szCs w:val="21"/>
        </w:rPr>
        <w:t xml:space="preserve">：</w:t>
      </w:r>
      <w:r>
        <w:rPr>
          <w:sz w:val="21"/>
          <w:szCs w:val="21"/>
        </w:rPr>
      </w:r>
      <w:r/>
    </w:p>
    <w:p>
      <w:pPr>
        <w:pStyle w:val="954"/>
        <w:ind w:firstLine="420"/>
        <w:spacing w:line="360" w:lineRule="auto"/>
        <w:rPr>
          <w:rFonts w:hint="eastAsia"/>
          <w:sz w:val="21"/>
          <w:szCs w:val="21"/>
        </w:rPr>
      </w:pPr>
      <w:r>
        <w:rPr>
          <w:rFonts w:hint="eastAsia"/>
          <w:sz w:val="21"/>
          <w:szCs w:val="21"/>
        </w:rPr>
        <w:t xml:space="preserve">A、□在签订合同时，乙方明确表示需要甲方支付预付款的</w:t>
      </w:r>
      <w:r>
        <w:rPr>
          <w:rFonts w:hint="eastAsia"/>
          <w:sz w:val="21"/>
          <w:szCs w:val="21"/>
        </w:rPr>
      </w:r>
      <w:r/>
    </w:p>
    <w:p>
      <w:pPr>
        <w:pStyle w:val="954"/>
        <w:ind w:firstLine="420"/>
        <w:spacing w:line="360" w:lineRule="auto"/>
        <w:rPr>
          <w:sz w:val="21"/>
          <w:szCs w:val="21"/>
        </w:rPr>
      </w:pPr>
      <w:r>
        <w:rPr>
          <w:rFonts w:hint="eastAsia"/>
          <w:sz w:val="21"/>
          <w:szCs w:val="21"/>
        </w:rPr>
        <w:t xml:space="preserve">合同签订生效后支付合同金额的10%作为预付款，之后根据考核结果每半年支付一次，其中预付款在第一次支付时全额扣回，若不足扣回的顺延至第二次扣回，以此类推。按中标单价进行结算，累计结算金额以预算金额为限。</w:t>
      </w:r>
      <w:r>
        <w:rPr>
          <w:sz w:val="21"/>
          <w:szCs w:val="21"/>
        </w:rPr>
      </w:r>
      <w:r/>
    </w:p>
    <w:p>
      <w:pPr>
        <w:pStyle w:val="954"/>
        <w:ind w:firstLine="420"/>
        <w:spacing w:line="360" w:lineRule="auto"/>
        <w:rPr>
          <w:sz w:val="21"/>
          <w:szCs w:val="21"/>
        </w:rPr>
      </w:pPr>
      <w:r>
        <w:rPr>
          <w:rFonts w:hint="eastAsia"/>
          <w:sz w:val="21"/>
          <w:szCs w:val="21"/>
        </w:rPr>
        <w:t xml:space="preserve">B、□在签订合同时，乙方明确表示无需甲方支付预付款的</w:t>
      </w:r>
      <w:r>
        <w:rPr>
          <w:sz w:val="21"/>
          <w:szCs w:val="21"/>
        </w:rPr>
      </w:r>
      <w:r/>
    </w:p>
    <w:p>
      <w:pPr>
        <w:pStyle w:val="954"/>
        <w:ind w:firstLine="420"/>
        <w:spacing w:line="360" w:lineRule="auto"/>
        <w:rPr>
          <w:sz w:val="21"/>
          <w:szCs w:val="21"/>
        </w:rPr>
      </w:pPr>
      <w:r>
        <w:rPr>
          <w:rFonts w:hint="eastAsia"/>
          <w:sz w:val="21"/>
          <w:szCs w:val="21"/>
        </w:rPr>
        <w:t xml:space="preserve">根据考核结果每半年支付一次。按中标单价进行结算，累计结算金额以预算金额为限。</w:t>
      </w:r>
      <w:r>
        <w:rPr>
          <w:sz w:val="21"/>
          <w:szCs w:val="21"/>
        </w:rPr>
      </w:r>
      <w:r/>
    </w:p>
    <w:p>
      <w:pPr>
        <w:pStyle w:val="954"/>
        <w:ind w:firstLine="420"/>
        <w:spacing w:line="360" w:lineRule="auto"/>
        <w:rPr>
          <w:sz w:val="21"/>
          <w:szCs w:val="21"/>
        </w:rPr>
      </w:pPr>
      <w:r>
        <w:rPr>
          <w:rFonts w:hint="eastAsia"/>
          <w:sz w:val="21"/>
          <w:szCs w:val="21"/>
        </w:rPr>
        <w:t xml:space="preserve">5</w:t>
      </w:r>
      <w:r>
        <w:rPr>
          <w:sz w:val="21"/>
          <w:szCs w:val="21"/>
        </w:rPr>
        <w:t xml:space="preserve">、考核</w:t>
      </w:r>
      <w:r>
        <w:rPr>
          <w:rFonts w:hint="eastAsia"/>
          <w:sz w:val="21"/>
          <w:szCs w:val="21"/>
        </w:rPr>
        <w:t xml:space="preserve">：甲方按月对乙方进行考核，与费用结算挂钩，满分为100分。达到90分（含90分）以上，不扣款；85分（含85分）以上，90分以下，处以每月合同款3%的扣款；80分（含80分）以上，85分以下，处以每月合同款5%的扣款；60分（含60分）以上，80分以下，处以每月合同款10%的扣款；60分以下，处以每月合同款50%的扣款。考核内容及标准详见合同附件。</w:t>
      </w:r>
      <w:r>
        <w:rPr>
          <w:sz w:val="21"/>
          <w:szCs w:val="21"/>
        </w:rPr>
      </w:r>
      <w:r/>
    </w:p>
    <w:p>
      <w:pPr>
        <w:pStyle w:val="954"/>
        <w:ind w:firstLine="420"/>
        <w:jc w:val="left"/>
        <w:rPr>
          <w:rFonts w:hint="eastAsia"/>
          <w:sz w:val="21"/>
          <w:szCs w:val="21"/>
        </w:rPr>
      </w:pPr>
      <w:r>
        <w:rPr>
          <w:rFonts w:hint="eastAsia"/>
          <w:sz w:val="21"/>
          <w:szCs w:val="21"/>
        </w:rPr>
        <w:t xml:space="preserve">6</w:t>
      </w:r>
      <w:r>
        <w:rPr>
          <w:sz w:val="21"/>
          <w:szCs w:val="21"/>
        </w:rPr>
        <w:t xml:space="preserve">、</w:t>
      </w:r>
      <w:r>
        <w:rPr>
          <w:rFonts w:hint="eastAsia"/>
          <w:sz w:val="21"/>
          <w:szCs w:val="21"/>
        </w:rPr>
        <w:t xml:space="preserve">未经甲方书面</w:t>
      </w:r>
      <w:r>
        <w:rPr>
          <w:rFonts w:hint="eastAsia"/>
          <w:sz w:val="21"/>
          <w:szCs w:val="21"/>
        </w:rPr>
        <w:t xml:space="preserve">同意，乙方擅自继续提供服务产生的费用，甲方一律不予结算。</w:t>
      </w:r>
      <w:r/>
    </w:p>
    <w:p>
      <w:pPr>
        <w:pStyle w:val="954"/>
        <w:ind w:firstLine="422"/>
        <w:spacing w:line="360" w:lineRule="auto"/>
        <w:rPr>
          <w:rFonts w:hint="eastAsia"/>
          <w:b/>
          <w:bCs/>
          <w:sz w:val="21"/>
          <w:szCs w:val="21"/>
        </w:rPr>
      </w:pPr>
      <w:r>
        <w:rPr>
          <w:rFonts w:hint="eastAsia"/>
          <w:b/>
          <w:bCs/>
          <w:sz w:val="21"/>
          <w:szCs w:val="21"/>
        </w:rPr>
        <w:t xml:space="preserve">第五条 甲、乙双方权利义务</w:t>
      </w:r>
      <w:r/>
    </w:p>
    <w:p>
      <w:pPr>
        <w:pStyle w:val="954"/>
        <w:ind w:firstLine="420"/>
        <w:spacing w:line="360" w:lineRule="auto"/>
        <w:rPr>
          <w:rFonts w:hint="eastAsia"/>
          <w:sz w:val="21"/>
          <w:szCs w:val="21"/>
        </w:rPr>
      </w:pPr>
      <w:r>
        <w:rPr>
          <w:rFonts w:hint="eastAsia"/>
          <w:sz w:val="21"/>
          <w:szCs w:val="21"/>
        </w:rPr>
        <w:t xml:space="preserve">1、甲方有权随时对乙方的工作进行监督检查，发现质量问题及时要求乙方整改。</w:t>
      </w:r>
      <w:r/>
    </w:p>
    <w:p>
      <w:pPr>
        <w:pStyle w:val="954"/>
        <w:ind w:firstLine="420"/>
        <w:spacing w:line="360" w:lineRule="auto"/>
        <w:rPr>
          <w:rFonts w:hint="eastAsia"/>
          <w:sz w:val="21"/>
          <w:szCs w:val="21"/>
        </w:rPr>
      </w:pPr>
      <w:r>
        <w:rPr>
          <w:rFonts w:hint="eastAsia"/>
          <w:sz w:val="21"/>
          <w:szCs w:val="21"/>
        </w:rPr>
        <w:t xml:space="preserve">2、甲方有权要求乙方遵守甲方的各项管理制度，乙方各项违章行为须承担违约责任。</w:t>
      </w:r>
      <w:r/>
    </w:p>
    <w:p>
      <w:pPr>
        <w:pStyle w:val="954"/>
        <w:ind w:firstLine="420"/>
        <w:spacing w:line="360" w:lineRule="auto"/>
        <w:rPr>
          <w:rFonts w:hint="eastAsia"/>
          <w:sz w:val="21"/>
          <w:szCs w:val="21"/>
        </w:rPr>
      </w:pPr>
      <w:r>
        <w:rPr>
          <w:rFonts w:hint="eastAsia"/>
          <w:sz w:val="21"/>
          <w:szCs w:val="21"/>
        </w:rPr>
        <w:t xml:space="preserve">3、甲方对乙方的工作依据招投标书、服务合同和服务管理考核办法的相关服务标准实行检查考核，对工作中的不足将以书面形式通知乙方并要求乙方根据要求限期整改，考核触及本协议八2.（1）违约金的，甲方有权在相应支付的款额中进行抵扣。</w:t>
      </w:r>
      <w:r/>
    </w:p>
    <w:p>
      <w:pPr>
        <w:pStyle w:val="954"/>
        <w:ind w:firstLine="420"/>
        <w:spacing w:line="360" w:lineRule="auto"/>
        <w:rPr>
          <w:rFonts w:hint="eastAsia"/>
          <w:sz w:val="21"/>
          <w:szCs w:val="21"/>
        </w:rPr>
      </w:pPr>
      <w:r>
        <w:rPr>
          <w:rFonts w:hint="eastAsia"/>
          <w:sz w:val="21"/>
          <w:szCs w:val="21"/>
        </w:rPr>
        <w:t xml:space="preserve">4、乙方必须按甲方的要求进行服务，严格按甲方的指令执行。</w:t>
      </w:r>
      <w:r/>
    </w:p>
    <w:p>
      <w:pPr>
        <w:pStyle w:val="954"/>
        <w:ind w:firstLine="420"/>
        <w:spacing w:line="360" w:lineRule="auto"/>
        <w:rPr>
          <w:rFonts w:hint="eastAsia"/>
          <w:sz w:val="21"/>
          <w:szCs w:val="21"/>
        </w:rPr>
      </w:pPr>
      <w:r>
        <w:rPr>
          <w:rFonts w:hint="eastAsia"/>
          <w:sz w:val="21"/>
          <w:szCs w:val="21"/>
        </w:rPr>
        <w:t xml:space="preserve">5、乙方提供满足垃圾清运要求的人员、设备和材料，并做好日常工作管理。</w:t>
      </w:r>
      <w:r/>
    </w:p>
    <w:p>
      <w:pPr>
        <w:pStyle w:val="954"/>
        <w:ind w:firstLine="420"/>
        <w:spacing w:line="360" w:lineRule="auto"/>
        <w:rPr>
          <w:rFonts w:hint="eastAsia"/>
          <w:sz w:val="21"/>
          <w:szCs w:val="21"/>
        </w:rPr>
      </w:pPr>
      <w:r>
        <w:rPr>
          <w:rFonts w:hint="eastAsia"/>
          <w:sz w:val="21"/>
          <w:szCs w:val="21"/>
        </w:rPr>
        <w:t xml:space="preserve">6、乙方确保车辆行驶的安全，承担由于乙方作业造成事故的一切责任和损失。</w:t>
      </w:r>
      <w:r/>
    </w:p>
    <w:p>
      <w:pPr>
        <w:pStyle w:val="954"/>
        <w:ind w:firstLine="420"/>
        <w:spacing w:line="360" w:lineRule="auto"/>
        <w:rPr>
          <w:rFonts w:hint="eastAsia"/>
          <w:sz w:val="21"/>
          <w:szCs w:val="21"/>
        </w:rPr>
      </w:pPr>
      <w:r>
        <w:rPr>
          <w:rFonts w:hint="eastAsia"/>
          <w:sz w:val="21"/>
          <w:szCs w:val="21"/>
        </w:rPr>
        <w:t xml:space="preserve">7、乙方确保建筑垃圾在规定的时间内清运出场，清运至符合政府相关政策的建筑垃圾处置单位。守法作业、文明作业、不得违反各级政府、部门制度的相关法规条例。</w:t>
      </w:r>
      <w:r/>
    </w:p>
    <w:p>
      <w:pPr>
        <w:pStyle w:val="954"/>
        <w:ind w:firstLine="422"/>
        <w:spacing w:line="360" w:lineRule="auto"/>
        <w:rPr>
          <w:rFonts w:hint="eastAsia"/>
          <w:b/>
          <w:bCs/>
          <w:sz w:val="21"/>
          <w:szCs w:val="21"/>
        </w:rPr>
      </w:pPr>
      <w:r>
        <w:rPr>
          <w:rFonts w:hint="eastAsia"/>
          <w:b/>
          <w:bCs/>
          <w:sz w:val="21"/>
          <w:szCs w:val="21"/>
        </w:rPr>
        <w:t xml:space="preserve">第六条 合同的变更和终止</w:t>
      </w:r>
      <w:r/>
    </w:p>
    <w:p>
      <w:pPr>
        <w:pStyle w:val="954"/>
        <w:ind w:firstLine="420"/>
        <w:spacing w:line="360" w:lineRule="auto"/>
        <w:rPr>
          <w:rFonts w:hint="eastAsia"/>
          <w:sz w:val="21"/>
          <w:szCs w:val="21"/>
        </w:rPr>
      </w:pPr>
      <w:r>
        <w:rPr>
          <w:rFonts w:hint="eastAsia"/>
          <w:sz w:val="21"/>
          <w:szCs w:val="21"/>
        </w:rPr>
        <w:t xml:space="preserve">1、本合同一经签订，甲乙双方不得擅自变更、中止或终止合同。</w:t>
      </w:r>
      <w:r/>
    </w:p>
    <w:p>
      <w:pPr>
        <w:pStyle w:val="954"/>
        <w:ind w:firstLine="420"/>
        <w:spacing w:line="360" w:lineRule="auto"/>
        <w:rPr>
          <w:rFonts w:hint="eastAsia"/>
          <w:sz w:val="21"/>
          <w:szCs w:val="21"/>
        </w:rPr>
      </w:pPr>
      <w:r>
        <w:rPr>
          <w:rFonts w:hint="eastAsia"/>
          <w:sz w:val="21"/>
          <w:szCs w:val="21"/>
        </w:rPr>
        <w:t xml:space="preserve">2、除发生法律规定的不能预见、不能避免并不能克服的客观情况外，甲乙双方不得放弃或拒绝履行合同。</w:t>
      </w:r>
      <w:r/>
    </w:p>
    <w:p>
      <w:pPr>
        <w:pStyle w:val="954"/>
        <w:ind w:firstLine="420"/>
        <w:spacing w:line="360" w:lineRule="auto"/>
        <w:rPr>
          <w:rFonts w:hint="eastAsia"/>
          <w:sz w:val="21"/>
          <w:szCs w:val="21"/>
        </w:rPr>
      </w:pPr>
      <w:r>
        <w:rPr>
          <w:rFonts w:hint="eastAsia"/>
          <w:sz w:val="21"/>
          <w:szCs w:val="21"/>
        </w:rPr>
        <w:t xml:space="preserve">3、乙方出现下列情形之一的，甲</w:t>
      </w:r>
      <w:r>
        <w:rPr>
          <w:rFonts w:hint="eastAsia"/>
          <w:sz w:val="21"/>
          <w:szCs w:val="21"/>
        </w:rPr>
        <w:t xml:space="preserve">方有权单方面解除合同：</w:t>
      </w:r>
      <w:r/>
    </w:p>
    <w:p>
      <w:pPr>
        <w:pStyle w:val="954"/>
        <w:ind w:firstLine="420"/>
        <w:spacing w:line="360" w:lineRule="auto"/>
        <w:rPr>
          <w:rFonts w:hint="eastAsia"/>
          <w:sz w:val="21"/>
          <w:szCs w:val="21"/>
        </w:rPr>
      </w:pPr>
      <w:r>
        <w:rPr>
          <w:rFonts w:hint="eastAsia"/>
          <w:sz w:val="21"/>
          <w:szCs w:val="21"/>
        </w:rPr>
        <w:t xml:space="preserve">（1）单次考核扣分到20分及以上；</w:t>
      </w:r>
      <w:r/>
    </w:p>
    <w:p>
      <w:pPr>
        <w:pStyle w:val="954"/>
        <w:ind w:firstLine="420"/>
        <w:spacing w:line="360" w:lineRule="auto"/>
        <w:rPr>
          <w:rFonts w:hint="eastAsia"/>
          <w:sz w:val="21"/>
          <w:szCs w:val="21"/>
        </w:rPr>
      </w:pPr>
      <w:r>
        <w:rPr>
          <w:rFonts w:hint="eastAsia"/>
          <w:sz w:val="21"/>
          <w:szCs w:val="21"/>
        </w:rPr>
        <w:t xml:space="preserve">（2）擅自全部或部分转让或委托第三人履行合同义务；</w:t>
      </w:r>
      <w:r/>
    </w:p>
    <w:p>
      <w:pPr>
        <w:pStyle w:val="954"/>
        <w:ind w:firstLine="420"/>
        <w:spacing w:line="360" w:lineRule="auto"/>
        <w:rPr>
          <w:rFonts w:hint="eastAsia"/>
          <w:sz w:val="21"/>
          <w:szCs w:val="21"/>
        </w:rPr>
      </w:pPr>
      <w:r>
        <w:rPr>
          <w:rFonts w:hint="eastAsia"/>
          <w:sz w:val="21"/>
          <w:szCs w:val="21"/>
        </w:rPr>
        <w:t xml:space="preserve">（3）逾期提供服务超过15天；</w:t>
      </w:r>
      <w:r/>
    </w:p>
    <w:p>
      <w:pPr>
        <w:pStyle w:val="954"/>
        <w:ind w:firstLine="420"/>
        <w:spacing w:line="360" w:lineRule="auto"/>
        <w:rPr>
          <w:rFonts w:hint="eastAsia"/>
          <w:sz w:val="21"/>
          <w:szCs w:val="21"/>
        </w:rPr>
      </w:pPr>
      <w:r>
        <w:rPr>
          <w:rFonts w:hint="eastAsia"/>
          <w:sz w:val="21"/>
          <w:szCs w:val="21"/>
        </w:rPr>
        <w:t xml:space="preserve">（4）随意倾倒建筑垃圾造成严重污染或重大财产损失；</w:t>
      </w:r>
      <w:r/>
    </w:p>
    <w:p>
      <w:pPr>
        <w:pStyle w:val="954"/>
        <w:ind w:firstLine="420"/>
        <w:spacing w:line="360" w:lineRule="auto"/>
        <w:rPr>
          <w:rFonts w:hint="eastAsia"/>
          <w:sz w:val="21"/>
          <w:szCs w:val="21"/>
        </w:rPr>
      </w:pPr>
      <w:r>
        <w:rPr>
          <w:rFonts w:hint="eastAsia"/>
          <w:sz w:val="21"/>
          <w:szCs w:val="21"/>
        </w:rPr>
        <w:t xml:space="preserve">（5）其他严重违反合约的行为。</w:t>
      </w:r>
      <w:r/>
    </w:p>
    <w:p>
      <w:pPr>
        <w:pStyle w:val="954"/>
        <w:ind w:firstLine="420"/>
        <w:spacing w:line="360" w:lineRule="auto"/>
        <w:rPr>
          <w:sz w:val="21"/>
          <w:szCs w:val="21"/>
        </w:rPr>
      </w:pPr>
      <w:r>
        <w:rPr>
          <w:rFonts w:hint="eastAsia"/>
          <w:sz w:val="21"/>
          <w:szCs w:val="21"/>
        </w:rPr>
        <w:t xml:space="preserve">合同解除后，乙方应立即退场，甲方有权扣除未付价款中相应的违约金及损失赔偿款，不足部分有权向乙方追偿。</w:t>
      </w:r>
      <w:r>
        <w:rPr>
          <w:sz w:val="21"/>
          <w:szCs w:val="21"/>
        </w:rPr>
      </w:r>
      <w:r/>
    </w:p>
    <w:p>
      <w:pPr>
        <w:pStyle w:val="954"/>
        <w:ind w:firstLine="422"/>
        <w:spacing w:line="360" w:lineRule="auto"/>
        <w:rPr>
          <w:rFonts w:hint="eastAsia"/>
          <w:b/>
          <w:bCs/>
          <w:sz w:val="21"/>
          <w:szCs w:val="21"/>
        </w:rPr>
      </w:pPr>
      <w:r>
        <w:rPr>
          <w:rFonts w:hint="eastAsia"/>
          <w:b/>
          <w:bCs/>
          <w:sz w:val="21"/>
          <w:szCs w:val="21"/>
        </w:rPr>
        <w:t xml:space="preserve">第七条 合同的转让</w:t>
      </w:r>
      <w:r/>
    </w:p>
    <w:p>
      <w:pPr>
        <w:pStyle w:val="954"/>
        <w:ind w:firstLine="420"/>
        <w:spacing w:line="360" w:lineRule="auto"/>
        <w:rPr>
          <w:rFonts w:hint="eastAsia"/>
          <w:sz w:val="21"/>
          <w:szCs w:val="21"/>
        </w:rPr>
      </w:pPr>
      <w:r>
        <w:rPr>
          <w:rFonts w:hint="eastAsia"/>
          <w:sz w:val="21"/>
          <w:szCs w:val="21"/>
        </w:rPr>
        <w:t xml:space="preserve">1、乙方不得擅自部分或全部转让其应履行的合同义务。</w:t>
      </w:r>
      <w:r/>
    </w:p>
    <w:p>
      <w:pPr>
        <w:pStyle w:val="954"/>
        <w:ind w:firstLine="420"/>
        <w:spacing w:line="360" w:lineRule="auto"/>
        <w:rPr>
          <w:rFonts w:hint="eastAsia"/>
          <w:sz w:val="21"/>
          <w:szCs w:val="21"/>
        </w:rPr>
      </w:pPr>
      <w:r>
        <w:rPr>
          <w:rFonts w:hint="eastAsia"/>
          <w:sz w:val="21"/>
          <w:szCs w:val="21"/>
        </w:rPr>
        <w:t xml:space="preserve">2、乙方在履行合同过程中，不得将服务项目委托给第三方。</w:t>
      </w:r>
      <w:r/>
    </w:p>
    <w:p>
      <w:pPr>
        <w:pStyle w:val="954"/>
        <w:ind w:firstLine="422"/>
        <w:spacing w:line="360" w:lineRule="auto"/>
        <w:rPr>
          <w:rFonts w:hint="eastAsia"/>
          <w:b/>
          <w:bCs/>
          <w:sz w:val="21"/>
          <w:szCs w:val="21"/>
        </w:rPr>
      </w:pPr>
      <w:r>
        <w:rPr>
          <w:rFonts w:hint="eastAsia"/>
          <w:b/>
          <w:bCs/>
          <w:sz w:val="21"/>
          <w:szCs w:val="21"/>
        </w:rPr>
        <w:t xml:space="preserve">第八条 违约责任</w:t>
      </w:r>
      <w:r/>
    </w:p>
    <w:p>
      <w:pPr>
        <w:pStyle w:val="954"/>
        <w:ind w:firstLine="420"/>
        <w:spacing w:line="360" w:lineRule="auto"/>
        <w:rPr>
          <w:rFonts w:hint="eastAsia"/>
          <w:sz w:val="21"/>
          <w:szCs w:val="21"/>
        </w:rPr>
      </w:pPr>
      <w:r>
        <w:rPr>
          <w:rFonts w:hint="eastAsia"/>
          <w:sz w:val="21"/>
          <w:szCs w:val="21"/>
        </w:rPr>
        <w:t xml:space="preserve">1、甲方违约责任</w:t>
      </w:r>
      <w:r/>
    </w:p>
    <w:p>
      <w:pPr>
        <w:pStyle w:val="954"/>
        <w:ind w:firstLine="420"/>
        <w:spacing w:line="360" w:lineRule="auto"/>
        <w:rPr>
          <w:rFonts w:hint="eastAsia"/>
          <w:sz w:val="21"/>
          <w:szCs w:val="21"/>
        </w:rPr>
      </w:pPr>
      <w:r>
        <w:rPr>
          <w:rFonts w:hint="eastAsia"/>
          <w:sz w:val="21"/>
          <w:szCs w:val="21"/>
        </w:rPr>
        <w:t xml:space="preserve">甲方违反合同规定，拒绝接收乙方提供的服务，应当承担乙方由此造成的损失。</w:t>
      </w:r>
      <w:r/>
    </w:p>
    <w:p>
      <w:pPr>
        <w:pStyle w:val="954"/>
        <w:ind w:firstLine="420"/>
        <w:spacing w:line="360" w:lineRule="auto"/>
        <w:rPr>
          <w:rFonts w:hint="eastAsia"/>
          <w:sz w:val="21"/>
          <w:szCs w:val="21"/>
        </w:rPr>
      </w:pPr>
      <w:r>
        <w:rPr>
          <w:rFonts w:hint="eastAsia"/>
          <w:sz w:val="21"/>
          <w:szCs w:val="21"/>
        </w:rPr>
        <w:t xml:space="preserve">2、乙方违约责任</w:t>
      </w:r>
      <w:r/>
    </w:p>
    <w:p>
      <w:pPr>
        <w:pStyle w:val="954"/>
        <w:ind w:firstLine="420"/>
        <w:spacing w:line="360" w:lineRule="auto"/>
        <w:rPr>
          <w:rFonts w:hint="eastAsia"/>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6411595</wp:posOffset>
                </wp:positionH>
                <wp:positionV relativeFrom="paragraph">
                  <wp:posOffset>694690</wp:posOffset>
                </wp:positionV>
                <wp:extent cx="635" cy="63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635" cy="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504.8pt;mso-position-horizontal:absolute;mso-position-vertical-relative:text;margin-top:54.7pt;mso-position-vertical:absolute;width:0.0pt;height:0.0pt;mso-wrap-distance-left:9.0pt;mso-wrap-distance-top:0.0pt;mso-wrap-distance-right:9.0pt;mso-wrap-distance-bottom:0.0pt;" stroked="f">
                <v:path textboxrect="0,0,0,0"/>
                <v:imagedata r:id="rId12" o:title=""/>
              </v:shape>
            </w:pict>
          </mc:Fallback>
        </mc:AlternateContent>
      </w:r>
      <w:r>
        <w:rPr>
          <w:rFonts w:hint="eastAsia"/>
          <w:sz w:val="21"/>
          <w:szCs w:val="21"/>
        </w:rPr>
        <w:t xml:space="preserve">（1）乙方不能提供服务（逾期超过十五天视为不能提供服务），或提供服务不合格而被甲方单次扣分达到20分及以上，应向甲方支付同总价款的5%的违约金，违约金不足以赔偿损失的甲方，有权要求乙方补足。</w:t>
      </w:r>
      <w:r/>
    </w:p>
    <w:p>
      <w:pPr>
        <w:pStyle w:val="954"/>
        <w:ind w:firstLine="420"/>
        <w:spacing w:line="360" w:lineRule="auto"/>
        <w:rPr>
          <w:rFonts w:hint="eastAsia"/>
          <w:sz w:val="21"/>
          <w:szCs w:val="21"/>
        </w:rPr>
      </w:pPr>
      <w:r>
        <w:rPr>
          <w:rFonts w:hint="eastAsia"/>
          <w:sz w:val="21"/>
          <w:szCs w:val="21"/>
        </w:rPr>
        <w:t xml:space="preserve">（2）乙方逾期提供服务的，应在逾期前与甲方协商，甲方仍要求的，乙方应立即提供服务并应按照本合同约定总价的每天万分之四的标准支付逾期提供服务的违约金，同时承担甲方因此遭致的损失费用。</w:t>
      </w:r>
      <w:r/>
    </w:p>
    <w:p>
      <w:pPr>
        <w:pStyle w:val="954"/>
        <w:ind w:firstLine="420"/>
        <w:spacing w:line="360" w:lineRule="auto"/>
        <w:rPr>
          <w:rFonts w:hint="eastAsia"/>
          <w:sz w:val="21"/>
          <w:szCs w:val="21"/>
        </w:rPr>
      </w:pPr>
      <w:r>
        <w:rPr>
          <w:rFonts w:hint="eastAsia"/>
          <w:sz w:val="21"/>
          <w:szCs w:val="21"/>
        </w:rPr>
        <w:t xml:space="preserve">（3）乙方履约过程中，如未按照标准、经甲方批准或要求、方案等一系</w:t>
      </w:r>
      <w:r>
        <w:rPr>
          <w:rFonts w:hint="eastAsia"/>
          <w:sz w:val="21"/>
          <w:szCs w:val="21"/>
        </w:rPr>
        <w:t xml:space="preserve">列关于建筑垃圾清运要求进行的，给甲方或任何第三方造成任何不利影响（包括但不仅限于名誉受损、罚款、处罚等）或任何损失（包括但不限于赔偿、罚款、处罚、律师费、诉讼费以及甲方为消除影响所支出的合理费用等）均由乙方承担，造成的经济损失均由乙方支付。乙方支付此项赔偿不影响甲方根据合同其他约定（包括考核分）追究其违约责任。</w:t>
      </w:r>
      <w:r/>
    </w:p>
    <w:p>
      <w:pPr>
        <w:pStyle w:val="954"/>
        <w:ind w:firstLine="420"/>
        <w:spacing w:line="360" w:lineRule="auto"/>
        <w:rPr>
          <w:rFonts w:hint="eastAsia"/>
          <w:sz w:val="21"/>
          <w:szCs w:val="21"/>
        </w:rPr>
      </w:pPr>
      <w:r>
        <w:rPr>
          <w:rFonts w:hint="eastAsia"/>
          <w:sz w:val="21"/>
          <w:szCs w:val="21"/>
        </w:rPr>
        <w:t xml:space="preserve">（4）在合同生效后，乙方要求终止服务的，应向甲方偿付合同总价款的20%作为违约金，违约金不足以补偿损失的，甲方有权要求乙方补足。</w:t>
      </w:r>
      <w:r/>
    </w:p>
    <w:p>
      <w:pPr>
        <w:pStyle w:val="954"/>
        <w:ind w:firstLine="420"/>
        <w:spacing w:line="360" w:lineRule="auto"/>
        <w:rPr>
          <w:rFonts w:hint="eastAsia"/>
          <w:sz w:val="21"/>
          <w:szCs w:val="21"/>
        </w:rPr>
      </w:pPr>
      <w:r>
        <w:rPr>
          <w:rFonts w:hint="eastAsia"/>
          <w:sz w:val="21"/>
          <w:szCs w:val="21"/>
        </w:rPr>
        <w:t xml:space="preserve">3、其他未尽事宜，以《民法典》和《政府采购法》等有关法律法规规定为准，无相关规定的，双方协商解决。</w:t>
      </w:r>
      <w:r/>
    </w:p>
    <w:p>
      <w:pPr>
        <w:pStyle w:val="954"/>
        <w:ind w:firstLine="422"/>
        <w:spacing w:line="360" w:lineRule="auto"/>
        <w:rPr>
          <w:rFonts w:hint="eastAsia"/>
          <w:b/>
          <w:bCs/>
          <w:sz w:val="21"/>
          <w:szCs w:val="21"/>
        </w:rPr>
      </w:pPr>
      <w:r>
        <w:rPr>
          <w:rFonts w:hint="eastAsia"/>
          <w:b/>
          <w:bCs/>
          <w:sz w:val="21"/>
          <w:szCs w:val="21"/>
        </w:rPr>
        <w:t xml:space="preserve">第九条 不可抗力</w:t>
      </w:r>
      <w:r/>
    </w:p>
    <w:p>
      <w:pPr>
        <w:pStyle w:val="954"/>
        <w:ind w:firstLine="420"/>
        <w:spacing w:line="360" w:lineRule="auto"/>
        <w:rPr>
          <w:rFonts w:hint="eastAsia"/>
          <w:sz w:val="21"/>
          <w:szCs w:val="21"/>
        </w:rPr>
      </w:pPr>
      <w:r>
        <w:rPr>
          <w:rFonts w:hint="eastAsia"/>
          <w:sz w:val="21"/>
          <w:szCs w:val="21"/>
        </w:rPr>
        <w:t xml:space="preserve">甲、乙方中任何一方，因不可抗力不能按时或完全履行合同的，应24小时内通知对方，并在10个工作日内提供相应证明。未履行的部分是否继续履行、如何履行等问题，可由双方初步协商，并向主管部门和政府采购管理部门报告。确定为不可抗力原因造成的损失，免予承担责任。</w:t>
      </w:r>
      <w:r/>
    </w:p>
    <w:p>
      <w:pPr>
        <w:pStyle w:val="954"/>
        <w:ind w:firstLine="420"/>
        <w:spacing w:line="360" w:lineRule="auto"/>
        <w:rPr>
          <w:rFonts w:hint="eastAsia"/>
          <w:sz w:val="21"/>
          <w:szCs w:val="21"/>
        </w:rPr>
      </w:pPr>
      <w:r>
        <w:rPr>
          <w:rFonts w:hint="eastAsia"/>
          <w:sz w:val="21"/>
          <w:szCs w:val="21"/>
        </w:rPr>
        <w:t xml:space="preserve">因合同一方迟延履行后发生不可抗力的，不能免除责任。</w:t>
      </w:r>
      <w:r/>
    </w:p>
    <w:p>
      <w:pPr>
        <w:pStyle w:val="954"/>
        <w:ind w:firstLine="422"/>
        <w:spacing w:line="360" w:lineRule="auto"/>
        <w:rPr>
          <w:rFonts w:hint="eastAsia"/>
          <w:b/>
          <w:bCs/>
          <w:sz w:val="21"/>
          <w:szCs w:val="21"/>
        </w:rPr>
      </w:pPr>
      <w:r>
        <w:rPr>
          <w:rFonts w:hint="eastAsia"/>
          <w:b/>
          <w:bCs/>
          <w:sz w:val="21"/>
          <w:szCs w:val="21"/>
        </w:rPr>
        <w:t xml:space="preserve">第十条 争议的解决</w:t>
      </w:r>
      <w:r/>
    </w:p>
    <w:p>
      <w:pPr>
        <w:pStyle w:val="954"/>
        <w:ind w:firstLine="420"/>
        <w:spacing w:line="360" w:lineRule="auto"/>
        <w:rPr>
          <w:rFonts w:hint="eastAsia"/>
          <w:sz w:val="21"/>
          <w:szCs w:val="21"/>
        </w:rPr>
      </w:pPr>
      <w:r>
        <w:rPr>
          <w:rFonts w:hint="eastAsia"/>
          <w:sz w:val="21"/>
          <w:szCs w:val="21"/>
        </w:rPr>
        <w:t xml:space="preserve">1、因履行本合同引起的或与本合同有关的争议，甲、乙双方应通过友好协商解决。</w:t>
      </w:r>
      <w:r/>
    </w:p>
    <w:p>
      <w:pPr>
        <w:pStyle w:val="954"/>
        <w:ind w:firstLine="420"/>
        <w:spacing w:line="360" w:lineRule="auto"/>
        <w:rPr>
          <w:rFonts w:hint="eastAsia"/>
          <w:sz w:val="21"/>
          <w:szCs w:val="21"/>
        </w:rPr>
      </w:pPr>
      <w:r>
        <w:rPr>
          <w:rFonts w:hint="eastAsia"/>
          <w:sz w:val="21"/>
          <w:szCs w:val="21"/>
        </w:rPr>
        <w:t xml:space="preserve">2、经协商不能解决的争议，双方可采取以下第（1）种方式解决争议</w:t>
      </w:r>
      <w:r>
        <w:rPr>
          <w:rFonts w:hint="eastAsia"/>
          <w:sz w:val="21"/>
          <w:szCs w:val="21"/>
        </w:rPr>
        <w:t xml:space="preserve">：</w:t>
      </w:r>
      <w:r/>
    </w:p>
    <w:p>
      <w:pPr>
        <w:pStyle w:val="954"/>
        <w:ind w:firstLine="420"/>
        <w:spacing w:line="360" w:lineRule="auto"/>
        <w:rPr>
          <w:rFonts w:hint="eastAsia"/>
          <w:sz w:val="21"/>
          <w:szCs w:val="21"/>
        </w:rPr>
      </w:pPr>
      <w:r>
        <w:rPr>
          <w:rFonts w:hint="eastAsia"/>
          <w:sz w:val="21"/>
          <w:szCs w:val="21"/>
        </w:rPr>
        <w:t xml:space="preserve">（1）向甲方所在地有管辖权的人民法院提起诉讼；</w:t>
      </w:r>
      <w:r/>
    </w:p>
    <w:p>
      <w:pPr>
        <w:pStyle w:val="954"/>
        <w:ind w:firstLine="420"/>
        <w:spacing w:line="360" w:lineRule="auto"/>
        <w:rPr>
          <w:rFonts w:hint="eastAsia"/>
          <w:sz w:val="21"/>
          <w:szCs w:val="21"/>
        </w:rPr>
      </w:pPr>
      <w:r>
        <w:rPr>
          <w:rFonts w:hint="eastAsia"/>
          <w:sz w:val="21"/>
          <w:szCs w:val="21"/>
        </w:rPr>
        <w:t xml:space="preserve">（2）向甲方所在地仲裁委员会按其仲裁规则申请仲裁。</w:t>
      </w:r>
      <w:r/>
    </w:p>
    <w:p>
      <w:pPr>
        <w:pStyle w:val="954"/>
        <w:ind w:firstLine="420"/>
        <w:spacing w:line="360" w:lineRule="auto"/>
        <w:rPr>
          <w:rFonts w:hint="eastAsia"/>
          <w:sz w:val="21"/>
          <w:szCs w:val="21"/>
        </w:rPr>
      </w:pPr>
      <w:r>
        <w:rPr>
          <w:rFonts w:hint="eastAsia"/>
          <w:sz w:val="21"/>
          <w:szCs w:val="21"/>
        </w:rPr>
        <w:t xml:space="preserve">3、在法院审理和仲裁期间，除有争议部分外，本合同其他部分可以履行的仍应按合同条款继续履行。</w:t>
      </w:r>
      <w:r/>
    </w:p>
    <w:p>
      <w:pPr>
        <w:pStyle w:val="954"/>
        <w:ind w:firstLine="420"/>
        <w:spacing w:line="360" w:lineRule="auto"/>
        <w:rPr>
          <w:rFonts w:hint="eastAsia"/>
          <w:sz w:val="21"/>
          <w:szCs w:val="21"/>
        </w:rPr>
      </w:pPr>
      <w:r>
        <w:rPr>
          <w:rFonts w:hint="eastAsia"/>
          <w:sz w:val="21"/>
          <w:szCs w:val="21"/>
        </w:rPr>
        <w:t xml:space="preserve">4、因解决争议产生的律师费、保全费、鉴定费、差旅费等实现权利的费用，由违约方全额承担。</w:t>
      </w:r>
      <w:r/>
    </w:p>
    <w:p>
      <w:pPr>
        <w:pStyle w:val="954"/>
        <w:ind w:firstLine="422"/>
        <w:spacing w:line="360" w:lineRule="auto"/>
        <w:rPr>
          <w:rFonts w:hint="eastAsia"/>
          <w:b/>
          <w:bCs/>
          <w:sz w:val="21"/>
          <w:szCs w:val="21"/>
        </w:rPr>
      </w:pPr>
      <w:r>
        <w:rPr>
          <w:rFonts w:hint="eastAsia"/>
          <w:b/>
          <w:bCs/>
          <w:sz w:val="21"/>
          <w:szCs w:val="21"/>
        </w:rPr>
        <w:t xml:space="preserve">第十一条 合同生效及其他</w:t>
      </w:r>
      <w:r/>
    </w:p>
    <w:p>
      <w:pPr>
        <w:pStyle w:val="954"/>
        <w:ind w:firstLine="420"/>
        <w:spacing w:line="360" w:lineRule="auto"/>
        <w:rPr>
          <w:rFonts w:hint="eastAsia"/>
          <w:sz w:val="21"/>
          <w:szCs w:val="21"/>
        </w:rPr>
      </w:pPr>
      <w:r>
        <w:rPr>
          <w:rFonts w:hint="eastAsia"/>
          <w:sz w:val="21"/>
          <w:szCs w:val="21"/>
        </w:rPr>
        <w:t xml:space="preserve">1、经甲乙双方授权代表签字并加盖公章后即生效。</w:t>
      </w:r>
      <w:r/>
    </w:p>
    <w:p>
      <w:pPr>
        <w:pStyle w:val="954"/>
        <w:ind w:firstLine="420"/>
        <w:spacing w:line="360" w:lineRule="auto"/>
        <w:rPr>
          <w:rFonts w:hint="eastAsia"/>
          <w:sz w:val="21"/>
          <w:szCs w:val="21"/>
        </w:rPr>
      </w:pPr>
      <w:r>
        <w:rPr>
          <w:rFonts w:hint="eastAsia"/>
          <w:sz w:val="21"/>
          <w:szCs w:val="21"/>
        </w:rPr>
        <w:t xml:space="preserve">2、本合同一式五份，甲乙双方各执二份，代理机构执一份存档。</w:t>
      </w:r>
      <w:r/>
    </w:p>
    <w:p>
      <w:pPr>
        <w:pStyle w:val="954"/>
        <w:ind w:firstLine="420"/>
        <w:spacing w:line="360" w:lineRule="auto"/>
        <w:rPr>
          <w:rFonts w:hint="eastAsia"/>
          <w:sz w:val="21"/>
          <w:szCs w:val="21"/>
        </w:rPr>
      </w:pPr>
      <w:r>
        <w:rPr>
          <w:rFonts w:hint="eastAsia"/>
          <w:sz w:val="21"/>
          <w:szCs w:val="21"/>
        </w:rPr>
        <w:t xml:space="preserve">3、未尽事宜，双方可签订补充协议，补充协议是本合同不可分割的组成部分，具有本合同同等的法律效力。</w:t>
      </w:r>
      <w:r/>
    </w:p>
    <w:p>
      <w:pPr>
        <w:pStyle w:val="954"/>
        <w:ind w:firstLine="420"/>
        <w:spacing w:line="360" w:lineRule="auto"/>
        <w:rPr>
          <w:rFonts w:hint="eastAsia"/>
          <w:sz w:val="21"/>
          <w:szCs w:val="21"/>
        </w:rPr>
      </w:pPr>
      <w:r>
        <w:rPr>
          <w:rFonts w:hint="eastAsia"/>
          <w:sz w:val="21"/>
          <w:szCs w:val="21"/>
        </w:rPr>
        <w:t xml:space="preserve">4、本合同未尽事宜应按《中华人民共和国民法典》、《中华人民共和国政府采购法》以及其相关法律、法规之规定解释。</w:t>
      </w:r>
      <w:r/>
    </w:p>
    <w:p>
      <w:pPr>
        <w:pStyle w:val="954"/>
        <w:ind w:firstLine="420"/>
        <w:spacing w:line="360" w:lineRule="auto"/>
        <w:rPr>
          <w:sz w:val="21"/>
          <w:szCs w:val="21"/>
        </w:rPr>
      </w:pPr>
      <w:r>
        <w:rPr>
          <w:sz w:val="21"/>
          <w:szCs w:val="21"/>
        </w:rPr>
      </w:r>
      <w:r/>
    </w:p>
    <w:p>
      <w:pPr>
        <w:pStyle w:val="954"/>
        <w:ind w:firstLine="420"/>
        <w:spacing w:line="360" w:lineRule="auto"/>
        <w:rPr>
          <w:rFonts w:hint="eastAsia"/>
          <w:sz w:val="21"/>
          <w:szCs w:val="21"/>
        </w:rPr>
      </w:pPr>
      <w:r>
        <w:rPr>
          <w:rFonts w:hint="eastAsia"/>
          <w:sz w:val="21"/>
          <w:szCs w:val="21"/>
        </w:rPr>
        <w:t xml:space="preserve">甲方（采购人）：（盖章）         </w:t>
        <w:tab/>
        <w:t xml:space="preserve">乙方（供应商）：（盖章）</w:t>
      </w:r>
      <w:r/>
    </w:p>
    <w:p>
      <w:pPr>
        <w:pStyle w:val="954"/>
        <w:ind w:firstLine="420"/>
        <w:spacing w:line="360" w:lineRule="auto"/>
        <w:rPr>
          <w:rFonts w:hint="eastAsia"/>
          <w:sz w:val="21"/>
          <w:szCs w:val="21"/>
        </w:rPr>
      </w:pPr>
      <w:r>
        <w:rPr>
          <w:rFonts w:hint="eastAsia"/>
          <w:sz w:val="21"/>
          <w:szCs w:val="21"/>
        </w:rPr>
        <w:t xml:space="preserve">代表人：</w:t>
        <w:tab/>
        <w:t xml:space="preserve">                         代表人：</w:t>
      </w:r>
      <w:r/>
    </w:p>
    <w:p>
      <w:pPr>
        <w:pStyle w:val="954"/>
        <w:ind w:firstLine="420"/>
        <w:spacing w:line="360" w:lineRule="auto"/>
        <w:rPr>
          <w:rFonts w:hint="eastAsia"/>
          <w:sz w:val="21"/>
          <w:szCs w:val="21"/>
        </w:rPr>
      </w:pPr>
      <w:r>
        <w:rPr>
          <w:rFonts w:hint="eastAsia"/>
          <w:sz w:val="21"/>
          <w:szCs w:val="21"/>
        </w:rPr>
        <w:t xml:space="preserve">日期： 年 月 日                    日期：  年  月  日</w:t>
      </w:r>
      <w:r/>
    </w:p>
    <w:p>
      <w:pPr>
        <w:pStyle w:val="954"/>
        <w:spacing w:line="360" w:lineRule="auto"/>
        <w:rPr>
          <w:rFonts w:hint="eastAsia"/>
          <w:b/>
          <w:bCs/>
          <w:sz w:val="21"/>
          <w:szCs w:val="21"/>
        </w:rPr>
      </w:pPr>
      <w:r>
        <w:rPr>
          <w:rFonts w:hint="eastAsia"/>
          <w:b/>
          <w:bCs/>
          <w:sz w:val="21"/>
          <w:szCs w:val="21"/>
        </w:rPr>
        <w:br w:type="page" w:clear="all"/>
        <w:t xml:space="preserve">附件：考核表</w:t>
      </w:r>
      <w:r/>
    </w:p>
    <w:tbl>
      <w:tblPr>
        <w:tblW w:w="9822" w:type="dxa"/>
        <w:tblInd w:w="0" w:type="dxa"/>
        <w:tblLayout w:type="fixed"/>
        <w:tblCellMar>
          <w:left w:w="108" w:type="dxa"/>
          <w:top w:w="0" w:type="dxa"/>
          <w:right w:w="108" w:type="dxa"/>
          <w:bottom w:w="0" w:type="dxa"/>
        </w:tblCellMar>
        <w:tblLook w:val="04A0" w:firstRow="1" w:lastRow="0" w:firstColumn="1" w:lastColumn="0" w:noHBand="0" w:noVBand="1"/>
      </w:tblPr>
      <w:tblGrid>
        <w:gridCol w:w="534"/>
        <w:gridCol w:w="535"/>
        <w:gridCol w:w="4095"/>
        <w:gridCol w:w="1060"/>
        <w:gridCol w:w="2106"/>
        <w:gridCol w:w="427"/>
        <w:gridCol w:w="427"/>
        <w:gridCol w:w="638"/>
      </w:tblGrid>
      <w:tr>
        <w:trPr>
          <w:trHeight w:val="900"/>
        </w:trPr>
        <w:tc>
          <w:tcPr>
            <w:gridSpan w:val="8"/>
            <w:tcBorders>
              <w:top w:val="single" w:color="000000" w:sz="8" w:space="0"/>
              <w:left w:val="single" w:color="000000" w:sz="8" w:space="0"/>
              <w:bottom w:val="single" w:color="000000" w:sz="4" w:space="0"/>
              <w:right w:val="single" w:color="000000" w:sz="4" w:space="0"/>
            </w:tcBorders>
            <w:tcW w:w="9822" w:type="dxa"/>
            <w:vAlign w:val="center"/>
            <w:textDirection w:val="lrTb"/>
            <w:noWrap w:val="false"/>
          </w:tcPr>
          <w:p>
            <w:pPr>
              <w:pStyle w:val="954"/>
              <w:ind w:firstLine="420"/>
              <w:jc w:val="center"/>
              <w:spacing w:line="360" w:lineRule="auto"/>
              <w:widowControl/>
              <w:rPr>
                <w:rFonts w:hint="eastAsia"/>
                <w:sz w:val="21"/>
                <w:szCs w:val="21"/>
              </w:rPr>
            </w:pPr>
            <w:r>
              <w:rPr>
                <w:rFonts w:hint="eastAsia"/>
                <w:sz w:val="21"/>
                <w:szCs w:val="21"/>
              </w:rPr>
              <w:t xml:space="preserve">建筑垃圾收运考核表</w:t>
              <w:br w:type="textWrapping" w:clear="all"/>
              <w:t xml:space="preserve">考核时间：</w:t>
            </w:r>
            <w:r>
              <w:rPr>
                <w:rFonts w:hint="eastAsia"/>
                <w:sz w:val="21"/>
                <w:szCs w:val="21"/>
                <w:u w:val="single"/>
              </w:rPr>
              <w:t xml:space="preserve">        </w:t>
            </w:r>
            <w:r>
              <w:rPr>
                <w:rFonts w:hint="eastAsia"/>
                <w:sz w:val="21"/>
                <w:szCs w:val="21"/>
              </w:rPr>
              <w:t xml:space="preserve">年</w:t>
            </w:r>
            <w:r>
              <w:rPr>
                <w:rFonts w:hint="eastAsia"/>
                <w:sz w:val="21"/>
                <w:szCs w:val="21"/>
                <w:u w:val="single"/>
              </w:rPr>
              <w:t xml:space="preserve">     </w:t>
            </w:r>
            <w:r>
              <w:rPr>
                <w:rFonts w:hint="eastAsia"/>
                <w:sz w:val="21"/>
                <w:szCs w:val="21"/>
              </w:rPr>
              <w:t xml:space="preserve">月</w:t>
            </w:r>
            <w:r>
              <w:rPr>
                <w:rFonts w:hint="eastAsia"/>
                <w:sz w:val="21"/>
                <w:szCs w:val="21"/>
                <w:u w:val="single"/>
              </w:rPr>
              <w:t xml:space="preserve">     </w:t>
            </w:r>
            <w:r>
              <w:rPr>
                <w:rFonts w:hint="eastAsia"/>
                <w:sz w:val="21"/>
                <w:szCs w:val="21"/>
              </w:rPr>
              <w:t xml:space="preserve">日</w:t>
            </w:r>
            <w:r/>
          </w:p>
        </w:tc>
      </w:tr>
      <w:tr>
        <w:trPr>
          <w:trHeight w:val="620"/>
        </w:trPr>
        <w:tc>
          <w:tcPr>
            <w:tcBorders>
              <w:top w:val="single" w:color="000000" w:sz="4" w:space="0"/>
              <w:left w:val="single" w:color="000000" w:sz="8" w:space="0"/>
              <w:bottom w:val="single" w:color="000000" w:sz="4" w:space="0"/>
              <w:right w:val="single" w:color="000000" w:sz="4" w:space="0"/>
            </w:tcBorders>
            <w:tcW w:w="534" w:type="dxa"/>
            <w:vAlign w:val="center"/>
            <w:textDirection w:val="lrTb"/>
            <w:noWrap/>
          </w:tcPr>
          <w:p>
            <w:pPr>
              <w:pStyle w:val="954"/>
              <w:jc w:val="center"/>
              <w:spacing w:line="360" w:lineRule="auto"/>
              <w:widowControl/>
              <w:rPr>
                <w:rFonts w:hint="eastAsia"/>
                <w:b/>
                <w:bCs/>
                <w:sz w:val="21"/>
                <w:szCs w:val="21"/>
              </w:rPr>
            </w:pPr>
            <w:r>
              <w:rPr>
                <w:rFonts w:hint="eastAsia"/>
                <w:b/>
                <w:bCs/>
                <w:sz w:val="21"/>
                <w:szCs w:val="21"/>
              </w:rPr>
              <w:t xml:space="preserve">项目</w:t>
            </w:r>
            <w:r/>
          </w:p>
        </w:tc>
        <w:tc>
          <w:tcPr>
            <w:tcBorders>
              <w:top w:val="single" w:color="000000" w:sz="4" w:space="0"/>
              <w:left w:val="none" w:color="000000" w:sz="4" w:space="0"/>
              <w:bottom w:val="single" w:color="000000" w:sz="4" w:space="0"/>
              <w:right w:val="single" w:color="000000" w:sz="4" w:space="0"/>
            </w:tcBorders>
            <w:tcW w:w="535" w:type="dxa"/>
            <w:vAlign w:val="center"/>
            <w:textDirection w:val="lrTb"/>
            <w:noWrap w:val="false"/>
          </w:tcPr>
          <w:p>
            <w:pPr>
              <w:pStyle w:val="954"/>
              <w:jc w:val="center"/>
              <w:spacing w:line="360" w:lineRule="auto"/>
              <w:widowControl/>
              <w:rPr>
                <w:rFonts w:hint="eastAsia"/>
                <w:b/>
                <w:bCs/>
                <w:sz w:val="21"/>
                <w:szCs w:val="21"/>
              </w:rPr>
            </w:pPr>
            <w:r>
              <w:rPr>
                <w:rFonts w:hint="eastAsia"/>
                <w:b/>
                <w:bCs/>
                <w:sz w:val="21"/>
                <w:szCs w:val="21"/>
              </w:rPr>
              <w:t xml:space="preserve">序</w:t>
              <w:br w:type="textWrapping" w:clear="all"/>
              <w:t xml:space="preserve">号</w:t>
            </w:r>
            <w:r/>
          </w:p>
        </w:tc>
        <w:tc>
          <w:tcPr>
            <w:tcBorders>
              <w:top w:val="single" w:color="000000" w:sz="4" w:space="0"/>
              <w:left w:val="none" w:color="000000" w:sz="4" w:space="0"/>
              <w:bottom w:val="single" w:color="000000" w:sz="4" w:space="0"/>
              <w:right w:val="single" w:color="000000" w:sz="4" w:space="0"/>
            </w:tcBorders>
            <w:tcW w:w="4095" w:type="dxa"/>
            <w:vAlign w:val="center"/>
            <w:textDirection w:val="lrTb"/>
            <w:noWrap/>
          </w:tcPr>
          <w:p>
            <w:pPr>
              <w:pStyle w:val="954"/>
              <w:ind w:firstLine="422"/>
              <w:jc w:val="center"/>
              <w:spacing w:line="360" w:lineRule="auto"/>
              <w:widowControl/>
              <w:rPr>
                <w:rFonts w:hint="eastAsia"/>
                <w:b/>
                <w:bCs/>
                <w:sz w:val="21"/>
                <w:szCs w:val="21"/>
              </w:rPr>
            </w:pPr>
            <w:r>
              <w:rPr>
                <w:rFonts w:hint="eastAsia"/>
                <w:b/>
                <w:bCs/>
                <w:sz w:val="21"/>
                <w:szCs w:val="21"/>
              </w:rPr>
              <w:t xml:space="preserve">考核内容</w:t>
            </w:r>
            <w:r/>
          </w:p>
        </w:tc>
        <w:tc>
          <w:tcPr>
            <w:tcBorders>
              <w:top w:val="single" w:color="000000" w:sz="4" w:space="0"/>
              <w:left w:val="none" w:color="000000" w:sz="4" w:space="0"/>
              <w:bottom w:val="single" w:color="000000" w:sz="4" w:space="0"/>
              <w:right w:val="single" w:color="000000" w:sz="4" w:space="0"/>
            </w:tcBorders>
            <w:tcW w:w="1060" w:type="dxa"/>
            <w:vAlign w:val="center"/>
            <w:textDirection w:val="lrTb"/>
            <w:noWrap/>
          </w:tcPr>
          <w:p>
            <w:pPr>
              <w:pStyle w:val="954"/>
              <w:jc w:val="center"/>
              <w:spacing w:line="360" w:lineRule="auto"/>
              <w:widowControl/>
              <w:rPr>
                <w:rFonts w:hint="eastAsia"/>
                <w:b/>
                <w:bCs/>
                <w:sz w:val="21"/>
                <w:szCs w:val="21"/>
              </w:rPr>
            </w:pPr>
            <w:r>
              <w:rPr>
                <w:rFonts w:hint="eastAsia"/>
                <w:b/>
                <w:bCs/>
                <w:sz w:val="21"/>
                <w:szCs w:val="21"/>
              </w:rPr>
              <w:t xml:space="preserve">考核方式</w:t>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tcPr>
          <w:p>
            <w:pPr>
              <w:pStyle w:val="954"/>
              <w:ind w:firstLine="422"/>
              <w:jc w:val="center"/>
              <w:spacing w:line="360" w:lineRule="auto"/>
              <w:widowControl/>
              <w:rPr>
                <w:rFonts w:hint="eastAsia"/>
                <w:b/>
                <w:bCs/>
                <w:sz w:val="21"/>
                <w:szCs w:val="21"/>
              </w:rPr>
            </w:pPr>
            <w:r>
              <w:rPr>
                <w:rFonts w:hint="eastAsia"/>
                <w:b/>
                <w:bCs/>
                <w:sz w:val="21"/>
                <w:szCs w:val="21"/>
              </w:rPr>
              <w:t xml:space="preserve">考核标准</w:t>
            </w:r>
            <w:r/>
          </w:p>
        </w:tc>
        <w:tc>
          <w:tcPr>
            <w:tcBorders>
              <w:top w:val="single" w:color="000000" w:sz="4" w:space="0"/>
              <w:left w:val="none" w:color="000000" w:sz="4" w:space="0"/>
              <w:bottom w:val="single" w:color="000000" w:sz="4" w:space="0"/>
              <w:right w:val="single" w:color="000000" w:sz="4" w:space="0"/>
            </w:tcBorders>
            <w:tcW w:w="427" w:type="dxa"/>
            <w:vAlign w:val="center"/>
            <w:textDirection w:val="lrTb"/>
            <w:noWrap w:val="false"/>
          </w:tcPr>
          <w:p>
            <w:pPr>
              <w:pStyle w:val="954"/>
              <w:jc w:val="center"/>
              <w:spacing w:line="360" w:lineRule="auto"/>
              <w:widowControl/>
              <w:rPr>
                <w:rFonts w:hint="eastAsia"/>
                <w:b/>
                <w:bCs/>
                <w:sz w:val="21"/>
                <w:szCs w:val="21"/>
              </w:rPr>
            </w:pPr>
            <w:r>
              <w:rPr>
                <w:rFonts w:hint="eastAsia"/>
                <w:b/>
                <w:bCs/>
                <w:sz w:val="21"/>
                <w:szCs w:val="21"/>
              </w:rPr>
              <w:t xml:space="preserve">分</w:t>
              <w:br w:type="textWrapping" w:clear="all"/>
              <w:t xml:space="preserve">值</w:t>
            </w:r>
            <w:r/>
          </w:p>
        </w:tc>
        <w:tc>
          <w:tcPr>
            <w:tcBorders>
              <w:top w:val="single" w:color="000000" w:sz="4" w:space="0"/>
              <w:left w:val="none" w:color="000000" w:sz="4" w:space="0"/>
              <w:bottom w:val="single" w:color="000000" w:sz="4" w:space="0"/>
              <w:right w:val="single" w:color="000000" w:sz="4" w:space="0"/>
            </w:tcBorders>
            <w:tcW w:w="427" w:type="dxa"/>
            <w:vAlign w:val="center"/>
            <w:textDirection w:val="lrTb"/>
            <w:noWrap w:val="false"/>
          </w:tcPr>
          <w:p>
            <w:pPr>
              <w:pStyle w:val="954"/>
              <w:jc w:val="center"/>
              <w:spacing w:line="360" w:lineRule="auto"/>
              <w:widowControl/>
              <w:rPr>
                <w:rFonts w:hint="eastAsia"/>
                <w:b/>
                <w:bCs/>
                <w:sz w:val="21"/>
                <w:szCs w:val="21"/>
              </w:rPr>
            </w:pPr>
            <w:r>
              <w:rPr>
                <w:rFonts w:hint="eastAsia"/>
                <w:b/>
                <w:bCs/>
                <w:sz w:val="21"/>
                <w:szCs w:val="21"/>
              </w:rPr>
              <w:t xml:space="preserve">扣</w:t>
              <w:br w:type="textWrapping" w:clear="all"/>
              <w:t xml:space="preserve">分</w:t>
            </w:r>
            <w:r/>
          </w:p>
        </w:tc>
        <w:tc>
          <w:tcPr>
            <w:tcBorders>
              <w:top w:val="single" w:color="000000" w:sz="4" w:space="0"/>
              <w:left w:val="none" w:color="000000" w:sz="4" w:space="0"/>
              <w:bottom w:val="single" w:color="000000" w:sz="4" w:space="0"/>
              <w:right w:val="single" w:color="000000" w:sz="8" w:space="0"/>
            </w:tcBorders>
            <w:tcW w:w="638" w:type="dxa"/>
            <w:vAlign w:val="center"/>
            <w:textDirection w:val="lrTb"/>
            <w:noWrap/>
          </w:tcPr>
          <w:p>
            <w:pPr>
              <w:pStyle w:val="954"/>
              <w:jc w:val="center"/>
              <w:spacing w:line="360" w:lineRule="auto"/>
              <w:widowControl/>
              <w:rPr>
                <w:rFonts w:hint="eastAsia"/>
                <w:b/>
                <w:bCs/>
                <w:sz w:val="21"/>
                <w:szCs w:val="21"/>
              </w:rPr>
            </w:pPr>
            <w:r>
              <w:rPr>
                <w:rFonts w:hint="eastAsia"/>
                <w:b/>
                <w:bCs/>
                <w:sz w:val="21"/>
                <w:szCs w:val="21"/>
              </w:rPr>
              <w:t xml:space="preserve">备注</w:t>
            </w:r>
            <w:r/>
          </w:p>
        </w:tc>
      </w:tr>
      <w:tr>
        <w:trPr>
          <w:cantSplit/>
          <w:trHeight w:val="440"/>
        </w:trPr>
        <w:tc>
          <w:tcPr>
            <w:tcBorders>
              <w:top w:val="none" w:color="000000" w:sz="4" w:space="0"/>
              <w:left w:val="single" w:color="000000" w:sz="8" w:space="0"/>
              <w:bottom w:val="single" w:color="000000" w:sz="4" w:space="0"/>
              <w:right w:val="single" w:color="000000" w:sz="4" w:space="0"/>
            </w:tcBorders>
            <w:tcW w:w="534" w:type="dxa"/>
            <w:vAlign w:val="center"/>
            <w:vMerge w:val="restart"/>
            <w:textDirection w:val="lrTb"/>
            <w:noWrap w:val="false"/>
          </w:tcPr>
          <w:p>
            <w:pPr>
              <w:pStyle w:val="954"/>
              <w:jc w:val="center"/>
              <w:spacing w:line="360" w:lineRule="auto"/>
              <w:widowControl/>
              <w:rPr>
                <w:rFonts w:hint="eastAsia"/>
                <w:sz w:val="21"/>
                <w:szCs w:val="21"/>
              </w:rPr>
            </w:pPr>
            <w:r>
              <w:rPr>
                <w:rFonts w:hint="eastAsia"/>
                <w:sz w:val="21"/>
                <w:szCs w:val="21"/>
              </w:rPr>
              <w:t xml:space="preserve">内部</w:t>
              <w:br w:type="textWrapping" w:clear="all"/>
              <w:t xml:space="preserve">行政</w:t>
              <w:br w:type="textWrapping" w:clear="all"/>
            </w:r>
            <w:r>
              <w:rPr>
                <w:rFonts w:hint="eastAsia"/>
                <w:sz w:val="21"/>
                <w:szCs w:val="21"/>
              </w:rPr>
              <w:t xml:space="preserve">管理</w:t>
            </w:r>
            <w:r/>
          </w:p>
        </w:tc>
        <w:tc>
          <w:tcPr>
            <w:tcBorders>
              <w:top w:val="single" w:color="000000" w:sz="4" w:space="0"/>
              <w:left w:val="none" w:color="000000" w:sz="4" w:space="0"/>
              <w:bottom w:val="single" w:color="000000" w:sz="4" w:space="0"/>
              <w:right w:val="single" w:color="000000" w:sz="4" w:space="0"/>
            </w:tcBorders>
            <w:tcW w:w="535" w:type="dxa"/>
            <w:vAlign w:val="center"/>
            <w:textDirection w:val="lrTb"/>
            <w:noWrap/>
          </w:tcPr>
          <w:p>
            <w:pPr>
              <w:pStyle w:val="954"/>
              <w:ind w:firstLine="420"/>
              <w:jc w:val="center"/>
              <w:spacing w:line="360" w:lineRule="auto"/>
              <w:widowControl/>
              <w:rPr>
                <w:rFonts w:hint="eastAsia"/>
                <w:sz w:val="21"/>
                <w:szCs w:val="21"/>
              </w:rPr>
            </w:pPr>
            <w:r>
              <w:rPr>
                <w:rFonts w:hint="eastAsia"/>
                <w:sz w:val="21"/>
                <w:szCs w:val="21"/>
              </w:rPr>
              <w:t xml:space="preserve">1</w:t>
            </w:r>
            <w:r/>
          </w:p>
        </w:tc>
        <w:tc>
          <w:tcPr>
            <w:tcBorders>
              <w:top w:val="single" w:color="000000" w:sz="4" w:space="0"/>
              <w:left w:val="none" w:color="000000" w:sz="4" w:space="0"/>
              <w:bottom w:val="single" w:color="000000" w:sz="4" w:space="0"/>
              <w:right w:val="single" w:color="000000" w:sz="4" w:space="0"/>
            </w:tcBorders>
            <w:tcW w:w="4095"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建立健全运输车辆运营、安全、保养、行政管理制度</w:t>
            </w:r>
            <w:r/>
          </w:p>
        </w:tc>
        <w:tc>
          <w:tcPr>
            <w:tcBorders>
              <w:top w:val="single" w:color="000000" w:sz="4" w:space="0"/>
              <w:left w:val="none" w:color="000000" w:sz="4" w:space="0"/>
              <w:bottom w:val="single" w:color="000000" w:sz="4" w:space="0"/>
              <w:right w:val="single" w:color="000000" w:sz="4" w:space="0"/>
            </w:tcBorders>
            <w:tcW w:w="1060"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查阅记录</w:t>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制度缺少一项扣1分</w:t>
            </w:r>
            <w:r/>
          </w:p>
        </w:tc>
        <w:tc>
          <w:tcPr>
            <w:tcBorders>
              <w:top w:val="single" w:color="000000" w:sz="4" w:space="0"/>
              <w:left w:val="none" w:color="000000" w:sz="4" w:space="0"/>
              <w:bottom w:val="single" w:color="000000" w:sz="4" w:space="0"/>
              <w:right w:val="single" w:color="000000" w:sz="4" w:space="0"/>
            </w:tcBorders>
            <w:tcW w:w="427"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1</w:t>
            </w:r>
            <w:r/>
          </w:p>
        </w:tc>
        <w:tc>
          <w:tcPr>
            <w:tcBorders>
              <w:top w:val="single" w:color="000000" w:sz="4" w:space="0"/>
              <w:left w:val="none" w:color="000000" w:sz="4" w:space="0"/>
              <w:bottom w:val="single" w:color="000000" w:sz="4" w:space="0"/>
              <w:right w:val="single" w:color="000000" w:sz="4" w:space="0"/>
            </w:tcBorders>
            <w:tcW w:w="427" w:type="dxa"/>
            <w:vAlign w:val="center"/>
            <w:textDirection w:val="lrTb"/>
            <w:noWrap/>
          </w:tcPr>
          <w:p>
            <w:pPr>
              <w:pStyle w:val="954"/>
              <w:ind w:firstLine="420"/>
              <w:jc w:val="center"/>
              <w:spacing w:line="360" w:lineRule="auto"/>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8" w:space="0"/>
            </w:tcBorders>
            <w:tcW w:w="638" w:type="dxa"/>
            <w:vAlign w:val="center"/>
            <w:textDirection w:val="lrTb"/>
            <w:noWrap/>
          </w:tcPr>
          <w:p>
            <w:pPr>
              <w:pStyle w:val="954"/>
              <w:ind w:firstLine="420"/>
              <w:jc w:val="center"/>
              <w:spacing w:line="360" w:lineRule="auto"/>
              <w:rPr>
                <w:rFonts w:hint="eastAsia"/>
                <w:sz w:val="21"/>
                <w:szCs w:val="21"/>
              </w:rPr>
            </w:pPr>
            <w:r>
              <w:rPr>
                <w:rFonts w:hint="eastAsia"/>
                <w:sz w:val="21"/>
                <w:szCs w:val="21"/>
              </w:rPr>
            </w:r>
            <w:r/>
          </w:p>
        </w:tc>
      </w:tr>
      <w:tr>
        <w:trPr>
          <w:cantSplit/>
          <w:trHeight w:val="440"/>
        </w:trPr>
        <w:tc>
          <w:tcPr>
            <w:tcBorders>
              <w:top w:val="none" w:color="000000" w:sz="4" w:space="0"/>
              <w:left w:val="single" w:color="000000" w:sz="8" w:space="0"/>
              <w:bottom w:val="single" w:color="000000" w:sz="4" w:space="0"/>
              <w:right w:val="single" w:color="000000" w:sz="4" w:space="0"/>
            </w:tcBorders>
            <w:tcW w:w="9822" w:type="dxa"/>
            <w:vAlign w:val="center"/>
            <w:vMerge w:val="continue"/>
            <w:textDirection w:val="lrTb"/>
            <w:noWrap w:val="false"/>
          </w:tcPr>
          <w:p>
            <w:pPr>
              <w:pStyle w:val="954"/>
              <w:ind w:firstLine="420"/>
              <w:jc w:val="center"/>
              <w:spacing w:line="360" w:lineRule="auto"/>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535" w:type="dxa"/>
            <w:vAlign w:val="center"/>
            <w:textDirection w:val="lrTb"/>
            <w:noWrap/>
          </w:tcPr>
          <w:p>
            <w:pPr>
              <w:pStyle w:val="954"/>
              <w:ind w:firstLine="420"/>
              <w:jc w:val="center"/>
              <w:spacing w:line="360" w:lineRule="auto"/>
              <w:widowControl/>
              <w:rPr>
                <w:rFonts w:hint="eastAsia"/>
                <w:sz w:val="21"/>
                <w:szCs w:val="21"/>
              </w:rPr>
            </w:pPr>
            <w:r>
              <w:rPr>
                <w:rFonts w:hint="eastAsia"/>
                <w:sz w:val="21"/>
                <w:szCs w:val="21"/>
              </w:rPr>
              <w:t xml:space="preserve">2</w:t>
            </w:r>
            <w:r/>
          </w:p>
        </w:tc>
        <w:tc>
          <w:tcPr>
            <w:tcBorders>
              <w:top w:val="single" w:color="000000" w:sz="4" w:space="0"/>
              <w:left w:val="none" w:color="000000" w:sz="4" w:space="0"/>
              <w:bottom w:val="single" w:color="000000" w:sz="4" w:space="0"/>
              <w:right w:val="single" w:color="000000" w:sz="4" w:space="0"/>
            </w:tcBorders>
            <w:tcW w:w="4095" w:type="dxa"/>
            <w:vAlign w:val="center"/>
            <w:textDirection w:val="lrTb"/>
            <w:noWrap w:val="false"/>
          </w:tcPr>
          <w:p>
            <w:pPr>
              <w:pStyle w:val="954"/>
              <w:jc w:val="center"/>
              <w:spacing w:line="360" w:lineRule="auto"/>
              <w:widowControl/>
              <w:rPr>
                <w:rFonts w:hint="eastAsia"/>
                <w:sz w:val="21"/>
                <w:szCs w:val="21"/>
              </w:rPr>
            </w:pPr>
            <w:r>
              <w:rPr>
                <w:rFonts w:hint="eastAsia"/>
                <w:sz w:val="21"/>
                <w:szCs w:val="21"/>
              </w:rPr>
              <w:t xml:space="preserve">每月不少于1次组织企业职工和驾驶人员进行思想教育、业务知识、安全生产等方面的学习培训</w:t>
            </w:r>
            <w:r/>
          </w:p>
        </w:tc>
        <w:tc>
          <w:tcPr>
            <w:tcBorders>
              <w:top w:val="single" w:color="000000" w:sz="4" w:space="0"/>
              <w:left w:val="none" w:color="000000" w:sz="4" w:space="0"/>
              <w:bottom w:val="single" w:color="000000" w:sz="4" w:space="0"/>
              <w:right w:val="single" w:color="000000" w:sz="4" w:space="0"/>
            </w:tcBorders>
            <w:tcW w:w="1060"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查阅记录</w:t>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954"/>
              <w:jc w:val="center"/>
              <w:spacing w:line="360" w:lineRule="auto"/>
              <w:widowControl/>
              <w:rPr>
                <w:rFonts w:hint="eastAsia"/>
                <w:sz w:val="21"/>
                <w:szCs w:val="21"/>
              </w:rPr>
            </w:pPr>
            <w:r>
              <w:rPr>
                <w:rFonts w:hint="eastAsia"/>
                <w:sz w:val="21"/>
                <w:szCs w:val="21"/>
              </w:rPr>
              <w:t xml:space="preserve">无学习培训记录每一次扣1分</w:t>
            </w:r>
            <w:r/>
          </w:p>
        </w:tc>
        <w:tc>
          <w:tcPr>
            <w:tcBorders>
              <w:top w:val="single" w:color="000000" w:sz="4" w:space="0"/>
              <w:left w:val="none" w:color="000000" w:sz="4" w:space="0"/>
              <w:bottom w:val="single" w:color="000000" w:sz="4" w:space="0"/>
              <w:right w:val="single" w:color="000000" w:sz="4" w:space="0"/>
            </w:tcBorders>
            <w:tcW w:w="427"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1</w:t>
            </w:r>
            <w:r/>
          </w:p>
        </w:tc>
        <w:tc>
          <w:tcPr>
            <w:tcBorders>
              <w:top w:val="single" w:color="000000" w:sz="4" w:space="0"/>
              <w:left w:val="none" w:color="000000" w:sz="4" w:space="0"/>
              <w:bottom w:val="single" w:color="000000" w:sz="4" w:space="0"/>
              <w:right w:val="single" w:color="000000" w:sz="4" w:space="0"/>
            </w:tcBorders>
            <w:tcW w:w="427" w:type="dxa"/>
            <w:vAlign w:val="center"/>
            <w:textDirection w:val="lrTb"/>
            <w:noWrap/>
          </w:tcPr>
          <w:p>
            <w:pPr>
              <w:pStyle w:val="954"/>
              <w:ind w:firstLine="420"/>
              <w:jc w:val="center"/>
              <w:spacing w:line="360" w:lineRule="auto"/>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8" w:space="0"/>
            </w:tcBorders>
            <w:tcW w:w="638" w:type="dxa"/>
            <w:vAlign w:val="center"/>
            <w:textDirection w:val="lrTb"/>
            <w:noWrap/>
          </w:tcPr>
          <w:p>
            <w:pPr>
              <w:pStyle w:val="954"/>
              <w:ind w:firstLine="420"/>
              <w:jc w:val="center"/>
              <w:spacing w:line="360" w:lineRule="auto"/>
              <w:rPr>
                <w:rFonts w:hint="eastAsia"/>
                <w:sz w:val="21"/>
                <w:szCs w:val="21"/>
              </w:rPr>
            </w:pPr>
            <w:r>
              <w:rPr>
                <w:rFonts w:hint="eastAsia"/>
                <w:sz w:val="21"/>
                <w:szCs w:val="21"/>
              </w:rPr>
            </w:r>
            <w:r/>
          </w:p>
        </w:tc>
      </w:tr>
      <w:tr>
        <w:trPr>
          <w:cantSplit/>
          <w:trHeight w:val="440"/>
        </w:trPr>
        <w:tc>
          <w:tcPr>
            <w:tcBorders>
              <w:top w:val="none" w:color="000000" w:sz="4" w:space="0"/>
              <w:left w:val="single" w:color="000000" w:sz="8" w:space="0"/>
              <w:bottom w:val="single" w:color="000000" w:sz="4" w:space="0"/>
              <w:right w:val="single" w:color="000000" w:sz="4" w:space="0"/>
            </w:tcBorders>
            <w:tcW w:w="9822" w:type="dxa"/>
            <w:vAlign w:val="center"/>
            <w:vMerge w:val="continue"/>
            <w:textDirection w:val="lrTb"/>
            <w:noWrap w:val="false"/>
          </w:tcPr>
          <w:p>
            <w:pPr>
              <w:pStyle w:val="954"/>
              <w:ind w:firstLine="420"/>
              <w:jc w:val="center"/>
              <w:spacing w:line="360" w:lineRule="auto"/>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535" w:type="dxa"/>
            <w:vAlign w:val="center"/>
            <w:textDirection w:val="lrTb"/>
            <w:noWrap/>
          </w:tcPr>
          <w:p>
            <w:pPr>
              <w:pStyle w:val="954"/>
              <w:ind w:firstLine="420"/>
              <w:jc w:val="center"/>
              <w:spacing w:line="360" w:lineRule="auto"/>
              <w:widowControl/>
              <w:rPr>
                <w:rFonts w:hint="eastAsia"/>
                <w:sz w:val="21"/>
                <w:szCs w:val="21"/>
              </w:rPr>
            </w:pPr>
            <w:r>
              <w:rPr>
                <w:rFonts w:hint="eastAsia"/>
                <w:sz w:val="21"/>
                <w:szCs w:val="21"/>
              </w:rPr>
              <w:t xml:space="preserve">3</w:t>
            </w:r>
            <w:r/>
          </w:p>
        </w:tc>
        <w:tc>
          <w:tcPr>
            <w:tcBorders>
              <w:top w:val="single" w:color="000000" w:sz="4" w:space="0"/>
              <w:left w:val="none" w:color="000000" w:sz="4" w:space="0"/>
              <w:bottom w:val="single" w:color="000000" w:sz="4" w:space="0"/>
              <w:right w:val="single" w:color="000000" w:sz="4" w:space="0"/>
            </w:tcBorders>
            <w:tcW w:w="4095"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驾驶员未随车携带《运输从业资格证》上岗</w:t>
            </w:r>
            <w:r/>
          </w:p>
        </w:tc>
        <w:tc>
          <w:tcPr>
            <w:tcBorders>
              <w:top w:val="single" w:color="000000" w:sz="4" w:space="0"/>
              <w:left w:val="none" w:color="000000" w:sz="4" w:space="0"/>
              <w:bottom w:val="single" w:color="000000" w:sz="4" w:space="0"/>
              <w:right w:val="single" w:color="000000" w:sz="4" w:space="0"/>
            </w:tcBorders>
            <w:tcW w:w="1060" w:type="dxa"/>
            <w:vAlign w:val="center"/>
            <w:textDirection w:val="lrTb"/>
            <w:noWrap w:val="false"/>
          </w:tcPr>
          <w:p>
            <w:pPr>
              <w:pStyle w:val="954"/>
              <w:jc w:val="center"/>
              <w:spacing w:line="360" w:lineRule="auto"/>
              <w:widowControl/>
              <w:rPr>
                <w:rFonts w:hint="eastAsia"/>
                <w:sz w:val="21"/>
                <w:szCs w:val="21"/>
              </w:rPr>
            </w:pPr>
            <w:r>
              <w:rPr>
                <w:rFonts w:hint="eastAsia"/>
                <w:sz w:val="21"/>
                <w:szCs w:val="21"/>
              </w:rPr>
              <w:t xml:space="preserve">现场检查</w:t>
              <w:br w:type="textWrapping" w:clear="all"/>
              <w:t xml:space="preserve">查阅记录</w:t>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每人次扣2分</w:t>
            </w:r>
            <w:r/>
          </w:p>
        </w:tc>
        <w:tc>
          <w:tcPr>
            <w:tcBorders>
              <w:top w:val="single" w:color="000000" w:sz="4" w:space="0"/>
              <w:left w:val="none" w:color="000000" w:sz="4" w:space="0"/>
              <w:bottom w:val="single" w:color="000000" w:sz="4" w:space="0"/>
              <w:right w:val="single" w:color="000000" w:sz="4" w:space="0"/>
            </w:tcBorders>
            <w:tcW w:w="427"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2</w:t>
            </w:r>
            <w:r/>
          </w:p>
        </w:tc>
        <w:tc>
          <w:tcPr>
            <w:tcBorders>
              <w:top w:val="single" w:color="000000" w:sz="4" w:space="0"/>
              <w:left w:val="none" w:color="000000" w:sz="4" w:space="0"/>
              <w:bottom w:val="single" w:color="000000" w:sz="4" w:space="0"/>
              <w:right w:val="single" w:color="000000" w:sz="4" w:space="0"/>
            </w:tcBorders>
            <w:tcW w:w="427" w:type="dxa"/>
            <w:vAlign w:val="center"/>
            <w:textDirection w:val="lrTb"/>
            <w:noWrap/>
          </w:tcPr>
          <w:p>
            <w:pPr>
              <w:pStyle w:val="954"/>
              <w:ind w:firstLine="420"/>
              <w:jc w:val="center"/>
              <w:spacing w:line="360" w:lineRule="auto"/>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8" w:space="0"/>
            </w:tcBorders>
            <w:tcW w:w="638" w:type="dxa"/>
            <w:vAlign w:val="center"/>
            <w:textDirection w:val="lrTb"/>
            <w:noWrap/>
          </w:tcPr>
          <w:p>
            <w:pPr>
              <w:pStyle w:val="954"/>
              <w:ind w:firstLine="420"/>
              <w:jc w:val="center"/>
              <w:spacing w:line="360" w:lineRule="auto"/>
              <w:rPr>
                <w:rFonts w:hint="eastAsia"/>
                <w:sz w:val="21"/>
                <w:szCs w:val="21"/>
              </w:rPr>
            </w:pPr>
            <w:r>
              <w:rPr>
                <w:rFonts w:hint="eastAsia"/>
                <w:sz w:val="21"/>
                <w:szCs w:val="21"/>
              </w:rPr>
            </w:r>
            <w:r/>
          </w:p>
        </w:tc>
      </w:tr>
      <w:tr>
        <w:trPr>
          <w:cantSplit/>
          <w:trHeight w:val="1020"/>
        </w:trPr>
        <w:tc>
          <w:tcPr>
            <w:tcBorders>
              <w:top w:val="none" w:color="000000" w:sz="4" w:space="0"/>
              <w:left w:val="single" w:color="000000" w:sz="8" w:space="0"/>
              <w:bottom w:val="single" w:color="000000" w:sz="4" w:space="0"/>
              <w:right w:val="single" w:color="000000" w:sz="4" w:space="0"/>
            </w:tcBorders>
            <w:tcW w:w="9822" w:type="dxa"/>
            <w:vAlign w:val="center"/>
            <w:vMerge w:val="continue"/>
            <w:textDirection w:val="lrTb"/>
            <w:noWrap w:val="false"/>
          </w:tcPr>
          <w:p>
            <w:pPr>
              <w:pStyle w:val="954"/>
              <w:ind w:firstLine="420"/>
              <w:jc w:val="center"/>
              <w:spacing w:line="360" w:lineRule="auto"/>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535" w:type="dxa"/>
            <w:vAlign w:val="center"/>
            <w:textDirection w:val="lrTb"/>
            <w:noWrap/>
          </w:tcPr>
          <w:p>
            <w:pPr>
              <w:pStyle w:val="954"/>
              <w:ind w:firstLine="420"/>
              <w:jc w:val="center"/>
              <w:spacing w:line="360" w:lineRule="auto"/>
              <w:widowControl/>
              <w:rPr>
                <w:rFonts w:hint="eastAsia"/>
                <w:sz w:val="21"/>
                <w:szCs w:val="21"/>
              </w:rPr>
            </w:pPr>
            <w:r>
              <w:rPr>
                <w:rFonts w:hint="eastAsia"/>
                <w:sz w:val="21"/>
                <w:szCs w:val="21"/>
              </w:rPr>
              <w:t xml:space="preserve">4</w:t>
            </w:r>
            <w:r/>
          </w:p>
        </w:tc>
        <w:tc>
          <w:tcPr>
            <w:tcBorders>
              <w:top w:val="single" w:color="000000" w:sz="4" w:space="0"/>
              <w:left w:val="none" w:color="000000" w:sz="4" w:space="0"/>
              <w:bottom w:val="single" w:color="000000" w:sz="4" w:space="0"/>
              <w:right w:val="single" w:color="000000" w:sz="4" w:space="0"/>
            </w:tcBorders>
            <w:tcW w:w="4095" w:type="dxa"/>
            <w:vAlign w:val="center"/>
            <w:textDirection w:val="lrTb"/>
            <w:noWrap w:val="false"/>
          </w:tcPr>
          <w:p>
            <w:pPr>
              <w:pStyle w:val="954"/>
              <w:jc w:val="center"/>
              <w:spacing w:line="360" w:lineRule="auto"/>
              <w:widowControl/>
              <w:rPr>
                <w:rFonts w:hint="eastAsia"/>
                <w:sz w:val="21"/>
                <w:szCs w:val="21"/>
              </w:rPr>
            </w:pPr>
            <w:r>
              <w:rPr>
                <w:rFonts w:hint="eastAsia"/>
                <w:sz w:val="21"/>
                <w:szCs w:val="21"/>
              </w:rPr>
              <w:t xml:space="preserve">企业信息、《苏州市建筑垃圾（工程渣土）处置证》、《苏州市道路运输经营许可证件》、车辆信息、《苏州市建筑垃圾（工程渣土）运输车辆通行证》等变更10日内不到市容环境卫生管理处报备</w:t>
            </w:r>
            <w:r/>
          </w:p>
        </w:tc>
        <w:tc>
          <w:tcPr>
            <w:tcBorders>
              <w:top w:val="single" w:color="000000" w:sz="4" w:space="0"/>
              <w:left w:val="none" w:color="000000" w:sz="4" w:space="0"/>
              <w:bottom w:val="single" w:color="000000" w:sz="4" w:space="0"/>
              <w:right w:val="single" w:color="000000" w:sz="4" w:space="0"/>
            </w:tcBorders>
            <w:tcW w:w="1060"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查阅记录</w:t>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每项扣1分</w:t>
            </w:r>
            <w:r/>
          </w:p>
        </w:tc>
        <w:tc>
          <w:tcPr>
            <w:tcBorders>
              <w:top w:val="single" w:color="000000" w:sz="4" w:space="0"/>
              <w:left w:val="none" w:color="000000" w:sz="4" w:space="0"/>
              <w:bottom w:val="single" w:color="000000" w:sz="4" w:space="0"/>
              <w:right w:val="single" w:color="000000" w:sz="4" w:space="0"/>
            </w:tcBorders>
            <w:tcW w:w="427"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1</w:t>
            </w:r>
            <w:r/>
          </w:p>
        </w:tc>
        <w:tc>
          <w:tcPr>
            <w:tcBorders>
              <w:top w:val="single" w:color="000000" w:sz="4" w:space="0"/>
              <w:left w:val="none" w:color="000000" w:sz="4" w:space="0"/>
              <w:bottom w:val="single" w:color="000000" w:sz="4" w:space="0"/>
              <w:right w:val="single" w:color="000000" w:sz="4" w:space="0"/>
            </w:tcBorders>
            <w:tcW w:w="427" w:type="dxa"/>
            <w:vAlign w:val="center"/>
            <w:textDirection w:val="lrTb"/>
            <w:noWrap/>
          </w:tcPr>
          <w:p>
            <w:pPr>
              <w:pStyle w:val="954"/>
              <w:ind w:firstLine="420"/>
              <w:jc w:val="center"/>
              <w:spacing w:line="360" w:lineRule="auto"/>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8" w:space="0"/>
            </w:tcBorders>
            <w:tcW w:w="638" w:type="dxa"/>
            <w:vAlign w:val="center"/>
            <w:textDirection w:val="lrTb"/>
            <w:noWrap/>
          </w:tcPr>
          <w:p>
            <w:pPr>
              <w:pStyle w:val="954"/>
              <w:ind w:firstLine="420"/>
              <w:jc w:val="center"/>
              <w:spacing w:line="360" w:lineRule="auto"/>
              <w:rPr>
                <w:rFonts w:hint="eastAsia"/>
                <w:sz w:val="21"/>
                <w:szCs w:val="21"/>
              </w:rPr>
            </w:pPr>
            <w:r>
              <w:rPr>
                <w:rFonts w:hint="eastAsia"/>
                <w:sz w:val="21"/>
                <w:szCs w:val="21"/>
              </w:rPr>
            </w:r>
            <w:r/>
          </w:p>
        </w:tc>
      </w:tr>
      <w:tr>
        <w:trPr>
          <w:cantSplit/>
          <w:trHeight w:val="440"/>
        </w:trPr>
        <w:tc>
          <w:tcPr>
            <w:tcBorders>
              <w:top w:val="none" w:color="000000" w:sz="4" w:space="0"/>
              <w:left w:val="single" w:color="000000" w:sz="8" w:space="0"/>
              <w:bottom w:val="single" w:color="000000" w:sz="4" w:space="0"/>
              <w:right w:val="single" w:color="000000" w:sz="4" w:space="0"/>
            </w:tcBorders>
            <w:tcW w:w="9822" w:type="dxa"/>
            <w:vAlign w:val="center"/>
            <w:vMerge w:val="continue"/>
            <w:textDirection w:val="lrTb"/>
            <w:noWrap w:val="false"/>
          </w:tcPr>
          <w:p>
            <w:pPr>
              <w:pStyle w:val="954"/>
              <w:ind w:firstLine="420"/>
              <w:jc w:val="center"/>
              <w:spacing w:line="360" w:lineRule="auto"/>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535" w:type="dxa"/>
            <w:vAlign w:val="center"/>
            <w:textDirection w:val="lrTb"/>
            <w:noWrap/>
          </w:tcPr>
          <w:p>
            <w:pPr>
              <w:pStyle w:val="954"/>
              <w:ind w:firstLine="420"/>
              <w:jc w:val="center"/>
              <w:spacing w:line="360" w:lineRule="auto"/>
              <w:widowControl/>
              <w:rPr>
                <w:rFonts w:hint="eastAsia"/>
                <w:sz w:val="21"/>
                <w:szCs w:val="21"/>
              </w:rPr>
            </w:pPr>
            <w:r>
              <w:rPr>
                <w:rFonts w:hint="eastAsia"/>
                <w:sz w:val="21"/>
                <w:szCs w:val="21"/>
              </w:rPr>
              <w:t xml:space="preserve">5</w:t>
            </w:r>
            <w:r/>
          </w:p>
        </w:tc>
        <w:tc>
          <w:tcPr>
            <w:tcBorders>
              <w:top w:val="single" w:color="000000" w:sz="4" w:space="0"/>
              <w:left w:val="none" w:color="000000" w:sz="4" w:space="0"/>
              <w:bottom w:val="single" w:color="000000" w:sz="4" w:space="0"/>
              <w:right w:val="single" w:color="000000" w:sz="4" w:space="0"/>
            </w:tcBorders>
            <w:tcW w:w="4095" w:type="dxa"/>
            <w:vAlign w:val="center"/>
            <w:textDirection w:val="lrTb"/>
            <w:noWrap w:val="false"/>
          </w:tcPr>
          <w:p>
            <w:pPr>
              <w:pStyle w:val="954"/>
              <w:ind w:firstLine="420"/>
              <w:jc w:val="center"/>
              <w:spacing w:line="360" w:lineRule="auto"/>
              <w:widowControl/>
              <w:rPr>
                <w:rFonts w:hint="eastAsia"/>
                <w:sz w:val="21"/>
                <w:szCs w:val="21"/>
              </w:rPr>
            </w:pPr>
            <w:r>
              <w:rPr>
                <w:rFonts w:hint="eastAsia"/>
                <w:sz w:val="21"/>
                <w:szCs w:val="21"/>
              </w:rPr>
              <w:t xml:space="preserve">驾驶员必须持《运输从业资格证》上岗，上岗信息应当在单位办公场所公示</w:t>
            </w:r>
            <w:r/>
          </w:p>
        </w:tc>
        <w:tc>
          <w:tcPr>
            <w:tcBorders>
              <w:top w:val="single" w:color="000000" w:sz="4" w:space="0"/>
              <w:left w:val="none" w:color="000000" w:sz="4" w:space="0"/>
              <w:bottom w:val="single" w:color="000000" w:sz="4" w:space="0"/>
              <w:right w:val="single" w:color="000000" w:sz="4" w:space="0"/>
            </w:tcBorders>
            <w:tcW w:w="1060"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查阅记录</w:t>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954"/>
              <w:jc w:val="center"/>
              <w:spacing w:line="360" w:lineRule="auto"/>
              <w:widowControl/>
              <w:rPr>
                <w:rFonts w:hint="eastAsia"/>
                <w:sz w:val="21"/>
                <w:szCs w:val="21"/>
              </w:rPr>
            </w:pPr>
            <w:r>
              <w:rPr>
                <w:rFonts w:hint="eastAsia"/>
                <w:sz w:val="21"/>
                <w:szCs w:val="21"/>
              </w:rPr>
              <w:t xml:space="preserve">上岗信息不公开公示每人次扣1分</w:t>
            </w:r>
            <w:r/>
          </w:p>
        </w:tc>
        <w:tc>
          <w:tcPr>
            <w:tcBorders>
              <w:top w:val="single" w:color="000000" w:sz="4" w:space="0"/>
              <w:left w:val="none" w:color="000000" w:sz="4" w:space="0"/>
              <w:bottom w:val="single" w:color="000000" w:sz="4" w:space="0"/>
              <w:right w:val="single" w:color="000000" w:sz="4" w:space="0"/>
            </w:tcBorders>
            <w:tcW w:w="427"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1</w:t>
            </w:r>
            <w:r/>
          </w:p>
        </w:tc>
        <w:tc>
          <w:tcPr>
            <w:tcBorders>
              <w:top w:val="single" w:color="000000" w:sz="4" w:space="0"/>
              <w:left w:val="none" w:color="000000" w:sz="4" w:space="0"/>
              <w:bottom w:val="single" w:color="000000" w:sz="4" w:space="0"/>
              <w:right w:val="single" w:color="000000" w:sz="4" w:space="0"/>
            </w:tcBorders>
            <w:tcW w:w="427" w:type="dxa"/>
            <w:vAlign w:val="center"/>
            <w:textDirection w:val="lrTb"/>
            <w:noWrap/>
          </w:tcPr>
          <w:p>
            <w:pPr>
              <w:pStyle w:val="954"/>
              <w:ind w:firstLine="420"/>
              <w:jc w:val="center"/>
              <w:spacing w:line="360" w:lineRule="auto"/>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8" w:space="0"/>
            </w:tcBorders>
            <w:tcW w:w="638" w:type="dxa"/>
            <w:vAlign w:val="center"/>
            <w:textDirection w:val="lrTb"/>
            <w:noWrap/>
          </w:tcPr>
          <w:p>
            <w:pPr>
              <w:pStyle w:val="954"/>
              <w:ind w:firstLine="420"/>
              <w:jc w:val="center"/>
              <w:spacing w:line="360" w:lineRule="auto"/>
              <w:rPr>
                <w:rFonts w:hint="eastAsia"/>
                <w:sz w:val="21"/>
                <w:szCs w:val="21"/>
              </w:rPr>
            </w:pPr>
            <w:r>
              <w:rPr>
                <w:rFonts w:hint="eastAsia"/>
                <w:sz w:val="21"/>
                <w:szCs w:val="21"/>
              </w:rPr>
            </w:r>
            <w:r/>
          </w:p>
        </w:tc>
      </w:tr>
      <w:tr>
        <w:trPr>
          <w:cantSplit/>
          <w:trHeight w:val="440"/>
        </w:trPr>
        <w:tc>
          <w:tcPr>
            <w:tcBorders>
              <w:top w:val="none" w:color="000000" w:sz="4" w:space="0"/>
              <w:left w:val="single" w:color="000000" w:sz="8" w:space="0"/>
              <w:bottom w:val="single" w:color="000000" w:sz="4" w:space="0"/>
              <w:right w:val="single" w:color="000000" w:sz="4" w:space="0"/>
            </w:tcBorders>
            <w:tcW w:w="534" w:type="dxa"/>
            <w:vAlign w:val="center"/>
            <w:vMerge w:val="restart"/>
            <w:textDirection w:val="lrTb"/>
            <w:noWrap w:val="false"/>
          </w:tcPr>
          <w:p>
            <w:pPr>
              <w:pStyle w:val="954"/>
              <w:jc w:val="center"/>
              <w:spacing w:line="360" w:lineRule="auto"/>
              <w:widowControl/>
              <w:rPr>
                <w:rFonts w:hint="eastAsia"/>
                <w:sz w:val="21"/>
                <w:szCs w:val="21"/>
              </w:rPr>
            </w:pPr>
            <w:r>
              <w:rPr>
                <w:rFonts w:hint="eastAsia"/>
                <w:sz w:val="21"/>
                <w:szCs w:val="21"/>
              </w:rPr>
              <w:t xml:space="preserve">运输</w:t>
              <w:br w:type="textWrapping" w:clear="all"/>
              <w:t xml:space="preserve">车辆</w:t>
              <w:br w:type="textWrapping" w:clear="all"/>
              <w:t xml:space="preserve">管理</w:t>
            </w:r>
            <w:r/>
          </w:p>
        </w:tc>
        <w:tc>
          <w:tcPr>
            <w:tcBorders>
              <w:top w:val="single" w:color="000000" w:sz="4" w:space="0"/>
              <w:left w:val="none" w:color="000000" w:sz="4" w:space="0"/>
              <w:bottom w:val="single" w:color="000000" w:sz="4" w:space="0"/>
              <w:right w:val="single" w:color="000000" w:sz="4" w:space="0"/>
            </w:tcBorders>
            <w:tcW w:w="535" w:type="dxa"/>
            <w:vAlign w:val="center"/>
            <w:textDirection w:val="lrTb"/>
            <w:noWrap/>
          </w:tcPr>
          <w:p>
            <w:pPr>
              <w:pStyle w:val="954"/>
              <w:ind w:firstLine="420"/>
              <w:jc w:val="center"/>
              <w:spacing w:line="360" w:lineRule="auto"/>
              <w:widowControl/>
              <w:rPr>
                <w:rFonts w:hint="eastAsia"/>
                <w:sz w:val="21"/>
                <w:szCs w:val="21"/>
              </w:rPr>
            </w:pPr>
            <w:r>
              <w:rPr>
                <w:rFonts w:hint="eastAsia"/>
                <w:sz w:val="21"/>
                <w:szCs w:val="21"/>
              </w:rPr>
              <w:t xml:space="preserve">6</w:t>
            </w:r>
            <w:r/>
          </w:p>
        </w:tc>
        <w:tc>
          <w:tcPr>
            <w:tcBorders>
              <w:top w:val="single" w:color="000000" w:sz="4" w:space="0"/>
              <w:left w:val="none" w:color="000000" w:sz="4" w:space="0"/>
              <w:bottom w:val="single" w:color="000000" w:sz="4" w:space="0"/>
              <w:right w:val="single" w:color="000000" w:sz="4" w:space="0"/>
            </w:tcBorders>
            <w:tcW w:w="4095" w:type="dxa"/>
            <w:vAlign w:val="center"/>
            <w:textDirection w:val="lrTb"/>
            <w:noWrap w:val="false"/>
          </w:tcPr>
          <w:p>
            <w:pPr>
              <w:pStyle w:val="954"/>
              <w:ind w:firstLine="420"/>
              <w:jc w:val="center"/>
              <w:spacing w:line="360" w:lineRule="auto"/>
              <w:widowControl/>
              <w:rPr>
                <w:rFonts w:hint="eastAsia"/>
                <w:sz w:val="21"/>
                <w:szCs w:val="21"/>
              </w:rPr>
            </w:pPr>
            <w:r>
              <w:rPr>
                <w:rFonts w:hint="eastAsia"/>
                <w:sz w:val="21"/>
                <w:szCs w:val="21"/>
              </w:rPr>
              <w:t xml:space="preserve">使用未在市容环境卫生管理处登记备案的车辆运输建筑垃圾</w:t>
            </w:r>
            <w:r/>
          </w:p>
        </w:tc>
        <w:tc>
          <w:tcPr>
            <w:tcBorders>
              <w:top w:val="single" w:color="000000" w:sz="4" w:space="0"/>
              <w:left w:val="none" w:color="000000" w:sz="4" w:space="0"/>
              <w:bottom w:val="single" w:color="000000" w:sz="4" w:space="0"/>
              <w:right w:val="single" w:color="000000" w:sz="4" w:space="0"/>
            </w:tcBorders>
            <w:tcW w:w="1060" w:type="dxa"/>
            <w:vAlign w:val="center"/>
            <w:textDirection w:val="lrTb"/>
            <w:noWrap w:val="false"/>
          </w:tcPr>
          <w:p>
            <w:pPr>
              <w:pStyle w:val="954"/>
              <w:jc w:val="center"/>
              <w:spacing w:line="360" w:lineRule="auto"/>
              <w:widowControl/>
              <w:rPr>
                <w:rFonts w:hint="eastAsia"/>
                <w:sz w:val="21"/>
                <w:szCs w:val="21"/>
              </w:rPr>
            </w:pPr>
            <w:r>
              <w:rPr>
                <w:rFonts w:hint="eastAsia"/>
                <w:sz w:val="21"/>
                <w:szCs w:val="21"/>
              </w:rPr>
              <w:t xml:space="preserve">现场检查</w:t>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每车次扣3分</w:t>
            </w:r>
            <w:r/>
          </w:p>
        </w:tc>
        <w:tc>
          <w:tcPr>
            <w:tcBorders>
              <w:top w:val="single" w:color="000000" w:sz="4" w:space="0"/>
              <w:left w:val="none" w:color="000000" w:sz="4" w:space="0"/>
              <w:bottom w:val="single" w:color="000000" w:sz="4" w:space="0"/>
              <w:right w:val="single" w:color="000000" w:sz="4" w:space="0"/>
            </w:tcBorders>
            <w:tcW w:w="427"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3</w:t>
            </w:r>
            <w:r/>
          </w:p>
        </w:tc>
        <w:tc>
          <w:tcPr>
            <w:tcBorders>
              <w:top w:val="single" w:color="000000" w:sz="4" w:space="0"/>
              <w:left w:val="none" w:color="000000" w:sz="4" w:space="0"/>
              <w:bottom w:val="single" w:color="000000" w:sz="4" w:space="0"/>
              <w:right w:val="single" w:color="000000" w:sz="4" w:space="0"/>
            </w:tcBorders>
            <w:tcW w:w="427" w:type="dxa"/>
            <w:vAlign w:val="center"/>
            <w:textDirection w:val="lrTb"/>
            <w:noWrap/>
          </w:tcPr>
          <w:p>
            <w:pPr>
              <w:pStyle w:val="954"/>
              <w:ind w:firstLine="420"/>
              <w:jc w:val="center"/>
              <w:spacing w:line="360" w:lineRule="auto"/>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8" w:space="0"/>
            </w:tcBorders>
            <w:tcW w:w="638" w:type="dxa"/>
            <w:vAlign w:val="center"/>
            <w:textDirection w:val="lrTb"/>
            <w:noWrap/>
          </w:tcPr>
          <w:p>
            <w:pPr>
              <w:pStyle w:val="954"/>
              <w:ind w:firstLine="420"/>
              <w:jc w:val="center"/>
              <w:spacing w:line="360" w:lineRule="auto"/>
              <w:rPr>
                <w:rFonts w:hint="eastAsia"/>
                <w:sz w:val="21"/>
                <w:szCs w:val="21"/>
              </w:rPr>
            </w:pPr>
            <w:r>
              <w:rPr>
                <w:rFonts w:hint="eastAsia"/>
                <w:sz w:val="21"/>
                <w:szCs w:val="21"/>
              </w:rPr>
            </w:r>
            <w:r/>
          </w:p>
        </w:tc>
      </w:tr>
      <w:tr>
        <w:trPr>
          <w:cantSplit/>
          <w:trHeight w:val="940"/>
        </w:trPr>
        <w:tc>
          <w:tcPr>
            <w:tcBorders>
              <w:top w:val="none" w:color="000000" w:sz="4" w:space="0"/>
              <w:left w:val="single" w:color="000000" w:sz="8" w:space="0"/>
              <w:bottom w:val="single" w:color="000000" w:sz="4" w:space="0"/>
              <w:right w:val="single" w:color="000000" w:sz="4" w:space="0"/>
            </w:tcBorders>
            <w:tcW w:w="9822" w:type="dxa"/>
            <w:vAlign w:val="center"/>
            <w:vMerge w:val="continue"/>
            <w:textDirection w:val="lrTb"/>
            <w:noWrap w:val="false"/>
          </w:tcPr>
          <w:p>
            <w:pPr>
              <w:pStyle w:val="954"/>
              <w:ind w:firstLine="420"/>
              <w:jc w:val="center"/>
              <w:spacing w:line="360" w:lineRule="auto"/>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535" w:type="dxa"/>
            <w:vAlign w:val="center"/>
            <w:textDirection w:val="lrTb"/>
            <w:noWrap/>
          </w:tcPr>
          <w:p>
            <w:pPr>
              <w:pStyle w:val="954"/>
              <w:ind w:firstLine="420"/>
              <w:jc w:val="center"/>
              <w:spacing w:line="360" w:lineRule="auto"/>
              <w:widowControl/>
              <w:rPr>
                <w:rFonts w:hint="eastAsia"/>
                <w:sz w:val="21"/>
                <w:szCs w:val="21"/>
              </w:rPr>
            </w:pPr>
            <w:r>
              <w:rPr>
                <w:rFonts w:hint="eastAsia"/>
                <w:sz w:val="21"/>
                <w:szCs w:val="21"/>
              </w:rPr>
              <w:t xml:space="preserve">7</w:t>
            </w:r>
            <w:r/>
          </w:p>
        </w:tc>
        <w:tc>
          <w:tcPr>
            <w:tcBorders>
              <w:top w:val="single" w:color="000000" w:sz="4" w:space="0"/>
              <w:left w:val="none" w:color="000000" w:sz="4" w:space="0"/>
              <w:bottom w:val="single" w:color="000000" w:sz="4" w:space="0"/>
              <w:right w:val="single" w:color="000000" w:sz="4" w:space="0"/>
            </w:tcBorders>
            <w:tcW w:w="4095" w:type="dxa"/>
            <w:vAlign w:val="center"/>
            <w:textDirection w:val="lrTb"/>
            <w:noWrap w:val="false"/>
          </w:tcPr>
          <w:p>
            <w:pPr>
              <w:pStyle w:val="954"/>
              <w:ind w:firstLine="420"/>
              <w:jc w:val="center"/>
              <w:spacing w:line="360" w:lineRule="auto"/>
              <w:widowControl/>
              <w:rPr>
                <w:rFonts w:hint="eastAsia"/>
                <w:sz w:val="21"/>
                <w:szCs w:val="21"/>
              </w:rPr>
            </w:pPr>
            <w:r>
              <w:rPr>
                <w:rFonts w:hint="eastAsia"/>
                <w:sz w:val="21"/>
                <w:szCs w:val="21"/>
              </w:rPr>
              <w:t xml:space="preserve">车辆须随车携带《道路运输经营许可证件》、《苏州市建筑垃圾（工程渣土）处置证》《苏州市建筑垃圾（工程渣土）运输车辆通行证》</w:t>
            </w:r>
            <w:r/>
          </w:p>
        </w:tc>
        <w:tc>
          <w:tcPr>
            <w:tcBorders>
              <w:top w:val="single" w:color="000000" w:sz="4" w:space="0"/>
              <w:left w:val="none" w:color="000000" w:sz="4" w:space="0"/>
              <w:bottom w:val="single" w:color="000000" w:sz="4" w:space="0"/>
              <w:right w:val="single" w:color="000000" w:sz="4" w:space="0"/>
            </w:tcBorders>
            <w:tcW w:w="1060" w:type="dxa"/>
            <w:vAlign w:val="center"/>
            <w:textDirection w:val="lrTb"/>
            <w:noWrap w:val="false"/>
          </w:tcPr>
          <w:p>
            <w:pPr>
              <w:pStyle w:val="954"/>
              <w:jc w:val="center"/>
              <w:spacing w:line="360" w:lineRule="auto"/>
              <w:widowControl/>
              <w:rPr>
                <w:rFonts w:hint="eastAsia"/>
                <w:sz w:val="21"/>
                <w:szCs w:val="21"/>
              </w:rPr>
            </w:pPr>
            <w:r>
              <w:rPr>
                <w:rFonts w:hint="eastAsia"/>
                <w:sz w:val="21"/>
                <w:szCs w:val="21"/>
              </w:rPr>
              <w:t xml:space="preserve">现场检查</w:t>
              <w:br w:type="textWrapping" w:clear="all"/>
              <w:t xml:space="preserve">查阅记录</w:t>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954"/>
              <w:jc w:val="center"/>
              <w:spacing w:line="360" w:lineRule="auto"/>
              <w:widowControl/>
              <w:rPr>
                <w:rFonts w:hint="eastAsia"/>
                <w:sz w:val="21"/>
                <w:szCs w:val="21"/>
              </w:rPr>
            </w:pPr>
            <w:r>
              <w:rPr>
                <w:rFonts w:hint="eastAsia"/>
                <w:sz w:val="21"/>
                <w:szCs w:val="21"/>
              </w:rPr>
              <w:t xml:space="preserve">车辆没按要求随车携带证件每证每车次扣3分</w:t>
            </w:r>
            <w:r/>
          </w:p>
        </w:tc>
        <w:tc>
          <w:tcPr>
            <w:tcBorders>
              <w:top w:val="single" w:color="000000" w:sz="4" w:space="0"/>
              <w:left w:val="none" w:color="000000" w:sz="4" w:space="0"/>
              <w:bottom w:val="single" w:color="000000" w:sz="4" w:space="0"/>
              <w:right w:val="single" w:color="000000" w:sz="4" w:space="0"/>
            </w:tcBorders>
            <w:tcW w:w="427"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3</w:t>
            </w:r>
            <w:r/>
          </w:p>
        </w:tc>
        <w:tc>
          <w:tcPr>
            <w:tcBorders>
              <w:top w:val="single" w:color="000000" w:sz="4" w:space="0"/>
              <w:left w:val="none" w:color="000000" w:sz="4" w:space="0"/>
              <w:bottom w:val="single" w:color="000000" w:sz="4" w:space="0"/>
              <w:right w:val="single" w:color="000000" w:sz="4" w:space="0"/>
            </w:tcBorders>
            <w:tcW w:w="427" w:type="dxa"/>
            <w:vAlign w:val="center"/>
            <w:textDirection w:val="lrTb"/>
            <w:noWrap/>
          </w:tcPr>
          <w:p>
            <w:pPr>
              <w:pStyle w:val="954"/>
              <w:ind w:firstLine="420"/>
              <w:jc w:val="center"/>
              <w:spacing w:line="360" w:lineRule="auto"/>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8" w:space="0"/>
            </w:tcBorders>
            <w:tcW w:w="638" w:type="dxa"/>
            <w:vAlign w:val="center"/>
            <w:textDirection w:val="lrTb"/>
            <w:noWrap/>
          </w:tcPr>
          <w:p>
            <w:pPr>
              <w:pStyle w:val="954"/>
              <w:ind w:firstLine="420"/>
              <w:jc w:val="center"/>
              <w:spacing w:line="360" w:lineRule="auto"/>
              <w:rPr>
                <w:rFonts w:hint="eastAsia"/>
                <w:sz w:val="21"/>
                <w:szCs w:val="21"/>
              </w:rPr>
            </w:pPr>
            <w:r>
              <w:rPr>
                <w:rFonts w:hint="eastAsia"/>
                <w:sz w:val="21"/>
                <w:szCs w:val="21"/>
              </w:rPr>
            </w:r>
            <w:r/>
          </w:p>
        </w:tc>
      </w:tr>
      <w:tr>
        <w:trPr>
          <w:cantSplit/>
          <w:trHeight w:val="440"/>
        </w:trPr>
        <w:tc>
          <w:tcPr>
            <w:tcBorders>
              <w:top w:val="none" w:color="000000" w:sz="4" w:space="0"/>
              <w:left w:val="single" w:color="000000" w:sz="8" w:space="0"/>
              <w:bottom w:val="single" w:color="000000" w:sz="4" w:space="0"/>
              <w:right w:val="single" w:color="000000" w:sz="4" w:space="0"/>
            </w:tcBorders>
            <w:tcW w:w="9822" w:type="dxa"/>
            <w:vAlign w:val="center"/>
            <w:vMerge w:val="continue"/>
            <w:textDirection w:val="lrTb"/>
            <w:noWrap w:val="false"/>
          </w:tcPr>
          <w:p>
            <w:pPr>
              <w:pStyle w:val="954"/>
              <w:ind w:firstLine="420"/>
              <w:jc w:val="center"/>
              <w:spacing w:line="360" w:lineRule="auto"/>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535" w:type="dxa"/>
            <w:vAlign w:val="center"/>
            <w:textDirection w:val="lrTb"/>
            <w:noWrap/>
          </w:tcPr>
          <w:p>
            <w:pPr>
              <w:pStyle w:val="954"/>
              <w:ind w:firstLine="420"/>
              <w:jc w:val="center"/>
              <w:spacing w:line="360" w:lineRule="auto"/>
              <w:widowControl/>
              <w:rPr>
                <w:rFonts w:hint="eastAsia"/>
                <w:sz w:val="21"/>
                <w:szCs w:val="21"/>
              </w:rPr>
            </w:pPr>
            <w:r>
              <w:rPr>
                <w:rFonts w:hint="eastAsia"/>
                <w:sz w:val="21"/>
                <w:szCs w:val="21"/>
              </w:rPr>
              <w:t xml:space="preserve">8</w:t>
            </w:r>
            <w:r/>
          </w:p>
        </w:tc>
        <w:tc>
          <w:tcPr>
            <w:tcBorders>
              <w:top w:val="single" w:color="000000" w:sz="4" w:space="0"/>
              <w:left w:val="none" w:color="000000" w:sz="4" w:space="0"/>
              <w:bottom w:val="single" w:color="000000" w:sz="4" w:space="0"/>
              <w:right w:val="single" w:color="000000" w:sz="4" w:space="0"/>
            </w:tcBorders>
            <w:tcW w:w="4095"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车体不整、车容不洁的，车身文字模糊不清</w:t>
            </w:r>
            <w:r/>
          </w:p>
        </w:tc>
        <w:tc>
          <w:tcPr>
            <w:tcBorders>
              <w:top w:val="single" w:color="000000" w:sz="4" w:space="0"/>
              <w:left w:val="none" w:color="000000" w:sz="4" w:space="0"/>
              <w:bottom w:val="single" w:color="000000" w:sz="4" w:space="0"/>
              <w:right w:val="single" w:color="000000" w:sz="4" w:space="0"/>
            </w:tcBorders>
            <w:tcW w:w="1060" w:type="dxa"/>
            <w:vAlign w:val="center"/>
            <w:textDirection w:val="lrTb"/>
            <w:noWrap w:val="false"/>
          </w:tcPr>
          <w:p>
            <w:pPr>
              <w:pStyle w:val="954"/>
              <w:jc w:val="center"/>
              <w:spacing w:line="360" w:lineRule="auto"/>
              <w:widowControl/>
              <w:rPr>
                <w:rFonts w:hint="eastAsia"/>
                <w:sz w:val="21"/>
                <w:szCs w:val="21"/>
              </w:rPr>
            </w:pPr>
            <w:r>
              <w:rPr>
                <w:rFonts w:hint="eastAsia"/>
                <w:sz w:val="21"/>
                <w:szCs w:val="21"/>
              </w:rPr>
              <w:t xml:space="preserve">现场检查</w:t>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每车次扣1分</w:t>
            </w:r>
            <w:r/>
          </w:p>
        </w:tc>
        <w:tc>
          <w:tcPr>
            <w:tcBorders>
              <w:top w:val="single" w:color="000000" w:sz="4" w:space="0"/>
              <w:left w:val="none" w:color="000000" w:sz="4" w:space="0"/>
              <w:bottom w:val="single" w:color="000000" w:sz="4" w:space="0"/>
              <w:right w:val="single" w:color="000000" w:sz="4" w:space="0"/>
            </w:tcBorders>
            <w:tcW w:w="427"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1</w:t>
            </w:r>
            <w:r/>
          </w:p>
        </w:tc>
        <w:tc>
          <w:tcPr>
            <w:tcBorders>
              <w:top w:val="single" w:color="000000" w:sz="4" w:space="0"/>
              <w:left w:val="none" w:color="000000" w:sz="4" w:space="0"/>
              <w:bottom w:val="single" w:color="000000" w:sz="4" w:space="0"/>
              <w:right w:val="single" w:color="000000" w:sz="4" w:space="0"/>
            </w:tcBorders>
            <w:tcW w:w="427" w:type="dxa"/>
            <w:vAlign w:val="center"/>
            <w:textDirection w:val="lrTb"/>
            <w:noWrap/>
          </w:tcPr>
          <w:p>
            <w:pPr>
              <w:pStyle w:val="954"/>
              <w:ind w:firstLine="420"/>
              <w:jc w:val="center"/>
              <w:spacing w:line="360" w:lineRule="auto"/>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8" w:space="0"/>
            </w:tcBorders>
            <w:tcW w:w="638" w:type="dxa"/>
            <w:vAlign w:val="center"/>
            <w:textDirection w:val="lrTb"/>
            <w:noWrap/>
          </w:tcPr>
          <w:p>
            <w:pPr>
              <w:pStyle w:val="954"/>
              <w:ind w:firstLine="420"/>
              <w:jc w:val="center"/>
              <w:spacing w:line="360" w:lineRule="auto"/>
              <w:rPr>
                <w:rFonts w:hint="eastAsia"/>
                <w:sz w:val="21"/>
                <w:szCs w:val="21"/>
              </w:rPr>
            </w:pPr>
            <w:r>
              <w:rPr>
                <w:rFonts w:hint="eastAsia"/>
                <w:sz w:val="21"/>
                <w:szCs w:val="21"/>
              </w:rPr>
            </w:r>
            <w:r/>
          </w:p>
        </w:tc>
      </w:tr>
      <w:tr>
        <w:trPr>
          <w:cantSplit/>
          <w:trHeight w:val="440"/>
        </w:trPr>
        <w:tc>
          <w:tcPr>
            <w:tcBorders>
              <w:top w:val="none" w:color="000000" w:sz="4" w:space="0"/>
              <w:left w:val="single" w:color="000000" w:sz="8" w:space="0"/>
              <w:bottom w:val="single" w:color="000000" w:sz="4" w:space="0"/>
              <w:right w:val="single" w:color="000000" w:sz="4" w:space="0"/>
            </w:tcBorders>
            <w:tcW w:w="9822" w:type="dxa"/>
            <w:vAlign w:val="center"/>
            <w:vMerge w:val="continue"/>
            <w:textDirection w:val="lrTb"/>
            <w:noWrap w:val="false"/>
          </w:tcPr>
          <w:p>
            <w:pPr>
              <w:pStyle w:val="954"/>
              <w:ind w:firstLine="420"/>
              <w:jc w:val="center"/>
              <w:spacing w:line="360" w:lineRule="auto"/>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535" w:type="dxa"/>
            <w:vAlign w:val="center"/>
            <w:textDirection w:val="lrTb"/>
            <w:noWrap/>
          </w:tcPr>
          <w:p>
            <w:pPr>
              <w:pStyle w:val="954"/>
              <w:ind w:firstLine="420"/>
              <w:jc w:val="center"/>
              <w:spacing w:line="360" w:lineRule="auto"/>
              <w:widowControl/>
              <w:rPr>
                <w:rFonts w:hint="eastAsia"/>
                <w:sz w:val="21"/>
                <w:szCs w:val="21"/>
              </w:rPr>
            </w:pPr>
            <w:r>
              <w:rPr>
                <w:rFonts w:hint="eastAsia"/>
                <w:sz w:val="21"/>
                <w:szCs w:val="21"/>
              </w:rPr>
              <w:t xml:space="preserve">9</w:t>
            </w:r>
            <w:r/>
          </w:p>
        </w:tc>
        <w:tc>
          <w:tcPr>
            <w:tcBorders>
              <w:top w:val="single" w:color="000000" w:sz="4" w:space="0"/>
              <w:left w:val="none" w:color="000000" w:sz="4" w:space="0"/>
              <w:bottom w:val="single" w:color="000000" w:sz="4" w:space="0"/>
              <w:right w:val="single" w:color="000000" w:sz="4" w:space="0"/>
            </w:tcBorders>
            <w:tcW w:w="4095"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随意倾倒、堆放建筑垃圾</w:t>
            </w:r>
            <w:r/>
          </w:p>
        </w:tc>
        <w:tc>
          <w:tcPr>
            <w:tcBorders>
              <w:top w:val="single" w:color="000000" w:sz="4" w:space="0"/>
              <w:left w:val="none" w:color="000000" w:sz="4" w:space="0"/>
              <w:bottom w:val="single" w:color="000000" w:sz="4" w:space="0"/>
              <w:right w:val="single" w:color="000000" w:sz="4" w:space="0"/>
            </w:tcBorders>
            <w:tcW w:w="1060" w:type="dxa"/>
            <w:vAlign w:val="center"/>
            <w:textDirection w:val="lrTb"/>
            <w:noWrap w:val="false"/>
          </w:tcPr>
          <w:p>
            <w:pPr>
              <w:pStyle w:val="954"/>
              <w:jc w:val="center"/>
              <w:spacing w:line="360" w:lineRule="auto"/>
              <w:widowControl/>
              <w:rPr>
                <w:rFonts w:hint="eastAsia"/>
                <w:sz w:val="21"/>
                <w:szCs w:val="21"/>
              </w:rPr>
            </w:pPr>
            <w:r>
              <w:rPr>
                <w:rFonts w:hint="eastAsia"/>
                <w:sz w:val="21"/>
                <w:szCs w:val="21"/>
              </w:rPr>
              <w:t xml:space="preserve">现场检查</w:t>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每次扣5分</w:t>
            </w:r>
            <w:r/>
          </w:p>
        </w:tc>
        <w:tc>
          <w:tcPr>
            <w:tcBorders>
              <w:top w:val="single" w:color="000000" w:sz="4" w:space="0"/>
              <w:left w:val="none" w:color="000000" w:sz="4" w:space="0"/>
              <w:bottom w:val="single" w:color="000000" w:sz="4" w:space="0"/>
              <w:right w:val="single" w:color="000000" w:sz="4" w:space="0"/>
            </w:tcBorders>
            <w:tcW w:w="427"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5</w:t>
            </w:r>
            <w:r/>
          </w:p>
        </w:tc>
        <w:tc>
          <w:tcPr>
            <w:tcBorders>
              <w:top w:val="single" w:color="000000" w:sz="4" w:space="0"/>
              <w:left w:val="none" w:color="000000" w:sz="4" w:space="0"/>
              <w:bottom w:val="single" w:color="000000" w:sz="4" w:space="0"/>
              <w:right w:val="single" w:color="000000" w:sz="4" w:space="0"/>
            </w:tcBorders>
            <w:tcW w:w="427" w:type="dxa"/>
            <w:vAlign w:val="center"/>
            <w:textDirection w:val="lrTb"/>
            <w:noWrap/>
          </w:tcPr>
          <w:p>
            <w:pPr>
              <w:pStyle w:val="954"/>
              <w:ind w:firstLine="420"/>
              <w:jc w:val="center"/>
              <w:spacing w:line="360" w:lineRule="auto"/>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8" w:space="0"/>
            </w:tcBorders>
            <w:tcW w:w="638" w:type="dxa"/>
            <w:vAlign w:val="center"/>
            <w:textDirection w:val="lrTb"/>
            <w:noWrap/>
          </w:tcPr>
          <w:p>
            <w:pPr>
              <w:pStyle w:val="954"/>
              <w:ind w:firstLine="420"/>
              <w:jc w:val="center"/>
              <w:spacing w:line="360" w:lineRule="auto"/>
              <w:rPr>
                <w:rFonts w:hint="eastAsia"/>
                <w:sz w:val="21"/>
                <w:szCs w:val="21"/>
              </w:rPr>
            </w:pPr>
            <w:r>
              <w:rPr>
                <w:rFonts w:hint="eastAsia"/>
                <w:sz w:val="21"/>
                <w:szCs w:val="21"/>
              </w:rPr>
            </w:r>
            <w:r/>
          </w:p>
        </w:tc>
      </w:tr>
      <w:tr>
        <w:trPr>
          <w:cantSplit/>
          <w:trHeight w:val="440"/>
        </w:trPr>
        <w:tc>
          <w:tcPr>
            <w:tcBorders>
              <w:top w:val="none" w:color="000000" w:sz="4" w:space="0"/>
              <w:left w:val="single" w:color="000000" w:sz="8" w:space="0"/>
              <w:bottom w:val="single" w:color="000000" w:sz="4" w:space="0"/>
              <w:right w:val="single" w:color="000000" w:sz="4" w:space="0"/>
            </w:tcBorders>
            <w:tcW w:w="9822" w:type="dxa"/>
            <w:vAlign w:val="center"/>
            <w:vMerge w:val="continue"/>
            <w:textDirection w:val="lrTb"/>
            <w:noWrap w:val="false"/>
          </w:tcPr>
          <w:p>
            <w:pPr>
              <w:pStyle w:val="954"/>
              <w:ind w:firstLine="420"/>
              <w:jc w:val="center"/>
              <w:spacing w:line="360" w:lineRule="auto"/>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535"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10</w:t>
            </w:r>
            <w:r/>
          </w:p>
        </w:tc>
        <w:tc>
          <w:tcPr>
            <w:tcBorders>
              <w:top w:val="single" w:color="000000" w:sz="4" w:space="0"/>
              <w:left w:val="none" w:color="000000" w:sz="4" w:space="0"/>
              <w:bottom w:val="single" w:color="000000" w:sz="4" w:space="0"/>
              <w:right w:val="single" w:color="000000" w:sz="4" w:space="0"/>
            </w:tcBorders>
            <w:tcW w:w="4095" w:type="dxa"/>
            <w:vAlign w:val="center"/>
            <w:textDirection w:val="lrTb"/>
            <w:noWrap w:val="false"/>
          </w:tcPr>
          <w:p>
            <w:pPr>
              <w:pStyle w:val="954"/>
              <w:jc w:val="center"/>
              <w:spacing w:line="360" w:lineRule="auto"/>
              <w:widowControl/>
              <w:rPr>
                <w:rFonts w:hint="eastAsia"/>
                <w:sz w:val="21"/>
                <w:szCs w:val="21"/>
              </w:rPr>
            </w:pPr>
            <w:r>
              <w:rPr>
                <w:rFonts w:hint="eastAsia"/>
                <w:sz w:val="21"/>
                <w:szCs w:val="21"/>
              </w:rPr>
              <w:t xml:space="preserve">随意倾倒、堆放建筑垃圾造成环境污染或引发严重后果</w:t>
            </w:r>
            <w:r/>
          </w:p>
        </w:tc>
        <w:tc>
          <w:tcPr>
            <w:tcBorders>
              <w:top w:val="single" w:color="000000" w:sz="4" w:space="0"/>
              <w:left w:val="none" w:color="000000" w:sz="4" w:space="0"/>
              <w:bottom w:val="single" w:color="000000" w:sz="4" w:space="0"/>
              <w:right w:val="single" w:color="000000" w:sz="4" w:space="0"/>
            </w:tcBorders>
            <w:tcW w:w="1060" w:type="dxa"/>
            <w:vAlign w:val="center"/>
            <w:textDirection w:val="lrTb"/>
            <w:noWrap w:val="false"/>
          </w:tcPr>
          <w:p>
            <w:pPr>
              <w:pStyle w:val="954"/>
              <w:jc w:val="center"/>
              <w:spacing w:line="360" w:lineRule="auto"/>
              <w:widowControl/>
              <w:rPr>
                <w:rFonts w:hint="eastAsia"/>
                <w:sz w:val="21"/>
                <w:szCs w:val="21"/>
              </w:rPr>
            </w:pPr>
            <w:r>
              <w:rPr>
                <w:rFonts w:hint="eastAsia"/>
                <w:sz w:val="21"/>
                <w:szCs w:val="21"/>
              </w:rPr>
              <w:t xml:space="preserve">现场检查</w:t>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每次扣10分</w:t>
            </w:r>
            <w:r/>
          </w:p>
        </w:tc>
        <w:tc>
          <w:tcPr>
            <w:tcBorders>
              <w:top w:val="single" w:color="000000" w:sz="4" w:space="0"/>
              <w:left w:val="none" w:color="000000" w:sz="4" w:space="0"/>
              <w:bottom w:val="single" w:color="000000" w:sz="4" w:space="0"/>
              <w:right w:val="single" w:color="000000" w:sz="4" w:space="0"/>
            </w:tcBorders>
            <w:tcW w:w="427"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10</w:t>
            </w:r>
            <w:r/>
          </w:p>
        </w:tc>
        <w:tc>
          <w:tcPr>
            <w:tcBorders>
              <w:top w:val="single" w:color="000000" w:sz="4" w:space="0"/>
              <w:left w:val="none" w:color="000000" w:sz="4" w:space="0"/>
              <w:bottom w:val="single" w:color="000000" w:sz="4" w:space="0"/>
              <w:right w:val="single" w:color="000000" w:sz="4" w:space="0"/>
            </w:tcBorders>
            <w:tcW w:w="427" w:type="dxa"/>
            <w:vAlign w:val="center"/>
            <w:textDirection w:val="lrTb"/>
            <w:noWrap/>
          </w:tcPr>
          <w:p>
            <w:pPr>
              <w:pStyle w:val="954"/>
              <w:ind w:firstLine="420"/>
              <w:jc w:val="center"/>
              <w:spacing w:line="360" w:lineRule="auto"/>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8" w:space="0"/>
            </w:tcBorders>
            <w:tcW w:w="638" w:type="dxa"/>
            <w:vAlign w:val="center"/>
            <w:textDirection w:val="lrTb"/>
            <w:noWrap/>
          </w:tcPr>
          <w:p>
            <w:pPr>
              <w:pStyle w:val="954"/>
              <w:ind w:firstLine="420"/>
              <w:jc w:val="center"/>
              <w:spacing w:line="360" w:lineRule="auto"/>
              <w:rPr>
                <w:rFonts w:hint="eastAsia"/>
                <w:sz w:val="21"/>
                <w:szCs w:val="21"/>
              </w:rPr>
            </w:pPr>
            <w:r>
              <w:rPr>
                <w:rFonts w:hint="eastAsia"/>
                <w:sz w:val="21"/>
                <w:szCs w:val="21"/>
              </w:rPr>
            </w:r>
            <w:r/>
          </w:p>
        </w:tc>
      </w:tr>
      <w:tr>
        <w:trPr>
          <w:cantSplit/>
          <w:trHeight w:val="440"/>
        </w:trPr>
        <w:tc>
          <w:tcPr>
            <w:tcBorders>
              <w:top w:val="none" w:color="000000" w:sz="4" w:space="0"/>
              <w:left w:val="single" w:color="000000" w:sz="8" w:space="0"/>
              <w:bottom w:val="single" w:color="000000" w:sz="4" w:space="0"/>
              <w:right w:val="single" w:color="000000" w:sz="4" w:space="0"/>
            </w:tcBorders>
            <w:tcW w:w="9822" w:type="dxa"/>
            <w:vAlign w:val="center"/>
            <w:vMerge w:val="continue"/>
            <w:textDirection w:val="lrTb"/>
            <w:noWrap w:val="false"/>
          </w:tcPr>
          <w:p>
            <w:pPr>
              <w:pStyle w:val="954"/>
              <w:ind w:firstLine="420"/>
              <w:jc w:val="center"/>
              <w:spacing w:line="360" w:lineRule="auto"/>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535"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11</w:t>
            </w:r>
            <w:r/>
          </w:p>
        </w:tc>
        <w:tc>
          <w:tcPr>
            <w:tcBorders>
              <w:top w:val="single" w:color="000000" w:sz="4" w:space="0"/>
              <w:left w:val="none" w:color="000000" w:sz="4" w:space="0"/>
              <w:bottom w:val="single" w:color="000000" w:sz="4" w:space="0"/>
              <w:right w:val="single" w:color="000000" w:sz="4" w:space="0"/>
            </w:tcBorders>
            <w:tcW w:w="4095"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车辆未实行全密闭或车厢存在裸露运输</w:t>
            </w:r>
            <w:r/>
          </w:p>
        </w:tc>
        <w:tc>
          <w:tcPr>
            <w:tcBorders>
              <w:top w:val="single" w:color="000000" w:sz="4" w:space="0"/>
              <w:left w:val="none" w:color="000000" w:sz="4" w:space="0"/>
              <w:bottom w:val="single" w:color="000000" w:sz="4" w:space="0"/>
              <w:right w:val="single" w:color="000000" w:sz="4" w:space="0"/>
            </w:tcBorders>
            <w:tcW w:w="1060" w:type="dxa"/>
            <w:vAlign w:val="center"/>
            <w:textDirection w:val="lrTb"/>
            <w:noWrap w:val="false"/>
          </w:tcPr>
          <w:p>
            <w:pPr>
              <w:pStyle w:val="954"/>
              <w:jc w:val="center"/>
              <w:spacing w:line="360" w:lineRule="auto"/>
              <w:widowControl/>
              <w:rPr>
                <w:rFonts w:hint="eastAsia"/>
                <w:sz w:val="21"/>
                <w:szCs w:val="21"/>
              </w:rPr>
            </w:pPr>
            <w:r>
              <w:rPr>
                <w:rFonts w:hint="eastAsia"/>
                <w:sz w:val="21"/>
                <w:szCs w:val="21"/>
              </w:rPr>
              <w:t xml:space="preserve">现场检查</w:t>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每车次扣3分</w:t>
            </w:r>
            <w:r/>
          </w:p>
        </w:tc>
        <w:tc>
          <w:tcPr>
            <w:tcBorders>
              <w:top w:val="single" w:color="000000" w:sz="4" w:space="0"/>
              <w:left w:val="none" w:color="000000" w:sz="4" w:space="0"/>
              <w:bottom w:val="single" w:color="000000" w:sz="4" w:space="0"/>
              <w:right w:val="single" w:color="000000" w:sz="4" w:space="0"/>
            </w:tcBorders>
            <w:tcW w:w="427"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3</w:t>
            </w:r>
            <w:r/>
          </w:p>
        </w:tc>
        <w:tc>
          <w:tcPr>
            <w:tcBorders>
              <w:top w:val="single" w:color="000000" w:sz="4" w:space="0"/>
              <w:left w:val="none" w:color="000000" w:sz="4" w:space="0"/>
              <w:bottom w:val="single" w:color="000000" w:sz="4" w:space="0"/>
              <w:right w:val="single" w:color="000000" w:sz="4" w:space="0"/>
            </w:tcBorders>
            <w:tcW w:w="427" w:type="dxa"/>
            <w:vAlign w:val="center"/>
            <w:textDirection w:val="lrTb"/>
            <w:noWrap/>
          </w:tcPr>
          <w:p>
            <w:pPr>
              <w:pStyle w:val="954"/>
              <w:ind w:firstLine="420"/>
              <w:jc w:val="center"/>
              <w:spacing w:line="360" w:lineRule="auto"/>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8" w:space="0"/>
            </w:tcBorders>
            <w:tcW w:w="638" w:type="dxa"/>
            <w:vAlign w:val="center"/>
            <w:textDirection w:val="lrTb"/>
            <w:noWrap/>
          </w:tcPr>
          <w:p>
            <w:pPr>
              <w:pStyle w:val="954"/>
              <w:ind w:firstLine="420"/>
              <w:jc w:val="center"/>
              <w:spacing w:line="360" w:lineRule="auto"/>
              <w:rPr>
                <w:rFonts w:hint="eastAsia"/>
                <w:sz w:val="21"/>
                <w:szCs w:val="21"/>
              </w:rPr>
            </w:pPr>
            <w:r>
              <w:rPr>
                <w:rFonts w:hint="eastAsia"/>
                <w:sz w:val="21"/>
                <w:szCs w:val="21"/>
              </w:rPr>
            </w:r>
            <w:r/>
          </w:p>
        </w:tc>
      </w:tr>
      <w:tr>
        <w:trPr>
          <w:cantSplit/>
          <w:trHeight w:val="560"/>
        </w:trPr>
        <w:tc>
          <w:tcPr>
            <w:tcBorders>
              <w:top w:val="none" w:color="000000" w:sz="4" w:space="0"/>
              <w:left w:val="single" w:color="000000" w:sz="8" w:space="0"/>
              <w:bottom w:val="single" w:color="000000" w:sz="4" w:space="0"/>
              <w:right w:val="single" w:color="000000" w:sz="4" w:space="0"/>
            </w:tcBorders>
            <w:tcW w:w="534" w:type="dxa"/>
            <w:vAlign w:val="center"/>
            <w:vMerge w:val="restart"/>
            <w:textDirection w:val="lrTb"/>
            <w:noWrap w:val="false"/>
          </w:tcPr>
          <w:p>
            <w:pPr>
              <w:pStyle w:val="954"/>
              <w:spacing w:line="360" w:lineRule="auto"/>
              <w:widowControl/>
              <w:rPr>
                <w:rFonts w:hint="eastAsia"/>
                <w:sz w:val="21"/>
                <w:szCs w:val="21"/>
              </w:rPr>
            </w:pPr>
            <w:r>
              <w:rPr>
                <w:rFonts w:hint="eastAsia"/>
                <w:sz w:val="21"/>
                <w:szCs w:val="21"/>
              </w:rPr>
              <w:t xml:space="preserve">日常</w:t>
              <w:br w:type="textWrapping" w:clear="all"/>
              <w:t xml:space="preserve">作业</w:t>
              <w:br w:type="textWrapping" w:clear="all"/>
              <w:t xml:space="preserve">管理</w:t>
            </w:r>
            <w:r/>
          </w:p>
        </w:tc>
        <w:tc>
          <w:tcPr>
            <w:tcBorders>
              <w:top w:val="single" w:color="000000" w:sz="4" w:space="0"/>
              <w:left w:val="none" w:color="000000" w:sz="4" w:space="0"/>
              <w:bottom w:val="single" w:color="000000" w:sz="4" w:space="0"/>
              <w:right w:val="single" w:color="000000" w:sz="4" w:space="0"/>
            </w:tcBorders>
            <w:tcW w:w="535"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12</w:t>
            </w:r>
            <w:r/>
          </w:p>
        </w:tc>
        <w:tc>
          <w:tcPr>
            <w:tcBorders>
              <w:top w:val="single" w:color="000000" w:sz="4" w:space="0"/>
              <w:left w:val="none" w:color="000000" w:sz="4" w:space="0"/>
              <w:bottom w:val="single" w:color="000000" w:sz="4" w:space="0"/>
              <w:right w:val="single" w:color="000000" w:sz="4" w:space="0"/>
            </w:tcBorders>
            <w:tcW w:w="4095" w:type="dxa"/>
            <w:vAlign w:val="center"/>
            <w:textDirection w:val="lrTb"/>
            <w:noWrap w:val="false"/>
          </w:tcPr>
          <w:p>
            <w:pPr>
              <w:pStyle w:val="954"/>
              <w:jc w:val="center"/>
              <w:spacing w:line="360" w:lineRule="auto"/>
              <w:widowControl/>
              <w:rPr>
                <w:rFonts w:hint="eastAsia"/>
                <w:sz w:val="21"/>
                <w:szCs w:val="21"/>
              </w:rPr>
            </w:pPr>
            <w:r>
              <w:rPr>
                <w:rFonts w:hint="eastAsia"/>
                <w:sz w:val="21"/>
                <w:szCs w:val="21"/>
              </w:rPr>
              <w:t xml:space="preserve">伪造、涂改、倒卖、出租、出借或者以其他形式非法转让《苏州市建筑垃圾（工程渣土）运输车辆通行证》等相关许可文件</w:t>
            </w:r>
            <w:r/>
          </w:p>
        </w:tc>
        <w:tc>
          <w:tcPr>
            <w:tcBorders>
              <w:top w:val="single" w:color="000000" w:sz="4" w:space="0"/>
              <w:left w:val="none" w:color="000000" w:sz="4" w:space="0"/>
              <w:bottom w:val="single" w:color="000000" w:sz="4" w:space="0"/>
              <w:right w:val="single" w:color="000000" w:sz="4" w:space="0"/>
            </w:tcBorders>
            <w:tcW w:w="1060" w:type="dxa"/>
            <w:vAlign w:val="center"/>
            <w:textDirection w:val="lrTb"/>
            <w:noWrap w:val="false"/>
          </w:tcPr>
          <w:p>
            <w:pPr>
              <w:pStyle w:val="954"/>
              <w:jc w:val="center"/>
              <w:spacing w:line="360" w:lineRule="auto"/>
              <w:widowControl/>
              <w:rPr>
                <w:rFonts w:hint="eastAsia"/>
                <w:sz w:val="21"/>
                <w:szCs w:val="21"/>
              </w:rPr>
            </w:pPr>
            <w:r>
              <w:rPr>
                <w:rFonts w:hint="eastAsia"/>
                <w:sz w:val="21"/>
                <w:szCs w:val="21"/>
              </w:rPr>
              <w:t xml:space="preserve">现场检查</w:t>
              <w:br w:type="textWrapping" w:clear="all"/>
              <w:t xml:space="preserve">查阅记录</w:t>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每次扣10分</w:t>
            </w:r>
            <w:r/>
          </w:p>
        </w:tc>
        <w:tc>
          <w:tcPr>
            <w:tcBorders>
              <w:top w:val="single" w:color="000000" w:sz="4" w:space="0"/>
              <w:left w:val="none" w:color="000000" w:sz="4" w:space="0"/>
              <w:bottom w:val="single" w:color="000000" w:sz="4" w:space="0"/>
              <w:right w:val="single" w:color="000000" w:sz="4" w:space="0"/>
            </w:tcBorders>
            <w:tcW w:w="427"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10</w:t>
            </w:r>
            <w:r/>
          </w:p>
        </w:tc>
        <w:tc>
          <w:tcPr>
            <w:tcBorders>
              <w:top w:val="single" w:color="000000" w:sz="4" w:space="0"/>
              <w:left w:val="none" w:color="000000" w:sz="4" w:space="0"/>
              <w:bottom w:val="single" w:color="000000" w:sz="4" w:space="0"/>
              <w:right w:val="single" w:color="000000" w:sz="4" w:space="0"/>
            </w:tcBorders>
            <w:tcW w:w="427" w:type="dxa"/>
            <w:vAlign w:val="center"/>
            <w:textDirection w:val="lrTb"/>
            <w:noWrap/>
          </w:tcPr>
          <w:p>
            <w:pPr>
              <w:pStyle w:val="954"/>
              <w:ind w:firstLine="420"/>
              <w:jc w:val="center"/>
              <w:spacing w:line="360" w:lineRule="auto"/>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8" w:space="0"/>
            </w:tcBorders>
            <w:tcW w:w="638" w:type="dxa"/>
            <w:vAlign w:val="center"/>
            <w:textDirection w:val="lrTb"/>
            <w:noWrap/>
          </w:tcPr>
          <w:p>
            <w:pPr>
              <w:pStyle w:val="954"/>
              <w:ind w:firstLine="420"/>
              <w:jc w:val="center"/>
              <w:spacing w:line="360" w:lineRule="auto"/>
              <w:rPr>
                <w:rFonts w:hint="eastAsia"/>
                <w:sz w:val="21"/>
                <w:szCs w:val="21"/>
              </w:rPr>
            </w:pPr>
            <w:r>
              <w:rPr>
                <w:rFonts w:hint="eastAsia"/>
                <w:sz w:val="21"/>
                <w:szCs w:val="21"/>
              </w:rPr>
            </w:r>
            <w:r/>
          </w:p>
        </w:tc>
      </w:tr>
      <w:tr>
        <w:trPr>
          <w:cantSplit/>
          <w:trHeight w:val="560"/>
        </w:trPr>
        <w:tc>
          <w:tcPr>
            <w:tcBorders>
              <w:top w:val="none" w:color="000000" w:sz="4" w:space="0"/>
              <w:left w:val="single" w:color="000000" w:sz="8" w:space="0"/>
              <w:bottom w:val="single" w:color="000000" w:sz="4" w:space="0"/>
              <w:right w:val="single" w:color="000000" w:sz="4" w:space="0"/>
            </w:tcBorders>
            <w:tcW w:w="9822" w:type="dxa"/>
            <w:vAlign w:val="center"/>
            <w:vMerge w:val="continue"/>
            <w:textDirection w:val="lrTb"/>
            <w:noWrap w:val="false"/>
          </w:tcPr>
          <w:p>
            <w:pPr>
              <w:pStyle w:val="954"/>
              <w:ind w:firstLine="420"/>
              <w:jc w:val="center"/>
              <w:spacing w:line="360" w:lineRule="auto"/>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535"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13</w:t>
            </w:r>
            <w:r/>
          </w:p>
        </w:tc>
        <w:tc>
          <w:tcPr>
            <w:tcBorders>
              <w:top w:val="single" w:color="000000" w:sz="4" w:space="0"/>
              <w:left w:val="none" w:color="000000" w:sz="4" w:space="0"/>
              <w:bottom w:val="single" w:color="000000" w:sz="4" w:space="0"/>
              <w:right w:val="single" w:color="000000" w:sz="4" w:space="0"/>
            </w:tcBorders>
            <w:tcW w:w="4095" w:type="dxa"/>
            <w:vAlign w:val="center"/>
            <w:textDirection w:val="lrTb"/>
            <w:noWrap w:val="false"/>
          </w:tcPr>
          <w:p>
            <w:pPr>
              <w:pStyle w:val="954"/>
              <w:jc w:val="center"/>
              <w:spacing w:line="360" w:lineRule="auto"/>
              <w:widowControl/>
              <w:rPr>
                <w:rFonts w:hint="eastAsia"/>
                <w:sz w:val="21"/>
                <w:szCs w:val="21"/>
              </w:rPr>
            </w:pPr>
            <w:r>
              <w:rPr>
                <w:rFonts w:hint="eastAsia"/>
                <w:sz w:val="21"/>
                <w:szCs w:val="21"/>
              </w:rPr>
              <w:t xml:space="preserve">超出《苏州市建筑垃圾（工程渣土）运输车辆通行证》核准范围运输建筑垃圾</w:t>
            </w:r>
            <w:r/>
          </w:p>
        </w:tc>
        <w:tc>
          <w:tcPr>
            <w:tcBorders>
              <w:top w:val="single" w:color="000000" w:sz="4" w:space="0"/>
              <w:left w:val="none" w:color="000000" w:sz="4" w:space="0"/>
              <w:bottom w:val="single" w:color="000000" w:sz="4" w:space="0"/>
              <w:right w:val="single" w:color="000000" w:sz="4" w:space="0"/>
            </w:tcBorders>
            <w:tcW w:w="1060"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现场检查</w:t>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每次扣5分</w:t>
            </w:r>
            <w:r/>
          </w:p>
        </w:tc>
        <w:tc>
          <w:tcPr>
            <w:tcBorders>
              <w:top w:val="single" w:color="000000" w:sz="4" w:space="0"/>
              <w:left w:val="none" w:color="000000" w:sz="4" w:space="0"/>
              <w:bottom w:val="single" w:color="000000" w:sz="4" w:space="0"/>
              <w:right w:val="single" w:color="000000" w:sz="4" w:space="0"/>
            </w:tcBorders>
            <w:tcW w:w="427"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5</w:t>
            </w:r>
            <w:r/>
          </w:p>
        </w:tc>
        <w:tc>
          <w:tcPr>
            <w:tcBorders>
              <w:top w:val="single" w:color="000000" w:sz="4" w:space="0"/>
              <w:left w:val="none" w:color="000000" w:sz="4" w:space="0"/>
              <w:bottom w:val="single" w:color="000000" w:sz="4" w:space="0"/>
              <w:right w:val="single" w:color="000000" w:sz="4" w:space="0"/>
            </w:tcBorders>
            <w:tcW w:w="427" w:type="dxa"/>
            <w:vAlign w:val="center"/>
            <w:textDirection w:val="lrTb"/>
            <w:noWrap/>
          </w:tcPr>
          <w:p>
            <w:pPr>
              <w:pStyle w:val="954"/>
              <w:ind w:firstLine="420"/>
              <w:jc w:val="center"/>
              <w:spacing w:line="360" w:lineRule="auto"/>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8" w:space="0"/>
            </w:tcBorders>
            <w:tcW w:w="638" w:type="dxa"/>
            <w:vAlign w:val="center"/>
            <w:textDirection w:val="lrTb"/>
            <w:noWrap/>
          </w:tcPr>
          <w:p>
            <w:pPr>
              <w:pStyle w:val="954"/>
              <w:ind w:firstLine="420"/>
              <w:jc w:val="center"/>
              <w:spacing w:line="360" w:lineRule="auto"/>
              <w:rPr>
                <w:rFonts w:hint="eastAsia"/>
                <w:sz w:val="21"/>
                <w:szCs w:val="21"/>
              </w:rPr>
            </w:pPr>
            <w:r>
              <w:rPr>
                <w:rFonts w:hint="eastAsia"/>
                <w:sz w:val="21"/>
                <w:szCs w:val="21"/>
              </w:rPr>
            </w:r>
            <w:r/>
          </w:p>
        </w:tc>
      </w:tr>
      <w:tr>
        <w:trPr>
          <w:cantSplit/>
          <w:trHeight w:val="440"/>
        </w:trPr>
        <w:tc>
          <w:tcPr>
            <w:tcBorders>
              <w:top w:val="none" w:color="000000" w:sz="4" w:space="0"/>
              <w:left w:val="single" w:color="000000" w:sz="8" w:space="0"/>
              <w:bottom w:val="single" w:color="000000" w:sz="4" w:space="0"/>
              <w:right w:val="single" w:color="000000" w:sz="4" w:space="0"/>
            </w:tcBorders>
            <w:tcW w:w="9822" w:type="dxa"/>
            <w:vAlign w:val="center"/>
            <w:vMerge w:val="continue"/>
            <w:textDirection w:val="lrTb"/>
            <w:noWrap w:val="false"/>
          </w:tcPr>
          <w:p>
            <w:pPr>
              <w:pStyle w:val="954"/>
              <w:ind w:firstLine="420"/>
              <w:jc w:val="center"/>
              <w:spacing w:line="360" w:lineRule="auto"/>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535"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14</w:t>
            </w:r>
            <w:r/>
          </w:p>
        </w:tc>
        <w:tc>
          <w:tcPr>
            <w:tcBorders>
              <w:top w:val="none" w:color="000000" w:sz="4" w:space="0"/>
              <w:left w:val="none" w:color="000000" w:sz="4" w:space="0"/>
              <w:bottom w:val="single" w:color="000000" w:sz="4" w:space="0"/>
              <w:right w:val="single" w:color="000000" w:sz="4" w:space="0"/>
            </w:tcBorders>
            <w:tcW w:w="4095" w:type="dxa"/>
            <w:vAlign w:val="center"/>
            <w:vMerge w:val="restart"/>
            <w:textDirection w:val="lrTb"/>
            <w:noWrap w:val="false"/>
          </w:tcPr>
          <w:p>
            <w:pPr>
              <w:pStyle w:val="954"/>
              <w:jc w:val="center"/>
              <w:spacing w:line="360" w:lineRule="auto"/>
              <w:widowControl/>
              <w:rPr>
                <w:rFonts w:hint="eastAsia"/>
                <w:sz w:val="21"/>
                <w:szCs w:val="21"/>
              </w:rPr>
            </w:pPr>
            <w:r>
              <w:rPr>
                <w:rFonts w:hint="eastAsia"/>
                <w:sz w:val="21"/>
                <w:szCs w:val="21"/>
              </w:rPr>
              <w:t xml:space="preserve">运输过程未篷布覆盖，车身、轮胎未冲洗干净，存在遗撒、泄漏、车轮带泥污染城市道路</w:t>
            </w:r>
            <w:r/>
          </w:p>
        </w:tc>
        <w:tc>
          <w:tcPr>
            <w:tcBorders>
              <w:top w:val="none" w:color="000000" w:sz="4" w:space="0"/>
              <w:left w:val="none" w:color="000000" w:sz="4" w:space="0"/>
              <w:bottom w:val="single" w:color="000000" w:sz="4" w:space="0"/>
              <w:right w:val="single" w:color="000000" w:sz="4" w:space="0"/>
            </w:tcBorders>
            <w:tcW w:w="1060" w:type="dxa"/>
            <w:vAlign w:val="center"/>
            <w:vMerge w:val="restart"/>
            <w:textDirection w:val="lrTb"/>
            <w:noWrap/>
          </w:tcPr>
          <w:p>
            <w:pPr>
              <w:pStyle w:val="954"/>
              <w:jc w:val="center"/>
              <w:spacing w:line="360" w:lineRule="auto"/>
              <w:widowControl/>
              <w:rPr>
                <w:rFonts w:hint="eastAsia"/>
                <w:sz w:val="21"/>
                <w:szCs w:val="21"/>
              </w:rPr>
            </w:pPr>
            <w:r>
              <w:rPr>
                <w:rFonts w:hint="eastAsia"/>
                <w:sz w:val="21"/>
                <w:szCs w:val="21"/>
              </w:rPr>
              <w:t xml:space="preserve">现场检查</w:t>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954"/>
              <w:jc w:val="center"/>
              <w:spacing w:line="360" w:lineRule="auto"/>
              <w:widowControl/>
              <w:rPr>
                <w:rFonts w:hint="eastAsia"/>
                <w:sz w:val="21"/>
                <w:szCs w:val="21"/>
              </w:rPr>
            </w:pPr>
            <w:r>
              <w:rPr>
                <w:rFonts w:hint="eastAsia"/>
                <w:sz w:val="21"/>
                <w:szCs w:val="21"/>
              </w:rPr>
              <w:t xml:space="preserve">污染面积200㎡(含200)以下，每次扣5分</w:t>
            </w:r>
            <w:r/>
          </w:p>
        </w:tc>
        <w:tc>
          <w:tcPr>
            <w:tcBorders>
              <w:top w:val="single" w:color="000000" w:sz="4" w:space="0"/>
              <w:left w:val="none" w:color="000000" w:sz="4" w:space="0"/>
              <w:bottom w:val="single" w:color="000000" w:sz="4" w:space="0"/>
              <w:right w:val="single" w:color="000000" w:sz="4" w:space="0"/>
            </w:tcBorders>
            <w:tcW w:w="427"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5</w:t>
            </w:r>
            <w:r/>
          </w:p>
        </w:tc>
        <w:tc>
          <w:tcPr>
            <w:tcBorders>
              <w:top w:val="single" w:color="000000" w:sz="4" w:space="0"/>
              <w:left w:val="none" w:color="000000" w:sz="4" w:space="0"/>
              <w:bottom w:val="single" w:color="000000" w:sz="4" w:space="0"/>
              <w:right w:val="single" w:color="000000" w:sz="4" w:space="0"/>
            </w:tcBorders>
            <w:tcW w:w="427" w:type="dxa"/>
            <w:vAlign w:val="center"/>
            <w:textDirection w:val="lrTb"/>
            <w:noWrap/>
          </w:tcPr>
          <w:p>
            <w:pPr>
              <w:pStyle w:val="954"/>
              <w:ind w:firstLine="420"/>
              <w:jc w:val="center"/>
              <w:spacing w:line="360" w:lineRule="auto"/>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8" w:space="0"/>
            </w:tcBorders>
            <w:tcW w:w="638" w:type="dxa"/>
            <w:vAlign w:val="center"/>
            <w:textDirection w:val="lrTb"/>
            <w:noWrap/>
          </w:tcPr>
          <w:p>
            <w:pPr>
              <w:pStyle w:val="954"/>
              <w:ind w:firstLine="420"/>
              <w:jc w:val="center"/>
              <w:spacing w:line="360" w:lineRule="auto"/>
              <w:rPr>
                <w:rFonts w:hint="eastAsia"/>
                <w:sz w:val="21"/>
                <w:szCs w:val="21"/>
              </w:rPr>
            </w:pPr>
            <w:r>
              <w:rPr>
                <w:rFonts w:hint="eastAsia"/>
                <w:sz w:val="21"/>
                <w:szCs w:val="21"/>
              </w:rPr>
            </w:r>
            <w:r/>
          </w:p>
        </w:tc>
      </w:tr>
      <w:tr>
        <w:trPr>
          <w:cantSplit/>
          <w:trHeight w:val="440"/>
        </w:trPr>
        <w:tc>
          <w:tcPr>
            <w:tcBorders>
              <w:top w:val="none" w:color="000000" w:sz="4" w:space="0"/>
              <w:left w:val="single" w:color="000000" w:sz="8" w:space="0"/>
              <w:bottom w:val="single" w:color="000000" w:sz="4" w:space="0"/>
              <w:right w:val="single" w:color="000000" w:sz="4" w:space="0"/>
            </w:tcBorders>
            <w:tcW w:w="9822" w:type="dxa"/>
            <w:vAlign w:val="center"/>
            <w:vMerge w:val="continue"/>
            <w:textDirection w:val="lrTb"/>
            <w:noWrap w:val="false"/>
          </w:tcPr>
          <w:p>
            <w:pPr>
              <w:pStyle w:val="954"/>
              <w:ind w:firstLine="420"/>
              <w:jc w:val="center"/>
              <w:spacing w:line="360" w:lineRule="auto"/>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535"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15</w:t>
            </w:r>
            <w:r/>
          </w:p>
        </w:tc>
        <w:tc>
          <w:tcPr>
            <w:tcBorders>
              <w:top w:val="none" w:color="000000" w:sz="4" w:space="0"/>
              <w:left w:val="none" w:color="000000" w:sz="4" w:space="0"/>
              <w:bottom w:val="single" w:color="000000" w:sz="4" w:space="0"/>
              <w:right w:val="single" w:color="000000" w:sz="4" w:space="0"/>
            </w:tcBorders>
            <w:tcW w:w="8753" w:type="dxa"/>
            <w:vAlign w:val="center"/>
            <w:vMerge w:val="continue"/>
            <w:textDirection w:val="lrTb"/>
            <w:noWrap w:val="false"/>
          </w:tcPr>
          <w:p>
            <w:pPr>
              <w:pStyle w:val="954"/>
              <w:ind w:firstLine="420"/>
              <w:jc w:val="center"/>
              <w:spacing w:line="360" w:lineRule="auto"/>
              <w:widowControl/>
              <w:rPr>
                <w:sz w:val="21"/>
                <w:szCs w:val="21"/>
              </w:rPr>
            </w:pPr>
            <w:r>
              <w:rPr>
                <w:sz w:val="21"/>
                <w:szCs w:val="21"/>
              </w:rPr>
            </w:r>
            <w:r/>
          </w:p>
        </w:tc>
        <w:tc>
          <w:tcPr>
            <w:tcBorders>
              <w:top w:val="none" w:color="000000" w:sz="4" w:space="0"/>
              <w:left w:val="none" w:color="000000" w:sz="4" w:space="0"/>
              <w:bottom w:val="single" w:color="000000" w:sz="4" w:space="0"/>
              <w:right w:val="single" w:color="000000" w:sz="4" w:space="0"/>
            </w:tcBorders>
            <w:tcW w:w="4658" w:type="dxa"/>
            <w:vAlign w:val="center"/>
            <w:vMerge w:val="continue"/>
            <w:textDirection w:val="lrTb"/>
            <w:noWrap w:val="false"/>
          </w:tcPr>
          <w:p>
            <w:pPr>
              <w:pStyle w:val="954"/>
              <w:ind w:firstLine="420"/>
              <w:jc w:val="center"/>
              <w:spacing w:line="360" w:lineRule="auto"/>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954"/>
              <w:jc w:val="center"/>
              <w:spacing w:line="360" w:lineRule="auto"/>
              <w:widowControl/>
              <w:rPr>
                <w:rFonts w:hint="eastAsia"/>
                <w:sz w:val="21"/>
                <w:szCs w:val="21"/>
              </w:rPr>
            </w:pPr>
            <w:r>
              <w:rPr>
                <w:rFonts w:hint="eastAsia"/>
                <w:sz w:val="21"/>
                <w:szCs w:val="21"/>
              </w:rPr>
              <w:t xml:space="preserve">污染面积200㎡(不含200)以上，每次扣10分</w:t>
            </w:r>
            <w:r/>
          </w:p>
        </w:tc>
        <w:tc>
          <w:tcPr>
            <w:tcBorders>
              <w:top w:val="single" w:color="000000" w:sz="4" w:space="0"/>
              <w:left w:val="none" w:color="000000" w:sz="4" w:space="0"/>
              <w:bottom w:val="single" w:color="000000" w:sz="4" w:space="0"/>
              <w:right w:val="single" w:color="000000" w:sz="4" w:space="0"/>
            </w:tcBorders>
            <w:tcW w:w="427"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10</w:t>
            </w:r>
            <w:r/>
          </w:p>
        </w:tc>
        <w:tc>
          <w:tcPr>
            <w:tcBorders>
              <w:top w:val="single" w:color="000000" w:sz="4" w:space="0"/>
              <w:left w:val="none" w:color="000000" w:sz="4" w:space="0"/>
              <w:bottom w:val="single" w:color="000000" w:sz="4" w:space="0"/>
              <w:right w:val="single" w:color="000000" w:sz="4" w:space="0"/>
            </w:tcBorders>
            <w:tcW w:w="427" w:type="dxa"/>
            <w:vAlign w:val="center"/>
            <w:textDirection w:val="lrTb"/>
            <w:noWrap/>
          </w:tcPr>
          <w:p>
            <w:pPr>
              <w:pStyle w:val="954"/>
              <w:ind w:firstLine="420"/>
              <w:jc w:val="center"/>
              <w:spacing w:line="360" w:lineRule="auto"/>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8" w:space="0"/>
            </w:tcBorders>
            <w:tcW w:w="638" w:type="dxa"/>
            <w:vAlign w:val="center"/>
            <w:textDirection w:val="lrTb"/>
            <w:noWrap/>
          </w:tcPr>
          <w:p>
            <w:pPr>
              <w:pStyle w:val="954"/>
              <w:ind w:firstLine="420"/>
              <w:jc w:val="center"/>
              <w:spacing w:line="360" w:lineRule="auto"/>
              <w:rPr>
                <w:rFonts w:hint="eastAsia"/>
                <w:sz w:val="21"/>
                <w:szCs w:val="21"/>
              </w:rPr>
            </w:pPr>
            <w:r>
              <w:rPr>
                <w:rFonts w:hint="eastAsia"/>
                <w:sz w:val="21"/>
                <w:szCs w:val="21"/>
              </w:rPr>
            </w:r>
            <w:r/>
          </w:p>
        </w:tc>
      </w:tr>
      <w:tr>
        <w:trPr>
          <w:cantSplit/>
          <w:trHeight w:val="440"/>
        </w:trPr>
        <w:tc>
          <w:tcPr>
            <w:tcBorders>
              <w:top w:val="none" w:color="000000" w:sz="4" w:space="0"/>
              <w:left w:val="single" w:color="000000" w:sz="8" w:space="0"/>
              <w:bottom w:val="single" w:color="000000" w:sz="4" w:space="0"/>
              <w:right w:val="single" w:color="000000" w:sz="4" w:space="0"/>
            </w:tcBorders>
            <w:tcW w:w="9822" w:type="dxa"/>
            <w:vAlign w:val="center"/>
            <w:vMerge w:val="continue"/>
            <w:textDirection w:val="lrTb"/>
            <w:noWrap w:val="false"/>
          </w:tcPr>
          <w:p>
            <w:pPr>
              <w:pStyle w:val="954"/>
              <w:ind w:firstLine="420"/>
              <w:jc w:val="center"/>
              <w:spacing w:line="360" w:lineRule="auto"/>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535"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16</w:t>
            </w:r>
            <w:r/>
          </w:p>
        </w:tc>
        <w:tc>
          <w:tcPr>
            <w:tcBorders>
              <w:top w:val="single" w:color="000000" w:sz="4" w:space="0"/>
              <w:left w:val="none" w:color="000000" w:sz="4" w:space="0"/>
              <w:bottom w:val="single" w:color="000000" w:sz="4" w:space="0"/>
              <w:right w:val="single" w:color="000000" w:sz="4" w:space="0"/>
            </w:tcBorders>
            <w:tcW w:w="4095"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当月考核通报要求整改，次月考核仍未按要求实施整改</w:t>
            </w:r>
            <w:r/>
          </w:p>
        </w:tc>
        <w:tc>
          <w:tcPr>
            <w:tcBorders>
              <w:top w:val="single" w:color="000000" w:sz="4" w:space="0"/>
              <w:left w:val="none" w:color="000000" w:sz="4" w:space="0"/>
              <w:bottom w:val="single" w:color="000000" w:sz="4" w:space="0"/>
              <w:right w:val="single" w:color="000000" w:sz="4" w:space="0"/>
            </w:tcBorders>
            <w:tcW w:w="1060" w:type="dxa"/>
            <w:vAlign w:val="center"/>
            <w:textDirection w:val="lrTb"/>
            <w:noWrap/>
          </w:tcPr>
          <w:p>
            <w:pPr>
              <w:pStyle w:val="954"/>
              <w:jc w:val="center"/>
              <w:spacing w:line="360" w:lineRule="auto"/>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每项月扣5分</w:t>
            </w:r>
            <w:r/>
          </w:p>
        </w:tc>
        <w:tc>
          <w:tcPr>
            <w:tcBorders>
              <w:top w:val="single" w:color="000000" w:sz="4" w:space="0"/>
              <w:left w:val="none" w:color="000000" w:sz="4" w:space="0"/>
              <w:bottom w:val="single" w:color="000000" w:sz="4" w:space="0"/>
              <w:right w:val="single" w:color="000000" w:sz="4" w:space="0"/>
            </w:tcBorders>
            <w:tcW w:w="427"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5</w:t>
            </w:r>
            <w:r/>
          </w:p>
        </w:tc>
        <w:tc>
          <w:tcPr>
            <w:tcBorders>
              <w:top w:val="single" w:color="000000" w:sz="4" w:space="0"/>
              <w:left w:val="none" w:color="000000" w:sz="4" w:space="0"/>
              <w:bottom w:val="single" w:color="000000" w:sz="4" w:space="0"/>
              <w:right w:val="single" w:color="000000" w:sz="4" w:space="0"/>
            </w:tcBorders>
            <w:tcW w:w="427" w:type="dxa"/>
            <w:vAlign w:val="center"/>
            <w:textDirection w:val="lrTb"/>
            <w:noWrap/>
          </w:tcPr>
          <w:p>
            <w:pPr>
              <w:pStyle w:val="954"/>
              <w:ind w:firstLine="420"/>
              <w:jc w:val="center"/>
              <w:spacing w:line="360" w:lineRule="auto"/>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8" w:space="0"/>
            </w:tcBorders>
            <w:tcW w:w="638" w:type="dxa"/>
            <w:vAlign w:val="center"/>
            <w:textDirection w:val="lrTb"/>
            <w:noWrap/>
          </w:tcPr>
          <w:p>
            <w:pPr>
              <w:pStyle w:val="954"/>
              <w:ind w:firstLine="420"/>
              <w:jc w:val="center"/>
              <w:spacing w:line="360" w:lineRule="auto"/>
              <w:rPr>
                <w:rFonts w:hint="eastAsia"/>
                <w:sz w:val="21"/>
                <w:szCs w:val="21"/>
              </w:rPr>
            </w:pPr>
            <w:r>
              <w:rPr>
                <w:rFonts w:hint="eastAsia"/>
                <w:sz w:val="21"/>
                <w:szCs w:val="21"/>
              </w:rPr>
            </w:r>
            <w:r/>
          </w:p>
        </w:tc>
      </w:tr>
      <w:tr>
        <w:trPr>
          <w:cantSplit/>
          <w:trHeight w:val="440"/>
        </w:trPr>
        <w:tc>
          <w:tcPr>
            <w:tcBorders>
              <w:top w:val="none" w:color="000000" w:sz="4" w:space="0"/>
              <w:left w:val="single" w:color="000000" w:sz="8" w:space="0"/>
              <w:bottom w:val="single" w:color="000000" w:sz="4" w:space="0"/>
              <w:right w:val="single" w:color="000000" w:sz="4" w:space="0"/>
            </w:tcBorders>
            <w:tcW w:w="9822" w:type="dxa"/>
            <w:vAlign w:val="center"/>
            <w:vMerge w:val="continue"/>
            <w:textDirection w:val="lrTb"/>
            <w:noWrap w:val="false"/>
          </w:tcPr>
          <w:p>
            <w:pPr>
              <w:pStyle w:val="954"/>
              <w:ind w:firstLine="420"/>
              <w:jc w:val="center"/>
              <w:spacing w:line="360" w:lineRule="auto"/>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535"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17</w:t>
            </w:r>
            <w:r/>
          </w:p>
        </w:tc>
        <w:tc>
          <w:tcPr>
            <w:tcBorders>
              <w:top w:val="single" w:color="000000" w:sz="4" w:space="0"/>
              <w:left w:val="none" w:color="000000" w:sz="4" w:space="0"/>
              <w:bottom w:val="single" w:color="000000" w:sz="4" w:space="0"/>
              <w:right w:val="single" w:color="000000" w:sz="4" w:space="0"/>
            </w:tcBorders>
            <w:tcW w:w="4095" w:type="dxa"/>
            <w:vAlign w:val="center"/>
            <w:textDirection w:val="lrTb"/>
            <w:noWrap w:val="false"/>
          </w:tcPr>
          <w:p>
            <w:pPr>
              <w:pStyle w:val="954"/>
              <w:jc w:val="center"/>
              <w:spacing w:line="360" w:lineRule="auto"/>
              <w:widowControl/>
              <w:rPr>
                <w:rFonts w:hint="eastAsia"/>
                <w:sz w:val="21"/>
                <w:szCs w:val="21"/>
              </w:rPr>
            </w:pPr>
            <w:r>
              <w:rPr>
                <w:rFonts w:hint="eastAsia"/>
                <w:sz w:val="21"/>
                <w:szCs w:val="21"/>
              </w:rPr>
              <w:t xml:space="preserve">建筑垃圾运输处置企业违反考核细则，不配合处理</w:t>
            </w:r>
            <w:r/>
          </w:p>
        </w:tc>
        <w:tc>
          <w:tcPr>
            <w:tcBorders>
              <w:top w:val="single" w:color="000000" w:sz="4" w:space="0"/>
              <w:left w:val="none" w:color="000000" w:sz="4" w:space="0"/>
              <w:bottom w:val="single" w:color="000000" w:sz="4" w:space="0"/>
              <w:right w:val="single" w:color="000000" w:sz="4" w:space="0"/>
            </w:tcBorders>
            <w:tcW w:w="1060"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现场检查</w:t>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当月考核加扣5分</w:t>
            </w:r>
            <w:r/>
          </w:p>
        </w:tc>
        <w:tc>
          <w:tcPr>
            <w:tcBorders>
              <w:top w:val="single" w:color="000000" w:sz="4" w:space="0"/>
              <w:left w:val="none" w:color="000000" w:sz="4" w:space="0"/>
              <w:bottom w:val="single" w:color="000000" w:sz="4" w:space="0"/>
              <w:right w:val="single" w:color="000000" w:sz="4" w:space="0"/>
            </w:tcBorders>
            <w:tcW w:w="427"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5</w:t>
            </w:r>
            <w:r/>
          </w:p>
        </w:tc>
        <w:tc>
          <w:tcPr>
            <w:tcBorders>
              <w:top w:val="single" w:color="000000" w:sz="4" w:space="0"/>
              <w:left w:val="none" w:color="000000" w:sz="4" w:space="0"/>
              <w:bottom w:val="single" w:color="000000" w:sz="4" w:space="0"/>
              <w:right w:val="single" w:color="000000" w:sz="4" w:space="0"/>
            </w:tcBorders>
            <w:tcW w:w="427" w:type="dxa"/>
            <w:vAlign w:val="center"/>
            <w:textDirection w:val="lrTb"/>
            <w:noWrap/>
          </w:tcPr>
          <w:p>
            <w:pPr>
              <w:pStyle w:val="954"/>
              <w:ind w:firstLine="420"/>
              <w:jc w:val="center"/>
              <w:spacing w:line="360" w:lineRule="auto"/>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8" w:space="0"/>
            </w:tcBorders>
            <w:tcW w:w="638" w:type="dxa"/>
            <w:vAlign w:val="center"/>
            <w:textDirection w:val="lrTb"/>
            <w:noWrap/>
          </w:tcPr>
          <w:p>
            <w:pPr>
              <w:pStyle w:val="954"/>
              <w:ind w:firstLine="420"/>
              <w:jc w:val="center"/>
              <w:spacing w:line="360" w:lineRule="auto"/>
              <w:rPr>
                <w:rFonts w:hint="eastAsia"/>
                <w:sz w:val="21"/>
                <w:szCs w:val="21"/>
              </w:rPr>
            </w:pPr>
            <w:r>
              <w:rPr>
                <w:rFonts w:hint="eastAsia"/>
                <w:sz w:val="21"/>
                <w:szCs w:val="21"/>
              </w:rPr>
            </w:r>
            <w:r/>
          </w:p>
        </w:tc>
      </w:tr>
      <w:tr>
        <w:trPr>
          <w:cantSplit/>
          <w:trHeight w:val="440"/>
        </w:trPr>
        <w:tc>
          <w:tcPr>
            <w:tcBorders>
              <w:top w:val="none" w:color="000000" w:sz="4" w:space="0"/>
              <w:left w:val="single" w:color="000000" w:sz="8" w:space="0"/>
              <w:bottom w:val="single" w:color="000000" w:sz="4" w:space="0"/>
              <w:right w:val="single" w:color="000000" w:sz="4" w:space="0"/>
            </w:tcBorders>
            <w:tcW w:w="9822" w:type="dxa"/>
            <w:vAlign w:val="center"/>
            <w:vMerge w:val="continue"/>
            <w:textDirection w:val="lrTb"/>
            <w:noWrap w:val="false"/>
          </w:tcPr>
          <w:p>
            <w:pPr>
              <w:pStyle w:val="954"/>
              <w:ind w:firstLine="420"/>
              <w:jc w:val="center"/>
              <w:spacing w:line="360" w:lineRule="auto"/>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535"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18</w:t>
            </w:r>
            <w:r/>
          </w:p>
        </w:tc>
        <w:tc>
          <w:tcPr>
            <w:tcBorders>
              <w:top w:val="single" w:color="000000" w:sz="4" w:space="0"/>
              <w:left w:val="none" w:color="000000" w:sz="4" w:space="0"/>
              <w:bottom w:val="single" w:color="000000" w:sz="4" w:space="0"/>
              <w:right w:val="single" w:color="000000" w:sz="4" w:space="0"/>
            </w:tcBorders>
            <w:tcW w:w="4095"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逃逸、阻挠工作人员正常检查</w:t>
            </w:r>
            <w:r/>
          </w:p>
        </w:tc>
        <w:tc>
          <w:tcPr>
            <w:tcBorders>
              <w:top w:val="single" w:color="000000" w:sz="4" w:space="0"/>
              <w:left w:val="none" w:color="000000" w:sz="4" w:space="0"/>
              <w:bottom w:val="single" w:color="000000" w:sz="4" w:space="0"/>
              <w:right w:val="single" w:color="000000" w:sz="4" w:space="0"/>
            </w:tcBorders>
            <w:tcW w:w="1060"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现场检查</w:t>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当月考核加扣8分</w:t>
            </w: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427"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8</w:t>
            </w:r>
            <w:r/>
          </w:p>
        </w:tc>
        <w:tc>
          <w:tcPr>
            <w:tcBorders>
              <w:top w:val="single" w:color="000000" w:sz="4" w:space="0"/>
              <w:left w:val="none" w:color="000000" w:sz="4" w:space="0"/>
              <w:bottom w:val="single" w:color="000000" w:sz="4" w:space="0"/>
              <w:right w:val="single" w:color="000000" w:sz="4" w:space="0"/>
            </w:tcBorders>
            <w:tcW w:w="427" w:type="dxa"/>
            <w:vAlign w:val="center"/>
            <w:textDirection w:val="lrTb"/>
            <w:noWrap/>
          </w:tcPr>
          <w:p>
            <w:pPr>
              <w:pStyle w:val="954"/>
              <w:ind w:firstLine="420"/>
              <w:jc w:val="center"/>
              <w:spacing w:line="360" w:lineRule="auto"/>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8" w:space="0"/>
            </w:tcBorders>
            <w:tcW w:w="638" w:type="dxa"/>
            <w:vAlign w:val="center"/>
            <w:textDirection w:val="lrTb"/>
            <w:noWrap/>
          </w:tcPr>
          <w:p>
            <w:pPr>
              <w:pStyle w:val="954"/>
              <w:ind w:firstLine="420"/>
              <w:jc w:val="center"/>
              <w:spacing w:line="360" w:lineRule="auto"/>
              <w:rPr>
                <w:rFonts w:hint="eastAsia"/>
                <w:sz w:val="21"/>
                <w:szCs w:val="21"/>
              </w:rPr>
            </w:pPr>
            <w:r>
              <w:rPr>
                <w:rFonts w:hint="eastAsia"/>
                <w:sz w:val="21"/>
                <w:szCs w:val="21"/>
              </w:rPr>
            </w:r>
            <w:r/>
          </w:p>
        </w:tc>
      </w:tr>
      <w:tr>
        <w:trPr>
          <w:cantSplit/>
          <w:trHeight w:val="440"/>
        </w:trPr>
        <w:tc>
          <w:tcPr>
            <w:tcBorders>
              <w:top w:val="none" w:color="000000" w:sz="4" w:space="0"/>
              <w:left w:val="single" w:color="000000" w:sz="8" w:space="0"/>
              <w:bottom w:val="single" w:color="000000" w:sz="4" w:space="0"/>
              <w:right w:val="single" w:color="000000" w:sz="4" w:space="0"/>
            </w:tcBorders>
            <w:tcW w:w="9822" w:type="dxa"/>
            <w:vAlign w:val="center"/>
            <w:vMerge w:val="continue"/>
            <w:textDirection w:val="lrTb"/>
            <w:noWrap w:val="false"/>
          </w:tcPr>
          <w:p>
            <w:pPr>
              <w:pStyle w:val="954"/>
              <w:ind w:firstLine="420"/>
              <w:jc w:val="center"/>
              <w:spacing w:line="360" w:lineRule="auto"/>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535"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19</w:t>
            </w:r>
            <w:r/>
          </w:p>
        </w:tc>
        <w:tc>
          <w:tcPr>
            <w:tcBorders>
              <w:top w:val="single" w:color="000000" w:sz="4" w:space="0"/>
              <w:left w:val="none" w:color="000000" w:sz="4" w:space="0"/>
              <w:bottom w:val="single" w:color="000000" w:sz="4" w:space="0"/>
              <w:right w:val="single" w:color="000000" w:sz="4" w:space="0"/>
            </w:tcBorders>
            <w:tcW w:w="4095"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采取威胁、谩骂、暴力手段抗拒检查</w:t>
            </w:r>
            <w:r/>
          </w:p>
        </w:tc>
        <w:tc>
          <w:tcPr>
            <w:tcBorders>
              <w:top w:val="single" w:color="000000" w:sz="4" w:space="0"/>
              <w:left w:val="none" w:color="000000" w:sz="4" w:space="0"/>
              <w:bottom w:val="single" w:color="000000" w:sz="4" w:space="0"/>
              <w:right w:val="single" w:color="000000" w:sz="4" w:space="0"/>
            </w:tcBorders>
            <w:tcW w:w="1060"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现场检查</w:t>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当月考核加扣10分</w:t>
            </w:r>
            <w:r/>
          </w:p>
        </w:tc>
        <w:tc>
          <w:tcPr>
            <w:tcBorders>
              <w:top w:val="single" w:color="000000" w:sz="4" w:space="0"/>
              <w:left w:val="none" w:color="000000" w:sz="4" w:space="0"/>
              <w:bottom w:val="single" w:color="000000" w:sz="4" w:space="0"/>
              <w:right w:val="single" w:color="000000" w:sz="4" w:space="0"/>
            </w:tcBorders>
            <w:tcW w:w="427"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10</w:t>
            </w:r>
            <w:r/>
          </w:p>
        </w:tc>
        <w:tc>
          <w:tcPr>
            <w:tcBorders>
              <w:top w:val="single" w:color="000000" w:sz="4" w:space="0"/>
              <w:left w:val="none" w:color="000000" w:sz="4" w:space="0"/>
              <w:bottom w:val="single" w:color="000000" w:sz="4" w:space="0"/>
              <w:right w:val="single" w:color="000000" w:sz="4" w:space="0"/>
            </w:tcBorders>
            <w:tcW w:w="427" w:type="dxa"/>
            <w:vAlign w:val="center"/>
            <w:textDirection w:val="lrTb"/>
            <w:noWrap/>
          </w:tcPr>
          <w:p>
            <w:pPr>
              <w:pStyle w:val="954"/>
              <w:ind w:firstLine="420"/>
              <w:jc w:val="center"/>
              <w:spacing w:line="360" w:lineRule="auto"/>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8" w:space="0"/>
            </w:tcBorders>
            <w:tcW w:w="638" w:type="dxa"/>
            <w:vAlign w:val="center"/>
            <w:textDirection w:val="lrTb"/>
            <w:noWrap/>
          </w:tcPr>
          <w:p>
            <w:pPr>
              <w:pStyle w:val="954"/>
              <w:ind w:firstLine="420"/>
              <w:jc w:val="center"/>
              <w:spacing w:line="360" w:lineRule="auto"/>
              <w:rPr>
                <w:rFonts w:hint="eastAsia"/>
                <w:sz w:val="21"/>
                <w:szCs w:val="21"/>
              </w:rPr>
            </w:pPr>
            <w:r>
              <w:rPr>
                <w:rFonts w:hint="eastAsia"/>
                <w:sz w:val="21"/>
                <w:szCs w:val="21"/>
              </w:rPr>
            </w:r>
            <w:r/>
          </w:p>
        </w:tc>
      </w:tr>
      <w:tr>
        <w:trPr>
          <w:cantSplit/>
          <w:trHeight w:val="440"/>
        </w:trPr>
        <w:tc>
          <w:tcPr>
            <w:tcBorders>
              <w:top w:val="none" w:color="000000" w:sz="4" w:space="0"/>
              <w:left w:val="single" w:color="000000" w:sz="8" w:space="0"/>
              <w:bottom w:val="single" w:color="000000" w:sz="4" w:space="0"/>
              <w:right w:val="single" w:color="000000" w:sz="4" w:space="0"/>
            </w:tcBorders>
            <w:tcW w:w="9822" w:type="dxa"/>
            <w:vAlign w:val="center"/>
            <w:vMerge w:val="continue"/>
            <w:textDirection w:val="lrTb"/>
            <w:noWrap w:val="false"/>
          </w:tcPr>
          <w:p>
            <w:pPr>
              <w:pStyle w:val="954"/>
              <w:ind w:firstLine="420"/>
              <w:jc w:val="center"/>
              <w:spacing w:line="360" w:lineRule="auto"/>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535"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20</w:t>
            </w:r>
            <w:r/>
          </w:p>
        </w:tc>
        <w:tc>
          <w:tcPr>
            <w:tcBorders>
              <w:top w:val="single" w:color="000000" w:sz="4" w:space="0"/>
              <w:left w:val="none" w:color="000000" w:sz="4" w:space="0"/>
              <w:bottom w:val="single" w:color="000000" w:sz="4" w:space="0"/>
              <w:right w:val="single" w:color="000000" w:sz="4" w:space="0"/>
            </w:tcBorders>
            <w:tcW w:w="4095"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在1个月内受到2次行政处罚</w:t>
            </w:r>
            <w:r/>
          </w:p>
        </w:tc>
        <w:tc>
          <w:tcPr>
            <w:tcBorders>
              <w:top w:val="single" w:color="000000" w:sz="4" w:space="0"/>
              <w:left w:val="none" w:color="000000" w:sz="4" w:space="0"/>
              <w:bottom w:val="single" w:color="000000" w:sz="4" w:space="0"/>
              <w:right w:val="single" w:color="000000" w:sz="4" w:space="0"/>
            </w:tcBorders>
            <w:tcW w:w="1060"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查阅记录</w:t>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954"/>
              <w:jc w:val="center"/>
              <w:spacing w:line="360" w:lineRule="auto"/>
              <w:widowControl/>
              <w:rPr>
                <w:rFonts w:hint="eastAsia"/>
                <w:sz w:val="21"/>
                <w:szCs w:val="21"/>
              </w:rPr>
            </w:pPr>
            <w:r>
              <w:rPr>
                <w:rFonts w:hint="eastAsia"/>
                <w:sz w:val="21"/>
                <w:szCs w:val="21"/>
              </w:rPr>
              <w:t xml:space="preserve">当月加扣3分；每超出1次加扣1分</w:t>
            </w:r>
            <w:r/>
          </w:p>
        </w:tc>
        <w:tc>
          <w:tcPr>
            <w:tcBorders>
              <w:top w:val="single" w:color="000000" w:sz="4" w:space="0"/>
              <w:left w:val="none" w:color="000000" w:sz="4" w:space="0"/>
              <w:bottom w:val="single" w:color="000000" w:sz="4" w:space="0"/>
              <w:right w:val="single" w:color="000000" w:sz="4" w:space="0"/>
            </w:tcBorders>
            <w:tcW w:w="427"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3</w:t>
            </w:r>
            <w:r/>
          </w:p>
        </w:tc>
        <w:tc>
          <w:tcPr>
            <w:tcBorders>
              <w:top w:val="single" w:color="000000" w:sz="4" w:space="0"/>
              <w:left w:val="none" w:color="000000" w:sz="4" w:space="0"/>
              <w:bottom w:val="single" w:color="000000" w:sz="4" w:space="0"/>
              <w:right w:val="single" w:color="000000" w:sz="4" w:space="0"/>
            </w:tcBorders>
            <w:tcW w:w="427" w:type="dxa"/>
            <w:vAlign w:val="center"/>
            <w:textDirection w:val="lrTb"/>
            <w:noWrap/>
          </w:tcPr>
          <w:p>
            <w:pPr>
              <w:pStyle w:val="954"/>
              <w:ind w:firstLine="420"/>
              <w:jc w:val="center"/>
              <w:spacing w:line="360" w:lineRule="auto"/>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8" w:space="0"/>
            </w:tcBorders>
            <w:tcW w:w="638" w:type="dxa"/>
            <w:vAlign w:val="center"/>
            <w:textDirection w:val="lrTb"/>
            <w:noWrap/>
          </w:tcPr>
          <w:p>
            <w:pPr>
              <w:pStyle w:val="954"/>
              <w:ind w:firstLine="420"/>
              <w:jc w:val="center"/>
              <w:spacing w:line="360" w:lineRule="auto"/>
              <w:rPr>
                <w:rFonts w:hint="eastAsia"/>
                <w:sz w:val="21"/>
                <w:szCs w:val="21"/>
              </w:rPr>
            </w:pPr>
            <w:r>
              <w:rPr>
                <w:rFonts w:hint="eastAsia"/>
                <w:sz w:val="21"/>
                <w:szCs w:val="21"/>
              </w:rPr>
            </w:r>
            <w:r/>
          </w:p>
        </w:tc>
      </w:tr>
      <w:tr>
        <w:trPr>
          <w:cantSplit/>
          <w:trHeight w:val="440"/>
        </w:trPr>
        <w:tc>
          <w:tcPr>
            <w:tcBorders>
              <w:top w:val="none" w:color="000000" w:sz="4" w:space="0"/>
              <w:left w:val="single" w:color="000000" w:sz="8" w:space="0"/>
              <w:bottom w:val="single" w:color="000000" w:sz="4" w:space="0"/>
              <w:right w:val="single" w:color="000000" w:sz="4" w:space="0"/>
            </w:tcBorders>
            <w:tcW w:w="9822" w:type="dxa"/>
            <w:vAlign w:val="center"/>
            <w:vMerge w:val="continue"/>
            <w:textDirection w:val="lrTb"/>
            <w:noWrap w:val="false"/>
          </w:tcPr>
          <w:p>
            <w:pPr>
              <w:pStyle w:val="954"/>
              <w:ind w:firstLine="420"/>
              <w:jc w:val="center"/>
              <w:spacing w:line="360" w:lineRule="auto"/>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535"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21</w:t>
            </w:r>
            <w:r/>
          </w:p>
        </w:tc>
        <w:tc>
          <w:tcPr>
            <w:tcBorders>
              <w:top w:val="single" w:color="000000" w:sz="4" w:space="0"/>
              <w:left w:val="none" w:color="000000" w:sz="4" w:space="0"/>
              <w:bottom w:val="single" w:color="000000" w:sz="4" w:space="0"/>
              <w:right w:val="single" w:color="000000" w:sz="4" w:space="0"/>
            </w:tcBorders>
            <w:tcW w:w="4095" w:type="dxa"/>
            <w:vAlign w:val="center"/>
            <w:textDirection w:val="lrTb"/>
            <w:noWrap w:val="false"/>
          </w:tcPr>
          <w:p>
            <w:pPr>
              <w:pStyle w:val="954"/>
              <w:jc w:val="center"/>
              <w:spacing w:line="360" w:lineRule="auto"/>
              <w:widowControl/>
              <w:rPr>
                <w:rFonts w:hint="eastAsia"/>
                <w:sz w:val="21"/>
                <w:szCs w:val="21"/>
              </w:rPr>
            </w:pPr>
            <w:r>
              <w:rPr>
                <w:rFonts w:hint="eastAsia"/>
                <w:sz w:val="21"/>
                <w:szCs w:val="21"/>
              </w:rPr>
              <w:t xml:space="preserve">未按照规定时间及时收运建筑垃圾</w:t>
            </w:r>
            <w:r/>
          </w:p>
        </w:tc>
        <w:tc>
          <w:tcPr>
            <w:tcBorders>
              <w:top w:val="single" w:color="000000" w:sz="4" w:space="0"/>
              <w:left w:val="none" w:color="000000" w:sz="4" w:space="0"/>
              <w:bottom w:val="single" w:color="000000" w:sz="4" w:space="0"/>
              <w:right w:val="single" w:color="000000" w:sz="4" w:space="0"/>
            </w:tcBorders>
            <w:tcW w:w="1060" w:type="dxa"/>
            <w:vAlign w:val="center"/>
            <w:textDirection w:val="lrTb"/>
            <w:noWrap w:val="false"/>
          </w:tcPr>
          <w:p>
            <w:pPr>
              <w:pStyle w:val="954"/>
              <w:jc w:val="center"/>
              <w:spacing w:line="360" w:lineRule="auto"/>
              <w:widowControl/>
              <w:rPr>
                <w:rFonts w:hint="eastAsia"/>
                <w:sz w:val="21"/>
                <w:szCs w:val="21"/>
              </w:rPr>
            </w:pPr>
            <w:r>
              <w:rPr>
                <w:rFonts w:hint="eastAsia"/>
                <w:sz w:val="21"/>
                <w:szCs w:val="21"/>
              </w:rPr>
              <w:t xml:space="preserve">现场检查</w:t>
              <w:br w:type="textWrapping" w:clear="all"/>
              <w:t xml:space="preserve">查阅记录</w:t>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每次扣3分</w:t>
            </w:r>
            <w:r/>
          </w:p>
        </w:tc>
        <w:tc>
          <w:tcPr>
            <w:tcBorders>
              <w:top w:val="single" w:color="000000" w:sz="4" w:space="0"/>
              <w:left w:val="none" w:color="000000" w:sz="4" w:space="0"/>
              <w:bottom w:val="single" w:color="000000" w:sz="4" w:space="0"/>
              <w:right w:val="single" w:color="000000" w:sz="4" w:space="0"/>
            </w:tcBorders>
            <w:tcW w:w="427"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3</w:t>
            </w:r>
            <w:r/>
          </w:p>
        </w:tc>
        <w:tc>
          <w:tcPr>
            <w:tcBorders>
              <w:top w:val="single" w:color="000000" w:sz="4" w:space="0"/>
              <w:left w:val="none" w:color="000000" w:sz="4" w:space="0"/>
              <w:bottom w:val="single" w:color="000000" w:sz="4" w:space="0"/>
              <w:right w:val="single" w:color="000000" w:sz="4" w:space="0"/>
            </w:tcBorders>
            <w:tcW w:w="427" w:type="dxa"/>
            <w:vAlign w:val="center"/>
            <w:textDirection w:val="lrTb"/>
            <w:noWrap/>
          </w:tcPr>
          <w:p>
            <w:pPr>
              <w:pStyle w:val="954"/>
              <w:ind w:firstLine="420"/>
              <w:jc w:val="center"/>
              <w:spacing w:line="360" w:lineRule="auto"/>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8" w:space="0"/>
            </w:tcBorders>
            <w:tcW w:w="638" w:type="dxa"/>
            <w:vAlign w:val="center"/>
            <w:textDirection w:val="lrTb"/>
            <w:noWrap/>
          </w:tcPr>
          <w:p>
            <w:pPr>
              <w:pStyle w:val="954"/>
              <w:ind w:firstLine="420"/>
              <w:jc w:val="center"/>
              <w:spacing w:line="360" w:lineRule="auto"/>
              <w:rPr>
                <w:rFonts w:hint="eastAsia"/>
                <w:sz w:val="21"/>
                <w:szCs w:val="21"/>
              </w:rPr>
            </w:pPr>
            <w:r>
              <w:rPr>
                <w:rFonts w:hint="eastAsia"/>
                <w:sz w:val="21"/>
                <w:szCs w:val="21"/>
              </w:rPr>
            </w:r>
            <w:r/>
          </w:p>
        </w:tc>
      </w:tr>
      <w:tr>
        <w:trPr>
          <w:cantSplit/>
          <w:trHeight w:val="440"/>
        </w:trPr>
        <w:tc>
          <w:tcPr>
            <w:tcBorders>
              <w:top w:val="none" w:color="000000" w:sz="4" w:space="0"/>
              <w:left w:val="single" w:color="000000" w:sz="8" w:space="0"/>
              <w:bottom w:val="single" w:color="000000" w:sz="4" w:space="0"/>
              <w:right w:val="single" w:color="000000" w:sz="4" w:space="0"/>
            </w:tcBorders>
            <w:tcW w:w="9822" w:type="dxa"/>
            <w:vAlign w:val="center"/>
            <w:vMerge w:val="continue"/>
            <w:textDirection w:val="lrTb"/>
            <w:noWrap w:val="false"/>
          </w:tcPr>
          <w:p>
            <w:pPr>
              <w:pStyle w:val="954"/>
              <w:ind w:firstLine="420"/>
              <w:jc w:val="center"/>
              <w:spacing w:line="360" w:lineRule="auto"/>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535"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22</w:t>
            </w:r>
            <w:r/>
          </w:p>
        </w:tc>
        <w:tc>
          <w:tcPr>
            <w:tcBorders>
              <w:top w:val="single" w:color="000000" w:sz="4" w:space="0"/>
              <w:left w:val="none" w:color="000000" w:sz="4" w:space="0"/>
              <w:bottom w:val="single" w:color="000000" w:sz="4" w:space="0"/>
              <w:right w:val="single" w:color="000000" w:sz="4" w:space="0"/>
            </w:tcBorders>
            <w:tcW w:w="4095" w:type="dxa"/>
            <w:vAlign w:val="center"/>
            <w:textDirection w:val="lrTb"/>
            <w:noWrap w:val="false"/>
          </w:tcPr>
          <w:p>
            <w:pPr>
              <w:pStyle w:val="954"/>
              <w:jc w:val="center"/>
              <w:spacing w:line="360" w:lineRule="auto"/>
              <w:widowControl/>
              <w:rPr>
                <w:rFonts w:hint="eastAsia"/>
                <w:sz w:val="21"/>
                <w:szCs w:val="21"/>
              </w:rPr>
            </w:pPr>
            <w:r>
              <w:rPr>
                <w:rFonts w:hint="eastAsia"/>
                <w:sz w:val="21"/>
                <w:szCs w:val="21"/>
              </w:rPr>
              <w:t xml:space="preserve">未按照规定路线运输建筑垃圾</w:t>
            </w:r>
            <w:r/>
          </w:p>
        </w:tc>
        <w:tc>
          <w:tcPr>
            <w:tcBorders>
              <w:top w:val="single" w:color="000000" w:sz="4" w:space="0"/>
              <w:left w:val="none" w:color="000000" w:sz="4" w:space="0"/>
              <w:bottom w:val="single" w:color="000000" w:sz="4" w:space="0"/>
              <w:right w:val="single" w:color="000000" w:sz="4" w:space="0"/>
            </w:tcBorders>
            <w:tcW w:w="1060"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现场检查</w:t>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每次扣5分</w:t>
            </w:r>
            <w:r/>
          </w:p>
        </w:tc>
        <w:tc>
          <w:tcPr>
            <w:tcBorders>
              <w:top w:val="single" w:color="000000" w:sz="4" w:space="0"/>
              <w:left w:val="none" w:color="000000" w:sz="4" w:space="0"/>
              <w:bottom w:val="single" w:color="000000" w:sz="4" w:space="0"/>
              <w:right w:val="single" w:color="000000" w:sz="4" w:space="0"/>
            </w:tcBorders>
            <w:tcW w:w="427"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5</w:t>
            </w:r>
            <w:r/>
          </w:p>
        </w:tc>
        <w:tc>
          <w:tcPr>
            <w:tcBorders>
              <w:top w:val="single" w:color="000000" w:sz="4" w:space="0"/>
              <w:left w:val="none" w:color="000000" w:sz="4" w:space="0"/>
              <w:bottom w:val="single" w:color="000000" w:sz="4" w:space="0"/>
              <w:right w:val="single" w:color="000000" w:sz="4" w:space="0"/>
            </w:tcBorders>
            <w:tcW w:w="427" w:type="dxa"/>
            <w:vAlign w:val="center"/>
            <w:textDirection w:val="lrTb"/>
            <w:noWrap/>
          </w:tcPr>
          <w:p>
            <w:pPr>
              <w:pStyle w:val="954"/>
              <w:ind w:firstLine="420"/>
              <w:jc w:val="center"/>
              <w:spacing w:line="360" w:lineRule="auto"/>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8" w:space="0"/>
            </w:tcBorders>
            <w:tcW w:w="638" w:type="dxa"/>
            <w:vAlign w:val="center"/>
            <w:textDirection w:val="lrTb"/>
            <w:noWrap/>
          </w:tcPr>
          <w:p>
            <w:pPr>
              <w:pStyle w:val="954"/>
              <w:ind w:firstLine="420"/>
              <w:jc w:val="center"/>
              <w:spacing w:line="360" w:lineRule="auto"/>
              <w:rPr>
                <w:rFonts w:hint="eastAsia"/>
                <w:sz w:val="21"/>
                <w:szCs w:val="21"/>
              </w:rPr>
            </w:pPr>
            <w:r>
              <w:rPr>
                <w:rFonts w:hint="eastAsia"/>
                <w:sz w:val="21"/>
                <w:szCs w:val="21"/>
              </w:rPr>
            </w:r>
            <w:r/>
          </w:p>
        </w:tc>
      </w:tr>
      <w:tr>
        <w:trPr>
          <w:trHeight w:val="640"/>
        </w:trPr>
        <w:tc>
          <w:tcPr>
            <w:gridSpan w:val="2"/>
            <w:tcBorders>
              <w:top w:val="single" w:color="000000" w:sz="4" w:space="0"/>
              <w:left w:val="single" w:color="000000" w:sz="8" w:space="0"/>
              <w:bottom w:val="single" w:color="000000" w:sz="4" w:space="0"/>
              <w:right w:val="single" w:color="000000" w:sz="4" w:space="0"/>
            </w:tcBorders>
            <w:tcW w:w="1069"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合计</w:t>
            </w:r>
            <w:r/>
          </w:p>
        </w:tc>
        <w:tc>
          <w:tcPr>
            <w:gridSpan w:val="6"/>
            <w:tcBorders>
              <w:top w:val="single" w:color="000000" w:sz="4" w:space="0"/>
              <w:left w:val="none" w:color="000000" w:sz="4" w:space="0"/>
              <w:bottom w:val="single" w:color="000000" w:sz="4" w:space="0"/>
              <w:right w:val="single" w:color="000000" w:sz="4" w:space="0"/>
            </w:tcBorders>
            <w:tcW w:w="8753" w:type="dxa"/>
            <w:vAlign w:val="center"/>
            <w:textDirection w:val="lrTb"/>
            <w:noWrap/>
          </w:tcPr>
          <w:p>
            <w:pPr>
              <w:pStyle w:val="954"/>
              <w:jc w:val="center"/>
              <w:spacing w:line="360" w:lineRule="auto"/>
              <w:widowControl/>
              <w:rPr>
                <w:rFonts w:hint="eastAsia"/>
                <w:sz w:val="21"/>
                <w:szCs w:val="21"/>
                <w:u w:val="single"/>
              </w:rPr>
            </w:pPr>
            <w:r>
              <w:rPr>
                <w:rFonts w:hint="eastAsia"/>
                <w:sz w:val="21"/>
                <w:szCs w:val="21"/>
                <w:u w:val="single"/>
              </w:rPr>
              <w:t xml:space="preserve">     年    月得分情况统计：扣分:      分，加分：      分，本月综合得分        分</w:t>
            </w:r>
            <w:r/>
          </w:p>
        </w:tc>
      </w:tr>
      <w:tr>
        <w:trPr>
          <w:trHeight w:val="660"/>
        </w:trPr>
        <w:tc>
          <w:tcPr>
            <w:gridSpan w:val="3"/>
            <w:tcBorders>
              <w:top w:val="single" w:color="000000" w:sz="4" w:space="0"/>
              <w:left w:val="single" w:color="000000" w:sz="8" w:space="0"/>
              <w:bottom w:val="single" w:color="000000" w:sz="8" w:space="0"/>
              <w:right w:val="single" w:color="000000" w:sz="4" w:space="0"/>
            </w:tcBorders>
            <w:tcW w:w="5164"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被考核企业（签字）：</w:t>
            </w:r>
            <w:r/>
          </w:p>
        </w:tc>
        <w:tc>
          <w:tcPr>
            <w:gridSpan w:val="5"/>
            <w:tcBorders>
              <w:top w:val="single" w:color="000000" w:sz="4" w:space="0"/>
              <w:left w:val="none" w:color="000000" w:sz="4" w:space="0"/>
              <w:bottom w:val="single" w:color="000000" w:sz="8" w:space="0"/>
              <w:right w:val="single" w:color="000000" w:sz="4" w:space="0"/>
            </w:tcBorders>
            <w:tcW w:w="4658" w:type="dxa"/>
            <w:vAlign w:val="center"/>
            <w:textDirection w:val="lrTb"/>
            <w:noWrap/>
          </w:tcPr>
          <w:p>
            <w:pPr>
              <w:pStyle w:val="954"/>
              <w:jc w:val="center"/>
              <w:spacing w:line="360" w:lineRule="auto"/>
              <w:widowControl/>
              <w:rPr>
                <w:rFonts w:hint="eastAsia"/>
                <w:sz w:val="21"/>
                <w:szCs w:val="21"/>
              </w:rPr>
            </w:pPr>
            <w:r>
              <w:rPr>
                <w:rFonts w:hint="eastAsia"/>
                <w:sz w:val="21"/>
                <w:szCs w:val="21"/>
              </w:rPr>
              <w:t xml:space="preserve">考核组成员（签字）：</w:t>
            </w:r>
            <w:r/>
          </w:p>
        </w:tc>
      </w:tr>
    </w:tbl>
    <w:p>
      <w:pPr>
        <w:pStyle w:val="1190"/>
        <w:spacing w:line="400" w:lineRule="exact"/>
        <w:rPr>
          <w:rFonts w:hint="eastAsia" w:hAnsi="宋体" w:eastAsia="宋体" w:cs="仿宋_GB2312"/>
          <w:sz w:val="21"/>
          <w:szCs w:val="21"/>
        </w:rPr>
      </w:pPr>
      <w:r>
        <w:rPr>
          <w:rFonts w:hint="eastAsia" w:hAnsi="宋体" w:eastAsia="宋体" w:cs="仿宋_GB2312"/>
          <w:sz w:val="21"/>
          <w:szCs w:val="21"/>
        </w:rPr>
      </w:r>
      <w:r/>
    </w:p>
    <w:p>
      <w:pPr>
        <w:pStyle w:val="1190"/>
        <w:spacing w:line="400" w:lineRule="exact"/>
        <w:rPr>
          <w:rFonts w:cs="宋体"/>
          <w:b/>
          <w:bCs/>
          <w:sz w:val="44"/>
          <w:szCs w:val="44"/>
        </w:rPr>
      </w:pPr>
      <w:r>
        <w:br w:type="page" w:clear="all"/>
      </w:r>
      <w:r>
        <w:rPr>
          <w:rFonts w:cs="宋体"/>
          <w:b/>
          <w:bCs/>
          <w:sz w:val="44"/>
          <w:szCs w:val="44"/>
        </w:rPr>
      </w:r>
      <w:r/>
    </w:p>
    <w:p>
      <w:pPr>
        <w:pStyle w:val="955"/>
        <w:numPr>
          <w:ilvl w:val="0"/>
          <w:numId w:val="0"/>
        </w:numPr>
        <w:jc w:val="center"/>
        <w:tabs>
          <w:tab w:val="left" w:pos="432" w:leader="none"/>
        </w:tabs>
        <w:rPr>
          <w:rFonts w:hint="eastAsia" w:ascii="宋体" w:hAnsi="宋体" w:cs="宋体"/>
        </w:rPr>
      </w:pPr>
      <w:r>
        <w:rPr>
          <w:rFonts w:hint="eastAsia" w:ascii="宋体" w:hAnsi="宋体" w:cs="宋体"/>
        </w:rPr>
        <w:t xml:space="preserve">第六章 评标办法及标准</w:t>
      </w:r>
      <w:r/>
    </w:p>
    <w:p>
      <w:pPr>
        <w:pStyle w:val="954"/>
        <w:spacing w:line="360" w:lineRule="auto"/>
        <w:rPr>
          <w:rFonts w:hint="eastAsia" w:cs="宋体"/>
          <w:b/>
          <w:bCs/>
          <w:sz w:val="21"/>
          <w:szCs w:val="21"/>
        </w:rPr>
      </w:pPr>
      <w:r>
        <w:rPr>
          <w:rFonts w:hint="eastAsia" w:cs="宋体"/>
          <w:b/>
          <w:bCs/>
          <w:sz w:val="21"/>
          <w:szCs w:val="21"/>
        </w:rPr>
        <w:t xml:space="preserve">一、评标方法</w:t>
      </w:r>
      <w:r/>
    </w:p>
    <w:p>
      <w:pPr>
        <w:pStyle w:val="954"/>
        <w:ind w:firstLine="480"/>
        <w:spacing w:line="360" w:lineRule="auto"/>
        <w:rPr>
          <w:sz w:val="21"/>
          <w:szCs w:val="21"/>
        </w:rPr>
      </w:pPr>
      <w:r>
        <w:rPr>
          <w:rFonts w:hint="eastAsia"/>
          <w:sz w:val="21"/>
          <w:szCs w:val="21"/>
        </w:rPr>
        <w:t xml:space="preserve">1、本次招标评标采用为综合评分法，即在满足招标文件实质性要求前提下，按照招标文件中规定的评分标准和各项因素进行综合评审后，以评标总得分最高的投标人作为中标候选人。</w:t>
      </w:r>
      <w:r>
        <w:rPr>
          <w:sz w:val="21"/>
          <w:szCs w:val="21"/>
        </w:rPr>
      </w:r>
      <w:r/>
    </w:p>
    <w:p>
      <w:pPr>
        <w:pStyle w:val="954"/>
        <w:ind w:firstLine="480"/>
        <w:spacing w:line="360" w:lineRule="auto"/>
        <w:rPr>
          <w:rFonts w:hint="eastAsia"/>
          <w:sz w:val="21"/>
          <w:szCs w:val="21"/>
        </w:rPr>
      </w:pPr>
      <w:r>
        <w:rPr>
          <w:rFonts w:hint="eastAsia"/>
          <w:sz w:val="21"/>
          <w:szCs w:val="21"/>
        </w:rPr>
        <w:t xml:space="preserve">2、评标委员会各成员独立对每个进入打分程序的有效投标人的标书技术部分以打分的形式进行评审和评价（计算结果均四舍五入保留两位小数）。评审得分加上价格得分即为每个投标人的综合得分。</w:t>
      </w:r>
      <w:r/>
    </w:p>
    <w:p>
      <w:pPr>
        <w:pStyle w:val="954"/>
        <w:ind w:firstLine="480"/>
        <w:spacing w:line="360" w:lineRule="auto"/>
        <w:rPr>
          <w:rFonts w:hint="eastAsia"/>
          <w:sz w:val="21"/>
          <w:szCs w:val="21"/>
        </w:rPr>
      </w:pPr>
      <w:r>
        <w:rPr>
          <w:rFonts w:hint="eastAsia"/>
          <w:sz w:val="21"/>
          <w:szCs w:val="21"/>
        </w:rPr>
        <w:t xml:space="preserve">3、对评委的评分（除价格分外）进行统计汇总，评委人数在5人以下（含5人）的，直接算术平均计算得分。</w:t>
      </w:r>
      <w:r/>
    </w:p>
    <w:p>
      <w:pPr>
        <w:pStyle w:val="954"/>
        <w:ind w:firstLine="420"/>
        <w:spacing w:line="360" w:lineRule="auto"/>
        <w:rPr>
          <w:rFonts w:hint="eastAsia"/>
          <w:sz w:val="21"/>
          <w:szCs w:val="21"/>
        </w:rPr>
      </w:pPr>
      <w:r>
        <w:rPr>
          <w:rFonts w:hint="eastAsia"/>
          <w:sz w:val="21"/>
          <w:szCs w:val="21"/>
        </w:rPr>
        <w:t xml:space="preserve">4、如出现评标总得分相同的投标人有两</w:t>
      </w:r>
      <w:r>
        <w:rPr>
          <w:rFonts w:hint="eastAsia"/>
          <w:sz w:val="21"/>
          <w:szCs w:val="21"/>
        </w:rPr>
        <w:t xml:space="preserve">个或两个以上的，以投标报价较低者优先作为中标候选人，如果投标报价也相同的，则由招标代理机构以抽签方式确定中标候选人。</w:t>
      </w:r>
      <w:r/>
    </w:p>
    <w:p>
      <w:pPr>
        <w:pStyle w:val="954"/>
        <w:spacing w:line="360" w:lineRule="auto"/>
        <w:rPr>
          <w:rFonts w:hint="eastAsia" w:cs="宋体"/>
          <w:b/>
          <w:bCs/>
          <w:sz w:val="21"/>
          <w:szCs w:val="21"/>
        </w:rPr>
      </w:pPr>
      <w:r>
        <w:rPr>
          <w:rFonts w:hint="eastAsia" w:cs="宋体"/>
          <w:b/>
          <w:bCs/>
          <w:sz w:val="21"/>
          <w:szCs w:val="21"/>
        </w:rPr>
        <w:t xml:space="preserve">二、评审因素、分值及评分标准</w:t>
      </w:r>
      <w:bookmarkStart w:id="19" w:name="_Hlk169004872"/>
      <w:r>
        <w:rPr>
          <w:rFonts w:hint="eastAsia" w:cs="宋体"/>
          <w:b/>
          <w:bCs/>
          <w:sz w:val="21"/>
          <w:szCs w:val="21"/>
        </w:rPr>
      </w:r>
      <w:r/>
    </w:p>
    <w:p>
      <w:pPr>
        <w:pStyle w:val="954"/>
        <w:spacing w:line="360" w:lineRule="auto"/>
        <w:rPr>
          <w:b/>
          <w:bCs/>
          <w:sz w:val="21"/>
          <w:szCs w:val="21"/>
        </w:rPr>
      </w:pPr>
      <w:r/>
      <w:bookmarkEnd w:id="19"/>
      <w:r>
        <w:rPr>
          <w:rFonts w:hint="eastAsia"/>
          <w:b/>
          <w:bCs/>
          <w:sz w:val="21"/>
          <w:szCs w:val="21"/>
        </w:rPr>
        <w:t xml:space="preserve">（一）价格分（20分）</w:t>
      </w:r>
      <w:r>
        <w:rPr>
          <w:b/>
          <w:bCs/>
          <w:sz w:val="21"/>
          <w:szCs w:val="21"/>
        </w:rPr>
      </w:r>
      <w:r/>
    </w:p>
    <w:p>
      <w:pPr>
        <w:pStyle w:val="954"/>
        <w:ind w:firstLine="480"/>
        <w:spacing w:line="360" w:lineRule="auto"/>
        <w:rPr>
          <w:sz w:val="21"/>
          <w:szCs w:val="21"/>
        </w:rPr>
      </w:pPr>
      <w:r>
        <w:rPr>
          <w:rFonts w:hint="eastAsia"/>
          <w:sz w:val="21"/>
          <w:szCs w:val="21"/>
        </w:rPr>
        <w:t xml:space="preserve">1、</w:t>
      </w:r>
      <w:bookmarkStart w:id="20" w:name="OLE_LINK11"/>
      <w:r>
        <w:rPr>
          <w:rFonts w:hint="eastAsia"/>
          <w:sz w:val="21"/>
          <w:szCs w:val="21"/>
        </w:rPr>
        <w:t xml:space="preserve">投标报价不超过最高限价的为有效投标报价</w:t>
      </w:r>
      <w:bookmarkEnd w:id="20"/>
      <w:r>
        <w:rPr>
          <w:rFonts w:hint="eastAsia"/>
          <w:sz w:val="21"/>
          <w:szCs w:val="21"/>
        </w:rPr>
        <w:t xml:space="preserve">。超出此范围的投标报价为无效投标报价。无效投标报价的投标文件不进行评审，也不得标；</w:t>
      </w:r>
      <w:r>
        <w:rPr>
          <w:sz w:val="21"/>
          <w:szCs w:val="21"/>
        </w:rPr>
      </w:r>
      <w:r/>
    </w:p>
    <w:p>
      <w:pPr>
        <w:pStyle w:val="954"/>
        <w:ind w:firstLine="480"/>
        <w:spacing w:line="360" w:lineRule="auto"/>
        <w:rPr>
          <w:sz w:val="21"/>
          <w:szCs w:val="21"/>
        </w:rPr>
      </w:pPr>
      <w:r>
        <w:rPr>
          <w:sz w:val="21"/>
          <w:szCs w:val="21"/>
        </w:rPr>
        <w:t xml:space="preserve">2</w:t>
      </w:r>
      <w:r>
        <w:rPr>
          <w:rFonts w:hint="eastAsia"/>
          <w:sz w:val="21"/>
          <w:szCs w:val="21"/>
        </w:rPr>
        <w:t xml:space="preserve">、价格分采用低价优先法计算，即满足招标文件要求且投标价格最低的投标报价为评标基准价，其价格分为满分。其他投标人的价格分统一按照下列公式计算（计算结果四舍五入保留两位小数）：</w:t>
      </w:r>
      <w:r>
        <w:rPr>
          <w:sz w:val="21"/>
          <w:szCs w:val="21"/>
        </w:rPr>
      </w:r>
      <w:r/>
    </w:p>
    <w:p>
      <w:pPr>
        <w:pStyle w:val="954"/>
        <w:ind w:firstLine="480"/>
        <w:spacing w:line="360" w:lineRule="auto"/>
        <w:rPr>
          <w:sz w:val="21"/>
          <w:szCs w:val="21"/>
        </w:rPr>
      </w:pPr>
      <w:r>
        <w:rPr>
          <w:rFonts w:hint="eastAsia"/>
          <w:sz w:val="21"/>
          <w:szCs w:val="21"/>
        </w:rPr>
        <w:t xml:space="preserve">投标报价得分=（评标基准价/投标报价）*价格权值*100（本次招标价格权值为20%）。</w:t>
      </w:r>
      <w:r>
        <w:rPr>
          <w:sz w:val="21"/>
          <w:szCs w:val="21"/>
        </w:rPr>
      </w:r>
      <w:r/>
    </w:p>
    <w:p>
      <w:pPr>
        <w:pStyle w:val="954"/>
        <w:spacing w:line="360" w:lineRule="auto"/>
        <w:rPr>
          <w:sz w:val="21"/>
          <w:szCs w:val="21"/>
        </w:rPr>
      </w:pPr>
      <w:r>
        <w:rPr>
          <w:rFonts w:hint="eastAsia"/>
          <w:b/>
          <w:bCs/>
          <w:sz w:val="21"/>
          <w:szCs w:val="21"/>
        </w:rPr>
        <w:t xml:space="preserve">（二）项目方案（45分）</w:t>
      </w:r>
      <w:r>
        <w:rPr>
          <w:sz w:val="21"/>
          <w:szCs w:val="21"/>
        </w:rPr>
      </w:r>
      <w:r/>
    </w:p>
    <w:p>
      <w:pPr>
        <w:pStyle w:val="954"/>
        <w:ind w:firstLine="482"/>
        <w:spacing w:line="360" w:lineRule="auto"/>
        <w:rPr>
          <w:rFonts w:hint="eastAsia"/>
          <w:b/>
          <w:bCs/>
          <w:sz w:val="21"/>
          <w:szCs w:val="21"/>
        </w:rPr>
      </w:pPr>
      <w:r>
        <w:rPr>
          <w:rFonts w:hint="eastAsia"/>
          <w:b/>
          <w:bCs/>
          <w:sz w:val="21"/>
          <w:szCs w:val="21"/>
        </w:rPr>
        <w:t xml:space="preserve">1、服务实施方案（12分）</w:t>
      </w:r>
      <w:r/>
    </w:p>
    <w:p>
      <w:pPr>
        <w:pStyle w:val="954"/>
        <w:ind w:firstLine="480"/>
        <w:spacing w:line="360" w:lineRule="auto"/>
        <w:rPr>
          <w:rFonts w:hint="eastAsia"/>
          <w:sz w:val="21"/>
          <w:szCs w:val="21"/>
        </w:rPr>
      </w:pPr>
      <w:r>
        <w:rPr>
          <w:rFonts w:hint="eastAsia"/>
          <w:sz w:val="21"/>
          <w:szCs w:val="21"/>
        </w:rPr>
        <w:t xml:space="preserve">根据投标人针对本项目的服务实施方案进行评分，方案内容至少包括：①清运方案②人员配备③车辆配备等。方案内容针对本项目且符合本项目实际需求的，每满足一项得4分，本项满分12分。</w:t>
      </w:r>
      <w:r/>
    </w:p>
    <w:p>
      <w:pPr>
        <w:pStyle w:val="954"/>
        <w:ind w:firstLine="482"/>
        <w:spacing w:line="360" w:lineRule="auto"/>
        <w:rPr>
          <w:rFonts w:hint="eastAsia"/>
          <w:b/>
          <w:bCs/>
          <w:sz w:val="21"/>
          <w:szCs w:val="21"/>
        </w:rPr>
      </w:pPr>
      <w:r>
        <w:rPr>
          <w:rFonts w:hint="eastAsia"/>
          <w:b/>
          <w:bCs/>
          <w:sz w:val="21"/>
          <w:szCs w:val="21"/>
        </w:rPr>
        <w:t xml:space="preserve">2、</w:t>
      </w:r>
      <w:bookmarkStart w:id="21" w:name="OLE_LINK12"/>
      <w:r>
        <w:rPr>
          <w:rFonts w:hint="eastAsia"/>
          <w:b/>
          <w:bCs/>
          <w:sz w:val="21"/>
          <w:szCs w:val="21"/>
        </w:rPr>
        <w:t xml:space="preserve">环保扬尘治理措施</w:t>
      </w:r>
      <w:bookmarkEnd w:id="21"/>
      <w:r>
        <w:rPr>
          <w:rFonts w:hint="eastAsia"/>
          <w:b/>
          <w:bCs/>
          <w:sz w:val="21"/>
          <w:szCs w:val="21"/>
        </w:rPr>
        <w:t xml:space="preserve">（9分）</w:t>
      </w:r>
      <w:r/>
    </w:p>
    <w:p>
      <w:pPr>
        <w:pStyle w:val="954"/>
        <w:ind w:firstLine="480"/>
        <w:spacing w:line="360" w:lineRule="auto"/>
        <w:rPr>
          <w:rFonts w:hint="eastAsia"/>
          <w:sz w:val="21"/>
          <w:szCs w:val="21"/>
        </w:rPr>
      </w:pPr>
      <w:r>
        <w:rPr>
          <w:rFonts w:hint="eastAsia"/>
          <w:sz w:val="21"/>
          <w:szCs w:val="21"/>
        </w:rPr>
        <w:t xml:space="preserve">根据投标人针对本项目的环保扬尘治理措施进行评分，方案内容至少包括：①控制抛洒措施②控制渗漏液措施③降尘措施等。方案内容针对本项目且符合本项目实际需求的，每满足一项得3分，本项满分9分。</w:t>
      </w:r>
      <w:r/>
    </w:p>
    <w:p>
      <w:pPr>
        <w:pStyle w:val="954"/>
        <w:ind w:firstLine="482"/>
        <w:spacing w:line="360" w:lineRule="auto"/>
        <w:rPr>
          <w:rFonts w:hint="eastAsia"/>
          <w:b/>
          <w:bCs/>
          <w:sz w:val="21"/>
          <w:szCs w:val="21"/>
        </w:rPr>
      </w:pPr>
      <w:r>
        <w:rPr>
          <w:rFonts w:hint="eastAsia"/>
          <w:b/>
          <w:bCs/>
          <w:sz w:val="21"/>
          <w:szCs w:val="21"/>
        </w:rPr>
        <w:t xml:space="preserve">3、</w:t>
      </w:r>
      <w:bookmarkStart w:id="22" w:name="OLE_LINK13"/>
      <w:r>
        <w:rPr>
          <w:rFonts w:hint="eastAsia"/>
          <w:b/>
          <w:bCs/>
          <w:sz w:val="21"/>
          <w:szCs w:val="21"/>
        </w:rPr>
        <w:t xml:space="preserve">应急保证措施</w:t>
      </w:r>
      <w:bookmarkEnd w:id="22"/>
      <w:r>
        <w:rPr>
          <w:rFonts w:hint="eastAsia"/>
          <w:b/>
          <w:bCs/>
          <w:sz w:val="21"/>
          <w:szCs w:val="21"/>
        </w:rPr>
        <w:t xml:space="preserve">（</w:t>
      </w:r>
      <w:r>
        <w:rPr>
          <w:rFonts w:hint="eastAsia"/>
          <w:b/>
          <w:bCs/>
          <w:sz w:val="21"/>
          <w:szCs w:val="21"/>
        </w:rPr>
        <w:t xml:space="preserve">12分）</w:t>
      </w:r>
      <w:r/>
    </w:p>
    <w:p>
      <w:pPr>
        <w:pStyle w:val="954"/>
        <w:ind w:firstLine="480"/>
        <w:spacing w:line="360" w:lineRule="auto"/>
        <w:rPr>
          <w:rFonts w:hint="eastAsia"/>
          <w:sz w:val="21"/>
          <w:szCs w:val="21"/>
        </w:rPr>
      </w:pPr>
      <w:r>
        <w:rPr>
          <w:rFonts w:hint="eastAsia"/>
          <w:sz w:val="21"/>
          <w:szCs w:val="21"/>
        </w:rPr>
        <w:t xml:space="preserve">根据投标人针对本项目的应急保证措施进行评分，方案内容至少包括：①装修旺季清运措施②车辆抛锚、交通事故应急措施③各类恶劣灾害性天气应急措施④突发事件应急措施等。方案内容针对本项目且符合本项目实际需求的，每满足一项得3分，本项满分12分。</w:t>
      </w:r>
      <w:r/>
    </w:p>
    <w:p>
      <w:pPr>
        <w:pStyle w:val="954"/>
        <w:ind w:firstLine="482"/>
        <w:spacing w:line="360" w:lineRule="auto"/>
        <w:rPr>
          <w:rFonts w:hint="eastAsia"/>
          <w:b/>
          <w:bCs/>
          <w:sz w:val="21"/>
          <w:szCs w:val="21"/>
        </w:rPr>
      </w:pPr>
      <w:r>
        <w:rPr>
          <w:rFonts w:hint="eastAsia"/>
          <w:b/>
          <w:bCs/>
          <w:sz w:val="21"/>
          <w:szCs w:val="21"/>
        </w:rPr>
        <w:t xml:space="preserve">4、</w:t>
      </w:r>
      <w:bookmarkStart w:id="23" w:name="OLE_LINK14"/>
      <w:r>
        <w:rPr>
          <w:rFonts w:hint="eastAsia"/>
          <w:b/>
          <w:bCs/>
          <w:sz w:val="21"/>
          <w:szCs w:val="21"/>
        </w:rPr>
        <w:t xml:space="preserve">管理制度</w:t>
      </w:r>
      <w:bookmarkEnd w:id="23"/>
      <w:r>
        <w:rPr>
          <w:rFonts w:hint="eastAsia"/>
          <w:b/>
          <w:bCs/>
          <w:sz w:val="21"/>
          <w:szCs w:val="21"/>
        </w:rPr>
        <w:t xml:space="preserve">（12分）</w:t>
      </w:r>
      <w:r/>
    </w:p>
    <w:p>
      <w:pPr>
        <w:pStyle w:val="954"/>
        <w:ind w:firstLine="480"/>
        <w:spacing w:line="360" w:lineRule="auto"/>
        <w:rPr>
          <w:rFonts w:hint="eastAsia"/>
          <w:sz w:val="21"/>
          <w:szCs w:val="21"/>
        </w:rPr>
      </w:pPr>
      <w:r>
        <w:rPr>
          <w:rFonts w:hint="eastAsia"/>
          <w:sz w:val="21"/>
          <w:szCs w:val="21"/>
        </w:rPr>
        <w:t xml:space="preserve">根据投标人的各项管理制度进行评分，内容至少包括：①人员操作、技术、安全作业培训制度②车辆运营、安全、保养、行政管理制度③安全管理制度④内业资料管理制度等。方案内容针对本项目且符合本项目实际需求的，每满足一项得3分，本项满分12分。</w:t>
      </w:r>
      <w:r/>
    </w:p>
    <w:p>
      <w:pPr>
        <w:pStyle w:val="954"/>
        <w:spacing w:line="360" w:lineRule="auto"/>
        <w:rPr>
          <w:rFonts w:hint="eastAsia"/>
          <w:b/>
          <w:bCs/>
          <w:sz w:val="21"/>
          <w:szCs w:val="21"/>
        </w:rPr>
      </w:pPr>
      <w:r>
        <w:rPr>
          <w:rFonts w:hint="eastAsia"/>
          <w:b/>
          <w:bCs/>
          <w:sz w:val="21"/>
          <w:szCs w:val="21"/>
        </w:rPr>
        <w:t xml:space="preserve">（三）企业综合实力（35分）</w:t>
      </w:r>
      <w:r/>
    </w:p>
    <w:p>
      <w:pPr>
        <w:pStyle w:val="954"/>
        <w:ind w:firstLine="480"/>
        <w:spacing w:line="360" w:lineRule="auto"/>
        <w:rPr>
          <w:rFonts w:hint="eastAsia"/>
          <w:sz w:val="21"/>
          <w:szCs w:val="21"/>
        </w:rPr>
      </w:pPr>
      <w:r>
        <w:rPr>
          <w:rFonts w:hint="eastAsia"/>
          <w:sz w:val="21"/>
          <w:szCs w:val="21"/>
        </w:rPr>
        <w:t xml:space="preserve">1、投标单位在本项目中，每投入一辆铲车得5分，最高10分；每投入一辆洒水车得5分，最高10分。本项最高得20分。</w:t>
      </w:r>
      <w:r/>
    </w:p>
    <w:p>
      <w:pPr>
        <w:pStyle w:val="954"/>
        <w:ind w:firstLine="480"/>
        <w:spacing w:line="360" w:lineRule="auto"/>
        <w:tabs>
          <w:tab w:val="left" w:pos="567" w:leader="none"/>
        </w:tabs>
        <w:rPr>
          <w:rFonts w:hint="eastAsia"/>
          <w:b/>
          <w:bCs/>
          <w:sz w:val="21"/>
          <w:szCs w:val="21"/>
        </w:rPr>
      </w:pPr>
      <w:r>
        <w:rPr>
          <w:rFonts w:hint="eastAsia"/>
          <w:b/>
          <w:bCs/>
          <w:sz w:val="21"/>
          <w:szCs w:val="21"/>
        </w:rPr>
        <w:t xml:space="preserve">注：如为自有，投标文件中须提供车辆权属登记证；如为租赁，投标文件中须提供车辆租赁合同及证明合同真实履行车辆租赁发票。不提供不得分。</w:t>
      </w:r>
      <w:r/>
    </w:p>
    <w:p>
      <w:pPr>
        <w:pStyle w:val="954"/>
        <w:ind w:firstLine="425"/>
        <w:spacing w:line="360" w:lineRule="auto"/>
        <w:rPr>
          <w:rFonts w:hint="eastAsia"/>
          <w:sz w:val="21"/>
          <w:szCs w:val="21"/>
        </w:rPr>
      </w:pPr>
      <w:r>
        <w:rPr>
          <w:rFonts w:hint="eastAsia"/>
          <w:sz w:val="21"/>
          <w:szCs w:val="21"/>
        </w:rPr>
        <w:t xml:space="preserve">2、</w:t>
      </w:r>
      <w:r>
        <w:rPr>
          <w:rFonts w:hint="eastAsia"/>
          <w:bCs/>
          <w:sz w:val="21"/>
          <w:szCs w:val="21"/>
        </w:rPr>
        <w:t xml:space="preserve">投标</w:t>
      </w:r>
      <w:r>
        <w:rPr>
          <w:rFonts w:hint="eastAsia"/>
          <w:sz w:val="21"/>
          <w:szCs w:val="21"/>
        </w:rPr>
        <w:t xml:space="preserve">单位提供2023年</w:t>
      </w:r>
      <w:r>
        <w:rPr>
          <w:rFonts w:hint="eastAsia"/>
          <w:sz w:val="21"/>
          <w:szCs w:val="21"/>
        </w:rPr>
        <w:t xml:space="preserve">4</w:t>
      </w:r>
      <w:r>
        <w:rPr>
          <w:rFonts w:hint="eastAsia"/>
          <w:sz w:val="21"/>
          <w:szCs w:val="21"/>
        </w:rPr>
        <w:t xml:space="preserve">月1日以来（以合同签订日期为准）同类项目（建筑垃圾运输）业绩，每一份有效业绩得3分，最高15分。</w:t>
      </w:r>
      <w:r/>
    </w:p>
    <w:p>
      <w:pPr>
        <w:pStyle w:val="954"/>
        <w:ind w:firstLine="422"/>
        <w:spacing w:line="360" w:lineRule="auto"/>
        <w:rPr>
          <w:rFonts w:hint="eastAsia"/>
          <w:bCs/>
          <w:sz w:val="21"/>
          <w:szCs w:val="21"/>
        </w:rPr>
      </w:pPr>
      <w:r>
        <w:rPr>
          <w:rFonts w:hint="eastAsia"/>
          <w:b/>
          <w:bCs/>
          <w:sz w:val="21"/>
          <w:szCs w:val="21"/>
        </w:rPr>
        <w:t xml:space="preserve">注：提供合同复印件，不提供不得分。</w:t>
      </w:r>
      <w:r>
        <w:rPr>
          <w:rFonts w:hint="eastAsia"/>
          <w:bCs/>
          <w:sz w:val="21"/>
          <w:szCs w:val="21"/>
        </w:rPr>
      </w:r>
      <w:r/>
    </w:p>
    <w:p>
      <w:pPr>
        <w:pStyle w:val="954"/>
        <w:spacing w:line="360" w:lineRule="auto"/>
        <w:rPr>
          <w:rFonts w:hint="eastAsia"/>
          <w:b/>
          <w:bCs/>
          <w:sz w:val="21"/>
          <w:szCs w:val="21"/>
        </w:rPr>
      </w:pPr>
      <w:r>
        <w:rPr>
          <w:rFonts w:hint="eastAsia"/>
          <w:b/>
          <w:bCs/>
          <w:sz w:val="21"/>
          <w:szCs w:val="21"/>
        </w:rPr>
      </w:r>
      <w:r/>
    </w:p>
    <w:p>
      <w:pPr>
        <w:pStyle w:val="954"/>
        <w:spacing w:line="360" w:lineRule="auto"/>
        <w:rPr>
          <w:sz w:val="21"/>
          <w:szCs w:val="21"/>
        </w:rPr>
      </w:pPr>
      <w:r>
        <w:rPr>
          <w:rFonts w:hint="eastAsia"/>
          <w:b/>
          <w:bCs/>
          <w:sz w:val="21"/>
          <w:szCs w:val="21"/>
        </w:rPr>
        <w:t xml:space="preserve">注</w:t>
      </w:r>
      <w:r>
        <w:rPr>
          <w:rFonts w:hint="eastAsia"/>
          <w:sz w:val="21"/>
          <w:szCs w:val="21"/>
        </w:rPr>
        <w:t xml:space="preserve">：1、</w:t>
      </w:r>
      <w:r>
        <w:rPr>
          <w:sz w:val="21"/>
          <w:szCs w:val="21"/>
        </w:rPr>
        <w:t xml:space="preserve">报价超过</w:t>
      </w:r>
      <w:r>
        <w:rPr>
          <w:rFonts w:hint="eastAsia"/>
          <w:sz w:val="21"/>
          <w:szCs w:val="21"/>
        </w:rPr>
        <w:t xml:space="preserve">最高限价</w:t>
      </w:r>
      <w:r>
        <w:rPr>
          <w:sz w:val="21"/>
          <w:szCs w:val="21"/>
        </w:rPr>
        <w:t xml:space="preserve">的为无效投标。</w:t>
      </w:r>
      <w:r/>
    </w:p>
    <w:p>
      <w:pPr>
        <w:pStyle w:val="954"/>
        <w:ind w:firstLine="420"/>
        <w:spacing w:line="360" w:lineRule="auto"/>
        <w:rPr>
          <w:sz w:val="21"/>
          <w:szCs w:val="21"/>
        </w:rPr>
      </w:pPr>
      <w:r>
        <w:rPr>
          <w:sz w:val="21"/>
          <w:szCs w:val="21"/>
        </w:rPr>
        <w:t xml:space="preserve">2</w:t>
      </w:r>
      <w:r>
        <w:rPr>
          <w:rFonts w:hint="eastAsia"/>
          <w:sz w:val="21"/>
          <w:szCs w:val="21"/>
        </w:rPr>
        <w:t xml:space="preserve">、对应评审项，上传相应证明材料，若要求提</w:t>
      </w:r>
      <w:r>
        <w:rPr>
          <w:rFonts w:hint="eastAsia"/>
          <w:sz w:val="21"/>
          <w:szCs w:val="21"/>
        </w:rPr>
        <w:t xml:space="preserve">供原件的需上传原件扫描件；</w:t>
      </w:r>
      <w:r>
        <w:rPr>
          <w:sz w:val="21"/>
          <w:szCs w:val="21"/>
        </w:rPr>
      </w:r>
      <w:r/>
    </w:p>
    <w:p>
      <w:pPr>
        <w:pStyle w:val="954"/>
        <w:ind w:firstLine="420"/>
        <w:spacing w:line="360" w:lineRule="auto"/>
        <w:rPr>
          <w:sz w:val="21"/>
          <w:szCs w:val="21"/>
        </w:rPr>
      </w:pPr>
      <w:r>
        <w:rPr>
          <w:sz w:val="21"/>
          <w:szCs w:val="21"/>
        </w:rPr>
        <w:t xml:space="preserve">3、</w:t>
      </w:r>
      <w:r>
        <w:rPr>
          <w:bCs/>
          <w:sz w:val="21"/>
          <w:szCs w:val="21"/>
        </w:rPr>
        <w:t xml:space="preserve">投标人所提供的证书或材料</w:t>
      </w:r>
      <w:r>
        <w:rPr>
          <w:rFonts w:hint="eastAsia"/>
          <w:bCs/>
          <w:sz w:val="21"/>
          <w:szCs w:val="21"/>
        </w:rPr>
        <w:t xml:space="preserve">扫描件</w:t>
      </w:r>
      <w:r>
        <w:rPr>
          <w:bCs/>
          <w:sz w:val="21"/>
          <w:szCs w:val="21"/>
        </w:rPr>
        <w:t xml:space="preserve">需加盖投标单位</w:t>
      </w:r>
      <w:r>
        <w:rPr>
          <w:rFonts w:hint="eastAsia"/>
          <w:bCs/>
          <w:sz w:val="21"/>
          <w:szCs w:val="21"/>
        </w:rPr>
        <w:t xml:space="preserve">电子公</w:t>
      </w:r>
      <w:r>
        <w:rPr>
          <w:bCs/>
          <w:sz w:val="21"/>
          <w:szCs w:val="21"/>
        </w:rPr>
        <w:t xml:space="preserve">章，否则不得分。</w:t>
      </w:r>
      <w:r>
        <w:rPr>
          <w:sz w:val="21"/>
          <w:szCs w:val="21"/>
        </w:rPr>
      </w:r>
      <w:r/>
    </w:p>
    <w:p>
      <w:pPr>
        <w:pStyle w:val="954"/>
        <w:ind w:firstLine="420"/>
        <w:spacing w:line="360" w:lineRule="auto"/>
        <w:rPr>
          <w:rFonts w:cs="宋体"/>
          <w:sz w:val="21"/>
          <w:szCs w:val="21"/>
        </w:rPr>
      </w:pPr>
      <w:r>
        <w:rPr>
          <w:sz w:val="21"/>
          <w:szCs w:val="21"/>
        </w:rPr>
        <w:t xml:space="preserve">4、</w:t>
      </w:r>
      <w:r>
        <w:rPr>
          <w:rFonts w:hint="eastAsia" w:cs="宋体"/>
          <w:sz w:val="21"/>
          <w:szCs w:val="21"/>
        </w:rPr>
        <w:t xml:space="preserve">针对评分标准中评分的每一条，投标供应商均须在投标文件中提供相关资料的扫描件加盖公章并作出相应说明供评委评判，不提供相关资料的视为不具备该项得分的条件。</w:t>
      </w:r>
      <w:r>
        <w:rPr>
          <w:rFonts w:cs="宋体"/>
          <w:sz w:val="21"/>
          <w:szCs w:val="21"/>
        </w:rPr>
      </w:r>
      <w:r/>
    </w:p>
    <w:p>
      <w:pPr>
        <w:pStyle w:val="954"/>
        <w:ind w:firstLine="420"/>
        <w:spacing w:line="360" w:lineRule="auto"/>
        <w:rPr>
          <w:sz w:val="21"/>
          <w:szCs w:val="21"/>
        </w:rPr>
      </w:pPr>
      <w:r>
        <w:rPr>
          <w:sz w:val="21"/>
          <w:szCs w:val="21"/>
        </w:rPr>
        <w:t xml:space="preserve">5、</w:t>
      </w:r>
      <w:r>
        <w:rPr>
          <w:rFonts w:hint="eastAsia"/>
          <w:sz w:val="21"/>
          <w:szCs w:val="21"/>
        </w:rPr>
        <w:t xml:space="preserve">所有扫描件字迹须扫描清晰可见，</w:t>
      </w:r>
      <w:r>
        <w:rPr>
          <w:sz w:val="21"/>
          <w:szCs w:val="21"/>
        </w:rPr>
        <w:t xml:space="preserve">字迹不清晰或</w:t>
      </w:r>
      <w:r>
        <w:rPr>
          <w:rFonts w:hint="eastAsia"/>
          <w:sz w:val="21"/>
          <w:szCs w:val="21"/>
        </w:rPr>
        <w:t xml:space="preserve">扫描</w:t>
      </w:r>
      <w:r>
        <w:rPr>
          <w:sz w:val="21"/>
          <w:szCs w:val="21"/>
        </w:rPr>
        <w:t xml:space="preserve">不全，视为未提供。</w:t>
      </w:r>
      <w:r/>
    </w:p>
    <w:p>
      <w:pPr>
        <w:pStyle w:val="954"/>
        <w:ind w:right="840"/>
        <w:jc w:val="right"/>
        <w:spacing w:line="360" w:lineRule="auto"/>
        <w:rPr>
          <w:rFonts w:hint="eastAsia" w:cs="宋体"/>
          <w:sz w:val="21"/>
          <w:szCs w:val="21"/>
        </w:rPr>
      </w:pPr>
      <w:r>
        <w:rPr>
          <w:rFonts w:hint="eastAsia" w:cs="宋体"/>
          <w:sz w:val="21"/>
          <w:szCs w:val="21"/>
        </w:rPr>
        <w:t xml:space="preserve">（全文完）</w:t>
      </w:r>
      <w:r/>
    </w:p>
    <w:sectPr>
      <w:footnotePr/>
      <w:endnotePr/>
      <w:type w:val="nextPage"/>
      <w:pgSz w:w="11906" w:h="16838" w:orient="portrait"/>
      <w:pgMar w:top="675" w:right="1021" w:bottom="1702" w:left="1021" w:header="426" w:footer="28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楷体">
    <w:panose1 w:val="02010609060101010101"/>
  </w:font>
  <w:font w:name="等线">
    <w:panose1 w:val="02010600030101010101"/>
  </w:font>
  <w:font w:name="仿宋">
    <w:panose1 w:val="02010609060101010101"/>
  </w:font>
  <w:font w:name="汉仪细等线简">
    <w:panose1 w:val="020B0503020202020204"/>
  </w:font>
  <w:font w:name="Wingdings">
    <w:panose1 w:val="05000000000000000000"/>
  </w:font>
  <w:font w:name="全真中明體">
    <w:panose1 w:val="020B0503020202020204"/>
  </w:font>
  <w:font w:name="Tahoma">
    <w:panose1 w:val="020B0604030504040204"/>
  </w:font>
  <w:font w:name="微软雅黑">
    <w:panose1 w:val="020B0503020204020204"/>
  </w:font>
  <w:font w:name="Calibri">
    <w:panose1 w:val="020F0502020204030204"/>
  </w:font>
  <w:font w:name="Cambria">
    <w:panose1 w:val="02040503050406030204"/>
  </w:font>
  <w:font w:name="Courier New">
    <w:panose1 w:val="02070309020205020404"/>
  </w:font>
  <w:font w:name="楷体_GB2312">
    <w:panose1 w:val="02010609060101010101"/>
  </w:font>
  <w:font w:name="ˎ̥">
    <w:panose1 w:val="020B0503020202020204"/>
  </w:font>
  <w:font w:name="Century Gothic">
    <w:panose1 w:val="020B0502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ind w:left="900" w:hanging="420"/>
      <w:jc w:val="center"/>
      <w:rPr>
        <w:rFonts w:hint="eastAsia"/>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rPr>
        <w:rFonts w:hint="eastAsia"/>
      </w:rPr>
    </w:r>
    <w:r/>
  </w:p>
  <w:p>
    <w:pPr>
      <w:pStyle w:val="100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rPr>
        <w:rStyle w:val="1037"/>
      </w:rPr>
      <w:framePr w:wrap="around" w:vAnchor="text" w:hAnchor="margin" w:xAlign="center" w:y="1"/>
    </w:pPr>
    <w:r>
      <w:fldChar w:fldCharType="begin"/>
    </w:r>
    <w:r>
      <w:rPr>
        <w:rStyle w:val="1037"/>
      </w:rPr>
      <w:instrText xml:space="preserve">PAGE  </w:instrText>
    </w:r>
    <w:r>
      <w:fldChar w:fldCharType="end"/>
    </w:r>
    <w:r>
      <w:rPr>
        <w:rStyle w:val="1037"/>
      </w:rPr>
    </w:r>
    <w:r/>
  </w:p>
  <w:p>
    <w:pPr>
      <w:pStyle w:val="100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ind w:left="900" w:hanging="420"/>
      <w:jc w:val="center"/>
      <w:rPr>
        <w:rFonts w:hint="eastAsia"/>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rPr>
        <w:rFonts w:hint="eastAsia"/>
      </w:rPr>
    </w:r>
    <w:r/>
  </w:p>
  <w:p>
    <w:pPr>
      <w:pStyle w:val="10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01"/>
      <w:isLgl w:val="false"/>
      <w:suff w:val="tab"/>
      <w:lvlText w:val="%1."/>
      <w:lvlJc w:val="left"/>
      <w:pPr>
        <w:pStyle w:val="954"/>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165"/>
      <w:isLgl w:val="false"/>
      <w:suff w:val="tab"/>
      <w:lvlText w:val="%1、"/>
      <w:lvlJc w:val="left"/>
      <w:pPr>
        <w:pStyle w:val="954"/>
        <w:ind w:left="420" w:hanging="420"/>
        <w:tabs>
          <w:tab w:val="num" w:pos="420" w:leader="none"/>
        </w:tabs>
      </w:pPr>
      <w:rPr>
        <w:rFonts w:hint="eastAsia"/>
      </w:rPr>
    </w:lvl>
    <w:lvl w:ilvl="1">
      <w:start w:val="0"/>
      <w:numFmt w:val="bullet"/>
      <w:isLgl w:val="false"/>
      <w:suff w:val="tab"/>
      <w:lvlText w:val="★"/>
      <w:lvlJc w:val="left"/>
      <w:pPr>
        <w:pStyle w:val="954"/>
        <w:ind w:left="600" w:hanging="360"/>
        <w:tabs>
          <w:tab w:val="num" w:pos="600" w:leader="none"/>
        </w:tabs>
      </w:pPr>
      <w:rPr>
        <w:rFonts w:ascii="Times New Roman" w:hAnsi="Times New Roman" w:eastAsia="宋体" w:cs="Times New Roman"/>
      </w:rPr>
    </w:lvl>
    <w:lvl w:ilvl="2">
      <w:start w:val="1"/>
      <w:numFmt w:val="decimal"/>
      <w:isLgl w:val="false"/>
      <w:suff w:val="tab"/>
      <w:lvlText w:val="%3."/>
      <w:lvlJc w:val="left"/>
      <w:pPr>
        <w:pStyle w:val="954"/>
        <w:ind w:left="1080" w:hanging="420"/>
        <w:tabs>
          <w:tab w:val="num" w:pos="1080" w:leader="none"/>
        </w:tabs>
      </w:pPr>
      <w:rPr>
        <w:rFonts w:hint="eastAsia"/>
      </w:rPr>
    </w:lvl>
    <w:lvl w:ilvl="3">
      <w:start w:val="1"/>
      <w:numFmt w:val="decimal"/>
      <w:isLgl w:val="false"/>
      <w:suff w:val="tab"/>
      <w:lvlText w:val="（%4）"/>
      <w:lvlJc w:val="left"/>
      <w:pPr>
        <w:pStyle w:val="954"/>
        <w:ind w:left="1800" w:hanging="720"/>
        <w:tabs>
          <w:tab w:val="num" w:pos="1800" w:leader="none"/>
        </w:tabs>
      </w:pPr>
    </w:lvl>
    <w:lvl w:ilvl="4">
      <w:start w:val="2"/>
      <w:numFmt w:val="upperLetter"/>
      <w:isLgl w:val="false"/>
      <w:suff w:val="tab"/>
      <w:lvlText w:val="%5、"/>
      <w:lvlJc w:val="left"/>
      <w:pPr>
        <w:pStyle w:val="954"/>
        <w:ind w:left="1860" w:hanging="360"/>
        <w:tabs>
          <w:tab w:val="num" w:pos="1860" w:leader="none"/>
        </w:tabs>
      </w:pPr>
    </w:lvl>
    <w:lvl w:ilvl="5">
      <w:start w:val="3"/>
      <w:numFmt w:val="upperLetter"/>
      <w:isLgl w:val="false"/>
      <w:suff w:val="tab"/>
      <w:lvlText w:val="%6、"/>
      <w:lvlJc w:val="left"/>
      <w:pPr>
        <w:pStyle w:val="954"/>
        <w:ind w:left="2280" w:hanging="360"/>
        <w:tabs>
          <w:tab w:val="num" w:pos="2280" w:leader="none"/>
        </w:tabs>
      </w:pPr>
      <w:rPr>
        <w:rFonts w:ascii="Arial" w:hAnsi="Arial" w:eastAsia="黑体"/>
        <w:b w:val="0"/>
      </w:rPr>
    </w:lvl>
    <w:lvl w:ilvl="6">
      <w:start w:val="1"/>
      <w:numFmt w:val="decimal"/>
      <w:isLgl w:val="false"/>
      <w:suff w:val="tab"/>
      <w:lvlText w:val="%7."/>
      <w:lvlJc w:val="left"/>
      <w:pPr>
        <w:pStyle w:val="954"/>
        <w:ind w:left="2760" w:hanging="420"/>
        <w:tabs>
          <w:tab w:val="num" w:pos="2760" w:leader="none"/>
        </w:tabs>
      </w:pPr>
    </w:lvl>
    <w:lvl w:ilvl="7">
      <w:start w:val="1"/>
      <w:numFmt w:val="lowerLetter"/>
      <w:isLgl w:val="false"/>
      <w:suff w:val="tab"/>
      <w:lvlText w:val="%8)"/>
      <w:lvlJc w:val="left"/>
      <w:pPr>
        <w:pStyle w:val="954"/>
        <w:ind w:left="3180" w:hanging="420"/>
        <w:tabs>
          <w:tab w:val="num" w:pos="3180" w:leader="none"/>
        </w:tabs>
      </w:pPr>
    </w:lvl>
    <w:lvl w:ilvl="8">
      <w:start w:val="1"/>
      <w:numFmt w:val="lowerRoman"/>
      <w:isLgl w:val="false"/>
      <w:suff w:val="tab"/>
      <w:lvlText w:val="%9."/>
      <w:lvlJc w:val="right"/>
      <w:pPr>
        <w:pStyle w:val="954"/>
        <w:ind w:left="3600" w:hanging="420"/>
        <w:tabs>
          <w:tab w:val="num" w:pos="3600" w:leader="none"/>
        </w:tabs>
      </w:pPr>
    </w:lvl>
  </w:abstractNum>
  <w:abstractNum w:abstractNumId="2">
    <w:multiLevelType w:val="hybridMultilevel"/>
    <w:lvl w:ilvl="0">
      <w:start w:val="1"/>
      <w:numFmt w:val="decimal"/>
      <w:isLgl w:val="false"/>
      <w:suff w:val="tab"/>
      <w:lvlText w:val="%1"/>
      <w:lvlJc w:val="left"/>
      <w:pPr>
        <w:pStyle w:val="954"/>
        <w:ind w:left="425" w:hanging="425"/>
      </w:pPr>
    </w:lvl>
    <w:lvl w:ilvl="1">
      <w:start w:val="1"/>
      <w:numFmt w:val="decimal"/>
      <w:isLgl w:val="false"/>
      <w:suff w:val="tab"/>
      <w:lvlText w:val="25.%2"/>
      <w:lvlJc w:val="left"/>
      <w:pPr>
        <w:pStyle w:val="954"/>
        <w:ind w:left="440" w:hanging="440"/>
      </w:pPr>
      <w:rPr>
        <w:rFonts w:hint="eastAsia"/>
      </w:rPr>
    </w:lvl>
    <w:lvl w:ilvl="2">
      <w:start w:val="1"/>
      <w:numFmt w:val="decimal"/>
      <w:isLgl w:val="false"/>
      <w:suff w:val="tab"/>
      <w:lvlText w:val="%1.%2.%3"/>
      <w:lvlJc w:val="left"/>
      <w:pPr>
        <w:pStyle w:val="954"/>
        <w:ind w:left="1418" w:hanging="567"/>
      </w:pPr>
    </w:lvl>
    <w:lvl w:ilvl="3">
      <w:start w:val="1"/>
      <w:numFmt w:val="decimal"/>
      <w:isLgl w:val="false"/>
      <w:suff w:val="tab"/>
      <w:lvlText w:val="%1.%2.%3.%4"/>
      <w:lvlJc w:val="left"/>
      <w:pPr>
        <w:pStyle w:val="954"/>
        <w:ind w:left="1984" w:hanging="708"/>
      </w:pPr>
    </w:lvl>
    <w:lvl w:ilvl="4">
      <w:start w:val="1"/>
      <w:numFmt w:val="decimal"/>
      <w:isLgl w:val="false"/>
      <w:suff w:val="tab"/>
      <w:lvlText w:val="%1.%2.%3.%4.%5"/>
      <w:lvlJc w:val="left"/>
      <w:pPr>
        <w:pStyle w:val="954"/>
        <w:ind w:left="2551" w:hanging="850"/>
      </w:pPr>
    </w:lvl>
    <w:lvl w:ilvl="5">
      <w:start w:val="1"/>
      <w:numFmt w:val="decimal"/>
      <w:isLgl w:val="false"/>
      <w:suff w:val="tab"/>
      <w:lvlText w:val="%1.%2.%3.%4.%5.%6"/>
      <w:lvlJc w:val="left"/>
      <w:pPr>
        <w:pStyle w:val="954"/>
        <w:ind w:left="3260" w:hanging="1134"/>
      </w:pPr>
    </w:lvl>
    <w:lvl w:ilvl="6">
      <w:start w:val="1"/>
      <w:numFmt w:val="decimal"/>
      <w:isLgl w:val="false"/>
      <w:suff w:val="tab"/>
      <w:lvlText w:val="%1.%2.%3.%4.%5.%6.%7"/>
      <w:lvlJc w:val="left"/>
      <w:pPr>
        <w:pStyle w:val="954"/>
        <w:ind w:left="3827" w:hanging="1276"/>
      </w:pPr>
    </w:lvl>
    <w:lvl w:ilvl="7">
      <w:start w:val="1"/>
      <w:numFmt w:val="decimal"/>
      <w:isLgl w:val="false"/>
      <w:suff w:val="tab"/>
      <w:lvlText w:val="%1.%2.%3.%4.%5.%6.%7.%8"/>
      <w:lvlJc w:val="left"/>
      <w:pPr>
        <w:pStyle w:val="954"/>
        <w:ind w:left="4394" w:hanging="1418"/>
      </w:pPr>
    </w:lvl>
    <w:lvl w:ilvl="8">
      <w:start w:val="1"/>
      <w:numFmt w:val="decimal"/>
      <w:isLgl w:val="false"/>
      <w:suff w:val="tab"/>
      <w:lvlText w:val="%1.%2.%3.%4.%5.%6.%7.%8.%9"/>
      <w:lvlJc w:val="left"/>
      <w:pPr>
        <w:pStyle w:val="954"/>
        <w:ind w:left="5102" w:hanging="1700"/>
      </w:pPr>
    </w:lvl>
  </w:abstractNum>
  <w:abstractNum w:abstractNumId="3">
    <w:multiLevelType w:val="hybridMultilevel"/>
    <w:lvl w:ilvl="0">
      <w:start w:val="1"/>
      <w:numFmt w:val="decimal"/>
      <w:isLgl w:val="false"/>
      <w:suff w:val="tab"/>
      <w:lvlText w:val="2.%1"/>
      <w:lvlJc w:val="left"/>
      <w:pPr>
        <w:pStyle w:val="954"/>
        <w:ind w:left="360" w:hanging="360"/>
        <w:tabs>
          <w:tab w:val="num" w:pos="360" w:leader="none"/>
        </w:tabs>
      </w:pPr>
    </w:lvl>
    <w:lvl w:ilvl="1">
      <w:start w:val="1"/>
      <w:numFmt w:val="lowerLetter"/>
      <w:isLgl w:val="false"/>
      <w:suff w:val="tab"/>
      <w:lvlText w:val="%2)"/>
      <w:lvlJc w:val="left"/>
      <w:pPr>
        <w:pStyle w:val="954"/>
        <w:ind w:left="840" w:hanging="420"/>
        <w:tabs>
          <w:tab w:val="num" w:pos="840" w:leader="none"/>
        </w:tabs>
      </w:pPr>
    </w:lvl>
    <w:lvl w:ilvl="2">
      <w:start w:val="1"/>
      <w:numFmt w:val="lowerRoman"/>
      <w:isLgl w:val="false"/>
      <w:suff w:val="tab"/>
      <w:lvlText w:val="%3."/>
      <w:lvlJc w:val="right"/>
      <w:pPr>
        <w:pStyle w:val="954"/>
        <w:ind w:left="1260" w:hanging="420"/>
        <w:tabs>
          <w:tab w:val="num" w:pos="1260" w:leader="none"/>
        </w:tabs>
      </w:pPr>
    </w:lvl>
    <w:lvl w:ilvl="3">
      <w:start w:val="1"/>
      <w:numFmt w:val="decimal"/>
      <w:isLgl w:val="false"/>
      <w:suff w:val="tab"/>
      <w:lvlText w:val="%4."/>
      <w:lvlJc w:val="left"/>
      <w:pPr>
        <w:pStyle w:val="954"/>
        <w:ind w:left="1680" w:hanging="420"/>
        <w:tabs>
          <w:tab w:val="num" w:pos="1680" w:leader="none"/>
        </w:tabs>
      </w:pPr>
    </w:lvl>
    <w:lvl w:ilvl="4">
      <w:start w:val="1"/>
      <w:numFmt w:val="lowerLetter"/>
      <w:isLgl w:val="false"/>
      <w:suff w:val="tab"/>
      <w:lvlText w:val="%5)"/>
      <w:lvlJc w:val="left"/>
      <w:pPr>
        <w:pStyle w:val="954"/>
        <w:ind w:left="2100" w:hanging="420"/>
        <w:tabs>
          <w:tab w:val="num" w:pos="2100" w:leader="none"/>
        </w:tabs>
      </w:pPr>
    </w:lvl>
    <w:lvl w:ilvl="5">
      <w:start w:val="1"/>
      <w:numFmt w:val="lowerRoman"/>
      <w:isLgl w:val="false"/>
      <w:suff w:val="tab"/>
      <w:lvlText w:val="%6."/>
      <w:lvlJc w:val="right"/>
      <w:pPr>
        <w:pStyle w:val="954"/>
        <w:ind w:left="2520" w:hanging="420"/>
        <w:tabs>
          <w:tab w:val="num" w:pos="2520" w:leader="none"/>
        </w:tabs>
      </w:pPr>
    </w:lvl>
    <w:lvl w:ilvl="6">
      <w:start w:val="1"/>
      <w:numFmt w:val="decimal"/>
      <w:isLgl w:val="false"/>
      <w:suff w:val="tab"/>
      <w:lvlText w:val="%7."/>
      <w:lvlJc w:val="left"/>
      <w:pPr>
        <w:pStyle w:val="954"/>
        <w:ind w:left="2940" w:hanging="420"/>
        <w:tabs>
          <w:tab w:val="num" w:pos="2940" w:leader="none"/>
        </w:tabs>
      </w:pPr>
    </w:lvl>
    <w:lvl w:ilvl="7">
      <w:start w:val="1"/>
      <w:numFmt w:val="lowerLetter"/>
      <w:isLgl w:val="false"/>
      <w:suff w:val="tab"/>
      <w:lvlText w:val="%8)"/>
      <w:lvlJc w:val="left"/>
      <w:pPr>
        <w:pStyle w:val="954"/>
        <w:ind w:left="3360" w:hanging="420"/>
        <w:tabs>
          <w:tab w:val="num" w:pos="3360" w:leader="none"/>
        </w:tabs>
      </w:pPr>
    </w:lvl>
    <w:lvl w:ilvl="8">
      <w:start w:val="1"/>
      <w:numFmt w:val="lowerRoman"/>
      <w:isLgl w:val="false"/>
      <w:suff w:val="tab"/>
      <w:lvlText w:val="%9."/>
      <w:lvlJc w:val="right"/>
      <w:pPr>
        <w:pStyle w:val="954"/>
        <w:ind w:left="3780" w:hanging="420"/>
        <w:tabs>
          <w:tab w:val="num" w:pos="3780" w:leader="none"/>
        </w:tabs>
      </w:pPr>
    </w:lvl>
  </w:abstractNum>
  <w:abstractNum w:abstractNumId="4">
    <w:multiLevelType w:val="hybridMultilevel"/>
    <w:lvl w:ilvl="0">
      <w:start w:val="1"/>
      <w:numFmt w:val="decimal"/>
      <w:isLgl w:val="false"/>
      <w:suff w:val="tab"/>
      <w:lvlText w:val="%1"/>
      <w:lvlJc w:val="left"/>
      <w:pPr>
        <w:pStyle w:val="954"/>
        <w:ind w:left="425" w:hanging="425"/>
      </w:pPr>
    </w:lvl>
    <w:lvl w:ilvl="1">
      <w:start w:val="1"/>
      <w:numFmt w:val="decimal"/>
      <w:isLgl w:val="false"/>
      <w:suff w:val="tab"/>
      <w:lvlText w:val="34.%2"/>
      <w:lvlJc w:val="left"/>
      <w:pPr>
        <w:pStyle w:val="954"/>
        <w:ind w:left="440" w:hanging="440"/>
      </w:pPr>
      <w:rPr>
        <w:rFonts w:hint="eastAsia"/>
      </w:rPr>
    </w:lvl>
    <w:lvl w:ilvl="2">
      <w:start w:val="1"/>
      <w:numFmt w:val="decimal"/>
      <w:isLgl w:val="false"/>
      <w:suff w:val="tab"/>
      <w:lvlText w:val="%1.%2.%3"/>
      <w:lvlJc w:val="left"/>
      <w:pPr>
        <w:pStyle w:val="954"/>
        <w:ind w:left="1418" w:hanging="567"/>
      </w:pPr>
    </w:lvl>
    <w:lvl w:ilvl="3">
      <w:start w:val="1"/>
      <w:numFmt w:val="decimal"/>
      <w:isLgl w:val="false"/>
      <w:suff w:val="tab"/>
      <w:lvlText w:val="%1.%2.%3.%4"/>
      <w:lvlJc w:val="left"/>
      <w:pPr>
        <w:pStyle w:val="954"/>
        <w:ind w:left="1984" w:hanging="708"/>
      </w:pPr>
    </w:lvl>
    <w:lvl w:ilvl="4">
      <w:start w:val="1"/>
      <w:numFmt w:val="decimal"/>
      <w:isLgl w:val="false"/>
      <w:suff w:val="tab"/>
      <w:lvlText w:val="%1.%2.%3.%4.%5"/>
      <w:lvlJc w:val="left"/>
      <w:pPr>
        <w:pStyle w:val="954"/>
        <w:ind w:left="2551" w:hanging="850"/>
      </w:pPr>
    </w:lvl>
    <w:lvl w:ilvl="5">
      <w:start w:val="1"/>
      <w:numFmt w:val="decimal"/>
      <w:isLgl w:val="false"/>
      <w:suff w:val="tab"/>
      <w:lvlText w:val="%1.%2.%3.%4.%5.%6"/>
      <w:lvlJc w:val="left"/>
      <w:pPr>
        <w:pStyle w:val="954"/>
        <w:ind w:left="3260" w:hanging="1134"/>
      </w:pPr>
    </w:lvl>
    <w:lvl w:ilvl="6">
      <w:start w:val="1"/>
      <w:numFmt w:val="decimal"/>
      <w:isLgl w:val="false"/>
      <w:suff w:val="tab"/>
      <w:lvlText w:val="%1.%2.%3.%4.%5.%6.%7"/>
      <w:lvlJc w:val="left"/>
      <w:pPr>
        <w:pStyle w:val="954"/>
        <w:ind w:left="3827" w:hanging="1276"/>
      </w:pPr>
    </w:lvl>
    <w:lvl w:ilvl="7">
      <w:start w:val="1"/>
      <w:numFmt w:val="decimal"/>
      <w:isLgl w:val="false"/>
      <w:suff w:val="tab"/>
      <w:lvlText w:val="%1.%2.%3.%4.%5.%6.%7.%8"/>
      <w:lvlJc w:val="left"/>
      <w:pPr>
        <w:pStyle w:val="954"/>
        <w:ind w:left="4394" w:hanging="1418"/>
      </w:pPr>
    </w:lvl>
    <w:lvl w:ilvl="8">
      <w:start w:val="1"/>
      <w:numFmt w:val="decimal"/>
      <w:isLgl w:val="false"/>
      <w:suff w:val="tab"/>
      <w:lvlText w:val="%1.%2.%3.%4.%5.%6.%7.%8.%9"/>
      <w:lvlJc w:val="left"/>
      <w:pPr>
        <w:pStyle w:val="954"/>
        <w:ind w:left="5102" w:hanging="1700"/>
      </w:pPr>
    </w:lvl>
  </w:abstractNum>
  <w:abstractNum w:abstractNumId="5">
    <w:multiLevelType w:val="hybridMultilevel"/>
    <w:lvl w:ilvl="0">
      <w:start w:val="13"/>
      <w:numFmt w:val="decimal"/>
      <w:pStyle w:val="1495"/>
      <w:isLgl w:val="false"/>
      <w:suff w:val="tab"/>
      <w:lvlText w:val="%1.3"/>
      <w:lvlJc w:val="left"/>
      <w:pPr>
        <w:pStyle w:val="954"/>
        <w:ind w:left="425" w:hanging="425"/>
        <w:tabs>
          <w:tab w:val="num" w:pos="425" w:leader="none"/>
        </w:tabs>
      </w:pPr>
      <w:rPr>
        <w:rFonts w:hint="eastAsia"/>
      </w:rPr>
    </w:lvl>
    <w:lvl w:ilvl="1">
      <w:start w:val="1"/>
      <w:numFmt w:val="decimal"/>
      <w:isLgl w:val="false"/>
      <w:suff w:val="tab"/>
      <w:lvlText w:val="%2.3.1"/>
      <w:lvlJc w:val="left"/>
      <w:pPr>
        <w:pStyle w:val="954"/>
        <w:ind w:left="567" w:hanging="567"/>
        <w:tabs>
          <w:tab w:val="num" w:pos="720" w:leader="none"/>
        </w:tabs>
      </w:pPr>
      <w:rPr>
        <w:rFonts w:hint="eastAsia"/>
      </w:rPr>
    </w:lvl>
    <w:lvl w:ilvl="2">
      <w:start w:val="1"/>
      <w:numFmt w:val="decimal"/>
      <w:isLgl w:val="false"/>
      <w:suff w:val="tab"/>
      <w:lvlText w:val="13.3.%3"/>
      <w:lvlJc w:val="left"/>
      <w:pPr>
        <w:pStyle w:val="954"/>
        <w:ind w:left="709" w:hanging="709"/>
        <w:tabs>
          <w:tab w:val="num" w:pos="720" w:leader="none"/>
        </w:tabs>
      </w:pPr>
      <w:rPr>
        <w:rFonts w:hint="eastAsia"/>
      </w:rPr>
    </w:lvl>
    <w:lvl w:ilvl="3">
      <w:start w:val="1"/>
      <w:numFmt w:val="decimal"/>
      <w:isLgl w:val="false"/>
      <w:suff w:val="tab"/>
      <w:lvlText w:val="%43.3.1.1"/>
      <w:lvlJc w:val="left"/>
      <w:pPr>
        <w:pStyle w:val="954"/>
        <w:ind w:left="851" w:hanging="851"/>
        <w:tabs>
          <w:tab w:val="num" w:pos="1080" w:leader="none"/>
        </w:tabs>
      </w:pPr>
      <w:rPr>
        <w:rFonts w:hint="eastAsia"/>
      </w:rPr>
    </w:lvl>
    <w:lvl w:ilvl="4">
      <w:start w:val="1"/>
      <w:numFmt w:val="decimal"/>
      <w:isLgl w:val="false"/>
      <w:suff w:val="tab"/>
      <w:lvlText w:val="%513.3.%4"/>
      <w:lvlJc w:val="left"/>
      <w:pPr>
        <w:pStyle w:val="954"/>
        <w:ind w:left="992" w:hanging="992"/>
        <w:tabs>
          <w:tab w:val="num" w:pos="992" w:leader="none"/>
        </w:tabs>
      </w:pPr>
      <w:rPr>
        <w:rFonts w:hint="eastAsia"/>
      </w:rPr>
    </w:lvl>
    <w:lvl w:ilvl="5">
      <w:start w:val="1"/>
      <w:numFmt w:val="decimal"/>
      <w:isLgl w:val="false"/>
      <w:suff w:val="tab"/>
      <w:lvlText w:val="%613.3.%41.1.1.1"/>
      <w:lvlJc w:val="left"/>
      <w:pPr>
        <w:pStyle w:val="954"/>
        <w:ind w:left="1134" w:hanging="1134"/>
        <w:tabs>
          <w:tab w:val="num" w:pos="1800" w:leader="none"/>
        </w:tabs>
      </w:pPr>
      <w:rPr>
        <w:rFonts w:hint="eastAsia"/>
      </w:rPr>
    </w:lvl>
    <w:lvl w:ilvl="6">
      <w:start w:val="1"/>
      <w:numFmt w:val="decimal"/>
      <w:isLgl w:val="false"/>
      <w:suff w:val="tab"/>
      <w:lvlText w:val="13.3.%41.1.1.1.1"/>
      <w:lvlJc w:val="left"/>
      <w:pPr>
        <w:pStyle w:val="954"/>
        <w:ind w:left="1276" w:hanging="1276"/>
        <w:tabs>
          <w:tab w:val="num" w:pos="1800" w:leader="none"/>
        </w:tabs>
      </w:pPr>
      <w:rPr>
        <w:rFonts w:hint="eastAsia"/>
      </w:rPr>
    </w:lvl>
    <w:lvl w:ilvl="7">
      <w:start w:val="1"/>
      <w:numFmt w:val="decimal"/>
      <w:isLgl w:val="false"/>
      <w:suff w:val="tab"/>
      <w:lvlText w:val="13.3.1.1.1.1.1.1"/>
      <w:lvlJc w:val="left"/>
      <w:pPr>
        <w:pStyle w:val="954"/>
        <w:ind w:left="1418" w:hanging="1418"/>
        <w:tabs>
          <w:tab w:val="num" w:pos="2160" w:leader="none"/>
        </w:tabs>
      </w:pPr>
      <w:rPr>
        <w:rFonts w:hint="eastAsia"/>
      </w:rPr>
    </w:lvl>
    <w:lvl w:ilvl="8">
      <w:start w:val="1"/>
      <w:numFmt w:val="decimal"/>
      <w:isLgl w:val="false"/>
      <w:suff w:val="tab"/>
      <w:lvlText w:val="13.3.%41.1.1.1.1.1.1"/>
      <w:lvlJc w:val="left"/>
      <w:pPr>
        <w:pStyle w:val="954"/>
        <w:ind w:left="1559" w:hanging="1559"/>
        <w:tabs>
          <w:tab w:val="num" w:pos="2520" w:leader="none"/>
        </w:tabs>
      </w:pPr>
      <w:rPr>
        <w:rFonts w:hint="eastAsia"/>
      </w:rPr>
    </w:lvl>
  </w:abstractNum>
  <w:abstractNum w:abstractNumId="6">
    <w:multiLevelType w:val="hybridMultilevel"/>
    <w:lvl w:ilvl="0">
      <w:start w:val="2"/>
      <w:numFmt w:val="decimal"/>
      <w:pStyle w:val="1503"/>
      <w:isLgl w:val="false"/>
      <w:suff w:val="tab"/>
      <w:lvlText w:val="（%1）"/>
      <w:lvlJc w:val="left"/>
      <w:pPr>
        <w:pStyle w:val="954"/>
        <w:ind w:left="720" w:hanging="720"/>
        <w:tabs>
          <w:tab w:val="num" w:pos="720" w:leader="none"/>
        </w:tabs>
      </w:pPr>
    </w:lvl>
    <w:lvl w:ilvl="1">
      <w:start w:val="1"/>
      <w:numFmt w:val="lowerLetter"/>
      <w:isLgl w:val="false"/>
      <w:suff w:val="tab"/>
      <w:lvlText w:val="%2)"/>
      <w:lvlJc w:val="left"/>
      <w:pPr>
        <w:pStyle w:val="954"/>
        <w:ind w:left="840" w:hanging="420"/>
        <w:tabs>
          <w:tab w:val="num" w:pos="840" w:leader="none"/>
        </w:tabs>
      </w:pPr>
    </w:lvl>
    <w:lvl w:ilvl="2">
      <w:start w:val="1"/>
      <w:numFmt w:val="lowerRoman"/>
      <w:isLgl w:val="false"/>
      <w:suff w:val="tab"/>
      <w:lvlText w:val="%3."/>
      <w:lvlJc w:val="right"/>
      <w:pPr>
        <w:pStyle w:val="954"/>
        <w:ind w:left="1260" w:hanging="420"/>
        <w:tabs>
          <w:tab w:val="num" w:pos="1260" w:leader="none"/>
        </w:tabs>
      </w:pPr>
    </w:lvl>
    <w:lvl w:ilvl="3">
      <w:start w:val="1"/>
      <w:numFmt w:val="decimal"/>
      <w:isLgl w:val="false"/>
      <w:suff w:val="tab"/>
      <w:lvlText w:val="%4."/>
      <w:lvlJc w:val="left"/>
      <w:pPr>
        <w:pStyle w:val="954"/>
        <w:ind w:left="1680" w:hanging="420"/>
        <w:tabs>
          <w:tab w:val="num" w:pos="1680" w:leader="none"/>
        </w:tabs>
      </w:pPr>
    </w:lvl>
    <w:lvl w:ilvl="4">
      <w:start w:val="1"/>
      <w:numFmt w:val="lowerLetter"/>
      <w:isLgl w:val="false"/>
      <w:suff w:val="tab"/>
      <w:lvlText w:val="%5)"/>
      <w:lvlJc w:val="left"/>
      <w:pPr>
        <w:pStyle w:val="954"/>
        <w:ind w:left="2100" w:hanging="420"/>
        <w:tabs>
          <w:tab w:val="num" w:pos="2100" w:leader="none"/>
        </w:tabs>
      </w:pPr>
    </w:lvl>
    <w:lvl w:ilvl="5">
      <w:start w:val="1"/>
      <w:numFmt w:val="lowerRoman"/>
      <w:isLgl w:val="false"/>
      <w:suff w:val="tab"/>
      <w:lvlText w:val="%6."/>
      <w:lvlJc w:val="right"/>
      <w:pPr>
        <w:pStyle w:val="954"/>
        <w:ind w:left="2520" w:hanging="420"/>
        <w:tabs>
          <w:tab w:val="num" w:pos="2520" w:leader="none"/>
        </w:tabs>
      </w:pPr>
    </w:lvl>
    <w:lvl w:ilvl="6">
      <w:start w:val="1"/>
      <w:numFmt w:val="decimal"/>
      <w:isLgl w:val="false"/>
      <w:suff w:val="tab"/>
      <w:lvlText w:val="%7."/>
      <w:lvlJc w:val="left"/>
      <w:pPr>
        <w:pStyle w:val="954"/>
        <w:ind w:left="2940" w:hanging="420"/>
        <w:tabs>
          <w:tab w:val="num" w:pos="2940" w:leader="none"/>
        </w:tabs>
      </w:pPr>
    </w:lvl>
    <w:lvl w:ilvl="7">
      <w:start w:val="1"/>
      <w:numFmt w:val="lowerLetter"/>
      <w:isLgl w:val="false"/>
      <w:suff w:val="tab"/>
      <w:lvlText w:val="%8)"/>
      <w:lvlJc w:val="left"/>
      <w:pPr>
        <w:pStyle w:val="954"/>
        <w:ind w:left="3360" w:hanging="420"/>
        <w:tabs>
          <w:tab w:val="num" w:pos="3360" w:leader="none"/>
        </w:tabs>
      </w:pPr>
    </w:lvl>
    <w:lvl w:ilvl="8">
      <w:start w:val="1"/>
      <w:numFmt w:val="lowerRoman"/>
      <w:isLgl w:val="false"/>
      <w:suff w:val="tab"/>
      <w:lvlText w:val="%9."/>
      <w:lvlJc w:val="right"/>
      <w:pPr>
        <w:pStyle w:val="954"/>
        <w:ind w:left="3780" w:hanging="420"/>
        <w:tabs>
          <w:tab w:val="num" w:pos="3780" w:leader="none"/>
        </w:tabs>
      </w:pPr>
    </w:lvl>
  </w:abstractNum>
  <w:abstractNum w:abstractNumId="7">
    <w:multiLevelType w:val="hybridMultilevel"/>
    <w:lvl w:ilvl="0">
      <w:start w:val="1"/>
      <w:numFmt w:val="decimal"/>
      <w:isLgl w:val="false"/>
      <w:suff w:val="tab"/>
      <w:lvlText w:val="%1"/>
      <w:lvlJc w:val="left"/>
      <w:pPr>
        <w:pStyle w:val="954"/>
        <w:ind w:left="425" w:hanging="425"/>
      </w:pPr>
    </w:lvl>
    <w:lvl w:ilvl="1">
      <w:start w:val="1"/>
      <w:numFmt w:val="decimal"/>
      <w:isLgl w:val="false"/>
      <w:suff w:val="tab"/>
      <w:lvlText w:val="37.%2"/>
      <w:lvlJc w:val="left"/>
      <w:pPr>
        <w:pStyle w:val="954"/>
        <w:ind w:left="440" w:hanging="440"/>
      </w:pPr>
      <w:rPr>
        <w:rFonts w:hint="eastAsia"/>
      </w:rPr>
    </w:lvl>
    <w:lvl w:ilvl="2">
      <w:start w:val="1"/>
      <w:numFmt w:val="decimal"/>
      <w:isLgl w:val="false"/>
      <w:suff w:val="tab"/>
      <w:lvlText w:val="%1.%2.%3"/>
      <w:lvlJc w:val="left"/>
      <w:pPr>
        <w:pStyle w:val="954"/>
        <w:ind w:left="1418" w:hanging="567"/>
      </w:pPr>
    </w:lvl>
    <w:lvl w:ilvl="3">
      <w:start w:val="1"/>
      <w:numFmt w:val="decimal"/>
      <w:isLgl w:val="false"/>
      <w:suff w:val="tab"/>
      <w:lvlText w:val="%1.%2.%3.%4"/>
      <w:lvlJc w:val="left"/>
      <w:pPr>
        <w:pStyle w:val="954"/>
        <w:ind w:left="1984" w:hanging="708"/>
      </w:pPr>
    </w:lvl>
    <w:lvl w:ilvl="4">
      <w:start w:val="1"/>
      <w:numFmt w:val="decimal"/>
      <w:isLgl w:val="false"/>
      <w:suff w:val="tab"/>
      <w:lvlText w:val="%1.%2.%3.%4.%5"/>
      <w:lvlJc w:val="left"/>
      <w:pPr>
        <w:pStyle w:val="954"/>
        <w:ind w:left="2551" w:hanging="850"/>
      </w:pPr>
    </w:lvl>
    <w:lvl w:ilvl="5">
      <w:start w:val="1"/>
      <w:numFmt w:val="decimal"/>
      <w:isLgl w:val="false"/>
      <w:suff w:val="tab"/>
      <w:lvlText w:val="%1.%2.%3.%4.%5.%6"/>
      <w:lvlJc w:val="left"/>
      <w:pPr>
        <w:pStyle w:val="954"/>
        <w:ind w:left="3260" w:hanging="1134"/>
      </w:pPr>
    </w:lvl>
    <w:lvl w:ilvl="6">
      <w:start w:val="1"/>
      <w:numFmt w:val="decimal"/>
      <w:isLgl w:val="false"/>
      <w:suff w:val="tab"/>
      <w:lvlText w:val="%1.%2.%3.%4.%5.%6.%7"/>
      <w:lvlJc w:val="left"/>
      <w:pPr>
        <w:pStyle w:val="954"/>
        <w:ind w:left="3827" w:hanging="1276"/>
      </w:pPr>
    </w:lvl>
    <w:lvl w:ilvl="7">
      <w:start w:val="1"/>
      <w:numFmt w:val="decimal"/>
      <w:isLgl w:val="false"/>
      <w:suff w:val="tab"/>
      <w:lvlText w:val="%1.%2.%3.%4.%5.%6.%7.%8"/>
      <w:lvlJc w:val="left"/>
      <w:pPr>
        <w:pStyle w:val="954"/>
        <w:ind w:left="4394" w:hanging="1418"/>
      </w:pPr>
    </w:lvl>
    <w:lvl w:ilvl="8">
      <w:start w:val="1"/>
      <w:numFmt w:val="decimal"/>
      <w:isLgl w:val="false"/>
      <w:suff w:val="tab"/>
      <w:lvlText w:val="%1.%2.%3.%4.%5.%6.%7.%8.%9"/>
      <w:lvlJc w:val="left"/>
      <w:pPr>
        <w:pStyle w:val="954"/>
        <w:ind w:left="5102" w:hanging="1700"/>
      </w:pPr>
    </w:lvl>
  </w:abstractNum>
  <w:abstractNum w:abstractNumId="8">
    <w:multiLevelType w:val="hybridMultilevel"/>
    <w:lvl w:ilvl="0">
      <w:start w:val="1"/>
      <w:numFmt w:val="decimal"/>
      <w:pStyle w:val="1407"/>
      <w:isLgl w:val="false"/>
      <w:suff w:val="tab"/>
      <w:lvlText w:val="%1)"/>
      <w:lvlJc w:val="left"/>
      <w:pPr>
        <w:pStyle w:val="954"/>
        <w:ind w:left="420" w:hanging="420"/>
        <w:tabs>
          <w:tab w:val="num" w:pos="420" w:leader="none"/>
        </w:tabs>
      </w:pPr>
    </w:lvl>
    <w:lvl w:ilvl="1">
      <w:start w:val="1"/>
      <w:numFmt w:val="lowerLetter"/>
      <w:isLgl w:val="false"/>
      <w:suff w:val="tab"/>
      <w:lvlText w:val="%2)"/>
      <w:lvlJc w:val="left"/>
      <w:pPr>
        <w:pStyle w:val="954"/>
        <w:ind w:left="840" w:hanging="420"/>
        <w:tabs>
          <w:tab w:val="num" w:pos="840" w:leader="none"/>
        </w:tabs>
      </w:pPr>
    </w:lvl>
    <w:lvl w:ilvl="2">
      <w:start w:val="1"/>
      <w:numFmt w:val="lowerRoman"/>
      <w:isLgl w:val="false"/>
      <w:suff w:val="tab"/>
      <w:lvlText w:val="%3."/>
      <w:lvlJc w:val="right"/>
      <w:pPr>
        <w:pStyle w:val="954"/>
        <w:ind w:left="1260" w:hanging="420"/>
        <w:tabs>
          <w:tab w:val="num" w:pos="1260" w:leader="none"/>
        </w:tabs>
      </w:pPr>
    </w:lvl>
    <w:lvl w:ilvl="3">
      <w:start w:val="1"/>
      <w:numFmt w:val="decimal"/>
      <w:isLgl w:val="false"/>
      <w:suff w:val="tab"/>
      <w:lvlText w:val="%4."/>
      <w:lvlJc w:val="left"/>
      <w:pPr>
        <w:pStyle w:val="954"/>
        <w:ind w:left="1680" w:hanging="420"/>
        <w:tabs>
          <w:tab w:val="num" w:pos="1680" w:leader="none"/>
        </w:tabs>
      </w:pPr>
    </w:lvl>
    <w:lvl w:ilvl="4">
      <w:start w:val="1"/>
      <w:numFmt w:val="lowerLetter"/>
      <w:isLgl w:val="false"/>
      <w:suff w:val="tab"/>
      <w:lvlText w:val="%5)"/>
      <w:lvlJc w:val="left"/>
      <w:pPr>
        <w:pStyle w:val="954"/>
        <w:ind w:left="2100" w:hanging="420"/>
        <w:tabs>
          <w:tab w:val="num" w:pos="2100" w:leader="none"/>
        </w:tabs>
      </w:pPr>
    </w:lvl>
    <w:lvl w:ilvl="5">
      <w:start w:val="1"/>
      <w:numFmt w:val="lowerRoman"/>
      <w:isLgl w:val="false"/>
      <w:suff w:val="tab"/>
      <w:lvlText w:val="%6."/>
      <w:lvlJc w:val="right"/>
      <w:pPr>
        <w:pStyle w:val="954"/>
        <w:ind w:left="2520" w:hanging="420"/>
        <w:tabs>
          <w:tab w:val="num" w:pos="2520" w:leader="none"/>
        </w:tabs>
      </w:pPr>
    </w:lvl>
    <w:lvl w:ilvl="6">
      <w:start w:val="1"/>
      <w:numFmt w:val="decimal"/>
      <w:isLgl w:val="false"/>
      <w:suff w:val="tab"/>
      <w:lvlText w:val="%7."/>
      <w:lvlJc w:val="left"/>
      <w:pPr>
        <w:pStyle w:val="954"/>
        <w:ind w:left="2940" w:hanging="420"/>
        <w:tabs>
          <w:tab w:val="num" w:pos="2940" w:leader="none"/>
        </w:tabs>
      </w:pPr>
    </w:lvl>
    <w:lvl w:ilvl="7">
      <w:start w:val="1"/>
      <w:numFmt w:val="lowerLetter"/>
      <w:isLgl w:val="false"/>
      <w:suff w:val="tab"/>
      <w:lvlText w:val="%8)"/>
      <w:lvlJc w:val="left"/>
      <w:pPr>
        <w:pStyle w:val="954"/>
        <w:ind w:left="3360" w:hanging="420"/>
        <w:tabs>
          <w:tab w:val="num" w:pos="3360" w:leader="none"/>
        </w:tabs>
      </w:pPr>
    </w:lvl>
    <w:lvl w:ilvl="8">
      <w:start w:val="1"/>
      <w:numFmt w:val="lowerRoman"/>
      <w:isLgl w:val="false"/>
      <w:suff w:val="tab"/>
      <w:lvlText w:val="%9."/>
      <w:lvlJc w:val="right"/>
      <w:pPr>
        <w:pStyle w:val="954"/>
        <w:ind w:left="3780" w:hanging="420"/>
        <w:tabs>
          <w:tab w:val="num" w:pos="3780" w:leader="none"/>
        </w:tabs>
      </w:pPr>
    </w:lvl>
  </w:abstractNum>
  <w:abstractNum w:abstractNumId="9">
    <w:multiLevelType w:val="hybridMultilevel"/>
    <w:lvl w:ilvl="0">
      <w:start w:val="1"/>
      <w:numFmt w:val="decimal"/>
      <w:isLgl w:val="false"/>
      <w:suff w:val="tab"/>
      <w:lvlText w:val="%1"/>
      <w:lvlJc w:val="left"/>
      <w:pPr>
        <w:pStyle w:val="954"/>
        <w:ind w:left="425" w:hanging="425"/>
      </w:pPr>
    </w:lvl>
    <w:lvl w:ilvl="1">
      <w:start w:val="1"/>
      <w:numFmt w:val="decimal"/>
      <w:isLgl w:val="false"/>
      <w:suff w:val="tab"/>
      <w:lvlText w:val="23.%2"/>
      <w:lvlJc w:val="left"/>
      <w:pPr>
        <w:pStyle w:val="954"/>
        <w:ind w:left="440" w:hanging="440"/>
      </w:pPr>
      <w:rPr>
        <w:rFonts w:hint="eastAsia"/>
      </w:rPr>
    </w:lvl>
    <w:lvl w:ilvl="2">
      <w:start w:val="1"/>
      <w:numFmt w:val="decimal"/>
      <w:isLgl w:val="false"/>
      <w:suff w:val="tab"/>
      <w:lvlText w:val="%1.%2.%3"/>
      <w:lvlJc w:val="left"/>
      <w:pPr>
        <w:pStyle w:val="954"/>
        <w:ind w:left="1418" w:hanging="567"/>
      </w:pPr>
    </w:lvl>
    <w:lvl w:ilvl="3">
      <w:start w:val="1"/>
      <w:numFmt w:val="decimal"/>
      <w:isLgl w:val="false"/>
      <w:suff w:val="tab"/>
      <w:lvlText w:val="%1.%2.%3.%4"/>
      <w:lvlJc w:val="left"/>
      <w:pPr>
        <w:pStyle w:val="954"/>
        <w:ind w:left="1984" w:hanging="708"/>
      </w:pPr>
    </w:lvl>
    <w:lvl w:ilvl="4">
      <w:start w:val="1"/>
      <w:numFmt w:val="decimal"/>
      <w:isLgl w:val="false"/>
      <w:suff w:val="tab"/>
      <w:lvlText w:val="%1.%2.%3.%4.%5"/>
      <w:lvlJc w:val="left"/>
      <w:pPr>
        <w:pStyle w:val="954"/>
        <w:ind w:left="2551" w:hanging="850"/>
      </w:pPr>
    </w:lvl>
    <w:lvl w:ilvl="5">
      <w:start w:val="1"/>
      <w:numFmt w:val="decimal"/>
      <w:isLgl w:val="false"/>
      <w:suff w:val="tab"/>
      <w:lvlText w:val="%1.%2.%3.%4.%5.%6"/>
      <w:lvlJc w:val="left"/>
      <w:pPr>
        <w:pStyle w:val="954"/>
        <w:ind w:left="3260" w:hanging="1134"/>
      </w:pPr>
    </w:lvl>
    <w:lvl w:ilvl="6">
      <w:start w:val="1"/>
      <w:numFmt w:val="decimal"/>
      <w:isLgl w:val="false"/>
      <w:suff w:val="tab"/>
      <w:lvlText w:val="%1.%2.%3.%4.%5.%6.%7"/>
      <w:lvlJc w:val="left"/>
      <w:pPr>
        <w:pStyle w:val="954"/>
        <w:ind w:left="3827" w:hanging="1276"/>
      </w:pPr>
    </w:lvl>
    <w:lvl w:ilvl="7">
      <w:start w:val="1"/>
      <w:numFmt w:val="decimal"/>
      <w:isLgl w:val="false"/>
      <w:suff w:val="tab"/>
      <w:lvlText w:val="%1.%2.%3.%4.%5.%6.%7.%8"/>
      <w:lvlJc w:val="left"/>
      <w:pPr>
        <w:pStyle w:val="954"/>
        <w:ind w:left="4394" w:hanging="1418"/>
      </w:pPr>
    </w:lvl>
    <w:lvl w:ilvl="8">
      <w:start w:val="1"/>
      <w:numFmt w:val="decimal"/>
      <w:isLgl w:val="false"/>
      <w:suff w:val="tab"/>
      <w:lvlText w:val="%1.%2.%3.%4.%5.%6.%7.%8.%9"/>
      <w:lvlJc w:val="left"/>
      <w:pPr>
        <w:pStyle w:val="954"/>
        <w:ind w:left="5102" w:hanging="1700"/>
      </w:pPr>
    </w:lvl>
  </w:abstractNum>
  <w:abstractNum w:abstractNumId="10">
    <w:multiLevelType w:val="hybridMultilevel"/>
    <w:lvl w:ilvl="0">
      <w:start w:val="1"/>
      <w:numFmt w:val="decimal"/>
      <w:isLgl w:val="false"/>
      <w:suff w:val="tab"/>
      <w:lvlText w:val="%1"/>
      <w:lvlJc w:val="left"/>
      <w:pPr>
        <w:pStyle w:val="954"/>
        <w:ind w:left="425" w:hanging="425"/>
      </w:pPr>
    </w:lvl>
    <w:lvl w:ilvl="1">
      <w:start w:val="1"/>
      <w:numFmt w:val="decimal"/>
      <w:isLgl w:val="false"/>
      <w:suff w:val="tab"/>
      <w:lvlText w:val="39.%2"/>
      <w:lvlJc w:val="left"/>
      <w:pPr>
        <w:pStyle w:val="954"/>
        <w:ind w:left="440" w:hanging="440"/>
      </w:pPr>
      <w:rPr>
        <w:rFonts w:hint="eastAsia"/>
      </w:rPr>
    </w:lvl>
    <w:lvl w:ilvl="2">
      <w:start w:val="1"/>
      <w:numFmt w:val="decimal"/>
      <w:isLgl w:val="false"/>
      <w:suff w:val="tab"/>
      <w:lvlText w:val="%1.%2.%3"/>
      <w:lvlJc w:val="left"/>
      <w:pPr>
        <w:pStyle w:val="954"/>
        <w:ind w:left="1418" w:hanging="567"/>
      </w:pPr>
    </w:lvl>
    <w:lvl w:ilvl="3">
      <w:start w:val="1"/>
      <w:numFmt w:val="decimal"/>
      <w:isLgl w:val="false"/>
      <w:suff w:val="tab"/>
      <w:lvlText w:val="%1.%2.%3.%4"/>
      <w:lvlJc w:val="left"/>
      <w:pPr>
        <w:pStyle w:val="954"/>
        <w:ind w:left="1984" w:hanging="708"/>
      </w:pPr>
    </w:lvl>
    <w:lvl w:ilvl="4">
      <w:start w:val="1"/>
      <w:numFmt w:val="decimal"/>
      <w:isLgl w:val="false"/>
      <w:suff w:val="tab"/>
      <w:lvlText w:val="%1.%2.%3.%4.%5"/>
      <w:lvlJc w:val="left"/>
      <w:pPr>
        <w:pStyle w:val="954"/>
        <w:ind w:left="2551" w:hanging="850"/>
      </w:pPr>
    </w:lvl>
    <w:lvl w:ilvl="5">
      <w:start w:val="1"/>
      <w:numFmt w:val="decimal"/>
      <w:isLgl w:val="false"/>
      <w:suff w:val="tab"/>
      <w:lvlText w:val="%1.%2.%3.%4.%5.%6"/>
      <w:lvlJc w:val="left"/>
      <w:pPr>
        <w:pStyle w:val="954"/>
        <w:ind w:left="3260" w:hanging="1134"/>
      </w:pPr>
    </w:lvl>
    <w:lvl w:ilvl="6">
      <w:start w:val="1"/>
      <w:numFmt w:val="decimal"/>
      <w:isLgl w:val="false"/>
      <w:suff w:val="tab"/>
      <w:lvlText w:val="%1.%2.%3.%4.%5.%6.%7"/>
      <w:lvlJc w:val="left"/>
      <w:pPr>
        <w:pStyle w:val="954"/>
        <w:ind w:left="3827" w:hanging="1276"/>
      </w:pPr>
    </w:lvl>
    <w:lvl w:ilvl="7">
      <w:start w:val="1"/>
      <w:numFmt w:val="decimal"/>
      <w:isLgl w:val="false"/>
      <w:suff w:val="tab"/>
      <w:lvlText w:val="%1.%2.%3.%4.%5.%6.%7.%8"/>
      <w:lvlJc w:val="left"/>
      <w:pPr>
        <w:pStyle w:val="954"/>
        <w:ind w:left="4394" w:hanging="1418"/>
      </w:pPr>
    </w:lvl>
    <w:lvl w:ilvl="8">
      <w:start w:val="1"/>
      <w:numFmt w:val="decimal"/>
      <w:isLgl w:val="false"/>
      <w:suff w:val="tab"/>
      <w:lvlText w:val="%1.%2.%3.%4.%5.%6.%7.%8.%9"/>
      <w:lvlJc w:val="left"/>
      <w:pPr>
        <w:pStyle w:val="954"/>
        <w:ind w:left="5102" w:hanging="1700"/>
      </w:pPr>
    </w:lvl>
  </w:abstractNum>
  <w:abstractNum w:abstractNumId="11">
    <w:multiLevelType w:val="hybridMultilevel"/>
    <w:lvl w:ilvl="0">
      <w:start w:val="1"/>
      <w:numFmt w:val="decimal"/>
      <w:isLgl w:val="false"/>
      <w:suff w:val="tab"/>
      <w:lvlText w:val="%1"/>
      <w:lvlJc w:val="left"/>
      <w:pPr>
        <w:pStyle w:val="954"/>
        <w:ind w:left="425" w:hanging="425"/>
      </w:pPr>
    </w:lvl>
    <w:lvl w:ilvl="1">
      <w:start w:val="1"/>
      <w:numFmt w:val="decimal"/>
      <w:isLgl w:val="false"/>
      <w:suff w:val="tab"/>
      <w:lvlText w:val="27.%2"/>
      <w:lvlJc w:val="left"/>
      <w:pPr>
        <w:pStyle w:val="954"/>
        <w:ind w:left="440" w:hanging="440"/>
      </w:pPr>
      <w:rPr>
        <w:rFonts w:hint="eastAsia"/>
      </w:rPr>
    </w:lvl>
    <w:lvl w:ilvl="2">
      <w:start w:val="1"/>
      <w:numFmt w:val="decimal"/>
      <w:isLgl w:val="false"/>
      <w:suff w:val="tab"/>
      <w:lvlText w:val="%1.%2.%3"/>
      <w:lvlJc w:val="left"/>
      <w:pPr>
        <w:pStyle w:val="954"/>
        <w:ind w:left="1418" w:hanging="567"/>
      </w:pPr>
    </w:lvl>
    <w:lvl w:ilvl="3">
      <w:start w:val="1"/>
      <w:numFmt w:val="decimal"/>
      <w:isLgl w:val="false"/>
      <w:suff w:val="tab"/>
      <w:lvlText w:val="%1.%2.%3.%4"/>
      <w:lvlJc w:val="left"/>
      <w:pPr>
        <w:pStyle w:val="954"/>
        <w:ind w:left="1984" w:hanging="708"/>
      </w:pPr>
    </w:lvl>
    <w:lvl w:ilvl="4">
      <w:start w:val="1"/>
      <w:numFmt w:val="decimal"/>
      <w:isLgl w:val="false"/>
      <w:suff w:val="tab"/>
      <w:lvlText w:val="%1.%2.%3.%4.%5"/>
      <w:lvlJc w:val="left"/>
      <w:pPr>
        <w:pStyle w:val="954"/>
        <w:ind w:left="2551" w:hanging="850"/>
      </w:pPr>
    </w:lvl>
    <w:lvl w:ilvl="5">
      <w:start w:val="1"/>
      <w:numFmt w:val="decimal"/>
      <w:isLgl w:val="false"/>
      <w:suff w:val="tab"/>
      <w:lvlText w:val="%1.%2.%3.%4.%5.%6"/>
      <w:lvlJc w:val="left"/>
      <w:pPr>
        <w:pStyle w:val="954"/>
        <w:ind w:left="3260" w:hanging="1134"/>
      </w:pPr>
    </w:lvl>
    <w:lvl w:ilvl="6">
      <w:start w:val="1"/>
      <w:numFmt w:val="decimal"/>
      <w:isLgl w:val="false"/>
      <w:suff w:val="tab"/>
      <w:lvlText w:val="%1.%2.%3.%4.%5.%6.%7"/>
      <w:lvlJc w:val="left"/>
      <w:pPr>
        <w:pStyle w:val="954"/>
        <w:ind w:left="3827" w:hanging="1276"/>
      </w:pPr>
    </w:lvl>
    <w:lvl w:ilvl="7">
      <w:start w:val="1"/>
      <w:numFmt w:val="decimal"/>
      <w:isLgl w:val="false"/>
      <w:suff w:val="tab"/>
      <w:lvlText w:val="%1.%2.%3.%4.%5.%6.%7.%8"/>
      <w:lvlJc w:val="left"/>
      <w:pPr>
        <w:pStyle w:val="954"/>
        <w:ind w:left="4394" w:hanging="1418"/>
      </w:pPr>
    </w:lvl>
    <w:lvl w:ilvl="8">
      <w:start w:val="1"/>
      <w:numFmt w:val="decimal"/>
      <w:isLgl w:val="false"/>
      <w:suff w:val="tab"/>
      <w:lvlText w:val="%1.%2.%3.%4.%5.%6.%7.%8.%9"/>
      <w:lvlJc w:val="left"/>
      <w:pPr>
        <w:pStyle w:val="954"/>
        <w:ind w:left="5102" w:hanging="1700"/>
      </w:pPr>
    </w:lvl>
  </w:abstractNum>
  <w:abstractNum w:abstractNumId="12">
    <w:multiLevelType w:val="hybridMultilevel"/>
    <w:lvl w:ilvl="0">
      <w:start w:val="1"/>
      <w:numFmt w:val="bullet"/>
      <w:pStyle w:val="1521"/>
      <w:isLgl w:val="false"/>
      <w:suff w:val="tab"/>
      <w:lvlText w:val=""/>
      <w:lvlJc w:val="left"/>
      <w:pPr>
        <w:pStyle w:val="954"/>
        <w:ind w:left="420" w:hanging="420"/>
        <w:tabs>
          <w:tab w:val="num" w:pos="420" w:leader="none"/>
        </w:tabs>
      </w:pPr>
      <w:rPr>
        <w:rFonts w:ascii="Wingdings" w:hAnsi="Wingdings"/>
        <w:color w:val="000080"/>
        <w:sz w:val="15"/>
        <w:szCs w:val="15"/>
      </w:rPr>
    </w:lvl>
    <w:lvl w:ilvl="1">
      <w:start w:val="1"/>
      <w:numFmt w:val="bullet"/>
      <w:isLgl w:val="false"/>
      <w:suff w:val="tab"/>
      <w:lvlText w:val=""/>
      <w:lvlJc w:val="left"/>
      <w:pPr>
        <w:pStyle w:val="954"/>
        <w:ind w:left="840" w:hanging="420"/>
        <w:tabs>
          <w:tab w:val="num" w:pos="840" w:leader="none"/>
        </w:tabs>
      </w:pPr>
      <w:rPr>
        <w:rFonts w:ascii="Wingdings" w:hAnsi="Wingdings"/>
      </w:rPr>
    </w:lvl>
    <w:lvl w:ilvl="2">
      <w:start w:val="1"/>
      <w:numFmt w:val="bullet"/>
      <w:isLgl w:val="false"/>
      <w:suff w:val="tab"/>
      <w:lvlText w:val=""/>
      <w:lvlJc w:val="left"/>
      <w:pPr>
        <w:pStyle w:val="954"/>
        <w:ind w:left="1260" w:hanging="420"/>
        <w:tabs>
          <w:tab w:val="num" w:pos="1260" w:leader="none"/>
        </w:tabs>
      </w:pPr>
      <w:rPr>
        <w:rFonts w:ascii="Wingdings" w:hAnsi="Wingdings"/>
      </w:rPr>
    </w:lvl>
    <w:lvl w:ilvl="3">
      <w:start w:val="1"/>
      <w:numFmt w:val="bullet"/>
      <w:isLgl w:val="false"/>
      <w:suff w:val="tab"/>
      <w:lvlText w:val=""/>
      <w:lvlJc w:val="left"/>
      <w:pPr>
        <w:pStyle w:val="954"/>
        <w:ind w:left="1680" w:hanging="420"/>
        <w:tabs>
          <w:tab w:val="num" w:pos="1680" w:leader="none"/>
        </w:tabs>
      </w:pPr>
      <w:rPr>
        <w:rFonts w:ascii="Wingdings" w:hAnsi="Wingdings"/>
      </w:rPr>
    </w:lvl>
    <w:lvl w:ilvl="4">
      <w:start w:val="1"/>
      <w:numFmt w:val="bullet"/>
      <w:isLgl w:val="false"/>
      <w:suff w:val="tab"/>
      <w:lvlText w:val=""/>
      <w:lvlJc w:val="left"/>
      <w:pPr>
        <w:pStyle w:val="954"/>
        <w:ind w:left="2100" w:hanging="420"/>
        <w:tabs>
          <w:tab w:val="num" w:pos="2100" w:leader="none"/>
        </w:tabs>
      </w:pPr>
      <w:rPr>
        <w:rFonts w:ascii="Wingdings" w:hAnsi="Wingdings"/>
      </w:rPr>
    </w:lvl>
    <w:lvl w:ilvl="5">
      <w:start w:val="1"/>
      <w:numFmt w:val="bullet"/>
      <w:isLgl w:val="false"/>
      <w:suff w:val="tab"/>
      <w:lvlText w:val=""/>
      <w:lvlJc w:val="left"/>
      <w:pPr>
        <w:pStyle w:val="954"/>
        <w:ind w:left="2520" w:hanging="420"/>
        <w:tabs>
          <w:tab w:val="num" w:pos="2520" w:leader="none"/>
        </w:tabs>
      </w:pPr>
      <w:rPr>
        <w:rFonts w:ascii="Wingdings" w:hAnsi="Wingdings"/>
      </w:rPr>
    </w:lvl>
    <w:lvl w:ilvl="6">
      <w:start w:val="1"/>
      <w:numFmt w:val="bullet"/>
      <w:isLgl w:val="false"/>
      <w:suff w:val="tab"/>
      <w:lvlText w:val=""/>
      <w:lvlJc w:val="left"/>
      <w:pPr>
        <w:pStyle w:val="954"/>
        <w:ind w:left="2940" w:hanging="420"/>
        <w:tabs>
          <w:tab w:val="num" w:pos="2940" w:leader="none"/>
        </w:tabs>
      </w:pPr>
      <w:rPr>
        <w:rFonts w:ascii="Wingdings" w:hAnsi="Wingdings"/>
      </w:rPr>
    </w:lvl>
    <w:lvl w:ilvl="7">
      <w:start w:val="1"/>
      <w:numFmt w:val="bullet"/>
      <w:isLgl w:val="false"/>
      <w:suff w:val="tab"/>
      <w:lvlText w:val=""/>
      <w:lvlJc w:val="left"/>
      <w:pPr>
        <w:pStyle w:val="954"/>
        <w:ind w:left="3360" w:hanging="420"/>
        <w:tabs>
          <w:tab w:val="num" w:pos="3360" w:leader="none"/>
        </w:tabs>
      </w:pPr>
      <w:rPr>
        <w:rFonts w:ascii="Wingdings" w:hAnsi="Wingdings"/>
      </w:rPr>
    </w:lvl>
    <w:lvl w:ilvl="8">
      <w:start w:val="1"/>
      <w:numFmt w:val="bullet"/>
      <w:isLgl w:val="false"/>
      <w:suff w:val="tab"/>
      <w:lvlText w:val=""/>
      <w:lvlJc w:val="left"/>
      <w:pPr>
        <w:pStyle w:val="954"/>
        <w:ind w:left="3780" w:hanging="420"/>
        <w:tabs>
          <w:tab w:val="num" w:pos="3780" w:leader="none"/>
        </w:tabs>
      </w:pPr>
      <w:rPr>
        <w:rFonts w:ascii="Wingdings" w:hAnsi="Wingdings"/>
      </w:rPr>
    </w:lvl>
  </w:abstractNum>
  <w:abstractNum w:abstractNumId="13">
    <w:multiLevelType w:val="hybridMultilevel"/>
    <w:lvl w:ilvl="0">
      <w:start w:val="1"/>
      <w:numFmt w:val="bullet"/>
      <w:pStyle w:val="1367"/>
      <w:isLgl w:val="false"/>
      <w:suff w:val="tab"/>
      <w:lvlText w:val=""/>
      <w:lvlJc w:val="left"/>
      <w:pPr>
        <w:pStyle w:val="954"/>
        <w:ind w:left="794" w:hanging="312"/>
        <w:tabs>
          <w:tab w:val="num" w:pos="482" w:leader="none"/>
        </w:tabs>
      </w:pPr>
      <w:rPr>
        <w:rFonts w:ascii="Wingdings" w:hAnsi="Wingdings"/>
      </w:rPr>
    </w:lvl>
    <w:lvl w:ilvl="1">
      <w:start w:val="1"/>
      <w:numFmt w:val="decimal"/>
      <w:isLgl w:val="false"/>
      <w:suff w:val="tab"/>
      <w:lvlText w:val="%2."/>
      <w:lvlJc w:val="left"/>
      <w:pPr>
        <w:pStyle w:val="954"/>
        <w:ind w:left="840" w:hanging="420"/>
        <w:tabs>
          <w:tab w:val="num" w:pos="840" w:leader="none"/>
        </w:tabs>
      </w:pPr>
    </w:lvl>
    <w:lvl w:ilvl="2">
      <w:start w:val="1"/>
      <w:numFmt w:val="bullet"/>
      <w:isLgl w:val="false"/>
      <w:suff w:val="tab"/>
      <w:lvlText w:val=""/>
      <w:lvlJc w:val="left"/>
      <w:pPr>
        <w:pStyle w:val="954"/>
        <w:ind w:left="1260" w:hanging="420"/>
        <w:tabs>
          <w:tab w:val="num" w:pos="1260" w:leader="none"/>
        </w:tabs>
      </w:pPr>
      <w:rPr>
        <w:rFonts w:ascii="Wingdings" w:hAnsi="Wingdings"/>
      </w:rPr>
    </w:lvl>
    <w:lvl w:ilvl="3">
      <w:start w:val="1"/>
      <w:numFmt w:val="bullet"/>
      <w:isLgl w:val="false"/>
      <w:suff w:val="tab"/>
      <w:lvlText w:val=""/>
      <w:lvlJc w:val="left"/>
      <w:pPr>
        <w:pStyle w:val="954"/>
        <w:ind w:left="1680" w:hanging="420"/>
        <w:tabs>
          <w:tab w:val="num" w:pos="1680" w:leader="none"/>
        </w:tabs>
      </w:pPr>
      <w:rPr>
        <w:rFonts w:ascii="Wingdings" w:hAnsi="Wingdings"/>
      </w:rPr>
    </w:lvl>
    <w:lvl w:ilvl="4">
      <w:start w:val="1"/>
      <w:numFmt w:val="bullet"/>
      <w:isLgl w:val="false"/>
      <w:suff w:val="tab"/>
      <w:lvlText w:val=""/>
      <w:lvlJc w:val="left"/>
      <w:pPr>
        <w:pStyle w:val="954"/>
        <w:ind w:left="2100" w:hanging="420"/>
        <w:tabs>
          <w:tab w:val="num" w:pos="2100" w:leader="none"/>
        </w:tabs>
      </w:pPr>
      <w:rPr>
        <w:rFonts w:ascii="Wingdings" w:hAnsi="Wingdings"/>
      </w:rPr>
    </w:lvl>
    <w:lvl w:ilvl="5">
      <w:start w:val="1"/>
      <w:numFmt w:val="bullet"/>
      <w:isLgl w:val="false"/>
      <w:suff w:val="tab"/>
      <w:lvlText w:val=""/>
      <w:lvlJc w:val="left"/>
      <w:pPr>
        <w:pStyle w:val="954"/>
        <w:ind w:left="2520" w:hanging="420"/>
        <w:tabs>
          <w:tab w:val="num" w:pos="2520" w:leader="none"/>
        </w:tabs>
      </w:pPr>
      <w:rPr>
        <w:rFonts w:ascii="Wingdings" w:hAnsi="Wingdings"/>
      </w:rPr>
    </w:lvl>
    <w:lvl w:ilvl="6">
      <w:start w:val="1"/>
      <w:numFmt w:val="bullet"/>
      <w:isLgl w:val="false"/>
      <w:suff w:val="tab"/>
      <w:lvlText w:val=""/>
      <w:lvlJc w:val="left"/>
      <w:pPr>
        <w:pStyle w:val="954"/>
        <w:ind w:left="2940" w:hanging="420"/>
        <w:tabs>
          <w:tab w:val="num" w:pos="2940" w:leader="none"/>
        </w:tabs>
      </w:pPr>
      <w:rPr>
        <w:rFonts w:ascii="Wingdings" w:hAnsi="Wingdings"/>
      </w:rPr>
    </w:lvl>
    <w:lvl w:ilvl="7">
      <w:start w:val="1"/>
      <w:numFmt w:val="bullet"/>
      <w:isLgl w:val="false"/>
      <w:suff w:val="tab"/>
      <w:lvlText w:val=""/>
      <w:lvlJc w:val="left"/>
      <w:pPr>
        <w:pStyle w:val="954"/>
        <w:ind w:left="3360" w:hanging="420"/>
        <w:tabs>
          <w:tab w:val="num" w:pos="3360" w:leader="none"/>
        </w:tabs>
      </w:pPr>
      <w:rPr>
        <w:rFonts w:ascii="Wingdings" w:hAnsi="Wingdings"/>
      </w:rPr>
    </w:lvl>
    <w:lvl w:ilvl="8">
      <w:start w:val="1"/>
      <w:numFmt w:val="bullet"/>
      <w:isLgl w:val="false"/>
      <w:suff w:val="tab"/>
      <w:lvlText w:val=""/>
      <w:lvlJc w:val="left"/>
      <w:pPr>
        <w:pStyle w:val="954"/>
        <w:ind w:left="3780" w:hanging="420"/>
        <w:tabs>
          <w:tab w:val="num" w:pos="3780" w:leader="none"/>
        </w:tabs>
      </w:pPr>
      <w:rPr>
        <w:rFonts w:ascii="Wingdings" w:hAnsi="Wingdings"/>
      </w:rPr>
    </w:lvl>
  </w:abstractNum>
  <w:abstractNum w:abstractNumId="14">
    <w:multiLevelType w:val="hybridMultilevel"/>
    <w:lvl w:ilvl="0">
      <w:start w:val="1"/>
      <w:numFmt w:val="japaneseCounting"/>
      <w:pStyle w:val="1197"/>
      <w:isLgl w:val="false"/>
      <w:suff w:val="tab"/>
      <w:lvlText w:val="%1、"/>
      <w:lvlJc w:val="left"/>
      <w:pPr>
        <w:pStyle w:val="954"/>
        <w:ind w:left="720" w:hanging="720"/>
        <w:tabs>
          <w:tab w:val="num" w:pos="720" w:leader="none"/>
        </w:tabs>
      </w:pPr>
      <w:rPr>
        <w:rFonts w:hint="eastAsia"/>
        <w:lang w:val="en-US"/>
      </w:rPr>
    </w:lvl>
    <w:lvl w:ilvl="1">
      <w:start w:val="1"/>
      <w:numFmt w:val="lowerLetter"/>
      <w:isLgl w:val="false"/>
      <w:suff w:val="tab"/>
      <w:lvlText w:val="%2)"/>
      <w:lvlJc w:val="left"/>
      <w:pPr>
        <w:pStyle w:val="954"/>
        <w:ind w:left="840" w:hanging="420"/>
        <w:tabs>
          <w:tab w:val="num" w:pos="840" w:leader="none"/>
        </w:tabs>
      </w:pPr>
    </w:lvl>
    <w:lvl w:ilvl="2">
      <w:start w:val="1"/>
      <w:numFmt w:val="lowerRoman"/>
      <w:isLgl w:val="false"/>
      <w:suff w:val="tab"/>
      <w:lvlText w:val="%3."/>
      <w:lvlJc w:val="right"/>
      <w:pPr>
        <w:pStyle w:val="954"/>
        <w:ind w:left="1260" w:hanging="420"/>
        <w:tabs>
          <w:tab w:val="num" w:pos="1260" w:leader="none"/>
        </w:tabs>
      </w:pPr>
    </w:lvl>
    <w:lvl w:ilvl="3">
      <w:start w:val="1"/>
      <w:numFmt w:val="decimal"/>
      <w:isLgl w:val="false"/>
      <w:suff w:val="tab"/>
      <w:lvlText w:val="%4."/>
      <w:lvlJc w:val="left"/>
      <w:pPr>
        <w:pStyle w:val="954"/>
        <w:ind w:left="1680" w:hanging="420"/>
        <w:tabs>
          <w:tab w:val="num" w:pos="1680" w:leader="none"/>
        </w:tabs>
      </w:pPr>
    </w:lvl>
    <w:lvl w:ilvl="4">
      <w:start w:val="1"/>
      <w:numFmt w:val="lowerLetter"/>
      <w:pStyle w:val="1384"/>
      <w:isLgl w:val="false"/>
      <w:suff w:val="tab"/>
      <w:lvlText w:val="%5)"/>
      <w:lvlJc w:val="left"/>
      <w:pPr>
        <w:pStyle w:val="954"/>
        <w:ind w:left="2100" w:hanging="420"/>
        <w:tabs>
          <w:tab w:val="num" w:pos="2100" w:leader="none"/>
        </w:tabs>
      </w:pPr>
    </w:lvl>
    <w:lvl w:ilvl="5">
      <w:start w:val="1"/>
      <w:numFmt w:val="lowerRoman"/>
      <w:pStyle w:val="1442"/>
      <w:isLgl w:val="false"/>
      <w:suff w:val="tab"/>
      <w:lvlText w:val="%6."/>
      <w:lvlJc w:val="right"/>
      <w:pPr>
        <w:pStyle w:val="954"/>
        <w:ind w:left="2520" w:hanging="420"/>
        <w:tabs>
          <w:tab w:val="num" w:pos="2520" w:leader="none"/>
        </w:tabs>
      </w:pPr>
    </w:lvl>
    <w:lvl w:ilvl="6">
      <w:start w:val="1"/>
      <w:numFmt w:val="decimal"/>
      <w:isLgl w:val="false"/>
      <w:suff w:val="tab"/>
      <w:lvlText w:val="%7."/>
      <w:lvlJc w:val="left"/>
      <w:pPr>
        <w:pStyle w:val="954"/>
        <w:ind w:left="2940" w:hanging="420"/>
        <w:tabs>
          <w:tab w:val="num" w:pos="2940" w:leader="none"/>
        </w:tabs>
      </w:pPr>
    </w:lvl>
    <w:lvl w:ilvl="7">
      <w:start w:val="1"/>
      <w:numFmt w:val="lowerLetter"/>
      <w:pStyle w:val="1317"/>
      <w:isLgl w:val="false"/>
      <w:suff w:val="tab"/>
      <w:lvlText w:val="%8)"/>
      <w:lvlJc w:val="left"/>
      <w:pPr>
        <w:pStyle w:val="954"/>
        <w:ind w:left="3360" w:hanging="420"/>
        <w:tabs>
          <w:tab w:val="num" w:pos="3360" w:leader="none"/>
        </w:tabs>
      </w:pPr>
    </w:lvl>
    <w:lvl w:ilvl="8">
      <w:start w:val="1"/>
      <w:numFmt w:val="lowerRoman"/>
      <w:pStyle w:val="1518"/>
      <w:isLgl w:val="false"/>
      <w:suff w:val="tab"/>
      <w:lvlText w:val="%9."/>
      <w:lvlJc w:val="right"/>
      <w:pPr>
        <w:pStyle w:val="954"/>
        <w:ind w:left="3780" w:hanging="420"/>
        <w:tabs>
          <w:tab w:val="num" w:pos="3780" w:leader="none"/>
        </w:tabs>
      </w:pPr>
    </w:lvl>
  </w:abstractNum>
  <w:abstractNum w:abstractNumId="15">
    <w:multiLevelType w:val="hybridMultilevel"/>
    <w:lvl w:ilvl="0">
      <w:start w:val="1"/>
      <w:numFmt w:val="decimal"/>
      <w:isLgl w:val="false"/>
      <w:suff w:val="tab"/>
      <w:lvlText w:val="%1"/>
      <w:lvlJc w:val="left"/>
      <w:pPr>
        <w:pStyle w:val="954"/>
        <w:ind w:left="425" w:hanging="425"/>
      </w:pPr>
    </w:lvl>
    <w:lvl w:ilvl="1">
      <w:start w:val="1"/>
      <w:numFmt w:val="decimal"/>
      <w:isLgl w:val="false"/>
      <w:suff w:val="tab"/>
      <w:lvlText w:val="30.%2"/>
      <w:lvlJc w:val="left"/>
      <w:pPr>
        <w:pStyle w:val="954"/>
        <w:ind w:left="440" w:hanging="440"/>
      </w:pPr>
      <w:rPr>
        <w:rFonts w:hint="eastAsia"/>
      </w:rPr>
    </w:lvl>
    <w:lvl w:ilvl="2">
      <w:start w:val="1"/>
      <w:numFmt w:val="decimal"/>
      <w:isLgl w:val="false"/>
      <w:suff w:val="tab"/>
      <w:lvlText w:val="%1.%2.%3"/>
      <w:lvlJc w:val="left"/>
      <w:pPr>
        <w:pStyle w:val="954"/>
        <w:ind w:left="1418" w:hanging="567"/>
      </w:pPr>
    </w:lvl>
    <w:lvl w:ilvl="3">
      <w:start w:val="1"/>
      <w:numFmt w:val="decimal"/>
      <w:isLgl w:val="false"/>
      <w:suff w:val="tab"/>
      <w:lvlText w:val="%1.%2.%3.%4"/>
      <w:lvlJc w:val="left"/>
      <w:pPr>
        <w:pStyle w:val="954"/>
        <w:ind w:left="1984" w:hanging="708"/>
      </w:pPr>
    </w:lvl>
    <w:lvl w:ilvl="4">
      <w:start w:val="1"/>
      <w:numFmt w:val="decimal"/>
      <w:isLgl w:val="false"/>
      <w:suff w:val="tab"/>
      <w:lvlText w:val="%1.%2.%3.%4.%5"/>
      <w:lvlJc w:val="left"/>
      <w:pPr>
        <w:pStyle w:val="954"/>
        <w:ind w:left="2551" w:hanging="850"/>
      </w:pPr>
    </w:lvl>
    <w:lvl w:ilvl="5">
      <w:start w:val="1"/>
      <w:numFmt w:val="decimal"/>
      <w:isLgl w:val="false"/>
      <w:suff w:val="tab"/>
      <w:lvlText w:val="%1.%2.%3.%4.%5.%6"/>
      <w:lvlJc w:val="left"/>
      <w:pPr>
        <w:pStyle w:val="954"/>
        <w:ind w:left="3260" w:hanging="1134"/>
      </w:pPr>
    </w:lvl>
    <w:lvl w:ilvl="6">
      <w:start w:val="1"/>
      <w:numFmt w:val="decimal"/>
      <w:isLgl w:val="false"/>
      <w:suff w:val="tab"/>
      <w:lvlText w:val="%1.%2.%3.%4.%5.%6.%7"/>
      <w:lvlJc w:val="left"/>
      <w:pPr>
        <w:pStyle w:val="954"/>
        <w:ind w:left="3827" w:hanging="1276"/>
      </w:pPr>
    </w:lvl>
    <w:lvl w:ilvl="7">
      <w:start w:val="1"/>
      <w:numFmt w:val="decimal"/>
      <w:isLgl w:val="false"/>
      <w:suff w:val="tab"/>
      <w:lvlText w:val="%1.%2.%3.%4.%5.%6.%7.%8"/>
      <w:lvlJc w:val="left"/>
      <w:pPr>
        <w:pStyle w:val="954"/>
        <w:ind w:left="4394" w:hanging="1418"/>
      </w:pPr>
    </w:lvl>
    <w:lvl w:ilvl="8">
      <w:start w:val="1"/>
      <w:numFmt w:val="decimal"/>
      <w:isLgl w:val="false"/>
      <w:suff w:val="tab"/>
      <w:lvlText w:val="%1.%2.%3.%4.%5.%6.%7.%8.%9"/>
      <w:lvlJc w:val="left"/>
      <w:pPr>
        <w:pStyle w:val="954"/>
        <w:ind w:left="5102" w:hanging="1700"/>
      </w:pPr>
    </w:lvl>
  </w:abstractNum>
  <w:abstractNum w:abstractNumId="16">
    <w:multiLevelType w:val="hybridMultilevel"/>
    <w:lvl w:ilvl="0">
      <w:start w:val="3"/>
      <w:numFmt w:val="decimal"/>
      <w:pStyle w:val="1252"/>
      <w:isLgl w:val="false"/>
      <w:suff w:val="tab"/>
      <w:lvlText w:val="%1."/>
      <w:lvlJc w:val="left"/>
      <w:pPr>
        <w:pStyle w:val="954"/>
        <w:ind w:left="709" w:hanging="425"/>
        <w:tabs>
          <w:tab w:val="num" w:pos="709" w:leader="none"/>
        </w:tabs>
      </w:pPr>
      <w:rPr>
        <w:rFonts w:hint="eastAsia"/>
        <w:b/>
      </w:rPr>
    </w:lvl>
    <w:lvl w:ilvl="1">
      <w:start w:val="1"/>
      <w:numFmt w:val="decimal"/>
      <w:isLgl w:val="false"/>
      <w:suff w:val="tab"/>
      <w:lvlText w:val="%1.%2"/>
      <w:lvlJc w:val="left"/>
      <w:pPr>
        <w:pStyle w:val="954"/>
        <w:ind w:left="851" w:hanging="567"/>
        <w:tabs>
          <w:tab w:val="num" w:pos="851" w:leader="none"/>
        </w:tabs>
      </w:pPr>
      <w:rPr>
        <w:rFonts w:hint="eastAsia" w:ascii="宋体" w:hAnsi="宋体" w:eastAsia="宋体"/>
      </w:rPr>
    </w:lvl>
    <w:lvl w:ilvl="2">
      <w:start w:val="1"/>
      <w:numFmt w:val="decimal"/>
      <w:isLgl w:val="false"/>
      <w:suff w:val="tab"/>
      <w:lvlText w:val="%1.%2.%3."/>
      <w:lvlJc w:val="left"/>
      <w:pPr>
        <w:pStyle w:val="954"/>
        <w:ind w:left="709" w:hanging="709"/>
        <w:tabs>
          <w:tab w:val="num" w:pos="709" w:leader="none"/>
        </w:tabs>
      </w:pPr>
      <w:rPr>
        <w:rFonts w:hint="eastAsia"/>
      </w:rPr>
    </w:lvl>
    <w:lvl w:ilvl="3">
      <w:start w:val="1"/>
      <w:numFmt w:val="decimal"/>
      <w:isLgl w:val="false"/>
      <w:suff w:val="tab"/>
      <w:lvlText w:val="%1.%2.%3.%4."/>
      <w:lvlJc w:val="left"/>
      <w:pPr>
        <w:pStyle w:val="954"/>
        <w:ind w:left="851" w:hanging="851"/>
        <w:tabs>
          <w:tab w:val="num" w:pos="851" w:leader="none"/>
        </w:tabs>
      </w:pPr>
      <w:rPr>
        <w:rFonts w:hint="eastAsia"/>
      </w:rPr>
    </w:lvl>
    <w:lvl w:ilvl="4">
      <w:start w:val="1"/>
      <w:numFmt w:val="decimal"/>
      <w:isLgl w:val="false"/>
      <w:suff w:val="tab"/>
      <w:lvlText w:val="%1.%2.%3.%4.%5."/>
      <w:lvlJc w:val="left"/>
      <w:pPr>
        <w:pStyle w:val="954"/>
        <w:ind w:left="992" w:hanging="992"/>
        <w:tabs>
          <w:tab w:val="num" w:pos="992" w:leader="none"/>
        </w:tabs>
      </w:pPr>
      <w:rPr>
        <w:rFonts w:hint="eastAsia"/>
      </w:rPr>
    </w:lvl>
    <w:lvl w:ilvl="5">
      <w:start w:val="1"/>
      <w:numFmt w:val="decimal"/>
      <w:isLgl w:val="false"/>
      <w:suff w:val="tab"/>
      <w:lvlText w:val="%1.%2.%3.%4.%5.%6."/>
      <w:lvlJc w:val="left"/>
      <w:pPr>
        <w:pStyle w:val="954"/>
        <w:ind w:left="1134" w:hanging="1134"/>
        <w:tabs>
          <w:tab w:val="num" w:pos="1134" w:leader="none"/>
        </w:tabs>
      </w:pPr>
      <w:rPr>
        <w:rFonts w:hint="eastAsia"/>
      </w:rPr>
    </w:lvl>
    <w:lvl w:ilvl="6">
      <w:start w:val="1"/>
      <w:numFmt w:val="decimal"/>
      <w:isLgl w:val="false"/>
      <w:suff w:val="tab"/>
      <w:lvlText w:val="%1.%2.%3.%4.%5.%6.%7."/>
      <w:lvlJc w:val="left"/>
      <w:pPr>
        <w:pStyle w:val="954"/>
        <w:ind w:left="1276" w:hanging="1276"/>
        <w:tabs>
          <w:tab w:val="num" w:pos="1276" w:leader="none"/>
        </w:tabs>
      </w:pPr>
      <w:rPr>
        <w:rFonts w:hint="eastAsia"/>
      </w:rPr>
    </w:lvl>
    <w:lvl w:ilvl="7">
      <w:start w:val="1"/>
      <w:numFmt w:val="decimal"/>
      <w:isLgl w:val="false"/>
      <w:suff w:val="tab"/>
      <w:lvlText w:val="%1.%2.%3.%4.%5.%6.%7.%8."/>
      <w:lvlJc w:val="left"/>
      <w:pPr>
        <w:pStyle w:val="954"/>
        <w:ind w:left="1418" w:hanging="1418"/>
        <w:tabs>
          <w:tab w:val="num" w:pos="1418" w:leader="none"/>
        </w:tabs>
      </w:pPr>
      <w:rPr>
        <w:rFonts w:hint="eastAsia"/>
      </w:rPr>
    </w:lvl>
    <w:lvl w:ilvl="8">
      <w:start w:val="1"/>
      <w:numFmt w:val="decimal"/>
      <w:isLgl w:val="false"/>
      <w:suff w:val="tab"/>
      <w:lvlText w:val="%1.%2.%3.%4.%5.%6.%7.%8.%9."/>
      <w:lvlJc w:val="left"/>
      <w:pPr>
        <w:pStyle w:val="954"/>
        <w:ind w:left="1559" w:hanging="1559"/>
        <w:tabs>
          <w:tab w:val="num" w:pos="1559" w:leader="none"/>
        </w:tabs>
      </w:pPr>
      <w:rPr>
        <w:rFonts w:hint="eastAsia"/>
      </w:rPr>
    </w:lvl>
  </w:abstractNum>
  <w:abstractNum w:abstractNumId="17">
    <w:multiLevelType w:val="hybridMultilevel"/>
    <w:lvl w:ilvl="0">
      <w:start w:val="1"/>
      <w:numFmt w:val="japaneseCounting"/>
      <w:pStyle w:val="1466"/>
      <w:isLgl w:val="false"/>
      <w:suff w:val="tab"/>
      <w:lvlText w:val="%1、"/>
      <w:lvlJc w:val="left"/>
      <w:pPr>
        <w:pStyle w:val="954"/>
        <w:ind w:left="510" w:hanging="510"/>
      </w:pPr>
    </w:lvl>
    <w:lvl w:ilvl="1">
      <w:start w:val="1"/>
      <w:numFmt w:val="decimalFullWidth"/>
      <w:isLgl w:val="false"/>
      <w:suff w:val="tab"/>
      <w:lvlText w:val="（%2）"/>
      <w:lvlJc w:val="left"/>
      <w:pPr>
        <w:pStyle w:val="954"/>
        <w:ind w:left="1140" w:hanging="720"/>
      </w:pPr>
    </w:lvl>
    <w:lvl w:ilvl="2">
      <w:start w:val="1"/>
      <w:numFmt w:val="lowerRoman"/>
      <w:isLgl w:val="false"/>
      <w:suff w:val="tab"/>
      <w:lvlText w:val="%3."/>
      <w:lvlJc w:val="right"/>
      <w:pPr>
        <w:pStyle w:val="954"/>
        <w:ind w:left="1260" w:hanging="420"/>
      </w:pPr>
    </w:lvl>
    <w:lvl w:ilvl="3">
      <w:start w:val="1"/>
      <w:numFmt w:val="decimal"/>
      <w:isLgl w:val="false"/>
      <w:suff w:val="tab"/>
      <w:lvlText w:val="%4."/>
      <w:lvlJc w:val="left"/>
      <w:pPr>
        <w:pStyle w:val="954"/>
        <w:ind w:left="1680" w:hanging="420"/>
      </w:pPr>
    </w:lvl>
    <w:lvl w:ilvl="4">
      <w:start w:val="1"/>
      <w:numFmt w:val="lowerLetter"/>
      <w:isLgl w:val="false"/>
      <w:suff w:val="tab"/>
      <w:lvlText w:val="%5)"/>
      <w:lvlJc w:val="left"/>
      <w:pPr>
        <w:pStyle w:val="954"/>
        <w:ind w:left="2100" w:hanging="420"/>
      </w:pPr>
    </w:lvl>
    <w:lvl w:ilvl="5">
      <w:start w:val="1"/>
      <w:numFmt w:val="lowerRoman"/>
      <w:isLgl w:val="false"/>
      <w:suff w:val="tab"/>
      <w:lvlText w:val="%6."/>
      <w:lvlJc w:val="right"/>
      <w:pPr>
        <w:pStyle w:val="954"/>
        <w:ind w:left="2520" w:hanging="420"/>
      </w:pPr>
    </w:lvl>
    <w:lvl w:ilvl="6">
      <w:start w:val="1"/>
      <w:numFmt w:val="decimal"/>
      <w:isLgl w:val="false"/>
      <w:suff w:val="tab"/>
      <w:lvlText w:val="%7."/>
      <w:lvlJc w:val="left"/>
      <w:pPr>
        <w:pStyle w:val="954"/>
        <w:ind w:left="2940" w:hanging="420"/>
      </w:pPr>
    </w:lvl>
    <w:lvl w:ilvl="7">
      <w:start w:val="1"/>
      <w:numFmt w:val="lowerLetter"/>
      <w:isLgl w:val="false"/>
      <w:suff w:val="tab"/>
      <w:lvlText w:val="%8)"/>
      <w:lvlJc w:val="left"/>
      <w:pPr>
        <w:pStyle w:val="954"/>
        <w:ind w:left="3360" w:hanging="420"/>
      </w:pPr>
    </w:lvl>
    <w:lvl w:ilvl="8">
      <w:start w:val="1"/>
      <w:numFmt w:val="lowerRoman"/>
      <w:isLgl w:val="false"/>
      <w:suff w:val="tab"/>
      <w:lvlText w:val="%9."/>
      <w:lvlJc w:val="right"/>
      <w:pPr>
        <w:pStyle w:val="954"/>
        <w:ind w:left="3780" w:hanging="420"/>
      </w:pPr>
    </w:lvl>
  </w:abstractNum>
  <w:abstractNum w:abstractNumId="18">
    <w:multiLevelType w:val="hybridMultilevel"/>
    <w:lvl w:ilvl="0">
      <w:start w:val="1"/>
      <w:numFmt w:val="bullet"/>
      <w:pStyle w:val="1024"/>
      <w:isLgl w:val="false"/>
      <w:suff w:val="tab"/>
      <w:lvlText w:val=""/>
      <w:lvlJc w:val="left"/>
      <w:pPr>
        <w:pStyle w:val="954"/>
        <w:ind w:left="737" w:hanging="317"/>
        <w:tabs>
          <w:tab w:val="num" w:pos="737" w:leader="none"/>
        </w:tabs>
      </w:pPr>
      <w:rPr>
        <w:rFonts w:ascii="Symbol" w:hAnsi="Symbol" w:eastAsia="宋体"/>
        <w:color w:val="000000"/>
      </w:rPr>
    </w:lvl>
    <w:lvl w:ilvl="1">
      <w:start w:val="1"/>
      <w:numFmt w:val="bullet"/>
      <w:isLgl w:val="false"/>
      <w:suff w:val="tab"/>
      <w:lvlText w:val=""/>
      <w:lvlJc w:val="left"/>
      <w:pPr>
        <w:pStyle w:val="954"/>
        <w:ind w:left="1197" w:hanging="420"/>
        <w:tabs>
          <w:tab w:val="num" w:pos="1197" w:leader="none"/>
        </w:tabs>
      </w:pPr>
      <w:rPr>
        <w:rFonts w:ascii="Wingdings" w:hAnsi="Wingdings"/>
      </w:rPr>
    </w:lvl>
    <w:lvl w:ilvl="2">
      <w:start w:val="1"/>
      <w:numFmt w:val="bullet"/>
      <w:isLgl w:val="false"/>
      <w:suff w:val="tab"/>
      <w:lvlText w:val=""/>
      <w:lvlJc w:val="left"/>
      <w:pPr>
        <w:pStyle w:val="954"/>
        <w:ind w:left="1617" w:hanging="420"/>
        <w:tabs>
          <w:tab w:val="num" w:pos="1617" w:leader="none"/>
        </w:tabs>
      </w:pPr>
      <w:rPr>
        <w:rFonts w:ascii="Wingdings" w:hAnsi="Wingdings"/>
      </w:rPr>
    </w:lvl>
    <w:lvl w:ilvl="3">
      <w:start w:val="1"/>
      <w:numFmt w:val="bullet"/>
      <w:isLgl w:val="false"/>
      <w:suff w:val="tab"/>
      <w:lvlText w:val=""/>
      <w:lvlJc w:val="left"/>
      <w:pPr>
        <w:pStyle w:val="954"/>
        <w:ind w:left="2037" w:hanging="420"/>
        <w:tabs>
          <w:tab w:val="num" w:pos="2037" w:leader="none"/>
        </w:tabs>
      </w:pPr>
      <w:rPr>
        <w:rFonts w:ascii="Wingdings" w:hAnsi="Wingdings"/>
      </w:rPr>
    </w:lvl>
    <w:lvl w:ilvl="4">
      <w:start w:val="1"/>
      <w:numFmt w:val="bullet"/>
      <w:isLgl w:val="false"/>
      <w:suff w:val="tab"/>
      <w:lvlText w:val=""/>
      <w:lvlJc w:val="left"/>
      <w:pPr>
        <w:pStyle w:val="954"/>
        <w:ind w:left="2457" w:hanging="420"/>
        <w:tabs>
          <w:tab w:val="num" w:pos="2457" w:leader="none"/>
        </w:tabs>
      </w:pPr>
      <w:rPr>
        <w:rFonts w:ascii="Wingdings" w:hAnsi="Wingdings"/>
      </w:rPr>
    </w:lvl>
    <w:lvl w:ilvl="5">
      <w:start w:val="1"/>
      <w:numFmt w:val="bullet"/>
      <w:isLgl w:val="false"/>
      <w:suff w:val="tab"/>
      <w:lvlText w:val=""/>
      <w:lvlJc w:val="left"/>
      <w:pPr>
        <w:pStyle w:val="954"/>
        <w:ind w:left="2877" w:hanging="420"/>
        <w:tabs>
          <w:tab w:val="num" w:pos="2877" w:leader="none"/>
        </w:tabs>
      </w:pPr>
      <w:rPr>
        <w:rFonts w:ascii="Wingdings" w:hAnsi="Wingdings"/>
      </w:rPr>
    </w:lvl>
    <w:lvl w:ilvl="6">
      <w:start w:val="1"/>
      <w:numFmt w:val="bullet"/>
      <w:isLgl w:val="false"/>
      <w:suff w:val="tab"/>
      <w:lvlText w:val=""/>
      <w:lvlJc w:val="left"/>
      <w:pPr>
        <w:pStyle w:val="954"/>
        <w:ind w:left="3297" w:hanging="420"/>
        <w:tabs>
          <w:tab w:val="num" w:pos="3297" w:leader="none"/>
        </w:tabs>
      </w:pPr>
      <w:rPr>
        <w:rFonts w:ascii="Wingdings" w:hAnsi="Wingdings"/>
      </w:rPr>
    </w:lvl>
    <w:lvl w:ilvl="7">
      <w:start w:val="1"/>
      <w:numFmt w:val="bullet"/>
      <w:isLgl w:val="false"/>
      <w:suff w:val="tab"/>
      <w:lvlText w:val=""/>
      <w:lvlJc w:val="left"/>
      <w:pPr>
        <w:pStyle w:val="954"/>
        <w:ind w:left="3717" w:hanging="420"/>
        <w:tabs>
          <w:tab w:val="num" w:pos="3717" w:leader="none"/>
        </w:tabs>
      </w:pPr>
      <w:rPr>
        <w:rFonts w:ascii="Wingdings" w:hAnsi="Wingdings"/>
      </w:rPr>
    </w:lvl>
    <w:lvl w:ilvl="8">
      <w:start w:val="1"/>
      <w:numFmt w:val="bullet"/>
      <w:isLgl w:val="false"/>
      <w:suff w:val="tab"/>
      <w:lvlText w:val=""/>
      <w:lvlJc w:val="left"/>
      <w:pPr>
        <w:pStyle w:val="954"/>
        <w:ind w:left="4137" w:hanging="420"/>
        <w:tabs>
          <w:tab w:val="num" w:pos="4137" w:leader="none"/>
        </w:tabs>
      </w:pPr>
      <w:rPr>
        <w:rFonts w:ascii="Wingdings" w:hAnsi="Wingdings"/>
      </w:rPr>
    </w:lvl>
  </w:abstractNum>
  <w:abstractNum w:abstractNumId="19">
    <w:multiLevelType w:val="hybridMultilevel"/>
    <w:lvl w:ilvl="0">
      <w:start w:val="1"/>
      <w:numFmt w:val="decimal"/>
      <w:isLgl w:val="false"/>
      <w:suff w:val="tab"/>
      <w:lvlText w:val="%1"/>
      <w:lvlJc w:val="left"/>
      <w:pPr>
        <w:pStyle w:val="954"/>
        <w:ind w:left="425" w:hanging="425"/>
      </w:pPr>
    </w:lvl>
    <w:lvl w:ilvl="1">
      <w:start w:val="1"/>
      <w:numFmt w:val="decimal"/>
      <w:isLgl w:val="false"/>
      <w:suff w:val="tab"/>
      <w:lvlText w:val="36.%2"/>
      <w:lvlJc w:val="left"/>
      <w:pPr>
        <w:pStyle w:val="954"/>
        <w:ind w:left="440" w:hanging="440"/>
      </w:pPr>
      <w:rPr>
        <w:rFonts w:hint="eastAsia"/>
      </w:rPr>
    </w:lvl>
    <w:lvl w:ilvl="2">
      <w:start w:val="1"/>
      <w:numFmt w:val="decimal"/>
      <w:isLgl w:val="false"/>
      <w:suff w:val="tab"/>
      <w:lvlText w:val="%1.%2.%3"/>
      <w:lvlJc w:val="left"/>
      <w:pPr>
        <w:pStyle w:val="954"/>
        <w:ind w:left="1418" w:hanging="567"/>
      </w:pPr>
    </w:lvl>
    <w:lvl w:ilvl="3">
      <w:start w:val="1"/>
      <w:numFmt w:val="decimal"/>
      <w:isLgl w:val="false"/>
      <w:suff w:val="tab"/>
      <w:lvlText w:val="%1.%2.%3.%4"/>
      <w:lvlJc w:val="left"/>
      <w:pPr>
        <w:pStyle w:val="954"/>
        <w:ind w:left="1984" w:hanging="708"/>
      </w:pPr>
    </w:lvl>
    <w:lvl w:ilvl="4">
      <w:start w:val="1"/>
      <w:numFmt w:val="decimal"/>
      <w:isLgl w:val="false"/>
      <w:suff w:val="tab"/>
      <w:lvlText w:val="%1.%2.%3.%4.%5"/>
      <w:lvlJc w:val="left"/>
      <w:pPr>
        <w:pStyle w:val="954"/>
        <w:ind w:left="2551" w:hanging="850"/>
      </w:pPr>
    </w:lvl>
    <w:lvl w:ilvl="5">
      <w:start w:val="1"/>
      <w:numFmt w:val="decimal"/>
      <w:isLgl w:val="false"/>
      <w:suff w:val="tab"/>
      <w:lvlText w:val="%1.%2.%3.%4.%5.%6"/>
      <w:lvlJc w:val="left"/>
      <w:pPr>
        <w:pStyle w:val="954"/>
        <w:ind w:left="3260" w:hanging="1134"/>
      </w:pPr>
    </w:lvl>
    <w:lvl w:ilvl="6">
      <w:start w:val="1"/>
      <w:numFmt w:val="decimal"/>
      <w:isLgl w:val="false"/>
      <w:suff w:val="tab"/>
      <w:lvlText w:val="%1.%2.%3.%4.%5.%6.%7"/>
      <w:lvlJc w:val="left"/>
      <w:pPr>
        <w:pStyle w:val="954"/>
        <w:ind w:left="3827" w:hanging="1276"/>
      </w:pPr>
    </w:lvl>
    <w:lvl w:ilvl="7">
      <w:start w:val="1"/>
      <w:numFmt w:val="decimal"/>
      <w:isLgl w:val="false"/>
      <w:suff w:val="tab"/>
      <w:lvlText w:val="%1.%2.%3.%4.%5.%6.%7.%8"/>
      <w:lvlJc w:val="left"/>
      <w:pPr>
        <w:pStyle w:val="954"/>
        <w:ind w:left="4394" w:hanging="1418"/>
      </w:pPr>
    </w:lvl>
    <w:lvl w:ilvl="8">
      <w:start w:val="1"/>
      <w:numFmt w:val="decimal"/>
      <w:isLgl w:val="false"/>
      <w:suff w:val="tab"/>
      <w:lvlText w:val="%1.%2.%3.%4.%5.%6.%7.%8.%9"/>
      <w:lvlJc w:val="left"/>
      <w:pPr>
        <w:pStyle w:val="954"/>
        <w:ind w:left="5102" w:hanging="1700"/>
      </w:pPr>
    </w:lvl>
  </w:abstractNum>
  <w:abstractNum w:abstractNumId="20">
    <w:multiLevelType w:val="hybridMultilevel"/>
    <w:lvl w:ilvl="0">
      <w:start w:val="1"/>
      <w:numFmt w:val="decimal"/>
      <w:isLgl w:val="false"/>
      <w:suff w:val="tab"/>
      <w:lvlText w:val="%1"/>
      <w:lvlJc w:val="left"/>
      <w:pPr>
        <w:pStyle w:val="954"/>
        <w:ind w:left="425" w:hanging="425"/>
      </w:pPr>
    </w:lvl>
    <w:lvl w:ilvl="1">
      <w:start w:val="1"/>
      <w:numFmt w:val="decimal"/>
      <w:isLgl w:val="false"/>
      <w:suff w:val="tab"/>
      <w:lvlText w:val="38.%2"/>
      <w:lvlJc w:val="left"/>
      <w:pPr>
        <w:pStyle w:val="954"/>
        <w:ind w:left="440" w:hanging="440"/>
      </w:pPr>
      <w:rPr>
        <w:rFonts w:hint="eastAsia"/>
      </w:rPr>
    </w:lvl>
    <w:lvl w:ilvl="2">
      <w:start w:val="1"/>
      <w:numFmt w:val="decimal"/>
      <w:isLgl w:val="false"/>
      <w:suff w:val="tab"/>
      <w:lvlText w:val="%1.%2.%3"/>
      <w:lvlJc w:val="left"/>
      <w:pPr>
        <w:pStyle w:val="954"/>
        <w:ind w:left="1418" w:hanging="567"/>
      </w:pPr>
    </w:lvl>
    <w:lvl w:ilvl="3">
      <w:start w:val="1"/>
      <w:numFmt w:val="decimal"/>
      <w:isLgl w:val="false"/>
      <w:suff w:val="tab"/>
      <w:lvlText w:val="%1.%2.%3.%4"/>
      <w:lvlJc w:val="left"/>
      <w:pPr>
        <w:pStyle w:val="954"/>
        <w:ind w:left="1984" w:hanging="708"/>
      </w:pPr>
    </w:lvl>
    <w:lvl w:ilvl="4">
      <w:start w:val="1"/>
      <w:numFmt w:val="decimal"/>
      <w:isLgl w:val="false"/>
      <w:suff w:val="tab"/>
      <w:lvlText w:val="%1.%2.%3.%4.%5"/>
      <w:lvlJc w:val="left"/>
      <w:pPr>
        <w:pStyle w:val="954"/>
        <w:ind w:left="2551" w:hanging="850"/>
      </w:pPr>
    </w:lvl>
    <w:lvl w:ilvl="5">
      <w:start w:val="1"/>
      <w:numFmt w:val="decimal"/>
      <w:isLgl w:val="false"/>
      <w:suff w:val="tab"/>
      <w:lvlText w:val="%1.%2.%3.%4.%5.%6"/>
      <w:lvlJc w:val="left"/>
      <w:pPr>
        <w:pStyle w:val="954"/>
        <w:ind w:left="3260" w:hanging="1134"/>
      </w:pPr>
    </w:lvl>
    <w:lvl w:ilvl="6">
      <w:start w:val="1"/>
      <w:numFmt w:val="decimal"/>
      <w:isLgl w:val="false"/>
      <w:suff w:val="tab"/>
      <w:lvlText w:val="%1.%2.%3.%4.%5.%6.%7"/>
      <w:lvlJc w:val="left"/>
      <w:pPr>
        <w:pStyle w:val="954"/>
        <w:ind w:left="3827" w:hanging="1276"/>
      </w:pPr>
    </w:lvl>
    <w:lvl w:ilvl="7">
      <w:start w:val="1"/>
      <w:numFmt w:val="decimal"/>
      <w:isLgl w:val="false"/>
      <w:suff w:val="tab"/>
      <w:lvlText w:val="%1.%2.%3.%4.%5.%6.%7.%8"/>
      <w:lvlJc w:val="left"/>
      <w:pPr>
        <w:pStyle w:val="954"/>
        <w:ind w:left="4394" w:hanging="1418"/>
      </w:pPr>
    </w:lvl>
    <w:lvl w:ilvl="8">
      <w:start w:val="1"/>
      <w:numFmt w:val="decimal"/>
      <w:isLgl w:val="false"/>
      <w:suff w:val="tab"/>
      <w:lvlText w:val="%1.%2.%3.%4.%5.%6.%7.%8.%9"/>
      <w:lvlJc w:val="left"/>
      <w:pPr>
        <w:pStyle w:val="954"/>
        <w:ind w:left="5102" w:hanging="1700"/>
      </w:pPr>
    </w:lvl>
  </w:abstractNum>
  <w:abstractNum w:abstractNumId="21">
    <w:multiLevelType w:val="hybridMultilevel"/>
    <w:lvl w:ilvl="0">
      <w:start w:val="1"/>
      <w:numFmt w:val="decimal"/>
      <w:isLgl w:val="false"/>
      <w:suff w:val="tab"/>
      <w:lvlText w:val="%1"/>
      <w:lvlJc w:val="left"/>
      <w:pPr>
        <w:pStyle w:val="954"/>
        <w:ind w:left="425" w:hanging="425"/>
      </w:pPr>
    </w:lvl>
    <w:lvl w:ilvl="1">
      <w:start w:val="1"/>
      <w:numFmt w:val="decimal"/>
      <w:isLgl w:val="false"/>
      <w:suff w:val="tab"/>
      <w:lvlText w:val="36.%2"/>
      <w:lvlJc w:val="left"/>
      <w:pPr>
        <w:pStyle w:val="954"/>
        <w:ind w:left="440" w:hanging="440"/>
      </w:pPr>
      <w:rPr>
        <w:rFonts w:hint="eastAsia"/>
      </w:rPr>
    </w:lvl>
    <w:lvl w:ilvl="2">
      <w:start w:val="1"/>
      <w:numFmt w:val="decimal"/>
      <w:isLgl w:val="false"/>
      <w:suff w:val="tab"/>
      <w:lvlText w:val="%1.%2.%3"/>
      <w:lvlJc w:val="left"/>
      <w:pPr>
        <w:pStyle w:val="954"/>
        <w:ind w:left="1418" w:hanging="567"/>
      </w:pPr>
    </w:lvl>
    <w:lvl w:ilvl="3">
      <w:start w:val="1"/>
      <w:numFmt w:val="decimal"/>
      <w:isLgl w:val="false"/>
      <w:suff w:val="tab"/>
      <w:lvlText w:val="%1.%2.%3.%4"/>
      <w:lvlJc w:val="left"/>
      <w:pPr>
        <w:pStyle w:val="954"/>
        <w:ind w:left="1984" w:hanging="708"/>
      </w:pPr>
    </w:lvl>
    <w:lvl w:ilvl="4">
      <w:start w:val="1"/>
      <w:numFmt w:val="decimal"/>
      <w:isLgl w:val="false"/>
      <w:suff w:val="tab"/>
      <w:lvlText w:val="%1.%2.%3.%4.%5"/>
      <w:lvlJc w:val="left"/>
      <w:pPr>
        <w:pStyle w:val="954"/>
        <w:ind w:left="2551" w:hanging="850"/>
      </w:pPr>
    </w:lvl>
    <w:lvl w:ilvl="5">
      <w:start w:val="1"/>
      <w:numFmt w:val="decimal"/>
      <w:isLgl w:val="false"/>
      <w:suff w:val="tab"/>
      <w:lvlText w:val="%1.%2.%3.%4.%5.%6"/>
      <w:lvlJc w:val="left"/>
      <w:pPr>
        <w:pStyle w:val="954"/>
        <w:ind w:left="3260" w:hanging="1134"/>
      </w:pPr>
    </w:lvl>
    <w:lvl w:ilvl="6">
      <w:start w:val="1"/>
      <w:numFmt w:val="decimal"/>
      <w:isLgl w:val="false"/>
      <w:suff w:val="tab"/>
      <w:lvlText w:val="%1.%2.%3.%4.%5.%6.%7"/>
      <w:lvlJc w:val="left"/>
      <w:pPr>
        <w:pStyle w:val="954"/>
        <w:ind w:left="3827" w:hanging="1276"/>
      </w:pPr>
    </w:lvl>
    <w:lvl w:ilvl="7">
      <w:start w:val="1"/>
      <w:numFmt w:val="decimal"/>
      <w:isLgl w:val="false"/>
      <w:suff w:val="tab"/>
      <w:lvlText w:val="%1.%2.%3.%4.%5.%6.%7.%8"/>
      <w:lvlJc w:val="left"/>
      <w:pPr>
        <w:pStyle w:val="954"/>
        <w:ind w:left="4394" w:hanging="1418"/>
      </w:pPr>
    </w:lvl>
    <w:lvl w:ilvl="8">
      <w:start w:val="1"/>
      <w:numFmt w:val="decimal"/>
      <w:isLgl w:val="false"/>
      <w:suff w:val="tab"/>
      <w:lvlText w:val="%1.%2.%3.%4.%5.%6.%7.%8.%9"/>
      <w:lvlJc w:val="left"/>
      <w:pPr>
        <w:pStyle w:val="954"/>
        <w:ind w:left="5102" w:hanging="1700"/>
      </w:pPr>
    </w:lvl>
  </w:abstractNum>
  <w:abstractNum w:abstractNumId="22">
    <w:multiLevelType w:val="hybridMultilevel"/>
    <w:lvl w:ilvl="0">
      <w:start w:val="1"/>
      <w:numFmt w:val="decimal"/>
      <w:isLgl w:val="false"/>
      <w:suff w:val="nothing"/>
      <w:lvlText w:val="%1  "/>
      <w:lvlJc w:val="left"/>
      <w:pPr>
        <w:pStyle w:val="954"/>
        <w:ind w:left="0" w:firstLine="0"/>
      </w:pPr>
      <w:rPr>
        <w:rFonts w:ascii="Arial" w:hAnsi="Arial" w:eastAsia="黑体"/>
        <w:b w:val="0"/>
        <w:i w:val="0"/>
        <w:sz w:val="36"/>
        <w:szCs w:val="36"/>
      </w:rPr>
    </w:lvl>
    <w:lvl w:ilvl="1">
      <w:start w:val="1"/>
      <w:numFmt w:val="decimal"/>
      <w:isLgl w:val="false"/>
      <w:suff w:val="nothing"/>
      <w:lvlText w:val="%1.%2  "/>
      <w:lvlJc w:val="left"/>
      <w:pPr>
        <w:pStyle w:val="954"/>
        <w:ind w:left="0" w:firstLine="0"/>
      </w:pPr>
      <w:rPr>
        <w:rFonts w:ascii="Arial" w:hAnsi="Arial"/>
        <w:b w:val="0"/>
        <w:i w:val="0"/>
        <w:sz w:val="30"/>
        <w:szCs w:val="30"/>
      </w:rPr>
    </w:lvl>
    <w:lvl w:ilvl="2">
      <w:start w:val="1"/>
      <w:numFmt w:val="decimal"/>
      <w:isLgl w:val="false"/>
      <w:suff w:val="nothing"/>
      <w:lvlText w:val="%1.%2.%3  "/>
      <w:lvlJc w:val="left"/>
      <w:pPr>
        <w:pStyle w:val="954"/>
        <w:ind w:left="0" w:firstLine="0"/>
      </w:pPr>
      <w:rPr>
        <w:rFonts w:ascii="Arial" w:hAnsi="Arial"/>
        <w:b w:val="0"/>
        <w:i w:val="0"/>
        <w:sz w:val="24"/>
        <w:szCs w:val="24"/>
      </w:rPr>
    </w:lvl>
    <w:lvl w:ilvl="3">
      <w:start w:val="1"/>
      <w:numFmt w:val="decimal"/>
      <w:isLgl w:val="false"/>
      <w:suff w:val="nothing"/>
      <w:lvlText w:val="%1.%2.%3.%4  "/>
      <w:lvlJc w:val="left"/>
      <w:pPr>
        <w:pStyle w:val="954"/>
        <w:ind w:left="0" w:firstLine="0"/>
      </w:pPr>
      <w:rPr>
        <w:rFonts w:ascii="Arial" w:hAnsi="Arial"/>
        <w:b w:val="0"/>
        <w:i w:val="0"/>
        <w:sz w:val="21"/>
        <w:szCs w:val="21"/>
      </w:rPr>
    </w:lvl>
    <w:lvl w:ilvl="4">
      <w:start w:val="1"/>
      <w:numFmt w:val="decimal"/>
      <w:isLgl w:val="false"/>
      <w:suff w:val="tab"/>
      <w:lvlText w:val="%5."/>
      <w:lvlJc w:val="left"/>
      <w:pPr>
        <w:pStyle w:val="954"/>
        <w:ind w:left="1134" w:hanging="312"/>
        <w:tabs>
          <w:tab w:val="num" w:pos="1134" w:leader="none"/>
        </w:tabs>
      </w:pPr>
      <w:rPr>
        <w:rFonts w:ascii="Arial" w:hAnsi="Arial"/>
        <w:b w:val="0"/>
        <w:i w:val="0"/>
        <w:sz w:val="21"/>
        <w:szCs w:val="21"/>
      </w:rPr>
    </w:lvl>
    <w:lvl w:ilvl="5">
      <w:start w:val="1"/>
      <w:numFmt w:val="decimal"/>
      <w:isLgl w:val="false"/>
      <w:suff w:val="tab"/>
      <w:lvlText w:val="%6)"/>
      <w:lvlJc w:val="left"/>
      <w:pPr>
        <w:pStyle w:val="954"/>
        <w:ind w:left="1134" w:hanging="312"/>
        <w:tabs>
          <w:tab w:val="num" w:pos="1134" w:leader="none"/>
        </w:tabs>
      </w:pPr>
      <w:rPr>
        <w:rFonts w:ascii="Arial" w:hAnsi="Arial"/>
        <w:b w:val="0"/>
        <w:i w:val="0"/>
        <w:sz w:val="21"/>
        <w:szCs w:val="21"/>
      </w:rPr>
    </w:lvl>
    <w:lvl w:ilvl="6">
      <w:start w:val="1"/>
      <w:numFmt w:val="lowerLetter"/>
      <w:isLgl w:val="false"/>
      <w:suff w:val="tab"/>
      <w:lvlText w:val="%7."/>
      <w:lvlJc w:val="left"/>
      <w:pPr>
        <w:pStyle w:val="954"/>
        <w:ind w:left="1134" w:hanging="312"/>
        <w:tabs>
          <w:tab w:val="num" w:pos="1134" w:leader="none"/>
        </w:tabs>
      </w:pPr>
      <w:rPr>
        <w:rFonts w:ascii="Arial" w:hAnsi="Arial"/>
        <w:b w:val="0"/>
        <w:i w:val="0"/>
        <w:sz w:val="21"/>
        <w:szCs w:val="21"/>
      </w:rPr>
    </w:lvl>
    <w:lvl w:ilvl="7">
      <w:start w:val="2"/>
      <w:numFmt w:val="decimal"/>
      <w:pStyle w:val="1297"/>
      <w:isLgl w:val="false"/>
      <w:suff w:val="space"/>
      <w:lvlText w:val="图3-%8"/>
      <w:lvlJc w:val="center"/>
      <w:pPr>
        <w:pStyle w:val="954"/>
        <w:ind w:left="4066" w:firstLine="0"/>
      </w:pPr>
      <w:rPr>
        <w:rFonts w:ascii="Arial" w:hAnsi="Arial" w:eastAsia="黑体"/>
        <w:b w:val="0"/>
        <w:i w:val="0"/>
        <w:sz w:val="18"/>
        <w:szCs w:val="18"/>
      </w:rPr>
    </w:lvl>
    <w:lvl w:ilvl="8">
      <w:start w:val="1"/>
      <w:numFmt w:val="decimal"/>
      <w:isLgl w:val="false"/>
      <w:suff w:val="space"/>
      <w:lvlText w:val="表%9"/>
      <w:lvlJc w:val="center"/>
      <w:pPr>
        <w:pStyle w:val="954"/>
        <w:ind w:left="0" w:firstLine="0"/>
      </w:pPr>
      <w:rPr>
        <w:rFonts w:ascii="Arial" w:hAnsi="Arial" w:eastAsia="黑体"/>
        <w:b w:val="0"/>
        <w:i w:val="0"/>
        <w:sz w:val="18"/>
        <w:szCs w:val="18"/>
      </w:rPr>
    </w:lvl>
  </w:abstractNum>
  <w:abstractNum w:abstractNumId="23">
    <w:multiLevelType w:val="hybridMultilevel"/>
    <w:lvl w:ilvl="0">
      <w:start w:val="0"/>
      <w:numFmt w:val="bullet"/>
      <w:isLgl w:val="false"/>
      <w:suff w:val="tab"/>
      <w:lvlText w:val="-"/>
      <w:lvlJc w:val="left"/>
      <w:pPr>
        <w:pStyle w:val="954"/>
        <w:ind w:left="780" w:hanging="360"/>
      </w:pPr>
      <w:rPr>
        <w:rFonts w:hint="eastAsia" w:ascii="宋体" w:hAnsi="宋体" w:eastAsia="宋体" w:cs="Times New Roman"/>
      </w:rPr>
    </w:lvl>
    <w:lvl w:ilvl="1">
      <w:start w:val="1"/>
      <w:numFmt w:val="bullet"/>
      <w:isLgl w:val="false"/>
      <w:suff w:val="tab"/>
      <w:lvlText w:val=""/>
      <w:lvlJc w:val="left"/>
      <w:pPr>
        <w:pStyle w:val="954"/>
        <w:ind w:left="1260" w:hanging="420"/>
      </w:pPr>
      <w:rPr>
        <w:rFonts w:ascii="Wingdings" w:hAnsi="Wingdings"/>
      </w:rPr>
    </w:lvl>
    <w:lvl w:ilvl="2">
      <w:start w:val="1"/>
      <w:numFmt w:val="bullet"/>
      <w:pStyle w:val="1422"/>
      <w:isLgl w:val="false"/>
      <w:suff w:val="tab"/>
      <w:lvlText w:val=""/>
      <w:lvlJc w:val="left"/>
      <w:pPr>
        <w:pStyle w:val="954"/>
        <w:ind w:left="1680" w:hanging="420"/>
      </w:pPr>
      <w:rPr>
        <w:rFonts w:ascii="Wingdings" w:hAnsi="Wingdings"/>
      </w:rPr>
    </w:lvl>
    <w:lvl w:ilvl="3">
      <w:start w:val="1"/>
      <w:numFmt w:val="bullet"/>
      <w:isLgl w:val="false"/>
      <w:suff w:val="tab"/>
      <w:lvlText w:val=""/>
      <w:lvlJc w:val="left"/>
      <w:pPr>
        <w:pStyle w:val="954"/>
        <w:ind w:left="2100" w:hanging="420"/>
      </w:pPr>
      <w:rPr>
        <w:rFonts w:ascii="Wingdings" w:hAnsi="Wingdings"/>
      </w:rPr>
    </w:lvl>
    <w:lvl w:ilvl="4">
      <w:start w:val="1"/>
      <w:numFmt w:val="bullet"/>
      <w:isLgl w:val="false"/>
      <w:suff w:val="tab"/>
      <w:lvlText w:val=""/>
      <w:lvlJc w:val="left"/>
      <w:pPr>
        <w:pStyle w:val="954"/>
        <w:ind w:left="2520" w:hanging="420"/>
      </w:pPr>
      <w:rPr>
        <w:rFonts w:ascii="Wingdings" w:hAnsi="Wingdings"/>
      </w:rPr>
    </w:lvl>
    <w:lvl w:ilvl="5">
      <w:start w:val="1"/>
      <w:numFmt w:val="bullet"/>
      <w:isLgl w:val="false"/>
      <w:suff w:val="tab"/>
      <w:lvlText w:val=""/>
      <w:lvlJc w:val="left"/>
      <w:pPr>
        <w:pStyle w:val="954"/>
        <w:ind w:left="2940" w:hanging="420"/>
      </w:pPr>
      <w:rPr>
        <w:rFonts w:ascii="Wingdings" w:hAnsi="Wingdings"/>
      </w:rPr>
    </w:lvl>
    <w:lvl w:ilvl="6">
      <w:start w:val="1"/>
      <w:numFmt w:val="bullet"/>
      <w:isLgl w:val="false"/>
      <w:suff w:val="tab"/>
      <w:lvlText w:val=""/>
      <w:lvlJc w:val="left"/>
      <w:pPr>
        <w:pStyle w:val="954"/>
        <w:ind w:left="3360" w:hanging="420"/>
      </w:pPr>
      <w:rPr>
        <w:rFonts w:ascii="Wingdings" w:hAnsi="Wingdings"/>
      </w:rPr>
    </w:lvl>
    <w:lvl w:ilvl="7">
      <w:start w:val="1"/>
      <w:numFmt w:val="bullet"/>
      <w:isLgl w:val="false"/>
      <w:suff w:val="tab"/>
      <w:lvlText w:val=""/>
      <w:lvlJc w:val="left"/>
      <w:pPr>
        <w:pStyle w:val="954"/>
        <w:ind w:left="3780" w:hanging="420"/>
      </w:pPr>
      <w:rPr>
        <w:rFonts w:ascii="Wingdings" w:hAnsi="Wingdings"/>
      </w:rPr>
    </w:lvl>
    <w:lvl w:ilvl="8">
      <w:start w:val="1"/>
      <w:numFmt w:val="bullet"/>
      <w:isLgl w:val="false"/>
      <w:suff w:val="tab"/>
      <w:lvlText w:val=""/>
      <w:lvlJc w:val="left"/>
      <w:pPr>
        <w:pStyle w:val="954"/>
        <w:ind w:left="4200" w:hanging="420"/>
      </w:pPr>
      <w:rPr>
        <w:rFonts w:ascii="Wingdings" w:hAnsi="Wingdings"/>
      </w:rPr>
    </w:lvl>
  </w:abstractNum>
  <w:abstractNum w:abstractNumId="24">
    <w:multiLevelType w:val="hybridMultilevel"/>
    <w:lvl w:ilvl="0">
      <w:start w:val="1"/>
      <w:numFmt w:val="bullet"/>
      <w:pStyle w:val="1349"/>
      <w:isLgl w:val="false"/>
      <w:suff w:val="tab"/>
      <w:lvlText w:val=""/>
      <w:lvlJc w:val="left"/>
      <w:pPr>
        <w:pStyle w:val="954"/>
        <w:ind w:left="1701" w:hanging="1701"/>
        <w:tabs>
          <w:tab w:val="num" w:pos="1701" w:leader="none"/>
        </w:tabs>
      </w:pPr>
      <w:rPr>
        <w:rFonts w:ascii="Wingdings" w:hAnsi="Wingdings"/>
        <w:b w:val="0"/>
        <w:i w:val="0"/>
        <w:sz w:val="52"/>
        <w:szCs w:val="52"/>
      </w:rPr>
    </w:lvl>
    <w:lvl w:ilvl="1">
      <w:start w:val="1"/>
      <w:numFmt w:val="bullet"/>
      <w:isLgl w:val="false"/>
      <w:suff w:val="tab"/>
      <w:lvlText w:val=""/>
      <w:lvlJc w:val="left"/>
      <w:pPr>
        <w:pStyle w:val="954"/>
        <w:ind w:left="840" w:hanging="420"/>
        <w:tabs>
          <w:tab w:val="num" w:pos="840" w:leader="none"/>
        </w:tabs>
      </w:pPr>
      <w:rPr>
        <w:rFonts w:ascii="Wingdings" w:hAnsi="Wingdings"/>
      </w:rPr>
    </w:lvl>
    <w:lvl w:ilvl="2">
      <w:start w:val="1"/>
      <w:numFmt w:val="bullet"/>
      <w:isLgl w:val="false"/>
      <w:suff w:val="tab"/>
      <w:lvlText w:val=""/>
      <w:lvlJc w:val="left"/>
      <w:pPr>
        <w:pStyle w:val="954"/>
        <w:ind w:left="1260" w:hanging="420"/>
        <w:tabs>
          <w:tab w:val="num" w:pos="1260" w:leader="none"/>
        </w:tabs>
      </w:pPr>
      <w:rPr>
        <w:rFonts w:ascii="Wingdings" w:hAnsi="Wingdings"/>
      </w:rPr>
    </w:lvl>
    <w:lvl w:ilvl="3">
      <w:start w:val="1"/>
      <w:numFmt w:val="bullet"/>
      <w:isLgl w:val="false"/>
      <w:suff w:val="tab"/>
      <w:lvlText w:val=""/>
      <w:lvlJc w:val="left"/>
      <w:pPr>
        <w:pStyle w:val="954"/>
        <w:ind w:left="1680" w:hanging="420"/>
        <w:tabs>
          <w:tab w:val="num" w:pos="1680" w:leader="none"/>
        </w:tabs>
      </w:pPr>
      <w:rPr>
        <w:rFonts w:ascii="Wingdings" w:hAnsi="Wingdings"/>
      </w:rPr>
    </w:lvl>
    <w:lvl w:ilvl="4">
      <w:start w:val="1"/>
      <w:numFmt w:val="bullet"/>
      <w:isLgl w:val="false"/>
      <w:suff w:val="tab"/>
      <w:lvlText w:val=""/>
      <w:lvlJc w:val="left"/>
      <w:pPr>
        <w:pStyle w:val="954"/>
        <w:ind w:left="2100" w:hanging="420"/>
        <w:tabs>
          <w:tab w:val="num" w:pos="2100" w:leader="none"/>
        </w:tabs>
      </w:pPr>
      <w:rPr>
        <w:rFonts w:ascii="Wingdings" w:hAnsi="Wingdings"/>
      </w:rPr>
    </w:lvl>
    <w:lvl w:ilvl="5">
      <w:start w:val="1"/>
      <w:numFmt w:val="bullet"/>
      <w:isLgl w:val="false"/>
      <w:suff w:val="tab"/>
      <w:lvlText w:val=""/>
      <w:lvlJc w:val="left"/>
      <w:pPr>
        <w:pStyle w:val="954"/>
        <w:ind w:left="2520" w:hanging="420"/>
        <w:tabs>
          <w:tab w:val="num" w:pos="2520" w:leader="none"/>
        </w:tabs>
      </w:pPr>
      <w:rPr>
        <w:rFonts w:ascii="Wingdings" w:hAnsi="Wingdings"/>
      </w:rPr>
    </w:lvl>
    <w:lvl w:ilvl="6">
      <w:start w:val="1"/>
      <w:numFmt w:val="bullet"/>
      <w:isLgl w:val="false"/>
      <w:suff w:val="tab"/>
      <w:lvlText w:val=""/>
      <w:lvlJc w:val="left"/>
      <w:pPr>
        <w:pStyle w:val="954"/>
        <w:ind w:left="2940" w:hanging="420"/>
        <w:tabs>
          <w:tab w:val="num" w:pos="2940" w:leader="none"/>
        </w:tabs>
      </w:pPr>
      <w:rPr>
        <w:rFonts w:ascii="Wingdings" w:hAnsi="Wingdings"/>
      </w:rPr>
    </w:lvl>
    <w:lvl w:ilvl="7">
      <w:start w:val="1"/>
      <w:numFmt w:val="bullet"/>
      <w:isLgl w:val="false"/>
      <w:suff w:val="tab"/>
      <w:lvlText w:val=""/>
      <w:lvlJc w:val="left"/>
      <w:pPr>
        <w:pStyle w:val="954"/>
        <w:ind w:left="3360" w:hanging="420"/>
        <w:tabs>
          <w:tab w:val="num" w:pos="3360" w:leader="none"/>
        </w:tabs>
      </w:pPr>
      <w:rPr>
        <w:rFonts w:ascii="Wingdings" w:hAnsi="Wingdings"/>
      </w:rPr>
    </w:lvl>
    <w:lvl w:ilvl="8">
      <w:start w:val="1"/>
      <w:numFmt w:val="bullet"/>
      <w:isLgl w:val="false"/>
      <w:suff w:val="tab"/>
      <w:lvlText w:val=""/>
      <w:lvlJc w:val="left"/>
      <w:pPr>
        <w:pStyle w:val="954"/>
        <w:ind w:left="3780" w:hanging="420"/>
        <w:tabs>
          <w:tab w:val="num" w:pos="3780" w:leader="none"/>
        </w:tabs>
      </w:pPr>
      <w:rPr>
        <w:rFonts w:ascii="Wingdings" w:hAnsi="Wingdings"/>
      </w:rPr>
    </w:lvl>
  </w:abstractNum>
  <w:abstractNum w:abstractNumId="25">
    <w:multiLevelType w:val="hybridMultilevel"/>
    <w:lvl w:ilvl="0">
      <w:start w:val="1"/>
      <w:numFmt w:val="decimal"/>
      <w:isLgl w:val="false"/>
      <w:suff w:val="tab"/>
      <w:lvlText w:val="%1"/>
      <w:lvlJc w:val="left"/>
      <w:pPr>
        <w:pStyle w:val="954"/>
        <w:ind w:left="425" w:hanging="425"/>
      </w:pPr>
    </w:lvl>
    <w:lvl w:ilvl="1">
      <w:start w:val="1"/>
      <w:numFmt w:val="decimal"/>
      <w:isLgl w:val="false"/>
      <w:suff w:val="tab"/>
      <w:lvlText w:val="32.%2"/>
      <w:lvlJc w:val="left"/>
      <w:pPr>
        <w:pStyle w:val="954"/>
        <w:ind w:left="440" w:hanging="440"/>
      </w:pPr>
      <w:rPr>
        <w:rFonts w:hint="eastAsia"/>
      </w:rPr>
    </w:lvl>
    <w:lvl w:ilvl="2">
      <w:start w:val="1"/>
      <w:numFmt w:val="decimal"/>
      <w:isLgl w:val="false"/>
      <w:suff w:val="tab"/>
      <w:lvlText w:val="%1.%2.%3"/>
      <w:lvlJc w:val="left"/>
      <w:pPr>
        <w:pStyle w:val="954"/>
        <w:ind w:left="1418" w:hanging="567"/>
      </w:pPr>
    </w:lvl>
    <w:lvl w:ilvl="3">
      <w:start w:val="1"/>
      <w:numFmt w:val="decimal"/>
      <w:isLgl w:val="false"/>
      <w:suff w:val="tab"/>
      <w:lvlText w:val="%1.%2.%3.%4"/>
      <w:lvlJc w:val="left"/>
      <w:pPr>
        <w:pStyle w:val="954"/>
        <w:ind w:left="1984" w:hanging="708"/>
      </w:pPr>
    </w:lvl>
    <w:lvl w:ilvl="4">
      <w:start w:val="1"/>
      <w:numFmt w:val="decimal"/>
      <w:isLgl w:val="false"/>
      <w:suff w:val="tab"/>
      <w:lvlText w:val="%1.%2.%3.%4.%5"/>
      <w:lvlJc w:val="left"/>
      <w:pPr>
        <w:pStyle w:val="954"/>
        <w:ind w:left="2551" w:hanging="850"/>
      </w:pPr>
    </w:lvl>
    <w:lvl w:ilvl="5">
      <w:start w:val="1"/>
      <w:numFmt w:val="decimal"/>
      <w:isLgl w:val="false"/>
      <w:suff w:val="tab"/>
      <w:lvlText w:val="%1.%2.%3.%4.%5.%6"/>
      <w:lvlJc w:val="left"/>
      <w:pPr>
        <w:pStyle w:val="954"/>
        <w:ind w:left="3260" w:hanging="1134"/>
      </w:pPr>
    </w:lvl>
    <w:lvl w:ilvl="6">
      <w:start w:val="1"/>
      <w:numFmt w:val="decimal"/>
      <w:isLgl w:val="false"/>
      <w:suff w:val="tab"/>
      <w:lvlText w:val="%1.%2.%3.%4.%5.%6.%7"/>
      <w:lvlJc w:val="left"/>
      <w:pPr>
        <w:pStyle w:val="954"/>
        <w:ind w:left="3827" w:hanging="1276"/>
      </w:pPr>
    </w:lvl>
    <w:lvl w:ilvl="7">
      <w:start w:val="1"/>
      <w:numFmt w:val="decimal"/>
      <w:isLgl w:val="false"/>
      <w:suff w:val="tab"/>
      <w:lvlText w:val="%1.%2.%3.%4.%5.%6.%7.%8"/>
      <w:lvlJc w:val="left"/>
      <w:pPr>
        <w:pStyle w:val="954"/>
        <w:ind w:left="4394" w:hanging="1418"/>
      </w:pPr>
    </w:lvl>
    <w:lvl w:ilvl="8">
      <w:start w:val="1"/>
      <w:numFmt w:val="decimal"/>
      <w:isLgl w:val="false"/>
      <w:suff w:val="tab"/>
      <w:lvlText w:val="%1.%2.%3.%4.%5.%6.%7.%8.%9"/>
      <w:lvlJc w:val="left"/>
      <w:pPr>
        <w:pStyle w:val="954"/>
        <w:ind w:left="5102" w:hanging="1700"/>
      </w:pPr>
    </w:lvl>
  </w:abstractNum>
  <w:abstractNum w:abstractNumId="26">
    <w:multiLevelType w:val="hybridMultilevel"/>
    <w:lvl w:ilvl="0">
      <w:start w:val="1"/>
      <w:numFmt w:val="decimal"/>
      <w:isLgl w:val="false"/>
      <w:suff w:val="tab"/>
      <w:lvlText w:val="%1"/>
      <w:lvlJc w:val="left"/>
      <w:pPr>
        <w:pStyle w:val="954"/>
        <w:ind w:left="425" w:hanging="425"/>
      </w:pPr>
    </w:lvl>
    <w:lvl w:ilvl="1">
      <w:start w:val="1"/>
      <w:numFmt w:val="decimal"/>
      <w:isLgl w:val="false"/>
      <w:suff w:val="tab"/>
      <w:lvlText w:val="22.%2"/>
      <w:lvlJc w:val="left"/>
      <w:pPr>
        <w:pStyle w:val="954"/>
        <w:ind w:left="440" w:hanging="440"/>
      </w:pPr>
      <w:rPr>
        <w:rFonts w:hint="eastAsia"/>
      </w:rPr>
    </w:lvl>
    <w:lvl w:ilvl="2">
      <w:start w:val="1"/>
      <w:numFmt w:val="decimal"/>
      <w:isLgl w:val="false"/>
      <w:suff w:val="tab"/>
      <w:lvlText w:val="%1.%2.%3"/>
      <w:lvlJc w:val="left"/>
      <w:pPr>
        <w:pStyle w:val="954"/>
        <w:ind w:left="1418" w:hanging="567"/>
      </w:pPr>
    </w:lvl>
    <w:lvl w:ilvl="3">
      <w:start w:val="1"/>
      <w:numFmt w:val="decimal"/>
      <w:isLgl w:val="false"/>
      <w:suff w:val="tab"/>
      <w:lvlText w:val="%1.%2.%3.%4"/>
      <w:lvlJc w:val="left"/>
      <w:pPr>
        <w:pStyle w:val="954"/>
        <w:ind w:left="1984" w:hanging="708"/>
      </w:pPr>
    </w:lvl>
    <w:lvl w:ilvl="4">
      <w:start w:val="1"/>
      <w:numFmt w:val="decimal"/>
      <w:isLgl w:val="false"/>
      <w:suff w:val="tab"/>
      <w:lvlText w:val="%1.%2.%3.%4.%5"/>
      <w:lvlJc w:val="left"/>
      <w:pPr>
        <w:pStyle w:val="954"/>
        <w:ind w:left="2551" w:hanging="850"/>
      </w:pPr>
    </w:lvl>
    <w:lvl w:ilvl="5">
      <w:start w:val="1"/>
      <w:numFmt w:val="decimal"/>
      <w:isLgl w:val="false"/>
      <w:suff w:val="tab"/>
      <w:lvlText w:val="%1.%2.%3.%4.%5.%6"/>
      <w:lvlJc w:val="left"/>
      <w:pPr>
        <w:pStyle w:val="954"/>
        <w:ind w:left="3260" w:hanging="1134"/>
      </w:pPr>
    </w:lvl>
    <w:lvl w:ilvl="6">
      <w:start w:val="1"/>
      <w:numFmt w:val="decimal"/>
      <w:isLgl w:val="false"/>
      <w:suff w:val="tab"/>
      <w:lvlText w:val="%1.%2.%3.%4.%5.%6.%7"/>
      <w:lvlJc w:val="left"/>
      <w:pPr>
        <w:pStyle w:val="954"/>
        <w:ind w:left="3827" w:hanging="1276"/>
      </w:pPr>
    </w:lvl>
    <w:lvl w:ilvl="7">
      <w:start w:val="1"/>
      <w:numFmt w:val="decimal"/>
      <w:isLgl w:val="false"/>
      <w:suff w:val="tab"/>
      <w:lvlText w:val="%1.%2.%3.%4.%5.%6.%7.%8"/>
      <w:lvlJc w:val="left"/>
      <w:pPr>
        <w:pStyle w:val="954"/>
        <w:ind w:left="4394" w:hanging="1418"/>
      </w:pPr>
    </w:lvl>
    <w:lvl w:ilvl="8">
      <w:start w:val="1"/>
      <w:numFmt w:val="decimal"/>
      <w:isLgl w:val="false"/>
      <w:suff w:val="tab"/>
      <w:lvlText w:val="%1.%2.%3.%4.%5.%6.%7.%8.%9"/>
      <w:lvlJc w:val="left"/>
      <w:pPr>
        <w:pStyle w:val="954"/>
        <w:ind w:left="5102" w:hanging="1700"/>
      </w:pPr>
    </w:lvl>
  </w:abstractNum>
  <w:abstractNum w:abstractNumId="27">
    <w:multiLevelType w:val="hybridMultilevel"/>
    <w:lvl w:ilvl="0">
      <w:start w:val="1"/>
      <w:numFmt w:val="decimal"/>
      <w:isLgl w:val="false"/>
      <w:suff w:val="tab"/>
      <w:lvlText w:val="20.%1"/>
      <w:lvlJc w:val="left"/>
      <w:pPr>
        <w:pStyle w:val="954"/>
        <w:ind w:left="440" w:hanging="440"/>
      </w:pPr>
      <w:rPr>
        <w:rFonts w:hint="eastAsia"/>
      </w:rPr>
    </w:lvl>
    <w:lvl w:ilvl="1">
      <w:start w:val="1"/>
      <w:numFmt w:val="lowerLetter"/>
      <w:isLgl w:val="false"/>
      <w:suff w:val="tab"/>
      <w:lvlText w:val="%2)"/>
      <w:lvlJc w:val="left"/>
      <w:pPr>
        <w:pStyle w:val="954"/>
        <w:ind w:left="880" w:hanging="440"/>
      </w:pPr>
    </w:lvl>
    <w:lvl w:ilvl="2">
      <w:start w:val="3"/>
      <w:numFmt w:val="decimal"/>
      <w:isLgl w:val="false"/>
      <w:suff w:val="tab"/>
      <w:lvlText w:val="%3、"/>
      <w:lvlJc w:val="left"/>
      <w:pPr>
        <w:pStyle w:val="954"/>
        <w:ind w:left="1240" w:hanging="360"/>
      </w:pPr>
    </w:lvl>
    <w:lvl w:ilvl="3">
      <w:start w:val="2"/>
      <w:numFmt w:val="japaneseCounting"/>
      <w:isLgl w:val="false"/>
      <w:suff w:val="tab"/>
      <w:lvlText w:val="%4、"/>
      <w:lvlJc w:val="left"/>
      <w:pPr>
        <w:pStyle w:val="954"/>
        <w:ind w:left="1770" w:hanging="450"/>
      </w:pPr>
    </w:lvl>
    <w:lvl w:ilvl="4">
      <w:start w:val="1"/>
      <w:numFmt w:val="lowerLetter"/>
      <w:isLgl w:val="false"/>
      <w:suff w:val="tab"/>
      <w:lvlText w:val="%5)"/>
      <w:lvlJc w:val="left"/>
      <w:pPr>
        <w:pStyle w:val="954"/>
        <w:ind w:left="2200" w:hanging="440"/>
      </w:pPr>
    </w:lvl>
    <w:lvl w:ilvl="5">
      <w:start w:val="1"/>
      <w:numFmt w:val="lowerRoman"/>
      <w:isLgl w:val="false"/>
      <w:suff w:val="tab"/>
      <w:lvlText w:val="%6."/>
      <w:lvlJc w:val="right"/>
      <w:pPr>
        <w:pStyle w:val="954"/>
        <w:ind w:left="2640" w:hanging="440"/>
      </w:pPr>
    </w:lvl>
    <w:lvl w:ilvl="6">
      <w:start w:val="1"/>
      <w:numFmt w:val="decimal"/>
      <w:isLgl w:val="false"/>
      <w:suff w:val="tab"/>
      <w:lvlText w:val="%7."/>
      <w:lvlJc w:val="left"/>
      <w:pPr>
        <w:pStyle w:val="954"/>
        <w:ind w:left="3080" w:hanging="440"/>
      </w:pPr>
    </w:lvl>
    <w:lvl w:ilvl="7">
      <w:start w:val="1"/>
      <w:numFmt w:val="lowerLetter"/>
      <w:isLgl w:val="false"/>
      <w:suff w:val="tab"/>
      <w:lvlText w:val="%8)"/>
      <w:lvlJc w:val="left"/>
      <w:pPr>
        <w:pStyle w:val="954"/>
        <w:ind w:left="3520" w:hanging="440"/>
      </w:pPr>
    </w:lvl>
    <w:lvl w:ilvl="8">
      <w:start w:val="1"/>
      <w:numFmt w:val="lowerRoman"/>
      <w:isLgl w:val="false"/>
      <w:suff w:val="tab"/>
      <w:lvlText w:val="%9."/>
      <w:lvlJc w:val="right"/>
      <w:pPr>
        <w:pStyle w:val="954"/>
        <w:ind w:left="3960" w:hanging="440"/>
      </w:pPr>
    </w:lvl>
  </w:abstractNum>
  <w:abstractNum w:abstractNumId="28">
    <w:multiLevelType w:val="hybridMultilevel"/>
    <w:lvl w:ilvl="0">
      <w:start w:val="1"/>
      <w:numFmt w:val="decimal"/>
      <w:pStyle w:val="1348"/>
      <w:isLgl w:val="false"/>
      <w:suff w:val="tab"/>
      <w:lvlText w:val="%1."/>
      <w:lvlJc w:val="left"/>
      <w:pPr>
        <w:pStyle w:val="954"/>
        <w:ind w:left="425" w:hanging="425"/>
        <w:tabs>
          <w:tab w:val="num" w:pos="425" w:leader="none"/>
        </w:tabs>
      </w:pPr>
      <w:rPr>
        <w:rFonts w:hint="eastAsia"/>
      </w:rPr>
    </w:lvl>
    <w:lvl w:ilvl="1">
      <w:start w:val="1"/>
      <w:numFmt w:val="decimal"/>
      <w:isLgl w:val="false"/>
      <w:suff w:val="tab"/>
      <w:lvlText w:val="%1.%2"/>
      <w:lvlJc w:val="left"/>
      <w:pPr>
        <w:pStyle w:val="954"/>
        <w:ind w:left="567" w:hanging="567"/>
        <w:tabs>
          <w:tab w:val="num" w:pos="567" w:leader="none"/>
        </w:tabs>
      </w:pPr>
      <w:rPr>
        <w:rFonts w:hint="eastAsia"/>
      </w:rPr>
    </w:lvl>
    <w:lvl w:ilvl="2">
      <w:start w:val="1"/>
      <w:numFmt w:val="decimal"/>
      <w:isLgl w:val="false"/>
      <w:suff w:val="tab"/>
      <w:lvlText w:val="%1.%2.%3."/>
      <w:lvlJc w:val="left"/>
      <w:pPr>
        <w:pStyle w:val="954"/>
        <w:ind w:left="709" w:hanging="709"/>
        <w:tabs>
          <w:tab w:val="num" w:pos="709" w:leader="none"/>
        </w:tabs>
      </w:pPr>
      <w:rPr>
        <w:rFonts w:hint="eastAsia"/>
      </w:rPr>
    </w:lvl>
    <w:lvl w:ilvl="3">
      <w:start w:val="1"/>
      <w:numFmt w:val="decimal"/>
      <w:isLgl w:val="false"/>
      <w:suff w:val="tab"/>
      <w:lvlText w:val="%1.%2.%3.%4."/>
      <w:lvlJc w:val="left"/>
      <w:pPr>
        <w:pStyle w:val="954"/>
        <w:ind w:left="851" w:hanging="851"/>
        <w:tabs>
          <w:tab w:val="num" w:pos="851" w:leader="none"/>
        </w:tabs>
      </w:pPr>
      <w:rPr>
        <w:rFonts w:hint="eastAsia"/>
      </w:rPr>
    </w:lvl>
    <w:lvl w:ilvl="4">
      <w:start w:val="1"/>
      <w:numFmt w:val="decimal"/>
      <w:isLgl w:val="false"/>
      <w:suff w:val="tab"/>
      <w:lvlText w:val="%1.%2.%3.%4.%5."/>
      <w:lvlJc w:val="left"/>
      <w:pPr>
        <w:pStyle w:val="954"/>
        <w:ind w:left="992" w:hanging="992"/>
        <w:tabs>
          <w:tab w:val="num" w:pos="992" w:leader="none"/>
        </w:tabs>
      </w:pPr>
      <w:rPr>
        <w:rFonts w:hint="eastAsia"/>
      </w:rPr>
    </w:lvl>
    <w:lvl w:ilvl="5">
      <w:start w:val="1"/>
      <w:numFmt w:val="decimal"/>
      <w:isLgl w:val="false"/>
      <w:suff w:val="tab"/>
      <w:lvlText w:val="%1.%2.%3.%4.%5.%6."/>
      <w:lvlJc w:val="left"/>
      <w:pPr>
        <w:pStyle w:val="954"/>
        <w:ind w:left="1134" w:hanging="1134"/>
        <w:tabs>
          <w:tab w:val="num" w:pos="1134" w:leader="none"/>
        </w:tabs>
      </w:pPr>
      <w:rPr>
        <w:rFonts w:hint="eastAsia"/>
      </w:rPr>
    </w:lvl>
    <w:lvl w:ilvl="6">
      <w:start w:val="1"/>
      <w:numFmt w:val="decimal"/>
      <w:isLgl w:val="false"/>
      <w:suff w:val="tab"/>
      <w:lvlText w:val="%1.%2.%3.%4.%5.%6.%7."/>
      <w:lvlJc w:val="left"/>
      <w:pPr>
        <w:pStyle w:val="954"/>
        <w:ind w:left="1276" w:hanging="1276"/>
        <w:tabs>
          <w:tab w:val="num" w:pos="1276" w:leader="none"/>
        </w:tabs>
      </w:pPr>
      <w:rPr>
        <w:rFonts w:hint="eastAsia"/>
      </w:rPr>
    </w:lvl>
    <w:lvl w:ilvl="7">
      <w:start w:val="1"/>
      <w:numFmt w:val="decimal"/>
      <w:isLgl w:val="false"/>
      <w:suff w:val="tab"/>
      <w:lvlText w:val="%1.%2.%3.%4.%5.%6.%7.%8."/>
      <w:lvlJc w:val="left"/>
      <w:pPr>
        <w:pStyle w:val="954"/>
        <w:ind w:left="1418" w:hanging="1418"/>
        <w:tabs>
          <w:tab w:val="num" w:pos="1418" w:leader="none"/>
        </w:tabs>
      </w:pPr>
      <w:rPr>
        <w:rFonts w:hint="eastAsia"/>
      </w:rPr>
    </w:lvl>
    <w:lvl w:ilvl="8">
      <w:start w:val="1"/>
      <w:numFmt w:val="decimal"/>
      <w:isLgl w:val="false"/>
      <w:suff w:val="tab"/>
      <w:lvlText w:val="%1.%2.%3.%4.%5.%6.%7.%8.%9."/>
      <w:lvlJc w:val="left"/>
      <w:pPr>
        <w:pStyle w:val="954"/>
        <w:ind w:left="1559" w:hanging="1559"/>
        <w:tabs>
          <w:tab w:val="num" w:pos="1559" w:leader="none"/>
        </w:tabs>
      </w:pPr>
      <w:rPr>
        <w:rFonts w:hint="eastAsia"/>
      </w:rPr>
    </w:lvl>
  </w:abstractNum>
  <w:abstractNum w:abstractNumId="29">
    <w:multiLevelType w:val="hybridMultilevel"/>
    <w:lvl w:ilvl="0">
      <w:start w:val="1"/>
      <w:numFmt w:val="decimal"/>
      <w:isLgl w:val="false"/>
      <w:suff w:val="tab"/>
      <w:lvlText w:val="%1"/>
      <w:lvlJc w:val="left"/>
      <w:pPr>
        <w:pStyle w:val="954"/>
        <w:ind w:left="425" w:hanging="425"/>
      </w:pPr>
    </w:lvl>
    <w:lvl w:ilvl="1">
      <w:start w:val="1"/>
      <w:numFmt w:val="decimal"/>
      <w:isLgl w:val="false"/>
      <w:suff w:val="tab"/>
      <w:lvlText w:val="33.%2"/>
      <w:lvlJc w:val="left"/>
      <w:pPr>
        <w:pStyle w:val="954"/>
        <w:ind w:left="440" w:hanging="440"/>
      </w:pPr>
      <w:rPr>
        <w:rFonts w:hint="eastAsia"/>
      </w:rPr>
    </w:lvl>
    <w:lvl w:ilvl="2">
      <w:start w:val="1"/>
      <w:numFmt w:val="decimal"/>
      <w:isLgl w:val="false"/>
      <w:suff w:val="tab"/>
      <w:lvlText w:val="%1.%2.%3"/>
      <w:lvlJc w:val="left"/>
      <w:pPr>
        <w:pStyle w:val="954"/>
        <w:ind w:left="1418" w:hanging="567"/>
      </w:pPr>
    </w:lvl>
    <w:lvl w:ilvl="3">
      <w:start w:val="1"/>
      <w:numFmt w:val="decimal"/>
      <w:isLgl w:val="false"/>
      <w:suff w:val="tab"/>
      <w:lvlText w:val="%1.%2.%3.%4"/>
      <w:lvlJc w:val="left"/>
      <w:pPr>
        <w:pStyle w:val="954"/>
        <w:ind w:left="1984" w:hanging="708"/>
      </w:pPr>
    </w:lvl>
    <w:lvl w:ilvl="4">
      <w:start w:val="1"/>
      <w:numFmt w:val="decimal"/>
      <w:isLgl w:val="false"/>
      <w:suff w:val="tab"/>
      <w:lvlText w:val="%1.%2.%3.%4.%5"/>
      <w:lvlJc w:val="left"/>
      <w:pPr>
        <w:pStyle w:val="954"/>
        <w:ind w:left="2551" w:hanging="850"/>
      </w:pPr>
    </w:lvl>
    <w:lvl w:ilvl="5">
      <w:start w:val="1"/>
      <w:numFmt w:val="decimal"/>
      <w:isLgl w:val="false"/>
      <w:suff w:val="tab"/>
      <w:lvlText w:val="%1.%2.%3.%4.%5.%6"/>
      <w:lvlJc w:val="left"/>
      <w:pPr>
        <w:pStyle w:val="954"/>
        <w:ind w:left="3260" w:hanging="1134"/>
      </w:pPr>
    </w:lvl>
    <w:lvl w:ilvl="6">
      <w:start w:val="1"/>
      <w:numFmt w:val="decimal"/>
      <w:isLgl w:val="false"/>
      <w:suff w:val="tab"/>
      <w:lvlText w:val="%1.%2.%3.%4.%5.%6.%7"/>
      <w:lvlJc w:val="left"/>
      <w:pPr>
        <w:pStyle w:val="954"/>
        <w:ind w:left="3827" w:hanging="1276"/>
      </w:pPr>
    </w:lvl>
    <w:lvl w:ilvl="7">
      <w:start w:val="1"/>
      <w:numFmt w:val="decimal"/>
      <w:isLgl w:val="false"/>
      <w:suff w:val="tab"/>
      <w:lvlText w:val="%1.%2.%3.%4.%5.%6.%7.%8"/>
      <w:lvlJc w:val="left"/>
      <w:pPr>
        <w:pStyle w:val="954"/>
        <w:ind w:left="4394" w:hanging="1418"/>
      </w:pPr>
    </w:lvl>
    <w:lvl w:ilvl="8">
      <w:start w:val="1"/>
      <w:numFmt w:val="decimal"/>
      <w:isLgl w:val="false"/>
      <w:suff w:val="tab"/>
      <w:lvlText w:val="%1.%2.%3.%4.%5.%6.%7.%8.%9"/>
      <w:lvlJc w:val="left"/>
      <w:pPr>
        <w:pStyle w:val="954"/>
        <w:ind w:left="5102" w:hanging="1700"/>
      </w:pPr>
    </w:lvl>
  </w:abstractNum>
  <w:abstractNum w:abstractNumId="30">
    <w:multiLevelType w:val="hybridMultilevel"/>
    <w:lvl w:ilvl="0">
      <w:start w:val="1"/>
      <w:numFmt w:val="decimal"/>
      <w:isLgl w:val="false"/>
      <w:suff w:val="tab"/>
      <w:lvlText w:val="%1"/>
      <w:lvlJc w:val="left"/>
      <w:pPr>
        <w:pStyle w:val="954"/>
        <w:ind w:left="425" w:hanging="425"/>
      </w:pPr>
    </w:lvl>
    <w:lvl w:ilvl="1">
      <w:start w:val="1"/>
      <w:numFmt w:val="decimal"/>
      <w:isLgl w:val="false"/>
      <w:suff w:val="tab"/>
      <w:lvlText w:val="28.%2"/>
      <w:lvlJc w:val="left"/>
      <w:pPr>
        <w:pStyle w:val="954"/>
        <w:ind w:left="440" w:hanging="440"/>
      </w:pPr>
      <w:rPr>
        <w:rFonts w:hint="eastAsia"/>
      </w:rPr>
    </w:lvl>
    <w:lvl w:ilvl="2">
      <w:start w:val="1"/>
      <w:numFmt w:val="decimal"/>
      <w:isLgl w:val="false"/>
      <w:suff w:val="tab"/>
      <w:lvlText w:val="%1.%2.%3"/>
      <w:lvlJc w:val="left"/>
      <w:pPr>
        <w:pStyle w:val="954"/>
        <w:ind w:left="1418" w:hanging="567"/>
      </w:pPr>
    </w:lvl>
    <w:lvl w:ilvl="3">
      <w:start w:val="1"/>
      <w:numFmt w:val="decimal"/>
      <w:isLgl w:val="false"/>
      <w:suff w:val="tab"/>
      <w:lvlText w:val="%1.%2.%3.%4"/>
      <w:lvlJc w:val="left"/>
      <w:pPr>
        <w:pStyle w:val="954"/>
        <w:ind w:left="1984" w:hanging="708"/>
      </w:pPr>
    </w:lvl>
    <w:lvl w:ilvl="4">
      <w:start w:val="1"/>
      <w:numFmt w:val="decimal"/>
      <w:isLgl w:val="false"/>
      <w:suff w:val="tab"/>
      <w:lvlText w:val="%1.%2.%3.%4.%5"/>
      <w:lvlJc w:val="left"/>
      <w:pPr>
        <w:pStyle w:val="954"/>
        <w:ind w:left="2551" w:hanging="850"/>
      </w:pPr>
    </w:lvl>
    <w:lvl w:ilvl="5">
      <w:start w:val="1"/>
      <w:numFmt w:val="decimal"/>
      <w:isLgl w:val="false"/>
      <w:suff w:val="tab"/>
      <w:lvlText w:val="%1.%2.%3.%4.%5.%6"/>
      <w:lvlJc w:val="left"/>
      <w:pPr>
        <w:pStyle w:val="954"/>
        <w:ind w:left="3260" w:hanging="1134"/>
      </w:pPr>
    </w:lvl>
    <w:lvl w:ilvl="6">
      <w:start w:val="1"/>
      <w:numFmt w:val="decimal"/>
      <w:isLgl w:val="false"/>
      <w:suff w:val="tab"/>
      <w:lvlText w:val="%1.%2.%3.%4.%5.%6.%7"/>
      <w:lvlJc w:val="left"/>
      <w:pPr>
        <w:pStyle w:val="954"/>
        <w:ind w:left="3827" w:hanging="1276"/>
      </w:pPr>
    </w:lvl>
    <w:lvl w:ilvl="7">
      <w:start w:val="1"/>
      <w:numFmt w:val="decimal"/>
      <w:isLgl w:val="false"/>
      <w:suff w:val="tab"/>
      <w:lvlText w:val="%1.%2.%3.%4.%5.%6.%7.%8"/>
      <w:lvlJc w:val="left"/>
      <w:pPr>
        <w:pStyle w:val="954"/>
        <w:ind w:left="4394" w:hanging="1418"/>
      </w:pPr>
    </w:lvl>
    <w:lvl w:ilvl="8">
      <w:start w:val="1"/>
      <w:numFmt w:val="decimal"/>
      <w:isLgl w:val="false"/>
      <w:suff w:val="tab"/>
      <w:lvlText w:val="%1.%2.%3.%4.%5.%6.%7.%8.%9"/>
      <w:lvlJc w:val="left"/>
      <w:pPr>
        <w:pStyle w:val="954"/>
        <w:ind w:left="5102" w:hanging="1700"/>
      </w:pPr>
    </w:lvl>
  </w:abstractNum>
  <w:abstractNum w:abstractNumId="31">
    <w:multiLevelType w:val="hybridMultilevel"/>
    <w:lvl w:ilvl="0">
      <w:start w:val="1"/>
      <w:numFmt w:val="decimal"/>
      <w:pStyle w:val="955"/>
      <w:isLgl w:val="false"/>
      <w:suff w:val="tab"/>
      <w:lvlText w:val="%1"/>
      <w:lvlJc w:val="left"/>
      <w:pPr>
        <w:pStyle w:val="954"/>
        <w:ind w:left="432" w:hanging="432"/>
        <w:tabs>
          <w:tab w:val="num" w:pos="432" w:leader="none"/>
        </w:tabs>
      </w:pPr>
      <w:rPr>
        <w:rFonts w:hint="eastAsia"/>
      </w:rPr>
    </w:lvl>
    <w:lvl w:ilvl="1">
      <w:start w:val="1"/>
      <w:numFmt w:val="decimal"/>
      <w:pStyle w:val="956"/>
      <w:isLgl w:val="false"/>
      <w:suff w:val="tab"/>
      <w:lvlText w:val="%1."/>
      <w:lvlJc w:val="left"/>
      <w:pPr>
        <w:pStyle w:val="954"/>
        <w:ind w:left="576" w:hanging="576"/>
        <w:tabs>
          <w:tab w:val="num" w:pos="576" w:leader="none"/>
        </w:tabs>
      </w:pPr>
      <w:rPr>
        <w:rFonts w:hint="eastAsia"/>
      </w:rPr>
    </w:lvl>
    <w:lvl w:ilvl="2">
      <w:start w:val="1"/>
      <w:numFmt w:val="decimal"/>
      <w:pStyle w:val="957"/>
      <w:isLgl w:val="false"/>
      <w:suff w:val="tab"/>
      <w:lvlText w:val="%1.%2.%3"/>
      <w:lvlJc w:val="left"/>
      <w:pPr>
        <w:pStyle w:val="954"/>
        <w:ind w:left="720" w:hanging="720"/>
        <w:tabs>
          <w:tab w:val="num" w:pos="1080" w:leader="none"/>
        </w:tabs>
      </w:pPr>
      <w:rPr>
        <w:rFonts w:hint="eastAsia"/>
      </w:rPr>
    </w:lvl>
    <w:lvl w:ilvl="3">
      <w:start w:val="1"/>
      <w:numFmt w:val="decimal"/>
      <w:pStyle w:val="958"/>
      <w:isLgl w:val="false"/>
      <w:suff w:val="tab"/>
      <w:lvlText w:val="%1.%2.%3.%4"/>
      <w:lvlJc w:val="left"/>
      <w:pPr>
        <w:pStyle w:val="954"/>
        <w:ind w:left="864" w:hanging="864"/>
        <w:tabs>
          <w:tab w:val="num" w:pos="1440" w:leader="none"/>
        </w:tabs>
      </w:pPr>
      <w:rPr>
        <w:rFonts w:hint="eastAsia"/>
      </w:rPr>
    </w:lvl>
    <w:lvl w:ilvl="4">
      <w:start w:val="1"/>
      <w:numFmt w:val="decimal"/>
      <w:pStyle w:val="959"/>
      <w:isLgl w:val="false"/>
      <w:suff w:val="tab"/>
      <w:lvlText w:val="%1.%2.%3.%4.%5"/>
      <w:lvlJc w:val="left"/>
      <w:pPr>
        <w:pStyle w:val="954"/>
        <w:ind w:left="1008" w:hanging="1008"/>
        <w:tabs>
          <w:tab w:val="num" w:pos="1800" w:leader="none"/>
        </w:tabs>
      </w:pPr>
      <w:rPr>
        <w:rFonts w:hint="eastAsia"/>
      </w:rPr>
    </w:lvl>
    <w:lvl w:ilvl="5">
      <w:start w:val="1"/>
      <w:numFmt w:val="decimal"/>
      <w:pStyle w:val="960"/>
      <w:isLgl w:val="false"/>
      <w:suff w:val="tab"/>
      <w:lvlText w:val="%1.%2.%3.%4.%5.%6"/>
      <w:lvlJc w:val="left"/>
      <w:pPr>
        <w:pStyle w:val="954"/>
        <w:ind w:left="1152" w:hanging="1152"/>
        <w:tabs>
          <w:tab w:val="num" w:pos="1152" w:leader="none"/>
        </w:tabs>
      </w:pPr>
      <w:rPr>
        <w:rFonts w:hint="eastAsia"/>
      </w:rPr>
    </w:lvl>
    <w:lvl w:ilvl="6">
      <w:start w:val="1"/>
      <w:numFmt w:val="decimal"/>
      <w:pStyle w:val="961"/>
      <w:isLgl w:val="false"/>
      <w:suff w:val="tab"/>
      <w:lvlText w:val="%1.%2.%3.%4.%5.%6.%7"/>
      <w:lvlJc w:val="left"/>
      <w:pPr>
        <w:pStyle w:val="954"/>
        <w:ind w:left="1296" w:hanging="1296"/>
        <w:tabs>
          <w:tab w:val="num" w:pos="1296" w:leader="none"/>
        </w:tabs>
      </w:pPr>
      <w:rPr>
        <w:rFonts w:hint="eastAsia"/>
      </w:rPr>
    </w:lvl>
    <w:lvl w:ilvl="7">
      <w:start w:val="1"/>
      <w:numFmt w:val="decimal"/>
      <w:pStyle w:val="962"/>
      <w:isLgl w:val="false"/>
      <w:suff w:val="tab"/>
      <w:lvlText w:val="%1.%2.%3.%4.%5.%6.%7.%8"/>
      <w:lvlJc w:val="left"/>
      <w:pPr>
        <w:pStyle w:val="954"/>
        <w:ind w:left="1440" w:hanging="1440"/>
        <w:tabs>
          <w:tab w:val="num" w:pos="1440" w:leader="none"/>
        </w:tabs>
      </w:pPr>
      <w:rPr>
        <w:rFonts w:hint="eastAsia"/>
      </w:rPr>
    </w:lvl>
    <w:lvl w:ilvl="8">
      <w:start w:val="1"/>
      <w:numFmt w:val="decimal"/>
      <w:pStyle w:val="963"/>
      <w:isLgl w:val="false"/>
      <w:suff w:val="tab"/>
      <w:lvlText w:val="%1.%2.%3.%4.%5.%6.%7.%8.%9"/>
      <w:lvlJc w:val="left"/>
      <w:pPr>
        <w:pStyle w:val="954"/>
        <w:ind w:left="1584" w:hanging="1584"/>
        <w:tabs>
          <w:tab w:val="num" w:pos="1584" w:leader="none"/>
        </w:tabs>
      </w:pPr>
      <w:rPr>
        <w:rFonts w:hint="eastAsia"/>
      </w:rPr>
    </w:lvl>
  </w:abstractNum>
  <w:abstractNum w:abstractNumId="32">
    <w:multiLevelType w:val="hybridMultilevel"/>
    <w:lvl w:ilvl="0">
      <w:start w:val="1"/>
      <w:numFmt w:val="decimal"/>
      <w:isLgl w:val="false"/>
      <w:suff w:val="tab"/>
      <w:lvlText w:val="%1"/>
      <w:lvlJc w:val="left"/>
      <w:pPr>
        <w:pStyle w:val="954"/>
        <w:ind w:left="425" w:hanging="425"/>
      </w:pPr>
    </w:lvl>
    <w:lvl w:ilvl="1">
      <w:start w:val="1"/>
      <w:numFmt w:val="decimal"/>
      <w:isLgl w:val="false"/>
      <w:suff w:val="tab"/>
      <w:lvlText w:val="35.%2"/>
      <w:lvlJc w:val="left"/>
      <w:pPr>
        <w:pStyle w:val="954"/>
        <w:ind w:left="440" w:hanging="440"/>
      </w:pPr>
      <w:rPr>
        <w:rFonts w:hint="eastAsia"/>
      </w:rPr>
    </w:lvl>
    <w:lvl w:ilvl="2">
      <w:start w:val="1"/>
      <w:numFmt w:val="decimal"/>
      <w:isLgl w:val="false"/>
      <w:suff w:val="tab"/>
      <w:lvlText w:val="%1.%2.%3"/>
      <w:lvlJc w:val="left"/>
      <w:pPr>
        <w:pStyle w:val="954"/>
        <w:ind w:left="1418" w:hanging="567"/>
      </w:pPr>
    </w:lvl>
    <w:lvl w:ilvl="3">
      <w:start w:val="1"/>
      <w:numFmt w:val="decimal"/>
      <w:isLgl w:val="false"/>
      <w:suff w:val="tab"/>
      <w:lvlText w:val="%1.%2.%3.%4"/>
      <w:lvlJc w:val="left"/>
      <w:pPr>
        <w:pStyle w:val="954"/>
        <w:ind w:left="1984" w:hanging="708"/>
      </w:pPr>
    </w:lvl>
    <w:lvl w:ilvl="4">
      <w:start w:val="1"/>
      <w:numFmt w:val="decimal"/>
      <w:isLgl w:val="false"/>
      <w:suff w:val="tab"/>
      <w:lvlText w:val="%1.%2.%3.%4.%5"/>
      <w:lvlJc w:val="left"/>
      <w:pPr>
        <w:pStyle w:val="954"/>
        <w:ind w:left="2551" w:hanging="850"/>
      </w:pPr>
    </w:lvl>
    <w:lvl w:ilvl="5">
      <w:start w:val="1"/>
      <w:numFmt w:val="decimal"/>
      <w:isLgl w:val="false"/>
      <w:suff w:val="tab"/>
      <w:lvlText w:val="%1.%2.%3.%4.%5.%6"/>
      <w:lvlJc w:val="left"/>
      <w:pPr>
        <w:pStyle w:val="954"/>
        <w:ind w:left="3260" w:hanging="1134"/>
      </w:pPr>
    </w:lvl>
    <w:lvl w:ilvl="6">
      <w:start w:val="1"/>
      <w:numFmt w:val="decimal"/>
      <w:isLgl w:val="false"/>
      <w:suff w:val="tab"/>
      <w:lvlText w:val="%1.%2.%3.%4.%5.%6.%7"/>
      <w:lvlJc w:val="left"/>
      <w:pPr>
        <w:pStyle w:val="954"/>
        <w:ind w:left="3827" w:hanging="1276"/>
      </w:pPr>
    </w:lvl>
    <w:lvl w:ilvl="7">
      <w:start w:val="1"/>
      <w:numFmt w:val="decimal"/>
      <w:isLgl w:val="false"/>
      <w:suff w:val="tab"/>
      <w:lvlText w:val="%1.%2.%3.%4.%5.%6.%7.%8"/>
      <w:lvlJc w:val="left"/>
      <w:pPr>
        <w:pStyle w:val="954"/>
        <w:ind w:left="4394" w:hanging="1418"/>
      </w:pPr>
    </w:lvl>
    <w:lvl w:ilvl="8">
      <w:start w:val="1"/>
      <w:numFmt w:val="decimal"/>
      <w:isLgl w:val="false"/>
      <w:suff w:val="tab"/>
      <w:lvlText w:val="%1.%2.%3.%4.%5.%6.%7.%8.%9"/>
      <w:lvlJc w:val="left"/>
      <w:pPr>
        <w:pStyle w:val="954"/>
        <w:ind w:left="5102" w:hanging="1700"/>
      </w:pPr>
    </w:lvl>
  </w:abstractNum>
  <w:abstractNum w:abstractNumId="33">
    <w:multiLevelType w:val="hybridMultilevel"/>
    <w:lvl w:ilvl="0">
      <w:start w:val="1"/>
      <w:numFmt w:val="decimal"/>
      <w:pStyle w:val="987"/>
      <w:isLgl w:val="false"/>
      <w:suff w:val="nothing"/>
      <w:lvlText w:val="%1"/>
      <w:lvlJc w:val="left"/>
      <w:pPr>
        <w:pStyle w:val="954"/>
        <w:ind w:left="0" w:firstLine="0"/>
      </w:pPr>
      <w:rPr>
        <w:rFonts w:ascii="Times New Roman" w:hAnsi="Times New Roman"/>
        <w:b/>
        <w:i w:val="0"/>
        <w:sz w:val="21"/>
      </w:rPr>
    </w:lvl>
    <w:lvl w:ilvl="1">
      <w:start w:val="1"/>
      <w:numFmt w:val="decimal"/>
      <w:pStyle w:val="1261"/>
      <w:isLgl w:val="false"/>
      <w:suff w:val="nothing"/>
      <w:lvlText w:val="%1%2　"/>
      <w:lvlJc w:val="left"/>
      <w:pPr>
        <w:pStyle w:val="954"/>
        <w:ind w:left="360" w:firstLine="0"/>
      </w:pPr>
      <w:rPr>
        <w:rFonts w:hint="eastAsia" w:ascii="黑体" w:hAnsi="Times New Roman" w:eastAsia="黑体"/>
        <w:b w:val="0"/>
        <w:i w:val="0"/>
        <w:sz w:val="21"/>
      </w:rPr>
    </w:lvl>
    <w:lvl w:ilvl="2">
      <w:start w:val="1"/>
      <w:numFmt w:val="decimal"/>
      <w:pStyle w:val="1340"/>
      <w:isLgl w:val="false"/>
      <w:suff w:val="nothing"/>
      <w:lvlText w:val="%1%2.%3　"/>
      <w:lvlJc w:val="left"/>
      <w:pPr>
        <w:pStyle w:val="954"/>
        <w:ind w:left="0" w:firstLine="0"/>
      </w:pPr>
      <w:rPr>
        <w:rFonts w:hint="eastAsia" w:ascii="黑体" w:hAnsi="Times New Roman" w:eastAsia="黑体"/>
        <w:b w:val="0"/>
        <w:i w:val="0"/>
        <w:sz w:val="21"/>
      </w:rPr>
    </w:lvl>
    <w:lvl w:ilvl="3">
      <w:start w:val="1"/>
      <w:numFmt w:val="decimal"/>
      <w:pStyle w:val="1284"/>
      <w:isLgl w:val="false"/>
      <w:suff w:val="nothing"/>
      <w:lvlText w:val="%1%2.%3.%4　"/>
      <w:lvlJc w:val="left"/>
      <w:pPr>
        <w:pStyle w:val="954"/>
        <w:ind w:left="540" w:firstLine="0"/>
      </w:pPr>
      <w:rPr>
        <w:rFonts w:hint="eastAsia" w:ascii="黑体" w:hAnsi="Times New Roman" w:eastAsia="黑体"/>
        <w:b w:val="0"/>
        <w:i w:val="0"/>
        <w:sz w:val="21"/>
      </w:rPr>
    </w:lvl>
    <w:lvl w:ilvl="4">
      <w:start w:val="1"/>
      <w:numFmt w:val="decimal"/>
      <w:pStyle w:val="1288"/>
      <w:isLgl w:val="false"/>
      <w:suff w:val="nothing"/>
      <w:lvlText w:val="%1%2.%3.%4.%5　"/>
      <w:lvlJc w:val="left"/>
      <w:pPr>
        <w:pStyle w:val="954"/>
        <w:ind w:left="0" w:firstLine="0"/>
      </w:pPr>
      <w:rPr>
        <w:rFonts w:hint="eastAsia" w:ascii="黑体" w:hAnsi="Times New Roman" w:eastAsia="黑体"/>
        <w:b w:val="0"/>
        <w:i w:val="0"/>
        <w:sz w:val="21"/>
      </w:rPr>
    </w:lvl>
    <w:lvl w:ilvl="5">
      <w:start w:val="1"/>
      <w:numFmt w:val="decimal"/>
      <w:pStyle w:val="1287"/>
      <w:isLgl w:val="false"/>
      <w:suff w:val="nothing"/>
      <w:lvlText w:val="%1%2.%3.%4.%5.%6　"/>
      <w:lvlJc w:val="left"/>
      <w:pPr>
        <w:pStyle w:val="954"/>
        <w:ind w:left="0" w:firstLine="0"/>
      </w:pPr>
      <w:rPr>
        <w:rFonts w:hint="eastAsia" w:ascii="黑体" w:hAnsi="Times New Roman" w:eastAsia="黑体"/>
        <w:b w:val="0"/>
        <w:i w:val="0"/>
        <w:sz w:val="21"/>
      </w:rPr>
    </w:lvl>
    <w:lvl w:ilvl="6">
      <w:start w:val="1"/>
      <w:numFmt w:val="decimal"/>
      <w:pStyle w:val="1286"/>
      <w:isLgl w:val="false"/>
      <w:suff w:val="nothing"/>
      <w:lvlText w:val="%1%2.%3.%4.%5.%6.%7　"/>
      <w:lvlJc w:val="left"/>
      <w:pPr>
        <w:pStyle w:val="954"/>
        <w:ind w:left="0" w:firstLine="0"/>
      </w:pPr>
      <w:rPr>
        <w:rFonts w:hint="eastAsia" w:ascii="黑体" w:hAnsi="Times New Roman" w:eastAsia="黑体"/>
        <w:b w:val="0"/>
        <w:i w:val="0"/>
        <w:sz w:val="21"/>
      </w:rPr>
    </w:lvl>
    <w:lvl w:ilvl="7">
      <w:start w:val="1"/>
      <w:numFmt w:val="decimal"/>
      <w:isLgl w:val="false"/>
      <w:suff w:val="tab"/>
      <w:lvlText w:val="%1.%2.%3.%4.%5.%6.%7.%8"/>
      <w:lvlJc w:val="left"/>
      <w:pPr>
        <w:pStyle w:val="954"/>
        <w:ind w:left="3969" w:hanging="1418"/>
        <w:tabs>
          <w:tab w:val="num" w:pos="4351" w:leader="none"/>
        </w:tabs>
      </w:pPr>
      <w:rPr>
        <w:rFonts w:hint="eastAsia"/>
      </w:rPr>
    </w:lvl>
    <w:lvl w:ilvl="8">
      <w:start w:val="1"/>
      <w:numFmt w:val="decimal"/>
      <w:isLgl w:val="false"/>
      <w:suff w:val="tab"/>
      <w:lvlText w:val="%1.%2.%3.%4.%5.%6.%7.%8.%9"/>
      <w:lvlJc w:val="left"/>
      <w:pPr>
        <w:pStyle w:val="954"/>
        <w:ind w:left="4677" w:hanging="1700"/>
        <w:tabs>
          <w:tab w:val="num" w:pos="4777" w:leader="none"/>
        </w:tabs>
      </w:pPr>
      <w:rPr>
        <w:rFonts w:hint="eastAsia"/>
      </w:rPr>
    </w:lvl>
  </w:abstractNum>
  <w:abstractNum w:abstractNumId="34">
    <w:multiLevelType w:val="hybridMultilevel"/>
    <w:lvl w:ilvl="0">
      <w:start w:val="1"/>
      <w:numFmt w:val="decimal"/>
      <w:isLgl w:val="false"/>
      <w:suff w:val="tab"/>
      <w:lvlText w:val="%1"/>
      <w:lvlJc w:val="left"/>
      <w:pPr>
        <w:pStyle w:val="954"/>
        <w:ind w:left="425" w:hanging="425"/>
      </w:pPr>
    </w:lvl>
    <w:lvl w:ilvl="1">
      <w:start w:val="1"/>
      <w:numFmt w:val="decimal"/>
      <w:isLgl w:val="false"/>
      <w:suff w:val="tab"/>
      <w:lvlText w:val="26.%2"/>
      <w:lvlJc w:val="left"/>
      <w:pPr>
        <w:pStyle w:val="954"/>
        <w:ind w:left="440" w:hanging="440"/>
      </w:pPr>
      <w:rPr>
        <w:rFonts w:hint="eastAsia"/>
      </w:rPr>
    </w:lvl>
    <w:lvl w:ilvl="2">
      <w:start w:val="1"/>
      <w:numFmt w:val="decimal"/>
      <w:isLgl w:val="false"/>
      <w:suff w:val="tab"/>
      <w:lvlText w:val="%1.%2.%3"/>
      <w:lvlJc w:val="left"/>
      <w:pPr>
        <w:pStyle w:val="954"/>
        <w:ind w:left="1418" w:hanging="567"/>
      </w:pPr>
    </w:lvl>
    <w:lvl w:ilvl="3">
      <w:start w:val="1"/>
      <w:numFmt w:val="decimal"/>
      <w:isLgl w:val="false"/>
      <w:suff w:val="tab"/>
      <w:lvlText w:val="%1.%2.%3.%4"/>
      <w:lvlJc w:val="left"/>
      <w:pPr>
        <w:pStyle w:val="954"/>
        <w:ind w:left="1984" w:hanging="708"/>
      </w:pPr>
    </w:lvl>
    <w:lvl w:ilvl="4">
      <w:start w:val="1"/>
      <w:numFmt w:val="decimal"/>
      <w:isLgl w:val="false"/>
      <w:suff w:val="tab"/>
      <w:lvlText w:val="%1.%2.%3.%4.%5"/>
      <w:lvlJc w:val="left"/>
      <w:pPr>
        <w:pStyle w:val="954"/>
        <w:ind w:left="2551" w:hanging="850"/>
      </w:pPr>
    </w:lvl>
    <w:lvl w:ilvl="5">
      <w:start w:val="1"/>
      <w:numFmt w:val="decimal"/>
      <w:isLgl w:val="false"/>
      <w:suff w:val="tab"/>
      <w:lvlText w:val="%1.%2.%3.%4.%5.%6"/>
      <w:lvlJc w:val="left"/>
      <w:pPr>
        <w:pStyle w:val="954"/>
        <w:ind w:left="3260" w:hanging="1134"/>
      </w:pPr>
    </w:lvl>
    <w:lvl w:ilvl="6">
      <w:start w:val="1"/>
      <w:numFmt w:val="decimal"/>
      <w:isLgl w:val="false"/>
      <w:suff w:val="tab"/>
      <w:lvlText w:val="%1.%2.%3.%4.%5.%6.%7"/>
      <w:lvlJc w:val="left"/>
      <w:pPr>
        <w:pStyle w:val="954"/>
        <w:ind w:left="3827" w:hanging="1276"/>
      </w:pPr>
    </w:lvl>
    <w:lvl w:ilvl="7">
      <w:start w:val="1"/>
      <w:numFmt w:val="decimal"/>
      <w:isLgl w:val="false"/>
      <w:suff w:val="tab"/>
      <w:lvlText w:val="%1.%2.%3.%4.%5.%6.%7.%8"/>
      <w:lvlJc w:val="left"/>
      <w:pPr>
        <w:pStyle w:val="954"/>
        <w:ind w:left="4394" w:hanging="1418"/>
      </w:pPr>
    </w:lvl>
    <w:lvl w:ilvl="8">
      <w:start w:val="1"/>
      <w:numFmt w:val="decimal"/>
      <w:isLgl w:val="false"/>
      <w:suff w:val="tab"/>
      <w:lvlText w:val="%1.%2.%3.%4.%5.%6.%7.%8.%9"/>
      <w:lvlJc w:val="left"/>
      <w:pPr>
        <w:pStyle w:val="954"/>
        <w:ind w:left="5102" w:hanging="1700"/>
      </w:pPr>
    </w:lvl>
  </w:abstractNum>
  <w:abstractNum w:abstractNumId="35">
    <w:multiLevelType w:val="hybridMultilevel"/>
    <w:lvl w:ilvl="0">
      <w:start w:val="13"/>
      <w:numFmt w:val="decimal"/>
      <w:isLgl w:val="false"/>
      <w:suff w:val="tab"/>
      <w:lvlText w:val="%1."/>
      <w:lvlJc w:val="left"/>
      <w:pPr>
        <w:pStyle w:val="954"/>
        <w:ind w:left="425" w:hanging="425"/>
        <w:tabs>
          <w:tab w:val="num" w:pos="425" w:leader="none"/>
        </w:tabs>
      </w:pPr>
      <w:rPr>
        <w:rFonts w:hint="eastAsia"/>
      </w:rPr>
    </w:lvl>
    <w:lvl w:ilvl="1">
      <w:start w:val="1"/>
      <w:numFmt w:val="decimal"/>
      <w:isLgl w:val="false"/>
      <w:suff w:val="tab"/>
      <w:lvlText w:val="%1.%2."/>
      <w:lvlJc w:val="left"/>
      <w:pPr>
        <w:pStyle w:val="954"/>
        <w:ind w:left="567" w:hanging="567"/>
        <w:tabs>
          <w:tab w:val="num" w:pos="567" w:leader="none"/>
        </w:tabs>
      </w:pPr>
      <w:rPr>
        <w:rFonts w:hint="eastAsia"/>
      </w:rPr>
    </w:lvl>
    <w:lvl w:ilvl="2">
      <w:start w:val="1"/>
      <w:numFmt w:val="decimal"/>
      <w:isLgl w:val="false"/>
      <w:suff w:val="tab"/>
      <w:lvlText w:val="%1.%2.%3."/>
      <w:lvlJc w:val="left"/>
      <w:pPr>
        <w:pStyle w:val="954"/>
        <w:ind w:left="709" w:hanging="709"/>
        <w:tabs>
          <w:tab w:val="num" w:pos="709" w:leader="none"/>
        </w:tabs>
      </w:pPr>
      <w:rPr>
        <w:rFonts w:hint="eastAsia"/>
      </w:rPr>
    </w:lvl>
    <w:lvl w:ilvl="3">
      <w:start w:val="1"/>
      <w:numFmt w:val="decimal"/>
      <w:isLgl w:val="false"/>
      <w:suff w:val="tab"/>
      <w:lvlText w:val="%1.%2.%3.%4."/>
      <w:lvlJc w:val="left"/>
      <w:pPr>
        <w:pStyle w:val="954"/>
        <w:ind w:left="851" w:hanging="851"/>
        <w:tabs>
          <w:tab w:val="num" w:pos="851" w:leader="none"/>
        </w:tabs>
      </w:pPr>
      <w:rPr>
        <w:rFonts w:hint="eastAsia"/>
      </w:rPr>
    </w:lvl>
    <w:lvl w:ilvl="4">
      <w:start w:val="1"/>
      <w:numFmt w:val="decimal"/>
      <w:isLgl w:val="false"/>
      <w:suff w:val="tab"/>
      <w:lvlText w:val="%1.%2.%3.%4.%5."/>
      <w:lvlJc w:val="left"/>
      <w:pPr>
        <w:pStyle w:val="954"/>
        <w:ind w:left="992" w:hanging="992"/>
        <w:tabs>
          <w:tab w:val="num" w:pos="992" w:leader="none"/>
        </w:tabs>
      </w:pPr>
      <w:rPr>
        <w:rFonts w:hint="eastAsia"/>
      </w:rPr>
    </w:lvl>
    <w:lvl w:ilvl="5">
      <w:start w:val="1"/>
      <w:numFmt w:val="decimal"/>
      <w:isLgl w:val="false"/>
      <w:suff w:val="tab"/>
      <w:lvlText w:val="%1.%2.%3.%4.%5.%6."/>
      <w:lvlJc w:val="left"/>
      <w:pPr>
        <w:pStyle w:val="954"/>
        <w:ind w:left="1134" w:hanging="1134"/>
        <w:tabs>
          <w:tab w:val="num" w:pos="1134" w:leader="none"/>
        </w:tabs>
      </w:pPr>
      <w:rPr>
        <w:rFonts w:hint="eastAsia"/>
      </w:rPr>
    </w:lvl>
    <w:lvl w:ilvl="6">
      <w:start w:val="1"/>
      <w:numFmt w:val="decimal"/>
      <w:pStyle w:val="1290"/>
      <w:isLgl w:val="false"/>
      <w:suff w:val="tab"/>
      <w:lvlText w:val="%1.%2.%3.%4.%5.%6.%7."/>
      <w:lvlJc w:val="left"/>
      <w:pPr>
        <w:pStyle w:val="954"/>
        <w:ind w:left="1276" w:hanging="1276"/>
        <w:tabs>
          <w:tab w:val="num" w:pos="1276" w:leader="none"/>
        </w:tabs>
      </w:pPr>
      <w:rPr>
        <w:rFonts w:hint="eastAsia"/>
      </w:rPr>
    </w:lvl>
    <w:lvl w:ilvl="7">
      <w:start w:val="1"/>
      <w:numFmt w:val="decimal"/>
      <w:isLgl w:val="false"/>
      <w:suff w:val="tab"/>
      <w:lvlText w:val="%1.%2.%3.%4.%5.%6.%7.%8."/>
      <w:lvlJc w:val="left"/>
      <w:pPr>
        <w:pStyle w:val="954"/>
        <w:ind w:left="1418" w:hanging="1418"/>
        <w:tabs>
          <w:tab w:val="num" w:pos="1418" w:leader="none"/>
        </w:tabs>
      </w:pPr>
      <w:rPr>
        <w:rFonts w:hint="eastAsia"/>
      </w:rPr>
    </w:lvl>
    <w:lvl w:ilvl="8">
      <w:start w:val="1"/>
      <w:numFmt w:val="decimal"/>
      <w:isLgl w:val="false"/>
      <w:suff w:val="tab"/>
      <w:lvlText w:val="%1.%2.%3.%4.%5.%6.%7.%8.%9."/>
      <w:lvlJc w:val="left"/>
      <w:pPr>
        <w:pStyle w:val="954"/>
        <w:ind w:left="1559" w:hanging="1559"/>
        <w:tabs>
          <w:tab w:val="num" w:pos="1559" w:leader="none"/>
        </w:tabs>
      </w:pPr>
      <w:rPr>
        <w:rFonts w:hint="eastAsia"/>
      </w:rPr>
    </w:lvl>
  </w:abstractNum>
  <w:abstractNum w:abstractNumId="36">
    <w:multiLevelType w:val="hybridMultilevel"/>
    <w:lvl w:ilvl="0">
      <w:start w:val="1"/>
      <w:numFmt w:val="decimal"/>
      <w:isLgl w:val="false"/>
      <w:suff w:val="tab"/>
      <w:lvlText w:val="19.%1"/>
      <w:lvlJc w:val="left"/>
      <w:pPr>
        <w:pStyle w:val="954"/>
        <w:ind w:left="440" w:hanging="440"/>
      </w:pPr>
      <w:rPr>
        <w:rFonts w:hint="eastAsia"/>
      </w:rPr>
    </w:lvl>
    <w:lvl w:ilvl="1">
      <w:start w:val="1"/>
      <w:numFmt w:val="lowerLetter"/>
      <w:isLgl w:val="false"/>
      <w:suff w:val="tab"/>
      <w:lvlText w:val="%2)"/>
      <w:lvlJc w:val="left"/>
      <w:pPr>
        <w:pStyle w:val="954"/>
        <w:ind w:left="880" w:hanging="440"/>
      </w:pPr>
    </w:lvl>
    <w:lvl w:ilvl="2">
      <w:start w:val="3"/>
      <w:numFmt w:val="japaneseCounting"/>
      <w:isLgl w:val="false"/>
      <w:suff w:val="tab"/>
      <w:lvlText w:val="%3、"/>
      <w:lvlJc w:val="left"/>
      <w:pPr>
        <w:pStyle w:val="954"/>
        <w:ind w:left="1300" w:hanging="420"/>
      </w:pPr>
    </w:lvl>
    <w:lvl w:ilvl="3">
      <w:start w:val="1"/>
      <w:numFmt w:val="decimal"/>
      <w:isLgl w:val="false"/>
      <w:suff w:val="tab"/>
      <w:lvlText w:val="%4."/>
      <w:lvlJc w:val="left"/>
      <w:pPr>
        <w:pStyle w:val="954"/>
        <w:ind w:left="1760" w:hanging="440"/>
      </w:pPr>
    </w:lvl>
    <w:lvl w:ilvl="4">
      <w:start w:val="1"/>
      <w:numFmt w:val="lowerLetter"/>
      <w:isLgl w:val="false"/>
      <w:suff w:val="tab"/>
      <w:lvlText w:val="%5)"/>
      <w:lvlJc w:val="left"/>
      <w:pPr>
        <w:pStyle w:val="954"/>
        <w:ind w:left="2200" w:hanging="440"/>
      </w:pPr>
    </w:lvl>
    <w:lvl w:ilvl="5">
      <w:start w:val="1"/>
      <w:numFmt w:val="lowerRoman"/>
      <w:isLgl w:val="false"/>
      <w:suff w:val="tab"/>
      <w:lvlText w:val="%6."/>
      <w:lvlJc w:val="right"/>
      <w:pPr>
        <w:pStyle w:val="954"/>
        <w:ind w:left="2640" w:hanging="440"/>
      </w:pPr>
    </w:lvl>
    <w:lvl w:ilvl="6">
      <w:start w:val="1"/>
      <w:numFmt w:val="decimal"/>
      <w:isLgl w:val="false"/>
      <w:suff w:val="tab"/>
      <w:lvlText w:val="%7."/>
      <w:lvlJc w:val="left"/>
      <w:pPr>
        <w:pStyle w:val="954"/>
        <w:ind w:left="3080" w:hanging="440"/>
      </w:pPr>
    </w:lvl>
    <w:lvl w:ilvl="7">
      <w:start w:val="1"/>
      <w:numFmt w:val="lowerLetter"/>
      <w:isLgl w:val="false"/>
      <w:suff w:val="tab"/>
      <w:lvlText w:val="%8)"/>
      <w:lvlJc w:val="left"/>
      <w:pPr>
        <w:pStyle w:val="954"/>
        <w:ind w:left="3520" w:hanging="440"/>
      </w:pPr>
    </w:lvl>
    <w:lvl w:ilvl="8">
      <w:start w:val="1"/>
      <w:numFmt w:val="lowerRoman"/>
      <w:isLgl w:val="false"/>
      <w:suff w:val="tab"/>
      <w:lvlText w:val="%9."/>
      <w:lvlJc w:val="right"/>
      <w:pPr>
        <w:pStyle w:val="954"/>
        <w:ind w:left="3960" w:hanging="440"/>
      </w:pPr>
    </w:lvl>
  </w:abstractNum>
  <w:abstractNum w:abstractNumId="37">
    <w:multiLevelType w:val="hybridMultilevel"/>
    <w:lvl w:ilvl="0">
      <w:start w:val="1"/>
      <w:numFmt w:val="decimal"/>
      <w:isLgl w:val="false"/>
      <w:suff w:val="tab"/>
      <w:lvlText w:val="%1"/>
      <w:lvlJc w:val="left"/>
      <w:pPr>
        <w:pStyle w:val="954"/>
        <w:ind w:left="425" w:hanging="425"/>
      </w:pPr>
    </w:lvl>
    <w:lvl w:ilvl="1">
      <w:start w:val="1"/>
      <w:numFmt w:val="decimal"/>
      <w:isLgl w:val="false"/>
      <w:suff w:val="tab"/>
      <w:lvlText w:val="29.%2"/>
      <w:lvlJc w:val="left"/>
      <w:pPr>
        <w:pStyle w:val="954"/>
        <w:ind w:left="440" w:hanging="440"/>
      </w:pPr>
      <w:rPr>
        <w:rFonts w:hint="eastAsia"/>
      </w:rPr>
    </w:lvl>
    <w:lvl w:ilvl="2">
      <w:start w:val="1"/>
      <w:numFmt w:val="decimal"/>
      <w:isLgl w:val="false"/>
      <w:suff w:val="tab"/>
      <w:lvlText w:val="%1.%2.%3"/>
      <w:lvlJc w:val="left"/>
      <w:pPr>
        <w:pStyle w:val="954"/>
        <w:ind w:left="1418" w:hanging="567"/>
      </w:pPr>
    </w:lvl>
    <w:lvl w:ilvl="3">
      <w:start w:val="1"/>
      <w:numFmt w:val="decimal"/>
      <w:isLgl w:val="false"/>
      <w:suff w:val="tab"/>
      <w:lvlText w:val="%1.%2.%3.%4"/>
      <w:lvlJc w:val="left"/>
      <w:pPr>
        <w:pStyle w:val="954"/>
        <w:ind w:left="1984" w:hanging="708"/>
      </w:pPr>
    </w:lvl>
    <w:lvl w:ilvl="4">
      <w:start w:val="1"/>
      <w:numFmt w:val="decimal"/>
      <w:isLgl w:val="false"/>
      <w:suff w:val="tab"/>
      <w:lvlText w:val="%1.%2.%3.%4.%5"/>
      <w:lvlJc w:val="left"/>
      <w:pPr>
        <w:pStyle w:val="954"/>
        <w:ind w:left="2551" w:hanging="850"/>
      </w:pPr>
    </w:lvl>
    <w:lvl w:ilvl="5">
      <w:start w:val="1"/>
      <w:numFmt w:val="decimal"/>
      <w:isLgl w:val="false"/>
      <w:suff w:val="tab"/>
      <w:lvlText w:val="%1.%2.%3.%4.%5.%6"/>
      <w:lvlJc w:val="left"/>
      <w:pPr>
        <w:pStyle w:val="954"/>
        <w:ind w:left="3260" w:hanging="1134"/>
      </w:pPr>
    </w:lvl>
    <w:lvl w:ilvl="6">
      <w:start w:val="1"/>
      <w:numFmt w:val="decimal"/>
      <w:isLgl w:val="false"/>
      <w:suff w:val="tab"/>
      <w:lvlText w:val="%1.%2.%3.%4.%5.%6.%7"/>
      <w:lvlJc w:val="left"/>
      <w:pPr>
        <w:pStyle w:val="954"/>
        <w:ind w:left="3827" w:hanging="1276"/>
      </w:pPr>
    </w:lvl>
    <w:lvl w:ilvl="7">
      <w:start w:val="1"/>
      <w:numFmt w:val="decimal"/>
      <w:isLgl w:val="false"/>
      <w:suff w:val="tab"/>
      <w:lvlText w:val="%1.%2.%3.%4.%5.%6.%7.%8"/>
      <w:lvlJc w:val="left"/>
      <w:pPr>
        <w:pStyle w:val="954"/>
        <w:ind w:left="4394" w:hanging="1418"/>
      </w:pPr>
    </w:lvl>
    <w:lvl w:ilvl="8">
      <w:start w:val="1"/>
      <w:numFmt w:val="decimal"/>
      <w:isLgl w:val="false"/>
      <w:suff w:val="tab"/>
      <w:lvlText w:val="%1.%2.%3.%4.%5.%6.%7.%8.%9"/>
      <w:lvlJc w:val="left"/>
      <w:pPr>
        <w:pStyle w:val="954"/>
        <w:ind w:left="5102" w:hanging="1700"/>
      </w:pPr>
    </w:lvl>
  </w:abstractNum>
  <w:abstractNum w:abstractNumId="38">
    <w:multiLevelType w:val="hybridMultilevel"/>
    <w:lvl w:ilvl="0">
      <w:start w:val="1"/>
      <w:numFmt w:val="decimal"/>
      <w:isLgl w:val="false"/>
      <w:suff w:val="tab"/>
      <w:lvlText w:val="17.%1"/>
      <w:lvlJc w:val="left"/>
      <w:pPr>
        <w:pStyle w:val="954"/>
        <w:ind w:left="440" w:hanging="440"/>
      </w:pPr>
      <w:rPr>
        <w:rFonts w:hint="eastAsia"/>
      </w:rPr>
    </w:lvl>
    <w:lvl w:ilvl="1">
      <w:start w:val="1"/>
      <w:numFmt w:val="lowerLetter"/>
      <w:isLgl w:val="false"/>
      <w:suff w:val="tab"/>
      <w:lvlText w:val="%2)"/>
      <w:lvlJc w:val="left"/>
      <w:pPr>
        <w:pStyle w:val="954"/>
        <w:ind w:left="880" w:hanging="440"/>
      </w:pPr>
    </w:lvl>
    <w:lvl w:ilvl="2">
      <w:start w:val="1"/>
      <w:numFmt w:val="lowerRoman"/>
      <w:isLgl w:val="false"/>
      <w:suff w:val="tab"/>
      <w:lvlText w:val="%3."/>
      <w:lvlJc w:val="right"/>
      <w:pPr>
        <w:pStyle w:val="954"/>
        <w:ind w:left="1320" w:hanging="440"/>
      </w:pPr>
    </w:lvl>
    <w:lvl w:ilvl="3">
      <w:start w:val="1"/>
      <w:numFmt w:val="decimal"/>
      <w:isLgl w:val="false"/>
      <w:suff w:val="tab"/>
      <w:lvlText w:val="%4."/>
      <w:lvlJc w:val="left"/>
      <w:pPr>
        <w:pStyle w:val="954"/>
        <w:ind w:left="1760" w:hanging="440"/>
      </w:pPr>
    </w:lvl>
    <w:lvl w:ilvl="4">
      <w:start w:val="1"/>
      <w:numFmt w:val="lowerLetter"/>
      <w:isLgl w:val="false"/>
      <w:suff w:val="tab"/>
      <w:lvlText w:val="%5)"/>
      <w:lvlJc w:val="left"/>
      <w:pPr>
        <w:pStyle w:val="954"/>
        <w:ind w:left="2200" w:hanging="440"/>
      </w:pPr>
    </w:lvl>
    <w:lvl w:ilvl="5">
      <w:start w:val="1"/>
      <w:numFmt w:val="lowerRoman"/>
      <w:isLgl w:val="false"/>
      <w:suff w:val="tab"/>
      <w:lvlText w:val="%6."/>
      <w:lvlJc w:val="right"/>
      <w:pPr>
        <w:pStyle w:val="954"/>
        <w:ind w:left="2640" w:hanging="440"/>
      </w:pPr>
    </w:lvl>
    <w:lvl w:ilvl="6">
      <w:start w:val="1"/>
      <w:numFmt w:val="decimal"/>
      <w:isLgl w:val="false"/>
      <w:suff w:val="tab"/>
      <w:lvlText w:val="%7."/>
      <w:lvlJc w:val="left"/>
      <w:pPr>
        <w:pStyle w:val="954"/>
        <w:ind w:left="3080" w:hanging="440"/>
      </w:pPr>
    </w:lvl>
    <w:lvl w:ilvl="7">
      <w:start w:val="1"/>
      <w:numFmt w:val="lowerLetter"/>
      <w:isLgl w:val="false"/>
      <w:suff w:val="tab"/>
      <w:lvlText w:val="%8)"/>
      <w:lvlJc w:val="left"/>
      <w:pPr>
        <w:pStyle w:val="954"/>
        <w:ind w:left="3520" w:hanging="440"/>
      </w:pPr>
    </w:lvl>
    <w:lvl w:ilvl="8">
      <w:start w:val="1"/>
      <w:numFmt w:val="lowerRoman"/>
      <w:isLgl w:val="false"/>
      <w:suff w:val="tab"/>
      <w:lvlText w:val="%9."/>
      <w:lvlJc w:val="right"/>
      <w:pPr>
        <w:pStyle w:val="954"/>
        <w:ind w:left="3960" w:hanging="440"/>
      </w:pPr>
    </w:lvl>
  </w:abstractNum>
  <w:abstractNum w:abstractNumId="39">
    <w:multiLevelType w:val="hybridMultilevel"/>
    <w:lvl w:ilvl="0">
      <w:start w:val="1"/>
      <w:numFmt w:val="decimal"/>
      <w:isLgl w:val="false"/>
      <w:suff w:val="tab"/>
      <w:lvlText w:val="18.%1"/>
      <w:lvlJc w:val="left"/>
      <w:pPr>
        <w:pStyle w:val="954"/>
        <w:ind w:left="440" w:hanging="440"/>
      </w:pPr>
      <w:rPr>
        <w:rFonts w:hint="eastAsia"/>
      </w:rPr>
    </w:lvl>
    <w:lvl w:ilvl="1">
      <w:start w:val="1"/>
      <w:numFmt w:val="lowerLetter"/>
      <w:isLgl w:val="false"/>
      <w:suff w:val="tab"/>
      <w:lvlText w:val="%2)"/>
      <w:lvlJc w:val="left"/>
      <w:pPr>
        <w:pStyle w:val="954"/>
        <w:ind w:left="880" w:hanging="440"/>
      </w:pPr>
    </w:lvl>
    <w:lvl w:ilvl="2">
      <w:start w:val="1"/>
      <w:numFmt w:val="lowerRoman"/>
      <w:isLgl w:val="false"/>
      <w:suff w:val="tab"/>
      <w:lvlText w:val="%3."/>
      <w:lvlJc w:val="right"/>
      <w:pPr>
        <w:pStyle w:val="954"/>
        <w:ind w:left="1320" w:hanging="440"/>
      </w:pPr>
    </w:lvl>
    <w:lvl w:ilvl="3">
      <w:start w:val="1"/>
      <w:numFmt w:val="decimal"/>
      <w:isLgl w:val="false"/>
      <w:suff w:val="tab"/>
      <w:lvlText w:val="%4."/>
      <w:lvlJc w:val="left"/>
      <w:pPr>
        <w:pStyle w:val="954"/>
        <w:ind w:left="1760" w:hanging="440"/>
      </w:pPr>
    </w:lvl>
    <w:lvl w:ilvl="4">
      <w:start w:val="1"/>
      <w:numFmt w:val="lowerLetter"/>
      <w:isLgl w:val="false"/>
      <w:suff w:val="tab"/>
      <w:lvlText w:val="%5)"/>
      <w:lvlJc w:val="left"/>
      <w:pPr>
        <w:pStyle w:val="954"/>
        <w:ind w:left="2200" w:hanging="440"/>
      </w:pPr>
    </w:lvl>
    <w:lvl w:ilvl="5">
      <w:start w:val="1"/>
      <w:numFmt w:val="lowerRoman"/>
      <w:isLgl w:val="false"/>
      <w:suff w:val="tab"/>
      <w:lvlText w:val="%6."/>
      <w:lvlJc w:val="right"/>
      <w:pPr>
        <w:pStyle w:val="954"/>
        <w:ind w:left="2640" w:hanging="440"/>
      </w:pPr>
    </w:lvl>
    <w:lvl w:ilvl="6">
      <w:start w:val="1"/>
      <w:numFmt w:val="decimal"/>
      <w:isLgl w:val="false"/>
      <w:suff w:val="tab"/>
      <w:lvlText w:val="%7."/>
      <w:lvlJc w:val="left"/>
      <w:pPr>
        <w:pStyle w:val="954"/>
        <w:ind w:left="3080" w:hanging="440"/>
      </w:pPr>
    </w:lvl>
    <w:lvl w:ilvl="7">
      <w:start w:val="1"/>
      <w:numFmt w:val="lowerLetter"/>
      <w:isLgl w:val="false"/>
      <w:suff w:val="tab"/>
      <w:lvlText w:val="%8)"/>
      <w:lvlJc w:val="left"/>
      <w:pPr>
        <w:pStyle w:val="954"/>
        <w:ind w:left="3520" w:hanging="440"/>
      </w:pPr>
    </w:lvl>
    <w:lvl w:ilvl="8">
      <w:start w:val="1"/>
      <w:numFmt w:val="lowerRoman"/>
      <w:isLgl w:val="false"/>
      <w:suff w:val="tab"/>
      <w:lvlText w:val="%9."/>
      <w:lvlJc w:val="right"/>
      <w:pPr>
        <w:pStyle w:val="954"/>
        <w:ind w:left="3960" w:hanging="440"/>
      </w:pPr>
    </w:lvl>
  </w:abstractNum>
  <w:abstractNum w:abstractNumId="40">
    <w:multiLevelType w:val="hybridMultilevel"/>
    <w:lvl w:ilvl="0">
      <w:start w:val="1"/>
      <w:numFmt w:val="decimal"/>
      <w:isLgl w:val="false"/>
      <w:suff w:val="tab"/>
      <w:lvlText w:val="%1"/>
      <w:lvlJc w:val="left"/>
      <w:pPr>
        <w:pStyle w:val="954"/>
        <w:ind w:left="425" w:hanging="425"/>
      </w:pPr>
    </w:lvl>
    <w:lvl w:ilvl="1">
      <w:start w:val="1"/>
      <w:numFmt w:val="decimal"/>
      <w:isLgl w:val="false"/>
      <w:suff w:val="tab"/>
      <w:lvlText w:val="31.%2"/>
      <w:lvlJc w:val="left"/>
      <w:pPr>
        <w:pStyle w:val="954"/>
        <w:ind w:left="440" w:hanging="440"/>
      </w:pPr>
      <w:rPr>
        <w:rFonts w:hint="eastAsia"/>
      </w:rPr>
    </w:lvl>
    <w:lvl w:ilvl="2">
      <w:start w:val="1"/>
      <w:numFmt w:val="decimal"/>
      <w:isLgl w:val="false"/>
      <w:suff w:val="tab"/>
      <w:lvlText w:val="%1.%2.%3"/>
      <w:lvlJc w:val="left"/>
      <w:pPr>
        <w:pStyle w:val="954"/>
        <w:ind w:left="1418" w:hanging="567"/>
      </w:pPr>
    </w:lvl>
    <w:lvl w:ilvl="3">
      <w:start w:val="1"/>
      <w:numFmt w:val="decimal"/>
      <w:isLgl w:val="false"/>
      <w:suff w:val="tab"/>
      <w:lvlText w:val="%1.%2.%3.%4"/>
      <w:lvlJc w:val="left"/>
      <w:pPr>
        <w:pStyle w:val="954"/>
        <w:ind w:left="1984" w:hanging="708"/>
      </w:pPr>
    </w:lvl>
    <w:lvl w:ilvl="4">
      <w:start w:val="1"/>
      <w:numFmt w:val="decimal"/>
      <w:isLgl w:val="false"/>
      <w:suff w:val="tab"/>
      <w:lvlText w:val="%1.%2.%3.%4.%5"/>
      <w:lvlJc w:val="left"/>
      <w:pPr>
        <w:pStyle w:val="954"/>
        <w:ind w:left="2551" w:hanging="850"/>
      </w:pPr>
    </w:lvl>
    <w:lvl w:ilvl="5">
      <w:start w:val="1"/>
      <w:numFmt w:val="decimal"/>
      <w:isLgl w:val="false"/>
      <w:suff w:val="tab"/>
      <w:lvlText w:val="%1.%2.%3.%4.%5.%6"/>
      <w:lvlJc w:val="left"/>
      <w:pPr>
        <w:pStyle w:val="954"/>
        <w:ind w:left="3260" w:hanging="1134"/>
      </w:pPr>
    </w:lvl>
    <w:lvl w:ilvl="6">
      <w:start w:val="1"/>
      <w:numFmt w:val="decimal"/>
      <w:isLgl w:val="false"/>
      <w:suff w:val="tab"/>
      <w:lvlText w:val="%1.%2.%3.%4.%5.%6.%7"/>
      <w:lvlJc w:val="left"/>
      <w:pPr>
        <w:pStyle w:val="954"/>
        <w:ind w:left="3827" w:hanging="1276"/>
      </w:pPr>
    </w:lvl>
    <w:lvl w:ilvl="7">
      <w:start w:val="1"/>
      <w:numFmt w:val="decimal"/>
      <w:isLgl w:val="false"/>
      <w:suff w:val="tab"/>
      <w:lvlText w:val="%1.%2.%3.%4.%5.%6.%7.%8"/>
      <w:lvlJc w:val="left"/>
      <w:pPr>
        <w:pStyle w:val="954"/>
        <w:ind w:left="4394" w:hanging="1418"/>
      </w:pPr>
    </w:lvl>
    <w:lvl w:ilvl="8">
      <w:start w:val="1"/>
      <w:numFmt w:val="decimal"/>
      <w:isLgl w:val="false"/>
      <w:suff w:val="tab"/>
      <w:lvlText w:val="%1.%2.%3.%4.%5.%6.%7.%8.%9"/>
      <w:lvlJc w:val="left"/>
      <w:pPr>
        <w:pStyle w:val="954"/>
        <w:ind w:left="5102" w:hanging="1700"/>
      </w:pPr>
    </w:lvl>
  </w:abstractNum>
  <w:abstractNum w:abstractNumId="41">
    <w:multiLevelType w:val="hybridMultilevel"/>
    <w:lvl w:ilvl="0">
      <w:start w:val="1"/>
      <w:numFmt w:val="decimal"/>
      <w:isLgl w:val="false"/>
      <w:suff w:val="tab"/>
      <w:lvlText w:val="%1"/>
      <w:lvlJc w:val="left"/>
      <w:pPr>
        <w:pStyle w:val="954"/>
        <w:ind w:left="425" w:hanging="425"/>
      </w:pPr>
    </w:lvl>
    <w:lvl w:ilvl="1">
      <w:start w:val="1"/>
      <w:numFmt w:val="decimal"/>
      <w:isLgl w:val="false"/>
      <w:suff w:val="tab"/>
      <w:lvlText w:val="24.%2"/>
      <w:lvlJc w:val="left"/>
      <w:pPr>
        <w:pStyle w:val="954"/>
        <w:ind w:left="440" w:hanging="440"/>
      </w:pPr>
      <w:rPr>
        <w:rFonts w:hint="eastAsia"/>
      </w:rPr>
    </w:lvl>
    <w:lvl w:ilvl="2">
      <w:start w:val="1"/>
      <w:numFmt w:val="decimal"/>
      <w:isLgl w:val="false"/>
      <w:suff w:val="tab"/>
      <w:lvlText w:val="%1.%2.%3"/>
      <w:lvlJc w:val="left"/>
      <w:pPr>
        <w:pStyle w:val="954"/>
        <w:ind w:left="1418" w:hanging="567"/>
      </w:pPr>
    </w:lvl>
    <w:lvl w:ilvl="3">
      <w:start w:val="1"/>
      <w:numFmt w:val="decimal"/>
      <w:isLgl w:val="false"/>
      <w:suff w:val="tab"/>
      <w:lvlText w:val="%1.%2.%3.%4"/>
      <w:lvlJc w:val="left"/>
      <w:pPr>
        <w:pStyle w:val="954"/>
        <w:ind w:left="1984" w:hanging="708"/>
      </w:pPr>
    </w:lvl>
    <w:lvl w:ilvl="4">
      <w:start w:val="1"/>
      <w:numFmt w:val="decimal"/>
      <w:isLgl w:val="false"/>
      <w:suff w:val="tab"/>
      <w:lvlText w:val="%1.%2.%3.%4.%5"/>
      <w:lvlJc w:val="left"/>
      <w:pPr>
        <w:pStyle w:val="954"/>
        <w:ind w:left="2551" w:hanging="850"/>
      </w:pPr>
    </w:lvl>
    <w:lvl w:ilvl="5">
      <w:start w:val="1"/>
      <w:numFmt w:val="decimal"/>
      <w:isLgl w:val="false"/>
      <w:suff w:val="tab"/>
      <w:lvlText w:val="%1.%2.%3.%4.%5.%6"/>
      <w:lvlJc w:val="left"/>
      <w:pPr>
        <w:pStyle w:val="954"/>
        <w:ind w:left="3260" w:hanging="1134"/>
      </w:pPr>
    </w:lvl>
    <w:lvl w:ilvl="6">
      <w:start w:val="1"/>
      <w:numFmt w:val="decimal"/>
      <w:isLgl w:val="false"/>
      <w:suff w:val="tab"/>
      <w:lvlText w:val="%1.%2.%3.%4.%5.%6.%7"/>
      <w:lvlJc w:val="left"/>
      <w:pPr>
        <w:pStyle w:val="954"/>
        <w:ind w:left="3827" w:hanging="1276"/>
      </w:pPr>
    </w:lvl>
    <w:lvl w:ilvl="7">
      <w:start w:val="1"/>
      <w:numFmt w:val="decimal"/>
      <w:isLgl w:val="false"/>
      <w:suff w:val="tab"/>
      <w:lvlText w:val="%1.%2.%3.%4.%5.%6.%7.%8"/>
      <w:lvlJc w:val="left"/>
      <w:pPr>
        <w:pStyle w:val="954"/>
        <w:ind w:left="4394" w:hanging="1418"/>
      </w:pPr>
    </w:lvl>
    <w:lvl w:ilvl="8">
      <w:start w:val="1"/>
      <w:numFmt w:val="decimal"/>
      <w:isLgl w:val="false"/>
      <w:suff w:val="tab"/>
      <w:lvlText w:val="%1.%2.%3.%4.%5.%6.%7.%8.%9"/>
      <w:lvlJc w:val="left"/>
      <w:pPr>
        <w:pStyle w:val="954"/>
        <w:ind w:left="5102" w:hanging="1700"/>
      </w:pPr>
    </w:lvl>
  </w:abstractNum>
  <w:num w:numId="1">
    <w:abstractNumId w:val="31"/>
  </w:num>
  <w:num w:numId="2">
    <w:abstractNumId w:val="33"/>
  </w:num>
  <w:num w:numId="3">
    <w:abstractNumId w:val="0"/>
  </w:num>
  <w:num w:numId="4">
    <w:abstractNumId w:val="18"/>
  </w:num>
  <w:num w:numId="5">
    <w:abstractNumId w:val="1"/>
  </w:num>
  <w:num w:numId="6">
    <w:abstractNumId w:val="14"/>
  </w:num>
  <w:num w:numId="7">
    <w:abstractNumId w:val="16"/>
  </w:num>
  <w:num w:numId="8">
    <w:abstractNumId w:val="35"/>
  </w:num>
  <w:num w:numId="9">
    <w:abstractNumId w:val="22"/>
  </w:num>
  <w:num w:numId="10">
    <w:abstractNumId w:val="24"/>
  </w:num>
  <w:num w:numId="11">
    <w:abstractNumId w:val="28"/>
  </w:num>
  <w:num w:numId="12">
    <w:abstractNumId w:val="13"/>
  </w:num>
  <w:num w:numId="13">
    <w:abstractNumId w:val="8"/>
  </w:num>
  <w:num w:numId="14">
    <w:abstractNumId w:val="23"/>
  </w:num>
  <w:num w:numId="15">
    <w:abstractNumId w:val="17"/>
  </w:num>
  <w:num w:numId="16">
    <w:abstractNumId w:val="5"/>
  </w:num>
  <w:num w:numId="17">
    <w:abstractNumId w:val="6"/>
  </w:num>
  <w:num w:numId="18">
    <w:abstractNumId w:val="12"/>
  </w:num>
  <w:num w:numId="19">
    <w:abstractNumId w:val="3"/>
  </w:num>
  <w:num w:numId="20">
    <w:abstractNumId w:val="38"/>
  </w:num>
  <w:num w:numId="21">
    <w:abstractNumId w:val="39"/>
  </w:num>
  <w:num w:numId="22">
    <w:abstractNumId w:val="36"/>
  </w:num>
  <w:num w:numId="23">
    <w:abstractNumId w:val="27"/>
  </w:num>
  <w:num w:numId="24">
    <w:abstractNumId w:val="26"/>
  </w:num>
  <w:num w:numId="25">
    <w:abstractNumId w:val="9"/>
  </w:num>
  <w:num w:numId="26">
    <w:abstractNumId w:val="41"/>
  </w:num>
  <w:num w:numId="27">
    <w:abstractNumId w:val="2"/>
  </w:num>
  <w:num w:numId="28">
    <w:abstractNumId w:val="34"/>
  </w:num>
  <w:num w:numId="29">
    <w:abstractNumId w:val="11"/>
  </w:num>
  <w:num w:numId="30">
    <w:abstractNumId w:val="30"/>
  </w:num>
  <w:num w:numId="31">
    <w:abstractNumId w:val="37"/>
  </w:num>
  <w:num w:numId="32">
    <w:abstractNumId w:val="15"/>
  </w:num>
  <w:num w:numId="33">
    <w:abstractNumId w:val="40"/>
  </w:num>
  <w:num w:numId="34">
    <w:abstractNumId w:val="25"/>
  </w:num>
  <w:num w:numId="35">
    <w:abstractNumId w:val="29"/>
  </w:num>
  <w:num w:numId="36">
    <w:abstractNumId w:val="4"/>
  </w:num>
  <w:num w:numId="37">
    <w:abstractNumId w:val="32"/>
  </w:num>
  <w:num w:numId="38">
    <w:abstractNumId w:val="21"/>
  </w:num>
  <w:num w:numId="39">
    <w:abstractNumId w:val="19"/>
  </w:num>
  <w:num w:numId="40">
    <w:abstractNumId w:val="7"/>
  </w:num>
  <w:num w:numId="41">
    <w:abstractNumId w:val="20"/>
  </w:num>
  <w:num w:numId="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7">
    <w:name w:val="Heading 1"/>
    <w:basedOn w:val="954"/>
    <w:next w:val="954"/>
    <w:link w:val="788"/>
    <w:uiPriority w:val="9"/>
    <w:qFormat/>
    <w:pPr>
      <w:keepLines/>
      <w:keepNext/>
      <w:spacing w:before="480" w:after="200"/>
      <w:outlineLvl w:val="0"/>
    </w:pPr>
    <w:rPr>
      <w:rFonts w:ascii="Arial" w:hAnsi="Arial" w:eastAsia="Arial" w:cs="Arial"/>
      <w:sz w:val="40"/>
      <w:szCs w:val="40"/>
    </w:rPr>
  </w:style>
  <w:style w:type="character" w:styleId="788">
    <w:name w:val="Heading 1 Char"/>
    <w:link w:val="787"/>
    <w:uiPriority w:val="9"/>
    <w:rPr>
      <w:rFonts w:ascii="Arial" w:hAnsi="Arial" w:eastAsia="Arial" w:cs="Arial"/>
      <w:sz w:val="40"/>
      <w:szCs w:val="40"/>
    </w:rPr>
  </w:style>
  <w:style w:type="paragraph" w:styleId="789">
    <w:name w:val="Heading 2"/>
    <w:basedOn w:val="954"/>
    <w:next w:val="954"/>
    <w:link w:val="790"/>
    <w:uiPriority w:val="9"/>
    <w:unhideWhenUsed/>
    <w:qFormat/>
    <w:pPr>
      <w:keepLines/>
      <w:keepNext/>
      <w:spacing w:before="360" w:after="200"/>
      <w:outlineLvl w:val="1"/>
    </w:pPr>
    <w:rPr>
      <w:rFonts w:ascii="Arial" w:hAnsi="Arial" w:eastAsia="Arial" w:cs="Arial"/>
      <w:sz w:val="34"/>
    </w:rPr>
  </w:style>
  <w:style w:type="character" w:styleId="790">
    <w:name w:val="Heading 2 Char"/>
    <w:link w:val="789"/>
    <w:uiPriority w:val="9"/>
    <w:rPr>
      <w:rFonts w:ascii="Arial" w:hAnsi="Arial" w:eastAsia="Arial" w:cs="Arial"/>
      <w:sz w:val="34"/>
    </w:rPr>
  </w:style>
  <w:style w:type="paragraph" w:styleId="791">
    <w:name w:val="Heading 3"/>
    <w:basedOn w:val="954"/>
    <w:next w:val="954"/>
    <w:link w:val="792"/>
    <w:uiPriority w:val="9"/>
    <w:unhideWhenUsed/>
    <w:qFormat/>
    <w:pPr>
      <w:keepLines/>
      <w:keepNext/>
      <w:spacing w:before="320" w:after="200"/>
      <w:outlineLvl w:val="2"/>
    </w:pPr>
    <w:rPr>
      <w:rFonts w:ascii="Arial" w:hAnsi="Arial" w:eastAsia="Arial" w:cs="Arial"/>
      <w:sz w:val="30"/>
      <w:szCs w:val="30"/>
    </w:rPr>
  </w:style>
  <w:style w:type="character" w:styleId="792">
    <w:name w:val="Heading 3 Char"/>
    <w:link w:val="791"/>
    <w:uiPriority w:val="9"/>
    <w:rPr>
      <w:rFonts w:ascii="Arial" w:hAnsi="Arial" w:eastAsia="Arial" w:cs="Arial"/>
      <w:sz w:val="30"/>
      <w:szCs w:val="30"/>
    </w:rPr>
  </w:style>
  <w:style w:type="paragraph" w:styleId="793">
    <w:name w:val="Heading 4"/>
    <w:basedOn w:val="954"/>
    <w:next w:val="954"/>
    <w:link w:val="794"/>
    <w:uiPriority w:val="9"/>
    <w:unhideWhenUsed/>
    <w:qFormat/>
    <w:pPr>
      <w:keepLines/>
      <w:keepNext/>
      <w:spacing w:before="320" w:after="200"/>
      <w:outlineLvl w:val="3"/>
    </w:pPr>
    <w:rPr>
      <w:rFonts w:ascii="Arial" w:hAnsi="Arial" w:eastAsia="Arial" w:cs="Arial"/>
      <w:b/>
      <w:bCs/>
      <w:sz w:val="26"/>
      <w:szCs w:val="26"/>
    </w:rPr>
  </w:style>
  <w:style w:type="character" w:styleId="794">
    <w:name w:val="Heading 4 Char"/>
    <w:link w:val="793"/>
    <w:uiPriority w:val="9"/>
    <w:rPr>
      <w:rFonts w:ascii="Arial" w:hAnsi="Arial" w:eastAsia="Arial" w:cs="Arial"/>
      <w:b/>
      <w:bCs/>
      <w:sz w:val="26"/>
      <w:szCs w:val="26"/>
    </w:rPr>
  </w:style>
  <w:style w:type="paragraph" w:styleId="795">
    <w:name w:val="Heading 5"/>
    <w:basedOn w:val="954"/>
    <w:next w:val="954"/>
    <w:link w:val="796"/>
    <w:uiPriority w:val="9"/>
    <w:unhideWhenUsed/>
    <w:qFormat/>
    <w:pPr>
      <w:keepLines/>
      <w:keepNext/>
      <w:spacing w:before="320" w:after="200"/>
      <w:outlineLvl w:val="4"/>
    </w:pPr>
    <w:rPr>
      <w:rFonts w:ascii="Arial" w:hAnsi="Arial" w:eastAsia="Arial" w:cs="Arial"/>
      <w:b/>
      <w:bCs/>
      <w:sz w:val="24"/>
      <w:szCs w:val="24"/>
    </w:rPr>
  </w:style>
  <w:style w:type="character" w:styleId="796">
    <w:name w:val="Heading 5 Char"/>
    <w:link w:val="795"/>
    <w:uiPriority w:val="9"/>
    <w:rPr>
      <w:rFonts w:ascii="Arial" w:hAnsi="Arial" w:eastAsia="Arial" w:cs="Arial"/>
      <w:b/>
      <w:bCs/>
      <w:sz w:val="24"/>
      <w:szCs w:val="24"/>
    </w:rPr>
  </w:style>
  <w:style w:type="paragraph" w:styleId="797">
    <w:name w:val="Heading 6"/>
    <w:basedOn w:val="954"/>
    <w:next w:val="954"/>
    <w:link w:val="798"/>
    <w:uiPriority w:val="9"/>
    <w:unhideWhenUsed/>
    <w:qFormat/>
    <w:pPr>
      <w:keepLines/>
      <w:keepNext/>
      <w:spacing w:before="320" w:after="200"/>
      <w:outlineLvl w:val="5"/>
    </w:pPr>
    <w:rPr>
      <w:rFonts w:ascii="Arial" w:hAnsi="Arial" w:eastAsia="Arial" w:cs="Arial"/>
      <w:b/>
      <w:bCs/>
      <w:sz w:val="22"/>
      <w:szCs w:val="22"/>
    </w:rPr>
  </w:style>
  <w:style w:type="character" w:styleId="798">
    <w:name w:val="Heading 6 Char"/>
    <w:link w:val="797"/>
    <w:uiPriority w:val="9"/>
    <w:rPr>
      <w:rFonts w:ascii="Arial" w:hAnsi="Arial" w:eastAsia="Arial" w:cs="Arial"/>
      <w:b/>
      <w:bCs/>
      <w:sz w:val="22"/>
      <w:szCs w:val="22"/>
    </w:rPr>
  </w:style>
  <w:style w:type="paragraph" w:styleId="799">
    <w:name w:val="Heading 7"/>
    <w:basedOn w:val="954"/>
    <w:next w:val="954"/>
    <w:link w:val="800"/>
    <w:uiPriority w:val="9"/>
    <w:unhideWhenUsed/>
    <w:qFormat/>
    <w:pPr>
      <w:keepLines/>
      <w:keepNext/>
      <w:spacing w:before="320" w:after="200"/>
      <w:outlineLvl w:val="6"/>
    </w:pPr>
    <w:rPr>
      <w:rFonts w:ascii="Arial" w:hAnsi="Arial" w:eastAsia="Arial" w:cs="Arial"/>
      <w:b/>
      <w:bCs/>
      <w:i/>
      <w:iCs/>
      <w:sz w:val="22"/>
      <w:szCs w:val="22"/>
    </w:rPr>
  </w:style>
  <w:style w:type="character" w:styleId="800">
    <w:name w:val="Heading 7 Char"/>
    <w:link w:val="799"/>
    <w:uiPriority w:val="9"/>
    <w:rPr>
      <w:rFonts w:ascii="Arial" w:hAnsi="Arial" w:eastAsia="Arial" w:cs="Arial"/>
      <w:b/>
      <w:bCs/>
      <w:i/>
      <w:iCs/>
      <w:sz w:val="22"/>
      <w:szCs w:val="22"/>
    </w:rPr>
  </w:style>
  <w:style w:type="paragraph" w:styleId="801">
    <w:name w:val="Heading 8"/>
    <w:basedOn w:val="954"/>
    <w:next w:val="954"/>
    <w:link w:val="802"/>
    <w:uiPriority w:val="9"/>
    <w:unhideWhenUsed/>
    <w:qFormat/>
    <w:pPr>
      <w:keepLines/>
      <w:keepNext/>
      <w:spacing w:before="320" w:after="200"/>
      <w:outlineLvl w:val="7"/>
    </w:pPr>
    <w:rPr>
      <w:rFonts w:ascii="Arial" w:hAnsi="Arial" w:eastAsia="Arial" w:cs="Arial"/>
      <w:i/>
      <w:iCs/>
      <w:sz w:val="22"/>
      <w:szCs w:val="22"/>
    </w:rPr>
  </w:style>
  <w:style w:type="character" w:styleId="802">
    <w:name w:val="Heading 8 Char"/>
    <w:link w:val="801"/>
    <w:uiPriority w:val="9"/>
    <w:rPr>
      <w:rFonts w:ascii="Arial" w:hAnsi="Arial" w:eastAsia="Arial" w:cs="Arial"/>
      <w:i/>
      <w:iCs/>
      <w:sz w:val="22"/>
      <w:szCs w:val="22"/>
    </w:rPr>
  </w:style>
  <w:style w:type="paragraph" w:styleId="803">
    <w:name w:val="Heading 9"/>
    <w:basedOn w:val="954"/>
    <w:next w:val="954"/>
    <w:link w:val="804"/>
    <w:uiPriority w:val="9"/>
    <w:unhideWhenUsed/>
    <w:qFormat/>
    <w:pPr>
      <w:keepLines/>
      <w:keepNext/>
      <w:spacing w:before="320" w:after="200"/>
      <w:outlineLvl w:val="8"/>
    </w:pPr>
    <w:rPr>
      <w:rFonts w:ascii="Arial" w:hAnsi="Arial" w:eastAsia="Arial" w:cs="Arial"/>
      <w:i/>
      <w:iCs/>
      <w:sz w:val="21"/>
      <w:szCs w:val="21"/>
    </w:rPr>
  </w:style>
  <w:style w:type="character" w:styleId="804">
    <w:name w:val="Heading 9 Char"/>
    <w:link w:val="803"/>
    <w:uiPriority w:val="9"/>
    <w:rPr>
      <w:rFonts w:ascii="Arial" w:hAnsi="Arial" w:eastAsia="Arial" w:cs="Arial"/>
      <w:i/>
      <w:iCs/>
      <w:sz w:val="21"/>
      <w:szCs w:val="21"/>
    </w:rPr>
  </w:style>
  <w:style w:type="paragraph" w:styleId="805">
    <w:name w:val="List Paragraph"/>
    <w:basedOn w:val="954"/>
    <w:uiPriority w:val="34"/>
    <w:qFormat/>
    <w:pPr>
      <w:contextualSpacing/>
      <w:ind w:left="720"/>
    </w:pPr>
  </w:style>
  <w:style w:type="paragraph" w:styleId="806">
    <w:name w:val="No Spacing"/>
    <w:uiPriority w:val="1"/>
    <w:qFormat/>
    <w:pPr>
      <w:spacing w:before="0" w:after="0" w:line="240" w:lineRule="auto"/>
    </w:pPr>
  </w:style>
  <w:style w:type="paragraph" w:styleId="807">
    <w:name w:val="Title"/>
    <w:basedOn w:val="954"/>
    <w:next w:val="954"/>
    <w:link w:val="808"/>
    <w:uiPriority w:val="10"/>
    <w:qFormat/>
    <w:pPr>
      <w:contextualSpacing/>
      <w:spacing w:before="300" w:after="200"/>
    </w:pPr>
    <w:rPr>
      <w:sz w:val="48"/>
      <w:szCs w:val="48"/>
    </w:rPr>
  </w:style>
  <w:style w:type="character" w:styleId="808">
    <w:name w:val="Title Char"/>
    <w:link w:val="807"/>
    <w:uiPriority w:val="10"/>
    <w:rPr>
      <w:sz w:val="48"/>
      <w:szCs w:val="48"/>
    </w:rPr>
  </w:style>
  <w:style w:type="paragraph" w:styleId="809">
    <w:name w:val="Subtitle"/>
    <w:basedOn w:val="954"/>
    <w:next w:val="954"/>
    <w:link w:val="810"/>
    <w:uiPriority w:val="11"/>
    <w:qFormat/>
    <w:pPr>
      <w:spacing w:before="200" w:after="200"/>
    </w:pPr>
    <w:rPr>
      <w:sz w:val="24"/>
      <w:szCs w:val="24"/>
    </w:rPr>
  </w:style>
  <w:style w:type="character" w:styleId="810">
    <w:name w:val="Subtitle Char"/>
    <w:link w:val="809"/>
    <w:uiPriority w:val="11"/>
    <w:rPr>
      <w:sz w:val="24"/>
      <w:szCs w:val="24"/>
    </w:rPr>
  </w:style>
  <w:style w:type="paragraph" w:styleId="811">
    <w:name w:val="Quote"/>
    <w:basedOn w:val="954"/>
    <w:next w:val="954"/>
    <w:link w:val="812"/>
    <w:uiPriority w:val="29"/>
    <w:qFormat/>
    <w:pPr>
      <w:ind w:left="720" w:right="720"/>
    </w:pPr>
    <w:rPr>
      <w:i/>
    </w:rPr>
  </w:style>
  <w:style w:type="character" w:styleId="812">
    <w:name w:val="Quote Char"/>
    <w:link w:val="811"/>
    <w:uiPriority w:val="29"/>
    <w:rPr>
      <w:i/>
    </w:rPr>
  </w:style>
  <w:style w:type="paragraph" w:styleId="813">
    <w:name w:val="Intense Quote"/>
    <w:basedOn w:val="954"/>
    <w:next w:val="954"/>
    <w:link w:val="8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name w:val="Intense Quote Char"/>
    <w:link w:val="813"/>
    <w:uiPriority w:val="30"/>
    <w:rPr>
      <w:i/>
    </w:rPr>
  </w:style>
  <w:style w:type="paragraph" w:styleId="815">
    <w:name w:val="Header"/>
    <w:basedOn w:val="954"/>
    <w:link w:val="1131"/>
    <w:uiPriority w:val="99"/>
    <w:unhideWhenUsed/>
    <w:pPr>
      <w:spacing w:after="0" w:line="240" w:lineRule="auto"/>
      <w:tabs>
        <w:tab w:val="center" w:pos="7143" w:leader="none"/>
        <w:tab w:val="right" w:pos="14287" w:leader="none"/>
      </w:tabs>
    </w:pPr>
  </w:style>
  <w:style w:type="paragraph" w:styleId="816">
    <w:name w:val="Footer"/>
    <w:basedOn w:val="954"/>
    <w:link w:val="818"/>
    <w:uiPriority w:val="99"/>
    <w:unhideWhenUsed/>
    <w:pPr>
      <w:spacing w:after="0" w:line="240" w:lineRule="auto"/>
      <w:tabs>
        <w:tab w:val="center" w:pos="7143" w:leader="none"/>
        <w:tab w:val="right" w:pos="14287" w:leader="none"/>
      </w:tabs>
    </w:pPr>
  </w:style>
  <w:style w:type="paragraph" w:styleId="817">
    <w:name w:val="Caption"/>
    <w:basedOn w:val="954"/>
    <w:next w:val="954"/>
    <w:uiPriority w:val="35"/>
    <w:semiHidden/>
    <w:unhideWhenUsed/>
    <w:qFormat/>
    <w:pPr>
      <w:spacing w:line="276" w:lineRule="auto"/>
    </w:pPr>
    <w:rPr>
      <w:b/>
      <w:bCs/>
      <w:color w:val="4f81bd" w:themeColor="accent1"/>
      <w:sz w:val="18"/>
      <w:szCs w:val="18"/>
    </w:rPr>
  </w:style>
  <w:style w:type="character" w:styleId="818">
    <w:name w:val="Caption Char"/>
    <w:basedOn w:val="817"/>
    <w:link w:val="816"/>
    <w:uiPriority w:val="99"/>
  </w:style>
  <w:style w:type="table" w:styleId="8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5">
    <w:name w:val="Hyperlink"/>
    <w:uiPriority w:val="99"/>
    <w:unhideWhenUsed/>
    <w:rPr>
      <w:color w:val="0000ff" w:themeColor="hyperlink"/>
      <w:u w:val="single"/>
    </w:rPr>
  </w:style>
  <w:style w:type="paragraph" w:styleId="946">
    <w:name w:val="footnote text"/>
    <w:basedOn w:val="954"/>
    <w:link w:val="947"/>
    <w:uiPriority w:val="99"/>
    <w:semiHidden/>
    <w:unhideWhenUsed/>
    <w:pPr>
      <w:spacing w:after="40" w:line="240" w:lineRule="auto"/>
    </w:pPr>
    <w:rPr>
      <w:sz w:val="18"/>
    </w:rPr>
  </w:style>
  <w:style w:type="character" w:styleId="947">
    <w:name w:val="Footnote Text Char"/>
    <w:link w:val="946"/>
    <w:uiPriority w:val="99"/>
    <w:rPr>
      <w:sz w:val="18"/>
    </w:rPr>
  </w:style>
  <w:style w:type="character" w:styleId="948">
    <w:name w:val="footnote reference"/>
    <w:uiPriority w:val="99"/>
    <w:unhideWhenUsed/>
    <w:rPr>
      <w:vertAlign w:val="superscript"/>
    </w:rPr>
  </w:style>
  <w:style w:type="paragraph" w:styleId="949">
    <w:name w:val="endnote text"/>
    <w:basedOn w:val="954"/>
    <w:link w:val="950"/>
    <w:uiPriority w:val="99"/>
    <w:semiHidden/>
    <w:unhideWhenUsed/>
    <w:pPr>
      <w:spacing w:after="0" w:line="240" w:lineRule="auto"/>
    </w:pPr>
    <w:rPr>
      <w:sz w:val="20"/>
    </w:rPr>
  </w:style>
  <w:style w:type="character" w:styleId="950">
    <w:name w:val="Endnote Text Char"/>
    <w:link w:val="949"/>
    <w:uiPriority w:val="99"/>
    <w:rPr>
      <w:sz w:val="20"/>
    </w:rPr>
  </w:style>
  <w:style w:type="character" w:styleId="951">
    <w:name w:val="endnote reference"/>
    <w:uiPriority w:val="99"/>
    <w:semiHidden/>
    <w:unhideWhenUsed/>
    <w:rPr>
      <w:vertAlign w:val="superscript"/>
    </w:rPr>
  </w:style>
  <w:style w:type="paragraph" w:styleId="952">
    <w:name w:val="TOC Heading"/>
    <w:uiPriority w:val="39"/>
    <w:unhideWhenUsed/>
  </w:style>
  <w:style w:type="paragraph" w:styleId="953">
    <w:name w:val="table of figures"/>
    <w:basedOn w:val="954"/>
    <w:next w:val="954"/>
    <w:uiPriority w:val="99"/>
    <w:unhideWhenUsed/>
    <w:pPr>
      <w:spacing w:after="0" w:afterAutospacing="0"/>
    </w:pPr>
  </w:style>
  <w:style w:type="paragraph" w:styleId="954" w:default="1">
    <w:name w:val="Normal"/>
    <w:next w:val="954"/>
    <w:link w:val="954"/>
    <w:qFormat/>
    <w:pPr>
      <w:jc w:val="both"/>
      <w:widowControl w:val="off"/>
    </w:pPr>
    <w:rPr>
      <w:rFonts w:ascii="宋体" w:hAnsi="宋体"/>
      <w:sz w:val="24"/>
      <w:szCs w:val="24"/>
      <w:lang w:val="en-US" w:eastAsia="zh-CN" w:bidi="ar-SA"/>
    </w:rPr>
  </w:style>
  <w:style w:type="paragraph" w:styleId="955">
    <w:name w:val="标题 1"/>
    <w:basedOn w:val="954"/>
    <w:next w:val="954"/>
    <w:link w:val="967"/>
    <w:qFormat/>
    <w:pPr>
      <w:numPr>
        <w:ilvl w:val="0"/>
        <w:numId w:val="1"/>
      </w:numPr>
      <w:keepLines/>
      <w:keepNext/>
      <w:spacing w:before="340" w:after="330" w:line="578" w:lineRule="auto"/>
      <w:tabs>
        <w:tab w:val="left" w:pos="432" w:leader="none"/>
      </w:tabs>
      <w:outlineLvl w:val="0"/>
    </w:pPr>
    <w:rPr>
      <w:rFonts w:ascii="Times New Roman" w:hAnsi="Times New Roman"/>
      <w:b/>
      <w:sz w:val="44"/>
      <w:szCs w:val="20"/>
    </w:rPr>
  </w:style>
  <w:style w:type="paragraph" w:styleId="956">
    <w:name w:val="标题 2"/>
    <w:basedOn w:val="954"/>
    <w:next w:val="969"/>
    <w:link w:val="968"/>
    <w:qFormat/>
    <w:pPr>
      <w:numPr>
        <w:ilvl w:val="1"/>
        <w:numId w:val="1"/>
      </w:numPr>
      <w:keepLines/>
      <w:keepNext/>
      <w:spacing w:before="260" w:after="260" w:line="416" w:lineRule="auto"/>
      <w:tabs>
        <w:tab w:val="left" w:pos="576" w:leader="none"/>
      </w:tabs>
      <w:outlineLvl w:val="1"/>
    </w:pPr>
    <w:rPr>
      <w:rFonts w:ascii="Arial" w:hAnsi="Arial" w:eastAsia="黑体"/>
      <w:b/>
      <w:sz w:val="32"/>
      <w:szCs w:val="20"/>
    </w:rPr>
  </w:style>
  <w:style w:type="paragraph" w:styleId="957">
    <w:name w:val="标题 3"/>
    <w:basedOn w:val="954"/>
    <w:next w:val="969"/>
    <w:link w:val="971"/>
    <w:qFormat/>
    <w:pPr>
      <w:numPr>
        <w:ilvl w:val="2"/>
        <w:numId w:val="1"/>
      </w:numPr>
      <w:keepLines/>
      <w:keepNext/>
      <w:spacing w:before="260" w:after="260" w:line="416" w:lineRule="auto"/>
      <w:tabs>
        <w:tab w:val="left" w:pos="1080" w:leader="none"/>
      </w:tabs>
      <w:outlineLvl w:val="2"/>
    </w:pPr>
    <w:rPr>
      <w:rFonts w:ascii="Times New Roman" w:hAnsi="Times New Roman"/>
      <w:b/>
      <w:sz w:val="32"/>
      <w:szCs w:val="20"/>
    </w:rPr>
  </w:style>
  <w:style w:type="paragraph" w:styleId="958">
    <w:name w:val="标题 4"/>
    <w:basedOn w:val="954"/>
    <w:next w:val="969"/>
    <w:link w:val="972"/>
    <w:qFormat/>
    <w:pPr>
      <w:numPr>
        <w:ilvl w:val="3"/>
        <w:numId w:val="1"/>
      </w:numPr>
      <w:keepLines/>
      <w:keepNext/>
      <w:spacing w:before="280" w:after="290" w:line="376" w:lineRule="auto"/>
      <w:tabs>
        <w:tab w:val="left" w:pos="1440" w:leader="none"/>
      </w:tabs>
      <w:outlineLvl w:val="3"/>
    </w:pPr>
    <w:rPr>
      <w:rFonts w:ascii="Arial" w:hAnsi="Arial" w:eastAsia="黑体"/>
      <w:b/>
      <w:sz w:val="28"/>
      <w:szCs w:val="20"/>
    </w:rPr>
  </w:style>
  <w:style w:type="paragraph" w:styleId="959">
    <w:name w:val="标题 5"/>
    <w:basedOn w:val="954"/>
    <w:next w:val="969"/>
    <w:link w:val="973"/>
    <w:qFormat/>
    <w:pPr>
      <w:numPr>
        <w:ilvl w:val="4"/>
        <w:numId w:val="1"/>
      </w:numPr>
      <w:keepLines/>
      <w:keepNext/>
      <w:spacing w:before="280" w:after="290" w:line="376" w:lineRule="auto"/>
      <w:tabs>
        <w:tab w:val="left" w:pos="1800" w:leader="none"/>
      </w:tabs>
      <w:outlineLvl w:val="4"/>
    </w:pPr>
    <w:rPr>
      <w:rFonts w:ascii="Times New Roman" w:hAnsi="Times New Roman"/>
      <w:b/>
      <w:sz w:val="28"/>
      <w:szCs w:val="20"/>
    </w:rPr>
  </w:style>
  <w:style w:type="paragraph" w:styleId="960">
    <w:name w:val="标题 6"/>
    <w:basedOn w:val="954"/>
    <w:next w:val="969"/>
    <w:link w:val="974"/>
    <w:qFormat/>
    <w:pPr>
      <w:numPr>
        <w:ilvl w:val="5"/>
        <w:numId w:val="1"/>
      </w:numPr>
      <w:keepLines/>
      <w:keepNext/>
      <w:spacing w:before="240" w:after="64" w:line="320" w:lineRule="auto"/>
      <w:tabs>
        <w:tab w:val="left" w:pos="1152" w:leader="none"/>
      </w:tabs>
      <w:outlineLvl w:val="5"/>
    </w:pPr>
    <w:rPr>
      <w:rFonts w:ascii="Arial" w:hAnsi="Arial" w:eastAsia="黑体"/>
      <w:b/>
      <w:szCs w:val="20"/>
    </w:rPr>
  </w:style>
  <w:style w:type="paragraph" w:styleId="961">
    <w:name w:val="标题 7"/>
    <w:basedOn w:val="954"/>
    <w:next w:val="969"/>
    <w:link w:val="975"/>
    <w:qFormat/>
    <w:pPr>
      <w:numPr>
        <w:ilvl w:val="6"/>
        <w:numId w:val="1"/>
      </w:numPr>
      <w:keepLines/>
      <w:keepNext/>
      <w:spacing w:before="240" w:after="64" w:line="320" w:lineRule="auto"/>
      <w:tabs>
        <w:tab w:val="left" w:pos="1296" w:leader="none"/>
      </w:tabs>
      <w:outlineLvl w:val="6"/>
    </w:pPr>
    <w:rPr>
      <w:rFonts w:ascii="Times New Roman" w:hAnsi="Times New Roman"/>
      <w:b/>
      <w:szCs w:val="20"/>
    </w:rPr>
  </w:style>
  <w:style w:type="paragraph" w:styleId="962">
    <w:name w:val="标题 8"/>
    <w:basedOn w:val="954"/>
    <w:next w:val="969"/>
    <w:link w:val="976"/>
    <w:qFormat/>
    <w:pPr>
      <w:numPr>
        <w:ilvl w:val="7"/>
        <w:numId w:val="1"/>
      </w:numPr>
      <w:keepLines/>
      <w:keepNext/>
      <w:spacing w:before="240" w:after="64" w:line="320" w:lineRule="auto"/>
      <w:tabs>
        <w:tab w:val="left" w:pos="1440" w:leader="none"/>
      </w:tabs>
      <w:outlineLvl w:val="7"/>
    </w:pPr>
    <w:rPr>
      <w:rFonts w:ascii="Arial" w:hAnsi="Arial" w:eastAsia="黑体"/>
      <w:szCs w:val="20"/>
    </w:rPr>
  </w:style>
  <w:style w:type="paragraph" w:styleId="963">
    <w:name w:val="标题 9"/>
    <w:basedOn w:val="954"/>
    <w:next w:val="969"/>
    <w:link w:val="977"/>
    <w:qFormat/>
    <w:pPr>
      <w:numPr>
        <w:ilvl w:val="8"/>
        <w:numId w:val="1"/>
      </w:numPr>
      <w:keepLines/>
      <w:keepNext/>
      <w:spacing w:before="240" w:after="64" w:line="320" w:lineRule="auto"/>
      <w:tabs>
        <w:tab w:val="left" w:pos="1584" w:leader="none"/>
      </w:tabs>
      <w:outlineLvl w:val="8"/>
    </w:pPr>
    <w:rPr>
      <w:rFonts w:ascii="Arial" w:hAnsi="Arial" w:eastAsia="黑体"/>
      <w:sz w:val="21"/>
      <w:szCs w:val="20"/>
    </w:rPr>
  </w:style>
  <w:style w:type="character" w:styleId="964">
    <w:name w:val="默认段落字体"/>
    <w:next w:val="964"/>
    <w:link w:val="954"/>
    <w:semiHidden/>
  </w:style>
  <w:style w:type="table" w:styleId="965">
    <w:name w:val="普通表格"/>
    <w:next w:val="965"/>
    <w:link w:val="954"/>
    <w:semiHidden/>
    <w:tblPr/>
  </w:style>
  <w:style w:type="numbering" w:styleId="966">
    <w:name w:val="无列表"/>
    <w:next w:val="966"/>
    <w:link w:val="954"/>
    <w:uiPriority w:val="99"/>
    <w:semiHidden/>
    <w:unhideWhenUsed/>
  </w:style>
  <w:style w:type="character" w:styleId="967">
    <w:name w:val="标题 1 字符"/>
    <w:next w:val="967"/>
    <w:link w:val="955"/>
    <w:rPr>
      <w:b/>
      <w:sz w:val="44"/>
    </w:rPr>
  </w:style>
  <w:style w:type="character" w:styleId="968">
    <w:name w:val="标题 2 字符"/>
    <w:next w:val="968"/>
    <w:link w:val="956"/>
    <w:rPr>
      <w:rFonts w:ascii="Arial" w:hAnsi="Arial" w:eastAsia="黑体"/>
      <w:b/>
      <w:sz w:val="32"/>
    </w:rPr>
  </w:style>
  <w:style w:type="paragraph" w:styleId="969">
    <w:name w:val="正文缩进"/>
    <w:basedOn w:val="954"/>
    <w:next w:val="969"/>
    <w:link w:val="970"/>
    <w:qFormat/>
    <w:pPr>
      <w:ind w:firstLine="420"/>
      <w:jc w:val="left"/>
    </w:pPr>
    <w:rPr>
      <w:rFonts w:ascii="Times New Roman" w:hAnsi="Times New Roman" w:eastAsia="楷体_GB2312"/>
      <w:szCs w:val="20"/>
    </w:rPr>
  </w:style>
  <w:style w:type="character" w:styleId="970">
    <w:name w:val="正文缩进 字符"/>
    <w:next w:val="970"/>
    <w:link w:val="969"/>
    <w:qFormat/>
    <w:rPr>
      <w:rFonts w:eastAsia="楷体_GB2312"/>
      <w:sz w:val="24"/>
    </w:rPr>
  </w:style>
  <w:style w:type="character" w:styleId="971">
    <w:name w:val="标题 3 字符"/>
    <w:next w:val="971"/>
    <w:link w:val="957"/>
    <w:rPr>
      <w:b/>
      <w:sz w:val="32"/>
    </w:rPr>
  </w:style>
  <w:style w:type="character" w:styleId="972">
    <w:name w:val="标题 4 字符"/>
    <w:next w:val="972"/>
    <w:link w:val="958"/>
    <w:rPr>
      <w:rFonts w:ascii="Arial" w:hAnsi="Arial" w:eastAsia="黑体"/>
      <w:b/>
      <w:sz w:val="28"/>
    </w:rPr>
  </w:style>
  <w:style w:type="character" w:styleId="973">
    <w:name w:val="标题 5 字符"/>
    <w:next w:val="973"/>
    <w:link w:val="959"/>
    <w:rPr>
      <w:b/>
      <w:sz w:val="28"/>
    </w:rPr>
  </w:style>
  <w:style w:type="character" w:styleId="974">
    <w:name w:val="标题 6 字符"/>
    <w:next w:val="974"/>
    <w:link w:val="960"/>
    <w:rPr>
      <w:rFonts w:ascii="Arial" w:hAnsi="Arial" w:eastAsia="黑体"/>
      <w:b/>
      <w:sz w:val="24"/>
    </w:rPr>
  </w:style>
  <w:style w:type="character" w:styleId="975">
    <w:name w:val="标题 7 字符"/>
    <w:next w:val="975"/>
    <w:link w:val="961"/>
    <w:rPr>
      <w:b/>
      <w:sz w:val="24"/>
    </w:rPr>
  </w:style>
  <w:style w:type="character" w:styleId="976">
    <w:name w:val="标题 8 字符"/>
    <w:next w:val="976"/>
    <w:link w:val="962"/>
    <w:rPr>
      <w:rFonts w:ascii="Arial" w:hAnsi="Arial" w:eastAsia="黑体"/>
      <w:sz w:val="24"/>
    </w:rPr>
  </w:style>
  <w:style w:type="character" w:styleId="977">
    <w:name w:val="标题 9 字符"/>
    <w:next w:val="977"/>
    <w:link w:val="963"/>
    <w:rPr>
      <w:rFonts w:ascii="Arial" w:hAnsi="Arial" w:eastAsia="黑体"/>
      <w:sz w:val="21"/>
    </w:rPr>
  </w:style>
  <w:style w:type="paragraph" w:styleId="978">
    <w:name w:val="toc 7"/>
    <w:basedOn w:val="954"/>
    <w:next w:val="954"/>
    <w:link w:val="954"/>
    <w:semiHidden/>
    <w:pPr>
      <w:ind w:left="1260"/>
      <w:jc w:val="left"/>
    </w:pPr>
    <w:rPr>
      <w:rFonts w:ascii="Times New Roman" w:hAnsi="Times New Roman"/>
      <w:sz w:val="18"/>
      <w:szCs w:val="18"/>
    </w:rPr>
  </w:style>
  <w:style w:type="paragraph" w:styleId="979">
    <w:name w:val="注释标题"/>
    <w:basedOn w:val="954"/>
    <w:next w:val="954"/>
    <w:link w:val="980"/>
    <w:pPr>
      <w:jc w:val="center"/>
    </w:pPr>
    <w:rPr>
      <w:rFonts w:ascii="Times New Roman" w:hAnsi="Times New Roman"/>
      <w:sz w:val="20"/>
      <w:szCs w:val="20"/>
    </w:rPr>
  </w:style>
  <w:style w:type="character" w:styleId="980">
    <w:name w:val="注释标题 字符"/>
    <w:next w:val="980"/>
    <w:link w:val="979"/>
    <w:rPr>
      <w:rFonts w:eastAsia="宋体"/>
      <w:lang w:bidi="ar-SA"/>
    </w:rPr>
  </w:style>
  <w:style w:type="paragraph" w:styleId="981">
    <w:name w:val="列表编号"/>
    <w:basedOn w:val="954"/>
    <w:next w:val="981"/>
    <w:link w:val="954"/>
    <w:pPr>
      <w:ind w:left="420" w:hanging="420"/>
      <w:tabs>
        <w:tab w:val="left" w:pos="420" w:leader="none"/>
      </w:tabs>
    </w:pPr>
    <w:rPr>
      <w:rFonts w:ascii="Times New Roman" w:hAnsi="Times New Roman"/>
      <w:sz w:val="21"/>
    </w:rPr>
  </w:style>
  <w:style w:type="paragraph" w:styleId="982">
    <w:name w:val="题注"/>
    <w:basedOn w:val="954"/>
    <w:next w:val="954"/>
    <w:link w:val="983"/>
    <w:qFormat/>
    <w:pPr>
      <w:spacing w:before="152" w:after="160"/>
    </w:pPr>
    <w:rPr>
      <w:rFonts w:ascii="Arial" w:hAnsi="Arial" w:eastAsia="黑体" w:cs="Arial"/>
      <w:sz w:val="20"/>
      <w:szCs w:val="20"/>
    </w:rPr>
  </w:style>
  <w:style w:type="character" w:styleId="983">
    <w:name w:val="题注 字符"/>
    <w:next w:val="983"/>
    <w:link w:val="982"/>
    <w:rPr>
      <w:rFonts w:ascii="Arial" w:hAnsi="Arial" w:eastAsia="黑体" w:cs="Arial"/>
      <w:lang w:val="en-US" w:eastAsia="zh-CN" w:bidi="ar-SA"/>
    </w:rPr>
  </w:style>
  <w:style w:type="paragraph" w:styleId="984">
    <w:name w:val="列表项目符号"/>
    <w:basedOn w:val="954"/>
    <w:next w:val="984"/>
    <w:link w:val="954"/>
    <w:pPr>
      <w:ind w:left="357" w:hanging="357"/>
      <w:spacing w:line="500" w:lineRule="exact"/>
      <w:tabs>
        <w:tab w:val="left" w:pos="420" w:leader="none"/>
      </w:tabs>
    </w:pPr>
    <w:rPr>
      <w:rFonts w:ascii="Times New Roman" w:hAnsi="Times New Roman"/>
      <w:szCs w:val="20"/>
    </w:rPr>
  </w:style>
  <w:style w:type="paragraph" w:styleId="985">
    <w:name w:val="文档结构图"/>
    <w:basedOn w:val="954"/>
    <w:next w:val="985"/>
    <w:link w:val="986"/>
    <w:qFormat/>
    <w:pPr>
      <w:shd w:val="clear" w:color="auto" w:fill="000080"/>
    </w:pPr>
  </w:style>
  <w:style w:type="character" w:styleId="986">
    <w:name w:val="文档结构图 字符"/>
    <w:next w:val="986"/>
    <w:link w:val="985"/>
    <w:rPr>
      <w:rFonts w:ascii="宋体" w:hAnsi="宋体" w:eastAsia="宋体"/>
      <w:sz w:val="24"/>
      <w:szCs w:val="24"/>
      <w:lang w:val="en-US" w:eastAsia="zh-CN" w:bidi="ar-SA"/>
    </w:rPr>
  </w:style>
  <w:style w:type="paragraph" w:styleId="987">
    <w:name w:val="批注文字"/>
    <w:basedOn w:val="954"/>
    <w:next w:val="987"/>
    <w:link w:val="988"/>
    <w:semiHidden/>
    <w:pPr>
      <w:numPr>
        <w:ilvl w:val="0"/>
        <w:numId w:val="2"/>
      </w:numPr>
      <w:ind w:left="200"/>
      <w:jc w:val="left"/>
      <w:spacing w:before="50" w:after="50"/>
      <w:widowControl/>
    </w:pPr>
    <w:rPr>
      <w:rFonts w:ascii="Times New Roman" w:hAnsi="Times New Roman"/>
      <w:sz w:val="21"/>
      <w:szCs w:val="18"/>
    </w:rPr>
  </w:style>
  <w:style w:type="character" w:styleId="988">
    <w:name w:val="批注文字 字符"/>
    <w:next w:val="988"/>
    <w:link w:val="987"/>
    <w:semiHidden/>
    <w:rPr>
      <w:sz w:val="21"/>
      <w:szCs w:val="18"/>
    </w:rPr>
  </w:style>
  <w:style w:type="paragraph" w:styleId="989">
    <w:name w:val="称呼"/>
    <w:basedOn w:val="954"/>
    <w:next w:val="954"/>
    <w:link w:val="954"/>
    <w:rPr>
      <w:rFonts w:ascii="Times New Roman" w:hAnsi="Times New Roman" w:eastAsia="黑体"/>
    </w:rPr>
  </w:style>
  <w:style w:type="paragraph" w:styleId="990">
    <w:name w:val="正文文本 3"/>
    <w:basedOn w:val="954"/>
    <w:next w:val="990"/>
    <w:link w:val="954"/>
    <w:pPr>
      <w:spacing w:after="120"/>
    </w:pPr>
    <w:rPr>
      <w:rFonts w:ascii="Times New Roman" w:hAnsi="Times New Roman"/>
      <w:sz w:val="16"/>
      <w:szCs w:val="16"/>
    </w:rPr>
  </w:style>
  <w:style w:type="paragraph" w:styleId="991">
    <w:name w:val="正文文本"/>
    <w:basedOn w:val="954"/>
    <w:next w:val="991"/>
    <w:link w:val="992"/>
    <w:qFormat/>
    <w:rPr>
      <w:rFonts w:ascii="Times New Roman" w:hAnsi="Times New Roman"/>
    </w:rPr>
  </w:style>
  <w:style w:type="character" w:styleId="992">
    <w:name w:val="正文文本 字符"/>
    <w:next w:val="992"/>
    <w:link w:val="991"/>
    <w:qFormat/>
    <w:rPr>
      <w:sz w:val="24"/>
      <w:szCs w:val="24"/>
    </w:rPr>
  </w:style>
  <w:style w:type="paragraph" w:styleId="993">
    <w:name w:val="正文文本缩进"/>
    <w:basedOn w:val="954"/>
    <w:next w:val="993"/>
    <w:link w:val="994"/>
    <w:uiPriority w:val="99"/>
    <w:qFormat/>
    <w:pPr>
      <w:ind w:firstLine="420"/>
      <w:spacing w:line="360" w:lineRule="exact"/>
    </w:pPr>
    <w:rPr>
      <w:szCs w:val="21"/>
    </w:rPr>
  </w:style>
  <w:style w:type="character" w:styleId="994">
    <w:name w:val="正文文本缩进 字符"/>
    <w:next w:val="994"/>
    <w:link w:val="993"/>
    <w:uiPriority w:val="99"/>
    <w:rPr>
      <w:rFonts w:ascii="宋体" w:hAnsi="宋体" w:eastAsia="宋体"/>
      <w:sz w:val="24"/>
      <w:szCs w:val="21"/>
      <w:lang w:val="en-US" w:eastAsia="zh-CN" w:bidi="ar-SA"/>
    </w:rPr>
  </w:style>
  <w:style w:type="paragraph" w:styleId="995">
    <w:name w:val="列表 2"/>
    <w:basedOn w:val="954"/>
    <w:next w:val="995"/>
    <w:link w:val="954"/>
    <w:pPr>
      <w:ind w:left="100" w:hanging="200"/>
    </w:pPr>
    <w:rPr>
      <w:rFonts w:ascii="Times New Roman" w:hAnsi="Times New Roman"/>
      <w:sz w:val="21"/>
    </w:rPr>
  </w:style>
  <w:style w:type="paragraph" w:styleId="996">
    <w:name w:val="文本块"/>
    <w:basedOn w:val="954"/>
    <w:next w:val="996"/>
    <w:link w:val="954"/>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997">
    <w:name w:val="toc 5"/>
    <w:basedOn w:val="954"/>
    <w:next w:val="954"/>
    <w:link w:val="954"/>
    <w:semiHidden/>
    <w:pPr>
      <w:ind w:left="840"/>
      <w:jc w:val="left"/>
    </w:pPr>
    <w:rPr>
      <w:rFonts w:ascii="Times New Roman" w:hAnsi="Times New Roman"/>
      <w:sz w:val="18"/>
      <w:szCs w:val="18"/>
    </w:rPr>
  </w:style>
  <w:style w:type="paragraph" w:styleId="998">
    <w:name w:val="toc 3"/>
    <w:basedOn w:val="954"/>
    <w:next w:val="954"/>
    <w:link w:val="954"/>
    <w:semiHidden/>
    <w:pPr>
      <w:ind w:left="840"/>
    </w:pPr>
    <w:rPr>
      <w:rFonts w:ascii="Times New Roman" w:hAnsi="Times New Roman"/>
      <w:sz w:val="21"/>
    </w:rPr>
  </w:style>
  <w:style w:type="paragraph" w:styleId="999">
    <w:name w:val="纯文本"/>
    <w:basedOn w:val="954"/>
    <w:next w:val="999"/>
    <w:link w:val="1000"/>
    <w:pPr>
      <w:jc w:val="left"/>
      <w:widowControl/>
    </w:pPr>
    <w:rPr>
      <w:rFonts w:hAnsi="Courier New"/>
      <w:sz w:val="21"/>
      <w:szCs w:val="21"/>
    </w:rPr>
  </w:style>
  <w:style w:type="character" w:styleId="1000">
    <w:name w:val="纯文本 字符"/>
    <w:next w:val="1000"/>
    <w:link w:val="999"/>
    <w:rPr>
      <w:rFonts w:ascii="宋体" w:hAnsi="Courier New" w:eastAsia="宋体"/>
      <w:sz w:val="21"/>
      <w:szCs w:val="21"/>
      <w:lang w:val="en-US" w:eastAsia="zh-CN" w:bidi="ar-SA"/>
    </w:rPr>
  </w:style>
  <w:style w:type="paragraph" w:styleId="1001">
    <w:name w:val="列表编号 4"/>
    <w:basedOn w:val="954"/>
    <w:next w:val="1001"/>
    <w:link w:val="954"/>
    <w:unhideWhenUsed/>
    <w:pPr>
      <w:numPr>
        <w:ilvl w:val="0"/>
        <w:numId w:val="3"/>
      </w:numPr>
      <w:contextualSpacing/>
      <w:tabs>
        <w:tab w:val="left" w:pos="1620" w:leader="none"/>
      </w:tabs>
    </w:pPr>
    <w:rPr>
      <w:rFonts w:ascii="Times New Roman" w:hAnsi="Times New Roman"/>
      <w:sz w:val="21"/>
    </w:rPr>
  </w:style>
  <w:style w:type="paragraph" w:styleId="1002">
    <w:name w:val="toc 8"/>
    <w:basedOn w:val="954"/>
    <w:next w:val="954"/>
    <w:link w:val="954"/>
    <w:semiHidden/>
    <w:pPr>
      <w:ind w:left="1470"/>
      <w:jc w:val="left"/>
    </w:pPr>
    <w:rPr>
      <w:rFonts w:ascii="Times New Roman" w:hAnsi="Times New Roman"/>
      <w:sz w:val="18"/>
      <w:szCs w:val="18"/>
    </w:rPr>
  </w:style>
  <w:style w:type="paragraph" w:styleId="1003">
    <w:name w:val="日期"/>
    <w:basedOn w:val="954"/>
    <w:next w:val="954"/>
    <w:link w:val="1004"/>
    <w:rPr>
      <w:rFonts w:eastAsia="楷体_GB2312"/>
      <w:szCs w:val="20"/>
    </w:rPr>
  </w:style>
  <w:style w:type="character" w:styleId="1004">
    <w:name w:val="日期 字符"/>
    <w:next w:val="1004"/>
    <w:link w:val="1003"/>
    <w:semiHidden/>
    <w:rPr>
      <w:rFonts w:ascii="宋体" w:hAnsi="宋体" w:eastAsia="楷体_GB2312"/>
      <w:sz w:val="24"/>
      <w:lang w:val="en-US" w:eastAsia="zh-CN" w:bidi="ar-SA"/>
    </w:rPr>
  </w:style>
  <w:style w:type="paragraph" w:styleId="1005">
    <w:name w:val="正文文本缩进 2"/>
    <w:basedOn w:val="954"/>
    <w:next w:val="1005"/>
    <w:link w:val="1006"/>
    <w:pPr>
      <w:ind w:left="1" w:firstLine="480"/>
      <w:spacing w:line="400" w:lineRule="exact"/>
      <w:tabs>
        <w:tab w:val="left" w:pos="360" w:leader="none"/>
      </w:tabs>
    </w:pPr>
    <w:rPr>
      <w:rFonts w:ascii="Times New Roman" w:hAnsi="Times New Roman"/>
    </w:rPr>
  </w:style>
  <w:style w:type="character" w:styleId="1006">
    <w:name w:val="正文文本缩进 2 字符"/>
    <w:next w:val="1006"/>
    <w:link w:val="1005"/>
    <w:rPr>
      <w:rFonts w:eastAsia="宋体"/>
      <w:sz w:val="24"/>
      <w:szCs w:val="24"/>
      <w:lang w:val="en-US" w:eastAsia="zh-CN" w:bidi="ar-SA"/>
    </w:rPr>
  </w:style>
  <w:style w:type="paragraph" w:styleId="1007">
    <w:name w:val="批注框文本"/>
    <w:basedOn w:val="954"/>
    <w:next w:val="1007"/>
    <w:link w:val="1008"/>
    <w:uiPriority w:val="99"/>
    <w:semiHidden/>
    <w:rPr>
      <w:rFonts w:ascii="Times New Roman" w:hAnsi="Times New Roman"/>
      <w:sz w:val="18"/>
      <w:szCs w:val="18"/>
    </w:rPr>
  </w:style>
  <w:style w:type="character" w:styleId="1008">
    <w:name w:val="批注框文本 字符"/>
    <w:next w:val="1008"/>
    <w:link w:val="1007"/>
    <w:uiPriority w:val="99"/>
    <w:rPr>
      <w:rFonts w:eastAsia="宋体"/>
      <w:sz w:val="18"/>
      <w:szCs w:val="18"/>
      <w:lang w:val="en-US" w:eastAsia="zh-CN" w:bidi="ar-SA"/>
    </w:rPr>
  </w:style>
  <w:style w:type="paragraph" w:styleId="1009">
    <w:name w:val="页脚"/>
    <w:basedOn w:val="954"/>
    <w:next w:val="1009"/>
    <w:link w:val="1010"/>
    <w:uiPriority w:val="99"/>
    <w:pPr>
      <w:jc w:val="left"/>
      <w:tabs>
        <w:tab w:val="center" w:pos="4153" w:leader="none"/>
        <w:tab w:val="right" w:pos="8306" w:leader="none"/>
      </w:tabs>
    </w:pPr>
    <w:rPr>
      <w:rFonts w:ascii="Times New Roman" w:hAnsi="Times New Roman"/>
      <w:sz w:val="18"/>
      <w:szCs w:val="18"/>
    </w:rPr>
  </w:style>
  <w:style w:type="character" w:styleId="1010">
    <w:name w:val="页脚 字符"/>
    <w:next w:val="1010"/>
    <w:link w:val="1009"/>
    <w:uiPriority w:val="99"/>
    <w:rPr>
      <w:rFonts w:eastAsia="宋体"/>
      <w:sz w:val="18"/>
      <w:szCs w:val="18"/>
      <w:lang w:val="en-US" w:eastAsia="zh-CN" w:bidi="ar-SA"/>
    </w:rPr>
  </w:style>
  <w:style w:type="paragraph" w:styleId="1011">
    <w:name w:val="页眉"/>
    <w:basedOn w:val="954"/>
    <w:next w:val="1011"/>
    <w:link w:val="1012"/>
    <w:uiPriority w:val="99"/>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12">
    <w:name w:val="页眉 字符"/>
    <w:next w:val="1012"/>
    <w:link w:val="1011"/>
    <w:uiPriority w:val="99"/>
    <w:rPr>
      <w:rFonts w:eastAsia="宋体"/>
      <w:sz w:val="18"/>
      <w:szCs w:val="18"/>
      <w:lang w:val="en-US" w:eastAsia="zh-CN" w:bidi="ar-SA"/>
    </w:rPr>
  </w:style>
  <w:style w:type="paragraph" w:styleId="1013">
    <w:name w:val="toc 1"/>
    <w:basedOn w:val="954"/>
    <w:next w:val="954"/>
    <w:link w:val="954"/>
    <w:semiHidden/>
    <w:pPr>
      <w:jc w:val="left"/>
    </w:pPr>
    <w:rPr>
      <w:rFonts w:ascii="Times New Roman" w:hAnsi="Times New Roman" w:eastAsia="楷体_GB2312"/>
      <w:szCs w:val="20"/>
    </w:rPr>
  </w:style>
  <w:style w:type="paragraph" w:styleId="1014">
    <w:name w:val="toc 4"/>
    <w:basedOn w:val="954"/>
    <w:next w:val="954"/>
    <w:link w:val="954"/>
    <w:semiHidden/>
    <w:pPr>
      <w:ind w:left="630"/>
      <w:jc w:val="left"/>
    </w:pPr>
    <w:rPr>
      <w:rFonts w:ascii="Times New Roman" w:hAnsi="Times New Roman"/>
      <w:sz w:val="18"/>
      <w:szCs w:val="18"/>
    </w:rPr>
  </w:style>
  <w:style w:type="paragraph" w:styleId="1015">
    <w:name w:val="索引标题"/>
    <w:basedOn w:val="954"/>
    <w:next w:val="1016"/>
    <w:link w:val="954"/>
    <w:semiHidden/>
    <w:rPr>
      <w:rFonts w:ascii="Times New Roman" w:hAnsi="Times New Roman"/>
      <w:szCs w:val="20"/>
    </w:rPr>
  </w:style>
  <w:style w:type="paragraph" w:styleId="1016">
    <w:name w:val="索引 1"/>
    <w:basedOn w:val="954"/>
    <w:next w:val="954"/>
    <w:link w:val="954"/>
    <w:semiHidden/>
    <w:rPr>
      <w:rFonts w:ascii="Times New Roman" w:hAnsi="Times New Roman"/>
      <w:sz w:val="21"/>
    </w:rPr>
  </w:style>
  <w:style w:type="paragraph" w:styleId="1017">
    <w:name w:val="副标题"/>
    <w:basedOn w:val="954"/>
    <w:next w:val="954"/>
    <w:link w:val="954"/>
    <w:qFormat/>
    <w:pPr>
      <w:jc w:val="center"/>
      <w:spacing w:before="240" w:after="60" w:line="312" w:lineRule="auto"/>
      <w:outlineLvl w:val="1"/>
    </w:pPr>
    <w:rPr>
      <w:rFonts w:ascii="Cambria" w:hAnsi="Cambria"/>
      <w:b/>
      <w:bCs/>
      <w:sz w:val="32"/>
      <w:szCs w:val="32"/>
    </w:rPr>
  </w:style>
  <w:style w:type="paragraph" w:styleId="1018">
    <w:name w:val="列表"/>
    <w:basedOn w:val="954"/>
    <w:next w:val="1018"/>
    <w:link w:val="954"/>
    <w:pPr>
      <w:ind w:left="200" w:hanging="200"/>
    </w:pPr>
    <w:rPr>
      <w:rFonts w:ascii="Times New Roman" w:hAnsi="Times New Roman"/>
      <w:sz w:val="21"/>
    </w:rPr>
  </w:style>
  <w:style w:type="paragraph" w:styleId="1019">
    <w:name w:val="toc 6"/>
    <w:basedOn w:val="954"/>
    <w:next w:val="954"/>
    <w:link w:val="954"/>
    <w:semiHidden/>
    <w:pPr>
      <w:ind w:left="1050"/>
      <w:jc w:val="left"/>
    </w:pPr>
    <w:rPr>
      <w:rFonts w:ascii="Times New Roman" w:hAnsi="Times New Roman"/>
      <w:sz w:val="18"/>
      <w:szCs w:val="18"/>
    </w:rPr>
  </w:style>
  <w:style w:type="paragraph" w:styleId="1020">
    <w:name w:val="正文文本缩进 3"/>
    <w:basedOn w:val="954"/>
    <w:next w:val="1020"/>
    <w:link w:val="1021"/>
    <w:uiPriority w:val="99"/>
    <w:qFormat/>
    <w:pPr>
      <w:ind w:firstLine="480"/>
      <w:spacing w:line="400" w:lineRule="exact"/>
    </w:pPr>
    <w:rPr>
      <w:rFonts w:ascii="Times New Roman" w:hAnsi="Times New Roman"/>
    </w:rPr>
  </w:style>
  <w:style w:type="character" w:styleId="1021">
    <w:name w:val="正文文本缩进 3 字符"/>
    <w:next w:val="1021"/>
    <w:link w:val="1020"/>
    <w:uiPriority w:val="99"/>
    <w:rPr>
      <w:rFonts w:eastAsia="宋体"/>
      <w:sz w:val="24"/>
      <w:szCs w:val="24"/>
      <w:lang w:val="en-US" w:eastAsia="zh-CN" w:bidi="ar-SA"/>
    </w:rPr>
  </w:style>
  <w:style w:type="paragraph" w:styleId="1022">
    <w:name w:val="toc 2"/>
    <w:basedOn w:val="954"/>
    <w:next w:val="954"/>
    <w:link w:val="954"/>
    <w:semiHidden/>
    <w:pPr>
      <w:ind w:left="420"/>
    </w:pPr>
    <w:rPr>
      <w:rFonts w:ascii="Times New Roman" w:hAnsi="Times New Roman"/>
      <w:sz w:val="21"/>
    </w:rPr>
  </w:style>
  <w:style w:type="paragraph" w:styleId="1023">
    <w:name w:val="toc 9"/>
    <w:basedOn w:val="954"/>
    <w:next w:val="954"/>
    <w:link w:val="954"/>
    <w:semiHidden/>
    <w:pPr>
      <w:ind w:left="1680"/>
      <w:jc w:val="left"/>
    </w:pPr>
    <w:rPr>
      <w:rFonts w:ascii="Times New Roman" w:hAnsi="Times New Roman"/>
      <w:sz w:val="18"/>
      <w:szCs w:val="18"/>
    </w:rPr>
  </w:style>
  <w:style w:type="paragraph" w:styleId="1024">
    <w:name w:val="正文文本 2"/>
    <w:basedOn w:val="954"/>
    <w:next w:val="1024"/>
    <w:link w:val="954"/>
    <w:pPr>
      <w:numPr>
        <w:ilvl w:val="0"/>
        <w:numId w:val="4"/>
      </w:numPr>
      <w:ind w:left="0" w:firstLine="0"/>
      <w:spacing w:after="120" w:line="480" w:lineRule="auto"/>
      <w:tabs>
        <w:tab w:val="clear" w:pos="737" w:leader="none"/>
      </w:tabs>
    </w:pPr>
  </w:style>
  <w:style w:type="paragraph" w:styleId="1025">
    <w:name w:val="HTML 预设格式"/>
    <w:basedOn w:val="954"/>
    <w:next w:val="1025"/>
    <w:link w:val="102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0"/>
      <w:szCs w:val="20"/>
    </w:rPr>
  </w:style>
  <w:style w:type="character" w:styleId="1026">
    <w:name w:val="HTML 预设格式 字符"/>
    <w:next w:val="1026"/>
    <w:link w:val="1025"/>
    <w:semiHidden/>
    <w:rPr>
      <w:rFonts w:ascii="Arial Unicode MS" w:hAnsi="Arial Unicode MS" w:eastAsia="Arial Unicode MS"/>
      <w:lang w:bidi="ar-SA"/>
    </w:rPr>
  </w:style>
  <w:style w:type="paragraph" w:styleId="1027">
    <w:name w:val="普通(网站)"/>
    <w:basedOn w:val="954"/>
    <w:next w:val="1027"/>
    <w:link w:val="954"/>
    <w:uiPriority w:val="99"/>
    <w:qFormat/>
    <w:pPr>
      <w:ind w:left="15" w:right="15"/>
      <w:jc w:val="left"/>
      <w:spacing w:before="60" w:after="60" w:line="312" w:lineRule="auto"/>
      <w:widowControl/>
    </w:pPr>
    <w:rPr>
      <w:rFonts w:ascii="Arial Unicode MS" w:hAnsi="Arial Unicode MS" w:eastAsia="Arial Unicode MS"/>
    </w:rPr>
  </w:style>
  <w:style w:type="paragraph" w:styleId="1028">
    <w:name w:val="标题"/>
    <w:basedOn w:val="954"/>
    <w:next w:val="1028"/>
    <w:link w:val="1029"/>
    <w:qFormat/>
    <w:pPr>
      <w:jc w:val="center"/>
      <w:spacing w:before="156"/>
    </w:pPr>
    <w:rPr>
      <w:rFonts w:ascii="Times New Roman" w:hAnsi="Times New Roman" w:eastAsia="黑体"/>
      <w:b/>
      <w:bCs/>
      <w:sz w:val="32"/>
    </w:rPr>
  </w:style>
  <w:style w:type="character" w:styleId="1029">
    <w:name w:val="标题 字符"/>
    <w:next w:val="1029"/>
    <w:link w:val="1028"/>
    <w:rPr>
      <w:rFonts w:eastAsia="黑体"/>
      <w:b/>
      <w:bCs/>
      <w:sz w:val="32"/>
      <w:szCs w:val="24"/>
      <w:lang w:val="en-US" w:eastAsia="zh-CN" w:bidi="ar-SA"/>
    </w:rPr>
  </w:style>
  <w:style w:type="paragraph" w:styleId="1030">
    <w:name w:val="批注主题"/>
    <w:basedOn w:val="987"/>
    <w:next w:val="987"/>
    <w:link w:val="954"/>
    <w:semiHidden/>
    <w:pPr>
      <w:numPr>
        <w:ilvl w:val="5"/>
        <w:numId w:val="0"/>
      </w:numPr>
      <w:ind w:left="200"/>
    </w:pPr>
    <w:rPr>
      <w:b/>
      <w:bCs/>
    </w:rPr>
  </w:style>
  <w:style w:type="paragraph" w:styleId="1031">
    <w:name w:val="正文文本首行缩进"/>
    <w:basedOn w:val="991"/>
    <w:next w:val="1031"/>
    <w:link w:val="1032"/>
    <w:pPr>
      <w:ind w:firstLine="420"/>
      <w:spacing w:after="120"/>
    </w:pPr>
    <w:rPr>
      <w:sz w:val="21"/>
    </w:rPr>
  </w:style>
  <w:style w:type="character" w:styleId="1032">
    <w:name w:val="正文文本首行缩进 字符"/>
    <w:next w:val="1032"/>
    <w:link w:val="1031"/>
    <w:rPr>
      <w:rFonts w:eastAsia="宋体"/>
      <w:sz w:val="21"/>
      <w:szCs w:val="24"/>
      <w:lang w:val="en-US" w:eastAsia="zh-CN" w:bidi="ar-SA"/>
    </w:rPr>
  </w:style>
  <w:style w:type="paragraph" w:styleId="1033">
    <w:name w:val="正文文本首行缩进 2"/>
    <w:basedOn w:val="993"/>
    <w:next w:val="1033"/>
    <w:link w:val="954"/>
    <w:pPr>
      <w:ind w:left="420"/>
      <w:spacing w:after="120" w:line="360" w:lineRule="auto"/>
    </w:pPr>
    <w:rPr>
      <w:rFonts w:ascii="Times New Roman" w:hAnsi="Times New Roman"/>
      <w:sz w:val="21"/>
      <w:szCs w:val="20"/>
    </w:rPr>
  </w:style>
  <w:style w:type="table" w:styleId="1034">
    <w:name w:val="网格型"/>
    <w:basedOn w:val="965"/>
    <w:next w:val="1034"/>
    <w:link w:val="954"/>
    <w:uiPriority w:val="99"/>
    <w:pPr>
      <w:jc w:val="both"/>
      <w:widowControl w:val="off"/>
    </w:pPr>
    <w:tblPr/>
  </w:style>
  <w:style w:type="table" w:styleId="1035">
    <w:name w:val="网格型 7"/>
    <w:basedOn w:val="965"/>
    <w:next w:val="1035"/>
    <w:link w:val="954"/>
    <w:pPr>
      <w:jc w:val="both"/>
      <w:spacing w:line="360" w:lineRule="auto"/>
      <w:widowControl w:val="off"/>
    </w:pPr>
    <w:rPr>
      <w:b/>
      <w:bCs/>
    </w:rPr>
    <w:tblPr/>
  </w:style>
  <w:style w:type="character" w:styleId="1036">
    <w:name w:val="要点"/>
    <w:next w:val="1036"/>
    <w:link w:val="954"/>
    <w:qFormat/>
    <w:rPr>
      <w:b/>
      <w:bCs/>
    </w:rPr>
  </w:style>
  <w:style w:type="character" w:styleId="1037">
    <w:name w:val="页码"/>
    <w:next w:val="1037"/>
    <w:link w:val="954"/>
  </w:style>
  <w:style w:type="character" w:styleId="1038">
    <w:name w:val="访问过的超链接"/>
    <w:next w:val="1038"/>
    <w:link w:val="954"/>
    <w:rPr>
      <w:rFonts w:hint="eastAsia" w:ascii="微软雅黑" w:hAnsi="微软雅黑" w:eastAsia="微软雅黑" w:cs="微软雅黑"/>
      <w:color w:val="000000"/>
      <w:u w:val="none"/>
    </w:rPr>
  </w:style>
  <w:style w:type="character" w:styleId="1039">
    <w:name w:val="强调"/>
    <w:next w:val="1039"/>
    <w:link w:val="954"/>
    <w:qFormat/>
    <w:rPr>
      <w:i/>
      <w:iCs/>
    </w:rPr>
  </w:style>
  <w:style w:type="character" w:styleId="1040">
    <w:name w:val="HTML 缩写"/>
    <w:next w:val="1040"/>
    <w:link w:val="954"/>
  </w:style>
  <w:style w:type="character" w:styleId="1041">
    <w:name w:val="超链接"/>
    <w:next w:val="1041"/>
    <w:link w:val="954"/>
    <w:rPr>
      <w:rFonts w:cs="Times New Roman"/>
      <w:color w:val="0000ff"/>
      <w:u w:val="single"/>
    </w:rPr>
  </w:style>
  <w:style w:type="character" w:styleId="1042">
    <w:name w:val="批注引用"/>
    <w:next w:val="1042"/>
    <w:link w:val="954"/>
    <w:rPr>
      <w:sz w:val="21"/>
      <w:szCs w:val="21"/>
    </w:rPr>
  </w:style>
  <w:style w:type="character" w:styleId="1043">
    <w:name w:val="style11"/>
    <w:next w:val="1043"/>
    <w:link w:val="954"/>
    <w:rPr>
      <w:rFonts w:ascii="Arial" w:hAnsi="Arial" w:cs="Arial"/>
    </w:rPr>
  </w:style>
  <w:style w:type="character" w:styleId="1044">
    <w:name w:val=" Char Char7"/>
    <w:next w:val="1044"/>
    <w:link w:val="954"/>
    <w:rPr>
      <w:rFonts w:ascii="宋体" w:hAnsi="宋体" w:eastAsia="宋体" w:cs="Times New Roman"/>
      <w:sz w:val="24"/>
      <w:szCs w:val="24"/>
    </w:rPr>
  </w:style>
  <w:style w:type="character" w:styleId="1045">
    <w:name w:val="def正文 Char"/>
    <w:next w:val="1045"/>
    <w:link w:val="1046"/>
    <w:rPr>
      <w:rFonts w:eastAsia="宋体"/>
      <w:b/>
      <w:sz w:val="21"/>
      <w:szCs w:val="21"/>
      <w:lang w:bidi="ar-SA"/>
    </w:rPr>
  </w:style>
  <w:style w:type="paragraph" w:styleId="1046">
    <w:name w:val="def正文"/>
    <w:basedOn w:val="991"/>
    <w:next w:val="1046"/>
    <w:link w:val="1045"/>
    <w:pPr>
      <w:jc w:val="center"/>
      <w:spacing w:before="50"/>
      <w:widowControl/>
    </w:pPr>
    <w:rPr>
      <w:b/>
      <w:sz w:val="21"/>
      <w:szCs w:val="21"/>
    </w:rPr>
  </w:style>
  <w:style w:type="character" w:styleId="1047">
    <w:name w:val="不明显强调"/>
    <w:next w:val="1047"/>
    <w:link w:val="954"/>
    <w:qFormat/>
    <w:rPr>
      <w:i/>
      <w:iCs/>
      <w:color w:val="808080"/>
    </w:rPr>
  </w:style>
  <w:style w:type="character" w:styleId="1048">
    <w:name w:val="l31"/>
    <w:next w:val="1048"/>
    <w:link w:val="954"/>
    <w:rPr>
      <w:color w:val="999999"/>
    </w:rPr>
  </w:style>
  <w:style w:type="character" w:styleId="1049">
    <w:name w:val="标题 3 Char"/>
    <w:next w:val="1049"/>
    <w:link w:val="954"/>
    <w:rPr>
      <w:rFonts w:eastAsia="宋体"/>
      <w:b/>
      <w:bCs/>
      <w:sz w:val="32"/>
      <w:szCs w:val="32"/>
      <w:lang w:val="en-US" w:eastAsia="zh-CN" w:bidi="ar-SA"/>
    </w:rPr>
  </w:style>
  <w:style w:type="character" w:styleId="1050">
    <w:name w:val="starting4"/>
    <w:next w:val="1050"/>
    <w:link w:val="954"/>
    <w:rPr>
      <w:color w:val="339900"/>
    </w:rPr>
  </w:style>
  <w:style w:type="character" w:styleId="1051">
    <w:name w:val="buvis1"/>
    <w:next w:val="1051"/>
    <w:link w:val="954"/>
    <w:rPr>
      <w:color w:val="cc0000"/>
    </w:rPr>
  </w:style>
  <w:style w:type="character" w:styleId="1052">
    <w:name w:val="word21"/>
    <w:next w:val="1052"/>
    <w:link w:val="954"/>
    <w:rPr>
      <w:rFonts w:ascii="宋体" w:hAnsi="宋体" w:eastAsia="宋体"/>
      <w:sz w:val="20"/>
    </w:rPr>
  </w:style>
  <w:style w:type="character" w:styleId="1053">
    <w:name w:val="red1"/>
    <w:next w:val="1053"/>
    <w:link w:val="954"/>
    <w:rPr>
      <w:rFonts w:ascii="Verdana" w:hAnsi="Verdana"/>
      <w:color w:val="cc0000"/>
      <w:sz w:val="18"/>
      <w:szCs w:val="18"/>
    </w:rPr>
  </w:style>
  <w:style w:type="character" w:styleId="1054">
    <w:name w:val="over1"/>
    <w:next w:val="1054"/>
    <w:link w:val="954"/>
    <w:rPr>
      <w:color w:val="b60000"/>
    </w:rPr>
  </w:style>
  <w:style w:type="character" w:styleId="1055">
    <w:name w:val="l2"/>
    <w:next w:val="1055"/>
    <w:link w:val="954"/>
    <w:rPr>
      <w:color w:val="999999"/>
    </w:rPr>
  </w:style>
  <w:style w:type="character" w:styleId="1056">
    <w:name w:val="starting1"/>
    <w:next w:val="1056"/>
    <w:link w:val="954"/>
    <w:rPr>
      <w:color w:val="b60000"/>
    </w:rPr>
  </w:style>
  <w:style w:type="character" w:styleId="1057">
    <w:name w:val="datetime"/>
    <w:next w:val="1057"/>
    <w:link w:val="954"/>
    <w:rPr>
      <w:rFonts w:ascii="Arial" w:hAnsi="Arial" w:cs="Arial"/>
      <w:color w:val="999999"/>
      <w:sz w:val="21"/>
      <w:szCs w:val="21"/>
    </w:rPr>
  </w:style>
  <w:style w:type="character" w:styleId="1058">
    <w:name w:val="px141"/>
    <w:next w:val="1058"/>
    <w:link w:val="954"/>
    <w:rPr>
      <w:rFonts w:ascii="ˎ̥" w:hAnsi="ˎ̥"/>
      <w:sz w:val="21"/>
      <w:szCs w:val="21"/>
    </w:rPr>
  </w:style>
  <w:style w:type="character" w:styleId="1059">
    <w:name w:val="grame"/>
    <w:next w:val="1059"/>
    <w:link w:val="954"/>
  </w:style>
  <w:style w:type="character" w:styleId="1060">
    <w:name w:val="明显引用 字符"/>
    <w:next w:val="1060"/>
    <w:link w:val="1061"/>
    <w:rPr>
      <w:rFonts w:eastAsia="宋体"/>
      <w:b/>
      <w:bCs/>
      <w:i/>
      <w:iCs/>
      <w:color w:val="4f81bd"/>
      <w:sz w:val="24"/>
      <w:szCs w:val="24"/>
      <w:lang w:bidi="ar-SA"/>
    </w:rPr>
  </w:style>
  <w:style w:type="paragraph" w:styleId="1061">
    <w:name w:val="明显引用"/>
    <w:basedOn w:val="954"/>
    <w:next w:val="954"/>
    <w:link w:val="1060"/>
    <w:qFormat/>
    <w:pPr>
      <w:ind w:left="936" w:right="936"/>
      <w:spacing w:before="200" w:after="280" w:line="360" w:lineRule="auto"/>
      <w:pBdr>
        <w:bottom w:val="single" w:color="4F81BD" w:sz="4" w:space="4"/>
      </w:pBdr>
    </w:pPr>
    <w:rPr>
      <w:rFonts w:ascii="Times New Roman" w:hAnsi="Times New Roman"/>
      <w:b/>
      <w:bCs/>
      <w:i/>
      <w:iCs/>
      <w:color w:val="4f81bd"/>
    </w:rPr>
  </w:style>
  <w:style w:type="character" w:styleId="1062">
    <w:name w:val="textb1"/>
    <w:next w:val="1062"/>
    <w:link w:val="954"/>
    <w:rPr>
      <w:b/>
      <w:bCs/>
      <w:color w:val="ff6600"/>
      <w:sz w:val="20"/>
      <w:szCs w:val="20"/>
    </w:rPr>
  </w:style>
  <w:style w:type="character" w:styleId="1063">
    <w:name w:val="tit21"/>
    <w:next w:val="1063"/>
    <w:link w:val="954"/>
    <w:rPr>
      <w:color w:val="b60000"/>
      <w:sz w:val="27"/>
      <w:szCs w:val="27"/>
      <w:shd w:val="clear" w:color="auto" w:fill="ffffff"/>
    </w:rPr>
  </w:style>
  <w:style w:type="character" w:styleId="1064">
    <w:name w:val="short_text"/>
    <w:next w:val="1064"/>
    <w:link w:val="954"/>
  </w:style>
  <w:style w:type="character" w:styleId="1065">
    <w:name w:val="明显参考"/>
    <w:next w:val="1065"/>
    <w:link w:val="954"/>
    <w:qFormat/>
    <w:rPr>
      <w:b/>
      <w:bCs/>
      <w:smallCaps/>
      <w:color w:val="c0504d"/>
      <w:spacing w:val="5"/>
      <w:u w:val="single"/>
    </w:rPr>
  </w:style>
  <w:style w:type="character" w:styleId="1066">
    <w:name w:val="l61"/>
    <w:next w:val="1066"/>
    <w:link w:val="954"/>
    <w:rPr>
      <w:color w:val="999999"/>
    </w:rPr>
  </w:style>
  <w:style w:type="character" w:styleId="1067">
    <w:name w:val="num71"/>
    <w:next w:val="1067"/>
    <w:link w:val="954"/>
  </w:style>
  <w:style w:type="character" w:styleId="1068">
    <w:name w:val="msg-box33"/>
    <w:next w:val="1068"/>
    <w:link w:val="954"/>
  </w:style>
  <w:style w:type="character" w:styleId="1069">
    <w:name w:val="num41"/>
    <w:next w:val="1069"/>
    <w:link w:val="954"/>
  </w:style>
  <w:style w:type="character" w:styleId="1070">
    <w:name w:val="标题 1.1 Char,h2 Char,H2 Char,Title2 Char,l2 Char,Underrubrik1 Char,prop2 Char,Chapter Title Char,sect 1.2 Char,DO NOT USE_h2 Char,chn Char,Chapter Number/Appendix Letter Char,2nd level Char,Titre2 Char,2 Char,Header 2 Char,Heading2 Char,No Number Char"/>
    <w:next w:val="1070"/>
    <w:link w:val="954"/>
    <w:rPr>
      <w:rFonts w:ascii="Arial" w:hAnsi="Arial" w:eastAsia="黑体"/>
      <w:b/>
      <w:bCs/>
      <w:sz w:val="32"/>
      <w:szCs w:val="32"/>
      <w:lang w:val="en-US" w:eastAsia="zh-CN" w:bidi="ar-SA"/>
    </w:rPr>
  </w:style>
  <w:style w:type="character" w:styleId="1071">
    <w:name w:val="标题 4 + 宋体 Char,小四 Char,行距: 1.5 倍行距 Char"/>
    <w:next w:val="1071"/>
    <w:link w:val="1072"/>
    <w:rPr>
      <w:rFonts w:ascii="宋体" w:hAnsi="宋体" w:eastAsia="宋体"/>
      <w:b/>
      <w:bCs/>
      <w:sz w:val="24"/>
      <w:szCs w:val="24"/>
      <w:lang w:bidi="ar-SA"/>
    </w:rPr>
  </w:style>
  <w:style w:type="paragraph" w:styleId="1072">
    <w:name w:val="标题 4 + 宋体"/>
    <w:basedOn w:val="958"/>
    <w:next w:val="1072"/>
    <w:link w:val="1071"/>
    <w:pPr>
      <w:numPr>
        <w:ilvl w:val="0"/>
        <w:numId w:val="0"/>
      </w:numPr>
      <w:spacing w:line="360" w:lineRule="auto"/>
      <w:tabs>
        <w:tab w:val="left" w:pos="1440" w:leader="none"/>
      </w:tabs>
    </w:pPr>
    <w:rPr>
      <w:rFonts w:ascii="宋体" w:hAnsi="宋体" w:eastAsia="宋体"/>
      <w:bCs/>
      <w:sz w:val="24"/>
      <w:szCs w:val="24"/>
    </w:rPr>
  </w:style>
  <w:style w:type="character" w:styleId="1073">
    <w:name w:val="tit18"/>
    <w:next w:val="1073"/>
    <w:link w:val="954"/>
    <w:rPr>
      <w:color w:val="b60000"/>
    </w:rPr>
  </w:style>
  <w:style w:type="character" w:styleId="1074">
    <w:name w:val="over2"/>
    <w:next w:val="1074"/>
    <w:link w:val="954"/>
  </w:style>
  <w:style w:type="character" w:styleId="1075">
    <w:name w:val="text-01"/>
    <w:next w:val="1075"/>
    <w:link w:val="954"/>
    <w:rPr>
      <w:rFonts w:ascii="Verdana" w:hAnsi="Verdana"/>
      <w:sz w:val="18"/>
      <w:szCs w:val="18"/>
    </w:rPr>
  </w:style>
  <w:style w:type="character" w:styleId="1076">
    <w:name w:val="省厅正文 Char"/>
    <w:next w:val="1076"/>
    <w:link w:val="1077"/>
    <w:rPr>
      <w:rFonts w:eastAsia="仿宋_GB2312"/>
      <w:sz w:val="32"/>
      <w:szCs w:val="32"/>
      <w:lang w:val="en-US" w:eastAsia="zh-CN" w:bidi="ar-SA"/>
    </w:rPr>
  </w:style>
  <w:style w:type="paragraph" w:styleId="1077">
    <w:name w:val="省厅正文"/>
    <w:basedOn w:val="954"/>
    <w:next w:val="1077"/>
    <w:link w:val="1076"/>
    <w:qFormat/>
    <w:pPr>
      <w:ind w:firstLine="640"/>
      <w:spacing w:line="336" w:lineRule="auto"/>
    </w:pPr>
    <w:rPr>
      <w:rFonts w:ascii="Times New Roman" w:hAnsi="Times New Roman" w:eastAsia="仿宋_GB2312"/>
      <w:sz w:val="32"/>
      <w:szCs w:val="32"/>
    </w:rPr>
  </w:style>
  <w:style w:type="character" w:styleId="1078">
    <w:name w:val="starting2"/>
    <w:next w:val="1078"/>
    <w:link w:val="954"/>
    <w:rPr>
      <w:color w:val="339900"/>
    </w:rPr>
  </w:style>
  <w:style w:type="character" w:styleId="1079">
    <w:name w:val="mesg-myd"/>
    <w:next w:val="1079"/>
    <w:link w:val="954"/>
    <w:rPr>
      <w:color w:val="ee0000"/>
    </w:rPr>
  </w:style>
  <w:style w:type="character" w:styleId="1080">
    <w:name w:val="apple-converted-space"/>
    <w:next w:val="1080"/>
    <w:link w:val="954"/>
  </w:style>
  <w:style w:type="character" w:styleId="1081">
    <w:name w:val="正文（缩进） Char2"/>
    <w:next w:val="1081"/>
    <w:link w:val="954"/>
    <w:rPr>
      <w:rFonts w:ascii="Times New Roman" w:hAnsi="Times New Roman" w:eastAsia="宋体" w:cs="Times New Roman"/>
      <w:sz w:val="24"/>
      <w:szCs w:val="24"/>
    </w:rPr>
  </w:style>
  <w:style w:type="character" w:styleId="1082">
    <w:name w:val="l11"/>
    <w:next w:val="1082"/>
    <w:link w:val="954"/>
    <w:rPr>
      <w:color w:val="999999"/>
    </w:rPr>
  </w:style>
  <w:style w:type="character" w:styleId="1083">
    <w:name w:val="name1"/>
    <w:next w:val="1083"/>
    <w:link w:val="954"/>
    <w:rPr>
      <w:color w:val="000000"/>
      <w:sz w:val="39"/>
      <w:szCs w:val="39"/>
    </w:rPr>
  </w:style>
  <w:style w:type="character" w:styleId="1084">
    <w:name w:val="nostart3"/>
    <w:next w:val="1084"/>
    <w:link w:val="954"/>
    <w:rPr>
      <w:color w:val="ff0000"/>
    </w:rPr>
  </w:style>
  <w:style w:type="character" w:styleId="1085">
    <w:name w:val="paragraph1 Char"/>
    <w:next w:val="1085"/>
    <w:link w:val="1086"/>
    <w:rPr>
      <w:rFonts w:eastAsia="宋体"/>
      <w:sz w:val="24"/>
      <w:szCs w:val="24"/>
      <w:lang w:bidi="ar-SA"/>
    </w:rPr>
  </w:style>
  <w:style w:type="paragraph" w:styleId="1086">
    <w:name w:val="paragraph1"/>
    <w:basedOn w:val="954"/>
    <w:next w:val="1086"/>
    <w:link w:val="1085"/>
    <w:pPr>
      <w:ind w:firstLine="480"/>
      <w:spacing w:after="93" w:line="360" w:lineRule="auto"/>
    </w:pPr>
    <w:rPr>
      <w:rFonts w:ascii="Times New Roman" w:hAnsi="Times New Roman"/>
    </w:rPr>
  </w:style>
  <w:style w:type="character" w:styleId="1087">
    <w:name w:val="p141"/>
    <w:next w:val="1087"/>
    <w:link w:val="954"/>
    <w:rPr>
      <w:color w:val="000000"/>
      <w:sz w:val="28"/>
      <w:szCs w:val="28"/>
      <w:u w:val="none"/>
    </w:rPr>
  </w:style>
  <w:style w:type="character" w:styleId="1088">
    <w:name w:val="px14"/>
    <w:next w:val="1088"/>
    <w:link w:val="954"/>
  </w:style>
  <w:style w:type="character" w:styleId="1089">
    <w:name w:val="Note description Char"/>
    <w:next w:val="1089"/>
    <w:link w:val="1090"/>
    <w:rPr>
      <w:rFonts w:eastAsia="楷体_GB2312"/>
      <w:sz w:val="21"/>
      <w:szCs w:val="18"/>
      <w:lang w:val="en-US" w:eastAsia="zh-CN" w:bidi="ar-SA"/>
    </w:rPr>
  </w:style>
  <w:style w:type="paragraph" w:styleId="1090">
    <w:name w:val="Note description"/>
    <w:basedOn w:val="954"/>
    <w:next w:val="969"/>
    <w:link w:val="1089"/>
    <w:pPr>
      <w:ind w:left="420"/>
      <w:spacing w:after="100"/>
      <w:widowControl/>
      <w:pBdr>
        <w:bottom w:val="single" w:color="000000" w:sz="8" w:space="1"/>
      </w:pBdr>
    </w:pPr>
    <w:rPr>
      <w:rFonts w:ascii="Times New Roman" w:hAnsi="Times New Roman" w:eastAsia="楷体_GB2312"/>
      <w:sz w:val="21"/>
      <w:szCs w:val="18"/>
    </w:rPr>
  </w:style>
  <w:style w:type="character" w:styleId="1091">
    <w:name w:val="p21"/>
    <w:next w:val="1091"/>
    <w:link w:val="954"/>
    <w:rPr>
      <w:rFonts w:ascii="ˎ̥" w:hAnsi="ˎ̥"/>
      <w:sz w:val="20"/>
      <w:szCs w:val="20"/>
    </w:rPr>
  </w:style>
  <w:style w:type="character" w:styleId="1092">
    <w:name w:val="font_blue1"/>
    <w:next w:val="1092"/>
    <w:link w:val="954"/>
    <w:rPr>
      <w:b/>
      <w:bCs/>
      <w:color w:val="0070bc"/>
      <w:sz w:val="24"/>
      <w:szCs w:val="24"/>
      <w:u w:val="none"/>
    </w:rPr>
  </w:style>
  <w:style w:type="character" w:styleId="1093">
    <w:name w:val="num81"/>
    <w:next w:val="1093"/>
    <w:link w:val="954"/>
  </w:style>
  <w:style w:type="character" w:styleId="1094">
    <w:name w:val="blue1"/>
    <w:next w:val="1094"/>
    <w:link w:val="954"/>
    <w:rPr>
      <w:rFonts w:hint="eastAsia" w:ascii="宋体" w:hAnsi="宋体" w:eastAsia="宋体"/>
      <w:b/>
      <w:bCs/>
      <w:color w:val="0099cc"/>
      <w:sz w:val="27"/>
      <w:szCs w:val="27"/>
    </w:rPr>
  </w:style>
  <w:style w:type="character" w:styleId="1095">
    <w:name w:val="starting3"/>
    <w:next w:val="1095"/>
    <w:link w:val="954"/>
  </w:style>
  <w:style w:type="character" w:styleId="1096">
    <w:name w:val="over"/>
    <w:next w:val="1096"/>
    <w:link w:val="954"/>
    <w:rPr>
      <w:color w:val="999999"/>
    </w:rPr>
  </w:style>
  <w:style w:type="character" w:styleId="1097">
    <w:name w:val="书籍标题"/>
    <w:next w:val="1097"/>
    <w:link w:val="954"/>
    <w:qFormat/>
    <w:rPr>
      <w:b/>
      <w:bCs/>
      <w:smallCaps/>
      <w:spacing w:val="5"/>
    </w:rPr>
  </w:style>
  <w:style w:type="character" w:styleId="1098">
    <w:name w:val="jg"/>
    <w:next w:val="1098"/>
    <w:link w:val="954"/>
  </w:style>
  <w:style w:type="character" w:styleId="1099">
    <w:name w:val="xl25"/>
    <w:next w:val="1099"/>
    <w:link w:val="954"/>
  </w:style>
  <w:style w:type="character" w:styleId="1100">
    <w:name w:val="普通文字 Char Char Char"/>
    <w:next w:val="1100"/>
    <w:link w:val="954"/>
    <w:rPr>
      <w:rFonts w:ascii="宋体" w:hAnsi="Courier New" w:eastAsia="楷体_GB2312"/>
      <w:sz w:val="28"/>
    </w:rPr>
  </w:style>
  <w:style w:type="character" w:styleId="1101">
    <w:name w:val="Default Char"/>
    <w:next w:val="1101"/>
    <w:link w:val="1102"/>
    <w:rPr>
      <w:color w:val="000000"/>
      <w:sz w:val="24"/>
      <w:szCs w:val="24"/>
      <w:lang w:val="en-US" w:eastAsia="zh-CN" w:bidi="ar-SA"/>
    </w:rPr>
  </w:style>
  <w:style w:type="paragraph" w:styleId="1102">
    <w:name w:val="Default"/>
    <w:next w:val="1102"/>
    <w:link w:val="1101"/>
    <w:pPr>
      <w:widowControl w:val="off"/>
    </w:pPr>
    <w:rPr>
      <w:color w:val="000000"/>
      <w:sz w:val="24"/>
      <w:szCs w:val="24"/>
      <w:lang w:val="en-US" w:eastAsia="zh-CN" w:bidi="ar-SA"/>
    </w:rPr>
  </w:style>
  <w:style w:type="character" w:styleId="1103">
    <w:name w:val="txt"/>
    <w:next w:val="1103"/>
    <w:link w:val="954"/>
    <w:rPr>
      <w:color w:val="c0c0c0"/>
    </w:rPr>
  </w:style>
  <w:style w:type="character" w:styleId="1104">
    <w:name w:val="word1"/>
    <w:next w:val="1104"/>
    <w:link w:val="954"/>
    <w:rPr>
      <w:rFonts w:ascii="ˎ̥" w:hAnsi="ˎ̥"/>
      <w:color w:val="000000"/>
      <w:sz w:val="18"/>
      <w:szCs w:val="18"/>
    </w:rPr>
  </w:style>
  <w:style w:type="character" w:styleId="1105">
    <w:name w:val="lh131"/>
    <w:next w:val="1105"/>
    <w:link w:val="954"/>
    <w:rPr>
      <w:rFonts w:eastAsia="宋体"/>
      <w:sz w:val="24"/>
      <w:szCs w:val="24"/>
      <w:lang w:val="en-US" w:eastAsia="zh-CN" w:bidi="ar-SA"/>
    </w:rPr>
  </w:style>
  <w:style w:type="character" w:styleId="1106">
    <w:name w:val="明显强调"/>
    <w:next w:val="1106"/>
    <w:link w:val="954"/>
    <w:qFormat/>
    <w:rPr>
      <w:b/>
      <w:bCs/>
      <w:i/>
      <w:iCs/>
      <w:color w:val="4f81bd"/>
    </w:rPr>
  </w:style>
  <w:style w:type="character" w:styleId="1107">
    <w:name w:val="text1"/>
    <w:next w:val="1107"/>
    <w:link w:val="954"/>
    <w:rPr>
      <w:rFonts w:ascii="ˎ̥" w:hAnsi="ˎ̥"/>
      <w:color w:val="000000"/>
      <w:sz w:val="18"/>
      <w:szCs w:val="18"/>
    </w:rPr>
  </w:style>
  <w:style w:type="character" w:styleId="1108">
    <w:name w:val="正文1 Char"/>
    <w:next w:val="1108"/>
    <w:link w:val="954"/>
    <w:rPr>
      <w:rFonts w:eastAsia="宋体"/>
      <w:bCs/>
      <w:color w:val="000000"/>
      <w:sz w:val="24"/>
      <w:szCs w:val="32"/>
      <w:lang w:val="en-US" w:eastAsia="zh-CN" w:bidi="ar-SA"/>
    </w:rPr>
  </w:style>
  <w:style w:type="character" w:styleId="1109">
    <w:name w:val="zs"/>
    <w:next w:val="1109"/>
    <w:link w:val="954"/>
    <w:rPr>
      <w:color w:val="8d744b"/>
      <w:sz w:val="18"/>
      <w:szCs w:val="18"/>
    </w:rPr>
  </w:style>
  <w:style w:type="character" w:styleId="1110">
    <w:name w:val="num61"/>
    <w:next w:val="1110"/>
    <w:link w:val="954"/>
  </w:style>
  <w:style w:type="character" w:styleId="1111">
    <w:name w:val="over3"/>
    <w:next w:val="1111"/>
    <w:link w:val="954"/>
    <w:rPr>
      <w:color w:val="b60000"/>
    </w:rPr>
  </w:style>
  <w:style w:type="character" w:styleId="1112">
    <w:name w:val="明显参考1,替换"/>
    <w:next w:val="1112"/>
    <w:link w:val="954"/>
    <w:rPr>
      <w:b/>
      <w:bCs/>
      <w:smallCaps/>
      <w:color w:val="da1f28"/>
      <w:spacing w:val="5"/>
      <w:u w:val="single"/>
    </w:rPr>
  </w:style>
  <w:style w:type="character" w:styleId="1113">
    <w:name w:val="表格"/>
    <w:next w:val="1113"/>
    <w:link w:val="954"/>
    <w:rPr>
      <w:rFonts w:ascii="宋体" w:hAnsi="宋体" w:eastAsia="宋体"/>
      <w:spacing w:val="0"/>
      <w:position w:val="0"/>
      <w:sz w:val="21"/>
      <w:szCs w:val="21"/>
    </w:rPr>
  </w:style>
  <w:style w:type="character" w:styleId="1114">
    <w:name w:val="tit17"/>
    <w:next w:val="1114"/>
    <w:link w:val="954"/>
    <w:rPr>
      <w:color w:val="b60000"/>
    </w:rPr>
  </w:style>
  <w:style w:type="character" w:styleId="1115">
    <w:name w:val="c2"/>
    <w:next w:val="1115"/>
    <w:link w:val="954"/>
  </w:style>
  <w:style w:type="character" w:styleId="1116">
    <w:name w:val="img2"/>
    <w:next w:val="1116"/>
    <w:link w:val="954"/>
  </w:style>
  <w:style w:type="character" w:styleId="1117">
    <w:name w:val="nr1"/>
    <w:next w:val="1117"/>
    <w:link w:val="954"/>
    <w:rPr>
      <w:color w:val="666666"/>
      <w:sz w:val="18"/>
      <w:szCs w:val="18"/>
      <w:u w:val="none"/>
    </w:rPr>
  </w:style>
  <w:style w:type="character" w:styleId="1118">
    <w:name w:val="Footer Char"/>
    <w:next w:val="1118"/>
    <w:link w:val="954"/>
    <w:rPr>
      <w:rFonts w:cs="Times New Roman"/>
      <w:sz w:val="18"/>
      <w:szCs w:val="18"/>
    </w:rPr>
  </w:style>
  <w:style w:type="character" w:styleId="1119">
    <w:name w:val="方案正文 Char"/>
    <w:next w:val="1119"/>
    <w:link w:val="1120"/>
    <w:rPr>
      <w:rFonts w:ascii="宋体" w:hAnsi="宋体" w:eastAsia="宋体" w:cs="Arial"/>
      <w:bCs/>
      <w:sz w:val="24"/>
      <w:lang w:val="en-US" w:eastAsia="en-US" w:bidi="en-US"/>
    </w:rPr>
  </w:style>
  <w:style w:type="paragraph" w:styleId="1120">
    <w:name w:val="方案正文"/>
    <w:basedOn w:val="954"/>
    <w:next w:val="1120"/>
    <w:link w:val="1119"/>
    <w:qFormat/>
    <w:pPr>
      <w:ind w:firstLine="480"/>
      <w:jc w:val="left"/>
      <w:spacing w:line="360" w:lineRule="auto"/>
      <w:widowControl/>
    </w:pPr>
    <w:rPr>
      <w:rFonts w:cs="Arial"/>
      <w:bCs/>
      <w:szCs w:val="20"/>
      <w:lang w:eastAsia="en-US" w:bidi="en-US"/>
    </w:rPr>
  </w:style>
  <w:style w:type="character" w:styleId="1121">
    <w:name w:val="tit19"/>
    <w:next w:val="1121"/>
    <w:link w:val="954"/>
    <w:rPr>
      <w:color w:val="ffffff"/>
    </w:rPr>
  </w:style>
  <w:style w:type="character" w:styleId="1122">
    <w:name w:val="job"/>
    <w:next w:val="1122"/>
    <w:link w:val="954"/>
  </w:style>
  <w:style w:type="character" w:styleId="1123">
    <w:name w:val="正文文本缩进 3 Char1"/>
    <w:next w:val="1123"/>
    <w:link w:val="954"/>
    <w:rPr>
      <w:sz w:val="16"/>
      <w:szCs w:val="16"/>
    </w:rPr>
  </w:style>
  <w:style w:type="character" w:styleId="1124">
    <w:name w:val="ft Char,ft1 Char,table Char,heading 9 Char,t Char,table left Char,tl Char,HF Char,figures Char,9 Char,Appendix Char,Code eg's Char,PIM 9 Char,h9 Char,Legal Level 1.1.1.1. Char,huh Char,不用9 Char,(use for tables) Char,标 Char,三级标题 Char,liste[3] Char"/>
    <w:next w:val="1124"/>
    <w:link w:val="954"/>
    <w:rPr>
      <w:rFonts w:ascii="Arial" w:hAnsi="Arial" w:eastAsia="黑体"/>
      <w:szCs w:val="21"/>
    </w:rPr>
  </w:style>
  <w:style w:type="character" w:styleId="1125">
    <w:name w:val="nostart2"/>
    <w:next w:val="1125"/>
    <w:link w:val="954"/>
  </w:style>
  <w:style w:type="character" w:styleId="1126">
    <w:name w:val="zw"/>
    <w:next w:val="1126"/>
    <w:link w:val="954"/>
    <w:rPr>
      <w:color w:val="bd1e22"/>
      <w:sz w:val="22"/>
      <w:szCs w:val="22"/>
    </w:rPr>
  </w:style>
  <w:style w:type="character" w:styleId="1127">
    <w:name w:val="H5 Char Char"/>
    <w:next w:val="1127"/>
    <w:link w:val="954"/>
    <w:rPr>
      <w:rFonts w:ascii="宋体" w:hAnsi="宋体" w:eastAsia="黑体" w:cs="宋体"/>
      <w:b/>
      <w:sz w:val="28"/>
      <w:szCs w:val="28"/>
    </w:rPr>
  </w:style>
  <w:style w:type="character" w:styleId="1128">
    <w:name w:val="引用 字符"/>
    <w:next w:val="1128"/>
    <w:link w:val="1129"/>
    <w:rPr>
      <w:rFonts w:eastAsia="宋体"/>
      <w:i/>
      <w:iCs/>
      <w:color w:val="000000"/>
      <w:sz w:val="24"/>
      <w:szCs w:val="24"/>
      <w:lang w:bidi="ar-SA"/>
    </w:rPr>
  </w:style>
  <w:style w:type="paragraph" w:styleId="1129">
    <w:name w:val="引用"/>
    <w:basedOn w:val="954"/>
    <w:next w:val="954"/>
    <w:link w:val="1128"/>
    <w:qFormat/>
    <w:pPr>
      <w:spacing w:line="360" w:lineRule="auto"/>
    </w:pPr>
    <w:rPr>
      <w:rFonts w:ascii="Times New Roman" w:hAnsi="Times New Roman"/>
      <w:i/>
      <w:iCs/>
      <w:color w:val="000000"/>
    </w:rPr>
  </w:style>
  <w:style w:type="character" w:styleId="1130">
    <w:name w:val="Footer-Even Char,Alt+J Char,footer odd Char,fo Char,odd Char,footer Final Char,Footer1 Char Char"/>
    <w:next w:val="1130"/>
    <w:link w:val="954"/>
    <w:rPr>
      <w:rFonts w:ascii="Times New Roman" w:hAnsi="Times New Roman" w:eastAsia="宋体" w:cs="Times New Roman"/>
      <w:sz w:val="18"/>
      <w:szCs w:val="18"/>
    </w:rPr>
  </w:style>
  <w:style w:type="character" w:styleId="1131">
    <w:name w:val="Header Char"/>
    <w:next w:val="1131"/>
    <w:link w:val="954"/>
    <w:rPr>
      <w:rFonts w:cs="Times New Roman"/>
      <w:sz w:val="18"/>
      <w:szCs w:val="18"/>
    </w:rPr>
  </w:style>
  <w:style w:type="character" w:styleId="1132">
    <w:name w:val="red"/>
    <w:next w:val="1132"/>
    <w:link w:val="954"/>
    <w:rPr>
      <w:rFonts w:ascii="Arial" w:hAnsi="Arial" w:cs="Arial"/>
      <w:color w:val="e50000"/>
    </w:rPr>
  </w:style>
  <w:style w:type="character" w:styleId="1133">
    <w:name w:val="c1"/>
    <w:next w:val="1133"/>
    <w:link w:val="954"/>
  </w:style>
  <w:style w:type="character" w:styleId="1134">
    <w:name w:val="List Paragraph Char"/>
    <w:next w:val="1134"/>
    <w:link w:val="1135"/>
    <w:rPr>
      <w:rFonts w:ascii="宋体" w:hAnsi="宋体" w:eastAsia="宋体"/>
      <w:sz w:val="24"/>
      <w:lang w:bidi="ar-SA"/>
    </w:rPr>
  </w:style>
  <w:style w:type="paragraph" w:styleId="1135">
    <w:name w:val="List Paragraph1"/>
    <w:basedOn w:val="954"/>
    <w:next w:val="1135"/>
    <w:link w:val="1134"/>
    <w:qFormat/>
    <w:pPr>
      <w:ind w:firstLine="420"/>
    </w:pPr>
    <w:rPr>
      <w:szCs w:val="20"/>
    </w:rPr>
  </w:style>
  <w:style w:type="character" w:styleId="1136">
    <w:name w:val="标题 3 Char Char"/>
    <w:next w:val="1136"/>
    <w:link w:val="954"/>
    <w:rPr>
      <w:rFonts w:eastAsia="宋体"/>
      <w:sz w:val="30"/>
    </w:rPr>
  </w:style>
  <w:style w:type="character" w:styleId="1137">
    <w:name w:val="正文（缩进） Char"/>
    <w:next w:val="1137"/>
    <w:link w:val="1138"/>
    <w:rPr>
      <w:rFonts w:eastAsia="宋体"/>
      <w:sz w:val="24"/>
      <w:szCs w:val="24"/>
      <w:lang w:val="en-US" w:eastAsia="zh-CN" w:bidi="ar-SA"/>
    </w:rPr>
  </w:style>
  <w:style w:type="paragraph" w:styleId="1138">
    <w:name w:val="正文（缩进）"/>
    <w:basedOn w:val="954"/>
    <w:next w:val="1138"/>
    <w:link w:val="1137"/>
    <w:pPr>
      <w:ind w:firstLine="480"/>
      <w:spacing w:before="156" w:after="156" w:line="360" w:lineRule="auto"/>
    </w:pPr>
    <w:rPr>
      <w:rFonts w:ascii="Times New Roman" w:hAnsi="Times New Roman"/>
    </w:rPr>
  </w:style>
  <w:style w:type="character" w:styleId="1139">
    <w:name w:val="常规 Char"/>
    <w:next w:val="1139"/>
    <w:link w:val="1140"/>
    <w:rPr>
      <w:rFonts w:eastAsia="宋体"/>
      <w:sz w:val="21"/>
      <w:szCs w:val="21"/>
      <w:lang w:val="en-US" w:eastAsia="zh-CN" w:bidi="ar-SA"/>
    </w:rPr>
  </w:style>
  <w:style w:type="paragraph" w:styleId="1140">
    <w:name w:val="常规"/>
    <w:basedOn w:val="954"/>
    <w:next w:val="1140"/>
    <w:link w:val="1139"/>
    <w:pPr>
      <w:ind w:left="1134"/>
      <w:spacing w:before="100" w:after="100"/>
    </w:pPr>
    <w:rPr>
      <w:rFonts w:ascii="Times New Roman" w:hAnsi="Times New Roman"/>
      <w:sz w:val="21"/>
      <w:szCs w:val="21"/>
    </w:rPr>
  </w:style>
  <w:style w:type="character" w:styleId="1141">
    <w:name w:val="Item step Char"/>
    <w:next w:val="1141"/>
    <w:link w:val="1142"/>
    <w:rPr>
      <w:sz w:val="21"/>
      <w:szCs w:val="21"/>
    </w:rPr>
  </w:style>
  <w:style w:type="paragraph" w:styleId="1142">
    <w:name w:val="Item step"/>
    <w:basedOn w:val="954"/>
    <w:next w:val="1142"/>
    <w:link w:val="1141"/>
    <w:pPr>
      <w:ind w:left="737" w:hanging="317"/>
      <w:tabs>
        <w:tab w:val="left" w:pos="737" w:leader="none"/>
      </w:tabs>
    </w:pPr>
    <w:rPr>
      <w:rFonts w:ascii="Times New Roman" w:hAnsi="Times New Roman"/>
      <w:sz w:val="21"/>
      <w:szCs w:val="21"/>
    </w:rPr>
  </w:style>
  <w:style w:type="character" w:styleId="1143">
    <w:name w:val="正文缩进 Char Char"/>
    <w:next w:val="1143"/>
    <w:link w:val="954"/>
    <w:rPr>
      <w:rFonts w:eastAsia="宋体"/>
      <w:sz w:val="21"/>
      <w:szCs w:val="24"/>
      <w:lang w:val="en-US" w:eastAsia="zh-CN" w:bidi="ar-SA"/>
    </w:rPr>
  </w:style>
  <w:style w:type="character" w:styleId="1144">
    <w:name w:val="msg-box30"/>
    <w:next w:val="1144"/>
    <w:link w:val="954"/>
  </w:style>
  <w:style w:type="character" w:styleId="1145">
    <w:name w:val="style791"/>
    <w:next w:val="1145"/>
    <w:link w:val="954"/>
  </w:style>
  <w:style w:type="character" w:styleId="1146">
    <w:name w:val="unit"/>
    <w:next w:val="1146"/>
    <w:link w:val="954"/>
    <w:rPr>
      <w:color w:val="999999"/>
    </w:rPr>
  </w:style>
  <w:style w:type="character" w:styleId="1147">
    <w:name w:val="img_title11"/>
    <w:next w:val="1147"/>
    <w:link w:val="954"/>
    <w:rPr>
      <w:vanish/>
    </w:rPr>
  </w:style>
  <w:style w:type="character" w:styleId="1148">
    <w:name w:val="普通文字 Char1,普通文字 Char Char,纯文本 Char1 Char Char Char,纯文本 Char Char Char Char Char,纯文本 Char Char1 Char,纯文本 Char1 Char Char1,纯文本 Char Char Char Char Char1"/>
    <w:next w:val="1148"/>
    <w:link w:val="954"/>
    <w:rPr>
      <w:rFonts w:ascii="宋体" w:hAnsi="Courier New" w:eastAsia="宋体" w:cs="Times New Roman"/>
      <w:sz w:val="18"/>
      <w:szCs w:val="20"/>
    </w:rPr>
  </w:style>
  <w:style w:type="character" w:styleId="1149">
    <w:name w:val="large1"/>
    <w:next w:val="1149"/>
    <w:link w:val="954"/>
    <w:rPr>
      <w:rFonts w:hint="eastAsia" w:ascii="宋体" w:hAnsi="宋体" w:eastAsia="宋体"/>
      <w:sz w:val="22"/>
      <w:szCs w:val="22"/>
    </w:rPr>
  </w:style>
  <w:style w:type="character" w:styleId="1150">
    <w:name w:val="buvis"/>
    <w:next w:val="1150"/>
    <w:link w:val="954"/>
    <w:rPr>
      <w:color w:val="999999"/>
    </w:rPr>
  </w:style>
  <w:style w:type="character" w:styleId="1151">
    <w:name w:val="不明显参考"/>
    <w:next w:val="1151"/>
    <w:link w:val="954"/>
    <w:qFormat/>
    <w:rPr>
      <w:smallCaps/>
      <w:color w:val="c0504d"/>
      <w:u w:val="single"/>
    </w:rPr>
  </w:style>
  <w:style w:type="character" w:styleId="1152">
    <w:name w:val="p05"/>
    <w:next w:val="1152"/>
    <w:link w:val="954"/>
  </w:style>
  <w:style w:type="character" w:styleId="1153">
    <w:name w:val="style1 style3"/>
    <w:next w:val="1153"/>
    <w:link w:val="954"/>
  </w:style>
  <w:style w:type="character" w:styleId="1154">
    <w:name w:val="starting"/>
    <w:next w:val="1154"/>
    <w:link w:val="954"/>
  </w:style>
  <w:style w:type="character" w:styleId="1155">
    <w:name w:val="num27"/>
    <w:next w:val="1155"/>
    <w:link w:val="954"/>
  </w:style>
  <w:style w:type="character" w:styleId="1156">
    <w:name w:val="正文首行缩进 Char"/>
    <w:next w:val="1156"/>
    <w:link w:val="954"/>
    <w:semiHidden/>
    <w:rPr>
      <w:rFonts w:ascii="Times New Roman" w:hAnsi="Times New Roman" w:eastAsia="宋体" w:cs="Times New Roman"/>
      <w:sz w:val="24"/>
      <w:szCs w:val="24"/>
    </w:rPr>
  </w:style>
  <w:style w:type="character" w:styleId="1157">
    <w:name w:val="tit22"/>
    <w:next w:val="1157"/>
    <w:link w:val="954"/>
    <w:rPr>
      <w:color w:val="04a06c"/>
    </w:rPr>
  </w:style>
  <w:style w:type="character" w:styleId="1158">
    <w:name w:val="span_sort1"/>
    <w:next w:val="1158"/>
    <w:link w:val="954"/>
    <w:rPr>
      <w:color w:val="ffffff"/>
    </w:rPr>
  </w:style>
  <w:style w:type="character" w:styleId="1159">
    <w:name w:val="body-cn-black2"/>
    <w:next w:val="1159"/>
    <w:link w:val="954"/>
    <w:rPr>
      <w:color w:val="000000"/>
      <w:sz w:val="18"/>
      <w:szCs w:val="18"/>
    </w:rPr>
  </w:style>
  <w:style w:type="character" w:styleId="1160">
    <w:name w:val="c3"/>
    <w:next w:val="1160"/>
    <w:link w:val="954"/>
  </w:style>
  <w:style w:type="character" w:styleId="1161">
    <w:name w:val="txt1"/>
    <w:next w:val="1161"/>
    <w:link w:val="954"/>
  </w:style>
  <w:style w:type="character" w:styleId="1162">
    <w:name w:val="l7"/>
    <w:next w:val="1162"/>
    <w:link w:val="954"/>
    <w:rPr>
      <w:color w:val="999999"/>
    </w:rPr>
  </w:style>
  <w:style w:type="character" w:styleId="1163">
    <w:name w:val="themebody1"/>
    <w:next w:val="1163"/>
    <w:link w:val="954"/>
    <w:rPr>
      <w:color w:val="ffffff"/>
    </w:rPr>
  </w:style>
  <w:style w:type="character" w:styleId="1164">
    <w:name w:val="Item List Char"/>
    <w:next w:val="1164"/>
    <w:link w:val="1165"/>
    <w:rPr>
      <w:sz w:val="21"/>
      <w:szCs w:val="24"/>
    </w:rPr>
  </w:style>
  <w:style w:type="paragraph" w:styleId="1165">
    <w:name w:val="Item List"/>
    <w:basedOn w:val="954"/>
    <w:next w:val="1165"/>
    <w:link w:val="1164"/>
    <w:pPr>
      <w:numPr>
        <w:ilvl w:val="0"/>
        <w:numId w:val="5"/>
      </w:numPr>
      <w:ind w:left="1701" w:hanging="567"/>
      <w:jc w:val="left"/>
      <w:spacing w:after="50"/>
      <w:tabs>
        <w:tab w:val="left" w:pos="420" w:leader="none"/>
      </w:tabs>
    </w:pPr>
    <w:rPr>
      <w:rFonts w:ascii="Times New Roman" w:hAnsi="Times New Roman"/>
      <w:sz w:val="21"/>
    </w:rPr>
  </w:style>
  <w:style w:type="character" w:styleId="1166">
    <w:name w:val="span_param1"/>
    <w:next w:val="1166"/>
    <w:link w:val="954"/>
  </w:style>
  <w:style w:type="character" w:styleId="1167">
    <w:name w:val="num31"/>
    <w:next w:val="1167"/>
    <w:link w:val="954"/>
  </w:style>
  <w:style w:type="character" w:styleId="1168">
    <w:name w:val="name2"/>
    <w:next w:val="1168"/>
    <w:link w:val="954"/>
    <w:rPr>
      <w:color w:val="695435"/>
      <w:sz w:val="24"/>
      <w:szCs w:val="24"/>
    </w:rPr>
  </w:style>
  <w:style w:type="character" w:styleId="1169">
    <w:name w:val="l5"/>
    <w:next w:val="1169"/>
    <w:link w:val="954"/>
    <w:rPr>
      <w:color w:val="999999"/>
    </w:rPr>
  </w:style>
  <w:style w:type="character" w:styleId="1170">
    <w:name w:val="编写说明 Char"/>
    <w:next w:val="1170"/>
    <w:link w:val="1171"/>
    <w:rPr>
      <w:rFonts w:eastAsia="宋体"/>
      <w:i/>
      <w:color w:val="0000ff"/>
      <w:sz w:val="21"/>
      <w:szCs w:val="24"/>
      <w:lang w:val="en-US" w:eastAsia="zh-CN" w:bidi="ar-SA"/>
    </w:rPr>
  </w:style>
  <w:style w:type="paragraph" w:styleId="1171">
    <w:name w:val="编写说明"/>
    <w:basedOn w:val="954"/>
    <w:next w:val="969"/>
    <w:link w:val="1170"/>
    <w:pPr>
      <w:widowControl/>
    </w:pPr>
    <w:rPr>
      <w:rFonts w:ascii="Times New Roman" w:hAnsi="Times New Roman"/>
      <w:i/>
      <w:color w:val="0000ff"/>
      <w:sz w:val="21"/>
    </w:rPr>
  </w:style>
  <w:style w:type="character" w:styleId="1172">
    <w:name w:val="tit20"/>
    <w:next w:val="1172"/>
    <w:link w:val="954"/>
    <w:rPr>
      <w:color w:val="b60000"/>
    </w:rPr>
  </w:style>
  <w:style w:type="character" w:styleId="1173">
    <w:name w:val="列表段落 字符"/>
    <w:next w:val="1173"/>
    <w:link w:val="1174"/>
    <w:rPr>
      <w:rFonts w:ascii="Calibri" w:hAnsi="Calibri" w:eastAsia="宋体"/>
      <w:sz w:val="24"/>
      <w:szCs w:val="22"/>
      <w:lang w:val="en-US" w:eastAsia="zh-CN" w:bidi="ar-SA"/>
    </w:rPr>
  </w:style>
  <w:style w:type="paragraph" w:styleId="1174">
    <w:name w:val="列表段落"/>
    <w:basedOn w:val="954"/>
    <w:next w:val="1174"/>
    <w:link w:val="1173"/>
    <w:uiPriority w:val="34"/>
    <w:qFormat/>
    <w:pPr>
      <w:ind w:firstLine="420"/>
      <w:spacing w:line="360" w:lineRule="auto"/>
    </w:pPr>
    <w:rPr>
      <w:rFonts w:ascii="Calibri" w:hAnsi="Calibri"/>
      <w:szCs w:val="22"/>
    </w:rPr>
  </w:style>
  <w:style w:type="character" w:styleId="1175">
    <w:name w:val="name"/>
    <w:next w:val="1175"/>
    <w:link w:val="954"/>
    <w:rPr>
      <w:color w:val="444444"/>
      <w:sz w:val="21"/>
      <w:szCs w:val="21"/>
    </w:rPr>
  </w:style>
  <w:style w:type="character" w:styleId="1176">
    <w:name w:val="msg-box32"/>
    <w:next w:val="1176"/>
    <w:link w:val="954"/>
  </w:style>
  <w:style w:type="character" w:styleId="1177">
    <w:name w:val="lh151"/>
    <w:next w:val="1177"/>
    <w:link w:val="954"/>
    <w:rPr>
      <w:color w:val="666666"/>
    </w:rPr>
  </w:style>
  <w:style w:type="character" w:styleId="1178">
    <w:name w:val="样式 宋体 小四"/>
    <w:next w:val="1178"/>
    <w:link w:val="954"/>
    <w:rPr>
      <w:rFonts w:ascii="宋体" w:hAnsi="宋体"/>
      <w:sz w:val="24"/>
    </w:rPr>
  </w:style>
  <w:style w:type="character" w:styleId="1179">
    <w:name w:val="PI Char Char"/>
    <w:next w:val="1179"/>
    <w:link w:val="954"/>
    <w:rPr>
      <w:rFonts w:ascii="Times New Roman" w:hAnsi="Times New Roman" w:eastAsia="宋体" w:cs="Times New Roman"/>
      <w:szCs w:val="24"/>
    </w:rPr>
  </w:style>
  <w:style w:type="character" w:styleId="1180">
    <w:name w:val="l4"/>
    <w:next w:val="1180"/>
    <w:link w:val="954"/>
    <w:rPr>
      <w:color w:val="999999"/>
    </w:rPr>
  </w:style>
  <w:style w:type="character" w:styleId="1181">
    <w:name w:val="tit16"/>
    <w:next w:val="1181"/>
    <w:link w:val="954"/>
    <w:rPr>
      <w:b/>
      <w:color w:val="b60000"/>
    </w:rPr>
  </w:style>
  <w:style w:type="character" w:styleId="1182">
    <w:name w:val="H1 Char,H11 Char,H12 Char,H111 Char,H13 Char,H112 Char,PIM 1 Char,Section Head Char,h1 Char,l1 Char,1 Char,Heading 0 Char,章节 Char,第一层 Char,论文题目 Char,1st level Char,H14 Char,H15 Char,H16 Char,H17 Char,标书1 Char,Header1 Char,软件规范 Char,Title1 Char,Part Char"/>
    <w:next w:val="1182"/>
    <w:link w:val="954"/>
    <w:rPr>
      <w:b/>
      <w:bCs/>
      <w:sz w:val="44"/>
      <w:szCs w:val="44"/>
    </w:rPr>
  </w:style>
  <w:style w:type="character" w:styleId="1183">
    <w:name w:val="msg-box31"/>
    <w:next w:val="1183"/>
    <w:link w:val="954"/>
  </w:style>
  <w:style w:type="character" w:styleId="1184">
    <w:name w:val="tt Char,tt1 Char,Figure Char,heading 8 Char,No num/gap Char,h8 Char,ctp Char,Caption text (page-wide) Char,Center Bold Char,ITT t8 Char,PA Appendix Minor Char,Center Bold1 Char,Center Bold2 Char,Center Bold3 Char,Center Bold4 Char,Center Bold5 Char"/>
    <w:next w:val="1184"/>
    <w:link w:val="954"/>
    <w:rPr>
      <w:rFonts w:ascii="Arial" w:hAnsi="Arial" w:eastAsia="黑体"/>
      <w:sz w:val="24"/>
      <w:szCs w:val="24"/>
    </w:rPr>
  </w:style>
  <w:style w:type="character" w:styleId="1185">
    <w:name w:val="img_title10"/>
    <w:next w:val="1185"/>
    <w:link w:val="954"/>
    <w:rPr>
      <w:vanish/>
    </w:rPr>
  </w:style>
  <w:style w:type="character" w:styleId="1186">
    <w:name w:val="num51"/>
    <w:next w:val="1186"/>
    <w:link w:val="954"/>
  </w:style>
  <w:style w:type="character" w:styleId="1187">
    <w:name w:val="规范正文 Char"/>
    <w:next w:val="1187"/>
    <w:link w:val="1188"/>
    <w:rPr>
      <w:rFonts w:eastAsia="宋体"/>
      <w:sz w:val="24"/>
      <w:lang w:val="en-US" w:eastAsia="zh-CN" w:bidi="ar-SA"/>
    </w:rPr>
  </w:style>
  <w:style w:type="paragraph" w:styleId="1188">
    <w:name w:val="规范正文"/>
    <w:basedOn w:val="954"/>
    <w:next w:val="1188"/>
    <w:link w:val="1187"/>
    <w:pPr>
      <w:ind w:left="480"/>
      <w:spacing w:line="360" w:lineRule="auto"/>
    </w:pPr>
    <w:rPr>
      <w:rFonts w:ascii="Times New Roman" w:hAnsi="Times New Roman"/>
      <w:szCs w:val="20"/>
    </w:rPr>
  </w:style>
  <w:style w:type="character" w:styleId="1189">
    <w:name w:val="Plain Text Char Char"/>
    <w:next w:val="1189"/>
    <w:link w:val="1190"/>
    <w:rPr>
      <w:rFonts w:ascii="宋体" w:hAnsi="Courier New" w:eastAsia="楷体_GB2312"/>
      <w:sz w:val="26"/>
      <w:lang w:val="en-US" w:eastAsia="zh-CN" w:bidi="ar-SA"/>
    </w:rPr>
  </w:style>
  <w:style w:type="paragraph" w:styleId="1190">
    <w:name w:val="纯文本1"/>
    <w:basedOn w:val="954"/>
    <w:next w:val="1190"/>
    <w:link w:val="1189"/>
    <w:qFormat/>
    <w:rPr>
      <w:rFonts w:hAnsi="Courier New" w:eastAsia="楷体_GB2312"/>
      <w:sz w:val="26"/>
      <w:szCs w:val="20"/>
    </w:rPr>
  </w:style>
  <w:style w:type="character" w:styleId="1191">
    <w:name w:val="标题 3 Char Char Char Char Char Char Char"/>
    <w:next w:val="1191"/>
    <w:link w:val="954"/>
    <w:rPr>
      <w:rFonts w:eastAsia="宋体"/>
      <w:b/>
      <w:bCs/>
      <w:sz w:val="32"/>
      <w:szCs w:val="32"/>
      <w:lang w:val="en-US" w:eastAsia="zh-CN" w:bidi="ar-SA"/>
    </w:rPr>
  </w:style>
  <w:style w:type="character" w:styleId="1192">
    <w:name w:val="p121"/>
    <w:next w:val="1192"/>
    <w:link w:val="954"/>
    <w:uiPriority w:val="99"/>
    <w:rPr>
      <w:rFonts w:cs="Times New Roman"/>
      <w:sz w:val="24"/>
      <w:szCs w:val="24"/>
      <w:u w:val="none"/>
    </w:rPr>
  </w:style>
  <w:style w:type="character" w:styleId="1193">
    <w:name w:val="bsharetext"/>
    <w:next w:val="1193"/>
    <w:link w:val="954"/>
  </w:style>
  <w:style w:type="character" w:styleId="1194">
    <w:name w:val="并列 Char Char"/>
    <w:next w:val="1194"/>
    <w:link w:val="954"/>
    <w:rPr>
      <w:rFonts w:eastAsia="宋体"/>
      <w:sz w:val="24"/>
      <w:szCs w:val="24"/>
      <w:lang w:val="en-US" w:eastAsia="zh-CN" w:bidi="ar-SA"/>
    </w:rPr>
  </w:style>
  <w:style w:type="character" w:styleId="1195">
    <w:name w:val=" Char Char14"/>
    <w:next w:val="1195"/>
    <w:link w:val="954"/>
    <w:semiHidden/>
    <w:rPr>
      <w:rFonts w:ascii="Times New Roman" w:hAnsi="Times New Roman" w:eastAsia="宋体" w:cs="Times New Roman"/>
      <w:szCs w:val="24"/>
    </w:rPr>
  </w:style>
  <w:style w:type="character" w:styleId="1196">
    <w:name w:val="Item list Char"/>
    <w:next w:val="1196"/>
    <w:link w:val="1197"/>
    <w:rPr>
      <w:sz w:val="21"/>
      <w:szCs w:val="18"/>
    </w:rPr>
  </w:style>
  <w:style w:type="paragraph" w:styleId="1197">
    <w:name w:val="Item list"/>
    <w:basedOn w:val="954"/>
    <w:next w:val="1197"/>
    <w:link w:val="1196"/>
    <w:pPr>
      <w:numPr>
        <w:ilvl w:val="0"/>
        <w:numId w:val="6"/>
      </w:numPr>
      <w:widowControl/>
      <w:tabs>
        <w:tab w:val="left" w:pos="720" w:leader="none"/>
      </w:tabs>
    </w:pPr>
    <w:rPr>
      <w:rFonts w:ascii="Times New Roman" w:hAnsi="Times New Roman"/>
      <w:sz w:val="21"/>
      <w:szCs w:val="18"/>
    </w:rPr>
  </w:style>
  <w:style w:type="character" w:styleId="1198">
    <w:name w:val="FtrF Char,Footer-Even Char Char"/>
    <w:next w:val="1198"/>
    <w:link w:val="954"/>
    <w:rPr>
      <w:sz w:val="18"/>
      <w:szCs w:val="18"/>
    </w:rPr>
  </w:style>
  <w:style w:type="character" w:styleId="1199">
    <w:name w:val="h7 Char,st Char,SDL title Char,NICMAN Heading 7 Char,PIM 7 Char,letter list Char,Para no numbering Char,cnc Char,Caption number (column-wide) Char,ITT t7 Char,PA Appendix Major Char,lettered list Char,letter list1 Char,lettered list1 Char,正文七级标题 Char"/>
    <w:next w:val="1199"/>
    <w:link w:val="954"/>
    <w:rPr>
      <w:rFonts w:ascii="Times New Roman" w:hAnsi="Times New Roman"/>
      <w:b/>
      <w:bCs/>
      <w:sz w:val="24"/>
      <w:szCs w:val="24"/>
    </w:rPr>
  </w:style>
  <w:style w:type="character" w:styleId="1200">
    <w:name w:val="xl26"/>
    <w:next w:val="1200"/>
    <w:link w:val="954"/>
  </w:style>
  <w:style w:type="character" w:styleId="1201">
    <w:name w:val="正文（首行缩进两字） Char,表正文 Char1,段1 Char,特点 Char,ALT+Z Char,四号 Char,水上软件 Char,标题4 Char1,Normal Indent Char Char,表正文 Char Char,正文非缩进 Char Char Char,标题4 Char Char,正文不缩进 Char,±íÕýÎÄ Char,ÕýÎÄ·ÇËõ½ø Char,±í Char,缩进 Char,正文编号 Char,Body Text(ch) Char,特点 Char1,标题4 Ch"/>
    <w:next w:val="1201"/>
    <w:link w:val="954"/>
    <w:rPr>
      <w:rFonts w:eastAsia="宋体"/>
      <w:sz w:val="21"/>
      <w:szCs w:val="24"/>
      <w:lang w:val="en-US" w:eastAsia="zh-CN" w:bidi="ar-SA"/>
    </w:rPr>
  </w:style>
  <w:style w:type="character" w:styleId="1202">
    <w:name w:val="font61"/>
    <w:next w:val="1202"/>
    <w:link w:val="954"/>
    <w:qFormat/>
    <w:rPr>
      <w:rFonts w:hint="eastAsia" w:ascii="宋体" w:hAnsi="宋体" w:eastAsia="宋体" w:cs="宋体"/>
      <w:color w:val="000000"/>
      <w:sz w:val="24"/>
      <w:szCs w:val="24"/>
      <w:u w:val="none"/>
    </w:rPr>
  </w:style>
  <w:style w:type="character" w:styleId="1203">
    <w:name w:val="a41"/>
    <w:next w:val="1203"/>
    <w:link w:val="954"/>
    <w:rPr>
      <w:color w:val="666666"/>
      <w:sz w:val="20"/>
      <w:szCs w:val="20"/>
    </w:rPr>
  </w:style>
  <w:style w:type="character" w:styleId="1204">
    <w:name w:val="HTML Preformatted Char"/>
    <w:next w:val="1204"/>
    <w:link w:val="954"/>
    <w:semiHidden/>
    <w:rPr>
      <w:rFonts w:ascii="黑体" w:hAnsi="Courier New" w:eastAsia="黑体" w:cs="Courier New"/>
      <w:sz w:val="20"/>
      <w:szCs w:val="20"/>
    </w:rPr>
  </w:style>
  <w:style w:type="character" w:styleId="1205">
    <w:name w:val="sub-title1"/>
    <w:next w:val="1205"/>
    <w:link w:val="954"/>
    <w:rPr>
      <w:rFonts w:ascii="Arial" w:hAnsi="Arial" w:cs="Arial"/>
      <w:b/>
      <w:bCs/>
      <w:color w:val="666666"/>
      <w:sz w:val="20"/>
      <w:szCs w:val="20"/>
      <w:shd w:val="clear" w:color="auto" w:fill="dddcde"/>
    </w:rPr>
  </w:style>
  <w:style w:type="character" w:styleId="1206">
    <w:name w:val="nostart"/>
    <w:next w:val="1206"/>
    <w:link w:val="954"/>
    <w:rPr>
      <w:color w:val="b60000"/>
    </w:rPr>
  </w:style>
  <w:style w:type="character" w:styleId="1207">
    <w:name w:val="span_paramvalue"/>
    <w:next w:val="1207"/>
    <w:link w:val="954"/>
  </w:style>
  <w:style w:type="character" w:styleId="1208">
    <w:name w:val="shixiao"/>
    <w:next w:val="1208"/>
    <w:link w:val="954"/>
  </w:style>
  <w:style w:type="character" w:styleId="1209">
    <w:name w:val="wz2"/>
    <w:next w:val="1209"/>
    <w:link w:val="954"/>
    <w:rPr>
      <w:color w:val="666666"/>
      <w:sz w:val="20"/>
      <w:szCs w:val="20"/>
    </w:rPr>
  </w:style>
  <w:style w:type="character" w:styleId="1210">
    <w:name w:val="img_title12"/>
    <w:next w:val="1210"/>
    <w:link w:val="954"/>
    <w:rPr>
      <w:vanish/>
    </w:rPr>
  </w:style>
  <w:style w:type="character" w:styleId="1211">
    <w:name w:val="小标题 Char"/>
    <w:next w:val="1211"/>
    <w:link w:val="954"/>
    <w:rPr>
      <w:rFonts w:ascii="宋体" w:hAnsi="宋体" w:eastAsia="宋体"/>
      <w:b/>
      <w:bCs/>
      <w:color w:val="000000"/>
      <w:spacing w:val="20"/>
      <w:sz w:val="24"/>
      <w:szCs w:val="32"/>
      <w:lang w:val="en-US" w:eastAsia="zh-CN" w:bidi="ar-SA"/>
    </w:rPr>
  </w:style>
  <w:style w:type="character" w:styleId="1212">
    <w:name w:val="img_title13"/>
    <w:next w:val="1212"/>
    <w:link w:val="954"/>
    <w:rPr>
      <w:vanish/>
    </w:rPr>
  </w:style>
  <w:style w:type="character" w:styleId="1213">
    <w:name w:val=" Char Char9"/>
    <w:next w:val="1213"/>
    <w:link w:val="954"/>
    <w:rPr>
      <w:rFonts w:ascii="Times New Roman" w:hAnsi="Times New Roman" w:eastAsia="宋体" w:cs="Times New Roman"/>
      <w:sz w:val="18"/>
      <w:szCs w:val="18"/>
    </w:rPr>
  </w:style>
  <w:style w:type="character" w:styleId="1214">
    <w:name w:val=" Char Char13"/>
    <w:next w:val="1214"/>
    <w:link w:val="954"/>
    <w:rPr>
      <w:rFonts w:ascii="宋体" w:hAnsi="Times New Roman" w:eastAsia="宋体" w:cs="Times New Roman"/>
      <w:sz w:val="18"/>
      <w:szCs w:val="18"/>
    </w:rPr>
  </w:style>
  <w:style w:type="character" w:styleId="1215">
    <w:name w:val="nostart1"/>
    <w:next w:val="1215"/>
    <w:link w:val="954"/>
    <w:rPr>
      <w:color w:val="ff0000"/>
    </w:rPr>
  </w:style>
  <w:style w:type="character" w:styleId="1216">
    <w:name w:val="style1"/>
    <w:next w:val="1216"/>
    <w:link w:val="954"/>
  </w:style>
  <w:style w:type="character" w:styleId="1217">
    <w:name w:val="para1"/>
    <w:next w:val="1217"/>
    <w:link w:val="954"/>
    <w:rPr>
      <w:rFonts w:ascii="Arial" w:hAnsi="Arial" w:cs="Arial"/>
      <w:sz w:val="18"/>
      <w:szCs w:val="18"/>
    </w:rPr>
  </w:style>
  <w:style w:type="character" w:styleId="1218">
    <w:name w:val="f14b1"/>
    <w:next w:val="1218"/>
    <w:link w:val="954"/>
    <w:rPr>
      <w:rFonts w:ascii="??" w:hAnsi="??"/>
      <w:b/>
      <w:bCs/>
      <w:color w:val="333333"/>
      <w:sz w:val="28"/>
      <w:szCs w:val="28"/>
    </w:rPr>
  </w:style>
  <w:style w:type="character" w:styleId="1219">
    <w:name w:val="q1"/>
    <w:next w:val="1219"/>
    <w:link w:val="954"/>
  </w:style>
  <w:style w:type="character" w:styleId="1220">
    <w:name w:val="ca-0"/>
    <w:next w:val="1220"/>
    <w:link w:val="954"/>
    <w:rPr>
      <w:rFonts w:cs="Times New Roman"/>
    </w:rPr>
  </w:style>
  <w:style w:type="character" w:styleId="1221">
    <w:name w:val="job1"/>
    <w:next w:val="1221"/>
    <w:link w:val="954"/>
  </w:style>
  <w:style w:type="character" w:styleId="1222">
    <w:name w:val="华宇段落1 Char Char"/>
    <w:next w:val="1222"/>
    <w:link w:val="1223"/>
    <w:rPr>
      <w:rFonts w:eastAsia="宋体"/>
      <w:bCs/>
      <w:sz w:val="24"/>
      <w:szCs w:val="24"/>
      <w:lang w:val="en-US" w:eastAsia="zh-CN" w:bidi="ar-SA"/>
    </w:rPr>
  </w:style>
  <w:style w:type="paragraph" w:styleId="1223">
    <w:name w:val="华宇段落1 Char"/>
    <w:basedOn w:val="954"/>
    <w:next w:val="1223"/>
    <w:link w:val="1222"/>
    <w:pPr>
      <w:ind w:firstLine="200"/>
      <w:spacing w:line="360" w:lineRule="auto"/>
    </w:pPr>
    <w:rPr>
      <w:rFonts w:ascii="Times New Roman" w:hAnsi="Times New Roman"/>
      <w:bCs/>
    </w:rPr>
  </w:style>
  <w:style w:type="paragraph" w:styleId="1224">
    <w:name w:val="font7"/>
    <w:basedOn w:val="954"/>
    <w:next w:val="1224"/>
    <w:link w:val="954"/>
    <w:pPr>
      <w:jc w:val="left"/>
      <w:spacing w:before="100" w:beforeAutospacing="1" w:after="100" w:afterAutospacing="1"/>
      <w:widowControl/>
    </w:pPr>
    <w:rPr>
      <w:rFonts w:ascii="微软雅黑" w:eastAsia="微软雅黑" w:cs="宋体"/>
      <w:sz w:val="18"/>
      <w:szCs w:val="18"/>
    </w:rPr>
  </w:style>
  <w:style w:type="paragraph" w:styleId="1225">
    <w:name w:val="font17"/>
    <w:basedOn w:val="954"/>
    <w:next w:val="1225"/>
    <w:link w:val="954"/>
    <w:pPr>
      <w:jc w:val="left"/>
      <w:spacing w:before="100" w:beforeAutospacing="1" w:after="100" w:afterAutospacing="1"/>
      <w:widowControl/>
    </w:pPr>
    <w:rPr>
      <w:rFonts w:cs="宋体"/>
      <w:b/>
      <w:bCs/>
      <w:sz w:val="18"/>
      <w:szCs w:val="18"/>
    </w:rPr>
  </w:style>
  <w:style w:type="paragraph" w:styleId="1226">
    <w:name w:val="xl155"/>
    <w:basedOn w:val="954"/>
    <w:next w:val="1226"/>
    <w:link w:val="954"/>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227">
    <w:name w:val="xl213"/>
    <w:basedOn w:val="954"/>
    <w:next w:val="1227"/>
    <w:link w:val="9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28">
    <w:name w:val="样式 首行缩进:  1.48 厘米"/>
    <w:basedOn w:val="954"/>
    <w:next w:val="1228"/>
    <w:link w:val="954"/>
    <w:pPr>
      <w:ind w:firstLine="200"/>
    </w:pPr>
    <w:rPr>
      <w:rFonts w:ascii="Times New Roman" w:hAnsi="Times New Roman" w:cs="宋体"/>
      <w:sz w:val="21"/>
      <w:szCs w:val="20"/>
    </w:rPr>
  </w:style>
  <w:style w:type="paragraph" w:styleId="1229">
    <w:name w:val="Code in Table"/>
    <w:basedOn w:val="954"/>
    <w:next w:val="1229"/>
    <w:link w:val="954"/>
    <w:pPr>
      <w:shd w:val="clear" w:color="auto" w:fill="f3f3f3"/>
    </w:pPr>
    <w:rPr>
      <w:rFonts w:ascii="Courier New" w:hAnsi="Courier New"/>
      <w:sz w:val="18"/>
    </w:rPr>
  </w:style>
  <w:style w:type="paragraph" w:styleId="1230">
    <w:name w:val="font18"/>
    <w:basedOn w:val="954"/>
    <w:next w:val="1230"/>
    <w:link w:val="954"/>
    <w:pPr>
      <w:jc w:val="left"/>
      <w:spacing w:before="100" w:beforeAutospacing="1" w:after="100" w:afterAutospacing="1"/>
      <w:widowControl/>
    </w:pPr>
    <w:rPr>
      <w:rFonts w:cs="宋体"/>
      <w:sz w:val="18"/>
      <w:szCs w:val="18"/>
    </w:rPr>
  </w:style>
  <w:style w:type="paragraph" w:styleId="1231">
    <w:name w:val="Char2"/>
    <w:basedOn w:val="954"/>
    <w:next w:val="1231"/>
    <w:link w:val="954"/>
    <w:pPr>
      <w:jc w:val="left"/>
      <w:spacing w:after="160" w:line="240" w:lineRule="exact"/>
      <w:widowControl/>
    </w:pPr>
    <w:rPr>
      <w:rFonts w:ascii="Verdana" w:hAnsi="Verdana"/>
      <w:sz w:val="21"/>
      <w:szCs w:val="20"/>
      <w:lang w:eastAsia="en-US"/>
    </w:rPr>
  </w:style>
  <w:style w:type="paragraph" w:styleId="1232">
    <w:name w:val="xl196"/>
    <w:basedOn w:val="954"/>
    <w:next w:val="1232"/>
    <w:link w:val="954"/>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Courier New" w:hAnsi="Courier New" w:cs="Courier New"/>
    </w:rPr>
  </w:style>
  <w:style w:type="paragraph" w:styleId="1233">
    <w:name w:val="xl178"/>
    <w:basedOn w:val="954"/>
    <w:next w:val="1233"/>
    <w:link w:val="9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34">
    <w:name w:val="font12"/>
    <w:basedOn w:val="954"/>
    <w:next w:val="1234"/>
    <w:link w:val="954"/>
    <w:pPr>
      <w:jc w:val="left"/>
      <w:spacing w:before="100" w:beforeAutospacing="1" w:after="100" w:afterAutospacing="1"/>
      <w:widowControl/>
    </w:pPr>
    <w:rPr>
      <w:rFonts w:cs="宋体"/>
      <w:sz w:val="18"/>
      <w:szCs w:val="18"/>
    </w:rPr>
  </w:style>
  <w:style w:type="paragraph" w:styleId="1235">
    <w:name w:val="xl112"/>
    <w:basedOn w:val="954"/>
    <w:next w:val="1235"/>
    <w:link w:val="954"/>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36">
    <w:name w:val="xl124"/>
    <w:basedOn w:val="954"/>
    <w:next w:val="1236"/>
    <w:link w:val="954"/>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237">
    <w:name w:val="xl85"/>
    <w:basedOn w:val="954"/>
    <w:next w:val="1237"/>
    <w:link w:val="954"/>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238">
    <w:name w:val="xl138"/>
    <w:basedOn w:val="954"/>
    <w:next w:val="1238"/>
    <w:link w:val="954"/>
    <w:pPr>
      <w:jc w:val="left"/>
      <w:spacing w:before="100" w:beforeAutospacing="1" w:after="100" w:afterAutospacing="1"/>
      <w:widowControl/>
    </w:pPr>
    <w:rPr>
      <w:rFonts w:cs="宋体"/>
      <w:sz w:val="18"/>
      <w:szCs w:val="18"/>
    </w:rPr>
  </w:style>
  <w:style w:type="paragraph" w:styleId="1239">
    <w:name w:val="xl156"/>
    <w:basedOn w:val="954"/>
    <w:next w:val="1239"/>
    <w:link w:val="9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40">
    <w:name w:val="2-2"/>
    <w:basedOn w:val="954"/>
    <w:next w:val="1240"/>
    <w:link w:val="954"/>
    <w:pPr>
      <w:ind w:firstLine="422"/>
      <w:tabs>
        <w:tab w:val="left" w:pos="8820" w:leader="middleDot"/>
      </w:tabs>
    </w:pPr>
    <w:rPr>
      <w:rFonts w:ascii="Times New Roman" w:hAnsi="Times New Roman"/>
      <w:b/>
      <w:sz w:val="21"/>
    </w:rPr>
  </w:style>
  <w:style w:type="paragraph" w:styleId="1241">
    <w:name w:val="font24"/>
    <w:basedOn w:val="954"/>
    <w:next w:val="1241"/>
    <w:link w:val="954"/>
    <w:pPr>
      <w:jc w:val="left"/>
      <w:spacing w:before="100" w:beforeAutospacing="1" w:after="100" w:afterAutospacing="1"/>
      <w:widowControl/>
    </w:pPr>
    <w:rPr>
      <w:rFonts w:cs="宋体"/>
      <w:sz w:val="18"/>
      <w:szCs w:val="18"/>
    </w:rPr>
  </w:style>
  <w:style w:type="paragraph" w:styleId="1242">
    <w:name w:val="hide"/>
    <w:basedOn w:val="954"/>
    <w:next w:val="1242"/>
    <w:link w:val="954"/>
    <w:pPr>
      <w:jc w:val="left"/>
      <w:spacing w:before="100" w:beforeAutospacing="1" w:after="100" w:afterAutospacing="1"/>
      <w:widowControl/>
    </w:pPr>
    <w:rPr>
      <w:rFonts w:cs="宋体"/>
      <w:vanish/>
    </w:rPr>
  </w:style>
  <w:style w:type="paragraph" w:styleId="1243">
    <w:name w:val="font23"/>
    <w:basedOn w:val="954"/>
    <w:next w:val="1243"/>
    <w:link w:val="954"/>
    <w:pPr>
      <w:jc w:val="left"/>
      <w:spacing w:before="100" w:beforeAutospacing="1" w:after="100" w:afterAutospacing="1"/>
      <w:widowControl/>
    </w:pPr>
    <w:rPr>
      <w:rFonts w:cs="宋体"/>
      <w:sz w:val="20"/>
      <w:szCs w:val="20"/>
    </w:rPr>
  </w:style>
  <w:style w:type="paragraph" w:styleId="1244">
    <w:name w:val="xl182"/>
    <w:basedOn w:val="954"/>
    <w:next w:val="1244"/>
    <w:link w:val="9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45">
    <w:name w:val="xl216"/>
    <w:basedOn w:val="954"/>
    <w:next w:val="1245"/>
    <w:link w:val="954"/>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246">
    <w:name w:val="Char6"/>
    <w:basedOn w:val="954"/>
    <w:next w:val="1246"/>
    <w:link w:val="954"/>
    <w:pPr>
      <w:jc w:val="left"/>
      <w:spacing w:after="160" w:line="240" w:lineRule="exact"/>
      <w:widowControl/>
    </w:pPr>
    <w:rPr>
      <w:rFonts w:ascii="Verdana" w:hAnsi="Verdana"/>
      <w:sz w:val="21"/>
      <w:szCs w:val="20"/>
      <w:lang w:eastAsia="en-US"/>
    </w:rPr>
  </w:style>
  <w:style w:type="paragraph" w:styleId="1247">
    <w:name w:val="样式 标题 2H2Heading 2 HiddenHeading 2 CCBSheading 22nd levelh...1"/>
    <w:basedOn w:val="956"/>
    <w:next w:val="1247"/>
    <w:link w:val="954"/>
    <w:pPr>
      <w:numPr>
        <w:ilvl w:val="1"/>
        <w:numId w:val="0"/>
      </w:numPr>
      <w:ind w:left="576" w:hanging="576"/>
      <w:spacing w:before="240" w:after="240" w:line="240" w:lineRule="auto"/>
      <w:tabs>
        <w:tab w:val="left" w:pos="576" w:leader="none"/>
      </w:tabs>
    </w:pPr>
    <w:rPr>
      <w:rFonts w:ascii="宋体" w:hAnsi="宋体" w:eastAsia="宋体"/>
      <w:b w:val="0"/>
      <w:sz w:val="28"/>
      <w:szCs w:val="28"/>
    </w:rPr>
  </w:style>
  <w:style w:type="paragraph" w:styleId="1248">
    <w:name w:val="纯文本2"/>
    <w:basedOn w:val="954"/>
    <w:next w:val="1248"/>
    <w:link w:val="954"/>
    <w:qFormat/>
    <w:rPr>
      <w:rFonts w:hAnsi="Courier New" w:eastAsia="楷体_GB2312"/>
      <w:sz w:val="26"/>
      <w:szCs w:val="20"/>
    </w:rPr>
  </w:style>
  <w:style w:type="paragraph" w:styleId="1249">
    <w:name w:val=" Char2"/>
    <w:basedOn w:val="954"/>
    <w:next w:val="1249"/>
    <w:link w:val="954"/>
    <w:rPr>
      <w:rFonts w:ascii="Tahoma" w:hAnsi="Tahoma" w:eastAsia="仿宋_GB2312"/>
      <w:color w:val="000000"/>
      <w:szCs w:val="20"/>
    </w:rPr>
  </w:style>
  <w:style w:type="paragraph" w:styleId="1250">
    <w:name w:val="xl88"/>
    <w:basedOn w:val="954"/>
    <w:next w:val="1250"/>
    <w:link w:val="954"/>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251">
    <w:name w:val="xl181"/>
    <w:basedOn w:val="954"/>
    <w:next w:val="1251"/>
    <w:link w:val="9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52">
    <w:name w:val="Item List in Table"/>
    <w:basedOn w:val="954"/>
    <w:next w:val="1252"/>
    <w:link w:val="954"/>
    <w:pPr>
      <w:numPr>
        <w:ilvl w:val="0"/>
        <w:numId w:val="7"/>
      </w:numPr>
      <w:jc w:val="left"/>
      <w:tabs>
        <w:tab w:val="left" w:pos="425" w:leader="none"/>
        <w:tab w:val="left" w:pos="709" w:leader="none"/>
      </w:tabs>
    </w:pPr>
    <w:rPr>
      <w:rFonts w:ascii="Times New Roman" w:hAnsi="Times New Roman"/>
      <w:sz w:val="21"/>
    </w:rPr>
  </w:style>
  <w:style w:type="paragraph" w:styleId="1253">
    <w:name w:val="xl162"/>
    <w:basedOn w:val="954"/>
    <w:next w:val="1253"/>
    <w:link w:val="9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54">
    <w:name w:val="Code"/>
    <w:basedOn w:val="1140"/>
    <w:next w:val="1254"/>
    <w:link w:val="954"/>
    <w:pPr>
      <w:jc w:val="left"/>
      <w:spacing w:before="0" w:after="0"/>
      <w:shd w:val="clear" w:color="auto" w:fill="f3f3f3"/>
    </w:pPr>
    <w:rPr>
      <w:rFonts w:ascii="Courier New" w:hAnsi="Courier New"/>
      <w:sz w:val="18"/>
      <w:szCs w:val="18"/>
    </w:rPr>
  </w:style>
  <w:style w:type="paragraph" w:styleId="1255">
    <w:name w:val="xl74"/>
    <w:basedOn w:val="954"/>
    <w:next w:val="1255"/>
    <w:link w:val="954"/>
    <w:pPr>
      <w:jc w:val="center"/>
      <w:spacing w:before="100" w:beforeAutospacing="1" w:after="100" w:afterAutospacing="1"/>
      <w:shd w:val="clear" w:color="000000" w:fill="c0c0c0"/>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256">
    <w:name w:val="xl180"/>
    <w:basedOn w:val="954"/>
    <w:next w:val="1256"/>
    <w:link w:val="9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57">
    <w:name w:val="xl63"/>
    <w:basedOn w:val="954"/>
    <w:next w:val="1257"/>
    <w:link w:val="954"/>
    <w:pPr>
      <w:jc w:val="left"/>
      <w:spacing w:before="100" w:beforeAutospacing="1" w:after="100" w:afterAutospacing="1"/>
      <w:widowControl/>
    </w:pPr>
    <w:rPr>
      <w:rFonts w:ascii="微软雅黑" w:hAnsi="微软雅黑" w:eastAsia="微软雅黑" w:cs="宋体"/>
      <w:sz w:val="20"/>
      <w:szCs w:val="20"/>
    </w:rPr>
  </w:style>
  <w:style w:type="paragraph" w:styleId="1258">
    <w:name w:val="xl140"/>
    <w:basedOn w:val="954"/>
    <w:next w:val="1258"/>
    <w:link w:val="9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59">
    <w:name w:val="表内正文"/>
    <w:next w:val="1259"/>
    <w:link w:val="954"/>
    <w:pPr>
      <w:ind w:firstLine="480"/>
      <w:spacing w:line="560" w:lineRule="exact"/>
    </w:pPr>
    <w:rPr>
      <w:rFonts w:ascii="宋体" w:hAnsi="宋体"/>
      <w:sz w:val="24"/>
      <w:lang w:val="en-US" w:eastAsia="zh-CN" w:bidi="ar-SA"/>
    </w:rPr>
  </w:style>
  <w:style w:type="paragraph" w:styleId="1260">
    <w:name w:val="xl158"/>
    <w:basedOn w:val="954"/>
    <w:next w:val="1260"/>
    <w:link w:val="954"/>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b/>
      <w:bCs/>
      <w:sz w:val="18"/>
      <w:szCs w:val="18"/>
    </w:rPr>
  </w:style>
  <w:style w:type="paragraph" w:styleId="1261">
    <w:name w:val=" Char1"/>
    <w:basedOn w:val="954"/>
    <w:next w:val="1261"/>
    <w:link w:val="954"/>
    <w:pPr>
      <w:numPr>
        <w:ilvl w:val="1"/>
        <w:numId w:val="2"/>
      </w:numPr>
      <w:ind w:left="0"/>
      <w:jc w:val="left"/>
    </w:pPr>
    <w:rPr>
      <w:rFonts w:ascii="仿宋_GB2312" w:hAnsi="Times New Roman" w:eastAsia="仿宋_GB2312"/>
      <w:b/>
      <w:sz w:val="32"/>
      <w:szCs w:val="32"/>
    </w:rPr>
  </w:style>
  <w:style w:type="paragraph" w:styleId="1262">
    <w:name w:val="00"/>
    <w:basedOn w:val="954"/>
    <w:next w:val="1262"/>
    <w:link w:val="954"/>
    <w:pPr>
      <w:jc w:val="left"/>
    </w:pPr>
    <w:rPr>
      <w:rFonts w:ascii="黑体" w:hAnsi="Times New Roman" w:eastAsia="黑体"/>
      <w:b/>
      <w:bCs/>
      <w:sz w:val="20"/>
      <w:szCs w:val="20"/>
    </w:rPr>
  </w:style>
  <w:style w:type="paragraph" w:styleId="1263">
    <w:name w:val="xl75"/>
    <w:basedOn w:val="954"/>
    <w:next w:val="1263"/>
    <w:link w:val="954"/>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264">
    <w:name w:val="xl101"/>
    <w:basedOn w:val="954"/>
    <w:next w:val="1264"/>
    <w:link w:val="954"/>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65">
    <w:name w:val="Char"/>
    <w:basedOn w:val="954"/>
    <w:next w:val="1265"/>
    <w:link w:val="954"/>
    <w:pPr>
      <w:jc w:val="left"/>
      <w:spacing w:after="160" w:line="240" w:lineRule="exact"/>
      <w:widowControl/>
    </w:pPr>
    <w:rPr>
      <w:rFonts w:ascii="Times New Roman" w:hAnsi="Times New Roman"/>
      <w:sz w:val="21"/>
    </w:rPr>
  </w:style>
  <w:style w:type="paragraph" w:styleId="1266">
    <w:name w:val="解决方案部文档"/>
    <w:basedOn w:val="954"/>
    <w:next w:val="1266"/>
    <w:link w:val="954"/>
    <w:pPr>
      <w:jc w:val="center"/>
    </w:pPr>
    <w:rPr>
      <w:rFonts w:ascii="Times New Roman" w:hAnsi="Times New Roman" w:eastAsia="华文仿宋"/>
      <w:sz w:val="28"/>
    </w:rPr>
  </w:style>
  <w:style w:type="paragraph" w:styleId="1267">
    <w:name w:val="xl190"/>
    <w:basedOn w:val="954"/>
    <w:next w:val="1267"/>
    <w:link w:val="954"/>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268">
    <w:name w:val="xl132"/>
    <w:basedOn w:val="954"/>
    <w:next w:val="1268"/>
    <w:link w:val="954"/>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cs="宋体"/>
      <w:b/>
      <w:bCs/>
      <w:sz w:val="18"/>
      <w:szCs w:val="18"/>
    </w:rPr>
  </w:style>
  <w:style w:type="paragraph" w:styleId="1269">
    <w:name w:val="xl73"/>
    <w:basedOn w:val="954"/>
    <w:next w:val="1269"/>
    <w:link w:val="954"/>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微软雅黑" w:hAnsi="微软雅黑" w:eastAsia="微软雅黑" w:cs="宋体"/>
      <w:sz w:val="20"/>
      <w:szCs w:val="20"/>
    </w:rPr>
  </w:style>
  <w:style w:type="paragraph" w:styleId="1270">
    <w:name w:val="默认段落字体 Para Char Char Char Char Char Char Char Char Char1 Char Char Char Char"/>
    <w:basedOn w:val="954"/>
    <w:next w:val="1270"/>
    <w:link w:val="954"/>
    <w:rPr>
      <w:rFonts w:ascii="Tahoma" w:hAnsi="Tahoma"/>
      <w:szCs w:val="20"/>
    </w:rPr>
  </w:style>
  <w:style w:type="paragraph" w:styleId="1271">
    <w:name w:val="xl171"/>
    <w:basedOn w:val="954"/>
    <w:next w:val="1271"/>
    <w:link w:val="9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72">
    <w:name w:val="xl121"/>
    <w:basedOn w:val="954"/>
    <w:next w:val="1272"/>
    <w:link w:val="954"/>
    <w:pPr>
      <w:jc w:val="center"/>
      <w:spacing w:before="100" w:beforeAutospacing="1" w:after="100" w:afterAutospacing="1"/>
      <w:widowControl/>
      <w:pBdr>
        <w:top w:val="single" w:color="000000" w:sz="4" w:space="0"/>
        <w:left w:val="single" w:color="000000" w:sz="4" w:space="0"/>
        <w:bottom w:val="single" w:color="000000" w:sz="4" w:space="0"/>
      </w:pBdr>
    </w:pPr>
    <w:rPr>
      <w:rFonts w:cs="宋体"/>
      <w:b/>
      <w:bCs/>
      <w:sz w:val="20"/>
      <w:szCs w:val="20"/>
    </w:rPr>
  </w:style>
  <w:style w:type="paragraph" w:styleId="1273">
    <w:name w:val="xl212"/>
    <w:basedOn w:val="954"/>
    <w:next w:val="1273"/>
    <w:link w:val="9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74">
    <w:name w:val="xl107"/>
    <w:basedOn w:val="954"/>
    <w:next w:val="1274"/>
    <w:link w:val="9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275">
    <w:name w:val="body_text"/>
    <w:basedOn w:val="954"/>
    <w:next w:val="1275"/>
    <w:link w:val="954"/>
    <w:pPr>
      <w:spacing w:before="100" w:beforeAutospacing="1" w:after="100" w:afterAutospacing="1" w:line="320" w:lineRule="atLeast"/>
      <w:widowControl/>
    </w:pPr>
    <w:rPr>
      <w:rFonts w:ascii="ˎ̥" w:hAnsi="ˎ̥" w:cs="宋体"/>
      <w:sz w:val="20"/>
      <w:szCs w:val="20"/>
    </w:rPr>
  </w:style>
  <w:style w:type="paragraph" w:styleId="1276">
    <w:name w:val="正文L"/>
    <w:basedOn w:val="954"/>
    <w:next w:val="1276"/>
    <w:link w:val="954"/>
    <w:pPr>
      <w:ind w:firstLine="510"/>
      <w:jc w:val="left"/>
      <w:spacing w:line="540" w:lineRule="exact"/>
      <w:tabs>
        <w:tab w:val="left" w:pos="120" w:leader="none"/>
      </w:tabs>
    </w:pPr>
    <w:rPr>
      <w:rFonts w:ascii="仿宋_GB2312" w:hAnsi="Times New Roman" w:eastAsia="仿宋_GB2312"/>
      <w:sz w:val="23"/>
      <w:szCs w:val="20"/>
    </w:rPr>
  </w:style>
  <w:style w:type="paragraph" w:styleId="1277">
    <w:name w:val=" Char Char Char Char1 Char Char Char"/>
    <w:basedOn w:val="985"/>
    <w:next w:val="1277"/>
    <w:link w:val="954"/>
    <w:pPr>
      <w:ind w:firstLine="454"/>
      <w:jc w:val="left"/>
      <w:widowControl/>
    </w:pPr>
    <w:rPr>
      <w:rFonts w:ascii="Tahoma" w:hAnsi="Tahoma" w:cs="宋体"/>
      <w:sz w:val="21"/>
      <w:szCs w:val="20"/>
    </w:rPr>
  </w:style>
  <w:style w:type="paragraph" w:styleId="1278">
    <w:name w:val="style41"/>
    <w:basedOn w:val="954"/>
    <w:next w:val="1278"/>
    <w:link w:val="954"/>
    <w:pPr>
      <w:jc w:val="left"/>
      <w:spacing w:before="100" w:beforeAutospacing="1" w:after="100" w:afterAutospacing="1"/>
      <w:widowControl/>
    </w:pPr>
    <w:rPr>
      <w:rFonts w:ascii="Arial Unicode MS" w:hAnsi="Arial Unicode MS" w:eastAsia="Arial Unicode MS" w:cs="Arial Unicode MS"/>
      <w:sz w:val="18"/>
      <w:szCs w:val="18"/>
    </w:rPr>
  </w:style>
  <w:style w:type="paragraph" w:styleId="1279">
    <w:name w:val="xl204"/>
    <w:basedOn w:val="954"/>
    <w:next w:val="1279"/>
    <w:link w:val="9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80">
    <w:name w:val="样式 (中文) 黑体 二号 居中"/>
    <w:basedOn w:val="954"/>
    <w:next w:val="1280"/>
    <w:link w:val="954"/>
    <w:pPr>
      <w:jc w:val="center"/>
      <w:widowControl/>
    </w:pPr>
    <w:rPr>
      <w:rFonts w:ascii="Times New Roman" w:hAnsi="Times New Roman" w:eastAsia="黑体"/>
      <w:sz w:val="44"/>
      <w:szCs w:val="20"/>
    </w:rPr>
  </w:style>
  <w:style w:type="paragraph" w:styleId="1281">
    <w:name w:val="正文1"/>
    <w:basedOn w:val="954"/>
    <w:next w:val="1281"/>
    <w:link w:val="954"/>
    <w:pPr>
      <w:ind w:firstLine="540"/>
    </w:pPr>
    <w:rPr>
      <w:rFonts w:ascii="Times New Roman" w:hAnsi="Times New Roman"/>
      <w:szCs w:val="20"/>
    </w:rPr>
  </w:style>
  <w:style w:type="paragraph" w:styleId="1282">
    <w:name w:val="xl183"/>
    <w:basedOn w:val="954"/>
    <w:next w:val="1282"/>
    <w:link w:val="9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83">
    <w:name w:val="xl118"/>
    <w:basedOn w:val="954"/>
    <w:next w:val="1283"/>
    <w:link w:val="954"/>
    <w:pPr>
      <w:jc w:val="left"/>
      <w:spacing w:before="100" w:beforeAutospacing="1" w:after="100" w:afterAutospacing="1"/>
      <w:shd w:val="clear" w:color="auto" w:fill="ffffff"/>
      <w:widowControl/>
      <w:pBdr>
        <w:top w:val="single" w:color="000000" w:sz="4" w:space="0"/>
        <w:bottom w:val="single" w:color="000000" w:sz="4" w:space="0"/>
        <w:right w:val="single" w:color="000000" w:sz="8" w:space="0"/>
      </w:pBdr>
    </w:pPr>
    <w:rPr>
      <w:rFonts w:cs="宋体"/>
      <w:b/>
      <w:bCs/>
      <w:sz w:val="20"/>
      <w:szCs w:val="20"/>
    </w:rPr>
  </w:style>
  <w:style w:type="paragraph" w:styleId="1284">
    <w:name w:val="章标题"/>
    <w:next w:val="954"/>
    <w:link w:val="954"/>
    <w:qFormat/>
    <w:pPr>
      <w:numPr>
        <w:ilvl w:val="3"/>
        <w:numId w:val="2"/>
      </w:numPr>
      <w:ind w:left="360"/>
      <w:spacing w:before="50" w:after="50"/>
      <w:outlineLvl w:val="1"/>
    </w:pPr>
    <w:rPr>
      <w:rFonts w:ascii="黑体" w:eastAsia="黑体"/>
      <w:sz w:val="24"/>
      <w:lang w:val="en-US" w:eastAsia="zh-CN" w:bidi="ar-SA"/>
    </w:rPr>
  </w:style>
  <w:style w:type="paragraph" w:styleId="1285">
    <w:name w:val="xl179"/>
    <w:basedOn w:val="954"/>
    <w:next w:val="1285"/>
    <w:link w:val="9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86">
    <w:name w:val="三级条标题"/>
    <w:basedOn w:val="1287"/>
    <w:next w:val="954"/>
    <w:link w:val="954"/>
    <w:pPr>
      <w:numPr>
        <w:ilvl w:val="6"/>
        <w:numId w:val="2"/>
      </w:numPr>
      <w:outlineLvl w:val="4"/>
    </w:pPr>
  </w:style>
  <w:style w:type="paragraph" w:styleId="1287">
    <w:name w:val="二级条标题"/>
    <w:basedOn w:val="1288"/>
    <w:next w:val="954"/>
    <w:link w:val="954"/>
    <w:pPr>
      <w:numPr>
        <w:ilvl w:val="5"/>
        <w:numId w:val="2"/>
      </w:numPr>
      <w:ind w:left="540"/>
      <w:outlineLvl w:val="3"/>
    </w:pPr>
  </w:style>
  <w:style w:type="paragraph" w:styleId="1288">
    <w:name w:val="一级条标题"/>
    <w:basedOn w:val="1284"/>
    <w:next w:val="954"/>
    <w:link w:val="954"/>
    <w:qFormat/>
    <w:pPr>
      <w:numPr>
        <w:ilvl w:val="4"/>
        <w:numId w:val="2"/>
      </w:numPr>
      <w:spacing w:before="0" w:after="0"/>
      <w:outlineLvl w:val="2"/>
    </w:pPr>
  </w:style>
  <w:style w:type="paragraph" w:styleId="1289">
    <w:name w:val="四级条标题"/>
    <w:basedOn w:val="1286"/>
    <w:next w:val="954"/>
    <w:link w:val="954"/>
    <w:pPr>
      <w:outlineLvl w:val="5"/>
    </w:pPr>
  </w:style>
  <w:style w:type="paragraph" w:styleId="1290">
    <w:name w:val="五级条标题"/>
    <w:basedOn w:val="1289"/>
    <w:next w:val="954"/>
    <w:link w:val="954"/>
    <w:pPr>
      <w:numPr>
        <w:ilvl w:val="6"/>
        <w:numId w:val="8"/>
      </w:numPr>
      <w:tabs>
        <w:tab w:val="left" w:pos="1276" w:leader="none"/>
      </w:tabs>
      <w:outlineLvl w:val="6"/>
    </w:pPr>
  </w:style>
  <w:style w:type="paragraph" w:styleId="1291">
    <w:name w:val="D正文"/>
    <w:basedOn w:val="1033"/>
    <w:next w:val="1291"/>
    <w:link w:val="954"/>
    <w:pPr>
      <w:ind w:left="0" w:firstLine="200"/>
      <w:spacing w:before="100" w:beforeAutospacing="1" w:after="100" w:afterAutospacing="1"/>
    </w:pPr>
    <w:rPr>
      <w:sz w:val="24"/>
      <w:szCs w:val="24"/>
    </w:rPr>
  </w:style>
  <w:style w:type="paragraph" w:styleId="1292">
    <w:name w:val="xl103"/>
    <w:basedOn w:val="954"/>
    <w:next w:val="1292"/>
    <w:link w:val="954"/>
    <w:pPr>
      <w:jc w:val="center"/>
      <w:spacing w:before="100" w:beforeAutospacing="1" w:after="100" w:afterAutospacing="1"/>
      <w:shd w:val="clear" w:color="auto" w:fill="ffffff"/>
      <w:widowControl/>
      <w:pBdr>
        <w:top w:val="single" w:color="000000" w:sz="4" w:space="0"/>
        <w:left w:val="single" w:color="000000" w:sz="4" w:space="0"/>
        <w:right w:val="single" w:color="000000" w:sz="4" w:space="0"/>
      </w:pBdr>
    </w:pPr>
    <w:rPr>
      <w:rFonts w:cs="宋体"/>
      <w:sz w:val="18"/>
      <w:szCs w:val="18"/>
    </w:rPr>
  </w:style>
  <w:style w:type="paragraph" w:styleId="1293">
    <w:name w:val="xl137"/>
    <w:basedOn w:val="954"/>
    <w:next w:val="1293"/>
    <w:link w:val="954"/>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cs="宋体"/>
      <w:b/>
      <w:bCs/>
      <w:sz w:val="18"/>
      <w:szCs w:val="18"/>
    </w:rPr>
  </w:style>
  <w:style w:type="paragraph" w:styleId="1294">
    <w:name w:val="修订记录"/>
    <w:basedOn w:val="954"/>
    <w:next w:val="969"/>
    <w:link w:val="954"/>
    <w:pPr>
      <w:jc w:val="center"/>
    </w:pPr>
    <w:rPr>
      <w:rFonts w:ascii="Arial" w:hAnsi="Arial" w:eastAsia="黑体"/>
      <w:sz w:val="28"/>
    </w:rPr>
  </w:style>
  <w:style w:type="paragraph" w:styleId="1295">
    <w:name w:val="CM51"/>
    <w:basedOn w:val="1102"/>
    <w:next w:val="1102"/>
    <w:link w:val="954"/>
    <w:pPr>
      <w:spacing w:after="103"/>
    </w:pPr>
    <w:rPr>
      <w:rFonts w:ascii="黑体" w:hAnsi="Calibri" w:eastAsia="黑体"/>
      <w:color w:val="000000"/>
    </w:rPr>
  </w:style>
  <w:style w:type="paragraph" w:styleId="1296">
    <w:name w:val="xl96"/>
    <w:basedOn w:val="954"/>
    <w:next w:val="1296"/>
    <w:link w:val="954"/>
    <w:pPr>
      <w:jc w:val="center"/>
      <w:spacing w:before="100" w:beforeAutospacing="1" w:after="100" w:afterAutospacing="1"/>
      <w:widowControl/>
      <w:pBdr>
        <w:top w:val="single" w:color="000000" w:sz="4" w:space="0"/>
        <w:bottom w:val="single" w:color="000000" w:sz="8" w:space="0"/>
      </w:pBdr>
    </w:pPr>
    <w:rPr>
      <w:rFonts w:ascii="微软雅黑" w:hAnsi="微软雅黑" w:eastAsia="微软雅黑" w:cs="宋体"/>
      <w:sz w:val="20"/>
      <w:szCs w:val="20"/>
    </w:rPr>
  </w:style>
  <w:style w:type="paragraph" w:styleId="1297">
    <w:name w:val="Char Char Char Char Char Char Char"/>
    <w:basedOn w:val="954"/>
    <w:next w:val="1297"/>
    <w:link w:val="954"/>
    <w:pPr>
      <w:numPr>
        <w:ilvl w:val="7"/>
        <w:numId w:val="9"/>
      </w:numPr>
      <w:ind w:left="0"/>
    </w:pPr>
    <w:rPr>
      <w:rFonts w:ascii="Tahoma" w:hAnsi="Tahoma"/>
      <w:szCs w:val="20"/>
    </w:rPr>
  </w:style>
  <w:style w:type="paragraph" w:styleId="1298">
    <w:name w:val="z-窗体底端"/>
    <w:basedOn w:val="954"/>
    <w:next w:val="954"/>
    <w:link w:val="954"/>
    <w:pPr>
      <w:jc w:val="center"/>
      <w:widowControl/>
      <w:pBdr>
        <w:top w:val="single" w:color="000000" w:sz="6" w:space="1"/>
      </w:pBdr>
    </w:pPr>
    <w:rPr>
      <w:rFonts w:ascii="Arial" w:hAnsi="Arial" w:cs="Arial"/>
      <w:vanish/>
      <w:sz w:val="16"/>
      <w:szCs w:val="16"/>
    </w:rPr>
  </w:style>
  <w:style w:type="paragraph" w:styleId="1299">
    <w:name w:val="博康文档样式"/>
    <w:basedOn w:val="954"/>
    <w:next w:val="1299"/>
    <w:link w:val="954"/>
    <w:pPr>
      <w:ind w:firstLine="480"/>
      <w:spacing w:line="360" w:lineRule="auto"/>
    </w:pPr>
    <w:rPr>
      <w:rFonts w:ascii="Times New Roman" w:hAnsi="Times New Roman"/>
    </w:rPr>
  </w:style>
  <w:style w:type="paragraph" w:styleId="1300">
    <w:name w:val="TOC 标题"/>
    <w:basedOn w:val="955"/>
    <w:next w:val="954"/>
    <w:link w:val="954"/>
    <w:qFormat/>
    <w:pPr>
      <w:numPr>
        <w:ilvl w:val="0"/>
        <w:numId w:val="0"/>
      </w:numPr>
      <w:jc w:val="left"/>
      <w:spacing w:before="480" w:after="0" w:line="276" w:lineRule="auto"/>
      <w:widowControl/>
      <w:tabs>
        <w:tab w:val="left" w:pos="432" w:leader="none"/>
      </w:tabs>
      <w:outlineLvl w:val="9"/>
    </w:pPr>
    <w:rPr>
      <w:rFonts w:ascii="Cambria" w:hAnsi="Cambria"/>
      <w:bCs/>
      <w:color w:val="365f91"/>
      <w:sz w:val="28"/>
      <w:szCs w:val="28"/>
    </w:rPr>
  </w:style>
  <w:style w:type="paragraph" w:styleId="1301">
    <w:name w:val="xl150"/>
    <w:basedOn w:val="954"/>
    <w:next w:val="1301"/>
    <w:link w:val="9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02">
    <w:name w:val="xl123"/>
    <w:basedOn w:val="954"/>
    <w:next w:val="1302"/>
    <w:link w:val="954"/>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303">
    <w:name w:val="HR-18"/>
    <w:basedOn w:val="954"/>
    <w:next w:val="954"/>
    <w:link w:val="954"/>
    <w:pPr>
      <w:jc w:val="left"/>
      <w:widowControl/>
    </w:pPr>
    <w:rPr>
      <w:rFonts w:ascii="Arial" w:hAnsi="Arial"/>
      <w:sz w:val="36"/>
      <w:szCs w:val="20"/>
      <w:lang w:val="en-AU" w:eastAsia="en-US"/>
    </w:rPr>
  </w:style>
  <w:style w:type="paragraph" w:styleId="1304">
    <w:name w:val="xl95"/>
    <w:basedOn w:val="954"/>
    <w:next w:val="1304"/>
    <w:link w:val="954"/>
    <w:pPr>
      <w:jc w:val="center"/>
      <w:spacing w:before="100" w:beforeAutospacing="1" w:after="100" w:afterAutospacing="1"/>
      <w:widowControl/>
      <w:pBdr>
        <w:top w:val="single" w:color="000000" w:sz="4" w:space="0"/>
        <w:left w:val="single" w:color="000000" w:sz="8" w:space="0"/>
        <w:bottom w:val="single" w:color="000000" w:sz="8" w:space="0"/>
      </w:pBdr>
    </w:pPr>
    <w:rPr>
      <w:rFonts w:ascii="微软雅黑" w:hAnsi="微软雅黑" w:eastAsia="微软雅黑" w:cs="宋体"/>
      <w:sz w:val="20"/>
      <w:szCs w:val="20"/>
    </w:rPr>
  </w:style>
  <w:style w:type="paragraph" w:styleId="1305">
    <w:name w:val="xl135"/>
    <w:basedOn w:val="954"/>
    <w:next w:val="1305"/>
    <w:link w:val="9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306">
    <w:name w:val="Char1 Char Char Char"/>
    <w:basedOn w:val="954"/>
    <w:next w:val="1306"/>
    <w:link w:val="954"/>
    <w:rPr>
      <w:rFonts w:ascii="Tahoma" w:hAnsi="Tahoma"/>
      <w:szCs w:val="20"/>
    </w:rPr>
  </w:style>
  <w:style w:type="paragraph" w:styleId="1307">
    <w:name w:val="普通(Web)1"/>
    <w:basedOn w:val="954"/>
    <w:next w:val="1027"/>
    <w:link w:val="954"/>
    <w:pPr>
      <w:jc w:val="left"/>
      <w:spacing w:before="100" w:beforeAutospacing="1" w:after="100" w:afterAutospacing="1"/>
      <w:widowControl/>
    </w:pPr>
    <w:rPr>
      <w:color w:val="000000"/>
    </w:rPr>
  </w:style>
  <w:style w:type="paragraph" w:styleId="1308">
    <w:name w:val="xl203"/>
    <w:basedOn w:val="954"/>
    <w:next w:val="1308"/>
    <w:link w:val="954"/>
    <w:pPr>
      <w:jc w:val="center"/>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2"/>
      <w:szCs w:val="22"/>
    </w:rPr>
  </w:style>
  <w:style w:type="paragraph" w:styleId="1309">
    <w:name w:val="表格文字"/>
    <w:basedOn w:val="954"/>
    <w:next w:val="1309"/>
    <w:link w:val="954"/>
    <w:rPr>
      <w:rFonts w:ascii="Times New Roman" w:hAnsi="Times New Roman"/>
      <w:sz w:val="21"/>
    </w:rPr>
  </w:style>
  <w:style w:type="paragraph" w:styleId="1310">
    <w:name w:val="font20"/>
    <w:basedOn w:val="954"/>
    <w:next w:val="1310"/>
    <w:link w:val="954"/>
    <w:pPr>
      <w:jc w:val="left"/>
      <w:spacing w:before="100" w:beforeAutospacing="1" w:after="100" w:afterAutospacing="1"/>
      <w:widowControl/>
    </w:pPr>
    <w:rPr>
      <w:rFonts w:ascii="Times New Roman" w:hAnsi="Times New Roman"/>
      <w:sz w:val="20"/>
      <w:szCs w:val="20"/>
    </w:rPr>
  </w:style>
  <w:style w:type="paragraph" w:styleId="1311">
    <w:name w:val="xl141"/>
    <w:basedOn w:val="954"/>
    <w:next w:val="1311"/>
    <w:link w:val="9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12">
    <w:name w:val="xl114"/>
    <w:basedOn w:val="954"/>
    <w:next w:val="1312"/>
    <w:link w:val="954"/>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cs="宋体"/>
      <w:b/>
      <w:bCs/>
      <w:sz w:val="20"/>
      <w:szCs w:val="20"/>
    </w:rPr>
  </w:style>
  <w:style w:type="paragraph" w:styleId="1313">
    <w:name w:val="xl200"/>
    <w:basedOn w:val="954"/>
    <w:next w:val="1313"/>
    <w:link w:val="9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314">
    <w:name w:val="图5"/>
    <w:basedOn w:val="954"/>
    <w:next w:val="1314"/>
    <w:link w:val="954"/>
    <w:pPr>
      <w:jc w:val="center"/>
      <w:spacing w:line="220" w:lineRule="atLeast"/>
    </w:pPr>
    <w:rPr>
      <w:rFonts w:hint="eastAsia" w:ascii="仿宋_GB2312" w:hAnsi="Times New Roman" w:eastAsia="仿宋_GB2312"/>
      <w:sz w:val="21"/>
      <w:szCs w:val="20"/>
    </w:rPr>
  </w:style>
  <w:style w:type="paragraph" w:styleId="1315">
    <w:name w:val="xl78"/>
    <w:basedOn w:val="954"/>
    <w:next w:val="1315"/>
    <w:link w:val="9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16">
    <w:name w:val="xl93"/>
    <w:basedOn w:val="954"/>
    <w:next w:val="1316"/>
    <w:link w:val="954"/>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8"/>
      <w:szCs w:val="28"/>
    </w:rPr>
  </w:style>
  <w:style w:type="paragraph" w:styleId="1317">
    <w:name w:val="插图题注"/>
    <w:next w:val="954"/>
    <w:link w:val="954"/>
    <w:pPr>
      <w:numPr>
        <w:ilvl w:val="7"/>
        <w:numId w:val="6"/>
      </w:numPr>
      <w:jc w:val="center"/>
      <w:spacing w:after="240"/>
      <w:tabs>
        <w:tab w:val="left" w:pos="3360" w:leader="none"/>
      </w:tabs>
    </w:pPr>
    <w:rPr>
      <w:rFonts w:ascii="Arial" w:hAnsi="Arial"/>
      <w:sz w:val="18"/>
      <w:szCs w:val="18"/>
      <w:lang w:val="en-US" w:eastAsia="zh-CN" w:bidi="ar-SA"/>
    </w:rPr>
  </w:style>
  <w:style w:type="paragraph" w:styleId="1318">
    <w:name w:val="xl199"/>
    <w:basedOn w:val="954"/>
    <w:next w:val="1318"/>
    <w:link w:val="9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319">
    <w:name w:val="font19"/>
    <w:basedOn w:val="954"/>
    <w:next w:val="1319"/>
    <w:link w:val="954"/>
    <w:pPr>
      <w:jc w:val="left"/>
      <w:spacing w:before="100" w:beforeAutospacing="1" w:after="100" w:afterAutospacing="1"/>
      <w:widowControl/>
    </w:pPr>
    <w:rPr>
      <w:rFonts w:cs="宋体"/>
      <w:b/>
      <w:bCs/>
      <w:sz w:val="18"/>
      <w:szCs w:val="18"/>
    </w:rPr>
  </w:style>
  <w:style w:type="paragraph" w:styleId="1320">
    <w:name w:val="xl69"/>
    <w:basedOn w:val="954"/>
    <w:next w:val="1320"/>
    <w:link w:val="954"/>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321">
    <w:name w:val="font6"/>
    <w:basedOn w:val="954"/>
    <w:next w:val="1321"/>
    <w:link w:val="954"/>
    <w:pPr>
      <w:jc w:val="left"/>
      <w:spacing w:before="100" w:beforeAutospacing="1" w:after="100" w:afterAutospacing="1"/>
      <w:widowControl/>
    </w:pPr>
    <w:rPr>
      <w:rFonts w:cs="宋体"/>
      <w:sz w:val="18"/>
      <w:szCs w:val="18"/>
    </w:rPr>
  </w:style>
  <w:style w:type="paragraph" w:styleId="1322">
    <w:name w:val="Plain Text1"/>
    <w:basedOn w:val="954"/>
    <w:next w:val="1322"/>
    <w:link w:val="954"/>
    <w:rPr>
      <w:rFonts w:hAnsi="Courier New" w:eastAsia="楷体_GB2312"/>
      <w:sz w:val="28"/>
      <w:szCs w:val="20"/>
    </w:rPr>
  </w:style>
  <w:style w:type="paragraph" w:styleId="1323">
    <w:name w:val="xl100"/>
    <w:basedOn w:val="954"/>
    <w:next w:val="1323"/>
    <w:link w:val="954"/>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cs="宋体"/>
      <w:b/>
      <w:bCs/>
      <w:sz w:val="20"/>
      <w:szCs w:val="20"/>
    </w:rPr>
  </w:style>
  <w:style w:type="paragraph" w:styleId="1324">
    <w:name w:val="xl167"/>
    <w:basedOn w:val="954"/>
    <w:next w:val="1324"/>
    <w:link w:val="954"/>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eastAsia="微软雅黑" w:cs="宋体"/>
      <w:sz w:val="18"/>
      <w:szCs w:val="18"/>
    </w:rPr>
  </w:style>
  <w:style w:type="paragraph" w:styleId="1325">
    <w:name w:val="缺省文本"/>
    <w:basedOn w:val="954"/>
    <w:next w:val="1325"/>
    <w:link w:val="954"/>
    <w:pPr>
      <w:jc w:val="left"/>
      <w:spacing w:line="360" w:lineRule="auto"/>
    </w:pPr>
    <w:rPr>
      <w:rFonts w:ascii="Times New Roman" w:hAnsi="Times New Roman"/>
      <w:sz w:val="21"/>
      <w:szCs w:val="20"/>
    </w:rPr>
  </w:style>
  <w:style w:type="paragraph" w:styleId="1326">
    <w:name w:val="样式 段 + 四号 首行缩进:  2 字符 行距: 1.5 倍行距"/>
    <w:basedOn w:val="954"/>
    <w:next w:val="1326"/>
    <w:link w:val="954"/>
    <w:pPr>
      <w:ind w:firstLine="560"/>
      <w:spacing w:line="360" w:lineRule="auto"/>
      <w:widowControl/>
    </w:pPr>
    <w:rPr>
      <w:rFonts w:hAnsi="Times New Roman" w:cs="宋体"/>
      <w:szCs w:val="20"/>
    </w:rPr>
  </w:style>
  <w:style w:type="paragraph" w:styleId="1327">
    <w:name w:val="xl120"/>
    <w:basedOn w:val="954"/>
    <w:next w:val="1327"/>
    <w:link w:val="954"/>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328">
    <w:name w:val="xl131"/>
    <w:basedOn w:val="954"/>
    <w:next w:val="1328"/>
    <w:link w:val="954"/>
    <w:pPr>
      <w:jc w:val="left"/>
      <w:spacing w:before="100" w:beforeAutospacing="1" w:after="100" w:afterAutospacing="1"/>
      <w:widowControl/>
    </w:pPr>
    <w:rPr>
      <w:rFonts w:cs="宋体"/>
      <w:sz w:val="18"/>
      <w:szCs w:val="18"/>
    </w:rPr>
  </w:style>
  <w:style w:type="paragraph" w:styleId="1329">
    <w:name w:val="xl152"/>
    <w:basedOn w:val="954"/>
    <w:next w:val="1329"/>
    <w:link w:val="954"/>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30">
    <w:name w:val="5B"/>
    <w:next w:val="1330"/>
    <w:link w:val="954"/>
    <w:pPr>
      <w:jc w:val="both"/>
      <w:widowControl w:val="off"/>
    </w:pPr>
    <w:rPr>
      <w:rFonts w:ascii="宋体"/>
      <w:color w:val="000000"/>
      <w:sz w:val="18"/>
      <w:szCs w:val="18"/>
      <w:lang w:val="en-US" w:eastAsia="zh-CN" w:bidi="ar-SA"/>
    </w:rPr>
  </w:style>
  <w:style w:type="paragraph" w:styleId="1331">
    <w:name w:val="font22"/>
    <w:basedOn w:val="954"/>
    <w:next w:val="1331"/>
    <w:link w:val="954"/>
    <w:pPr>
      <w:jc w:val="left"/>
      <w:spacing w:before="100" w:beforeAutospacing="1" w:after="100" w:afterAutospacing="1"/>
      <w:widowControl/>
    </w:pPr>
    <w:rPr>
      <w:rFonts w:cs="宋体"/>
      <w:sz w:val="18"/>
      <w:szCs w:val="18"/>
    </w:rPr>
  </w:style>
  <w:style w:type="paragraph" w:styleId="1332">
    <w:name w:val="Plain Text"/>
    <w:basedOn w:val="954"/>
    <w:next w:val="1332"/>
    <w:link w:val="954"/>
    <w:qFormat/>
    <w:rPr>
      <w:rFonts w:hAnsi="Courier New" w:eastAsia="楷体_GB2312"/>
      <w:sz w:val="26"/>
      <w:szCs w:val="20"/>
    </w:rPr>
  </w:style>
  <w:style w:type="paragraph" w:styleId="1333">
    <w:name w:val="xl99"/>
    <w:basedOn w:val="954"/>
    <w:next w:val="1333"/>
    <w:link w:val="954"/>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34">
    <w:name w:val="xl154"/>
    <w:basedOn w:val="954"/>
    <w:next w:val="1334"/>
    <w:link w:val="9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35">
    <w:name w:val="xl84"/>
    <w:basedOn w:val="954"/>
    <w:next w:val="1335"/>
    <w:link w:val="954"/>
    <w:pPr>
      <w:jc w:val="center"/>
      <w:spacing w:before="100" w:beforeAutospacing="1" w:after="100" w:afterAutospacing="1"/>
      <w:shd w:val="clear" w:color="000000" w:fill="c0c0c0"/>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336">
    <w:name w:val="xl174"/>
    <w:basedOn w:val="954"/>
    <w:next w:val="1336"/>
    <w:link w:val="9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37">
    <w:name w:val="a4"/>
    <w:basedOn w:val="954"/>
    <w:next w:val="1337"/>
    <w:link w:val="954"/>
    <w:pPr>
      <w:jc w:val="left"/>
      <w:spacing w:before="100" w:beforeAutospacing="1" w:after="100" w:afterAutospacing="1"/>
      <w:widowControl/>
    </w:pPr>
    <w:rPr>
      <w:color w:val="666666"/>
      <w:sz w:val="20"/>
      <w:szCs w:val="20"/>
    </w:rPr>
  </w:style>
  <w:style w:type="paragraph" w:styleId="1338">
    <w:name w:val="正文 New"/>
    <w:next w:val="1338"/>
    <w:link w:val="954"/>
    <w:qFormat/>
    <w:pPr>
      <w:jc w:val="both"/>
      <w:widowControl w:val="off"/>
    </w:pPr>
    <w:rPr>
      <w:rFonts w:ascii="宋体" w:hAnsi="宋体" w:cs="宋体"/>
      <w:sz w:val="21"/>
      <w:szCs w:val="24"/>
      <w:lang w:val="en-US" w:eastAsia="zh-CN" w:bidi="ar-SA"/>
    </w:rPr>
  </w:style>
  <w:style w:type="paragraph" w:styleId="1339">
    <w:name w:val="xl194"/>
    <w:basedOn w:val="954"/>
    <w:next w:val="1339"/>
    <w:link w:val="954"/>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8" w:space="0"/>
      </w:pBdr>
    </w:pPr>
    <w:rPr>
      <w:rFonts w:ascii="微软雅黑" w:eastAsia="微软雅黑" w:cs="宋体"/>
      <w:b/>
      <w:bCs/>
      <w:sz w:val="22"/>
      <w:szCs w:val="22"/>
    </w:rPr>
  </w:style>
  <w:style w:type="paragraph" w:styleId="1340">
    <w:name w:val="前言、引言标题"/>
    <w:next w:val="954"/>
    <w:link w:val="954"/>
    <w:pPr>
      <w:numPr>
        <w:ilvl w:val="2"/>
        <w:numId w:val="2"/>
      </w:numPr>
      <w:jc w:val="center"/>
      <w:spacing w:before="640" w:after="560"/>
      <w:shd w:val="clear" w:color="ffffff" w:fill="ffffff"/>
      <w:outlineLvl w:val="0"/>
    </w:pPr>
    <w:rPr>
      <w:rFonts w:ascii="黑体" w:eastAsia="黑体"/>
      <w:sz w:val="32"/>
      <w:lang w:val="en-US" w:eastAsia="zh-CN" w:bidi="ar-SA"/>
    </w:rPr>
  </w:style>
  <w:style w:type="paragraph" w:styleId="1341">
    <w:name w:val="font5"/>
    <w:basedOn w:val="954"/>
    <w:next w:val="1341"/>
    <w:link w:val="954"/>
    <w:pPr>
      <w:jc w:val="left"/>
      <w:spacing w:before="100" w:beforeAutospacing="1" w:after="100" w:afterAutospacing="1"/>
      <w:widowControl/>
    </w:pPr>
    <w:rPr>
      <w:rFonts w:cs="宋体"/>
      <w:sz w:val="18"/>
      <w:szCs w:val="18"/>
    </w:rPr>
  </w:style>
  <w:style w:type="paragraph" w:styleId="1342">
    <w:name w:val="xl164"/>
    <w:basedOn w:val="954"/>
    <w:next w:val="1342"/>
    <w:link w:val="954"/>
    <w:pPr>
      <w:jc w:val="left"/>
      <w:spacing w:before="100" w:beforeAutospacing="1" w:after="100" w:afterAutospacing="1"/>
      <w:widowControl/>
    </w:pPr>
    <w:rPr>
      <w:rFonts w:ascii="Courier New" w:hAnsi="Courier New" w:cs="Courier New"/>
    </w:rPr>
  </w:style>
  <w:style w:type="paragraph" w:styleId="1343">
    <w:name w:val="P1"/>
    <w:next w:val="1343"/>
    <w:link w:val="954"/>
    <w:pPr>
      <w:ind w:left="2304" w:hanging="576"/>
      <w:jc w:val="both"/>
      <w:spacing w:after="240" w:line="0" w:lineRule="atLeast"/>
      <w:widowControl w:val="off"/>
    </w:pPr>
    <w:rPr>
      <w:rFonts w:eastAsia="全真中明體"/>
      <w:spacing w:val="30"/>
      <w:sz w:val="24"/>
      <w:lang w:val="en-GB" w:eastAsia="zh-TW" w:bidi="ar-SA"/>
    </w:rPr>
  </w:style>
  <w:style w:type="paragraph" w:styleId="1344">
    <w:name w:val="定货2"/>
    <w:next w:val="1344"/>
    <w:link w:val="954"/>
    <w:pPr>
      <w:jc w:val="both"/>
      <w:spacing w:line="230" w:lineRule="atLeast"/>
      <w:widowControl w:val="off"/>
    </w:pPr>
    <w:rPr>
      <w:rFonts w:ascii="宋体"/>
      <w:sz w:val="18"/>
      <w:szCs w:val="18"/>
      <w:lang w:val="en-US" w:eastAsia="zh-CN" w:bidi="ar-SA"/>
    </w:rPr>
  </w:style>
  <w:style w:type="paragraph" w:styleId="1345">
    <w:name w:val="xl94"/>
    <w:basedOn w:val="954"/>
    <w:next w:val="1345"/>
    <w:link w:val="954"/>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8"/>
      <w:szCs w:val="28"/>
    </w:rPr>
  </w:style>
  <w:style w:type="paragraph" w:styleId="1346">
    <w:name w:val="xl80"/>
    <w:basedOn w:val="954"/>
    <w:next w:val="1346"/>
    <w:link w:val="954"/>
    <w:pPr>
      <w:jc w:val="left"/>
      <w:spacing w:before="100" w:beforeAutospacing="1" w:after="100" w:afterAutospacing="1"/>
      <w:widowControl/>
    </w:pPr>
    <w:rPr>
      <w:rFonts w:ascii="微软雅黑" w:hAnsi="微软雅黑" w:eastAsia="微软雅黑" w:cs="宋体"/>
      <w:sz w:val="20"/>
      <w:szCs w:val="20"/>
    </w:rPr>
  </w:style>
  <w:style w:type="paragraph" w:styleId="1347">
    <w:name w:val="P3"/>
    <w:next w:val="1347"/>
    <w:link w:val="954"/>
    <w:pPr>
      <w:ind w:left="2880" w:hanging="576"/>
      <w:jc w:val="both"/>
      <w:spacing w:after="240" w:line="0" w:lineRule="atLeast"/>
      <w:widowControl w:val="off"/>
    </w:pPr>
    <w:rPr>
      <w:rFonts w:eastAsia="全真中明體"/>
      <w:spacing w:val="30"/>
      <w:sz w:val="24"/>
      <w:lang w:val="en-GB" w:eastAsia="zh-TW" w:bidi="ar-SA"/>
    </w:rPr>
  </w:style>
  <w:style w:type="paragraph" w:styleId="1348">
    <w:name w:val="说明"/>
    <w:basedOn w:val="1349"/>
    <w:next w:val="1140"/>
    <w:link w:val="954"/>
    <w:pPr>
      <w:numPr>
        <w:ilvl w:val="0"/>
        <w:numId w:val="11"/>
      </w:numPr>
      <w:shd w:val="clear" w:color="auto" w:fill="ffffaf"/>
      <w:tabs>
        <w:tab w:val="left" w:pos="425" w:leader="none"/>
      </w:tabs>
    </w:pPr>
  </w:style>
  <w:style w:type="paragraph" w:styleId="1349">
    <w:name w:val="建议"/>
    <w:basedOn w:val="1140"/>
    <w:next w:val="1140"/>
    <w:link w:val="954"/>
    <w:pPr>
      <w:numPr>
        <w:ilvl w:val="0"/>
        <w:numId w:val="10"/>
      </w:numPr>
      <w:ind w:left="425" w:hanging="425"/>
      <w:spacing w:before="312" w:after="312"/>
      <w:shd w:val="clear" w:color="auto" w:fill="d1ffd1"/>
      <w:tabs>
        <w:tab w:val="left" w:pos="425" w:leader="none"/>
      </w:tabs>
    </w:pPr>
    <w:rPr>
      <w:rFonts w:eastAsia="楷体_GB2312"/>
    </w:rPr>
  </w:style>
  <w:style w:type="paragraph" w:styleId="1350">
    <w:name w:val="xl157"/>
    <w:basedOn w:val="954"/>
    <w:next w:val="1350"/>
    <w:link w:val="9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51">
    <w:name w:val="style79"/>
    <w:basedOn w:val="954"/>
    <w:next w:val="1351"/>
    <w:link w:val="954"/>
    <w:pPr>
      <w:jc w:val="left"/>
      <w:spacing w:before="100" w:beforeAutospacing="1" w:after="100" w:afterAutospacing="1"/>
      <w:widowControl/>
    </w:pPr>
    <w:rPr>
      <w:rFonts w:ascii="Arial Unicode MS" w:hAnsi="Arial Unicode MS" w:eastAsia="Arial Unicode MS" w:cs="Arial Unicode MS"/>
    </w:rPr>
  </w:style>
  <w:style w:type="paragraph" w:styleId="1352">
    <w:name w:val="符号列表"/>
    <w:basedOn w:val="954"/>
    <w:next w:val="1352"/>
    <w:link w:val="954"/>
    <w:uiPriority w:val="34"/>
    <w:qFormat/>
    <w:pPr>
      <w:ind w:left="420" w:hanging="420"/>
      <w:spacing w:line="440" w:lineRule="exact"/>
      <w:tabs>
        <w:tab w:val="left" w:pos="420" w:leader="none"/>
      </w:tabs>
    </w:pPr>
    <w:rPr>
      <w:rFonts w:ascii="Times New Roman" w:hAnsi="Times New Roman"/>
      <w:szCs w:val="20"/>
    </w:rPr>
  </w:style>
  <w:style w:type="paragraph" w:styleId="1353">
    <w:name w:val="xl159"/>
    <w:basedOn w:val="954"/>
    <w:next w:val="1353"/>
    <w:link w:val="9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18"/>
      <w:szCs w:val="18"/>
    </w:rPr>
  </w:style>
  <w:style w:type="paragraph" w:styleId="1354">
    <w:name w:val="xl211"/>
    <w:basedOn w:val="954"/>
    <w:next w:val="1354"/>
    <w:link w:val="954"/>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355">
    <w:name w:val="正文格式"/>
    <w:basedOn w:val="954"/>
    <w:next w:val="1355"/>
    <w:link w:val="954"/>
    <w:pPr>
      <w:ind w:firstLine="480"/>
      <w:jc w:val="left"/>
      <w:spacing w:line="360" w:lineRule="auto"/>
      <w:widowControl/>
    </w:pPr>
    <w:rPr>
      <w:bCs/>
      <w:color w:val="000000"/>
    </w:rPr>
  </w:style>
  <w:style w:type="paragraph" w:styleId="1356">
    <w:name w:val="正文0"/>
    <w:basedOn w:val="954"/>
    <w:next w:val="1356"/>
    <w:link w:val="954"/>
    <w:pPr>
      <w:ind w:left="215" w:firstLine="431"/>
      <w:spacing w:before="120" w:line="360" w:lineRule="auto"/>
    </w:pPr>
    <w:rPr>
      <w:rFonts w:ascii="Times New Roman" w:hAnsi="Times New Roman"/>
      <w:szCs w:val="20"/>
    </w:rPr>
  </w:style>
  <w:style w:type="paragraph" w:styleId="1357">
    <w:name w:val="警告"/>
    <w:basedOn w:val="1349"/>
    <w:next w:val="1140"/>
    <w:link w:val="954"/>
    <w:pPr>
      <w:shd w:val="clear" w:color="auto" w:fill="ffd1d1"/>
      <w:tabs>
        <w:tab w:val="left" w:pos="425" w:leader="none"/>
      </w:tabs>
    </w:pPr>
  </w:style>
  <w:style w:type="paragraph" w:styleId="1358">
    <w:name w:val="Char4"/>
    <w:basedOn w:val="954"/>
    <w:next w:val="1358"/>
    <w:link w:val="954"/>
    <w:pPr>
      <w:jc w:val="left"/>
      <w:spacing w:after="160" w:line="240" w:lineRule="exact"/>
      <w:widowControl/>
    </w:pPr>
    <w:rPr>
      <w:rFonts w:ascii="Verdana" w:hAnsi="Verdana"/>
      <w:sz w:val="21"/>
      <w:szCs w:val="20"/>
      <w:lang w:eastAsia="en-US"/>
    </w:rPr>
  </w:style>
  <w:style w:type="paragraph" w:styleId="1359">
    <w:name w:val="xl109"/>
    <w:basedOn w:val="954"/>
    <w:next w:val="1359"/>
    <w:link w:val="954"/>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360">
    <w:name w:val=" Char Char Char"/>
    <w:basedOn w:val="954"/>
    <w:next w:val="1360"/>
    <w:link w:val="954"/>
    <w:pPr>
      <w:ind w:left="720" w:hanging="720"/>
      <w:tabs>
        <w:tab w:val="left" w:pos="720" w:leader="none"/>
      </w:tabs>
    </w:pPr>
    <w:rPr>
      <w:rFonts w:ascii="Times New Roman" w:hAnsi="Times New Roman"/>
    </w:rPr>
  </w:style>
  <w:style w:type="paragraph" w:styleId="1361">
    <w:name w:val="font25"/>
    <w:basedOn w:val="954"/>
    <w:next w:val="1361"/>
    <w:link w:val="954"/>
    <w:pPr>
      <w:jc w:val="left"/>
      <w:spacing w:before="100" w:beforeAutospacing="1" w:after="100" w:afterAutospacing="1"/>
      <w:widowControl/>
    </w:pPr>
    <w:rPr>
      <w:rFonts w:cs="宋体"/>
      <w:sz w:val="18"/>
      <w:szCs w:val="18"/>
    </w:rPr>
  </w:style>
  <w:style w:type="paragraph" w:styleId="1362">
    <w:name w:val="font14"/>
    <w:basedOn w:val="954"/>
    <w:next w:val="1362"/>
    <w:link w:val="954"/>
    <w:pPr>
      <w:jc w:val="left"/>
      <w:spacing w:before="100" w:beforeAutospacing="1" w:after="100" w:afterAutospacing="1"/>
      <w:widowControl/>
    </w:pPr>
    <w:rPr>
      <w:rFonts w:cs="宋体"/>
      <w:b/>
      <w:bCs/>
      <w:sz w:val="18"/>
      <w:szCs w:val="18"/>
    </w:rPr>
  </w:style>
  <w:style w:type="paragraph" w:styleId="1363">
    <w:name w:val="xl115"/>
    <w:basedOn w:val="954"/>
    <w:next w:val="1363"/>
    <w:link w:val="954"/>
    <w:pPr>
      <w:jc w:val="center"/>
      <w:spacing w:before="100" w:beforeAutospacing="1" w:after="100" w:afterAutospacing="1"/>
      <w:shd w:val="clear" w:color="auto" w:fill="ffffff"/>
      <w:widowControl/>
      <w:pBdr>
        <w:top w:val="single" w:color="000000" w:sz="4" w:space="0"/>
        <w:bottom w:val="single" w:color="000000" w:sz="4" w:space="0"/>
        <w:right w:val="single" w:color="000000" w:sz="4" w:space="0"/>
      </w:pBdr>
    </w:pPr>
    <w:rPr>
      <w:rFonts w:cs="宋体"/>
      <w:b/>
      <w:bCs/>
      <w:sz w:val="20"/>
      <w:szCs w:val="20"/>
    </w:rPr>
  </w:style>
  <w:style w:type="paragraph" w:styleId="1364">
    <w:name w:val="text"/>
    <w:basedOn w:val="954"/>
    <w:next w:val="1364"/>
    <w:link w:val="954"/>
    <w:pPr>
      <w:jc w:val="left"/>
      <w:spacing w:before="100" w:beforeAutospacing="1" w:after="100" w:afterAutospacing="1"/>
      <w:widowControl/>
    </w:pPr>
    <w:rPr>
      <w:rFonts w:ascii="ˎ̥" w:hAnsi="ˎ̥" w:cs="宋体"/>
      <w:color w:val="000000"/>
      <w:sz w:val="18"/>
      <w:szCs w:val="18"/>
    </w:rPr>
  </w:style>
  <w:style w:type="paragraph" w:styleId="1365">
    <w:name w:val="项目介绍"/>
    <w:basedOn w:val="954"/>
    <w:next w:val="1365"/>
    <w:link w:val="954"/>
    <w:pPr>
      <w:jc w:val="left"/>
      <w:widowControl/>
      <w:tabs>
        <w:tab w:val="left" w:pos="5000" w:leader="none"/>
        <w:tab w:val="left" w:pos="5600" w:leader="none"/>
      </w:tabs>
    </w:pPr>
    <w:rPr>
      <w:rFonts w:ascii="Times New Roman" w:hAnsi="Times New Roman" w:eastAsia="楷体_GB2312"/>
      <w:szCs w:val="20"/>
    </w:rPr>
  </w:style>
  <w:style w:type="paragraph" w:styleId="1366">
    <w:name w:val="font13"/>
    <w:basedOn w:val="954"/>
    <w:next w:val="1366"/>
    <w:link w:val="954"/>
    <w:pPr>
      <w:jc w:val="left"/>
      <w:spacing w:before="100" w:beforeAutospacing="1" w:after="100" w:afterAutospacing="1"/>
      <w:widowControl/>
    </w:pPr>
    <w:rPr>
      <w:rFonts w:cs="宋体"/>
      <w:sz w:val="18"/>
      <w:szCs w:val="18"/>
    </w:rPr>
  </w:style>
  <w:style w:type="paragraph" w:styleId="1367">
    <w:name w:val="并列"/>
    <w:basedOn w:val="954"/>
    <w:next w:val="1367"/>
    <w:link w:val="954"/>
    <w:pPr>
      <w:numPr>
        <w:ilvl w:val="0"/>
        <w:numId w:val="12"/>
      </w:numPr>
      <w:spacing w:line="440" w:lineRule="exact"/>
      <w:tabs>
        <w:tab w:val="left" w:pos="482" w:leader="none"/>
      </w:tabs>
      <w:outlineLvl w:val="8"/>
    </w:pPr>
    <w:rPr>
      <w:rFonts w:ascii="Times New Roman" w:hAnsi="Times New Roman"/>
    </w:rPr>
  </w:style>
  <w:style w:type="paragraph" w:styleId="1368">
    <w:name w:val="Char Char Char Char"/>
    <w:basedOn w:val="985"/>
    <w:next w:val="1368"/>
    <w:link w:val="954"/>
    <w:pPr>
      <w:spacing w:line="360" w:lineRule="auto"/>
    </w:pPr>
    <w:rPr>
      <w:rFonts w:ascii="Tahoma" w:hAnsi="Tahoma"/>
    </w:rPr>
  </w:style>
  <w:style w:type="paragraph" w:styleId="1369">
    <w:name w:val="目  录"/>
    <w:basedOn w:val="954"/>
    <w:next w:val="1013"/>
    <w:link w:val="954"/>
    <w:pPr>
      <w:ind w:left="200"/>
      <w:jc w:val="center"/>
      <w:spacing w:before="50" w:after="50"/>
      <w:widowControl/>
    </w:pPr>
    <w:rPr>
      <w:rFonts w:ascii="Times New Roman" w:hAnsi="Times New Roman" w:eastAsia="黑体"/>
      <w:sz w:val="32"/>
      <w:szCs w:val="18"/>
    </w:rPr>
  </w:style>
  <w:style w:type="paragraph" w:styleId="1370">
    <w:name w:val="xl72"/>
    <w:basedOn w:val="954"/>
    <w:next w:val="1370"/>
    <w:link w:val="954"/>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371">
    <w:name w:val="8"/>
    <w:next w:val="1371"/>
    <w:link w:val="954"/>
    <w:pPr>
      <w:jc w:val="right"/>
      <w:spacing w:line="240" w:lineRule="atLeast"/>
      <w:widowControl w:val="off"/>
    </w:pPr>
    <w:rPr>
      <w:rFonts w:ascii="宋体"/>
      <w:sz w:val="18"/>
      <w:szCs w:val="18"/>
      <w:lang w:val="en-US" w:eastAsia="zh-CN" w:bidi="ar-SA"/>
    </w:rPr>
  </w:style>
  <w:style w:type="paragraph" w:styleId="1372">
    <w:name w:val="xl148"/>
    <w:basedOn w:val="954"/>
    <w:next w:val="1372"/>
    <w:link w:val="9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73">
    <w:name w:val="xl172"/>
    <w:basedOn w:val="954"/>
    <w:next w:val="1373"/>
    <w:link w:val="9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74">
    <w:name w:val="xl168"/>
    <w:basedOn w:val="954"/>
    <w:next w:val="1374"/>
    <w:link w:val="9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75">
    <w:name w:val="xl151"/>
    <w:basedOn w:val="954"/>
    <w:next w:val="1375"/>
    <w:link w:val="954"/>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76">
    <w:name w:val="无间隔"/>
    <w:next w:val="1376"/>
    <w:link w:val="954"/>
    <w:qFormat/>
    <w:pPr>
      <w:jc w:val="both"/>
      <w:widowControl w:val="off"/>
    </w:pPr>
    <w:rPr>
      <w:sz w:val="24"/>
      <w:szCs w:val="24"/>
      <w:lang w:val="en-US" w:eastAsia="zh-CN" w:bidi="ar-SA"/>
    </w:rPr>
  </w:style>
  <w:style w:type="paragraph" w:styleId="1377">
    <w:name w:val="font8"/>
    <w:basedOn w:val="954"/>
    <w:next w:val="1377"/>
    <w:link w:val="954"/>
    <w:pPr>
      <w:jc w:val="left"/>
      <w:spacing w:before="100" w:beforeAutospacing="1" w:after="100" w:afterAutospacing="1"/>
      <w:widowControl/>
    </w:pPr>
    <w:rPr>
      <w:rFonts w:ascii="微软雅黑" w:eastAsia="微软雅黑" w:cs="宋体"/>
      <w:sz w:val="18"/>
      <w:szCs w:val="18"/>
    </w:rPr>
  </w:style>
  <w:style w:type="paragraph" w:styleId="1378">
    <w:name w:val="xl98"/>
    <w:basedOn w:val="954"/>
    <w:next w:val="1378"/>
    <w:link w:val="954"/>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79">
    <w:name w:val="xl146"/>
    <w:basedOn w:val="954"/>
    <w:next w:val="1379"/>
    <w:link w:val="9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80">
    <w:name w:val=" Char"/>
    <w:basedOn w:val="985"/>
    <w:next w:val="1380"/>
    <w:link w:val="954"/>
    <w:pPr>
      <w:spacing w:line="360" w:lineRule="auto"/>
    </w:pPr>
    <w:rPr>
      <w:rFonts w:ascii="Tahoma" w:hAnsi="Tahoma"/>
    </w:rPr>
  </w:style>
  <w:style w:type="paragraph" w:styleId="1381">
    <w:name w:val="jwm12"/>
    <w:basedOn w:val="954"/>
    <w:next w:val="1381"/>
    <w:link w:val="954"/>
    <w:pPr>
      <w:jc w:val="left"/>
      <w:spacing w:before="100" w:beforeAutospacing="1" w:after="100" w:afterAutospacing="1"/>
      <w:widowControl/>
    </w:pPr>
    <w:rPr>
      <w:rFonts w:cs="宋体"/>
    </w:rPr>
  </w:style>
  <w:style w:type="paragraph" w:styleId="1382">
    <w:name w:val="Figure"/>
    <w:basedOn w:val="954"/>
    <w:next w:val="954"/>
    <w:link w:val="954"/>
    <w:pPr>
      <w:ind w:left="200"/>
      <w:jc w:val="center"/>
      <w:keepLines/>
      <w:keepNext/>
      <w:widowControl/>
    </w:pPr>
    <w:rPr>
      <w:rFonts w:ascii="Times New Roman" w:hAnsi="Times New Roman"/>
      <w:sz w:val="21"/>
      <w:szCs w:val="18"/>
    </w:rPr>
  </w:style>
  <w:style w:type="paragraph" w:styleId="1383">
    <w:name w:val="汉议细等线简8"/>
    <w:next w:val="1383"/>
    <w:link w:val="954"/>
    <w:pPr>
      <w:jc w:val="both"/>
      <w:spacing w:line="260" w:lineRule="atLeast"/>
      <w:widowControl w:val="off"/>
    </w:pPr>
    <w:rPr>
      <w:rFonts w:ascii="汉仪细等线简" w:eastAsia="汉仪细等线简"/>
      <w:color w:val="000000"/>
      <w:sz w:val="16"/>
      <w:szCs w:val="16"/>
      <w:lang w:val="en-US" w:eastAsia="zh-CN" w:bidi="ar-SA"/>
    </w:rPr>
  </w:style>
  <w:style w:type="paragraph" w:styleId="1384">
    <w:name w:val="Figure Description"/>
    <w:basedOn w:val="1382"/>
    <w:next w:val="969"/>
    <w:link w:val="954"/>
    <w:pPr>
      <w:numPr>
        <w:ilvl w:val="4"/>
        <w:numId w:val="6"/>
      </w:numPr>
      <w:spacing w:after="50"/>
      <w:tabs>
        <w:tab w:val="left" w:pos="2100" w:leader="none"/>
      </w:tabs>
    </w:pPr>
    <w:rPr>
      <w:sz w:val="18"/>
    </w:rPr>
  </w:style>
  <w:style w:type="paragraph" w:styleId="1385">
    <w:name w:val="xl163"/>
    <w:basedOn w:val="954"/>
    <w:next w:val="1385"/>
    <w:link w:val="954"/>
    <w:pPr>
      <w:jc w:val="left"/>
      <w:spacing w:before="100" w:beforeAutospacing="1" w:after="100" w:afterAutospacing="1"/>
      <w:widowControl/>
    </w:pPr>
    <w:rPr>
      <w:rFonts w:ascii="Courier New" w:hAnsi="Courier New" w:cs="Courier New"/>
    </w:rPr>
  </w:style>
  <w:style w:type="paragraph" w:styleId="1386">
    <w:name w:val="表格 居中"/>
    <w:basedOn w:val="954"/>
    <w:next w:val="1386"/>
    <w:link w:val="954"/>
    <w:pPr>
      <w:jc w:val="center"/>
    </w:pPr>
    <w:rPr>
      <w:rFonts w:ascii="Times New Roman" w:hAnsi="Times New Roman"/>
      <w:sz w:val="21"/>
      <w:szCs w:val="20"/>
    </w:rPr>
  </w:style>
  <w:style w:type="paragraph" w:styleId="1387">
    <w:name w:val="xl209"/>
    <w:basedOn w:val="954"/>
    <w:next w:val="1387"/>
    <w:link w:val="954"/>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388">
    <w:name w:val="xl142"/>
    <w:basedOn w:val="954"/>
    <w:next w:val="1388"/>
    <w:link w:val="9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89">
    <w:name w:val="正文3"/>
    <w:basedOn w:val="954"/>
    <w:next w:val="1389"/>
    <w:link w:val="954"/>
    <w:pPr>
      <w:ind w:left="420" w:hanging="420"/>
      <w:spacing w:before="120" w:line="300" w:lineRule="auto"/>
      <w:tabs>
        <w:tab w:val="left" w:pos="420" w:leader="none"/>
      </w:tabs>
    </w:pPr>
    <w:rPr>
      <w:rFonts w:hAnsi="Arial"/>
      <w:szCs w:val="20"/>
    </w:rPr>
  </w:style>
  <w:style w:type="paragraph" w:styleId="1390">
    <w:name w:val="正文缩进1"/>
    <w:basedOn w:val="954"/>
    <w:next w:val="1390"/>
    <w:link w:val="954"/>
    <w:pPr>
      <w:ind w:firstLine="420"/>
      <w:jc w:val="left"/>
    </w:pPr>
    <w:rPr>
      <w:rFonts w:eastAsia="楷体_GB2312"/>
      <w:szCs w:val="21"/>
    </w:rPr>
  </w:style>
  <w:style w:type="paragraph" w:styleId="1391">
    <w:name w:val="条例"/>
    <w:basedOn w:val="954"/>
    <w:next w:val="1391"/>
    <w:link w:val="954"/>
    <w:pPr>
      <w:ind w:left="2" w:right="210" w:firstLine="2"/>
      <w:keepLines/>
      <w:spacing w:line="320" w:lineRule="exact"/>
      <w:widowControl/>
    </w:pPr>
    <w:rPr>
      <w:szCs w:val="20"/>
    </w:rPr>
  </w:style>
  <w:style w:type="paragraph" w:styleId="1392">
    <w:name w:val="xl68"/>
    <w:basedOn w:val="954"/>
    <w:next w:val="1392"/>
    <w:link w:val="954"/>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93">
    <w:name w:val="Char1"/>
    <w:basedOn w:val="954"/>
    <w:next w:val="1393"/>
    <w:link w:val="954"/>
    <w:pPr>
      <w:jc w:val="left"/>
      <w:spacing w:after="160" w:line="240" w:lineRule="exact"/>
      <w:widowControl/>
    </w:pPr>
    <w:rPr>
      <w:rFonts w:ascii="Times New Roman" w:hAnsi="Times New Roman"/>
      <w:sz w:val="21"/>
    </w:rPr>
  </w:style>
  <w:style w:type="paragraph" w:styleId="1394">
    <w:name w:val="afont"/>
    <w:basedOn w:val="954"/>
    <w:next w:val="1394"/>
    <w:link w:val="954"/>
    <w:pPr>
      <w:jc w:val="left"/>
      <w:spacing w:before="100" w:after="100" w:line="285" w:lineRule="atLeast"/>
      <w:widowControl/>
    </w:pPr>
    <w:rPr>
      <w:sz w:val="18"/>
      <w:szCs w:val="20"/>
    </w:rPr>
  </w:style>
  <w:style w:type="paragraph" w:styleId="1395">
    <w:name w:val="小标题"/>
    <w:basedOn w:val="1281"/>
    <w:next w:val="1281"/>
    <w:link w:val="954"/>
    <w:pPr>
      <w:ind w:firstLine="0"/>
      <w:spacing w:line="360" w:lineRule="auto"/>
    </w:pPr>
    <w:rPr>
      <w:rFonts w:ascii="宋体" w:hAnsi="宋体"/>
      <w:b/>
      <w:bCs/>
      <w:color w:val="000000"/>
      <w:szCs w:val="32"/>
    </w:rPr>
  </w:style>
  <w:style w:type="paragraph" w:styleId="1396">
    <w:name w:val="xl153"/>
    <w:basedOn w:val="954"/>
    <w:next w:val="1396"/>
    <w:link w:val="9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97">
    <w:name w:val="正文段"/>
    <w:basedOn w:val="954"/>
    <w:next w:val="1397"/>
    <w:link w:val="954"/>
    <w:pPr>
      <w:ind w:firstLine="454"/>
      <w:spacing w:after="240" w:line="240" w:lineRule="atLeast"/>
      <w:widowControl/>
    </w:pPr>
    <w:rPr>
      <w:rFonts w:hAnsi="Times New Roman"/>
      <w:szCs w:val="20"/>
    </w:rPr>
  </w:style>
  <w:style w:type="paragraph" w:styleId="1398">
    <w:name w:val="xl188"/>
    <w:basedOn w:val="954"/>
    <w:next w:val="1398"/>
    <w:link w:val="954"/>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微软雅黑" w:eastAsia="微软雅黑" w:cs="宋体"/>
      <w:sz w:val="18"/>
      <w:szCs w:val="18"/>
    </w:rPr>
  </w:style>
  <w:style w:type="paragraph" w:styleId="1399">
    <w:name w:val="纯文本3"/>
    <w:basedOn w:val="954"/>
    <w:next w:val="1399"/>
    <w:link w:val="954"/>
    <w:qFormat/>
    <w:rPr>
      <w:rFonts w:hAnsi="Courier New" w:eastAsia="楷体_GB2312"/>
      <w:sz w:val="28"/>
      <w:szCs w:val="20"/>
    </w:rPr>
  </w:style>
  <w:style w:type="paragraph" w:styleId="1400">
    <w:name w:val="xl64"/>
    <w:basedOn w:val="954"/>
    <w:next w:val="1400"/>
    <w:link w:val="954"/>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color w:val="000000"/>
      <w:sz w:val="20"/>
      <w:szCs w:val="20"/>
    </w:rPr>
  </w:style>
  <w:style w:type="paragraph" w:styleId="1401">
    <w:name w:val="xl170"/>
    <w:basedOn w:val="954"/>
    <w:next w:val="1401"/>
    <w:link w:val="9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02">
    <w:name w:val="xl217"/>
    <w:basedOn w:val="954"/>
    <w:next w:val="1402"/>
    <w:link w:val="954"/>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403">
    <w:name w:val="xl161"/>
    <w:basedOn w:val="954"/>
    <w:next w:val="1403"/>
    <w:link w:val="954"/>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04">
    <w:name w:val="Block"/>
    <w:basedOn w:val="954"/>
    <w:next w:val="1140"/>
    <w:link w:val="954"/>
    <w:rPr>
      <w:rFonts w:ascii="Arial" w:hAnsi="Arial" w:eastAsia="楷体_GB2312"/>
      <w:color w:val="000080"/>
      <w:sz w:val="28"/>
      <w:szCs w:val="28"/>
    </w:rPr>
  </w:style>
  <w:style w:type="paragraph" w:styleId="1405">
    <w:name w:val="xl113"/>
    <w:basedOn w:val="954"/>
    <w:next w:val="1405"/>
    <w:link w:val="954"/>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406">
    <w:name w:val="9"/>
    <w:next w:val="1406"/>
    <w:link w:val="954"/>
    <w:pPr>
      <w:jc w:val="both"/>
      <w:widowControl w:val="off"/>
    </w:pPr>
    <w:rPr>
      <w:rFonts w:ascii="宋体"/>
      <w:b/>
      <w:bCs/>
      <w:color w:val="000000"/>
      <w:spacing w:val="15"/>
      <w:sz w:val="18"/>
      <w:szCs w:val="18"/>
      <w:lang w:val="en-US" w:eastAsia="zh-CN" w:bidi="ar-SA"/>
    </w:rPr>
  </w:style>
  <w:style w:type="paragraph" w:styleId="1407">
    <w:name w:val="Item list in table"/>
    <w:basedOn w:val="954"/>
    <w:next w:val="1407"/>
    <w:link w:val="954"/>
    <w:pPr>
      <w:numPr>
        <w:ilvl w:val="0"/>
        <w:numId w:val="13"/>
      </w:numPr>
      <w:widowControl/>
      <w:tabs>
        <w:tab w:val="left" w:pos="420" w:leader="none"/>
      </w:tabs>
    </w:pPr>
    <w:rPr>
      <w:rFonts w:ascii="Times New Roman" w:hAnsi="Times New Roman"/>
      <w:sz w:val="18"/>
      <w:szCs w:val="18"/>
    </w:rPr>
  </w:style>
  <w:style w:type="paragraph" w:styleId="1408">
    <w:name w:val="xl205"/>
    <w:basedOn w:val="954"/>
    <w:next w:val="1408"/>
    <w:link w:val="954"/>
    <w:pPr>
      <w:jc w:val="center"/>
      <w:spacing w:before="100" w:beforeAutospacing="1" w:after="100" w:afterAutospacing="1"/>
      <w:widowControl/>
      <w:pBdr>
        <w:bottom w:val="single" w:color="000000" w:sz="8" w:space="0"/>
      </w:pBdr>
    </w:pPr>
    <w:rPr>
      <w:rFonts w:ascii="黑体" w:eastAsia="黑体" w:cs="宋体"/>
      <w:b/>
      <w:bCs/>
      <w:sz w:val="32"/>
      <w:szCs w:val="32"/>
    </w:rPr>
  </w:style>
  <w:style w:type="paragraph" w:styleId="1409">
    <w:name w:val="样式 标题 2 + 首行缩进:  0.62 字符"/>
    <w:basedOn w:val="956"/>
    <w:next w:val="1409"/>
    <w:link w:val="954"/>
    <w:pPr>
      <w:numPr>
        <w:ilvl w:val="0"/>
        <w:numId w:val="0"/>
      </w:numPr>
      <w:ind w:firstLine="187"/>
      <w:spacing w:line="360" w:lineRule="auto"/>
      <w:tabs>
        <w:tab w:val="left" w:pos="576" w:leader="none"/>
      </w:tabs>
    </w:pPr>
    <w:rPr>
      <w:rFonts w:cs="宋体"/>
      <w:bCs/>
      <w:sz w:val="30"/>
    </w:rPr>
  </w:style>
  <w:style w:type="paragraph" w:styleId="1410">
    <w:name w:val="样式 标题 2H2Heading 2 HiddenHeading 2 CCBSheading 22nd levelh..."/>
    <w:basedOn w:val="956"/>
    <w:next w:val="1410"/>
    <w:link w:val="954"/>
    <w:pPr>
      <w:numPr>
        <w:ilvl w:val="1"/>
        <w:numId w:val="0"/>
      </w:numPr>
      <w:ind w:left="576" w:hanging="576"/>
      <w:spacing w:before="120" w:after="120" w:line="240" w:lineRule="auto"/>
      <w:tabs>
        <w:tab w:val="left" w:pos="576" w:leader="none"/>
      </w:tabs>
    </w:pPr>
    <w:rPr>
      <w:rFonts w:cs="宋体"/>
      <w:b w:val="0"/>
      <w:sz w:val="28"/>
      <w:szCs w:val="28"/>
    </w:rPr>
  </w:style>
  <w:style w:type="paragraph" w:styleId="1411">
    <w:name w:val="修订"/>
    <w:next w:val="1411"/>
    <w:link w:val="954"/>
    <w:semiHidden/>
    <w:rPr>
      <w:rFonts w:ascii="Arial" w:hAnsi="Arial"/>
      <w:sz w:val="24"/>
      <w:szCs w:val="24"/>
      <w:lang w:val="en-US" w:eastAsia="zh-CN" w:bidi="ar-SA"/>
    </w:rPr>
  </w:style>
  <w:style w:type="paragraph" w:styleId="1412">
    <w:name w:val="style6"/>
    <w:basedOn w:val="954"/>
    <w:next w:val="1412"/>
    <w:link w:val="954"/>
    <w:pPr>
      <w:jc w:val="left"/>
      <w:spacing w:before="100" w:beforeAutospacing="1" w:after="100" w:afterAutospacing="1"/>
      <w:widowControl/>
    </w:pPr>
    <w:rPr>
      <w:rFonts w:ascii="Arial Unicode MS" w:hAnsi="Arial Unicode MS" w:eastAsia="Arial Unicode MS" w:cs="Arial Unicode MS"/>
      <w:sz w:val="18"/>
      <w:szCs w:val="18"/>
    </w:rPr>
  </w:style>
  <w:style w:type="paragraph" w:styleId="1413">
    <w:name w:val="xl134"/>
    <w:basedOn w:val="954"/>
    <w:next w:val="1413"/>
    <w:link w:val="954"/>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414">
    <w:name w:val="xl173"/>
    <w:basedOn w:val="954"/>
    <w:next w:val="1414"/>
    <w:link w:val="9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color w:val="000000"/>
      <w:sz w:val="18"/>
      <w:szCs w:val="18"/>
    </w:rPr>
  </w:style>
  <w:style w:type="paragraph" w:styleId="1415">
    <w:name w:val="xl91"/>
    <w:basedOn w:val="954"/>
    <w:next w:val="1415"/>
    <w:link w:val="954"/>
    <w:pPr>
      <w:jc w:val="center"/>
      <w:spacing w:before="100" w:beforeAutospacing="1" w:after="100" w:afterAutospacing="1"/>
      <w:widowControl/>
      <w:pBdr>
        <w:top w:val="single" w:color="000000" w:sz="8" w:space="0"/>
        <w:bottom w:val="single" w:color="000000" w:sz="8" w:space="0"/>
        <w:right w:val="single" w:color="000000" w:sz="8" w:space="0"/>
      </w:pBdr>
    </w:pPr>
    <w:rPr>
      <w:rFonts w:ascii="微软雅黑" w:hAnsi="微软雅黑" w:eastAsia="微软雅黑" w:cs="宋体"/>
      <w:b/>
      <w:bCs/>
      <w:sz w:val="28"/>
      <w:szCs w:val="28"/>
    </w:rPr>
  </w:style>
  <w:style w:type="paragraph" w:styleId="1416">
    <w:name w:val="xl79"/>
    <w:basedOn w:val="954"/>
    <w:next w:val="1416"/>
    <w:link w:val="9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17">
    <w:name w:val="xl143"/>
    <w:basedOn w:val="954"/>
    <w:next w:val="1417"/>
    <w:link w:val="954"/>
    <w:pPr>
      <w:jc w:val="left"/>
      <w:spacing w:before="100" w:beforeAutospacing="1" w:after="100" w:afterAutospacing="1"/>
      <w:widowControl/>
    </w:pPr>
    <w:rPr>
      <w:rFonts w:ascii="楷体" w:hAnsi="楷体" w:eastAsia="楷体" w:cs="宋体"/>
    </w:rPr>
  </w:style>
  <w:style w:type="paragraph" w:styleId="1418">
    <w:name w:val="xl145"/>
    <w:basedOn w:val="954"/>
    <w:next w:val="1418"/>
    <w:link w:val="954"/>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sz w:val="18"/>
      <w:szCs w:val="18"/>
    </w:rPr>
  </w:style>
  <w:style w:type="paragraph" w:styleId="1419">
    <w:name w:val="xl175"/>
    <w:basedOn w:val="954"/>
    <w:next w:val="1419"/>
    <w:link w:val="9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20">
    <w:name w:val="xl195"/>
    <w:basedOn w:val="954"/>
    <w:next w:val="1420"/>
    <w:link w:val="9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21">
    <w:name w:val="xl176"/>
    <w:basedOn w:val="954"/>
    <w:next w:val="1421"/>
    <w:link w:val="9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22">
    <w:name w:val="标题3"/>
    <w:basedOn w:val="957"/>
    <w:next w:val="1422"/>
    <w:link w:val="954"/>
    <w:pPr>
      <w:numPr>
        <w:ilvl w:val="2"/>
        <w:numId w:val="14"/>
      </w:numPr>
      <w:keepLines w:val="0"/>
      <w:keepNext w:val="0"/>
      <w:spacing w:before="120" w:after="120" w:line="360" w:lineRule="auto"/>
      <w:tabs>
        <w:tab w:val="left" w:pos="794" w:leader="none"/>
        <w:tab w:val="left" w:pos="1080" w:leader="none"/>
      </w:tabs>
    </w:pPr>
    <w:rPr>
      <w:rFonts w:ascii="宋体" w:hAnsi="宋体" w:cs="Arial"/>
      <w:bCs/>
      <w:sz w:val="24"/>
      <w:szCs w:val="24"/>
    </w:rPr>
  </w:style>
  <w:style w:type="paragraph" w:styleId="1423">
    <w:name w:val="项目符号2"/>
    <w:basedOn w:val="954"/>
    <w:next w:val="1423"/>
    <w:link w:val="954"/>
    <w:pPr>
      <w:spacing w:line="360" w:lineRule="auto"/>
    </w:pPr>
    <w:rPr>
      <w:rFonts w:ascii="Times New Roman" w:hAnsi="Times New Roman"/>
      <w:szCs w:val="20"/>
    </w:rPr>
  </w:style>
  <w:style w:type="paragraph" w:styleId="1424">
    <w:name w:val="小四 段落 宋体 Char Char"/>
    <w:basedOn w:val="981"/>
    <w:next w:val="1424"/>
    <w:link w:val="954"/>
    <w:pPr>
      <w:ind w:left="0" w:right="113" w:firstLine="425"/>
      <w:jc w:val="left"/>
      <w:spacing w:line="360" w:lineRule="auto"/>
      <w:tabs>
        <w:tab w:val="clear" w:pos="420" w:leader="none"/>
      </w:tabs>
    </w:pPr>
    <w:rPr>
      <w:sz w:val="24"/>
    </w:rPr>
  </w:style>
  <w:style w:type="paragraph" w:styleId="1425">
    <w:name w:val="xl125"/>
    <w:basedOn w:val="954"/>
    <w:next w:val="1425"/>
    <w:link w:val="954"/>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426">
    <w:name w:val="font11"/>
    <w:basedOn w:val="954"/>
    <w:next w:val="1426"/>
    <w:link w:val="954"/>
    <w:pPr>
      <w:jc w:val="left"/>
      <w:spacing w:before="100" w:beforeAutospacing="1" w:after="100" w:afterAutospacing="1"/>
      <w:widowControl/>
    </w:pPr>
    <w:rPr>
      <w:rFonts w:cs="宋体"/>
      <w:sz w:val="18"/>
      <w:szCs w:val="18"/>
    </w:rPr>
  </w:style>
  <w:style w:type="paragraph" w:styleId="1427">
    <w:name w:val="xl70"/>
    <w:basedOn w:val="954"/>
    <w:next w:val="1427"/>
    <w:link w:val="9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28">
    <w:name w:val=" Char Char Char Char"/>
    <w:basedOn w:val="954"/>
    <w:next w:val="1428"/>
    <w:link w:val="954"/>
    <w:semiHidden/>
    <w:pPr>
      <w:jc w:val="left"/>
      <w:spacing w:after="160" w:line="240" w:lineRule="exact"/>
      <w:widowControl/>
    </w:pPr>
    <w:rPr>
      <w:rFonts w:ascii="Verdana" w:hAnsi="Verdana"/>
      <w:sz w:val="20"/>
      <w:szCs w:val="20"/>
      <w:lang w:eastAsia="en-US"/>
    </w:rPr>
  </w:style>
  <w:style w:type="paragraph" w:styleId="1429">
    <w:name w:val="news"/>
    <w:basedOn w:val="954"/>
    <w:next w:val="1429"/>
    <w:link w:val="954"/>
    <w:pPr>
      <w:jc w:val="left"/>
      <w:spacing w:before="100" w:beforeAutospacing="1" w:after="100" w:afterAutospacing="1" w:line="300" w:lineRule="atLeast"/>
      <w:widowControl/>
    </w:pPr>
    <w:rPr>
      <w:rFonts w:ascii="Times New Roman" w:hAnsi="Times New Roman" w:eastAsia="Arial Unicode MS" w:cs="Arial Unicode MS"/>
      <w:color w:val="000000"/>
      <w:sz w:val="21"/>
      <w:szCs w:val="21"/>
    </w:rPr>
  </w:style>
  <w:style w:type="paragraph" w:styleId="1430">
    <w:name w:val="font15"/>
    <w:basedOn w:val="954"/>
    <w:next w:val="1430"/>
    <w:link w:val="954"/>
    <w:pPr>
      <w:jc w:val="left"/>
      <w:spacing w:before="100" w:beforeAutospacing="1" w:after="100" w:afterAutospacing="1"/>
      <w:widowControl/>
    </w:pPr>
    <w:rPr>
      <w:rFonts w:cs="宋体"/>
      <w:sz w:val="18"/>
      <w:szCs w:val="18"/>
    </w:rPr>
  </w:style>
  <w:style w:type="paragraph" w:styleId="1431">
    <w:name w:val="gray"/>
    <w:basedOn w:val="954"/>
    <w:next w:val="1431"/>
    <w:link w:val="954"/>
    <w:pPr>
      <w:jc w:val="left"/>
      <w:spacing w:before="100" w:beforeAutospacing="1" w:after="100" w:afterAutospacing="1" w:line="300" w:lineRule="atLeast"/>
      <w:widowControl/>
    </w:pPr>
    <w:rPr>
      <w:rFonts w:ascii="Arial Unicode MS" w:hAnsi="Arial Unicode MS" w:eastAsia="Arial Unicode MS" w:cs="Arial Unicode MS"/>
      <w:color w:val="666666"/>
      <w:sz w:val="18"/>
      <w:szCs w:val="18"/>
    </w:rPr>
  </w:style>
  <w:style w:type="paragraph" w:styleId="1432">
    <w:name w:val="xl187"/>
    <w:basedOn w:val="954"/>
    <w:next w:val="1432"/>
    <w:link w:val="9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33">
    <w:name w:val="xl144"/>
    <w:basedOn w:val="954"/>
    <w:next w:val="1433"/>
    <w:link w:val="954"/>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34">
    <w:name w:val="标准正文中缩进"/>
    <w:basedOn w:val="954"/>
    <w:next w:val="1434"/>
    <w:link w:val="954"/>
    <w:pPr>
      <w:ind w:firstLine="200"/>
      <w:jc w:val="left"/>
      <w:spacing w:line="420" w:lineRule="exact"/>
    </w:pPr>
    <w:rPr>
      <w:rFonts w:ascii="Times New Roman" w:hAnsi="Times New Roman"/>
    </w:rPr>
  </w:style>
  <w:style w:type="paragraph" w:styleId="1435">
    <w:name w:val="xl191"/>
    <w:basedOn w:val="954"/>
    <w:next w:val="1435"/>
    <w:link w:val="954"/>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436">
    <w:name w:val="11"/>
    <w:next w:val="1436"/>
    <w:link w:val="954"/>
    <w:pPr>
      <w:ind w:firstLine="369"/>
      <w:jc w:val="both"/>
      <w:widowControl w:val="off"/>
    </w:pPr>
    <w:rPr>
      <w:rFonts w:ascii="宋体"/>
      <w:color w:val="000000"/>
      <w:sz w:val="18"/>
      <w:szCs w:val="18"/>
      <w:lang w:val="en-US" w:eastAsia="zh-CN" w:bidi="ar-SA"/>
    </w:rPr>
  </w:style>
  <w:style w:type="paragraph" w:styleId="1437">
    <w:name w:val="xl214"/>
    <w:basedOn w:val="954"/>
    <w:next w:val="1437"/>
    <w:link w:val="954"/>
    <w:pPr>
      <w:jc w:val="left"/>
      <w:spacing w:before="100" w:beforeAutospacing="1" w:after="100" w:afterAutospacing="1"/>
      <w:widowControl/>
    </w:pPr>
    <w:rPr>
      <w:rFonts w:ascii="Courier New" w:hAnsi="Courier New" w:cs="Courier New"/>
    </w:rPr>
  </w:style>
  <w:style w:type="paragraph" w:styleId="1438">
    <w:name w:val="Default Paragraph Font Para Char"/>
    <w:basedOn w:val="954"/>
    <w:next w:val="1438"/>
    <w:link w:val="954"/>
    <w:semiHidden/>
    <w:pPr>
      <w:jc w:val="left"/>
      <w:spacing w:after="160" w:line="240" w:lineRule="exact"/>
      <w:widowControl/>
    </w:pPr>
    <w:rPr>
      <w:rFonts w:ascii="Verdana" w:hAnsi="Verdana"/>
      <w:sz w:val="20"/>
      <w:szCs w:val="20"/>
      <w:lang w:eastAsia="en-US"/>
    </w:rPr>
  </w:style>
  <w:style w:type="paragraph" w:styleId="1439">
    <w:name w:val="xl65"/>
    <w:basedOn w:val="954"/>
    <w:next w:val="1439"/>
    <w:link w:val="9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40">
    <w:name w:val="格式３"/>
    <w:basedOn w:val="954"/>
    <w:next w:val="1440"/>
    <w:link w:val="954"/>
    <w:qFormat/>
    <w:pPr>
      <w:ind w:left="600" w:hanging="600"/>
      <w:spacing w:line="420" w:lineRule="exact"/>
    </w:pPr>
    <w:rPr>
      <w:rFonts w:ascii="宋体" w:hAnsi="宋体"/>
      <w:color w:val="000000"/>
      <w:sz w:val="24"/>
      <w:szCs w:val="20"/>
    </w:rPr>
  </w:style>
  <w:style w:type="paragraph" w:styleId="1441">
    <w:name w:val="样式1"/>
    <w:basedOn w:val="954"/>
    <w:next w:val="1441"/>
    <w:link w:val="954"/>
    <w:pPr>
      <w:ind w:firstLine="480"/>
      <w:jc w:val="left"/>
      <w:spacing w:line="360" w:lineRule="auto"/>
      <w:widowControl/>
    </w:pPr>
    <w:rPr>
      <w:rFonts w:ascii="Calibri" w:hAnsi="Calibri"/>
      <w:bCs/>
      <w:szCs w:val="20"/>
      <w:lang w:eastAsia="en-US" w:bidi="en-US"/>
    </w:rPr>
  </w:style>
  <w:style w:type="paragraph" w:styleId="1442">
    <w:name w:val="Table description"/>
    <w:basedOn w:val="954"/>
    <w:next w:val="969"/>
    <w:link w:val="954"/>
    <w:pPr>
      <w:numPr>
        <w:ilvl w:val="5"/>
        <w:numId w:val="6"/>
      </w:numPr>
      <w:jc w:val="center"/>
      <w:keepLines/>
      <w:keepNext/>
      <w:widowControl/>
      <w:tabs>
        <w:tab w:val="left" w:pos="2520" w:leader="none"/>
      </w:tabs>
    </w:pPr>
    <w:rPr>
      <w:rFonts w:ascii="Times New Roman" w:hAnsi="Times New Roman"/>
      <w:sz w:val="21"/>
      <w:szCs w:val="18"/>
    </w:rPr>
  </w:style>
  <w:style w:type="paragraph" w:styleId="1443">
    <w:name w:val="Body Text1"/>
    <w:basedOn w:val="954"/>
    <w:next w:val="1443"/>
    <w:link w:val="954"/>
    <w:pPr>
      <w:spacing w:line="360" w:lineRule="auto"/>
    </w:pPr>
    <w:rPr>
      <w:rFonts w:hAnsi="Times New Roman"/>
    </w:rPr>
  </w:style>
  <w:style w:type="paragraph" w:styleId="1444">
    <w:name w:val="附件标题"/>
    <w:basedOn w:val="954"/>
    <w:next w:val="1444"/>
    <w:link w:val="954"/>
    <w:pPr>
      <w:jc w:val="center"/>
      <w:spacing w:line="360" w:lineRule="auto"/>
    </w:pPr>
    <w:rPr>
      <w:rFonts w:ascii="Arial" w:hAnsi="Arial" w:eastAsia="黑体"/>
    </w:rPr>
  </w:style>
  <w:style w:type="paragraph" w:styleId="1445">
    <w:name w:val="普通正文"/>
    <w:basedOn w:val="954"/>
    <w:next w:val="1445"/>
    <w:link w:val="954"/>
    <w:pPr>
      <w:ind w:firstLine="480"/>
      <w:jc w:val="left"/>
      <w:spacing w:before="120" w:after="120" w:line="360" w:lineRule="auto"/>
    </w:pPr>
    <w:rPr>
      <w:rFonts w:ascii="Arial" w:hAnsi="Arial"/>
    </w:rPr>
  </w:style>
  <w:style w:type="paragraph" w:styleId="1446">
    <w:name w:val="xl122"/>
    <w:basedOn w:val="954"/>
    <w:next w:val="1446"/>
    <w:link w:val="954"/>
    <w:pPr>
      <w:jc w:val="center"/>
      <w:spacing w:before="100" w:beforeAutospacing="1" w:after="100" w:afterAutospacing="1"/>
      <w:widowControl/>
      <w:pBdr>
        <w:top w:val="single" w:color="000000" w:sz="4" w:space="0"/>
        <w:bottom w:val="single" w:color="000000" w:sz="4" w:space="0"/>
        <w:right w:val="single" w:color="000000" w:sz="4" w:space="0"/>
      </w:pBdr>
    </w:pPr>
    <w:rPr>
      <w:rFonts w:cs="宋体"/>
      <w:b/>
      <w:bCs/>
      <w:sz w:val="20"/>
      <w:szCs w:val="20"/>
    </w:rPr>
  </w:style>
  <w:style w:type="paragraph" w:styleId="1447">
    <w:name w:val="xl169"/>
    <w:basedOn w:val="954"/>
    <w:next w:val="1447"/>
    <w:link w:val="9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48">
    <w:name w:val="xl193"/>
    <w:basedOn w:val="954"/>
    <w:next w:val="1448"/>
    <w:link w:val="954"/>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449">
    <w:name w:val="font9"/>
    <w:basedOn w:val="954"/>
    <w:next w:val="1449"/>
    <w:link w:val="954"/>
    <w:pPr>
      <w:jc w:val="left"/>
      <w:spacing w:before="100" w:beforeAutospacing="1" w:after="100" w:afterAutospacing="1"/>
      <w:widowControl/>
    </w:pPr>
    <w:rPr>
      <w:rFonts w:cs="宋体"/>
      <w:sz w:val="18"/>
      <w:szCs w:val="18"/>
    </w:rPr>
  </w:style>
  <w:style w:type="paragraph" w:styleId="1450">
    <w:name w:val="Char5"/>
    <w:basedOn w:val="954"/>
    <w:next w:val="1450"/>
    <w:link w:val="954"/>
    <w:pPr>
      <w:jc w:val="left"/>
      <w:spacing w:after="160" w:line="240" w:lineRule="exact"/>
      <w:widowControl/>
    </w:pPr>
    <w:rPr>
      <w:rFonts w:ascii="Verdana" w:hAnsi="Verdana"/>
      <w:sz w:val="21"/>
      <w:szCs w:val="20"/>
      <w:lang w:eastAsia="en-US"/>
    </w:rPr>
  </w:style>
  <w:style w:type="paragraph" w:styleId="1451">
    <w:name w:val="样式 样式 标题 3 + 首行缩进:  2 字符 + 首行缩进:  2 字符"/>
    <w:basedOn w:val="954"/>
    <w:next w:val="1451"/>
    <w:link w:val="954"/>
    <w:pPr>
      <w:keepLines/>
      <w:keepNext/>
      <w:spacing w:before="260" w:after="260"/>
      <w:outlineLvl w:val="2"/>
    </w:pPr>
    <w:rPr>
      <w:rFonts w:ascii="Times New Roman" w:hAnsi="Times New Roman" w:cs="宋体"/>
      <w:b/>
      <w:bCs/>
      <w:sz w:val="30"/>
      <w:szCs w:val="20"/>
    </w:rPr>
  </w:style>
  <w:style w:type="paragraph" w:styleId="1452">
    <w:name w:val="xl92"/>
    <w:basedOn w:val="954"/>
    <w:next w:val="1452"/>
    <w:link w:val="954"/>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8"/>
      <w:szCs w:val="28"/>
    </w:rPr>
  </w:style>
  <w:style w:type="paragraph" w:styleId="1453">
    <w:name w:val="xl197"/>
    <w:basedOn w:val="954"/>
    <w:next w:val="1453"/>
    <w:link w:val="954"/>
    <w:pPr>
      <w:jc w:val="left"/>
      <w:spacing w:before="100" w:beforeAutospacing="1" w:after="100" w:afterAutospacing="1"/>
      <w:widowControl/>
    </w:pPr>
    <w:rPr>
      <w:rFonts w:ascii="Courier New" w:hAnsi="Courier New" w:cs="Courier New"/>
      <w:sz w:val="20"/>
      <w:szCs w:val="20"/>
    </w:rPr>
  </w:style>
  <w:style w:type="paragraph" w:styleId="1454">
    <w:name w:val="5"/>
    <w:basedOn w:val="954"/>
    <w:next w:val="1454"/>
    <w:link w:val="954"/>
    <w:pPr>
      <w:jc w:val="left"/>
    </w:pPr>
    <w:rPr>
      <w:rFonts w:hAnsi="Times New Roman"/>
      <w:b/>
      <w:bCs/>
      <w:sz w:val="18"/>
      <w:szCs w:val="18"/>
    </w:rPr>
  </w:style>
  <w:style w:type="paragraph" w:styleId="1455">
    <w:name w:val="xl166"/>
    <w:basedOn w:val="954"/>
    <w:next w:val="1455"/>
    <w:link w:val="954"/>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Courier New" w:hAnsi="Courier New" w:cs="Courier New"/>
    </w:rPr>
  </w:style>
  <w:style w:type="paragraph" w:styleId="1456">
    <w:name w:val="diy"/>
    <w:basedOn w:val="954"/>
    <w:next w:val="1456"/>
    <w:link w:val="954"/>
    <w:pPr>
      <w:ind w:firstLine="480"/>
      <w:spacing w:before="163" w:after="163" w:line="300" w:lineRule="auto"/>
      <w:tabs>
        <w:tab w:val="right" w:pos="9030" w:leader="middleDot"/>
      </w:tabs>
    </w:pPr>
  </w:style>
  <w:style w:type="paragraph" w:styleId="1457">
    <w:name w:val="xl104"/>
    <w:basedOn w:val="954"/>
    <w:next w:val="1457"/>
    <w:link w:val="954"/>
    <w:pPr>
      <w:jc w:val="left"/>
      <w:spacing w:before="100" w:beforeAutospacing="1" w:after="100" w:afterAutospacing="1"/>
      <w:shd w:val="clear" w:color="auto" w:fill="ffffff"/>
      <w:widowControl/>
      <w:pBdr>
        <w:top w:val="single" w:color="000000" w:sz="4" w:space="0"/>
        <w:right w:val="single" w:color="000000" w:sz="4" w:space="0"/>
      </w:pBdr>
    </w:pPr>
    <w:rPr>
      <w:rFonts w:cs="宋体"/>
      <w:sz w:val="18"/>
      <w:szCs w:val="18"/>
    </w:rPr>
  </w:style>
  <w:style w:type="paragraph" w:styleId="1458">
    <w:name w:val="xl202"/>
    <w:basedOn w:val="954"/>
    <w:next w:val="1458"/>
    <w:link w:val="954"/>
    <w:pPr>
      <w:jc w:val="center"/>
      <w:spacing w:before="100" w:beforeAutospacing="1" w:after="100" w:afterAutospacing="1"/>
      <w:widowControl/>
      <w:pBdr>
        <w:top w:val="single" w:color="000000" w:sz="4" w:space="0"/>
        <w:bottom w:val="single" w:color="000000" w:sz="4" w:space="0"/>
      </w:pBdr>
    </w:pPr>
    <w:rPr>
      <w:rFonts w:ascii="微软雅黑" w:eastAsia="微软雅黑" w:cs="宋体"/>
      <w:b/>
      <w:bCs/>
      <w:sz w:val="22"/>
      <w:szCs w:val="22"/>
    </w:rPr>
  </w:style>
  <w:style w:type="paragraph" w:styleId="1459">
    <w:name w:val="产品描述"/>
    <w:next w:val="1459"/>
    <w:link w:val="954"/>
    <w:pPr>
      <w:ind w:firstLine="397"/>
      <w:jc w:val="both"/>
      <w:spacing w:line="270" w:lineRule="atLeast"/>
      <w:widowControl w:val="off"/>
    </w:pPr>
    <w:rPr>
      <w:rFonts w:ascii="宋体"/>
      <w:sz w:val="18"/>
      <w:szCs w:val="18"/>
      <w:lang w:val="en-US" w:eastAsia="zh-CN" w:bidi="ar-SA"/>
    </w:rPr>
  </w:style>
  <w:style w:type="paragraph" w:styleId="1460">
    <w:name w:val="xl133"/>
    <w:basedOn w:val="954"/>
    <w:next w:val="1460"/>
    <w:link w:val="954"/>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461">
    <w:name w:val="Normal1"/>
    <w:next w:val="1461"/>
    <w:link w:val="954"/>
    <w:pPr>
      <w:spacing w:line="360" w:lineRule="atLeast"/>
      <w:widowControl w:val="off"/>
    </w:pPr>
    <w:rPr>
      <w:rFonts w:ascii="宋体"/>
      <w:sz w:val="24"/>
      <w:lang w:val="en-US" w:eastAsia="zh-CN" w:bidi="ar-SA"/>
    </w:rPr>
  </w:style>
  <w:style w:type="paragraph" w:styleId="1462">
    <w:name w:val="Char Char Char"/>
    <w:basedOn w:val="954"/>
    <w:next w:val="1462"/>
    <w:link w:val="954"/>
    <w:rPr>
      <w:rFonts w:ascii="Tahoma" w:hAnsi="Tahoma"/>
      <w:sz w:val="21"/>
      <w:szCs w:val="20"/>
    </w:rPr>
  </w:style>
  <w:style w:type="paragraph" w:styleId="1463">
    <w:name w:val="xl119"/>
    <w:basedOn w:val="954"/>
    <w:next w:val="1463"/>
    <w:link w:val="954"/>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64">
    <w:name w:val="默认段落字体 Para Char Char Char Char Char Char Char"/>
    <w:basedOn w:val="954"/>
    <w:next w:val="1464"/>
    <w:link w:val="954"/>
    <w:rPr>
      <w:rFonts w:ascii="Tahoma" w:hAnsi="Tahoma"/>
      <w:szCs w:val="20"/>
    </w:rPr>
  </w:style>
  <w:style w:type="paragraph" w:styleId="1465">
    <w:name w:val="附件(1)"/>
    <w:basedOn w:val="954"/>
    <w:next w:val="1465"/>
    <w:link w:val="954"/>
    <w:pPr>
      <w:ind w:left="432" w:hanging="432"/>
      <w:spacing w:line="360" w:lineRule="auto"/>
      <w:tabs>
        <w:tab w:val="left" w:pos="1080" w:leader="none"/>
      </w:tabs>
    </w:pPr>
    <w:rPr>
      <w:rFonts w:ascii="Times New Roman" w:hAnsi="Times New Roman"/>
    </w:rPr>
  </w:style>
  <w:style w:type="paragraph" w:styleId="1466">
    <w:name w:val="附件圈"/>
    <w:basedOn w:val="1465"/>
    <w:next w:val="1466"/>
    <w:link w:val="954"/>
    <w:pPr>
      <w:numPr>
        <w:ilvl w:val="0"/>
        <w:numId w:val="15"/>
      </w:numPr>
      <w:tabs>
        <w:tab w:val="left" w:pos="1080" w:leader="none"/>
      </w:tabs>
    </w:pPr>
  </w:style>
  <w:style w:type="paragraph" w:styleId="1467">
    <w:name w:val="样式 正文文本缩进 2 + Century Gothic 四号 行距: 多倍行距 1.75 字行"/>
    <w:basedOn w:val="954"/>
    <w:next w:val="1467"/>
    <w:link w:val="954"/>
    <w:pPr>
      <w:ind w:firstLine="207"/>
      <w:spacing w:line="396" w:lineRule="auto"/>
    </w:pPr>
    <w:rPr>
      <w:rFonts w:ascii="Century Gothic" w:hAnsi="Times New Roman" w:cs="宋体"/>
      <w:sz w:val="28"/>
      <w:szCs w:val="20"/>
    </w:rPr>
  </w:style>
  <w:style w:type="paragraph" w:styleId="1468">
    <w:name w:val="xl189"/>
    <w:basedOn w:val="954"/>
    <w:next w:val="1468"/>
    <w:link w:val="954"/>
    <w:pPr>
      <w:jc w:val="center"/>
      <w:spacing w:before="100" w:beforeAutospacing="1" w:after="100" w:afterAutospacing="1"/>
      <w:shd w:val="clear" w:color="auto" w:fill="c0c0c0"/>
      <w:widowControl/>
      <w:pBdr>
        <w:top w:val="single" w:color="000000" w:sz="8" w:space="0"/>
        <w:left w:val="single" w:color="000000" w:sz="8" w:space="0"/>
        <w:bottom w:val="single" w:color="000000" w:sz="4" w:space="0"/>
        <w:right w:val="single" w:color="000000" w:sz="4" w:space="0"/>
      </w:pBdr>
    </w:pPr>
    <w:rPr>
      <w:rFonts w:ascii="微软雅黑" w:eastAsia="微软雅黑" w:cs="宋体"/>
      <w:b/>
      <w:bCs/>
      <w:sz w:val="22"/>
      <w:szCs w:val="22"/>
    </w:rPr>
  </w:style>
  <w:style w:type="paragraph" w:styleId="1469">
    <w:name w:val="style2"/>
    <w:basedOn w:val="954"/>
    <w:next w:val="1469"/>
    <w:link w:val="954"/>
    <w:pPr>
      <w:jc w:val="left"/>
      <w:spacing w:before="100" w:beforeAutospacing="1" w:after="100" w:afterAutospacing="1"/>
      <w:widowControl/>
    </w:pPr>
    <w:rPr>
      <w:rFonts w:cs="宋体"/>
    </w:rPr>
  </w:style>
  <w:style w:type="paragraph" w:styleId="1470">
    <w:name w:val="xl76"/>
    <w:basedOn w:val="954"/>
    <w:next w:val="1470"/>
    <w:link w:val="954"/>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471">
    <w:name w:val="段"/>
    <w:next w:val="1471"/>
    <w:link w:val="954"/>
    <w:pPr>
      <w:ind w:firstLine="200"/>
      <w:jc w:val="both"/>
    </w:pPr>
    <w:rPr>
      <w:rFonts w:ascii="宋体"/>
      <w:sz w:val="21"/>
      <w:lang w:val="en-US" w:eastAsia="zh-CN" w:bidi="ar-SA"/>
    </w:rPr>
  </w:style>
  <w:style w:type="paragraph" w:styleId="1472">
    <w:name w:val="正文2"/>
    <w:basedOn w:val="954"/>
    <w:next w:val="1472"/>
    <w:link w:val="954"/>
    <w:pPr>
      <w:ind w:firstLine="200"/>
      <w:jc w:val="left"/>
      <w:spacing w:after="160" w:line="360" w:lineRule="auto"/>
      <w:widowControl/>
    </w:pPr>
    <w:rPr>
      <w:rFonts w:ascii="Verdana" w:hAnsi="Verdana" w:eastAsia="黑体"/>
      <w:sz w:val="21"/>
      <w:szCs w:val="20"/>
      <w:lang w:eastAsia="en-US"/>
    </w:rPr>
  </w:style>
  <w:style w:type="paragraph" w:styleId="1473">
    <w:name w:val="font10"/>
    <w:basedOn w:val="954"/>
    <w:next w:val="1473"/>
    <w:link w:val="954"/>
    <w:pPr>
      <w:jc w:val="left"/>
      <w:spacing w:before="100" w:beforeAutospacing="1" w:after="100" w:afterAutospacing="1"/>
      <w:widowControl/>
    </w:pPr>
    <w:rPr>
      <w:rFonts w:ascii="Times New Roman" w:hAnsi="Times New Roman"/>
      <w:b/>
      <w:bCs/>
      <w:sz w:val="22"/>
      <w:szCs w:val="22"/>
    </w:rPr>
  </w:style>
  <w:style w:type="paragraph" w:styleId="1474">
    <w:name w:val="xl81"/>
    <w:basedOn w:val="954"/>
    <w:next w:val="1474"/>
    <w:link w:val="954"/>
    <w:pPr>
      <w:jc w:val="center"/>
      <w:spacing w:before="100" w:beforeAutospacing="1" w:after="100" w:afterAutospacing="1"/>
      <w:widowControl/>
    </w:pPr>
    <w:rPr>
      <w:rFonts w:ascii="微软雅黑" w:hAnsi="微软雅黑" w:eastAsia="微软雅黑" w:cs="宋体"/>
      <w:sz w:val="20"/>
      <w:szCs w:val="20"/>
    </w:rPr>
  </w:style>
  <w:style w:type="paragraph" w:styleId="1475">
    <w:name w:val="xl207"/>
    <w:basedOn w:val="954"/>
    <w:next w:val="1475"/>
    <w:link w:val="954"/>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476">
    <w:name w:val="xl83"/>
    <w:basedOn w:val="954"/>
    <w:next w:val="1476"/>
    <w:link w:val="95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77">
    <w:name w:val="正文四号"/>
    <w:basedOn w:val="954"/>
    <w:next w:val="1477"/>
    <w:link w:val="954"/>
    <w:qFormat/>
    <w:pPr>
      <w:ind w:firstLine="200"/>
      <w:spacing w:line="360" w:lineRule="auto"/>
    </w:pPr>
    <w:rPr>
      <w:rFonts w:ascii="Times New Roman" w:hAnsi="Times New Roman" w:eastAsia="仿宋_GB2312" w:cs="宋体"/>
      <w:sz w:val="28"/>
      <w:szCs w:val="20"/>
    </w:rPr>
  </w:style>
  <w:style w:type="paragraph" w:styleId="1478">
    <w:name w:val="xl215"/>
    <w:basedOn w:val="954"/>
    <w:next w:val="1478"/>
    <w:link w:val="954"/>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479">
    <w:name w:val="xl89"/>
    <w:basedOn w:val="954"/>
    <w:next w:val="1479"/>
    <w:link w:val="954"/>
    <w:pPr>
      <w:jc w:val="center"/>
      <w:spacing w:before="100" w:beforeAutospacing="1" w:after="100" w:afterAutospacing="1"/>
      <w:widowControl/>
      <w:pBdr>
        <w:top w:val="single" w:color="000000" w:sz="8" w:space="0"/>
        <w:left w:val="single" w:color="000000" w:sz="8" w:space="0"/>
        <w:bottom w:val="single" w:color="000000" w:sz="8" w:space="0"/>
      </w:pBdr>
    </w:pPr>
    <w:rPr>
      <w:rFonts w:ascii="微软雅黑" w:hAnsi="微软雅黑" w:eastAsia="微软雅黑" w:cs="宋体"/>
      <w:b/>
      <w:bCs/>
      <w:sz w:val="28"/>
      <w:szCs w:val="28"/>
    </w:rPr>
  </w:style>
  <w:style w:type="paragraph" w:styleId="1480">
    <w:name w:val="段落1"/>
    <w:basedOn w:val="954"/>
    <w:next w:val="1480"/>
    <w:link w:val="954"/>
    <w:pPr>
      <w:ind w:right="23"/>
      <w:spacing w:before="120" w:after="156" w:line="360" w:lineRule="auto"/>
    </w:pPr>
    <w:rPr>
      <w:b/>
      <w:bCs/>
    </w:rPr>
  </w:style>
  <w:style w:type="paragraph" w:styleId="1481">
    <w:name w:val="xl160"/>
    <w:basedOn w:val="954"/>
    <w:next w:val="1481"/>
    <w:link w:val="954"/>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82">
    <w:name w:val="附件1."/>
    <w:basedOn w:val="955"/>
    <w:next w:val="1482"/>
    <w:link w:val="954"/>
    <w:pPr>
      <w:numPr>
        <w:ilvl w:val="0"/>
        <w:numId w:val="0"/>
      </w:numPr>
      <w:ind w:left="567" w:hanging="567"/>
      <w:keepLines w:val="0"/>
      <w:keepNext w:val="0"/>
      <w:spacing w:before="0" w:after="0" w:line="360" w:lineRule="auto"/>
      <w:tabs>
        <w:tab w:val="left" w:pos="360" w:leader="none"/>
        <w:tab w:val="left" w:pos="420" w:leader="none"/>
        <w:tab w:val="left" w:pos="432" w:leader="none"/>
      </w:tabs>
    </w:pPr>
    <w:rPr>
      <w:b w:val="0"/>
      <w:bCs/>
      <w:sz w:val="24"/>
      <w:szCs w:val="44"/>
    </w:rPr>
  </w:style>
  <w:style w:type="paragraph" w:styleId="1483">
    <w:name w:val="xl198"/>
    <w:basedOn w:val="954"/>
    <w:next w:val="1483"/>
    <w:link w:val="9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484">
    <w:name w:val="Char7"/>
    <w:basedOn w:val="954"/>
    <w:next w:val="1484"/>
    <w:link w:val="954"/>
    <w:pPr>
      <w:jc w:val="left"/>
      <w:spacing w:after="160" w:line="240" w:lineRule="exact"/>
      <w:widowControl/>
    </w:pPr>
    <w:rPr>
      <w:rFonts w:ascii="Verdana" w:hAnsi="Verdana"/>
      <w:sz w:val="21"/>
      <w:szCs w:val="20"/>
      <w:lang w:eastAsia="en-US"/>
    </w:rPr>
  </w:style>
  <w:style w:type="paragraph" w:styleId="1485">
    <w:name w:val="xl77"/>
    <w:basedOn w:val="954"/>
    <w:next w:val="1485"/>
    <w:link w:val="954"/>
    <w:pPr>
      <w:jc w:val="left"/>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486">
    <w:name w:val="文档标题"/>
    <w:basedOn w:val="954"/>
    <w:next w:val="1486"/>
    <w:link w:val="954"/>
    <w:pPr>
      <w:jc w:val="center"/>
      <w:spacing w:before="300" w:after="300" w:line="360" w:lineRule="auto"/>
      <w:tabs>
        <w:tab w:val="left" w:pos="0" w:leader="none"/>
      </w:tabs>
    </w:pPr>
    <w:rPr>
      <w:rFonts w:ascii="Arial" w:hAnsi="Arial" w:eastAsia="黑体"/>
      <w:sz w:val="36"/>
      <w:szCs w:val="36"/>
    </w:rPr>
  </w:style>
  <w:style w:type="paragraph" w:styleId="1487">
    <w:name w:val="其他标准称谓"/>
    <w:next w:val="1487"/>
    <w:link w:val="954"/>
    <w:pPr>
      <w:jc w:val="both"/>
      <w:spacing w:line="0" w:lineRule="atLeast"/>
    </w:pPr>
    <w:rPr>
      <w:rFonts w:ascii="黑体" w:hAnsi="宋体" w:eastAsia="黑体"/>
      <w:sz w:val="52"/>
      <w:lang w:val="en-US" w:eastAsia="zh-CN" w:bidi="ar-SA"/>
    </w:rPr>
  </w:style>
  <w:style w:type="paragraph" w:styleId="1488">
    <w:name w:val="xl206"/>
    <w:basedOn w:val="954"/>
    <w:next w:val="1488"/>
    <w:link w:val="954"/>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489">
    <w:name w:val="Table Heading"/>
    <w:basedOn w:val="954"/>
    <w:next w:val="1489"/>
    <w:link w:val="954"/>
    <w:pPr>
      <w:jc w:val="center"/>
    </w:pPr>
    <w:rPr>
      <w:rFonts w:ascii="Arial" w:hAnsi="Arial" w:eastAsia="黑体"/>
      <w:b/>
      <w:sz w:val="21"/>
    </w:rPr>
  </w:style>
  <w:style w:type="paragraph" w:styleId="1490">
    <w:name w:val="xl102"/>
    <w:basedOn w:val="954"/>
    <w:next w:val="1490"/>
    <w:link w:val="954"/>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91">
    <w:name w:val="样式 列表项目符号 + 段前: 0.5 行 段后: 0.25 行 + 段前: 0.25 行 段后: 0.25 行"/>
    <w:basedOn w:val="954"/>
    <w:next w:val="1491"/>
    <w:link w:val="954"/>
    <w:pPr>
      <w:ind w:left="-25" w:right="238" w:firstLine="658"/>
      <w:jc w:val="left"/>
      <w:spacing w:before="60" w:after="60" w:line="360" w:lineRule="auto"/>
      <w:widowControl/>
      <w:tabs>
        <w:tab w:val="left" w:pos="567" w:leader="none"/>
      </w:tabs>
    </w:pPr>
    <w:rPr>
      <w:rFonts w:ascii="仿宋_GB2312" w:hAnsi="Times New Roman" w:eastAsia="仿宋_GB2312" w:cs="宋体"/>
      <w:sz w:val="28"/>
      <w:szCs w:val="28"/>
      <w:lang w:val="en-AU"/>
    </w:rPr>
  </w:style>
  <w:style w:type="paragraph" w:styleId="1492">
    <w:name w:val="表格1"/>
    <w:basedOn w:val="954"/>
    <w:next w:val="1492"/>
    <w:link w:val="954"/>
    <w:pPr>
      <w:jc w:val="left"/>
      <w:spacing w:line="440" w:lineRule="exact"/>
    </w:pPr>
    <w:rPr>
      <w:sz w:val="21"/>
      <w:szCs w:val="20"/>
    </w:rPr>
  </w:style>
  <w:style w:type="paragraph" w:styleId="1493">
    <w:name w:val="xl201"/>
    <w:basedOn w:val="954"/>
    <w:next w:val="1493"/>
    <w:link w:val="954"/>
    <w:pPr>
      <w:jc w:val="center"/>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2"/>
      <w:szCs w:val="22"/>
    </w:rPr>
  </w:style>
  <w:style w:type="paragraph" w:styleId="1494">
    <w:name w:val="xl218"/>
    <w:basedOn w:val="954"/>
    <w:next w:val="1494"/>
    <w:link w:val="954"/>
    <w:pPr>
      <w:jc w:val="center"/>
      <w:spacing w:before="100" w:beforeAutospacing="1" w:after="100" w:afterAutospacing="1"/>
      <w:widowControl/>
    </w:pPr>
    <w:rPr>
      <w:rFonts w:ascii="Courier New" w:hAnsi="Courier New" w:cs="Courier New"/>
    </w:rPr>
  </w:style>
  <w:style w:type="paragraph" w:styleId="1495">
    <w:name w:val="Item Step"/>
    <w:basedOn w:val="954"/>
    <w:next w:val="1495"/>
    <w:link w:val="954"/>
    <w:pPr>
      <w:numPr>
        <w:ilvl w:val="0"/>
        <w:numId w:val="16"/>
      </w:numPr>
      <w:ind w:left="1701" w:hanging="567"/>
      <w:jc w:val="left"/>
      <w:spacing w:after="50"/>
      <w:widowControl/>
      <w:tabs>
        <w:tab w:val="left" w:pos="425" w:leader="none"/>
      </w:tabs>
    </w:pPr>
    <w:rPr>
      <w:rFonts w:ascii="Times New Roman" w:hAnsi="Times New Roman"/>
      <w:sz w:val="21"/>
    </w:rPr>
  </w:style>
  <w:style w:type="paragraph" w:styleId="1496">
    <w:name w:val="样式2"/>
    <w:basedOn w:val="957"/>
    <w:next w:val="1496"/>
    <w:link w:val="954"/>
    <w:pPr>
      <w:numPr>
        <w:ilvl w:val="0"/>
        <w:numId w:val="0"/>
      </w:numPr>
      <w:jc w:val="left"/>
      <w:keepLines w:val="0"/>
      <w:spacing w:before="240" w:after="60" w:line="240" w:lineRule="auto"/>
      <w:widowControl/>
      <w:tabs>
        <w:tab w:val="left" w:pos="1080" w:leader="none"/>
      </w:tabs>
    </w:pPr>
    <w:rPr>
      <w:rFonts w:ascii="Cambria" w:hAnsi="Cambria"/>
      <w:bCs/>
      <w:sz w:val="24"/>
      <w:szCs w:val="26"/>
      <w:lang w:eastAsia="en-US" w:bidi="en-US"/>
    </w:rPr>
  </w:style>
  <w:style w:type="paragraph" w:styleId="1497">
    <w:name w:val="段 Char"/>
    <w:next w:val="1497"/>
    <w:link w:val="954"/>
    <w:pPr>
      <w:ind w:firstLine="200"/>
      <w:jc w:val="both"/>
    </w:pPr>
    <w:rPr>
      <w:rFonts w:ascii="宋体"/>
      <w:sz w:val="21"/>
      <w:lang w:val="en-US" w:eastAsia="zh-CN" w:bidi="ar-SA"/>
    </w:rPr>
  </w:style>
  <w:style w:type="paragraph" w:styleId="1498">
    <w:name w:val="xl186"/>
    <w:basedOn w:val="954"/>
    <w:next w:val="1498"/>
    <w:link w:val="9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99">
    <w:name w:val="xl71"/>
    <w:basedOn w:val="954"/>
    <w:next w:val="1499"/>
    <w:link w:val="954"/>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00">
    <w:name w:val=" Char Char1 Char Char Char Char"/>
    <w:basedOn w:val="985"/>
    <w:next w:val="1500"/>
    <w:link w:val="954"/>
    <w:pPr>
      <w:spacing w:line="360" w:lineRule="auto"/>
    </w:pPr>
    <w:rPr>
      <w:rFonts w:ascii="Tahoma" w:hAnsi="Tahoma"/>
    </w:rPr>
  </w:style>
  <w:style w:type="paragraph" w:styleId="1501">
    <w:name w:val="_Style 12"/>
    <w:basedOn w:val="985"/>
    <w:next w:val="1501"/>
    <w:link w:val="954"/>
    <w:pPr>
      <w:spacing w:line="360" w:lineRule="auto"/>
    </w:pPr>
    <w:rPr>
      <w:rFonts w:ascii="Times New Roman" w:hAnsi="Times New Roman"/>
      <w:sz w:val="21"/>
    </w:rPr>
  </w:style>
  <w:style w:type="paragraph" w:styleId="1502">
    <w:name w:val="xl86"/>
    <w:basedOn w:val="954"/>
    <w:next w:val="1502"/>
    <w:link w:val="954"/>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503">
    <w:name w:val="项目"/>
    <w:basedOn w:val="954"/>
    <w:next w:val="1503"/>
    <w:link w:val="954"/>
    <w:pPr>
      <w:numPr>
        <w:ilvl w:val="0"/>
        <w:numId w:val="17"/>
      </w:numPr>
      <w:jc w:val="left"/>
      <w:spacing w:line="336" w:lineRule="auto"/>
      <w:widowControl/>
      <w:tabs>
        <w:tab w:val="left" w:pos="720" w:leader="none"/>
        <w:tab w:val="left" w:pos="993" w:leader="none"/>
      </w:tabs>
    </w:pPr>
    <w:rPr>
      <w:rFonts w:ascii="Arial" w:hAnsi="Calibri"/>
      <w:szCs w:val="20"/>
      <w:lang w:eastAsia="en-US" w:bidi="en-US"/>
    </w:rPr>
  </w:style>
  <w:style w:type="paragraph" w:styleId="1504">
    <w:name w:val="目录"/>
    <w:basedOn w:val="954"/>
    <w:next w:val="1140"/>
    <w:link w:val="954"/>
    <w:pPr>
      <w:jc w:val="center"/>
      <w:pageBreakBefore/>
      <w:spacing w:before="600" w:after="360" w:line="480" w:lineRule="auto"/>
    </w:pPr>
    <w:rPr>
      <w:rFonts w:ascii="Times New Roman" w:hAnsi="Times New Roman" w:eastAsia="楷体_GB2312"/>
      <w:spacing w:val="200"/>
      <w:sz w:val="36"/>
      <w:szCs w:val="32"/>
    </w:rPr>
  </w:style>
  <w:style w:type="paragraph" w:styleId="1505">
    <w:name w:val="文件名"/>
    <w:basedOn w:val="1504"/>
    <w:next w:val="1140"/>
    <w:link w:val="954"/>
    <w:pPr>
      <w:pageBreakBefore w:val="0"/>
    </w:pPr>
    <w:rPr>
      <w:spacing w:val="0"/>
      <w:sz w:val="52"/>
      <w:szCs w:val="44"/>
    </w:rPr>
  </w:style>
  <w:style w:type="paragraph" w:styleId="1506">
    <w:name w:val="6"/>
    <w:basedOn w:val="1454"/>
    <w:next w:val="1506"/>
    <w:link w:val="954"/>
    <w:pPr>
      <w:jc w:val="both"/>
      <w:spacing w:line="270" w:lineRule="atLeast"/>
    </w:pPr>
    <w:rPr>
      <w:b w:val="0"/>
      <w:bCs w:val="0"/>
    </w:rPr>
  </w:style>
  <w:style w:type="paragraph" w:styleId="1507">
    <w:name w:val="p0"/>
    <w:basedOn w:val="954"/>
    <w:next w:val="1507"/>
    <w:link w:val="954"/>
    <w:qFormat/>
    <w:pPr>
      <w:jc w:val="left"/>
      <w:spacing w:before="100" w:beforeAutospacing="1" w:after="100" w:afterAutospacing="1"/>
      <w:widowControl/>
    </w:pPr>
    <w:rPr>
      <w:rFonts w:cs="宋体"/>
    </w:rPr>
  </w:style>
  <w:style w:type="paragraph" w:styleId="1508">
    <w:name w:val="xl184"/>
    <w:basedOn w:val="954"/>
    <w:next w:val="1508"/>
    <w:link w:val="9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09">
    <w:name w:val="1 Char Char Char Char"/>
    <w:basedOn w:val="954"/>
    <w:next w:val="1509"/>
    <w:link w:val="954"/>
    <w:rPr>
      <w:rFonts w:ascii="Tahoma" w:hAnsi="Tahoma"/>
      <w:szCs w:val="20"/>
    </w:rPr>
  </w:style>
  <w:style w:type="paragraph" w:styleId="1510">
    <w:name w:val="xl97"/>
    <w:basedOn w:val="954"/>
    <w:next w:val="1510"/>
    <w:link w:val="954"/>
    <w:pPr>
      <w:jc w:val="center"/>
      <w:spacing w:before="100" w:beforeAutospacing="1" w:after="100" w:afterAutospacing="1"/>
      <w:widowControl/>
      <w:pBdr>
        <w:top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511">
    <w:name w:val="xl111"/>
    <w:basedOn w:val="954"/>
    <w:next w:val="1511"/>
    <w:link w:val="954"/>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512">
    <w:name w:val="xl108"/>
    <w:basedOn w:val="954"/>
    <w:next w:val="1512"/>
    <w:link w:val="954"/>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513">
    <w:name w:val="Char3"/>
    <w:basedOn w:val="954"/>
    <w:next w:val="1513"/>
    <w:link w:val="954"/>
    <w:pPr>
      <w:jc w:val="left"/>
      <w:spacing w:after="160" w:line="240" w:lineRule="exact"/>
      <w:widowControl/>
    </w:pPr>
    <w:rPr>
      <w:rFonts w:ascii="Verdana" w:hAnsi="Verdana"/>
      <w:sz w:val="21"/>
      <w:szCs w:val="20"/>
      <w:lang w:eastAsia="en-US"/>
    </w:rPr>
  </w:style>
  <w:style w:type="paragraph" w:styleId="1514">
    <w:name w:val="7"/>
    <w:basedOn w:val="954"/>
    <w:next w:val="1020"/>
    <w:link w:val="954"/>
    <w:pPr>
      <w:ind w:firstLine="560"/>
      <w:spacing w:line="440" w:lineRule="exact"/>
    </w:pPr>
    <w:rPr>
      <w:rFonts w:ascii="Times New Roman" w:hAnsi="Times New Roman"/>
      <w:sz w:val="21"/>
    </w:rPr>
  </w:style>
  <w:style w:type="paragraph" w:styleId="1515">
    <w:name w:val="xl147"/>
    <w:basedOn w:val="954"/>
    <w:next w:val="1515"/>
    <w:link w:val="954"/>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516">
    <w:name w:val="xl106"/>
    <w:basedOn w:val="954"/>
    <w:next w:val="1516"/>
    <w:link w:val="954"/>
    <w:pPr>
      <w:jc w:val="center"/>
      <w:spacing w:before="100" w:beforeAutospacing="1" w:after="100" w:afterAutospacing="1"/>
      <w:shd w:val="clear" w:color="auto" w:fill="969696"/>
      <w:widowControl/>
      <w:pBdr>
        <w:top w:val="single" w:color="000000" w:sz="8" w:space="0"/>
        <w:left w:val="single" w:color="000000" w:sz="4" w:space="0"/>
        <w:bottom w:val="single" w:color="000000" w:sz="4" w:space="0"/>
        <w:right w:val="single" w:color="000000" w:sz="4" w:space="0"/>
      </w:pBdr>
    </w:pPr>
    <w:rPr>
      <w:rFonts w:cs="宋体"/>
      <w:b/>
      <w:bCs/>
      <w:sz w:val="20"/>
      <w:szCs w:val="20"/>
    </w:rPr>
  </w:style>
  <w:style w:type="paragraph" w:styleId="1517">
    <w:name w:val="xl165"/>
    <w:basedOn w:val="954"/>
    <w:next w:val="1517"/>
    <w:link w:val="954"/>
    <w:pPr>
      <w:jc w:val="left"/>
      <w:spacing w:before="100" w:beforeAutospacing="1" w:after="100" w:afterAutospacing="1"/>
      <w:widowControl/>
    </w:pPr>
    <w:rPr>
      <w:rFonts w:ascii="Courier New" w:hAnsi="Courier New" w:cs="Courier New"/>
    </w:rPr>
  </w:style>
  <w:style w:type="paragraph" w:styleId="1518">
    <w:name w:val="表格题注"/>
    <w:next w:val="954"/>
    <w:link w:val="954"/>
    <w:pPr>
      <w:numPr>
        <w:ilvl w:val="8"/>
        <w:numId w:val="6"/>
      </w:numPr>
      <w:jc w:val="center"/>
      <w:keepLines/>
      <w:spacing w:before="240"/>
      <w:tabs>
        <w:tab w:val="left" w:pos="3780" w:leader="none"/>
      </w:tabs>
    </w:pPr>
    <w:rPr>
      <w:rFonts w:ascii="Arial" w:hAnsi="Arial"/>
      <w:sz w:val="18"/>
      <w:szCs w:val="18"/>
      <w:lang w:val="en-US" w:eastAsia="zh-CN" w:bidi="ar-SA"/>
    </w:rPr>
  </w:style>
  <w:style w:type="paragraph" w:styleId="1519">
    <w:name w:val="xl105"/>
    <w:basedOn w:val="954"/>
    <w:next w:val="1519"/>
    <w:link w:val="954"/>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520">
    <w:name w:val="Table Text"/>
    <w:basedOn w:val="954"/>
    <w:next w:val="1520"/>
    <w:link w:val="954"/>
    <w:rPr>
      <w:rFonts w:ascii="Times New Roman" w:hAnsi="Times New Roman"/>
      <w:sz w:val="18"/>
    </w:rPr>
  </w:style>
  <w:style w:type="paragraph" w:styleId="1521">
    <w:name w:val="Item Step in Table"/>
    <w:basedOn w:val="954"/>
    <w:next w:val="1521"/>
    <w:link w:val="954"/>
    <w:pPr>
      <w:numPr>
        <w:ilvl w:val="0"/>
        <w:numId w:val="18"/>
      </w:numPr>
      <w:ind w:left="425" w:hanging="425"/>
      <w:jc w:val="left"/>
      <w:tabs>
        <w:tab w:val="left" w:pos="425" w:leader="none"/>
      </w:tabs>
    </w:pPr>
    <w:rPr>
      <w:rFonts w:ascii="Times New Roman" w:hAnsi="Times New Roman"/>
      <w:sz w:val="21"/>
    </w:rPr>
  </w:style>
  <w:style w:type="paragraph" w:styleId="1522">
    <w:name w:val="xl82"/>
    <w:basedOn w:val="954"/>
    <w:next w:val="1522"/>
    <w:link w:val="954"/>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523">
    <w:name w:val="南通方案正文"/>
    <w:basedOn w:val="954"/>
    <w:next w:val="1523"/>
    <w:link w:val="954"/>
    <w:pPr>
      <w:ind w:firstLine="480"/>
      <w:jc w:val="left"/>
      <w:spacing w:line="360" w:lineRule="auto"/>
      <w:widowControl/>
    </w:pPr>
    <w:rPr>
      <w:rFonts w:cs="宋体"/>
      <w:szCs w:val="20"/>
    </w:rPr>
  </w:style>
  <w:style w:type="paragraph" w:styleId="1524">
    <w:name w:val="xl116"/>
    <w:basedOn w:val="954"/>
    <w:next w:val="1524"/>
    <w:link w:val="954"/>
    <w:pPr>
      <w:jc w:val="left"/>
      <w:spacing w:before="100" w:beforeAutospacing="1" w:after="100" w:afterAutospacing="1"/>
      <w:shd w:val="clear" w:color="auto" w:fill="ffffff"/>
      <w:widowControl/>
      <w:pBdr>
        <w:top w:val="single" w:color="000000" w:sz="4" w:space="0"/>
        <w:left w:val="single" w:color="000000" w:sz="8" w:space="0"/>
        <w:bottom w:val="single" w:color="000000" w:sz="4" w:space="0"/>
      </w:pBdr>
    </w:pPr>
    <w:rPr>
      <w:rFonts w:cs="宋体"/>
      <w:b/>
      <w:bCs/>
      <w:sz w:val="20"/>
      <w:szCs w:val="20"/>
    </w:rPr>
  </w:style>
  <w:style w:type="paragraph" w:styleId="1525">
    <w:name w:val="xl66"/>
    <w:basedOn w:val="954"/>
    <w:next w:val="1525"/>
    <w:link w:val="9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26">
    <w:name w:val="xl90"/>
    <w:basedOn w:val="954"/>
    <w:next w:val="1526"/>
    <w:link w:val="954"/>
    <w:pPr>
      <w:jc w:val="center"/>
      <w:spacing w:before="100" w:beforeAutospacing="1" w:after="100" w:afterAutospacing="1"/>
      <w:widowControl/>
      <w:pBdr>
        <w:top w:val="single" w:color="000000" w:sz="8" w:space="0"/>
        <w:bottom w:val="single" w:color="000000" w:sz="8" w:space="0"/>
      </w:pBdr>
    </w:pPr>
    <w:rPr>
      <w:rFonts w:ascii="微软雅黑" w:hAnsi="微软雅黑" w:eastAsia="微软雅黑" w:cs="宋体"/>
      <w:b/>
      <w:bCs/>
      <w:sz w:val="28"/>
      <w:szCs w:val="28"/>
    </w:rPr>
  </w:style>
  <w:style w:type="paragraph" w:styleId="1527">
    <w:name w:val="xl177"/>
    <w:basedOn w:val="954"/>
    <w:next w:val="1527"/>
    <w:link w:val="9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28">
    <w:name w:val="Char Char2 Char"/>
    <w:basedOn w:val="954"/>
    <w:next w:val="1528"/>
    <w:link w:val="954"/>
    <w:pPr>
      <w:ind w:left="390" w:hanging="390"/>
      <w:keepLines/>
      <w:keepNext/>
      <w:pageBreakBefore/>
      <w:tabs>
        <w:tab w:val="left" w:pos="390" w:leader="none"/>
      </w:tabs>
    </w:pPr>
    <w:rPr>
      <w:rFonts w:ascii="Tahoma" w:hAnsi="Tahoma"/>
      <w:szCs w:val="20"/>
    </w:rPr>
  </w:style>
  <w:style w:type="paragraph" w:styleId="1529">
    <w:name w:val="xl192"/>
    <w:basedOn w:val="954"/>
    <w:next w:val="1529"/>
    <w:link w:val="954"/>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530">
    <w:name w:val="xl139"/>
    <w:basedOn w:val="954"/>
    <w:next w:val="1530"/>
    <w:link w:val="954"/>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531">
    <w:name w:val="xl208"/>
    <w:basedOn w:val="954"/>
    <w:next w:val="1531"/>
    <w:link w:val="954"/>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532">
    <w:name w:val="xl110"/>
    <w:basedOn w:val="954"/>
    <w:next w:val="1532"/>
    <w:link w:val="954"/>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533">
    <w:name w:val="xl136"/>
    <w:basedOn w:val="954"/>
    <w:next w:val="1533"/>
    <w:link w:val="954"/>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color w:val="000000"/>
      <w:sz w:val="18"/>
      <w:szCs w:val="18"/>
    </w:rPr>
  </w:style>
  <w:style w:type="paragraph" w:styleId="1534">
    <w:name w:val="font16"/>
    <w:basedOn w:val="954"/>
    <w:next w:val="1534"/>
    <w:link w:val="954"/>
    <w:pPr>
      <w:jc w:val="left"/>
      <w:spacing w:before="100" w:beforeAutospacing="1" w:after="100" w:afterAutospacing="1"/>
      <w:widowControl/>
    </w:pPr>
    <w:rPr>
      <w:rFonts w:cs="宋体"/>
      <w:sz w:val="18"/>
      <w:szCs w:val="18"/>
    </w:rPr>
  </w:style>
  <w:style w:type="paragraph" w:styleId="1535">
    <w:name w:val="xl67"/>
    <w:basedOn w:val="954"/>
    <w:next w:val="1535"/>
    <w:link w:val="954"/>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536">
    <w:name w:val="xl24"/>
    <w:basedOn w:val="954"/>
    <w:next w:val="1536"/>
    <w:link w:val="954"/>
    <w:pPr>
      <w:jc w:val="center"/>
      <w:spacing w:before="100" w:beforeAutospacing="1" w:after="100" w:afterAutospacing="1"/>
      <w:widowControl/>
    </w:pPr>
    <w:rPr>
      <w:rFonts w:hint="eastAsia"/>
    </w:rPr>
  </w:style>
  <w:style w:type="paragraph" w:styleId="1537">
    <w:name w:val="xl185"/>
    <w:basedOn w:val="954"/>
    <w:next w:val="1537"/>
    <w:link w:val="9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38">
    <w:name w:val="列出段落1"/>
    <w:basedOn w:val="954"/>
    <w:next w:val="1538"/>
    <w:link w:val="954"/>
    <w:uiPriority w:val="34"/>
    <w:qFormat/>
    <w:pPr>
      <w:ind w:firstLine="420"/>
    </w:pPr>
    <w:rPr>
      <w:rFonts w:ascii="Calibri" w:hAnsi="Calibri"/>
      <w:sz w:val="21"/>
      <w:szCs w:val="22"/>
    </w:rPr>
  </w:style>
  <w:style w:type="paragraph" w:styleId="1539">
    <w:name w:val=" Char1 Char Char Char Char Char Char"/>
    <w:basedOn w:val="954"/>
    <w:next w:val="1539"/>
    <w:link w:val="954"/>
    <w:rPr>
      <w:rFonts w:ascii="Tahoma" w:hAnsi="Tahoma"/>
      <w:szCs w:val="20"/>
    </w:rPr>
  </w:style>
  <w:style w:type="paragraph" w:styleId="1540">
    <w:name w:val="xl149"/>
    <w:basedOn w:val="954"/>
    <w:next w:val="1540"/>
    <w:link w:val="954"/>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541">
    <w:name w:val="封面标题"/>
    <w:basedOn w:val="954"/>
    <w:next w:val="1541"/>
    <w:link w:val="954"/>
    <w:pPr>
      <w:numPr>
        <w:ilvl w:val="0"/>
        <w:numId w:val="0"/>
      </w:numPr>
      <w:jc w:val="center"/>
      <w:spacing w:line="360" w:lineRule="auto"/>
      <w:tabs>
        <w:tab w:val="right" w:pos="9031" w:leader="none"/>
      </w:tabs>
    </w:pPr>
    <w:rPr>
      <w:rFonts w:ascii="Times New Roman" w:hAnsi="Times New Roman" w:eastAsia="黑体"/>
      <w:bCs/>
      <w:sz w:val="44"/>
      <w:szCs w:val="44"/>
    </w:rPr>
  </w:style>
  <w:style w:type="paragraph" w:styleId="1542">
    <w:name w:val="word"/>
    <w:basedOn w:val="954"/>
    <w:next w:val="1542"/>
    <w:link w:val="954"/>
    <w:pPr>
      <w:jc w:val="left"/>
      <w:spacing w:before="100" w:beforeAutospacing="1" w:after="100" w:afterAutospacing="1" w:line="270" w:lineRule="atLeast"/>
      <w:widowControl/>
    </w:pPr>
    <w:rPr>
      <w:rFonts w:ascii="ˎ̥" w:hAnsi="ˎ̥" w:cs="宋体"/>
      <w:color w:val="000000"/>
      <w:sz w:val="18"/>
      <w:szCs w:val="18"/>
    </w:rPr>
  </w:style>
  <w:style w:type="paragraph" w:styleId="1543">
    <w:name w:val="font21"/>
    <w:basedOn w:val="954"/>
    <w:next w:val="1543"/>
    <w:link w:val="954"/>
    <w:pPr>
      <w:jc w:val="left"/>
      <w:spacing w:before="100" w:beforeAutospacing="1" w:after="100" w:afterAutospacing="1"/>
      <w:widowControl/>
    </w:pPr>
    <w:rPr>
      <w:rFonts w:cs="宋体"/>
      <w:sz w:val="18"/>
      <w:szCs w:val="18"/>
    </w:rPr>
  </w:style>
  <w:style w:type="paragraph" w:styleId="1544">
    <w:name w:val="Note heading"/>
    <w:basedOn w:val="954"/>
    <w:next w:val="954"/>
    <w:link w:val="954"/>
    <w:pPr>
      <w:ind w:left="420"/>
      <w:keepLines/>
      <w:keepNext/>
      <w:spacing w:before="100"/>
      <w:widowControl/>
      <w:pBdr>
        <w:top w:val="single" w:color="000000" w:sz="8" w:space="1"/>
      </w:pBdr>
    </w:pPr>
    <w:rPr>
      <w:rFonts w:ascii="Times New Roman" w:hAnsi="Times New Roman" w:eastAsia="黑体"/>
      <w:sz w:val="21"/>
      <w:szCs w:val="18"/>
    </w:rPr>
  </w:style>
  <w:style w:type="paragraph" w:styleId="1545">
    <w:name w:val="列项——（一级）"/>
    <w:next w:val="1545"/>
    <w:link w:val="954"/>
    <w:pPr>
      <w:ind w:left="1440" w:hanging="720"/>
      <w:jc w:val="both"/>
      <w:widowControl w:val="off"/>
      <w:tabs>
        <w:tab w:val="left" w:pos="854" w:leader="none"/>
        <w:tab w:val="left" w:pos="1440" w:leader="none"/>
      </w:tabs>
    </w:pPr>
    <w:rPr>
      <w:rFonts w:ascii="宋体"/>
      <w:sz w:val="21"/>
      <w:lang w:val="en-US" w:eastAsia="zh-CN" w:bidi="ar-SA"/>
    </w:rPr>
  </w:style>
  <w:style w:type="paragraph" w:styleId="1546">
    <w:name w:val="xl117"/>
    <w:basedOn w:val="954"/>
    <w:next w:val="1546"/>
    <w:link w:val="954"/>
    <w:pPr>
      <w:jc w:val="left"/>
      <w:spacing w:before="100" w:beforeAutospacing="1" w:after="100" w:afterAutospacing="1"/>
      <w:shd w:val="clear" w:color="auto" w:fill="ffffff"/>
      <w:widowControl/>
      <w:pBdr>
        <w:top w:val="single" w:color="000000" w:sz="4" w:space="0"/>
        <w:bottom w:val="single" w:color="000000" w:sz="4" w:space="0"/>
      </w:pBdr>
    </w:pPr>
    <w:rPr>
      <w:rFonts w:cs="宋体"/>
      <w:b/>
      <w:bCs/>
      <w:sz w:val="20"/>
      <w:szCs w:val="20"/>
    </w:rPr>
  </w:style>
  <w:style w:type="paragraph" w:styleId="1547">
    <w:name w:val="xl210"/>
    <w:basedOn w:val="954"/>
    <w:next w:val="1547"/>
    <w:link w:val="954"/>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548">
    <w:name w:val="xl87"/>
    <w:basedOn w:val="954"/>
    <w:next w:val="1548"/>
    <w:link w:val="954"/>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sz w:val="20"/>
      <w:szCs w:val="20"/>
    </w:rPr>
  </w:style>
  <w:style w:type="paragraph" w:styleId="1549">
    <w:name w:val="小四 段落 宋体 Char"/>
    <w:basedOn w:val="981"/>
    <w:next w:val="1549"/>
    <w:link w:val="954"/>
    <w:pPr>
      <w:ind w:left="0" w:right="-33" w:firstLine="480"/>
      <w:jc w:val="left"/>
      <w:spacing w:line="360" w:lineRule="auto"/>
      <w:tabs>
        <w:tab w:val="clear" w:pos="420" w:leader="none"/>
      </w:tabs>
    </w:pPr>
    <w:rPr>
      <w:sz w:val="24"/>
    </w:rPr>
  </w:style>
  <w:style w:type="paragraph" w:styleId="1550">
    <w:name w:val="表"/>
    <w:basedOn w:val="954"/>
    <w:next w:val="1550"/>
    <w:link w:val="954"/>
    <w:pPr>
      <w:ind w:left="-57" w:right="-57"/>
      <w:jc w:val="center"/>
      <w:spacing w:before="60" w:after="60"/>
    </w:pPr>
    <w:rPr>
      <w:rFonts w:ascii="Times New Roman" w:hAnsi="Times New Roman"/>
      <w:color w:val="000000"/>
      <w:sz w:val="21"/>
      <w:szCs w:val="20"/>
    </w:rPr>
  </w:style>
  <w:style w:type="paragraph" w:styleId="1551">
    <w:name w:val="font26"/>
    <w:basedOn w:val="954"/>
    <w:next w:val="1551"/>
    <w:link w:val="954"/>
    <w:pPr>
      <w:jc w:val="left"/>
      <w:spacing w:before="100" w:beforeAutospacing="1" w:after="100" w:afterAutospacing="1"/>
      <w:widowControl/>
    </w:pPr>
    <w:rPr>
      <w:rFonts w:cs="宋体"/>
      <w:b/>
      <w:bCs/>
      <w:sz w:val="18"/>
      <w:szCs w:val="18"/>
    </w:rPr>
  </w:style>
  <w:style w:type="paragraph" w:styleId="1552">
    <w:name w:val="标题5"/>
    <w:basedOn w:val="954"/>
    <w:next w:val="1552"/>
    <w:link w:val="954"/>
    <w:pPr>
      <w:spacing w:line="360" w:lineRule="auto"/>
    </w:pPr>
    <w:rPr>
      <w:rFonts w:hAnsi="Times New Roman"/>
      <w:b/>
    </w:rPr>
  </w:style>
  <w:style w:type="table" w:styleId="1553">
    <w:name w:val="Table"/>
    <w:basedOn w:val="965"/>
    <w:next w:val="1553"/>
    <w:link w:val="954"/>
    <w:pPr>
      <w:ind w:left="2520" w:hanging="420"/>
      <w:jc w:val="both"/>
    </w:pPr>
    <w:rPr>
      <w:sz w:val="18"/>
    </w:rPr>
    <w:tblPr/>
  </w:style>
  <w:style w:type="paragraph" w:styleId="1554">
    <w:name w:val="正文空2格  1."/>
    <w:basedOn w:val="954"/>
    <w:next w:val="1554"/>
    <w:link w:val="954"/>
    <w:qFormat/>
    <w:pPr>
      <w:ind w:firstLine="480"/>
      <w:spacing w:line="360" w:lineRule="auto"/>
    </w:pPr>
    <w:rPr>
      <w:rFonts w:hint="eastAsia" w:hAnsi="Times New Roman" w:eastAsia="仿宋"/>
      <w:sz w:val="28"/>
      <w:szCs w:val="20"/>
    </w:rPr>
  </w:style>
  <w:style w:type="table" w:styleId="1555">
    <w:name w:val="Table Normal"/>
    <w:next w:val="1555"/>
    <w:link w:val="954"/>
    <w:unhideWhenUsed/>
    <w:qFormat/>
    <w:rPr>
      <w:rFonts w:ascii="Arial" w:hAnsi="Arial" w:eastAsia="等线" w:cs="Arial"/>
      <w:color w:val="000000"/>
      <w:sz w:val="21"/>
      <w:szCs w:val="21"/>
      <w:lang w:val="en-US" w:eastAsia="zh-CN" w:bidi="ar-SA"/>
    </w:rPr>
    <w:tblPr/>
  </w:style>
  <w:style w:type="paragraph" w:styleId="1556">
    <w:name w:val="纯文本6"/>
    <w:basedOn w:val="954"/>
    <w:next w:val="1556"/>
    <w:link w:val="954"/>
    <w:qFormat/>
    <w:rPr>
      <w:rFonts w:hAnsi="Courier New" w:eastAsia="楷体_GB2312"/>
      <w:sz w:val="26"/>
      <w:szCs w:val="20"/>
    </w:rPr>
  </w:style>
  <w:style w:type="paragraph" w:styleId="1557">
    <w:name w:val="目录 61"/>
    <w:basedOn w:val="954"/>
    <w:next w:val="954"/>
    <w:link w:val="954"/>
    <w:semiHidden/>
    <w:pPr>
      <w:ind w:left="1050" w:firstLine="420"/>
      <w:jc w:val="left"/>
      <w:spacing w:before="100" w:beforeAutospacing="1" w:line="288" w:lineRule="auto"/>
    </w:pPr>
    <w:rPr>
      <w:rFonts w:hAnsi="Times New Roman"/>
      <w:sz w:val="18"/>
      <w:szCs w:val="18"/>
    </w:rPr>
  </w:style>
  <w:style w:type="character" w:styleId="1558" w:default="1">
    <w:name w:val="Default Paragraph Font"/>
    <w:uiPriority w:val="1"/>
    <w:semiHidden/>
    <w:unhideWhenUsed/>
  </w:style>
  <w:style w:type="numbering" w:styleId="1559" w:default="1">
    <w:name w:val="No List"/>
    <w:uiPriority w:val="99"/>
    <w:semiHidden/>
    <w:unhideWhenUsed/>
  </w:style>
  <w:style w:type="table" w:styleId="15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相城区政府采购</dc:title>
  <dc:creator>USER</dc:creator>
  <cp:lastModifiedBy>顾冬春</cp:lastModifiedBy>
  <cp:revision>22</cp:revision>
  <dcterms:created xsi:type="dcterms:W3CDTF">2024-03-22T02:31:00Z</dcterms:created>
  <dcterms:modified xsi:type="dcterms:W3CDTF">2026-04-16T06:39:26Z</dcterms:modified>
  <cp:version>1048576</cp:version>
</cp:coreProperties>
</file>