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07FB22">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bookmarkStart w:id="450" w:name="_GoBack"/>
      <w:bookmarkEnd w:id="450"/>
    </w:p>
    <w:p w14:paraId="3918A943">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p>
    <w:p w14:paraId="0A2ABCA8">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p>
    <w:p w14:paraId="07ECFFA9">
      <w:pPr>
        <w:pStyle w:val="209"/>
        <w:shd w:val="clear" w:color="auto"/>
        <w:ind w:firstLine="0"/>
        <w:jc w:val="center"/>
        <w:rPr>
          <w:rFonts w:hint="eastAsia" w:ascii="宋体" w:hAnsi="宋体" w:eastAsia="宋体" w:cs="宋体"/>
          <w:b/>
          <w:bCs/>
          <w:color w:val="000000" w:themeColor="text1"/>
          <w:spacing w:val="0"/>
          <w:sz w:val="72"/>
          <w:szCs w:val="72"/>
          <w:highlight w:val="none"/>
          <w14:textFill>
            <w14:solidFill>
              <w14:schemeClr w14:val="tx1"/>
            </w14:solidFill>
          </w14:textFill>
        </w:rPr>
      </w:pPr>
      <w:r>
        <w:rPr>
          <w:rFonts w:hint="eastAsia" w:ascii="宋体" w:hAnsi="宋体" w:eastAsia="宋体" w:cs="宋体"/>
          <w:b/>
          <w:bCs/>
          <w:color w:val="000000" w:themeColor="text1"/>
          <w:spacing w:val="0"/>
          <w:sz w:val="72"/>
          <w:szCs w:val="72"/>
          <w:highlight w:val="none"/>
          <w14:textFill>
            <w14:solidFill>
              <w14:schemeClr w14:val="tx1"/>
            </w14:solidFill>
          </w14:textFill>
        </w:rPr>
        <w:t>招</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标</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文</w:t>
      </w:r>
      <w:r>
        <w:rPr>
          <w:rFonts w:hint="eastAsia" w:ascii="宋体" w:hAnsi="宋体" w:eastAsia="宋体" w:cs="宋体"/>
          <w:b/>
          <w:bCs/>
          <w:color w:val="000000" w:themeColor="text1"/>
          <w:spacing w:val="0"/>
          <w:sz w:val="72"/>
          <w:szCs w:val="72"/>
          <w:highlight w:val="none"/>
          <w:lang w:val="en-US" w:eastAsia="zh-CN"/>
          <w14:textFill>
            <w14:solidFill>
              <w14:schemeClr w14:val="tx1"/>
            </w14:solidFill>
          </w14:textFill>
        </w:rPr>
        <w:t xml:space="preserve">  </w:t>
      </w:r>
      <w:r>
        <w:rPr>
          <w:rFonts w:hint="eastAsia" w:ascii="宋体" w:hAnsi="宋体" w:eastAsia="宋体" w:cs="宋体"/>
          <w:b/>
          <w:bCs/>
          <w:color w:val="000000" w:themeColor="text1"/>
          <w:spacing w:val="0"/>
          <w:sz w:val="72"/>
          <w:szCs w:val="72"/>
          <w:highlight w:val="none"/>
          <w14:textFill>
            <w14:solidFill>
              <w14:schemeClr w14:val="tx1"/>
            </w14:solidFill>
          </w14:textFill>
        </w:rPr>
        <w:t>件</w:t>
      </w:r>
    </w:p>
    <w:p w14:paraId="31B01D18">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p>
    <w:p w14:paraId="0263EF01">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p>
    <w:p w14:paraId="1DAC9FDC">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pPr>
    </w:p>
    <w:p w14:paraId="567BF671">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lang w:val="en-US" w:eastAsia="zh-CN"/>
          <w14:textFill>
            <w14:solidFill>
              <w14:schemeClr w14:val="tx1"/>
            </w14:solidFill>
          </w14:textFill>
        </w:rPr>
      </w:pPr>
    </w:p>
    <w:p w14:paraId="2376892C">
      <w:pPr>
        <w:pStyle w:val="209"/>
        <w:shd w:val="clear" w:color="auto"/>
        <w:spacing w:before="0" w:after="0"/>
        <w:ind w:firstLine="0"/>
        <w:jc w:val="center"/>
        <w:rPr>
          <w:rFonts w:hint="eastAsia" w:ascii="宋体" w:hAnsi="宋体" w:eastAsia="宋体" w:cs="宋体"/>
          <w:b/>
          <w:color w:val="000000" w:themeColor="text1"/>
          <w:spacing w:val="0"/>
          <w:sz w:val="32"/>
          <w:szCs w:val="32"/>
          <w:highlight w:val="none"/>
          <w:lang w:eastAsia="zh-CN"/>
          <w14:textFill>
            <w14:solidFill>
              <w14:schemeClr w14:val="tx1"/>
            </w14:solidFill>
          </w14:textFill>
        </w:rPr>
      </w:pPr>
      <w:bookmarkStart w:id="0" w:name="_Toc15175"/>
      <w:bookmarkStart w:id="1" w:name="_Toc6394"/>
      <w:bookmarkStart w:id="2" w:name="_Toc32037"/>
      <w:r>
        <w:rPr>
          <w:rFonts w:hint="eastAsia" w:ascii="宋体" w:hAnsi="宋体" w:eastAsia="宋体" w:cs="宋体"/>
          <w:b/>
          <w:color w:val="000000" w:themeColor="text1"/>
          <w:spacing w:val="0"/>
          <w:sz w:val="32"/>
          <w:szCs w:val="32"/>
          <w:highlight w:val="none"/>
          <w14:textFill>
            <w14:solidFill>
              <w14:schemeClr w14:val="tx1"/>
            </w14:solidFill>
          </w14:textFill>
        </w:rPr>
        <w:t>项目名称：</w:t>
      </w:r>
      <w:bookmarkEnd w:id="0"/>
      <w:bookmarkEnd w:id="1"/>
      <w:r>
        <w:rPr>
          <w:rFonts w:hint="eastAsia" w:ascii="宋体" w:hAnsi="宋体" w:cs="宋体"/>
          <w:b/>
          <w:color w:val="000000" w:themeColor="text1"/>
          <w:spacing w:val="0"/>
          <w:sz w:val="32"/>
          <w:szCs w:val="32"/>
          <w:highlight w:val="none"/>
          <w:lang w:eastAsia="zh-CN"/>
          <w14:textFill>
            <w14:solidFill>
              <w14:schemeClr w14:val="tx1"/>
            </w14:solidFill>
          </w14:textFill>
        </w:rPr>
        <w:t>张家港经济技术开发区园区限值限量监测设备第三方运维服务项目</w:t>
      </w:r>
    </w:p>
    <w:p w14:paraId="4A66554E">
      <w:pPr>
        <w:pStyle w:val="209"/>
        <w:shd w:val="clear" w:color="auto"/>
        <w:spacing w:before="0" w:after="0"/>
        <w:ind w:firstLine="0"/>
        <w:jc w:val="center"/>
        <w:rPr>
          <w:rFonts w:hint="eastAsia" w:ascii="宋体" w:hAnsi="宋体" w:eastAsia="宋体" w:cs="宋体"/>
          <w:b/>
          <w:color w:val="000000" w:themeColor="text1"/>
          <w:spacing w:val="0"/>
          <w:sz w:val="32"/>
          <w:szCs w:val="32"/>
          <w:highlight w:val="none"/>
          <w:lang w:val="en-US" w:eastAsia="zh-CN"/>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标书编号：</w:t>
      </w:r>
      <w:r>
        <w:rPr>
          <w:rFonts w:hint="eastAsia" w:ascii="宋体" w:hAnsi="宋体" w:cs="宋体"/>
          <w:b/>
          <w:color w:val="000000" w:themeColor="text1"/>
          <w:spacing w:val="0"/>
          <w:sz w:val="32"/>
          <w:szCs w:val="32"/>
          <w:highlight w:val="none"/>
          <w:lang w:val="en-US" w:eastAsia="zh-CN"/>
          <w14:textFill>
            <w14:solidFill>
              <w14:schemeClr w14:val="tx1"/>
            </w14:solidFill>
          </w14:textFill>
        </w:rPr>
        <w:t>JSZC-320582-ZZHX-G2026-0008</w:t>
      </w:r>
    </w:p>
    <w:p w14:paraId="0FFEAB39">
      <w:pPr>
        <w:pStyle w:val="209"/>
        <w:shd w:val="clear" w:color="auto"/>
        <w:spacing w:before="0" w:after="0"/>
        <w:ind w:firstLine="0"/>
        <w:jc w:val="center"/>
        <w:rPr>
          <w:rFonts w:hint="eastAsia" w:ascii="宋体" w:hAnsi="宋体" w:eastAsia="宋体" w:cs="宋体"/>
          <w:b/>
          <w:color w:val="000000" w:themeColor="text1"/>
          <w:spacing w:val="0"/>
          <w:sz w:val="32"/>
          <w:szCs w:val="32"/>
          <w:highlight w:val="none"/>
          <w14:textFill>
            <w14:solidFill>
              <w14:schemeClr w14:val="tx1"/>
            </w14:solidFill>
          </w14:textFill>
        </w:rPr>
      </w:pPr>
      <w:r>
        <w:rPr>
          <w:rFonts w:hint="eastAsia" w:ascii="宋体" w:hAnsi="宋体" w:eastAsia="宋体" w:cs="宋体"/>
          <w:b/>
          <w:color w:val="000000" w:themeColor="text1"/>
          <w:spacing w:val="0"/>
          <w:sz w:val="32"/>
          <w:szCs w:val="32"/>
          <w:highlight w:val="none"/>
          <w14:textFill>
            <w14:solidFill>
              <w14:schemeClr w14:val="tx1"/>
            </w14:solidFill>
          </w14:textFill>
        </w:rPr>
        <w:t>项目属性：服务类</w:t>
      </w:r>
    </w:p>
    <w:p w14:paraId="06BF194B">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p>
    <w:p w14:paraId="0B469D2E">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p>
    <w:p w14:paraId="6AAE838D">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p>
    <w:p w14:paraId="233CEF26">
      <w:pPr>
        <w:pStyle w:val="209"/>
        <w:shd w:val="clear" w:color="auto"/>
        <w:spacing w:before="0" w:after="0"/>
        <w:ind w:firstLine="0"/>
        <w:jc w:val="center"/>
        <w:rPr>
          <w:rFonts w:hint="eastAsia" w:ascii="宋体" w:hAnsi="宋体" w:eastAsia="宋体" w:cs="宋体"/>
          <w:color w:val="000000" w:themeColor="text1"/>
          <w:spacing w:val="0"/>
          <w:sz w:val="32"/>
          <w:szCs w:val="32"/>
          <w:highlight w:val="none"/>
          <w14:textFill>
            <w14:solidFill>
              <w14:schemeClr w14:val="tx1"/>
            </w14:solidFill>
          </w14:textFill>
        </w:rPr>
      </w:pPr>
    </w:p>
    <w:p w14:paraId="76AA22A2">
      <w:pPr>
        <w:pStyle w:val="209"/>
        <w:shd w:val="clear" w:color="auto"/>
        <w:spacing w:before="0" w:after="0"/>
        <w:ind w:firstLine="0"/>
        <w:jc w:val="center"/>
        <w:rPr>
          <w:rFonts w:hint="eastAsia" w:ascii="宋体" w:hAnsi="宋体" w:eastAsia="宋体" w:cs="宋体"/>
          <w:b/>
          <w:color w:val="000000" w:themeColor="text1"/>
          <w:spacing w:val="0"/>
          <w:sz w:val="32"/>
          <w:szCs w:val="32"/>
          <w:highlight w:val="none"/>
          <w14:textFill>
            <w14:solidFill>
              <w14:schemeClr w14:val="tx1"/>
            </w14:solidFill>
          </w14:textFill>
        </w:rPr>
      </w:pPr>
    </w:p>
    <w:p w14:paraId="689912B6">
      <w:pPr>
        <w:pStyle w:val="209"/>
        <w:shd w:val="clear" w:color="auto"/>
        <w:spacing w:before="0" w:after="0"/>
        <w:ind w:firstLine="0"/>
        <w:jc w:val="center"/>
        <w:rPr>
          <w:rFonts w:hint="eastAsia" w:ascii="宋体" w:hAnsi="宋体" w:eastAsia="宋体" w:cs="宋体"/>
          <w:b/>
          <w:color w:val="000000" w:themeColor="text1"/>
          <w:spacing w:val="0"/>
          <w:sz w:val="32"/>
          <w:szCs w:val="32"/>
          <w:highlight w:val="none"/>
          <w14:textFill>
            <w14:solidFill>
              <w14:schemeClr w14:val="tx1"/>
            </w14:solidFill>
          </w14:textFill>
        </w:rPr>
      </w:pPr>
      <w:bookmarkStart w:id="3" w:name="_Toc8885"/>
      <w:bookmarkStart w:id="4" w:name="EB8ecef8d8d20b42199abb5fc67b67d8bb"/>
      <w:bookmarkStart w:id="5" w:name="_Toc479"/>
      <w:bookmarkStart w:id="6" w:name="_Toc31894"/>
      <w:r>
        <w:rPr>
          <w:rFonts w:hint="eastAsia" w:ascii="宋体" w:hAnsi="宋体" w:eastAsia="宋体" w:cs="宋体"/>
          <w:b/>
          <w:color w:val="000000" w:themeColor="text1"/>
          <w:spacing w:val="0"/>
          <w:sz w:val="32"/>
          <w:szCs w:val="32"/>
          <w:highlight w:val="none"/>
          <w14:textFill>
            <w14:solidFill>
              <w14:schemeClr w14:val="tx1"/>
            </w14:solidFill>
          </w14:textFill>
        </w:rPr>
        <w:t>苏州政合信咨询管理服务有限公司</w:t>
      </w:r>
      <w:bookmarkEnd w:id="3"/>
      <w:bookmarkEnd w:id="4"/>
      <w:bookmarkEnd w:id="5"/>
      <w:bookmarkEnd w:id="6"/>
    </w:p>
    <w:p w14:paraId="33609BB4">
      <w:pPr>
        <w:pStyle w:val="209"/>
        <w:shd w:val="clear" w:color="auto"/>
        <w:ind w:firstLine="0"/>
        <w:jc w:val="center"/>
        <w:rPr>
          <w:rFonts w:hint="eastAsia" w:ascii="宋体" w:hAnsi="宋体" w:eastAsia="宋体" w:cs="宋体"/>
          <w:b/>
          <w:color w:val="000000" w:themeColor="text1"/>
          <w:spacing w:val="0"/>
          <w:sz w:val="32"/>
          <w:szCs w:val="32"/>
          <w:highlight w:val="none"/>
          <w14:textFill>
            <w14:solidFill>
              <w14:schemeClr w14:val="tx1"/>
            </w14:solidFill>
          </w14:textFill>
        </w:rPr>
      </w:pPr>
      <w:bookmarkStart w:id="7" w:name="EB52307051e0d04806912e5842f73c8551"/>
      <w:r>
        <w:rPr>
          <w:rFonts w:hint="eastAsia" w:ascii="宋体" w:hAnsi="宋体" w:eastAsia="宋体" w:cs="宋体"/>
          <w:b/>
          <w:bCs/>
          <w:color w:val="000000" w:themeColor="text1"/>
          <w:spacing w:val="0"/>
          <w:sz w:val="32"/>
          <w:highlight w:val="none"/>
          <w14:textFill>
            <w14:solidFill>
              <w14:schemeClr w14:val="tx1"/>
            </w14:solidFill>
          </w14:textFill>
        </w:rPr>
        <w:t>202</w:t>
      </w:r>
      <w:r>
        <w:rPr>
          <w:rFonts w:hint="eastAsia" w:ascii="宋体" w:hAnsi="宋体" w:cs="宋体"/>
          <w:b/>
          <w:bCs/>
          <w:color w:val="000000" w:themeColor="text1"/>
          <w:spacing w:val="0"/>
          <w:sz w:val="32"/>
          <w:highlight w:val="none"/>
          <w:lang w:val="en-US" w:eastAsia="zh-CN"/>
          <w14:textFill>
            <w14:solidFill>
              <w14:schemeClr w14:val="tx1"/>
            </w14:solidFill>
          </w14:textFill>
        </w:rPr>
        <w:t>6</w:t>
      </w:r>
      <w:r>
        <w:rPr>
          <w:rFonts w:hint="eastAsia" w:ascii="宋体" w:hAnsi="宋体" w:eastAsia="宋体" w:cs="宋体"/>
          <w:b/>
          <w:bCs/>
          <w:color w:val="000000" w:themeColor="text1"/>
          <w:spacing w:val="0"/>
          <w:sz w:val="32"/>
          <w:highlight w:val="none"/>
          <w14:textFill>
            <w14:solidFill>
              <w14:schemeClr w14:val="tx1"/>
            </w14:solidFill>
          </w14:textFill>
        </w:rPr>
        <w:t>年</w:t>
      </w:r>
      <w:r>
        <w:rPr>
          <w:rFonts w:hint="eastAsia" w:ascii="宋体" w:hAnsi="宋体" w:cs="宋体"/>
          <w:b/>
          <w:bCs/>
          <w:color w:val="000000" w:themeColor="text1"/>
          <w:spacing w:val="0"/>
          <w:sz w:val="32"/>
          <w:highlight w:val="none"/>
          <w:lang w:val="en-US" w:eastAsia="zh-CN"/>
          <w14:textFill>
            <w14:solidFill>
              <w14:schemeClr w14:val="tx1"/>
            </w14:solidFill>
          </w14:textFill>
        </w:rPr>
        <w:t>4</w:t>
      </w:r>
      <w:r>
        <w:rPr>
          <w:rFonts w:hint="eastAsia" w:ascii="宋体" w:hAnsi="宋体" w:eastAsia="宋体" w:cs="宋体"/>
          <w:b/>
          <w:bCs/>
          <w:color w:val="000000" w:themeColor="text1"/>
          <w:spacing w:val="0"/>
          <w:sz w:val="32"/>
          <w:highlight w:val="none"/>
          <w14:textFill>
            <w14:solidFill>
              <w14:schemeClr w14:val="tx1"/>
            </w14:solidFill>
          </w14:textFill>
        </w:rPr>
        <w:t>月</w:t>
      </w:r>
      <w:r>
        <w:rPr>
          <w:rFonts w:hint="eastAsia" w:ascii="宋体" w:hAnsi="宋体" w:cs="宋体"/>
          <w:b/>
          <w:bCs/>
          <w:color w:val="000000" w:themeColor="text1"/>
          <w:spacing w:val="0"/>
          <w:sz w:val="32"/>
          <w:highlight w:val="none"/>
          <w:lang w:val="en-US" w:eastAsia="zh-CN"/>
          <w14:textFill>
            <w14:solidFill>
              <w14:schemeClr w14:val="tx1"/>
            </w14:solidFill>
          </w14:textFill>
        </w:rPr>
        <w:t>30</w:t>
      </w:r>
      <w:r>
        <w:rPr>
          <w:rFonts w:hint="eastAsia" w:ascii="宋体" w:hAnsi="宋体" w:eastAsia="宋体" w:cs="宋体"/>
          <w:b/>
          <w:color w:val="000000" w:themeColor="text1"/>
          <w:spacing w:val="0"/>
          <w:sz w:val="32"/>
          <w:szCs w:val="32"/>
          <w:highlight w:val="none"/>
          <w14:textFill>
            <w14:solidFill>
              <w14:schemeClr w14:val="tx1"/>
            </w14:solidFill>
          </w14:textFill>
        </w:rPr>
        <w:t>日</w:t>
      </w:r>
      <w:bookmarkEnd w:id="7"/>
    </w:p>
    <w:p w14:paraId="0C83CA6C">
      <w:pPr>
        <w:pStyle w:val="209"/>
        <w:shd w:val="clear" w:color="auto"/>
        <w:ind w:firstLine="0"/>
        <w:jc w:val="both"/>
        <w:rPr>
          <w:rFonts w:hint="eastAsia" w:ascii="宋体" w:hAnsi="宋体" w:eastAsia="宋体" w:cs="宋体"/>
          <w:b/>
          <w:color w:val="000000" w:themeColor="text1"/>
          <w:spacing w:val="0"/>
          <w:sz w:val="32"/>
          <w:szCs w:val="32"/>
          <w:highlight w:val="none"/>
          <w14:textFill>
            <w14:solidFill>
              <w14:schemeClr w14:val="tx1"/>
            </w14:solidFill>
          </w14:textFill>
        </w:rPr>
      </w:pPr>
    </w:p>
    <w:p w14:paraId="16C9E5AA">
      <w:pPr>
        <w:pStyle w:val="210"/>
        <w:shd w:val="clear" w:color="auto"/>
        <w:rPr>
          <w:rFonts w:hint="eastAsia" w:ascii="宋体" w:hAnsi="宋体" w:eastAsia="宋体" w:cs="宋体"/>
          <w:color w:val="000000" w:themeColor="text1"/>
          <w:spacing w:val="0"/>
          <w:highlight w:val="none"/>
          <w14:textFill>
            <w14:solidFill>
              <w14:schemeClr w14:val="tx1"/>
            </w14:solidFill>
          </w14:textFill>
        </w:rPr>
        <w:sectPr>
          <w:headerReference r:id="rId3" w:type="default"/>
          <w:footerReference r:id="rId4" w:type="even"/>
          <w:pgSz w:w="11906" w:h="16838"/>
          <w:pgMar w:top="1440" w:right="1080" w:bottom="1440" w:left="1080" w:header="851" w:footer="992" w:gutter="0"/>
          <w:pgNumType w:start="0"/>
          <w:cols w:space="1701" w:num="1"/>
          <w:titlePg/>
          <w:docGrid w:linePitch="360" w:charSpace="0"/>
        </w:sectPr>
      </w:pPr>
    </w:p>
    <w:p w14:paraId="49DF7FAE">
      <w:pPr>
        <w:keepNext w:val="0"/>
        <w:keepLines w:val="0"/>
        <w:pageBreakBefore w:val="0"/>
        <w:widowControl w:val="0"/>
        <w:shd w:val="clear" w:color="auto"/>
        <w:spacing w:before="181" w:after="181"/>
        <w:jc w:val="center"/>
        <w:rPr>
          <w:rFonts w:hint="eastAsia" w:ascii="宋体" w:hAnsi="宋体" w:eastAsia="宋体" w:cs="宋体"/>
          <w:b/>
          <w:bCs/>
          <w:color w:val="000000" w:themeColor="text1"/>
          <w:spacing w:val="0"/>
          <w:sz w:val="44"/>
          <w:szCs w:val="44"/>
          <w:highlight w:val="none"/>
          <w14:textFill>
            <w14:solidFill>
              <w14:schemeClr w14:val="tx1"/>
            </w14:solidFill>
          </w14:textFill>
        </w:rPr>
      </w:pPr>
      <w:r>
        <w:rPr>
          <w:rFonts w:hint="eastAsia" w:ascii="宋体" w:hAnsi="宋体" w:eastAsia="宋体" w:cs="宋体"/>
          <w:b/>
          <w:bCs/>
          <w:color w:val="000000" w:themeColor="text1"/>
          <w:spacing w:val="0"/>
          <w:sz w:val="44"/>
          <w:szCs w:val="44"/>
          <w:highlight w:val="none"/>
          <w14:textFill>
            <w14:solidFill>
              <w14:schemeClr w14:val="tx1"/>
            </w14:solidFill>
          </w14:textFill>
        </w:rPr>
        <w:t>总  目  录</w:t>
      </w:r>
    </w:p>
    <w:p w14:paraId="0414F1D7">
      <w:pPr>
        <w:pStyle w:val="29"/>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color w:val="000000" w:themeColor="text1"/>
          <w:spacing w:val="0"/>
          <w:sz w:val="28"/>
          <w:szCs w:val="28"/>
          <w:highlight w:val="none"/>
          <w14:textFill>
            <w14:solidFill>
              <w14:schemeClr w14:val="tx1"/>
            </w14:solidFill>
          </w14:textFill>
        </w:rPr>
        <w:fldChar w:fldCharType="begin"/>
      </w:r>
      <w:r>
        <w:rPr>
          <w:rFonts w:hint="eastAsia" w:ascii="宋体" w:hAnsi="宋体" w:eastAsia="宋体" w:cs="宋体"/>
          <w:color w:val="000000" w:themeColor="text1"/>
          <w:spacing w:val="0"/>
          <w:sz w:val="28"/>
          <w:szCs w:val="28"/>
          <w:highlight w:val="none"/>
          <w14:textFill>
            <w14:solidFill>
              <w14:schemeClr w14:val="tx1"/>
            </w14:solidFill>
          </w14:textFill>
        </w:rPr>
        <w:instrText xml:space="preserve"> TOC \o "1-2" \h \z \u </w:instrText>
      </w:r>
      <w:r>
        <w:rPr>
          <w:rFonts w:hint="eastAsia" w:ascii="宋体" w:hAnsi="宋体" w:eastAsia="宋体" w:cs="宋体"/>
          <w:color w:val="000000" w:themeColor="text1"/>
          <w:spacing w:val="0"/>
          <w:sz w:val="28"/>
          <w:szCs w:val="28"/>
          <w:highlight w:val="none"/>
          <w14:textFill>
            <w14:solidFill>
              <w14:schemeClr w14:val="tx1"/>
            </w14:solidFill>
          </w14:textFill>
        </w:rPr>
        <w:fldChar w:fldCharType="separate"/>
      </w: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color w:val="auto"/>
          <w:spacing w:val="0"/>
          <w:sz w:val="28"/>
          <w:szCs w:val="28"/>
          <w:highlight w:val="none"/>
        </w:rPr>
        <w:instrText xml:space="preserve"> HYPERLINK \l _Toc11535 </w:instrText>
      </w:r>
      <w:r>
        <w:rPr>
          <w:rFonts w:hint="eastAsia" w:ascii="宋体" w:hAnsi="宋体" w:eastAsia="宋体" w:cs="宋体"/>
          <w:b/>
          <w:bCs/>
          <w:color w:val="auto"/>
          <w:spacing w:val="0"/>
          <w:sz w:val="28"/>
          <w:szCs w:val="28"/>
          <w:highlight w:val="none"/>
        </w:rPr>
        <w:fldChar w:fldCharType="separate"/>
      </w:r>
      <w:r>
        <w:rPr>
          <w:rFonts w:hint="eastAsia" w:ascii="宋体" w:hAnsi="宋体" w:eastAsia="宋体" w:cs="宋体"/>
          <w:b/>
          <w:bCs/>
          <w:color w:val="auto"/>
          <w:spacing w:val="0"/>
          <w:sz w:val="28"/>
          <w:szCs w:val="28"/>
          <w:highlight w:val="none"/>
        </w:rPr>
        <w:t>第一章  投标邀请</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_Toc11535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1</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sz w:val="28"/>
          <w:szCs w:val="28"/>
          <w:highlight w:val="none"/>
        </w:rPr>
        <w:fldChar w:fldCharType="end"/>
      </w:r>
    </w:p>
    <w:p w14:paraId="461698F7">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_Toc22606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一、项目基本情况</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_Toc22606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0E36139A">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_Toc27743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二、申请人的资格要求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_Toc27743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5893E32C">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_Toc17968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三、获取招标文件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_Toc17968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737931B0">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_Toc12388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四、提交投标文件截止时间、开标时间和地点</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_Toc12388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4BF1F816">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_Toc7617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五、公告期限</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_Toc7617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598BDE3F">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_Toc22769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六、其他补充事宜</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_Toc22769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7C2895D9">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_Toc18424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七、对本次招标提出询问，请按以下方式联系</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_Toc18424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26304D0E">
      <w:pPr>
        <w:pStyle w:val="29"/>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color w:val="auto"/>
          <w:spacing w:val="0"/>
          <w:sz w:val="28"/>
          <w:szCs w:val="28"/>
          <w:highlight w:val="none"/>
        </w:rPr>
        <w:instrText xml:space="preserve"> HYPERLINK \l _Toc22987 </w:instrText>
      </w:r>
      <w:r>
        <w:rPr>
          <w:rFonts w:hint="eastAsia" w:ascii="宋体" w:hAnsi="宋体" w:eastAsia="宋体" w:cs="宋体"/>
          <w:b/>
          <w:bCs/>
          <w:color w:val="auto"/>
          <w:spacing w:val="0"/>
          <w:sz w:val="28"/>
          <w:szCs w:val="28"/>
          <w:highlight w:val="none"/>
        </w:rPr>
        <w:fldChar w:fldCharType="separate"/>
      </w:r>
      <w:r>
        <w:rPr>
          <w:rFonts w:hint="eastAsia" w:ascii="宋体" w:hAnsi="宋体" w:eastAsia="宋体" w:cs="宋体"/>
          <w:b/>
          <w:bCs/>
          <w:color w:val="auto"/>
          <w:spacing w:val="0"/>
          <w:sz w:val="28"/>
          <w:szCs w:val="28"/>
          <w:highlight w:val="none"/>
        </w:rPr>
        <w:t>第二章  投标人须知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_Toc22987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5</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sz w:val="28"/>
          <w:szCs w:val="28"/>
          <w:highlight w:val="none"/>
        </w:rPr>
        <w:fldChar w:fldCharType="end"/>
      </w:r>
    </w:p>
    <w:p w14:paraId="6BBDA19D">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_Toc1423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一、总则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_Toc1423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049B88F5">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_Toc9408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二、招标文件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_Toc9408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0656BD4A">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_Toc14771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三、投标文件的编制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_Toc14771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734A7C4A">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_Toc7098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四、投标文件的制作、上传、递交</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_Toc7098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8</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57023F0A">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_Toc13265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五、开标与评标</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_Toc13265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5E808BC6">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_Toc20853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六、定标</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_Toc20853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14</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7A42D177">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_Toc9601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bCs/>
          <w:color w:val="auto"/>
          <w:spacing w:val="0"/>
          <w:sz w:val="28"/>
          <w:szCs w:val="28"/>
          <w:highlight w:val="none"/>
        </w:rPr>
        <w:t>七、授予合同</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_Toc9601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16</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621B8A85">
      <w:pPr>
        <w:pStyle w:val="29"/>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color w:val="auto"/>
          <w:spacing w:val="0"/>
          <w:sz w:val="28"/>
          <w:szCs w:val="28"/>
          <w:highlight w:val="none"/>
        </w:rPr>
        <w:instrText xml:space="preserve"> HYPERLINK \l _Toc18020 </w:instrText>
      </w:r>
      <w:r>
        <w:rPr>
          <w:rFonts w:hint="eastAsia" w:ascii="宋体" w:hAnsi="宋体" w:eastAsia="宋体" w:cs="宋体"/>
          <w:b/>
          <w:bCs/>
          <w:color w:val="auto"/>
          <w:spacing w:val="0"/>
          <w:sz w:val="28"/>
          <w:szCs w:val="28"/>
          <w:highlight w:val="none"/>
        </w:rPr>
        <w:fldChar w:fldCharType="separate"/>
      </w:r>
      <w:r>
        <w:rPr>
          <w:rFonts w:hint="eastAsia" w:ascii="宋体" w:hAnsi="宋体" w:eastAsia="宋体" w:cs="宋体"/>
          <w:b/>
          <w:bCs/>
          <w:color w:val="auto"/>
          <w:spacing w:val="0"/>
          <w:sz w:val="28"/>
          <w:szCs w:val="28"/>
          <w:highlight w:val="none"/>
        </w:rPr>
        <w:t>第三章 合同条款及格式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_Toc18020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18</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sz w:val="28"/>
          <w:szCs w:val="28"/>
          <w:highlight w:val="none"/>
        </w:rPr>
        <w:fldChar w:fldCharType="end"/>
      </w:r>
    </w:p>
    <w:p w14:paraId="7E45BCC2">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_Toc24789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一、服务内容</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_Toc24789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18</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1A59C61E">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_Toc23971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二、合同金额</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_Toc23971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18</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0FF44ECF">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_Toc30853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三、技术资料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_Toc30853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18</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4BF8D488">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_Toc21229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lang w:val="en-US" w:eastAsia="zh-CN"/>
        </w:rPr>
        <w:t>四</w:t>
      </w:r>
      <w:r>
        <w:rPr>
          <w:rFonts w:hint="eastAsia" w:ascii="宋体" w:hAnsi="宋体" w:eastAsia="宋体" w:cs="宋体"/>
          <w:color w:val="auto"/>
          <w:spacing w:val="0"/>
          <w:sz w:val="28"/>
          <w:szCs w:val="28"/>
          <w:highlight w:val="none"/>
        </w:rPr>
        <w:t>、履约保证金</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_Toc21229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18</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3F3E1C53">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_Toc26041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lang w:val="en-US" w:eastAsia="zh-CN"/>
        </w:rPr>
        <w:t>五</w:t>
      </w:r>
      <w:r>
        <w:rPr>
          <w:rFonts w:hint="eastAsia" w:ascii="宋体" w:hAnsi="宋体" w:eastAsia="宋体" w:cs="宋体"/>
          <w:color w:val="auto"/>
          <w:spacing w:val="0"/>
          <w:sz w:val="28"/>
          <w:szCs w:val="28"/>
          <w:highlight w:val="none"/>
        </w:rPr>
        <w:t>、转包或分包</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_Toc26041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27DC8B89">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_Toc7612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lang w:val="en-US" w:eastAsia="zh-CN"/>
        </w:rPr>
        <w:t>六</w:t>
      </w:r>
      <w:r>
        <w:rPr>
          <w:rFonts w:hint="eastAsia" w:ascii="宋体" w:hAnsi="宋体" w:eastAsia="宋体" w:cs="宋体"/>
          <w:color w:val="auto"/>
          <w:spacing w:val="0"/>
          <w:sz w:val="28"/>
          <w:szCs w:val="28"/>
          <w:highlight w:val="none"/>
        </w:rPr>
        <w:t>、服务期限</w:t>
      </w:r>
      <w:r>
        <w:rPr>
          <w:rFonts w:hint="eastAsia" w:ascii="宋体" w:hAnsi="宋体" w:eastAsia="宋体" w:cs="宋体"/>
          <w:color w:val="auto"/>
          <w:spacing w:val="0"/>
          <w:sz w:val="28"/>
          <w:szCs w:val="28"/>
          <w:highlight w:val="none"/>
          <w:lang w:val="en-US" w:eastAsia="zh-CN"/>
        </w:rPr>
        <w:t>及服务地点</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_Toc7612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40D71410">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_Toc24877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lang w:val="en-US" w:eastAsia="zh-CN"/>
        </w:rPr>
        <w:t>七</w:t>
      </w:r>
      <w:r>
        <w:rPr>
          <w:rFonts w:hint="eastAsia" w:ascii="宋体" w:hAnsi="宋体" w:eastAsia="宋体" w:cs="宋体"/>
          <w:color w:val="auto"/>
          <w:spacing w:val="0"/>
          <w:sz w:val="28"/>
          <w:szCs w:val="28"/>
          <w:highlight w:val="none"/>
        </w:rPr>
        <w:t>、</w:t>
      </w:r>
      <w:r>
        <w:rPr>
          <w:rFonts w:hint="eastAsia" w:ascii="宋体" w:hAnsi="宋体" w:eastAsia="宋体" w:cs="宋体"/>
          <w:color w:val="auto"/>
          <w:spacing w:val="0"/>
          <w:sz w:val="28"/>
          <w:szCs w:val="28"/>
          <w:highlight w:val="none"/>
          <w:lang w:val="en-US" w:eastAsia="zh-CN"/>
        </w:rPr>
        <w:t>支付方式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_Toc24877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7BD8D961">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_Toc24156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lang w:val="en-US" w:eastAsia="zh-CN"/>
        </w:rPr>
        <w:t>八</w:t>
      </w:r>
      <w:r>
        <w:rPr>
          <w:rFonts w:hint="eastAsia" w:ascii="宋体" w:hAnsi="宋体" w:eastAsia="宋体" w:cs="宋体"/>
          <w:color w:val="auto"/>
          <w:spacing w:val="0"/>
          <w:sz w:val="28"/>
          <w:szCs w:val="28"/>
          <w:highlight w:val="none"/>
        </w:rPr>
        <w:t>、税</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_Toc24156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57C90E9B">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_Toc12921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lang w:val="en-US" w:eastAsia="zh-CN"/>
        </w:rPr>
        <w:t>九</w:t>
      </w:r>
      <w:r>
        <w:rPr>
          <w:rFonts w:hint="eastAsia" w:ascii="宋体" w:hAnsi="宋体" w:eastAsia="宋体" w:cs="宋体"/>
          <w:color w:val="auto"/>
          <w:spacing w:val="0"/>
          <w:sz w:val="28"/>
          <w:szCs w:val="28"/>
          <w:highlight w:val="none"/>
        </w:rPr>
        <w:t>、管理事项</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_Toc12921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2074E121">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_Toc11419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lang w:val="en-US" w:eastAsia="zh-CN"/>
        </w:rPr>
        <w:t>十</w:t>
      </w:r>
      <w:r>
        <w:rPr>
          <w:rFonts w:hint="eastAsia" w:ascii="宋体" w:hAnsi="宋体" w:eastAsia="宋体" w:cs="宋体"/>
          <w:color w:val="auto"/>
          <w:spacing w:val="0"/>
          <w:sz w:val="28"/>
          <w:szCs w:val="28"/>
          <w:highlight w:val="none"/>
        </w:rPr>
        <w:t>、双方权利义务</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_Toc11419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19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52CE8E2E">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_Toc3705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十</w:t>
      </w:r>
      <w:r>
        <w:rPr>
          <w:rFonts w:hint="eastAsia" w:ascii="宋体" w:hAnsi="宋体" w:eastAsia="宋体" w:cs="宋体"/>
          <w:color w:val="auto"/>
          <w:spacing w:val="0"/>
          <w:sz w:val="28"/>
          <w:szCs w:val="28"/>
          <w:highlight w:val="none"/>
          <w:lang w:val="en-US" w:eastAsia="zh-CN"/>
        </w:rPr>
        <w:t>一</w:t>
      </w:r>
      <w:r>
        <w:rPr>
          <w:rFonts w:hint="eastAsia" w:ascii="宋体" w:hAnsi="宋体" w:eastAsia="宋体" w:cs="宋体"/>
          <w:color w:val="auto"/>
          <w:spacing w:val="0"/>
          <w:sz w:val="28"/>
          <w:szCs w:val="28"/>
          <w:highlight w:val="none"/>
        </w:rPr>
        <w:t>、服务质量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_Toc3705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20</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698AB00D">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_Toc7424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十</w:t>
      </w:r>
      <w:r>
        <w:rPr>
          <w:rFonts w:hint="eastAsia" w:ascii="宋体" w:hAnsi="宋体" w:eastAsia="宋体" w:cs="宋体"/>
          <w:color w:val="auto"/>
          <w:spacing w:val="0"/>
          <w:sz w:val="28"/>
          <w:szCs w:val="28"/>
          <w:highlight w:val="none"/>
          <w:lang w:val="en-US" w:eastAsia="zh-CN"/>
        </w:rPr>
        <w:t>二</w:t>
      </w:r>
      <w:r>
        <w:rPr>
          <w:rFonts w:hint="eastAsia" w:ascii="宋体" w:hAnsi="宋体" w:eastAsia="宋体" w:cs="宋体"/>
          <w:color w:val="auto"/>
          <w:spacing w:val="0"/>
          <w:sz w:val="28"/>
          <w:szCs w:val="28"/>
          <w:highlight w:val="none"/>
        </w:rPr>
        <w:t>、</w:t>
      </w:r>
      <w:r>
        <w:rPr>
          <w:rFonts w:hint="eastAsia" w:ascii="宋体" w:hAnsi="宋体" w:eastAsia="宋体" w:cs="宋体"/>
          <w:color w:val="auto"/>
          <w:spacing w:val="0"/>
          <w:sz w:val="28"/>
          <w:szCs w:val="28"/>
          <w:highlight w:val="none"/>
          <w:lang w:val="en-US" w:eastAsia="zh-CN"/>
        </w:rPr>
        <w:t>验收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_Toc7424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20</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68F5C3C6">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_Toc9781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十</w:t>
      </w:r>
      <w:r>
        <w:rPr>
          <w:rFonts w:hint="eastAsia" w:ascii="宋体" w:hAnsi="宋体" w:eastAsia="宋体" w:cs="宋体"/>
          <w:color w:val="auto"/>
          <w:spacing w:val="0"/>
          <w:sz w:val="28"/>
          <w:szCs w:val="28"/>
          <w:highlight w:val="none"/>
          <w:lang w:val="en-US" w:eastAsia="zh-CN"/>
        </w:rPr>
        <w:t>三</w:t>
      </w:r>
      <w:r>
        <w:rPr>
          <w:rFonts w:hint="eastAsia" w:ascii="宋体" w:hAnsi="宋体" w:eastAsia="宋体" w:cs="宋体"/>
          <w:color w:val="auto"/>
          <w:spacing w:val="0"/>
          <w:sz w:val="28"/>
          <w:szCs w:val="28"/>
          <w:highlight w:val="none"/>
        </w:rPr>
        <w:t>、违约责任</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_Toc9781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21</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6D9953C4">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_Toc14509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十</w:t>
      </w:r>
      <w:r>
        <w:rPr>
          <w:rFonts w:hint="eastAsia" w:ascii="宋体" w:hAnsi="宋体" w:eastAsia="宋体" w:cs="宋体"/>
          <w:color w:val="auto"/>
          <w:spacing w:val="0"/>
          <w:sz w:val="28"/>
          <w:szCs w:val="28"/>
          <w:highlight w:val="none"/>
          <w:lang w:val="en-US" w:eastAsia="zh-CN"/>
        </w:rPr>
        <w:t>四</w:t>
      </w:r>
      <w:r>
        <w:rPr>
          <w:rFonts w:hint="eastAsia" w:ascii="宋体" w:hAnsi="宋体" w:eastAsia="宋体" w:cs="宋体"/>
          <w:color w:val="auto"/>
          <w:spacing w:val="0"/>
          <w:sz w:val="28"/>
          <w:szCs w:val="28"/>
          <w:highlight w:val="none"/>
        </w:rPr>
        <w:t>、不可抗力事件处理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_Toc14509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21</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0B92F9DA">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_Toc20911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十</w:t>
      </w:r>
      <w:r>
        <w:rPr>
          <w:rFonts w:hint="eastAsia" w:ascii="宋体" w:hAnsi="宋体" w:eastAsia="宋体" w:cs="宋体"/>
          <w:color w:val="auto"/>
          <w:spacing w:val="0"/>
          <w:sz w:val="28"/>
          <w:szCs w:val="28"/>
          <w:highlight w:val="none"/>
          <w:lang w:val="en-US" w:eastAsia="zh-CN"/>
        </w:rPr>
        <w:t>五</w:t>
      </w:r>
      <w:r>
        <w:rPr>
          <w:rFonts w:hint="eastAsia" w:ascii="宋体" w:hAnsi="宋体" w:eastAsia="宋体" w:cs="宋体"/>
          <w:color w:val="auto"/>
          <w:spacing w:val="0"/>
          <w:sz w:val="28"/>
          <w:szCs w:val="28"/>
          <w:highlight w:val="none"/>
        </w:rPr>
        <w:t>、诉讼</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_Toc20911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21</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211D8EA5">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_Toc17751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十</w:t>
      </w:r>
      <w:r>
        <w:rPr>
          <w:rFonts w:hint="eastAsia" w:ascii="宋体" w:hAnsi="宋体" w:eastAsia="宋体" w:cs="宋体"/>
          <w:color w:val="auto"/>
          <w:spacing w:val="0"/>
          <w:sz w:val="28"/>
          <w:szCs w:val="28"/>
          <w:highlight w:val="none"/>
          <w:lang w:val="en-US" w:eastAsia="zh-CN"/>
        </w:rPr>
        <w:t>六</w:t>
      </w:r>
      <w:r>
        <w:rPr>
          <w:rFonts w:hint="eastAsia" w:ascii="宋体" w:hAnsi="宋体" w:eastAsia="宋体" w:cs="宋体"/>
          <w:color w:val="auto"/>
          <w:spacing w:val="0"/>
          <w:sz w:val="28"/>
          <w:szCs w:val="28"/>
          <w:highlight w:val="none"/>
        </w:rPr>
        <w:t>、合同其他文件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_Toc17751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22</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4AF30691">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_Toc24198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十</w:t>
      </w:r>
      <w:r>
        <w:rPr>
          <w:rFonts w:hint="eastAsia" w:ascii="宋体" w:hAnsi="宋体" w:eastAsia="宋体" w:cs="宋体"/>
          <w:color w:val="auto"/>
          <w:spacing w:val="0"/>
          <w:sz w:val="28"/>
          <w:szCs w:val="28"/>
          <w:highlight w:val="none"/>
          <w:lang w:val="en-US" w:eastAsia="zh-CN"/>
        </w:rPr>
        <w:t>七</w:t>
      </w:r>
      <w:r>
        <w:rPr>
          <w:rFonts w:hint="eastAsia" w:ascii="宋体" w:hAnsi="宋体" w:eastAsia="宋体" w:cs="宋体"/>
          <w:color w:val="auto"/>
          <w:spacing w:val="0"/>
          <w:sz w:val="28"/>
          <w:szCs w:val="28"/>
          <w:highlight w:val="none"/>
        </w:rPr>
        <w:t>、合同生效及其它</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_Toc24198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22</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3980F9E2">
      <w:pPr>
        <w:pStyle w:val="29"/>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color w:val="auto"/>
          <w:spacing w:val="0"/>
          <w:sz w:val="28"/>
          <w:szCs w:val="28"/>
          <w:highlight w:val="none"/>
        </w:rPr>
        <w:instrText xml:space="preserve"> HYPERLINK \l _Toc26104 </w:instrText>
      </w:r>
      <w:r>
        <w:rPr>
          <w:rFonts w:hint="eastAsia" w:ascii="宋体" w:hAnsi="宋体" w:eastAsia="宋体" w:cs="宋体"/>
          <w:b/>
          <w:bCs/>
          <w:color w:val="auto"/>
          <w:spacing w:val="0"/>
          <w:sz w:val="28"/>
          <w:szCs w:val="28"/>
          <w:highlight w:val="none"/>
        </w:rPr>
        <w:fldChar w:fldCharType="separate"/>
      </w:r>
      <w:r>
        <w:rPr>
          <w:rFonts w:hint="eastAsia" w:ascii="宋体" w:hAnsi="宋体" w:eastAsia="宋体" w:cs="宋体"/>
          <w:b/>
          <w:bCs/>
          <w:color w:val="auto"/>
          <w:spacing w:val="0"/>
          <w:sz w:val="28"/>
          <w:szCs w:val="28"/>
          <w:highlight w:val="none"/>
        </w:rPr>
        <w:t>第四章 项目需求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_Toc26104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23</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sz w:val="28"/>
          <w:szCs w:val="28"/>
          <w:highlight w:val="none"/>
        </w:rPr>
        <w:fldChar w:fldCharType="end"/>
      </w:r>
    </w:p>
    <w:p w14:paraId="111D5EEE">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_Toc2128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一、清单</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_Toc2128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23</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0A8EC151">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_Toc8750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lang w:val="en-US" w:eastAsia="zh-CN" w:bidi="ar-SA"/>
        </w:rPr>
        <w:t>二、</w:t>
      </w:r>
      <w:r>
        <w:rPr>
          <w:rFonts w:hint="eastAsia" w:ascii="宋体" w:hAnsi="宋体" w:eastAsia="宋体" w:cs="宋体"/>
          <w:color w:val="auto"/>
          <w:spacing w:val="0"/>
          <w:sz w:val="28"/>
          <w:szCs w:val="28"/>
          <w:highlight w:val="none"/>
        </w:rPr>
        <w:t>技术要求</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_Toc8750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25</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5E579AF3">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_Toc4370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三、商务条款</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_Toc4370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33</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1DFECC3A">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_Toc4444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四、其他部分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_Toc4444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34</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14772786">
      <w:pPr>
        <w:pStyle w:val="29"/>
        <w:keepNext w:val="0"/>
        <w:keepLines w:val="0"/>
        <w:pageBreakBefore w:val="0"/>
        <w:widowControl w:val="0"/>
        <w:tabs>
          <w:tab w:val="right" w:leader="dot" w:pos="9746"/>
        </w:tabs>
        <w:spacing w:line="420" w:lineRule="exact"/>
        <w:rPr>
          <w:rFonts w:hint="eastAsia" w:ascii="宋体" w:hAnsi="宋体" w:eastAsia="宋体" w:cs="宋体"/>
          <w:b/>
          <w:bCs/>
          <w:color w:val="auto"/>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color w:val="auto"/>
          <w:spacing w:val="0"/>
          <w:sz w:val="28"/>
          <w:szCs w:val="28"/>
          <w:highlight w:val="none"/>
        </w:rPr>
        <w:instrText xml:space="preserve"> HYPERLINK \l _Toc9054 </w:instrText>
      </w:r>
      <w:r>
        <w:rPr>
          <w:rFonts w:hint="eastAsia" w:ascii="宋体" w:hAnsi="宋体" w:eastAsia="宋体" w:cs="宋体"/>
          <w:b/>
          <w:bCs/>
          <w:color w:val="auto"/>
          <w:spacing w:val="0"/>
          <w:sz w:val="28"/>
          <w:szCs w:val="28"/>
          <w:highlight w:val="none"/>
        </w:rPr>
        <w:fldChar w:fldCharType="separate"/>
      </w:r>
      <w:r>
        <w:rPr>
          <w:rFonts w:hint="eastAsia" w:ascii="宋体" w:hAnsi="宋体" w:eastAsia="宋体" w:cs="宋体"/>
          <w:b/>
          <w:bCs/>
          <w:color w:val="auto"/>
          <w:spacing w:val="0"/>
          <w:sz w:val="28"/>
          <w:szCs w:val="28"/>
          <w:highlight w:val="none"/>
        </w:rPr>
        <w:t>第五章 评标方法与评标标准</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_Toc9054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38</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sz w:val="28"/>
          <w:szCs w:val="28"/>
          <w:highlight w:val="none"/>
        </w:rPr>
        <w:fldChar w:fldCharType="end"/>
      </w:r>
    </w:p>
    <w:p w14:paraId="7D70E717">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_Toc22809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一、评标方法与定标原则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_Toc22809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38</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3768CAAB">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_Toc22639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pacing w:val="0"/>
          <w:sz w:val="28"/>
          <w:szCs w:val="28"/>
          <w:highlight w:val="none"/>
        </w:rPr>
        <w:t>二、评标标准</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_Toc22639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38</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4C19AECB">
      <w:pPr>
        <w:pStyle w:val="29"/>
        <w:keepNext w:val="0"/>
        <w:keepLines w:val="0"/>
        <w:pageBreakBefore w:val="0"/>
        <w:widowControl w:val="0"/>
        <w:tabs>
          <w:tab w:val="right" w:leader="dot" w:pos="9746"/>
        </w:tabs>
        <w:spacing w:line="420" w:lineRule="exact"/>
        <w:rPr>
          <w:rFonts w:hint="eastAsia" w:ascii="宋体" w:hAnsi="宋体" w:eastAsia="宋体" w:cs="宋体"/>
          <w:b/>
          <w:bCs/>
          <w:color w:val="auto"/>
          <w:sz w:val="28"/>
          <w:szCs w:val="28"/>
        </w:rPr>
      </w:pPr>
      <w:r>
        <w:rPr>
          <w:rFonts w:hint="eastAsia" w:ascii="宋体" w:hAnsi="宋体" w:eastAsia="宋体" w:cs="宋体"/>
          <w:b/>
          <w:bCs/>
          <w:color w:val="auto"/>
          <w:spacing w:val="0"/>
          <w:sz w:val="28"/>
          <w:szCs w:val="28"/>
          <w:highlight w:val="none"/>
        </w:rPr>
        <w:fldChar w:fldCharType="begin"/>
      </w:r>
      <w:r>
        <w:rPr>
          <w:rFonts w:hint="eastAsia" w:ascii="宋体" w:hAnsi="宋体" w:eastAsia="宋体" w:cs="宋体"/>
          <w:b/>
          <w:bCs/>
          <w:color w:val="auto"/>
          <w:spacing w:val="0"/>
          <w:sz w:val="28"/>
          <w:szCs w:val="28"/>
          <w:highlight w:val="none"/>
        </w:rPr>
        <w:instrText xml:space="preserve"> HYPERLINK \l _Toc27079 </w:instrText>
      </w:r>
      <w:r>
        <w:rPr>
          <w:rFonts w:hint="eastAsia" w:ascii="宋体" w:hAnsi="宋体" w:eastAsia="宋体" w:cs="宋体"/>
          <w:b/>
          <w:bCs/>
          <w:color w:val="auto"/>
          <w:spacing w:val="0"/>
          <w:sz w:val="28"/>
          <w:szCs w:val="28"/>
          <w:highlight w:val="none"/>
        </w:rPr>
        <w:fldChar w:fldCharType="separate"/>
      </w:r>
      <w:r>
        <w:rPr>
          <w:rFonts w:hint="eastAsia" w:ascii="宋体" w:hAnsi="宋体" w:eastAsia="宋体" w:cs="宋体"/>
          <w:b/>
          <w:bCs/>
          <w:color w:val="auto"/>
          <w:spacing w:val="0"/>
          <w:sz w:val="28"/>
          <w:szCs w:val="28"/>
          <w:highlight w:val="none"/>
        </w:rPr>
        <w:t>第六章 投标文件格式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_Toc27079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41</w:t>
      </w:r>
      <w:r>
        <w:rPr>
          <w:rFonts w:hint="eastAsia" w:ascii="宋体" w:hAnsi="宋体" w:eastAsia="宋体" w:cs="宋体"/>
          <w:b/>
          <w:bCs/>
          <w:color w:val="auto"/>
          <w:sz w:val="28"/>
          <w:szCs w:val="28"/>
        </w:rPr>
        <w:fldChar w:fldCharType="end"/>
      </w:r>
      <w:r>
        <w:rPr>
          <w:rFonts w:hint="eastAsia" w:ascii="宋体" w:hAnsi="宋体" w:eastAsia="宋体" w:cs="宋体"/>
          <w:b/>
          <w:bCs/>
          <w:color w:val="auto"/>
          <w:spacing w:val="0"/>
          <w:sz w:val="28"/>
          <w:szCs w:val="28"/>
          <w:highlight w:val="none"/>
        </w:rPr>
        <w:fldChar w:fldCharType="end"/>
      </w:r>
    </w:p>
    <w:p w14:paraId="35CFA08D">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_Toc29924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一、封面</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_Toc29924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42</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2CBD58BE">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_Toc3730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二、投标函格式</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_Toc3730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43</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2D195274">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_Toc26406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三、开标一览表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_Toc26406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44</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0859C16B">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_Toc10367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四、资格证明文件</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_Toc10367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45</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7395FEB7">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_Toc3942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五</w:t>
      </w:r>
      <w:r>
        <w:rPr>
          <w:rFonts w:hint="eastAsia" w:ascii="宋体" w:hAnsi="宋体" w:eastAsia="宋体" w:cs="宋体"/>
          <w:caps w:val="0"/>
          <w:smallCaps w:val="0"/>
          <w:color w:val="auto"/>
          <w:spacing w:val="0"/>
          <w:sz w:val="28"/>
          <w:szCs w:val="28"/>
          <w:highlight w:val="none"/>
          <w:shd w:val="clear" w:color="auto" w:fill="auto"/>
        </w:rPr>
        <w:t>、</w:t>
      </w:r>
      <w:r>
        <w:rPr>
          <w:rFonts w:hint="eastAsia" w:ascii="宋体" w:hAnsi="宋体" w:eastAsia="宋体" w:cs="宋体"/>
          <w:caps w:val="0"/>
          <w:smallCaps w:val="0"/>
          <w:color w:val="auto"/>
          <w:spacing w:val="0"/>
          <w:sz w:val="28"/>
          <w:szCs w:val="28"/>
          <w:highlight w:val="none"/>
          <w:shd w:val="clear" w:color="auto" w:fill="auto"/>
          <w:lang w:val="en-US"/>
        </w:rPr>
        <w:t>经费测算明细表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_Toc3942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59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2BCD8AA5">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_Toc30033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olor w:val="auto"/>
          <w:sz w:val="28"/>
          <w:szCs w:val="28"/>
          <w:highlight w:val="none"/>
          <w:lang w:val="en-US"/>
        </w:rPr>
        <w:t>六</w:t>
      </w:r>
      <w:r>
        <w:rPr>
          <w:rFonts w:hint="eastAsia" w:ascii="宋体" w:hAnsi="宋体" w:eastAsia="宋体" w:cs="宋体"/>
          <w:color w:val="auto"/>
          <w:sz w:val="28"/>
          <w:szCs w:val="28"/>
          <w:highlight w:val="none"/>
        </w:rPr>
        <w:t>、常用零配件及耗材报价表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_Toc30033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60</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391156E2">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_Toc24929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七</w:t>
      </w:r>
      <w:r>
        <w:rPr>
          <w:rFonts w:hint="eastAsia" w:ascii="宋体" w:hAnsi="宋体" w:eastAsia="宋体" w:cs="宋体"/>
          <w:caps w:val="0"/>
          <w:smallCaps w:val="0"/>
          <w:color w:val="auto"/>
          <w:spacing w:val="0"/>
          <w:sz w:val="28"/>
          <w:szCs w:val="28"/>
          <w:highlight w:val="none"/>
          <w:shd w:val="clear" w:color="auto" w:fill="auto"/>
          <w:lang w:val="en-US"/>
        </w:rPr>
        <w:t>、第四章项目需求中实质性要求响应对照表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_Toc24929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61</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4EFEF351">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_Toc12673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八</w:t>
      </w:r>
      <w:r>
        <w:rPr>
          <w:rFonts w:hint="eastAsia" w:ascii="宋体" w:hAnsi="宋体" w:eastAsia="宋体" w:cs="宋体"/>
          <w:caps w:val="0"/>
          <w:smallCaps w:val="0"/>
          <w:color w:val="auto"/>
          <w:spacing w:val="0"/>
          <w:sz w:val="28"/>
          <w:szCs w:val="28"/>
          <w:highlight w:val="none"/>
          <w:shd w:val="clear" w:color="auto" w:fill="auto"/>
        </w:rPr>
        <w:t>、服务方案</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_Toc12673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63</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7A4C13C8">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_Toc29514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九</w:t>
      </w:r>
      <w:r>
        <w:rPr>
          <w:rFonts w:hint="eastAsia" w:ascii="宋体" w:hAnsi="宋体" w:eastAsia="宋体" w:cs="宋体"/>
          <w:caps w:val="0"/>
          <w:smallCaps w:val="0"/>
          <w:color w:val="auto"/>
          <w:spacing w:val="0"/>
          <w:sz w:val="28"/>
          <w:szCs w:val="28"/>
          <w:highlight w:val="none"/>
          <w:shd w:val="clear" w:color="auto" w:fill="auto"/>
        </w:rPr>
        <w:t>、投标人情况介绍</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_Toc29514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64</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028FAD14">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_Toc28623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十</w:t>
      </w:r>
      <w:r>
        <w:rPr>
          <w:rFonts w:hint="eastAsia" w:ascii="宋体" w:hAnsi="宋体" w:eastAsia="宋体" w:cs="宋体"/>
          <w:caps w:val="0"/>
          <w:smallCaps w:val="0"/>
          <w:color w:val="auto"/>
          <w:spacing w:val="0"/>
          <w:sz w:val="28"/>
          <w:szCs w:val="28"/>
          <w:highlight w:val="none"/>
          <w:shd w:val="clear" w:color="auto" w:fill="auto"/>
        </w:rPr>
        <w:t>、技术</w:t>
      </w:r>
      <w:r>
        <w:rPr>
          <w:rFonts w:hint="eastAsia" w:ascii="宋体" w:hAnsi="宋体" w:eastAsia="宋体" w:cs="宋体"/>
          <w:caps w:val="0"/>
          <w:smallCaps w:val="0"/>
          <w:color w:val="auto"/>
          <w:spacing w:val="0"/>
          <w:sz w:val="28"/>
          <w:szCs w:val="28"/>
          <w:highlight w:val="none"/>
          <w:shd w:val="clear" w:color="auto" w:fill="auto"/>
          <w:lang w:val="en-US" w:eastAsia="zh-CN"/>
        </w:rPr>
        <w:t>要求</w:t>
      </w:r>
      <w:r>
        <w:rPr>
          <w:rFonts w:hint="eastAsia" w:ascii="宋体" w:hAnsi="宋体" w:eastAsia="宋体" w:cs="宋体"/>
          <w:caps w:val="0"/>
          <w:smallCaps w:val="0"/>
          <w:color w:val="auto"/>
          <w:spacing w:val="0"/>
          <w:sz w:val="28"/>
          <w:szCs w:val="28"/>
          <w:highlight w:val="none"/>
          <w:shd w:val="clear" w:color="auto" w:fill="auto"/>
        </w:rPr>
        <w:t>响应及偏离表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_Toc28623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68</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3426649B">
      <w:pPr>
        <w:pStyle w:val="35"/>
        <w:keepNext w:val="0"/>
        <w:keepLines w:val="0"/>
        <w:pageBreakBefore w:val="0"/>
        <w:widowControl w:val="0"/>
        <w:tabs>
          <w:tab w:val="right" w:leader="dot" w:pos="9746"/>
        </w:tabs>
        <w:spacing w:line="420" w:lineRule="exact"/>
        <w:rPr>
          <w:rFonts w:hint="eastAsia" w:ascii="宋体" w:hAnsi="宋体" w:eastAsia="宋体" w:cs="宋体"/>
          <w:color w:val="auto"/>
          <w:sz w:val="28"/>
          <w:szCs w:val="28"/>
        </w:rPr>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_Toc22162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lang w:val="en-US" w:eastAsia="zh-CN"/>
        </w:rPr>
        <w:t>十一、商务条款响应及偏离表</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_Toc22162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69</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2F299285">
      <w:pPr>
        <w:pStyle w:val="35"/>
        <w:keepNext w:val="0"/>
        <w:keepLines w:val="0"/>
        <w:pageBreakBefore w:val="0"/>
        <w:widowControl w:val="0"/>
        <w:tabs>
          <w:tab w:val="right" w:leader="dot" w:pos="9746"/>
        </w:tabs>
        <w:spacing w:line="420" w:lineRule="exact"/>
      </w:pPr>
      <w:r>
        <w:rPr>
          <w:rFonts w:hint="eastAsia" w:ascii="宋体" w:hAnsi="宋体" w:eastAsia="宋体" w:cs="宋体"/>
          <w:bCs/>
          <w:color w:val="auto"/>
          <w:spacing w:val="0"/>
          <w:sz w:val="28"/>
          <w:szCs w:val="28"/>
          <w:highlight w:val="none"/>
        </w:rPr>
        <w:fldChar w:fldCharType="begin"/>
      </w:r>
      <w:r>
        <w:rPr>
          <w:rFonts w:hint="eastAsia" w:ascii="宋体" w:hAnsi="宋体" w:eastAsia="宋体" w:cs="宋体"/>
          <w:bCs/>
          <w:color w:val="auto"/>
          <w:spacing w:val="0"/>
          <w:sz w:val="28"/>
          <w:szCs w:val="28"/>
          <w:highlight w:val="none"/>
        </w:rPr>
        <w:instrText xml:space="preserve"> HYPERLINK \l _Toc26501 </w:instrText>
      </w:r>
      <w:r>
        <w:rPr>
          <w:rFonts w:hint="eastAsia" w:ascii="宋体" w:hAnsi="宋体" w:eastAsia="宋体" w:cs="宋体"/>
          <w:bCs/>
          <w:color w:val="auto"/>
          <w:spacing w:val="0"/>
          <w:sz w:val="28"/>
          <w:szCs w:val="28"/>
          <w:highlight w:val="none"/>
        </w:rPr>
        <w:fldChar w:fldCharType="separate"/>
      </w:r>
      <w:r>
        <w:rPr>
          <w:rFonts w:hint="eastAsia" w:ascii="宋体" w:hAnsi="宋体" w:eastAsia="宋体" w:cs="宋体"/>
          <w:caps w:val="0"/>
          <w:smallCaps w:val="0"/>
          <w:color w:val="auto"/>
          <w:spacing w:val="0"/>
          <w:sz w:val="28"/>
          <w:szCs w:val="28"/>
          <w:highlight w:val="none"/>
          <w:shd w:val="clear" w:color="auto" w:fill="auto"/>
        </w:rPr>
        <w:t>十</w:t>
      </w:r>
      <w:r>
        <w:rPr>
          <w:rFonts w:hint="eastAsia" w:ascii="宋体" w:hAnsi="宋体" w:eastAsia="宋体" w:cs="宋体"/>
          <w:caps w:val="0"/>
          <w:smallCaps w:val="0"/>
          <w:color w:val="auto"/>
          <w:spacing w:val="0"/>
          <w:sz w:val="28"/>
          <w:szCs w:val="28"/>
          <w:highlight w:val="none"/>
          <w:shd w:val="clear" w:color="auto" w:fill="auto"/>
          <w:lang w:val="en-US"/>
        </w:rPr>
        <w:t>二</w:t>
      </w:r>
      <w:r>
        <w:rPr>
          <w:rFonts w:hint="eastAsia" w:ascii="宋体" w:hAnsi="宋体" w:eastAsia="宋体" w:cs="宋体"/>
          <w:caps w:val="0"/>
          <w:smallCaps w:val="0"/>
          <w:color w:val="auto"/>
          <w:spacing w:val="0"/>
          <w:sz w:val="28"/>
          <w:szCs w:val="28"/>
          <w:highlight w:val="none"/>
          <w:shd w:val="clear" w:color="auto" w:fill="auto"/>
        </w:rPr>
        <w:t>、其他材料</w:t>
      </w:r>
      <w:r>
        <w:rPr>
          <w:rFonts w:hint="eastAsia" w:ascii="宋体" w:hAnsi="宋体" w:eastAsia="宋体" w:cs="宋体"/>
          <w:color w:val="auto"/>
          <w:sz w:val="28"/>
          <w:szCs w:val="28"/>
        </w:rPr>
        <w:tab/>
      </w:r>
      <w:r>
        <w:rPr>
          <w:rFonts w:hint="eastAsia" w:ascii="宋体" w:hAnsi="宋体" w:eastAsia="宋体" w:cs="宋体"/>
          <w:color w:val="auto"/>
          <w:sz w:val="28"/>
          <w:szCs w:val="28"/>
        </w:rPr>
        <w:fldChar w:fldCharType="begin"/>
      </w:r>
      <w:r>
        <w:rPr>
          <w:rFonts w:hint="eastAsia" w:ascii="宋体" w:hAnsi="宋体" w:eastAsia="宋体" w:cs="宋体"/>
          <w:color w:val="auto"/>
          <w:sz w:val="28"/>
          <w:szCs w:val="28"/>
        </w:rPr>
        <w:instrText xml:space="preserve"> PAGEREF _Toc26501 \h </w:instrText>
      </w:r>
      <w:r>
        <w:rPr>
          <w:rFonts w:hint="eastAsia" w:ascii="宋体" w:hAnsi="宋体" w:eastAsia="宋体" w:cs="宋体"/>
          <w:color w:val="auto"/>
          <w:sz w:val="28"/>
          <w:szCs w:val="28"/>
        </w:rPr>
        <w:fldChar w:fldCharType="separate"/>
      </w:r>
      <w:r>
        <w:rPr>
          <w:rFonts w:hint="eastAsia" w:ascii="宋体" w:hAnsi="宋体" w:eastAsia="宋体" w:cs="宋体"/>
          <w:color w:val="auto"/>
          <w:sz w:val="28"/>
          <w:szCs w:val="28"/>
        </w:rPr>
        <w:t>70</w:t>
      </w:r>
      <w:r>
        <w:rPr>
          <w:rFonts w:hint="eastAsia" w:ascii="宋体" w:hAnsi="宋体" w:eastAsia="宋体" w:cs="宋体"/>
          <w:color w:val="auto"/>
          <w:sz w:val="28"/>
          <w:szCs w:val="28"/>
        </w:rPr>
        <w:fldChar w:fldCharType="end"/>
      </w:r>
      <w:r>
        <w:rPr>
          <w:rFonts w:hint="eastAsia" w:ascii="宋体" w:hAnsi="宋体" w:eastAsia="宋体" w:cs="宋体"/>
          <w:bCs/>
          <w:color w:val="auto"/>
          <w:spacing w:val="0"/>
          <w:sz w:val="28"/>
          <w:szCs w:val="28"/>
          <w:highlight w:val="none"/>
        </w:rPr>
        <w:fldChar w:fldCharType="end"/>
      </w:r>
    </w:p>
    <w:p w14:paraId="75DF2035">
      <w:pPr>
        <w:keepNext w:val="0"/>
        <w:keepLines w:val="0"/>
        <w:pageBreakBefore w:val="0"/>
        <w:widowControl w:val="0"/>
        <w:shd w:val="clear" w:color="auto"/>
        <w:tabs>
          <w:tab w:val="left" w:pos="1440"/>
        </w:tabs>
        <w:spacing w:line="440" w:lineRule="exact"/>
        <w:rPr>
          <w:rFonts w:hint="eastAsia" w:ascii="宋体" w:hAnsi="宋体" w:eastAsia="宋体" w:cs="宋体"/>
          <w:b/>
          <w:bCs/>
          <w:color w:val="000000" w:themeColor="text1"/>
          <w:spacing w:val="0"/>
          <w:sz w:val="28"/>
          <w:szCs w:val="28"/>
          <w:highlight w:val="none"/>
          <w14:textFill>
            <w14:solidFill>
              <w14:schemeClr w14:val="tx1"/>
            </w14:solidFill>
          </w14:textFill>
        </w:rPr>
        <w:sectPr>
          <w:headerReference r:id="rId5" w:type="first"/>
          <w:pgSz w:w="11906" w:h="16838"/>
          <w:pgMar w:top="1440" w:right="1080" w:bottom="1440" w:left="1080" w:header="851" w:footer="992" w:gutter="0"/>
          <w:pgNumType w:start="0"/>
          <w:cols w:space="1701" w:num="1"/>
          <w:titlePg/>
          <w:docGrid w:linePitch="360" w:charSpace="0"/>
        </w:sectPr>
      </w:pPr>
      <w:r>
        <w:rPr>
          <w:rFonts w:hint="eastAsia" w:ascii="宋体" w:hAnsi="宋体" w:eastAsia="宋体" w:cs="宋体"/>
          <w:bCs/>
          <w:color w:val="000000" w:themeColor="text1"/>
          <w:spacing w:val="0"/>
          <w:szCs w:val="28"/>
          <w:highlight w:val="none"/>
          <w14:textFill>
            <w14:solidFill>
              <w14:schemeClr w14:val="tx1"/>
            </w14:solidFill>
          </w14:textFill>
        </w:rPr>
        <w:fldChar w:fldCharType="end"/>
      </w:r>
    </w:p>
    <w:p w14:paraId="4EBA1D17">
      <w:pPr>
        <w:pStyle w:val="211"/>
        <w:shd w:val="clear" w:color="auto"/>
        <w:spacing w:before="313" w:after="313"/>
        <w:rPr>
          <w:rFonts w:hint="eastAsia" w:ascii="宋体" w:hAnsi="宋体" w:eastAsia="宋体" w:cs="宋体"/>
          <w:color w:val="000000" w:themeColor="text1"/>
          <w:spacing w:val="0"/>
          <w:highlight w:val="none"/>
          <w14:textFill>
            <w14:solidFill>
              <w14:schemeClr w14:val="tx1"/>
            </w14:solidFill>
          </w14:textFill>
        </w:rPr>
      </w:pPr>
      <w:bookmarkStart w:id="8" w:name="_Toc10560"/>
      <w:bookmarkStart w:id="9" w:name="_Toc35266018"/>
      <w:bookmarkStart w:id="10" w:name="_Toc11775"/>
      <w:bookmarkStart w:id="11" w:name="_Toc11535"/>
      <w:bookmarkStart w:id="12" w:name="_Toc38368118"/>
      <w:bookmarkStart w:id="13" w:name="_Toc30062"/>
      <w:bookmarkStart w:id="14" w:name="_Toc54615237"/>
      <w:r>
        <w:rPr>
          <w:rFonts w:hint="eastAsia" w:ascii="宋体" w:hAnsi="宋体" w:eastAsia="宋体" w:cs="宋体"/>
          <w:color w:val="000000" w:themeColor="text1"/>
          <w:spacing w:val="0"/>
          <w:highlight w:val="none"/>
          <w14:textFill>
            <w14:solidFill>
              <w14:schemeClr w14:val="tx1"/>
            </w14:solidFill>
          </w14:textFill>
        </w:rPr>
        <w:t>第一章  投标邀请</w:t>
      </w:r>
      <w:bookmarkEnd w:id="8"/>
      <w:bookmarkEnd w:id="9"/>
      <w:bookmarkEnd w:id="10"/>
      <w:bookmarkEnd w:id="11"/>
      <w:bookmarkEnd w:id="12"/>
      <w:bookmarkEnd w:id="13"/>
      <w:bookmarkEnd w:id="14"/>
      <w:bookmarkStart w:id="15" w:name="_Toc120614211"/>
    </w:p>
    <w:tbl>
      <w:tblPr>
        <w:tblStyle w:val="212"/>
        <w:tblW w:w="9962"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962"/>
      </w:tblGrid>
      <w:tr w14:paraId="0FEF7E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trPr>
        <w:tc>
          <w:tcPr>
            <w:tcW w:w="9962" w:type="dxa"/>
            <w:noWrap/>
            <w:vAlign w:val="top"/>
          </w:tcPr>
          <w:p w14:paraId="407D366E">
            <w:pPr>
              <w:keepNext w:val="0"/>
              <w:keepLines w:val="0"/>
              <w:pageBreakBefore w:val="0"/>
              <w:widowControl/>
              <w:shd w:val="clear" w:color="auto"/>
              <w:spacing w:line="50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项目概况</w:t>
            </w:r>
          </w:p>
          <w:p w14:paraId="4B3CBD72">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cs="宋体"/>
                <w:color w:val="000000" w:themeColor="text1"/>
                <w:spacing w:val="0"/>
                <w:sz w:val="24"/>
                <w:szCs w:val="24"/>
                <w:highlight w:val="none"/>
                <w:lang w:eastAsia="zh-CN"/>
                <w14:textFill>
                  <w14:solidFill>
                    <w14:schemeClr w14:val="tx1"/>
                  </w14:solidFill>
                </w14:textFill>
              </w:rPr>
              <w:t>张家港经济技术开发区园区限值限量监测设备第三方运维服务项目</w:t>
            </w:r>
            <w:r>
              <w:rPr>
                <w:rFonts w:hint="eastAsia" w:ascii="宋体" w:hAnsi="宋体" w:cs="宋体"/>
                <w:color w:val="000000" w:themeColor="text1"/>
                <w:spacing w:val="0"/>
                <w:sz w:val="24"/>
                <w:szCs w:val="24"/>
                <w:highlight w:val="none"/>
                <w:lang w:val="en-US" w:eastAsia="zh-CN"/>
                <w14:textFill>
                  <w14:solidFill>
                    <w14:schemeClr w14:val="tx1"/>
                  </w14:solidFill>
                </w14:textFill>
              </w:rPr>
              <w:t>JSZC-320582-ZZHX-G2026-0008</w:t>
            </w:r>
            <w:r>
              <w:rPr>
                <w:rFonts w:hint="eastAsia" w:ascii="宋体" w:hAnsi="宋体" w:eastAsia="宋体" w:cs="宋体"/>
                <w:color w:val="000000" w:themeColor="text1"/>
                <w:spacing w:val="0"/>
                <w:sz w:val="24"/>
                <w:szCs w:val="24"/>
                <w:highlight w:val="none"/>
                <w14:textFill>
                  <w14:solidFill>
                    <w14:schemeClr w14:val="tx1"/>
                  </w14:solidFill>
                </w14:textFill>
              </w:rPr>
              <w:t>招标项目的潜在投标人应在苏采云政府采购一体化平台（网址：http://jszfcg.jsczt.cn/）获取招标文件，并于</w:t>
            </w:r>
            <w:r>
              <w:rPr>
                <w:rFonts w:hint="eastAsia" w:ascii="宋体" w:hAnsi="宋体" w:cs="宋体"/>
                <w:color w:val="000000" w:themeColor="text1"/>
                <w:spacing w:val="0"/>
                <w:sz w:val="24"/>
                <w:szCs w:val="24"/>
                <w:highlight w:val="none"/>
                <w:lang w:val="en-US" w:eastAsia="zh-CN"/>
                <w14:textFill>
                  <w14:solidFill>
                    <w14:schemeClr w14:val="tx1"/>
                  </w14:solidFill>
                </w14:textFill>
              </w:rPr>
              <w:t>2026</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r>
              <w:rPr>
                <w:rFonts w:hint="eastAsia" w:ascii="宋体" w:hAnsi="宋体" w:cs="宋体"/>
                <w:color w:val="000000" w:themeColor="text1"/>
                <w:spacing w:val="0"/>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r>
              <w:rPr>
                <w:rFonts w:hint="eastAsia" w:ascii="宋体" w:hAnsi="宋体" w:cs="宋体"/>
                <w:color w:val="000000" w:themeColor="text1"/>
                <w:spacing w:val="0"/>
                <w:sz w:val="24"/>
                <w:szCs w:val="24"/>
                <w:highlight w:val="none"/>
                <w:lang w:val="en-US" w:eastAsia="zh-CN"/>
                <w14:textFill>
                  <w14:solidFill>
                    <w14:schemeClr w14:val="tx1"/>
                  </w14:solidFill>
                </w14:textFill>
              </w:rPr>
              <w:t xml:space="preserve">21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r>
              <w:rPr>
                <w:rFonts w:hint="eastAsia" w:ascii="宋体" w:hAnsi="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0</w:t>
            </w:r>
            <w:r>
              <w:rPr>
                <w:rFonts w:hint="eastAsia" w:ascii="宋体" w:hAnsi="宋体" w:eastAsia="宋体" w:cs="宋体"/>
                <w:color w:val="000000" w:themeColor="text1"/>
                <w:spacing w:val="0"/>
                <w:sz w:val="24"/>
                <w:szCs w:val="24"/>
                <w:highlight w:val="none"/>
                <w14:textFill>
                  <w14:solidFill>
                    <w14:schemeClr w14:val="tx1"/>
                  </w14:solidFill>
                </w14:textFill>
              </w:rPr>
              <w:t>（北京时间）前递交投标文件。</w:t>
            </w:r>
          </w:p>
        </w:tc>
      </w:tr>
    </w:tbl>
    <w:p w14:paraId="5DC8F97D">
      <w:pPr>
        <w:keepNext w:val="0"/>
        <w:keepLines w:val="0"/>
        <w:pageBreakBefore w:val="0"/>
        <w:widowControl/>
        <w:shd w:val="clear" w:color="auto"/>
        <w:spacing w:line="50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16" w:name="_Toc27994"/>
      <w:bookmarkStart w:id="17" w:name="_Toc22606"/>
      <w:bookmarkStart w:id="18" w:name="_Toc570"/>
      <w:bookmarkStart w:id="19" w:name="_Toc10612"/>
      <w:r>
        <w:rPr>
          <w:rFonts w:hint="eastAsia" w:ascii="宋体" w:hAnsi="宋体" w:eastAsia="宋体" w:cs="宋体"/>
          <w:b/>
          <w:bCs/>
          <w:color w:val="000000" w:themeColor="text1"/>
          <w:spacing w:val="0"/>
          <w:sz w:val="28"/>
          <w:szCs w:val="28"/>
          <w:highlight w:val="none"/>
          <w14:textFill>
            <w14:solidFill>
              <w14:schemeClr w14:val="tx1"/>
            </w14:solidFill>
          </w14:textFill>
        </w:rPr>
        <w:t>一、项目基本情况</w:t>
      </w:r>
      <w:bookmarkEnd w:id="16"/>
      <w:bookmarkEnd w:id="17"/>
      <w:bookmarkEnd w:id="18"/>
      <w:bookmarkEnd w:id="19"/>
    </w:p>
    <w:p w14:paraId="148999E7">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项目编号：</w:t>
      </w:r>
      <w:r>
        <w:rPr>
          <w:rFonts w:hint="eastAsia" w:ascii="宋体" w:hAnsi="宋体" w:cs="宋体"/>
          <w:color w:val="000000" w:themeColor="text1"/>
          <w:spacing w:val="0"/>
          <w:sz w:val="24"/>
          <w:szCs w:val="24"/>
          <w:highlight w:val="none"/>
          <w:lang w:val="en-US" w:eastAsia="zh-CN"/>
          <w14:textFill>
            <w14:solidFill>
              <w14:schemeClr w14:val="tx1"/>
            </w14:solidFill>
          </w14:textFill>
        </w:rPr>
        <w:t>JSZC-320582-ZZHX-G2026-0008</w:t>
      </w:r>
    </w:p>
    <w:p w14:paraId="6CC2A311">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项目名称：</w:t>
      </w:r>
      <w:r>
        <w:rPr>
          <w:rFonts w:hint="eastAsia" w:ascii="宋体" w:hAnsi="宋体" w:cs="宋体"/>
          <w:color w:val="000000" w:themeColor="text1"/>
          <w:spacing w:val="0"/>
          <w:sz w:val="24"/>
          <w:szCs w:val="24"/>
          <w:highlight w:val="none"/>
          <w:lang w:eastAsia="zh-CN"/>
          <w14:textFill>
            <w14:solidFill>
              <w14:schemeClr w14:val="tx1"/>
            </w14:solidFill>
          </w14:textFill>
        </w:rPr>
        <w:t>张家港经济技术开发区园区限值限量监测设备第三方运维服务项目</w:t>
      </w:r>
    </w:p>
    <w:p w14:paraId="49A6DE29">
      <w:pPr>
        <w:keepNext w:val="0"/>
        <w:keepLines w:val="0"/>
        <w:pageBreakBefore w:val="0"/>
        <w:widowControl/>
        <w:shd w:val="clear" w:color="auto"/>
        <w:spacing w:line="500" w:lineRule="exact"/>
        <w:ind w:firstLine="480"/>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cs="宋体"/>
          <w:color w:val="000000" w:themeColor="text1"/>
          <w:spacing w:val="0"/>
          <w:sz w:val="24"/>
          <w:szCs w:val="24"/>
          <w:highlight w:val="none"/>
          <w:lang w:val="en-US" w:eastAsia="zh-CN"/>
          <w14:textFill>
            <w14:solidFill>
              <w14:schemeClr w14:val="tx1"/>
            </w14:solidFill>
          </w14:textFill>
        </w:rPr>
        <w:t>采购方式：公开招标</w:t>
      </w:r>
    </w:p>
    <w:p w14:paraId="1680FB63">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预算金额：</w:t>
      </w:r>
      <w:bookmarkStart w:id="20" w:name="EB1a0e1eba70434d918dcf5b8e03079bcd"/>
      <w:r>
        <w:rPr>
          <w:rFonts w:hint="eastAsia" w:ascii="宋体" w:hAnsi="宋体" w:cs="宋体"/>
          <w:color w:val="000000" w:themeColor="text1"/>
          <w:spacing w:val="0"/>
          <w:sz w:val="24"/>
          <w:szCs w:val="24"/>
          <w:highlight w:val="none"/>
          <w:lang w:val="en-US" w:eastAsia="zh-CN"/>
          <w14:textFill>
            <w14:solidFill>
              <w14:schemeClr w14:val="tx1"/>
            </w14:solidFill>
          </w14:textFill>
        </w:rPr>
        <w:t>100</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万</w:t>
      </w:r>
      <w:r>
        <w:rPr>
          <w:rFonts w:hint="eastAsia" w:ascii="宋体" w:hAnsi="宋体" w:eastAsia="宋体" w:cs="宋体"/>
          <w:color w:val="000000" w:themeColor="text1"/>
          <w:spacing w:val="0"/>
          <w:sz w:val="24"/>
          <w:szCs w:val="24"/>
          <w:highlight w:val="none"/>
          <w14:textFill>
            <w14:solidFill>
              <w14:schemeClr w14:val="tx1"/>
            </w14:solidFill>
          </w14:textFill>
        </w:rPr>
        <w:t>元</w:t>
      </w:r>
      <w:bookmarkEnd w:id="20"/>
    </w:p>
    <w:p w14:paraId="12BA3060">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最高限价</w:t>
      </w:r>
      <w:bookmarkStart w:id="21" w:name="EB974fe10e1b834f1ab596364ccab62ca9"/>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cs="宋体"/>
          <w:color w:val="000000" w:themeColor="text1"/>
          <w:spacing w:val="0"/>
          <w:sz w:val="24"/>
          <w:szCs w:val="24"/>
          <w:highlight w:val="none"/>
          <w:lang w:val="en-US" w:eastAsia="zh-CN"/>
          <w14:textFill>
            <w14:solidFill>
              <w14:schemeClr w14:val="tx1"/>
            </w14:solidFill>
          </w14:textFill>
        </w:rPr>
        <w:t>100</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万</w:t>
      </w:r>
      <w:r>
        <w:rPr>
          <w:rFonts w:hint="eastAsia" w:ascii="宋体" w:hAnsi="宋体" w:eastAsia="宋体" w:cs="宋体"/>
          <w:color w:val="000000" w:themeColor="text1"/>
          <w:spacing w:val="0"/>
          <w:sz w:val="24"/>
          <w:szCs w:val="24"/>
          <w:highlight w:val="none"/>
          <w14:textFill>
            <w14:solidFill>
              <w14:schemeClr w14:val="tx1"/>
            </w14:solidFill>
          </w14:textFill>
        </w:rPr>
        <w:t>元</w:t>
      </w:r>
      <w:bookmarkEnd w:id="21"/>
    </w:p>
    <w:p w14:paraId="6EF701A5">
      <w:pPr>
        <w:pStyle w:val="48"/>
        <w:keepNext w:val="0"/>
        <w:keepLines w:val="0"/>
        <w:pageBreakBefore w:val="0"/>
        <w:shd w:val="clear" w:color="auto"/>
        <w:spacing w:line="500" w:lineRule="exact"/>
        <w:ind w:firstLine="482"/>
        <w:rPr>
          <w:rFonts w:hint="eastAsia" w:ascii="宋体" w:hAnsi="宋体" w:eastAsia="宋体" w:cs="宋体"/>
          <w:color w:val="000000" w:themeColor="text1"/>
          <w:spacing w:val="0"/>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采购需求：</w:t>
      </w:r>
      <w:r>
        <w:rPr>
          <w:rFonts w:hint="eastAsia" w:cs="宋体"/>
          <w:color w:val="000000" w:themeColor="text1"/>
          <w:spacing w:val="0"/>
          <w:sz w:val="24"/>
          <w:szCs w:val="24"/>
          <w:highlight w:val="none"/>
          <w:lang w:val="en-US" w:eastAsia="zh-CN"/>
          <w14:textFill>
            <w14:solidFill>
              <w14:schemeClr w14:val="tx1"/>
            </w14:solidFill>
          </w14:textFill>
        </w:rPr>
        <w:t>为严格落实污染物排放限值限量管理实施方案要求，持续保障相关监测设备正常运行，确保监测监控数据的质量，拟采购新一年的园区限值限量监测设备第三方运维，包括大气标准站1个、VOCs监测设备2套、微型空气站31个</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p>
    <w:p w14:paraId="41FAB4D9">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合同履行期限</w:t>
      </w:r>
      <w:bookmarkStart w:id="22" w:name="EBc1f6639250fe4c2294880160fa37a7de"/>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bookmarkEnd w:id="22"/>
      <w:r>
        <w:rPr>
          <w:rFonts w:hint="eastAsia" w:ascii="宋体" w:hAnsi="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年。</w:t>
      </w:r>
    </w:p>
    <w:p w14:paraId="4986BFF6">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本项目（是/否）接受联合体投标：否。</w:t>
      </w:r>
    </w:p>
    <w:p w14:paraId="14BC54B5">
      <w:pPr>
        <w:keepNext w:val="0"/>
        <w:keepLines w:val="0"/>
        <w:pageBreakBefore w:val="0"/>
        <w:widowControl/>
        <w:shd w:val="clear" w:color="auto"/>
        <w:spacing w:line="50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23" w:name="_Toc27743"/>
      <w:bookmarkStart w:id="24" w:name="_Toc25988"/>
      <w:bookmarkStart w:id="25" w:name="_Toc5268"/>
      <w:bookmarkStart w:id="26" w:name="_Toc2479"/>
      <w:r>
        <w:rPr>
          <w:rFonts w:hint="eastAsia" w:ascii="宋体" w:hAnsi="宋体" w:eastAsia="宋体" w:cs="宋体"/>
          <w:b/>
          <w:bCs/>
          <w:color w:val="000000" w:themeColor="text1"/>
          <w:spacing w:val="0"/>
          <w:sz w:val="28"/>
          <w:szCs w:val="28"/>
          <w:highlight w:val="none"/>
          <w14:textFill>
            <w14:solidFill>
              <w14:schemeClr w14:val="tx1"/>
            </w14:solidFill>
          </w14:textFill>
        </w:rPr>
        <w:t>二、申请人的资格要求</w:t>
      </w:r>
      <w:bookmarkEnd w:id="23"/>
      <w:bookmarkEnd w:id="24"/>
      <w:bookmarkEnd w:id="25"/>
      <w:bookmarkEnd w:id="26"/>
    </w:p>
    <w:p w14:paraId="50573E71">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一</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满足《中华人民共和国政府采购法》第二十二条规定</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p>
    <w:p w14:paraId="159CC509">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15A1680">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2</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财务状况报告（成立不满一年不需提供）。</w:t>
      </w:r>
    </w:p>
    <w:p w14:paraId="78CD36CA">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依法缴纳税收和社会保障资金的相关材料（如依法享受缓缴、免缴税收、社会保障资金的，应提供相关证明材料）。</w:t>
      </w:r>
    </w:p>
    <w:p w14:paraId="0EE1584B">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4</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具备履行合同所必需的设备和专业技术能力的书面声明。</w:t>
      </w:r>
    </w:p>
    <w:p w14:paraId="06B33871">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参加政府采购活动前3年内在经营活动中没有重大违法记录的书面声明。</w:t>
      </w:r>
    </w:p>
    <w:p w14:paraId="500C6E79">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6</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授权委托书（被授权人非法定代表人的，应提供授权委托书；被授权人是法定代表人的，应提供授权委托书或法定代表人身份证明书）。</w:t>
      </w:r>
    </w:p>
    <w:p w14:paraId="6B7EFF86">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7</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关于资格证明文件的书面承诺。</w:t>
      </w:r>
    </w:p>
    <w:p w14:paraId="4F23662C">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8</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未被“信用中国”网站（www.creditchina.gov.cn）列入失信被执行人、重大税收违法案件当事人名单、政府采购严重失信行为记录名单。</w:t>
      </w:r>
    </w:p>
    <w:p w14:paraId="62A98283">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二</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落实政府采购政策需满足的资格要求：</w:t>
      </w:r>
    </w:p>
    <w:p w14:paraId="1274084C">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本项目专门面向中小企业采购</w:t>
      </w:r>
    </w:p>
    <w:p w14:paraId="0FB69B3E">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注：</w:t>
      </w:r>
    </w:p>
    <w:p w14:paraId="48F78B66">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（1）根据《关于促进残疾人就业政府采购政策的通知》（财库〔2017〕141号）的通知规定，在政府采购活动中，残疾人福利性单位视同小型、微型企业。</w:t>
      </w:r>
    </w:p>
    <w:p w14:paraId="011B0E59">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（2）根据《关于政府采购支持监狱企业发展有关问题的通知》（财库〔2014〕68号）的通知规定，在政府采购活动中，监狱企业视同小型、微型企业。</w:t>
      </w:r>
    </w:p>
    <w:p w14:paraId="6EACC6E0">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本项目的特定资格要求：</w:t>
      </w:r>
    </w:p>
    <w:p w14:paraId="4D04EA29">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无</w:t>
      </w:r>
      <w:bookmarkStart w:id="27" w:name="_Toc5911"/>
      <w:bookmarkStart w:id="28" w:name="_Toc21214"/>
      <w:bookmarkStart w:id="29" w:name="_Toc29872"/>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w:t>
      </w:r>
    </w:p>
    <w:p w14:paraId="1A035F6C">
      <w:pPr>
        <w:keepNext w:val="0"/>
        <w:keepLines w:val="0"/>
        <w:pageBreakBefore w:val="0"/>
        <w:widowControl/>
        <w:shd w:val="clear" w:color="auto"/>
        <w:spacing w:line="50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30" w:name="_Toc17968"/>
      <w:r>
        <w:rPr>
          <w:rFonts w:hint="eastAsia" w:ascii="宋体" w:hAnsi="宋体" w:eastAsia="宋体" w:cs="宋体"/>
          <w:b/>
          <w:bCs/>
          <w:color w:val="000000" w:themeColor="text1"/>
          <w:spacing w:val="0"/>
          <w:sz w:val="28"/>
          <w:szCs w:val="28"/>
          <w:highlight w:val="none"/>
          <w14:textFill>
            <w14:solidFill>
              <w14:schemeClr w14:val="tx1"/>
            </w14:solidFill>
          </w14:textFill>
        </w:rPr>
        <w:t>三、获取招标文件</w:t>
      </w:r>
      <w:bookmarkEnd w:id="27"/>
      <w:bookmarkEnd w:id="28"/>
      <w:bookmarkEnd w:id="29"/>
      <w:bookmarkEnd w:id="30"/>
    </w:p>
    <w:p w14:paraId="7549AEC7">
      <w:pPr>
        <w:keepNext w:val="0"/>
        <w:keepLines w:val="0"/>
        <w:pageBreakBefore w:val="0"/>
        <w:widowControl/>
        <w:shd w:val="clear" w:color="auto"/>
        <w:spacing w:line="500" w:lineRule="exact"/>
        <w:ind w:firstLine="480"/>
        <w:rPr>
          <w:rFonts w:hint="eastAsia" w:ascii="宋体" w:hAnsi="宋体" w:eastAsia="宋体" w:cs="宋体"/>
          <w:color w:val="auto"/>
          <w:spacing w:val="0"/>
          <w:sz w:val="24"/>
          <w:szCs w:val="24"/>
          <w:highlight w:val="none"/>
        </w:rPr>
      </w:pPr>
      <w:r>
        <w:rPr>
          <w:rFonts w:hint="eastAsia" w:ascii="宋体" w:hAnsi="宋体" w:eastAsia="宋体" w:cs="宋体"/>
          <w:color w:val="auto"/>
          <w:spacing w:val="0"/>
          <w:sz w:val="24"/>
          <w:szCs w:val="24"/>
          <w:highlight w:val="none"/>
        </w:rPr>
        <w:t>时间：自招标公告发布之日起5个工作日</w:t>
      </w:r>
    </w:p>
    <w:p w14:paraId="41239C42">
      <w:pPr>
        <w:keepNext w:val="0"/>
        <w:keepLines w:val="0"/>
        <w:pageBreakBefore w:val="0"/>
        <w:widowControl/>
        <w:shd w:val="clear" w:color="auto"/>
        <w:spacing w:line="500" w:lineRule="exact"/>
        <w:ind w:firstLine="48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地点：苏采云政府采购一体化平台（网址：http://jszfcg.jsczt.cn/）</w:t>
      </w:r>
    </w:p>
    <w:p w14:paraId="538352D3">
      <w:pPr>
        <w:keepNext w:val="0"/>
        <w:keepLines w:val="0"/>
        <w:pageBreakBefore w:val="0"/>
        <w:widowControl/>
        <w:shd w:val="clear" w:color="auto"/>
        <w:spacing w:line="500" w:lineRule="exact"/>
        <w:ind w:firstLine="48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方式：</w:t>
      </w:r>
      <w:r>
        <w:rPr>
          <w:rFonts w:hint="eastAsia" w:ascii="宋体" w:hAnsi="宋体" w:eastAsia="宋体" w:cs="宋体"/>
          <w:color w:val="auto"/>
          <w:spacing w:val="0"/>
          <w:sz w:val="24"/>
          <w:szCs w:val="24"/>
          <w:highlight w:val="none"/>
        </w:rPr>
        <w:t>苏采云政府采购一体化平台（网址</w:t>
      </w:r>
      <w:r>
        <w:rPr>
          <w:rFonts w:hint="eastAsia" w:ascii="宋体" w:hAnsi="宋体" w:eastAsia="宋体" w:cs="宋体"/>
          <w:color w:val="auto"/>
          <w:spacing w:val="0"/>
          <w:sz w:val="24"/>
          <w:szCs w:val="24"/>
          <w:highlight w:val="none"/>
          <w:lang w:val="en-US" w:eastAsia="zh-CN"/>
        </w:rPr>
        <w:t>：</w:t>
      </w:r>
      <w:r>
        <w:rPr>
          <w:rFonts w:hint="eastAsia" w:ascii="宋体" w:hAnsi="宋体" w:eastAsia="宋体" w:cs="宋体"/>
          <w:color w:val="auto"/>
          <w:spacing w:val="0"/>
          <w:sz w:val="24"/>
          <w:szCs w:val="24"/>
          <w:highlight w:val="none"/>
        </w:rPr>
        <w:t>http://jszfcg.jsczt.cn/）</w:t>
      </w:r>
    </w:p>
    <w:p w14:paraId="6599A82D">
      <w:pPr>
        <w:keepNext w:val="0"/>
        <w:keepLines w:val="0"/>
        <w:pageBreakBefore w:val="0"/>
        <w:widowControl/>
        <w:shd w:val="clear" w:color="auto"/>
        <w:spacing w:line="500" w:lineRule="exact"/>
        <w:ind w:firstLine="480"/>
        <w:rPr>
          <w:rFonts w:hint="eastAsia" w:ascii="宋体" w:hAnsi="宋体" w:eastAsia="宋体" w:cs="宋体"/>
          <w:color w:val="auto"/>
          <w:spacing w:val="0"/>
          <w:sz w:val="24"/>
          <w:szCs w:val="24"/>
          <w:highlight w:val="none"/>
          <w:lang w:val="en-US" w:eastAsia="zh-CN"/>
        </w:rPr>
      </w:pPr>
      <w:r>
        <w:rPr>
          <w:rFonts w:hint="eastAsia" w:ascii="宋体" w:hAnsi="宋体" w:eastAsia="宋体" w:cs="宋体"/>
          <w:color w:val="auto"/>
          <w:spacing w:val="0"/>
          <w:sz w:val="24"/>
          <w:szCs w:val="24"/>
          <w:highlight w:val="none"/>
          <w:lang w:val="en-US" w:eastAsia="zh-CN"/>
        </w:rPr>
        <w:t>售价：0.00元</w:t>
      </w:r>
    </w:p>
    <w:p w14:paraId="512C2DF1">
      <w:pPr>
        <w:keepNext w:val="0"/>
        <w:keepLines w:val="0"/>
        <w:pageBreakBefore w:val="0"/>
        <w:widowControl/>
        <w:shd w:val="clear" w:color="auto"/>
        <w:spacing w:line="500" w:lineRule="exact"/>
        <w:outlineLvl w:val="1"/>
        <w:rPr>
          <w:rFonts w:hint="eastAsia" w:ascii="宋体" w:hAnsi="宋体" w:eastAsia="宋体" w:cs="宋体"/>
          <w:b/>
          <w:bCs/>
          <w:color w:val="auto"/>
          <w:spacing w:val="0"/>
          <w:sz w:val="28"/>
          <w:szCs w:val="28"/>
          <w:highlight w:val="none"/>
        </w:rPr>
      </w:pPr>
      <w:bookmarkStart w:id="31" w:name="_Toc26721"/>
      <w:bookmarkStart w:id="32" w:name="_Toc12388"/>
      <w:bookmarkStart w:id="33" w:name="_Toc28359"/>
      <w:bookmarkStart w:id="34" w:name="_Toc32285"/>
      <w:r>
        <w:rPr>
          <w:rFonts w:hint="eastAsia" w:ascii="宋体" w:hAnsi="宋体" w:eastAsia="宋体" w:cs="宋体"/>
          <w:b/>
          <w:bCs/>
          <w:color w:val="auto"/>
          <w:spacing w:val="0"/>
          <w:sz w:val="28"/>
          <w:szCs w:val="28"/>
          <w:highlight w:val="none"/>
        </w:rPr>
        <w:t>四、提交投标文件截止时间、开标时间和地点</w:t>
      </w:r>
      <w:bookmarkEnd w:id="31"/>
      <w:bookmarkEnd w:id="32"/>
      <w:bookmarkEnd w:id="33"/>
      <w:bookmarkEnd w:id="34"/>
    </w:p>
    <w:p w14:paraId="3C24A029">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508"/>
        <w:rPr>
          <w:rFonts w:hint="eastAsia" w:ascii="宋体" w:hAnsi="宋体" w:eastAsia="宋体" w:cs="宋体"/>
          <w:i w:val="0"/>
          <w:iCs w:val="0"/>
          <w:caps w:val="0"/>
          <w:color w:val="000000" w:themeColor="text1"/>
          <w:spacing w:val="0"/>
          <w:sz w:val="24"/>
          <w:szCs w:val="24"/>
          <w:highlight w:val="none"/>
          <w:shd w:val="clear" w:color="auto" w:fill="FFFFFF"/>
          <w:lang w:val="en-US" w:eastAsia="zh-CN"/>
          <w14:textFill>
            <w14:solidFill>
              <w14:schemeClr w14:val="tx1"/>
            </w14:solidFill>
          </w14:textFill>
        </w:rPr>
      </w:pPr>
      <w:r>
        <w:rPr>
          <w:rFonts w:hint="eastAsia" w:ascii="宋体" w:hAnsi="宋体" w:eastAsia="宋体" w:cs="宋体"/>
          <w:i w:val="0"/>
          <w:iCs w:val="0"/>
          <w:caps w:val="0"/>
          <w:color w:val="auto"/>
          <w:spacing w:val="0"/>
          <w:sz w:val="24"/>
          <w:szCs w:val="24"/>
          <w:highlight w:val="none"/>
          <w:shd w:val="clear" w:color="auto" w:fill="FFFFFF"/>
          <w:lang w:val="en-US"/>
        </w:rPr>
        <w:t>时间：</w:t>
      </w:r>
      <w:r>
        <w:rPr>
          <w:rFonts w:hint="eastAsia" w:ascii="宋体" w:hAnsi="宋体" w:cs="宋体"/>
          <w:color w:val="auto"/>
          <w:spacing w:val="0"/>
          <w:sz w:val="24"/>
          <w:szCs w:val="24"/>
          <w:highlight w:val="none"/>
          <w:lang w:val="en-US" w:eastAsia="zh-CN" w:bidi="ar-SA"/>
        </w:rPr>
        <w:t>2026</w:t>
      </w:r>
      <w:r>
        <w:rPr>
          <w:rFonts w:hint="eastAsia" w:ascii="宋体" w:hAnsi="宋体" w:eastAsia="宋体" w:cs="宋体"/>
          <w:color w:val="auto"/>
          <w:spacing w:val="0"/>
          <w:sz w:val="24"/>
          <w:szCs w:val="24"/>
          <w:highlight w:val="none"/>
          <w:lang w:val="en-US" w:eastAsia="zh-CN" w:bidi="ar-SA"/>
        </w:rPr>
        <w:t>年</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5</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月</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21</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日1</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0（北京时间）</w:t>
      </w:r>
    </w:p>
    <w:p w14:paraId="52CA1CA1">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508"/>
        <w:rPr>
          <w:rFonts w:hint="eastAsia" w:ascii="宋体" w:hAnsi="宋体" w:eastAsia="宋体" w:cs="宋体"/>
          <w:i w:val="0"/>
          <w:iCs w:val="0"/>
          <w:caps w:val="0"/>
          <w:color w:val="000000" w:themeColor="text1"/>
          <w:spacing w:val="0"/>
          <w:sz w:val="24"/>
          <w:szCs w:val="24"/>
          <w:highlight w:val="none"/>
          <w:shd w:val="clear" w:color="auto" w:fill="FFFFFF"/>
          <w:lang w:val="en-US"/>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14:textFill>
            <w14:solidFill>
              <w14:schemeClr w14:val="tx1"/>
            </w14:solidFill>
          </w14:textFill>
        </w:rPr>
        <w:t>地点：苏采云系统</w:t>
      </w:r>
    </w:p>
    <w:p w14:paraId="3D346AA1">
      <w:pPr>
        <w:keepNext w:val="0"/>
        <w:keepLines w:val="0"/>
        <w:pageBreakBefore w:val="0"/>
        <w:widowControl/>
        <w:shd w:val="clear" w:color="auto"/>
        <w:spacing w:line="50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35" w:name="_Toc7617"/>
      <w:bookmarkStart w:id="36" w:name="_Toc9013"/>
      <w:bookmarkStart w:id="37" w:name="_Toc26171"/>
      <w:bookmarkStart w:id="38" w:name="_Toc2201"/>
      <w:r>
        <w:rPr>
          <w:rFonts w:hint="eastAsia" w:ascii="宋体" w:hAnsi="宋体" w:eastAsia="宋体" w:cs="宋体"/>
          <w:b/>
          <w:bCs/>
          <w:color w:val="000000" w:themeColor="text1"/>
          <w:spacing w:val="0"/>
          <w:sz w:val="28"/>
          <w:szCs w:val="28"/>
          <w:highlight w:val="none"/>
          <w14:textFill>
            <w14:solidFill>
              <w14:schemeClr w14:val="tx1"/>
            </w14:solidFill>
          </w14:textFill>
        </w:rPr>
        <w:t>五、公告期限</w:t>
      </w:r>
      <w:bookmarkEnd w:id="35"/>
      <w:bookmarkEnd w:id="36"/>
      <w:bookmarkEnd w:id="37"/>
      <w:bookmarkEnd w:id="38"/>
    </w:p>
    <w:p w14:paraId="28D2D7B0">
      <w:pPr>
        <w:keepNext w:val="0"/>
        <w:keepLines w:val="0"/>
        <w:pageBreakBefore w:val="0"/>
        <w:widowControl/>
        <w:shd w:val="clear" w:color="auto"/>
        <w:spacing w:line="500" w:lineRule="exact"/>
        <w:ind w:firstLine="555"/>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自本公告发布之日起5个工作日。</w:t>
      </w:r>
    </w:p>
    <w:p w14:paraId="657F91B9">
      <w:pPr>
        <w:keepNext w:val="0"/>
        <w:keepLines w:val="0"/>
        <w:pageBreakBefore w:val="0"/>
        <w:widowControl/>
        <w:shd w:val="clear" w:color="auto"/>
        <w:spacing w:line="50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39" w:name="_Toc22769"/>
      <w:bookmarkStart w:id="40" w:name="_Toc22877"/>
      <w:bookmarkStart w:id="41" w:name="_Toc28612"/>
      <w:bookmarkStart w:id="42" w:name="_Toc19905"/>
      <w:r>
        <w:rPr>
          <w:rFonts w:hint="eastAsia" w:ascii="宋体" w:hAnsi="宋体" w:eastAsia="宋体" w:cs="宋体"/>
          <w:b/>
          <w:bCs/>
          <w:color w:val="000000" w:themeColor="text1"/>
          <w:spacing w:val="0"/>
          <w:sz w:val="28"/>
          <w:szCs w:val="28"/>
          <w:highlight w:val="none"/>
          <w14:textFill>
            <w14:solidFill>
              <w14:schemeClr w14:val="tx1"/>
            </w14:solidFill>
          </w14:textFill>
        </w:rPr>
        <w:t>六、其他补充事宜</w:t>
      </w:r>
      <w:bookmarkEnd w:id="39"/>
      <w:bookmarkEnd w:id="40"/>
      <w:bookmarkEnd w:id="41"/>
      <w:bookmarkEnd w:id="42"/>
    </w:p>
    <w:p w14:paraId="0D0D711F">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1.CA证书办理</w:t>
      </w:r>
    </w:p>
    <w:p w14:paraId="6BBDFE11">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楼服务大厅，咨询电话：0512-65737699。</w:t>
      </w:r>
    </w:p>
    <w:p w14:paraId="71B538A9">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2.参与采购活动</w:t>
      </w:r>
    </w:p>
    <w:p w14:paraId="3294E5E5">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插入CA证书登录“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p>
    <w:p w14:paraId="332B17FE">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3.电子投标准备</w:t>
      </w:r>
    </w:p>
    <w:p w14:paraId="0696DAD0">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p>
    <w:p w14:paraId="3146DFBF">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在系统操作过程中如有疑问，请按以下方式联系：</w:t>
      </w:r>
    </w:p>
    <w:p w14:paraId="2E363FA0">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注册咨询：18261002950；</w:t>
      </w:r>
    </w:p>
    <w:p w14:paraId="17D2ACC6">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CA技术咨询电话：400-608-6099；</w:t>
      </w:r>
    </w:p>
    <w:p w14:paraId="261903B8">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签章使用问题：025-83633811、025-83633812、15380932027、15371015030；</w:t>
      </w:r>
    </w:p>
    <w:p w14:paraId="7190930E">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系统使用指导与咨询：13914088964、18261002950；QQ：3048755361、1315179389、895706745。</w:t>
      </w:r>
    </w:p>
    <w:p w14:paraId="69E38CB3">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p>
    <w:p w14:paraId="5CC65548">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p>
    <w:p w14:paraId="7D6E0D3C">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请供应商确保电脑、系统及其他设备（视频输入输出设备等）无误，且开标直至项目结束始终保持系统在线状态。</w:t>
      </w:r>
    </w:p>
    <w:p w14:paraId="1D095C48">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6.招标文件澄清或者修改内容的告知方式：招标文件的实质性变动或修改将在政府采购公告媒体网通知，投标人可自行下载。</w:t>
      </w:r>
    </w:p>
    <w:p w14:paraId="2DC68305">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7.本次招标不收取投标保证金。</w:t>
      </w:r>
    </w:p>
    <w:p w14:paraId="4CF2DC91">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jc w:val="left"/>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8.本项目不允许进口产品投标。</w:t>
      </w:r>
    </w:p>
    <w:p w14:paraId="0DA8010F">
      <w:pPr>
        <w:keepNext w:val="0"/>
        <w:keepLines w:val="0"/>
        <w:pageBreakBefore w:val="0"/>
        <w:widowControl/>
        <w:shd w:val="clear" w:color="auto"/>
        <w:spacing w:line="50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43" w:name="_Toc9938"/>
      <w:bookmarkStart w:id="44" w:name="_Toc18424"/>
      <w:bookmarkStart w:id="45" w:name="_Toc301"/>
      <w:bookmarkStart w:id="46" w:name="_Toc6075"/>
      <w:r>
        <w:rPr>
          <w:rFonts w:hint="eastAsia" w:ascii="宋体" w:hAnsi="宋体" w:eastAsia="宋体" w:cs="宋体"/>
          <w:b/>
          <w:bCs/>
          <w:color w:val="000000" w:themeColor="text1"/>
          <w:spacing w:val="0"/>
          <w:sz w:val="28"/>
          <w:szCs w:val="28"/>
          <w:highlight w:val="none"/>
          <w14:textFill>
            <w14:solidFill>
              <w14:schemeClr w14:val="tx1"/>
            </w14:solidFill>
          </w14:textFill>
        </w:rPr>
        <w:t>七、对本次招标提出询问，请按以下方式联系</w:t>
      </w:r>
      <w:bookmarkEnd w:id="43"/>
      <w:bookmarkEnd w:id="44"/>
      <w:bookmarkEnd w:id="45"/>
      <w:bookmarkEnd w:id="46"/>
    </w:p>
    <w:p w14:paraId="2F6B56F7">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1．采购人信息</w:t>
      </w:r>
    </w:p>
    <w:p w14:paraId="1F750F08">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单位名称：</w:t>
      </w:r>
      <w:r>
        <w:rPr>
          <w:rFonts w:hint="eastAsia" w:ascii="宋体" w:hAnsi="宋体" w:cs="宋体"/>
          <w:color w:val="000000" w:themeColor="text1"/>
          <w:spacing w:val="0"/>
          <w:sz w:val="24"/>
          <w:szCs w:val="24"/>
          <w:highlight w:val="none"/>
          <w:lang w:val="en-US" w:eastAsia="zh-CN" w:bidi="ar-SA"/>
          <w14:textFill>
            <w14:solidFill>
              <w14:schemeClr w14:val="tx1"/>
            </w14:solidFill>
          </w14:textFill>
        </w:rPr>
        <w:t>张家港经济技术开发区管理委员会</w:t>
      </w:r>
    </w:p>
    <w:p w14:paraId="00D5C018">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单位地址：张家港市杨舍镇国泰南路9号</w:t>
      </w:r>
    </w:p>
    <w:p w14:paraId="7F914B1F">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联系人：朱倩雅</w:t>
      </w:r>
    </w:p>
    <w:p w14:paraId="55B4EAC8">
      <w:pPr>
        <w:pStyle w:val="206"/>
        <w:keepNext w:val="0"/>
        <w:keepLines w:val="0"/>
        <w:pageBreakBefore w:val="0"/>
        <w:widowControl/>
        <w:suppressLineNumbers w:val="0"/>
        <w:pBdr>
          <w:top w:val="none" w:color="000000" w:sz="0" w:space="0"/>
          <w:left w:val="none" w:color="000000" w:sz="0" w:space="0"/>
          <w:bottom w:val="none" w:color="000000" w:sz="0" w:space="0"/>
          <w:right w:val="none" w:color="000000" w:sz="0" w:space="0"/>
        </w:pBdr>
        <w:shd w:val="clear" w:color="auto"/>
        <w:spacing w:before="0" w:beforeAutospacing="0" w:after="0" w:afterAutospacing="0" w:line="500" w:lineRule="exact"/>
        <w:ind w:left="0" w:right="0"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联系电话：15862629297</w:t>
      </w:r>
    </w:p>
    <w:p w14:paraId="7ED146D8">
      <w:pPr>
        <w:keepNext w:val="0"/>
        <w:keepLines w:val="0"/>
        <w:pageBreakBefore w:val="0"/>
        <w:widowControl/>
        <w:shd w:val="clear" w:color="auto"/>
        <w:spacing w:line="50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2．采购代理机构信息</w:t>
      </w:r>
    </w:p>
    <w:p w14:paraId="3889ABAC">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pacing w:val="0"/>
          <w:sz w:val="24"/>
          <w:szCs w:val="24"/>
          <w:highlight w:val="none"/>
          <w14:textFill>
            <w14:solidFill>
              <w14:schemeClr w14:val="tx1"/>
            </w14:solidFill>
          </w14:textFill>
        </w:rPr>
        <w:t>名称：</w:t>
      </w:r>
      <w:bookmarkStart w:id="47" w:name="EB87bd51c9d802413bae3fcd0e825858ca"/>
      <w:r>
        <w:rPr>
          <w:rFonts w:hint="eastAsia" w:ascii="宋体" w:hAnsi="宋体" w:eastAsia="宋体" w:cs="宋体"/>
          <w:color w:val="000000" w:themeColor="text1"/>
          <w:spacing w:val="0"/>
          <w:sz w:val="24"/>
          <w:szCs w:val="24"/>
          <w:highlight w:val="none"/>
          <w14:textFill>
            <w14:solidFill>
              <w14:schemeClr w14:val="tx1"/>
            </w14:solidFill>
          </w14:textFill>
        </w:rPr>
        <w:t>苏州政合信咨询管理服务有限公司</w:t>
      </w:r>
      <w:bookmarkEnd w:id="47"/>
    </w:p>
    <w:p w14:paraId="7464E53E">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单位</w:t>
      </w:r>
      <w:r>
        <w:rPr>
          <w:rFonts w:hint="eastAsia" w:ascii="宋体" w:hAnsi="宋体" w:eastAsia="宋体" w:cs="宋体"/>
          <w:color w:val="000000" w:themeColor="text1"/>
          <w:spacing w:val="0"/>
          <w:sz w:val="24"/>
          <w:szCs w:val="24"/>
          <w:highlight w:val="none"/>
          <w14:textFill>
            <w14:solidFill>
              <w14:schemeClr w14:val="tx1"/>
            </w14:solidFill>
          </w14:textFill>
        </w:rPr>
        <w:t>地址：</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张家港市长兴路13号1号楼2楼</w:t>
      </w:r>
    </w:p>
    <w:p w14:paraId="50799E58">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联系</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周子颖</w:t>
      </w:r>
    </w:p>
    <w:p w14:paraId="1E89080B">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联系电话：</w:t>
      </w:r>
      <w:r>
        <w:rPr>
          <w:rFonts w:hint="eastAsia" w:ascii="宋体" w:hAnsi="宋体" w:eastAsia="宋体" w:cs="宋体"/>
          <w:color w:val="000000" w:themeColor="text1"/>
          <w:spacing w:val="0"/>
          <w:sz w:val="24"/>
          <w:szCs w:val="24"/>
          <w:highlight w:val="none"/>
          <w14:textFill>
            <w14:solidFill>
              <w14:schemeClr w14:val="tx1"/>
            </w14:solidFill>
          </w14:textFill>
        </w:rPr>
        <w:t>0512-58918185、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18260250207</w:t>
      </w:r>
    </w:p>
    <w:p w14:paraId="2C5C72F6">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3．项目联系方式</w:t>
      </w:r>
    </w:p>
    <w:p w14:paraId="497F1AC9">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项目联系人：</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周子颖</w:t>
      </w:r>
    </w:p>
    <w:p w14:paraId="3E2146D2">
      <w:pPr>
        <w:keepNext w:val="0"/>
        <w:keepLines w:val="0"/>
        <w:pageBreakBefore w:val="0"/>
        <w:widowControl/>
        <w:shd w:val="clear" w:color="auto"/>
        <w:spacing w:line="500" w:lineRule="exact"/>
        <w:ind w:firstLine="480"/>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电话：0512-58918185、</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18260250207</w:t>
      </w:r>
    </w:p>
    <w:p w14:paraId="43224316">
      <w:pPr>
        <w:pStyle w:val="6"/>
        <w:keepNext w:val="0"/>
        <w:keepLines w:val="0"/>
        <w:pageBreakBefore w:val="0"/>
        <w:shd w:val="clear" w:color="auto"/>
        <w:spacing w:line="500" w:lineRule="exact"/>
        <w:rPr>
          <w:rFonts w:hint="eastAsia" w:ascii="宋体" w:hAnsi="宋体" w:eastAsia="宋体" w:cs="宋体"/>
          <w:color w:val="000000" w:themeColor="text1"/>
          <w:spacing w:val="0"/>
          <w:highlight w:val="none"/>
          <w14:textFill>
            <w14:solidFill>
              <w14:schemeClr w14:val="tx1"/>
            </w14:solidFill>
          </w14:textFill>
        </w:rPr>
        <w:sectPr>
          <w:headerReference r:id="rId7" w:type="first"/>
          <w:footerReference r:id="rId10" w:type="first"/>
          <w:headerReference r:id="rId6" w:type="default"/>
          <w:footerReference r:id="rId8" w:type="default"/>
          <w:footerReference r:id="rId9" w:type="even"/>
          <w:pgSz w:w="11906" w:h="16838"/>
          <w:pgMar w:top="1440" w:right="1080" w:bottom="1440" w:left="1080" w:header="851" w:footer="992" w:gutter="0"/>
          <w:pgNumType w:start="1"/>
          <w:cols w:space="1701" w:num="1"/>
          <w:docGrid w:linePitch="360" w:charSpace="0"/>
        </w:sectPr>
      </w:pPr>
    </w:p>
    <w:p w14:paraId="4ED2541D">
      <w:pPr>
        <w:pStyle w:val="211"/>
        <w:keepNext w:val="0"/>
        <w:keepLines w:val="0"/>
        <w:pageBreakBefore w:val="0"/>
        <w:shd w:val="clear" w:color="auto"/>
        <w:spacing w:before="313" w:after="313" w:line="520" w:lineRule="exact"/>
        <w:rPr>
          <w:rFonts w:hint="eastAsia" w:ascii="宋体" w:hAnsi="宋体" w:eastAsia="宋体" w:cs="宋体"/>
          <w:color w:val="000000" w:themeColor="text1"/>
          <w:spacing w:val="0"/>
          <w:highlight w:val="none"/>
          <w14:textFill>
            <w14:solidFill>
              <w14:schemeClr w14:val="tx1"/>
            </w14:solidFill>
          </w14:textFill>
        </w:rPr>
      </w:pPr>
      <w:bookmarkStart w:id="48" w:name="_Toc15313"/>
      <w:bookmarkStart w:id="49" w:name="_Toc35266019"/>
      <w:bookmarkStart w:id="50" w:name="_Toc22987"/>
      <w:bookmarkStart w:id="51" w:name="_Toc20167"/>
      <w:bookmarkStart w:id="52" w:name="_Toc38368119"/>
      <w:bookmarkStart w:id="53" w:name="_Toc2516"/>
      <w:bookmarkStart w:id="54" w:name="_Toc54615238"/>
      <w:r>
        <w:rPr>
          <w:rFonts w:hint="eastAsia" w:ascii="宋体" w:hAnsi="宋体" w:eastAsia="宋体" w:cs="宋体"/>
          <w:color w:val="000000" w:themeColor="text1"/>
          <w:spacing w:val="0"/>
          <w:highlight w:val="none"/>
          <w14:textFill>
            <w14:solidFill>
              <w14:schemeClr w14:val="tx1"/>
            </w14:solidFill>
          </w14:textFill>
        </w:rPr>
        <w:t xml:space="preserve">第二章  </w:t>
      </w:r>
      <w:bookmarkEnd w:id="15"/>
      <w:bookmarkStart w:id="55" w:name="_Toc513029202"/>
      <w:bookmarkStart w:id="56" w:name="_Toc20823274"/>
      <w:bookmarkStart w:id="57" w:name="_Toc120614213"/>
      <w:bookmarkStart w:id="58" w:name="_Toc16938518"/>
      <w:r>
        <w:rPr>
          <w:rFonts w:hint="eastAsia" w:ascii="宋体" w:hAnsi="宋体" w:eastAsia="宋体" w:cs="宋体"/>
          <w:color w:val="000000" w:themeColor="text1"/>
          <w:spacing w:val="0"/>
          <w:highlight w:val="none"/>
          <w14:textFill>
            <w14:solidFill>
              <w14:schemeClr w14:val="tx1"/>
            </w14:solidFill>
          </w14:textFill>
        </w:rPr>
        <w:t>投标人须知</w:t>
      </w:r>
      <w:bookmarkEnd w:id="48"/>
      <w:bookmarkEnd w:id="49"/>
      <w:bookmarkEnd w:id="50"/>
      <w:bookmarkEnd w:id="51"/>
      <w:bookmarkEnd w:id="52"/>
      <w:bookmarkEnd w:id="53"/>
      <w:bookmarkEnd w:id="54"/>
      <w:bookmarkEnd w:id="55"/>
      <w:bookmarkEnd w:id="56"/>
      <w:bookmarkEnd w:id="57"/>
      <w:bookmarkEnd w:id="58"/>
    </w:p>
    <w:p w14:paraId="06E2F1A7">
      <w:pPr>
        <w:keepNext w:val="0"/>
        <w:keepLines w:val="0"/>
        <w:pageBreakBefore w:val="0"/>
        <w:widowControl/>
        <w:shd w:val="clear" w:color="auto"/>
        <w:spacing w:line="52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59" w:name="_Toc513029203"/>
      <w:bookmarkStart w:id="60" w:name="_Toc54615239"/>
      <w:bookmarkStart w:id="61" w:name="_Toc7789"/>
      <w:bookmarkStart w:id="62" w:name="_Toc38368120"/>
      <w:bookmarkStart w:id="63" w:name="_Toc1423"/>
      <w:bookmarkStart w:id="64" w:name="_Toc9325"/>
      <w:bookmarkStart w:id="65" w:name="_Toc20823275"/>
      <w:bookmarkStart w:id="66" w:name="_Toc35266020"/>
      <w:bookmarkStart w:id="67" w:name="_Toc16938519"/>
      <w:bookmarkStart w:id="68" w:name="_Toc120614214"/>
      <w:bookmarkStart w:id="69" w:name="_Toc3250"/>
      <w:bookmarkStart w:id="70" w:name="_Toc513029242"/>
      <w:bookmarkStart w:id="71" w:name="_Toc479757207"/>
      <w:bookmarkStart w:id="72" w:name="_Toc16938558"/>
      <w:bookmarkStart w:id="73" w:name="_Toc120614221"/>
      <w:bookmarkStart w:id="74" w:name="_Toc20823314"/>
      <w:r>
        <w:rPr>
          <w:rFonts w:hint="eastAsia" w:ascii="宋体" w:hAnsi="宋体" w:eastAsia="宋体" w:cs="宋体"/>
          <w:b/>
          <w:bCs/>
          <w:color w:val="000000" w:themeColor="text1"/>
          <w:spacing w:val="0"/>
          <w:sz w:val="28"/>
          <w:szCs w:val="28"/>
          <w:highlight w:val="none"/>
          <w14:textFill>
            <w14:solidFill>
              <w14:schemeClr w14:val="tx1"/>
            </w14:solidFill>
          </w14:textFill>
        </w:rPr>
        <w:t>一、总则</w:t>
      </w:r>
      <w:bookmarkEnd w:id="59"/>
      <w:bookmarkEnd w:id="60"/>
      <w:bookmarkEnd w:id="61"/>
      <w:bookmarkEnd w:id="62"/>
      <w:bookmarkEnd w:id="63"/>
      <w:bookmarkEnd w:id="64"/>
      <w:bookmarkEnd w:id="65"/>
      <w:bookmarkEnd w:id="66"/>
      <w:bookmarkEnd w:id="67"/>
      <w:bookmarkEnd w:id="68"/>
      <w:bookmarkEnd w:id="69"/>
    </w:p>
    <w:p w14:paraId="77D55A6A">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bookmarkStart w:id="75" w:name="_Hlt16619475"/>
      <w:bookmarkEnd w:id="75"/>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1．招标方式</w:t>
      </w:r>
    </w:p>
    <w:p w14:paraId="799907D1">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1.1 本次招标采取公开招标方式，本招标文件仅适用于招标公告中所述项目。</w:t>
      </w:r>
    </w:p>
    <w:p w14:paraId="0CB49DD5">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2．合格的投标人</w:t>
      </w:r>
    </w:p>
    <w:p w14:paraId="682B2613">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2.1 满足招标公告中投标人的资格要求的规定。</w:t>
      </w:r>
    </w:p>
    <w:p w14:paraId="4273B261">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2.2 满足本文件实质性要求的规定（本招标文件中斜体且有下划线部分为实质性要求）。</w:t>
      </w:r>
    </w:p>
    <w:p w14:paraId="05232A5A">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3．适用法律</w:t>
      </w:r>
    </w:p>
    <w:p w14:paraId="4C9D1454">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3.1 本次招标及由此产生的合同受中华人民共和国有关的法律法规制约和保护。</w:t>
      </w:r>
    </w:p>
    <w:p w14:paraId="2B7DA176">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4．投标费用</w:t>
      </w:r>
    </w:p>
    <w:p w14:paraId="2EF94567">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4.1 投标人应自行承担所有与参加投标有关的费用，无论投标过程中的做法和结果如何，苏州政合信咨询管理服务有限公司在任何情况下均无义务和责任承担这些费用。</w:t>
      </w:r>
    </w:p>
    <w:p w14:paraId="4C62D975">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4.2 本次招标采购代理机构收取代理服务费。</w:t>
      </w:r>
    </w:p>
    <w:p w14:paraId="7878541A">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4.2.1 本项目采购代理服务费由中标人支付。</w:t>
      </w:r>
    </w:p>
    <w:p w14:paraId="54AF6A22">
      <w:pPr>
        <w:pStyle w:val="215"/>
        <w:keepNext w:val="0"/>
        <w:keepLines w:val="0"/>
        <w:pageBreakBefore w:val="0"/>
        <w:shd w:val="clear" w:color="auto"/>
        <w:spacing w:line="520" w:lineRule="exact"/>
        <w:ind w:firstLine="480"/>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shd w:val="clear" w:color="auto" w:fill="FFFFFF"/>
          <w:lang w:val="en-US" w:eastAsia="zh-CN" w:bidi="ar"/>
          <w14:textFill>
            <w14:solidFill>
              <w14:schemeClr w14:val="tx1"/>
            </w14:solidFill>
          </w14:textFill>
        </w:rPr>
        <w:t>4.2.2 代理费用收取方式：公对公转账。</w:t>
      </w:r>
    </w:p>
    <w:p w14:paraId="3AB96464">
      <w:pPr>
        <w:pStyle w:val="215"/>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 xml:space="preserve">4.2.3 </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收代理服务收费标准及金额：预算金额的0.8%，也即8000元，该费用由中标人在签订合同前向采购代理机构一次性付清。中标人如果未按规定缴纳代理服务费，采购代理机构将保留诉讼的权利。</w:t>
      </w:r>
    </w:p>
    <w:p w14:paraId="09FFB942">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5．招标文件的约束力</w:t>
      </w:r>
    </w:p>
    <w:p w14:paraId="13FDC402">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5.1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投标人一旦在</w:t>
      </w:r>
      <w:r>
        <w:rPr>
          <w:rFonts w:hint="eastAsia" w:ascii="宋体" w:hAnsi="宋体" w:eastAsia="宋体" w:cs="宋体"/>
          <w:color w:val="000000" w:themeColor="text1"/>
          <w:spacing w:val="0"/>
          <w:sz w:val="24"/>
          <w:highlight w:val="none"/>
          <w14:textFill>
            <w14:solidFill>
              <w14:schemeClr w14:val="tx1"/>
            </w14:solidFill>
          </w14:textFill>
        </w:rPr>
        <w:t>“苏采云”系统</w:t>
      </w:r>
      <w:r>
        <w:rPr>
          <w:rFonts w:hint="eastAsia" w:ascii="宋体" w:hAnsi="宋体" w:eastAsia="宋体" w:cs="宋体"/>
          <w:color w:val="000000" w:themeColor="text1"/>
          <w:spacing w:val="0"/>
          <w:sz w:val="24"/>
          <w:szCs w:val="24"/>
          <w:highlight w:val="none"/>
          <w14:textFill>
            <w14:solidFill>
              <w14:schemeClr w14:val="tx1"/>
            </w14:solidFill>
          </w14:textFill>
        </w:rPr>
        <w:t>下载本招标文件决定参加投标，即被认为接受了本招标文件的规定和约束，并且视为已经知道或应当知道自身权益是否受到了损害。</w:t>
      </w:r>
    </w:p>
    <w:p w14:paraId="06EB3B1F">
      <w:pPr>
        <w:keepNext w:val="0"/>
        <w:keepLines w:val="0"/>
        <w:pageBreakBefore w:val="0"/>
        <w:widowControl/>
        <w:shd w:val="clear" w:color="auto"/>
        <w:spacing w:line="52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76" w:name="_Toc9408"/>
      <w:bookmarkStart w:id="77" w:name="_Toc13675"/>
      <w:bookmarkStart w:id="78" w:name="_Toc120614215"/>
      <w:bookmarkStart w:id="79" w:name="_Toc54615240"/>
      <w:bookmarkStart w:id="80" w:name="_Toc2910"/>
      <w:bookmarkStart w:id="81" w:name="_Toc513029209"/>
      <w:bookmarkStart w:id="82" w:name="_Toc35266021"/>
      <w:bookmarkStart w:id="83" w:name="_Toc20823281"/>
      <w:bookmarkStart w:id="84" w:name="_Toc38368121"/>
      <w:bookmarkStart w:id="85" w:name="_Toc16938525"/>
      <w:bookmarkStart w:id="86" w:name="_Toc1197"/>
      <w:r>
        <w:rPr>
          <w:rFonts w:hint="eastAsia" w:ascii="宋体" w:hAnsi="宋体" w:eastAsia="宋体" w:cs="宋体"/>
          <w:b/>
          <w:bCs/>
          <w:color w:val="000000" w:themeColor="text1"/>
          <w:spacing w:val="0"/>
          <w:sz w:val="28"/>
          <w:szCs w:val="28"/>
          <w:highlight w:val="none"/>
          <w14:textFill>
            <w14:solidFill>
              <w14:schemeClr w14:val="tx1"/>
            </w14:solidFill>
          </w14:textFill>
        </w:rPr>
        <w:t>二、招标文件</w:t>
      </w:r>
      <w:bookmarkEnd w:id="76"/>
      <w:bookmarkEnd w:id="77"/>
      <w:bookmarkEnd w:id="78"/>
      <w:bookmarkEnd w:id="79"/>
      <w:bookmarkEnd w:id="80"/>
      <w:bookmarkEnd w:id="81"/>
      <w:bookmarkEnd w:id="82"/>
      <w:bookmarkEnd w:id="83"/>
      <w:bookmarkEnd w:id="84"/>
      <w:bookmarkEnd w:id="85"/>
      <w:bookmarkEnd w:id="86"/>
    </w:p>
    <w:p w14:paraId="005CAF1B">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87" w:name="_Toc513029210"/>
      <w:bookmarkStart w:id="88" w:name="_Toc20823282"/>
      <w:bookmarkStart w:id="89" w:name="_Toc16938526"/>
      <w:r>
        <w:rPr>
          <w:rFonts w:hint="eastAsia" w:ascii="宋体" w:hAnsi="宋体" w:eastAsia="宋体" w:cs="宋体"/>
          <w:b w:val="0"/>
          <w:bCs w:val="0"/>
          <w:color w:val="000000" w:themeColor="text1"/>
          <w:spacing w:val="0"/>
          <w:sz w:val="24"/>
          <w:szCs w:val="24"/>
          <w:highlight w:val="none"/>
          <w14:textFill>
            <w14:solidFill>
              <w14:schemeClr w14:val="tx1"/>
            </w14:solidFill>
          </w14:textFill>
        </w:rPr>
        <w:t>6．招标文件构成</w:t>
      </w:r>
      <w:bookmarkEnd w:id="87"/>
      <w:bookmarkEnd w:id="88"/>
      <w:bookmarkEnd w:id="89"/>
    </w:p>
    <w:p w14:paraId="22F213FA">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6.1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招标文件</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由</w:t>
      </w:r>
      <w:r>
        <w:rPr>
          <w:rFonts w:hint="eastAsia" w:ascii="宋体" w:hAnsi="宋体" w:eastAsia="宋体" w:cs="宋体"/>
          <w:color w:val="000000" w:themeColor="text1"/>
          <w:spacing w:val="0"/>
          <w:sz w:val="24"/>
          <w:szCs w:val="24"/>
          <w:highlight w:val="none"/>
          <w14:textFill>
            <w14:solidFill>
              <w14:schemeClr w14:val="tx1"/>
            </w14:solidFill>
          </w14:textFill>
        </w:rPr>
        <w:t>以下部分组成：</w:t>
      </w:r>
    </w:p>
    <w:p w14:paraId="1633FEC7">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（1）投标邀请</w:t>
      </w:r>
    </w:p>
    <w:p w14:paraId="5FFE6047">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（2）投标人须知</w:t>
      </w:r>
    </w:p>
    <w:p w14:paraId="2744DF4F">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（3）合同条款及格式</w:t>
      </w:r>
    </w:p>
    <w:p w14:paraId="69210421">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（4）项目需求</w:t>
      </w:r>
    </w:p>
    <w:p w14:paraId="4A2484A7">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（5）评标方法与评标标准</w:t>
      </w:r>
    </w:p>
    <w:p w14:paraId="535D2D55">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（6）投标文件格式</w:t>
      </w:r>
    </w:p>
    <w:p w14:paraId="139A9603">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请仔细检查招标文件是否齐全，如有缺漏请立即与</w:t>
      </w:r>
      <w:bookmarkStart w:id="90" w:name="EBbdde166065d14b62851231a61e89e609"/>
      <w:r>
        <w:rPr>
          <w:rFonts w:hint="eastAsia" w:ascii="宋体" w:hAnsi="宋体" w:eastAsia="宋体" w:cs="宋体"/>
          <w:color w:val="000000" w:themeColor="text1"/>
          <w:spacing w:val="0"/>
          <w:sz w:val="24"/>
          <w:szCs w:val="24"/>
          <w:highlight w:val="none"/>
          <w14:textFill>
            <w14:solidFill>
              <w14:schemeClr w14:val="tx1"/>
            </w14:solidFill>
          </w14:textFill>
        </w:rPr>
        <w:t>苏州政合信咨询管理服务有限公司</w:t>
      </w:r>
      <w:bookmarkEnd w:id="90"/>
      <w:r>
        <w:rPr>
          <w:rFonts w:hint="eastAsia" w:ascii="宋体" w:hAnsi="宋体" w:eastAsia="宋体" w:cs="宋体"/>
          <w:color w:val="000000" w:themeColor="text1"/>
          <w:spacing w:val="0"/>
          <w:sz w:val="24"/>
          <w:szCs w:val="24"/>
          <w:highlight w:val="none"/>
          <w14:textFill>
            <w14:solidFill>
              <w14:schemeClr w14:val="tx1"/>
            </w14:solidFill>
          </w14:textFill>
        </w:rPr>
        <w:t>联系解决。</w:t>
      </w:r>
    </w:p>
    <w:p w14:paraId="6ED35DF2">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6.2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37039BB8">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91" w:name="_Toc513029212"/>
      <w:bookmarkStart w:id="92" w:name="_Toc462564071"/>
      <w:bookmarkStart w:id="93" w:name="_Toc20823284"/>
      <w:bookmarkStart w:id="94" w:name="_Toc16938528"/>
      <w:r>
        <w:rPr>
          <w:rFonts w:hint="eastAsia" w:ascii="宋体" w:hAnsi="宋体" w:eastAsia="宋体" w:cs="宋体"/>
          <w:b w:val="0"/>
          <w:bCs w:val="0"/>
          <w:color w:val="000000" w:themeColor="text1"/>
          <w:spacing w:val="0"/>
          <w:sz w:val="24"/>
          <w:szCs w:val="24"/>
          <w:highlight w:val="none"/>
          <w14:textFill>
            <w14:solidFill>
              <w14:schemeClr w14:val="tx1"/>
            </w14:solidFill>
          </w14:textFill>
        </w:rPr>
        <w:t>7．招标文件的澄清或修改</w:t>
      </w:r>
      <w:bookmarkEnd w:id="91"/>
      <w:bookmarkEnd w:id="92"/>
      <w:bookmarkEnd w:id="93"/>
      <w:bookmarkEnd w:id="94"/>
    </w:p>
    <w:p w14:paraId="785B865D">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7.1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在投标截止时间前。</w:t>
      </w:r>
      <w:bookmarkStart w:id="95" w:name="EBeec936f32a574d52a4992a8b94773f89"/>
      <w:r>
        <w:rPr>
          <w:rFonts w:hint="eastAsia" w:ascii="宋体" w:hAnsi="宋体" w:eastAsia="宋体" w:cs="宋体"/>
          <w:color w:val="000000" w:themeColor="text1"/>
          <w:spacing w:val="0"/>
          <w:sz w:val="24"/>
          <w:szCs w:val="24"/>
          <w:highlight w:val="none"/>
          <w14:textFill>
            <w14:solidFill>
              <w14:schemeClr w14:val="tx1"/>
            </w14:solidFill>
          </w14:textFill>
        </w:rPr>
        <w:t>苏州政合信咨询管理服务有限公司</w:t>
      </w:r>
      <w:bookmarkEnd w:id="95"/>
      <w:r>
        <w:rPr>
          <w:rFonts w:hint="eastAsia" w:ascii="宋体" w:hAnsi="宋体" w:eastAsia="宋体" w:cs="宋体"/>
          <w:color w:val="000000" w:themeColor="text1"/>
          <w:spacing w:val="0"/>
          <w:sz w:val="24"/>
          <w:szCs w:val="24"/>
          <w:highlight w:val="none"/>
          <w14:textFill>
            <w14:solidFill>
              <w14:schemeClr w14:val="tx1"/>
            </w14:solidFill>
          </w14:textFill>
        </w:rPr>
        <w:t>可以对招标文件进行澄清或修改。</w:t>
      </w:r>
    </w:p>
    <w:p w14:paraId="63C42CF7">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7.2</w:t>
      </w:r>
      <w:bookmarkStart w:id="96" w:name="EB14f04c7329d342c2b5d53bfcbbeaa167"/>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苏州政合信咨询管理服务有限公司</w:t>
      </w:r>
      <w:bookmarkEnd w:id="96"/>
      <w:r>
        <w:rPr>
          <w:rFonts w:hint="eastAsia" w:ascii="宋体" w:hAnsi="宋体" w:eastAsia="宋体" w:cs="宋体"/>
          <w:color w:val="000000" w:themeColor="text1"/>
          <w:spacing w:val="0"/>
          <w:sz w:val="24"/>
          <w:szCs w:val="24"/>
          <w:highlight w:val="none"/>
          <w14:textFill>
            <w14:solidFill>
              <w14:schemeClr w14:val="tx1"/>
            </w14:solidFill>
          </w14:textFill>
        </w:rPr>
        <w:t>有权按照法定的要求推迟投标截止日期和开标日期。</w:t>
      </w:r>
    </w:p>
    <w:p w14:paraId="3FCF6244">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7.3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招标文件的实质性变动或修改将在政府采购公告媒体网通知，投标人可自行下载。补充文件将作为招标文件的组成部分，并对投标人具有约束力。</w:t>
      </w:r>
    </w:p>
    <w:p w14:paraId="1507D36C">
      <w:pPr>
        <w:keepNext w:val="0"/>
        <w:keepLines w:val="0"/>
        <w:pageBreakBefore w:val="0"/>
        <w:widowControl/>
        <w:shd w:val="clear" w:color="auto"/>
        <w:spacing w:line="52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97" w:name="_Toc513029213"/>
      <w:bookmarkStart w:id="98" w:name="_Toc14771"/>
      <w:bookmarkStart w:id="99" w:name="_Toc120614216"/>
      <w:bookmarkStart w:id="100" w:name="_Toc9411"/>
      <w:bookmarkStart w:id="101" w:name="_Toc30626"/>
      <w:bookmarkStart w:id="102" w:name="_Toc20823285"/>
      <w:bookmarkStart w:id="103" w:name="_Toc35266022"/>
      <w:bookmarkStart w:id="104" w:name="_Toc16938529"/>
      <w:bookmarkStart w:id="105" w:name="_Toc38368122"/>
      <w:bookmarkStart w:id="106" w:name="_Toc54615241"/>
      <w:bookmarkStart w:id="107" w:name="_Toc462564072"/>
      <w:bookmarkStart w:id="108" w:name="_Toc23101"/>
      <w:r>
        <w:rPr>
          <w:rFonts w:hint="eastAsia" w:ascii="宋体" w:hAnsi="宋体" w:eastAsia="宋体" w:cs="宋体"/>
          <w:b/>
          <w:bCs/>
          <w:color w:val="000000" w:themeColor="text1"/>
          <w:spacing w:val="0"/>
          <w:sz w:val="28"/>
          <w:szCs w:val="28"/>
          <w:highlight w:val="none"/>
          <w14:textFill>
            <w14:solidFill>
              <w14:schemeClr w14:val="tx1"/>
            </w14:solidFill>
          </w14:textFill>
        </w:rPr>
        <w:t>三、投标文件的编制</w:t>
      </w:r>
      <w:bookmarkEnd w:id="97"/>
      <w:bookmarkEnd w:id="98"/>
      <w:bookmarkEnd w:id="99"/>
      <w:bookmarkEnd w:id="100"/>
      <w:bookmarkEnd w:id="101"/>
      <w:bookmarkEnd w:id="102"/>
      <w:bookmarkEnd w:id="103"/>
      <w:bookmarkEnd w:id="104"/>
      <w:bookmarkEnd w:id="105"/>
      <w:bookmarkEnd w:id="106"/>
      <w:bookmarkEnd w:id="107"/>
      <w:bookmarkEnd w:id="108"/>
    </w:p>
    <w:p w14:paraId="661F5C2B">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09" w:name="_Toc16938530"/>
      <w:bookmarkStart w:id="110" w:name="_Toc513029214"/>
      <w:bookmarkStart w:id="111" w:name="_Toc20823286"/>
      <w:bookmarkStart w:id="112" w:name="_Toc462564073"/>
      <w:r>
        <w:rPr>
          <w:rFonts w:hint="eastAsia" w:ascii="宋体" w:hAnsi="宋体" w:eastAsia="宋体" w:cs="宋体"/>
          <w:b w:val="0"/>
          <w:bCs w:val="0"/>
          <w:color w:val="000000" w:themeColor="text1"/>
          <w:spacing w:val="0"/>
          <w:sz w:val="24"/>
          <w:szCs w:val="24"/>
          <w:highlight w:val="none"/>
          <w14:textFill>
            <w14:solidFill>
              <w14:schemeClr w14:val="tx1"/>
            </w14:solidFill>
          </w14:textFill>
        </w:rPr>
        <w:t>8．投标文件的语言及度量衡单位</w:t>
      </w:r>
      <w:bookmarkEnd w:id="109"/>
      <w:bookmarkEnd w:id="110"/>
      <w:bookmarkEnd w:id="111"/>
      <w:bookmarkEnd w:id="112"/>
    </w:p>
    <w:p w14:paraId="131E517F">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8.1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投标人提交的投标文件以及投标人与</w:t>
      </w:r>
      <w:bookmarkStart w:id="113" w:name="EB93850d2cac274df984aa2f93878c3cfe"/>
      <w:r>
        <w:rPr>
          <w:rFonts w:hint="eastAsia" w:ascii="宋体" w:hAnsi="宋体" w:eastAsia="宋体" w:cs="宋体"/>
          <w:color w:val="000000" w:themeColor="text1"/>
          <w:spacing w:val="0"/>
          <w:sz w:val="24"/>
          <w:szCs w:val="24"/>
          <w:highlight w:val="none"/>
          <w14:textFill>
            <w14:solidFill>
              <w14:schemeClr w14:val="tx1"/>
            </w14:solidFill>
          </w14:textFill>
        </w:rPr>
        <w:t>苏州政合信咨询管理服务有限公司</w:t>
      </w:r>
      <w:bookmarkEnd w:id="113"/>
      <w:r>
        <w:rPr>
          <w:rFonts w:hint="eastAsia" w:ascii="宋体" w:hAnsi="宋体" w:eastAsia="宋体" w:cs="宋体"/>
          <w:color w:val="000000" w:themeColor="text1"/>
          <w:spacing w:val="0"/>
          <w:sz w:val="24"/>
          <w:szCs w:val="24"/>
          <w:highlight w:val="none"/>
          <w14:textFill>
            <w14:solidFill>
              <w14:schemeClr w14:val="tx1"/>
            </w14:solidFill>
          </w14:textFill>
        </w:rPr>
        <w:t>就有关投标的所有来往通知、函件和文件均应使用</w:t>
      </w:r>
      <w:r>
        <w:rPr>
          <w:rFonts w:hint="eastAsia" w:ascii="宋体" w:hAnsi="宋体" w:eastAsia="宋体" w:cs="宋体"/>
          <w:b/>
          <w:bCs/>
          <w:color w:val="000000" w:themeColor="text1"/>
          <w:spacing w:val="0"/>
          <w:sz w:val="24"/>
          <w:szCs w:val="24"/>
          <w:highlight w:val="none"/>
          <w14:textFill>
            <w14:solidFill>
              <w14:schemeClr w14:val="tx1"/>
            </w14:solidFill>
          </w14:textFill>
        </w:rPr>
        <w:t>简体中文</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24AD0212">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8.2</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除技术性能另有规定外，投标文件所使用的度量衡单位，均须采用国家法定计量单位。</w:t>
      </w:r>
    </w:p>
    <w:p w14:paraId="7C29DA28">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14" w:name="_Toc16938531"/>
      <w:bookmarkStart w:id="115" w:name="_Toc513029215"/>
      <w:bookmarkStart w:id="116" w:name="_Toc462564074"/>
      <w:bookmarkStart w:id="117" w:name="_Toc20823287"/>
      <w:r>
        <w:rPr>
          <w:rFonts w:hint="eastAsia" w:ascii="宋体" w:hAnsi="宋体" w:eastAsia="宋体" w:cs="宋体"/>
          <w:b w:val="0"/>
          <w:bCs w:val="0"/>
          <w:color w:val="000000" w:themeColor="text1"/>
          <w:spacing w:val="0"/>
          <w:sz w:val="24"/>
          <w:szCs w:val="24"/>
          <w:highlight w:val="none"/>
          <w14:textFill>
            <w14:solidFill>
              <w14:schemeClr w14:val="tx1"/>
            </w14:solidFill>
          </w14:textFill>
        </w:rPr>
        <w:t>9．投标文件构成</w:t>
      </w:r>
      <w:bookmarkEnd w:id="114"/>
      <w:bookmarkEnd w:id="115"/>
      <w:bookmarkEnd w:id="116"/>
      <w:bookmarkEnd w:id="117"/>
    </w:p>
    <w:p w14:paraId="611DBF66">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9.1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投标人编写的投标文件应包括投标函、开标一览表、资格证明文件、技术人员介绍、第四章项目需求中实质性要求响应对照表、技术及服务方案、技术要求响应及偏离表、商务</w:t>
      </w:r>
      <w:r>
        <w:rPr>
          <w:rStyle w:val="216"/>
          <w:rFonts w:hint="eastAsia" w:ascii="宋体" w:hAnsi="宋体" w:eastAsia="宋体" w:cs="宋体"/>
          <w:color w:val="000000" w:themeColor="text1"/>
          <w:spacing w:val="0"/>
          <w:sz w:val="24"/>
          <w:szCs w:val="24"/>
          <w:highlight w:val="none"/>
          <w14:textFill>
            <w14:solidFill>
              <w14:schemeClr w14:val="tx1"/>
            </w14:solidFill>
          </w14:textFill>
        </w:rPr>
        <w:t>条款</w:t>
      </w:r>
      <w:r>
        <w:rPr>
          <w:rFonts w:hint="eastAsia" w:ascii="宋体" w:hAnsi="宋体" w:eastAsia="宋体" w:cs="宋体"/>
          <w:color w:val="000000" w:themeColor="text1"/>
          <w:spacing w:val="0"/>
          <w:sz w:val="24"/>
          <w:szCs w:val="24"/>
          <w:highlight w:val="none"/>
          <w14:textFill>
            <w14:solidFill>
              <w14:schemeClr w14:val="tx1"/>
            </w14:solidFill>
          </w14:textFill>
        </w:rPr>
        <w:t>响应及偏离表投标人情况介绍等部分。</w:t>
      </w:r>
    </w:p>
    <w:p w14:paraId="01C3810E">
      <w:pPr>
        <w:keepNext w:val="0"/>
        <w:keepLines w:val="0"/>
        <w:pageBreakBefore w:val="0"/>
        <w:shd w:val="clear" w:color="auto"/>
        <w:spacing w:line="520" w:lineRule="exact"/>
        <w:ind w:firstLine="480"/>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9.2</w:t>
      </w:r>
      <w:r>
        <w:rPr>
          <w:rFonts w:hint="eastAsia" w:ascii="宋体" w:hAnsi="宋体" w:eastAsia="宋体" w:cs="宋体"/>
          <w:b/>
          <w:bCs/>
          <w:color w:val="000000" w:themeColor="text1"/>
          <w:spacing w:val="0"/>
          <w:sz w:val="24"/>
          <w:szCs w:val="24"/>
          <w:highlight w:val="none"/>
          <w14:textFill>
            <w14:solidFill>
              <w14:schemeClr w14:val="tx1"/>
            </w14:solidFill>
          </w14:textFill>
        </w:rPr>
        <w:t xml:space="preserve"> 特别提醒：投标人必须在投标文件接收截止时间之前在系统中提交所有与开评标相关的资料。开评标现场不接收任何资料。</w:t>
      </w:r>
    </w:p>
    <w:p w14:paraId="7D3DD838">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18" w:name="_Hlt26668975"/>
      <w:bookmarkEnd w:id="118"/>
      <w:bookmarkStart w:id="119" w:name="_Hlt26670360"/>
      <w:bookmarkEnd w:id="119"/>
      <w:bookmarkStart w:id="120" w:name="_Hlt26954838"/>
      <w:bookmarkEnd w:id="120"/>
      <w:bookmarkStart w:id="121" w:name="_Toc513029219"/>
      <w:bookmarkStart w:id="122" w:name="_Toc14577357"/>
      <w:bookmarkStart w:id="123" w:name="_Toc49090509"/>
      <w:bookmarkStart w:id="124" w:name="_Toc14577354"/>
      <w:bookmarkStart w:id="125" w:name="_Toc513029216"/>
      <w:bookmarkStart w:id="126" w:name="_Toc49090507"/>
      <w:r>
        <w:rPr>
          <w:rFonts w:hint="eastAsia" w:ascii="宋体" w:hAnsi="宋体" w:eastAsia="宋体" w:cs="宋体"/>
          <w:b w:val="0"/>
          <w:bCs w:val="0"/>
          <w:color w:val="000000" w:themeColor="text1"/>
          <w:spacing w:val="0"/>
          <w:sz w:val="24"/>
          <w:szCs w:val="24"/>
          <w:highlight w:val="none"/>
          <w14:textFill>
            <w14:solidFill>
              <w14:schemeClr w14:val="tx1"/>
            </w14:solidFill>
          </w14:textFill>
        </w:rPr>
        <w:t>10．投标函和开标一览表</w:t>
      </w:r>
    </w:p>
    <w:p w14:paraId="741684E0">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10.1</w:t>
      </w:r>
      <w:r>
        <w:rPr>
          <w:rFonts w:hint="eastAsia" w:ascii="宋体" w:hAnsi="宋体" w:eastAsia="宋体" w:cs="宋体"/>
          <w:color w:val="000000" w:themeColor="text1"/>
          <w:spacing w:val="0"/>
          <w:sz w:val="24"/>
          <w:szCs w:val="24"/>
          <w:highlight w:val="none"/>
          <w14:textFill>
            <w14:solidFill>
              <w14:schemeClr w14:val="tx1"/>
            </w14:solidFill>
          </w14:textFill>
        </w:rPr>
        <w:t xml:space="preserve"> 投标人应按照招标文件中提供的格式完整、正确填写投标函、开标一览表。</w:t>
      </w:r>
    </w:p>
    <w:p w14:paraId="275AA505">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10.2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开标一览表中的价格应与投标文件中投标配置与分项报价表（或经费测算表）中的价格一致，若出现价格不一致的情况，评标时一律按开标一览表中价格为准</w:t>
      </w:r>
      <w:r>
        <w:rPr>
          <w:rFonts w:hint="eastAsia" w:ascii="宋体" w:hAnsi="宋体" w:eastAsia="宋体" w:cs="宋体"/>
          <w:b/>
          <w:bCs/>
          <w:color w:val="000000" w:themeColor="text1"/>
          <w:spacing w:val="0"/>
          <w:sz w:val="24"/>
          <w:szCs w:val="24"/>
          <w:highlight w:val="none"/>
          <w14:textFill>
            <w14:solidFill>
              <w14:schemeClr w14:val="tx1"/>
            </w14:solidFill>
          </w14:textFill>
        </w:rPr>
        <w:t>。</w:t>
      </w:r>
    </w:p>
    <w:p w14:paraId="3D7F510F">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11．投标人资格证明文件</w:t>
      </w:r>
      <w:bookmarkEnd w:id="121"/>
      <w:bookmarkEnd w:id="122"/>
      <w:bookmarkEnd w:id="123"/>
    </w:p>
    <w:p w14:paraId="7AA43EDB">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11.1</w:t>
      </w:r>
      <w:bookmarkStart w:id="127" w:name="_Hlt26668999"/>
      <w:bookmarkEnd w:id="127"/>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投标人应按招标文件的要求提交资格证明文件。</w:t>
      </w:r>
      <w:bookmarkEnd w:id="124"/>
      <w:bookmarkEnd w:id="125"/>
      <w:bookmarkEnd w:id="126"/>
    </w:p>
    <w:p w14:paraId="1103F2D6">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28" w:name="_Toc14577355"/>
      <w:bookmarkStart w:id="129" w:name="_Toc49090508"/>
      <w:r>
        <w:rPr>
          <w:rFonts w:hint="eastAsia" w:ascii="宋体" w:hAnsi="宋体" w:eastAsia="宋体" w:cs="宋体"/>
          <w:b w:val="0"/>
          <w:bCs w:val="0"/>
          <w:color w:val="000000" w:themeColor="text1"/>
          <w:spacing w:val="0"/>
          <w:sz w:val="24"/>
          <w:szCs w:val="24"/>
          <w:highlight w:val="none"/>
          <w14:textFill>
            <w14:solidFill>
              <w14:schemeClr w14:val="tx1"/>
            </w14:solidFill>
          </w14:textFill>
        </w:rPr>
        <w:t>12</w:t>
      </w:r>
      <w:bookmarkEnd w:id="128"/>
      <w:bookmarkEnd w:id="129"/>
      <w:r>
        <w:rPr>
          <w:rFonts w:hint="eastAsia" w:ascii="宋体" w:hAnsi="宋体" w:eastAsia="宋体" w:cs="宋体"/>
          <w:b w:val="0"/>
          <w:bCs w:val="0"/>
          <w:color w:val="000000" w:themeColor="text1"/>
          <w:spacing w:val="0"/>
          <w:sz w:val="24"/>
          <w:szCs w:val="24"/>
          <w:highlight w:val="none"/>
          <w14:textFill>
            <w14:solidFill>
              <w14:schemeClr w14:val="tx1"/>
            </w14:solidFill>
          </w14:textFill>
        </w:rPr>
        <w:t>．投标配置与分项报价表（或经费测算表）</w:t>
      </w:r>
    </w:p>
    <w:p w14:paraId="5A4854E3">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12.1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
          <w:color w:val="000000" w:themeColor="text1"/>
          <w:spacing w:val="0"/>
          <w:sz w:val="24"/>
          <w:szCs w:val="24"/>
          <w:highlight w:val="none"/>
          <w14:textFill>
            <w14:solidFill>
              <w14:schemeClr w14:val="tx1"/>
            </w14:solidFill>
          </w14:textFill>
        </w:rPr>
        <w:t>投标人应按照招标文件规定格式填报。每项货物和服务等只允许有一个报价。</w:t>
      </w:r>
    </w:p>
    <w:p w14:paraId="49F15145">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12.2 标的物</w:t>
      </w:r>
    </w:p>
    <w:p w14:paraId="0A5B222D">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12.2.1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采购人需求的有关服务等。</w:t>
      </w:r>
    </w:p>
    <w:p w14:paraId="2D21C745">
      <w:pPr>
        <w:pStyle w:val="210"/>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12.2.2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p>
    <w:p w14:paraId="64ECE0D0">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12.3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投标货币</w:t>
      </w:r>
    </w:p>
    <w:p w14:paraId="15D291D7">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投标文件中的货物</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或</w:t>
      </w:r>
      <w:r>
        <w:rPr>
          <w:rFonts w:hint="eastAsia" w:ascii="宋体" w:hAnsi="宋体" w:eastAsia="宋体" w:cs="宋体"/>
          <w:color w:val="000000" w:themeColor="text1"/>
          <w:spacing w:val="0"/>
          <w:sz w:val="24"/>
          <w:szCs w:val="24"/>
          <w:highlight w:val="none"/>
          <w14:textFill>
            <w14:solidFill>
              <w14:schemeClr w14:val="tx1"/>
            </w14:solidFill>
          </w14:textFill>
        </w:rPr>
        <w:t>服务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r>
        <w:rPr>
          <w:rFonts w:hint="eastAsia" w:ascii="宋体" w:hAnsi="宋体" w:eastAsia="宋体" w:cs="宋体"/>
          <w:color w:val="000000" w:themeColor="text1"/>
          <w:spacing w:val="0"/>
          <w:sz w:val="24"/>
          <w:szCs w:val="24"/>
          <w:highlight w:val="none"/>
          <w14:textFill>
            <w14:solidFill>
              <w14:schemeClr w14:val="tx1"/>
            </w14:solidFill>
          </w14:textFill>
        </w:rPr>
        <w:t>单价和总价无特殊规定的采用人民币报价，以元为</w:t>
      </w:r>
      <w:r>
        <w:rPr>
          <w:rFonts w:hint="eastAsia" w:ascii="宋体" w:hAnsi="宋体" w:eastAsia="宋体" w:cs="宋体"/>
          <w:bCs/>
          <w:color w:val="000000" w:themeColor="text1"/>
          <w:spacing w:val="0"/>
          <w:sz w:val="24"/>
          <w:szCs w:val="24"/>
          <w:highlight w:val="none"/>
          <w14:textFill>
            <w14:solidFill>
              <w14:schemeClr w14:val="tx1"/>
            </w14:solidFill>
          </w14:textFill>
        </w:rPr>
        <w:t>单位标注。招标文件中另有规定的按规定执行。</w:t>
      </w:r>
    </w:p>
    <w:p w14:paraId="20E1D668">
      <w:pPr>
        <w:pStyle w:val="217"/>
        <w:keepNext w:val="0"/>
        <w:keepLines w:val="0"/>
        <w:pageBreakBefore w:val="0"/>
        <w:shd w:val="clear" w:color="auto"/>
        <w:spacing w:line="520" w:lineRule="exact"/>
        <w:ind w:firstLine="508"/>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12.4 项目总价应包括但不限于人员费用（工资、福利、培训、社会保险等）、服务所用设备工具购置及维修费用、服务所用材料消耗费用、管理费用、利润、税金、政策性文件规定及合同包含的所有风险、责任等各项应有费用。</w:t>
      </w:r>
    </w:p>
    <w:p w14:paraId="1F2BAFED">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bookmarkStart w:id="130" w:name="EB8486dd9157984dc9aa62437fb6aa6f0f"/>
      <w:bookmarkEnd w:id="130"/>
      <w:r>
        <w:rPr>
          <w:rFonts w:hint="eastAsia" w:ascii="宋体" w:hAnsi="宋体" w:eastAsia="宋体" w:cs="宋体"/>
          <w:bCs/>
          <w:color w:val="000000" w:themeColor="text1"/>
          <w:spacing w:val="0"/>
          <w:sz w:val="24"/>
          <w:szCs w:val="24"/>
          <w:highlight w:val="none"/>
          <w14:textFill>
            <w14:solidFill>
              <w14:schemeClr w14:val="tx1"/>
            </w14:solidFill>
          </w14:textFill>
        </w:rPr>
        <w:t>12.5 本报价必须充分考虑所有可能影响到报价的价格因素，一旦投标结束最终成交，如发生漏、缺、少项，都将被认为是中标人的报价让利行为。</w:t>
      </w:r>
      <w:bookmarkStart w:id="131" w:name="_Hlt26670482"/>
      <w:bookmarkEnd w:id="131"/>
      <w:bookmarkStart w:id="132" w:name="_Hlt26954731"/>
      <w:bookmarkEnd w:id="132"/>
      <w:bookmarkStart w:id="133" w:name="_Hlt26954848"/>
      <w:bookmarkEnd w:id="133"/>
      <w:bookmarkStart w:id="134" w:name="_Hlt26670486"/>
      <w:bookmarkEnd w:id="134"/>
      <w:bookmarkStart w:id="135" w:name="_Hlt26954846"/>
      <w:bookmarkEnd w:id="135"/>
    </w:p>
    <w:p w14:paraId="26543491">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36" w:name="_Toc49090510"/>
      <w:bookmarkStart w:id="137" w:name="_Toc14577359"/>
      <w:r>
        <w:rPr>
          <w:rFonts w:hint="eastAsia" w:ascii="宋体" w:hAnsi="宋体" w:eastAsia="宋体" w:cs="宋体"/>
          <w:b w:val="0"/>
          <w:bCs w:val="0"/>
          <w:color w:val="000000" w:themeColor="text1"/>
          <w:spacing w:val="0"/>
          <w:sz w:val="24"/>
          <w:szCs w:val="24"/>
          <w:highlight w:val="none"/>
          <w14:textFill>
            <w14:solidFill>
              <w14:schemeClr w14:val="tx1"/>
            </w14:solidFill>
          </w14:textFill>
        </w:rPr>
        <w:t>13．技术及服务方案</w:t>
      </w:r>
    </w:p>
    <w:p w14:paraId="421AC345">
      <w:pPr>
        <w:pStyle w:val="218"/>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13.1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根据自己对需求的理解撰写需求分析和服务方案。</w:t>
      </w:r>
    </w:p>
    <w:p w14:paraId="4B3BC14B">
      <w:pPr>
        <w:pStyle w:val="218"/>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13.2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根据自己对项目需求的分析，提出人员配备方案，并详细介绍拟参加本项目服务的人员的资历和持有相关证书情况，特别要详细介绍该项目负责人的学历、资质和所从事过类似案例管理情况。</w:t>
      </w:r>
    </w:p>
    <w:p w14:paraId="37AF987B">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14．技术要求响应及偏离表、商务条款响应及偏离表</w:t>
      </w:r>
    </w:p>
    <w:p w14:paraId="69892C19">
      <w:pPr>
        <w:pStyle w:val="219"/>
        <w:keepNext w:val="0"/>
        <w:keepLines w:val="0"/>
        <w:pageBreakBefore w:val="0"/>
        <w:widowControl/>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14.1 投标人需对招标文件中的技术要求与商务条款逐项作出响应或偏离，并说明原因。</w:t>
      </w:r>
    </w:p>
    <w:p w14:paraId="4BAEF188">
      <w:pPr>
        <w:pStyle w:val="219"/>
        <w:keepNext w:val="0"/>
        <w:keepLines w:val="0"/>
        <w:pageBreakBefore w:val="0"/>
        <w:widowControl/>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14.2 投标人可在电子投标文件中提供认为需要的其他技术文件或说明。</w:t>
      </w:r>
    </w:p>
    <w:p w14:paraId="622B7F83">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15．投标人情况介绍</w:t>
      </w:r>
    </w:p>
    <w:p w14:paraId="4AD48C24">
      <w:pPr>
        <w:pStyle w:val="219"/>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15.1 投标人的总体情况应在电子投标文件中作出说明。</w:t>
      </w:r>
      <w:bookmarkEnd w:id="136"/>
      <w:bookmarkEnd w:id="137"/>
      <w:bookmarkStart w:id="138" w:name="EBf6e5e332cb7245ab8f3a9801503c122b"/>
      <w:bookmarkEnd w:id="138"/>
    </w:p>
    <w:p w14:paraId="5D8E4AE3">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39" w:name="_Hlt26954734"/>
      <w:bookmarkEnd w:id="139"/>
      <w:bookmarkStart w:id="140" w:name="_Hlt26670489"/>
      <w:bookmarkEnd w:id="140"/>
      <w:bookmarkStart w:id="141" w:name="_Hlt26954850"/>
      <w:bookmarkEnd w:id="141"/>
      <w:bookmarkStart w:id="142" w:name="_Toc14577360"/>
      <w:bookmarkStart w:id="143" w:name="_Toc49090511"/>
      <w:r>
        <w:rPr>
          <w:rFonts w:hint="eastAsia" w:ascii="宋体" w:hAnsi="宋体" w:eastAsia="宋体" w:cs="宋体"/>
          <w:b w:val="0"/>
          <w:bCs w:val="0"/>
          <w:color w:val="000000" w:themeColor="text1"/>
          <w:spacing w:val="0"/>
          <w:sz w:val="24"/>
          <w:szCs w:val="24"/>
          <w:highlight w:val="none"/>
          <w14:textFill>
            <w14:solidFill>
              <w14:schemeClr w14:val="tx1"/>
            </w14:solidFill>
          </w14:textFill>
        </w:rPr>
        <w:t>16．投标保证金</w:t>
      </w:r>
    </w:p>
    <w:p w14:paraId="2F9113BD">
      <w:pPr>
        <w:pStyle w:val="218"/>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6</w:t>
      </w:r>
      <w:r>
        <w:rPr>
          <w:rFonts w:hint="eastAsia" w:ascii="宋体" w:hAnsi="宋体" w:eastAsia="宋体" w:cs="宋体"/>
          <w:color w:val="000000" w:themeColor="text1"/>
          <w:spacing w:val="0"/>
          <w:sz w:val="24"/>
          <w:szCs w:val="24"/>
          <w:highlight w:val="none"/>
          <w14:textFill>
            <w14:solidFill>
              <w14:schemeClr w14:val="tx1"/>
            </w14:solidFill>
          </w14:textFill>
        </w:rPr>
        <w:t>.1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本次招标不收取投标保证金。</w:t>
      </w:r>
    </w:p>
    <w:p w14:paraId="02E04CA7">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17．投标有效期</w:t>
      </w:r>
      <w:bookmarkEnd w:id="142"/>
      <w:bookmarkEnd w:id="143"/>
    </w:p>
    <w:p w14:paraId="58E1FA8B">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17.1</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 投标有效期为</w:t>
      </w:r>
      <w:bookmarkStart w:id="144" w:name="EB42bffacbc3774d8f9be92be41fabfc13"/>
      <w:r>
        <w:rPr>
          <w:rFonts w:hint="eastAsia" w:ascii="宋体" w:hAnsi="宋体" w:eastAsia="宋体" w:cs="宋体"/>
          <w:bCs/>
          <w:color w:val="000000" w:themeColor="text1"/>
          <w:spacing w:val="0"/>
          <w:sz w:val="24"/>
          <w:szCs w:val="24"/>
          <w:highlight w:val="none"/>
          <w14:textFill>
            <w14:solidFill>
              <w14:schemeClr w14:val="tx1"/>
            </w14:solidFill>
          </w14:textFill>
        </w:rPr>
        <w:t>苏州政合信咨询管理服务有限公司</w:t>
      </w:r>
      <w:bookmarkEnd w:id="144"/>
      <w:r>
        <w:rPr>
          <w:rFonts w:hint="eastAsia" w:ascii="宋体" w:hAnsi="宋体" w:eastAsia="宋体" w:cs="宋体"/>
          <w:bCs/>
          <w:color w:val="000000" w:themeColor="text1"/>
          <w:spacing w:val="0"/>
          <w:sz w:val="24"/>
          <w:szCs w:val="24"/>
          <w:highlight w:val="none"/>
          <w14:textFill>
            <w14:solidFill>
              <w14:schemeClr w14:val="tx1"/>
            </w14:solidFill>
          </w14:textFill>
        </w:rPr>
        <w:t>规定的开标之日后</w:t>
      </w:r>
      <w:r>
        <w:rPr>
          <w:rFonts w:hint="eastAsia" w:ascii="宋体" w:hAnsi="宋体" w:eastAsia="宋体" w:cs="宋体"/>
          <w:b/>
          <w:bCs/>
          <w:color w:val="000000" w:themeColor="text1"/>
          <w:spacing w:val="0"/>
          <w:sz w:val="24"/>
          <w:szCs w:val="24"/>
          <w:highlight w:val="none"/>
          <w14:textFill>
            <w14:solidFill>
              <w14:schemeClr w14:val="tx1"/>
            </w14:solidFill>
          </w14:textFill>
        </w:rPr>
        <w:t>九十（90）天</w:t>
      </w:r>
      <w:r>
        <w:rPr>
          <w:rFonts w:hint="eastAsia" w:ascii="宋体" w:hAnsi="宋体" w:eastAsia="宋体" w:cs="宋体"/>
          <w:bCs/>
          <w:color w:val="000000" w:themeColor="text1"/>
          <w:spacing w:val="0"/>
          <w:sz w:val="24"/>
          <w:szCs w:val="24"/>
          <w:highlight w:val="none"/>
          <w14:textFill>
            <w14:solidFill>
              <w14:schemeClr w14:val="tx1"/>
            </w14:solidFill>
          </w14:textFill>
        </w:rPr>
        <w:t>。投标有效期比规定短的将被视为非响应性投标而予以拒绝。</w:t>
      </w:r>
    </w:p>
    <w:p w14:paraId="26B20186">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17.2</w:t>
      </w:r>
      <w:r>
        <w:rPr>
          <w:rFonts w:hint="eastAsia" w:ascii="宋体" w:hAnsi="宋体" w:eastAsia="宋体" w:cs="宋体"/>
          <w:bCs/>
          <w:color w:val="000000" w:themeColor="text1"/>
          <w:spacing w:val="0"/>
          <w:sz w:val="24"/>
          <w:szCs w:val="24"/>
          <w:highlight w:val="none"/>
          <w14:textFill>
            <w14:solidFill>
              <w14:schemeClr w14:val="tx1"/>
            </w14:solidFill>
          </w14:textFill>
        </w:rPr>
        <w:t xml:space="preserve"> 在特殊情况下，</w:t>
      </w:r>
      <w:bookmarkStart w:id="145" w:name="EB1a73f2f6d8ff43b6a705c8d1929594b0"/>
      <w:r>
        <w:rPr>
          <w:rFonts w:hint="eastAsia" w:ascii="宋体" w:hAnsi="宋体" w:eastAsia="宋体" w:cs="宋体"/>
          <w:bCs/>
          <w:color w:val="000000" w:themeColor="text1"/>
          <w:spacing w:val="0"/>
          <w:sz w:val="24"/>
          <w:szCs w:val="24"/>
          <w:highlight w:val="none"/>
          <w14:textFill>
            <w14:solidFill>
              <w14:schemeClr w14:val="tx1"/>
            </w14:solidFill>
          </w14:textFill>
        </w:rPr>
        <w:t>苏州政合信咨询管理服务有限公司</w:t>
      </w:r>
      <w:bookmarkEnd w:id="145"/>
      <w:r>
        <w:rPr>
          <w:rFonts w:hint="eastAsia" w:ascii="宋体" w:hAnsi="宋体" w:eastAsia="宋体" w:cs="宋体"/>
          <w:bCs/>
          <w:color w:val="000000" w:themeColor="text1"/>
          <w:spacing w:val="0"/>
          <w:sz w:val="24"/>
          <w:szCs w:val="24"/>
          <w:highlight w:val="none"/>
          <w14:textFill>
            <w14:solidFill>
              <w14:schemeClr w14:val="tx1"/>
            </w14:solidFill>
          </w14:textFill>
        </w:rPr>
        <w:t>于原投标有效期满之前，可向投标人提出延长投标有效期的要求。这种要求与答复均应采用书面形式。投标人可以拒绝</w:t>
      </w:r>
      <w:bookmarkStart w:id="146" w:name="EBcd0282bdfe9441e3bba982eac64d1aaa"/>
      <w:r>
        <w:rPr>
          <w:rFonts w:hint="eastAsia" w:ascii="宋体" w:hAnsi="宋体" w:eastAsia="宋体" w:cs="宋体"/>
          <w:bCs/>
          <w:color w:val="000000" w:themeColor="text1"/>
          <w:spacing w:val="0"/>
          <w:sz w:val="24"/>
          <w:szCs w:val="24"/>
          <w:highlight w:val="none"/>
          <w14:textFill>
            <w14:solidFill>
              <w14:schemeClr w14:val="tx1"/>
            </w14:solidFill>
          </w14:textFill>
        </w:rPr>
        <w:t>苏州政合信咨询管理服务有限公司</w:t>
      </w:r>
      <w:bookmarkEnd w:id="146"/>
      <w:r>
        <w:rPr>
          <w:rFonts w:hint="eastAsia" w:ascii="宋体" w:hAnsi="宋体" w:eastAsia="宋体" w:cs="宋体"/>
          <w:bCs/>
          <w:color w:val="000000" w:themeColor="text1"/>
          <w:spacing w:val="0"/>
          <w:sz w:val="24"/>
          <w:szCs w:val="24"/>
          <w:highlight w:val="none"/>
          <w14:textFill>
            <w14:solidFill>
              <w14:schemeClr w14:val="tx1"/>
            </w14:solidFill>
          </w14:textFill>
        </w:rPr>
        <w:t>的这一要求而放弃投标</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bCs/>
          <w:color w:val="000000" w:themeColor="text1"/>
          <w:spacing w:val="0"/>
          <w:sz w:val="24"/>
          <w:szCs w:val="24"/>
          <w:highlight w:val="none"/>
          <w14:textFill>
            <w14:solidFill>
              <w14:schemeClr w14:val="tx1"/>
            </w14:solidFill>
          </w14:textFill>
        </w:rPr>
        <w:t>同意延长投标有效期的投标人既不能要求也不允许修改其投标文件。</w:t>
      </w:r>
    </w:p>
    <w:p w14:paraId="11D731EB">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18．投标文件的签署</w:t>
      </w:r>
    </w:p>
    <w:p w14:paraId="2893D3A2">
      <w:pPr>
        <w:pStyle w:val="220"/>
        <w:keepNext w:val="0"/>
        <w:keepLines w:val="0"/>
        <w:pageBreakBefore w:val="0"/>
        <w:shd w:val="clear" w:color="auto"/>
        <w:spacing w:line="520" w:lineRule="exact"/>
        <w:ind w:firstLine="508"/>
        <w:rPr>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18.1 本招标文件所表述（指定）的公章是指法定名称章，不包括合同专用章、业务专用章等印章。</w:t>
      </w:r>
      <w:bookmarkStart w:id="147" w:name="_Hlt26954852"/>
      <w:bookmarkEnd w:id="147"/>
      <w:bookmarkStart w:id="148" w:name="EBfdb2e00cf1ee477a9cdb47d13b603829"/>
      <w:bookmarkEnd w:id="148"/>
      <w:bookmarkStart w:id="149" w:name="_Hlt26954739"/>
      <w:bookmarkEnd w:id="149"/>
    </w:p>
    <w:p w14:paraId="75602044">
      <w:pPr>
        <w:keepNext w:val="0"/>
        <w:keepLines w:val="0"/>
        <w:pageBreakBefore w:val="0"/>
        <w:widowControl/>
        <w:shd w:val="clear" w:color="auto"/>
        <w:spacing w:line="52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150" w:name="_Toc25009"/>
      <w:bookmarkStart w:id="151" w:name="_Toc32209"/>
      <w:bookmarkStart w:id="152" w:name="_Toc35266023"/>
      <w:bookmarkStart w:id="153" w:name="_Toc6388848"/>
      <w:bookmarkStart w:id="154" w:name="_Toc54615242"/>
      <w:bookmarkStart w:id="155" w:name="_Toc28778"/>
      <w:bookmarkStart w:id="156" w:name="_Toc6389296"/>
      <w:bookmarkStart w:id="157" w:name="_Toc7098"/>
      <w:bookmarkStart w:id="158" w:name="_Toc38368123"/>
      <w:bookmarkStart w:id="159" w:name="_Toc20823296"/>
      <w:bookmarkStart w:id="160" w:name="_Toc16938540"/>
      <w:bookmarkStart w:id="161" w:name="_Toc513029224"/>
      <w:bookmarkStart w:id="162" w:name="_Toc120614217"/>
      <w:r>
        <w:rPr>
          <w:rFonts w:hint="eastAsia" w:ascii="宋体" w:hAnsi="宋体" w:eastAsia="宋体" w:cs="宋体"/>
          <w:b/>
          <w:bCs/>
          <w:color w:val="000000" w:themeColor="text1"/>
          <w:spacing w:val="0"/>
          <w:sz w:val="28"/>
          <w:szCs w:val="28"/>
          <w:highlight w:val="none"/>
          <w14:textFill>
            <w14:solidFill>
              <w14:schemeClr w14:val="tx1"/>
            </w14:solidFill>
          </w14:textFill>
        </w:rPr>
        <w:t>四、投标文件的制作、上传、递交</w:t>
      </w:r>
      <w:bookmarkEnd w:id="150"/>
      <w:bookmarkEnd w:id="151"/>
      <w:bookmarkEnd w:id="152"/>
      <w:bookmarkEnd w:id="153"/>
      <w:bookmarkEnd w:id="154"/>
      <w:bookmarkEnd w:id="155"/>
      <w:bookmarkEnd w:id="156"/>
      <w:bookmarkEnd w:id="157"/>
      <w:bookmarkEnd w:id="158"/>
    </w:p>
    <w:p w14:paraId="492BDE12">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19．投标文件的递交</w:t>
      </w:r>
    </w:p>
    <w:p w14:paraId="577CB5B1">
      <w:pPr>
        <w:pStyle w:val="221"/>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19.1 电子投标文件的递交</w:t>
      </w:r>
    </w:p>
    <w:p w14:paraId="7B92D4E2">
      <w:pPr>
        <w:pStyle w:val="221"/>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投标人应当按照《操作手册》规定，在投标截止时间前制作并上传电子投标文件。</w:t>
      </w:r>
      <w:bookmarkStart w:id="163" w:name="EB5e78b12e89984a20ab881c475623475b"/>
      <w:bookmarkEnd w:id="163"/>
    </w:p>
    <w:p w14:paraId="4F4AF319">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64" w:name="_Toc6389298"/>
      <w:bookmarkStart w:id="165" w:name="_Toc6388850"/>
      <w:r>
        <w:rPr>
          <w:rFonts w:hint="eastAsia" w:ascii="宋体" w:hAnsi="宋体" w:eastAsia="宋体" w:cs="宋体"/>
          <w:b w:val="0"/>
          <w:bCs w:val="0"/>
          <w:color w:val="000000" w:themeColor="text1"/>
          <w:spacing w:val="0"/>
          <w:sz w:val="24"/>
          <w:szCs w:val="24"/>
          <w:highlight w:val="none"/>
          <w14:textFill>
            <w14:solidFill>
              <w14:schemeClr w14:val="tx1"/>
            </w14:solidFill>
          </w14:textFill>
        </w:rPr>
        <w:t>20．投标截止</w:t>
      </w:r>
      <w:bookmarkEnd w:id="164"/>
      <w:bookmarkEnd w:id="165"/>
      <w:r>
        <w:rPr>
          <w:rFonts w:hint="eastAsia" w:ascii="宋体" w:hAnsi="宋体" w:eastAsia="宋体" w:cs="宋体"/>
          <w:b w:val="0"/>
          <w:bCs w:val="0"/>
          <w:color w:val="000000" w:themeColor="text1"/>
          <w:spacing w:val="0"/>
          <w:sz w:val="24"/>
          <w:szCs w:val="24"/>
          <w:highlight w:val="none"/>
          <w14:textFill>
            <w14:solidFill>
              <w14:schemeClr w14:val="tx1"/>
            </w14:solidFill>
          </w14:textFill>
        </w:rPr>
        <w:t>时间</w:t>
      </w:r>
    </w:p>
    <w:p w14:paraId="5F267551">
      <w:pPr>
        <w:pStyle w:val="222"/>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20.1 投标人上传电子投标文件的时间不得迟于招标公告中规定的投标截止时间。</w:t>
      </w:r>
    </w:p>
    <w:p w14:paraId="697C9FDB">
      <w:pPr>
        <w:pStyle w:val="222"/>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投标人应充分考虑到网络环境、网络带宽等风险因素，如因投标人自身原因造成的电子投标文件上传不成功由投标人自行承担全部责任。</w:t>
      </w:r>
      <w:bookmarkStart w:id="166" w:name="EB4c6421107b4c4e38bf2769d0237905a7"/>
      <w:bookmarkEnd w:id="166"/>
    </w:p>
    <w:p w14:paraId="2D57F77C">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67" w:name="_Toc6389299"/>
      <w:bookmarkStart w:id="168" w:name="_Toc6388851"/>
      <w:r>
        <w:rPr>
          <w:rFonts w:hint="eastAsia" w:ascii="宋体" w:hAnsi="宋体" w:eastAsia="宋体" w:cs="宋体"/>
          <w:b w:val="0"/>
          <w:bCs w:val="0"/>
          <w:color w:val="000000" w:themeColor="text1"/>
          <w:spacing w:val="0"/>
          <w:sz w:val="24"/>
          <w:szCs w:val="24"/>
          <w:highlight w:val="none"/>
          <w14:textFill>
            <w14:solidFill>
              <w14:schemeClr w14:val="tx1"/>
            </w14:solidFill>
          </w14:textFill>
        </w:rPr>
        <w:t>21</w:t>
      </w:r>
      <w:bookmarkEnd w:id="167"/>
      <w:bookmarkEnd w:id="168"/>
      <w:r>
        <w:rPr>
          <w:rFonts w:hint="eastAsia" w:ascii="宋体" w:hAnsi="宋体" w:eastAsia="宋体" w:cs="宋体"/>
          <w:b w:val="0"/>
          <w:bCs w:val="0"/>
          <w:color w:val="000000" w:themeColor="text1"/>
          <w:spacing w:val="0"/>
          <w:sz w:val="24"/>
          <w:szCs w:val="24"/>
          <w:highlight w:val="none"/>
          <w14:textFill>
            <w14:solidFill>
              <w14:schemeClr w14:val="tx1"/>
            </w14:solidFill>
          </w14:textFill>
        </w:rPr>
        <w:t>．投标文件的拒收</w:t>
      </w:r>
    </w:p>
    <w:p w14:paraId="62F6C908">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21.1</w:t>
      </w:r>
      <w:bookmarkStart w:id="169" w:name="EBfffe463a2deb4e7cad93cb8e37ffda5e"/>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苏州政合信咨询管理服务有限公司</w:t>
      </w:r>
      <w:bookmarkEnd w:id="169"/>
      <w:r>
        <w:rPr>
          <w:rFonts w:hint="eastAsia" w:ascii="宋体" w:hAnsi="宋体" w:eastAsia="宋体" w:cs="宋体"/>
          <w:color w:val="000000" w:themeColor="text1"/>
          <w:spacing w:val="0"/>
          <w:sz w:val="24"/>
          <w:szCs w:val="24"/>
          <w:highlight w:val="none"/>
          <w14:textFill>
            <w14:solidFill>
              <w14:schemeClr w14:val="tx1"/>
            </w14:solidFill>
          </w14:textFill>
        </w:rPr>
        <w:t>拒绝接收在其规定的投标截止时间后递交的任何投标文件。</w:t>
      </w:r>
    </w:p>
    <w:p w14:paraId="070669F2">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70" w:name="_Toc6389300"/>
      <w:bookmarkStart w:id="171" w:name="_Toc6388852"/>
      <w:r>
        <w:rPr>
          <w:rFonts w:hint="eastAsia" w:ascii="宋体" w:hAnsi="宋体" w:eastAsia="宋体" w:cs="宋体"/>
          <w:b w:val="0"/>
          <w:bCs w:val="0"/>
          <w:color w:val="000000" w:themeColor="text1"/>
          <w:spacing w:val="0"/>
          <w:sz w:val="24"/>
          <w:szCs w:val="24"/>
          <w:highlight w:val="none"/>
          <w14:textFill>
            <w14:solidFill>
              <w14:schemeClr w14:val="tx1"/>
            </w14:solidFill>
          </w14:textFill>
        </w:rPr>
        <w:t>22．投标文件的修改和撤回</w:t>
      </w:r>
      <w:bookmarkEnd w:id="170"/>
      <w:bookmarkEnd w:id="171"/>
    </w:p>
    <w:p w14:paraId="50AAD3BE">
      <w:pPr>
        <w:pStyle w:val="223"/>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22.1 投标人在递交投标文件后，可以修改或撤回其投标文件，但这种修改和撤回，必须在规定的投标截止时间前，具体操作方法见《操作手册》。</w:t>
      </w:r>
    </w:p>
    <w:p w14:paraId="36265B32">
      <w:pPr>
        <w:pStyle w:val="223"/>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22.2 投标人撤回电子投标文件，则认为其不再参与本项目投标活动。</w:t>
      </w:r>
    </w:p>
    <w:p w14:paraId="2491D9AB">
      <w:pPr>
        <w:pStyle w:val="223"/>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22.3 在投标截止时间之后，投标人不得对其电子投标文件作任何修改。</w:t>
      </w:r>
    </w:p>
    <w:p w14:paraId="7EA27443">
      <w:pPr>
        <w:pStyle w:val="223"/>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22.4 在投标截止时间至招标文件中规定的投标有效期满之间的这段时间内，投标人不得撤销其投标。</w:t>
      </w:r>
    </w:p>
    <w:p w14:paraId="440B3971">
      <w:pPr>
        <w:pStyle w:val="223"/>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22.5 不论投标人中标与否，投标文件均不退回。</w:t>
      </w:r>
      <w:bookmarkEnd w:id="159"/>
      <w:bookmarkEnd w:id="160"/>
      <w:bookmarkEnd w:id="161"/>
      <w:bookmarkEnd w:id="162"/>
      <w:bookmarkStart w:id="172" w:name="EB7c302f080cf342679641097daf23b42b"/>
      <w:bookmarkEnd w:id="172"/>
    </w:p>
    <w:p w14:paraId="0AF26A8D">
      <w:pPr>
        <w:keepNext w:val="0"/>
        <w:keepLines w:val="0"/>
        <w:pageBreakBefore w:val="0"/>
        <w:widowControl/>
        <w:shd w:val="clear" w:color="auto"/>
        <w:spacing w:line="52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173" w:name="_Toc513029229"/>
      <w:bookmarkStart w:id="174" w:name="_Toc7565"/>
      <w:bookmarkStart w:id="175" w:name="_Toc54615243"/>
      <w:bookmarkStart w:id="176" w:name="_Toc120614218"/>
      <w:bookmarkStart w:id="177" w:name="_Toc16938545"/>
      <w:bookmarkStart w:id="178" w:name="_Toc35266024"/>
      <w:bookmarkStart w:id="179" w:name="_Toc29753"/>
      <w:bookmarkStart w:id="180" w:name="_Toc38368124"/>
      <w:bookmarkStart w:id="181" w:name="_Toc13265"/>
      <w:bookmarkStart w:id="182" w:name="_Toc20823301"/>
      <w:bookmarkStart w:id="183" w:name="_Toc15158"/>
      <w:r>
        <w:rPr>
          <w:rFonts w:hint="eastAsia" w:ascii="宋体" w:hAnsi="宋体" w:eastAsia="宋体" w:cs="宋体"/>
          <w:b/>
          <w:bCs/>
          <w:color w:val="000000" w:themeColor="text1"/>
          <w:spacing w:val="0"/>
          <w:sz w:val="28"/>
          <w:szCs w:val="28"/>
          <w:highlight w:val="none"/>
          <w14:textFill>
            <w14:solidFill>
              <w14:schemeClr w14:val="tx1"/>
            </w14:solidFill>
          </w14:textFill>
        </w:rPr>
        <w:t>五、开标与评标</w:t>
      </w:r>
      <w:bookmarkEnd w:id="173"/>
      <w:bookmarkEnd w:id="174"/>
      <w:bookmarkEnd w:id="175"/>
      <w:bookmarkEnd w:id="176"/>
      <w:bookmarkEnd w:id="177"/>
      <w:bookmarkEnd w:id="178"/>
      <w:bookmarkEnd w:id="179"/>
      <w:bookmarkEnd w:id="180"/>
      <w:bookmarkEnd w:id="181"/>
      <w:bookmarkEnd w:id="182"/>
      <w:bookmarkEnd w:id="183"/>
    </w:p>
    <w:p w14:paraId="3F56FCD4">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84" w:name="_Toc16938546"/>
      <w:bookmarkStart w:id="185" w:name="_Toc513029230"/>
      <w:bookmarkStart w:id="186" w:name="_Toc20823302"/>
      <w:r>
        <w:rPr>
          <w:rFonts w:hint="eastAsia" w:ascii="宋体" w:hAnsi="宋体" w:eastAsia="宋体" w:cs="宋体"/>
          <w:b w:val="0"/>
          <w:bCs w:val="0"/>
          <w:color w:val="000000" w:themeColor="text1"/>
          <w:spacing w:val="0"/>
          <w:sz w:val="24"/>
          <w:szCs w:val="24"/>
          <w:highlight w:val="none"/>
          <w14:textFill>
            <w14:solidFill>
              <w14:schemeClr w14:val="tx1"/>
            </w14:solidFill>
          </w14:textFill>
        </w:rPr>
        <w:t>23．开标</w:t>
      </w:r>
      <w:bookmarkEnd w:id="184"/>
      <w:bookmarkEnd w:id="185"/>
      <w:bookmarkEnd w:id="186"/>
    </w:p>
    <w:p w14:paraId="70087513">
      <w:pPr>
        <w:pStyle w:val="224"/>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23.1 开标由苏州政合信咨询管理服务有限公司在线主持，邀请投标人在线参加。投标人应当按照《苏采云系统供应商操作手册》规定，参加开标活动和在“苏采云”系统规定的时间内对投标文件进行解密。评标委员会成员不得参加开标活动。</w:t>
      </w:r>
    </w:p>
    <w:p w14:paraId="6A7D35F9">
      <w:pPr>
        <w:pStyle w:val="224"/>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 xml:space="preserve">23.2 </w:t>
      </w:r>
      <w:bookmarkStart w:id="187" w:name="_Toc16938547"/>
      <w:bookmarkStart w:id="188" w:name="_Toc513029231"/>
      <w:bookmarkStart w:id="189" w:name="_Toc20823303"/>
      <w:r>
        <w:rPr>
          <w:rStyle w:val="208"/>
          <w:rFonts w:hint="eastAsia" w:ascii="宋体" w:hAnsi="宋体" w:eastAsia="宋体" w:cs="宋体"/>
          <w:b w:val="0"/>
          <w:color w:val="000000" w:themeColor="text1"/>
          <w:spacing w:val="0"/>
          <w:sz w:val="24"/>
          <w:highlight w:val="none"/>
          <w14:textFill>
            <w14:solidFill>
              <w14:schemeClr w14:val="tx1"/>
            </w14:solidFill>
          </w14:textFill>
        </w:rPr>
        <w:t>开标时，由</w:t>
      </w:r>
      <w:r>
        <w:rPr>
          <w:rStyle w:val="216"/>
          <w:rFonts w:hint="eastAsia" w:ascii="宋体" w:hAnsi="宋体" w:eastAsia="宋体" w:cs="宋体"/>
          <w:color w:val="000000" w:themeColor="text1"/>
          <w:spacing w:val="0"/>
          <w:sz w:val="24"/>
          <w:szCs w:val="24"/>
          <w:highlight w:val="none"/>
          <w14:textFill>
            <w14:solidFill>
              <w14:schemeClr w14:val="tx1"/>
            </w14:solidFill>
          </w14:textFill>
        </w:rPr>
        <w:t>苏州政合信咨询管理服务有限公司</w:t>
      </w:r>
      <w:r>
        <w:rPr>
          <w:rStyle w:val="208"/>
          <w:rFonts w:hint="eastAsia" w:ascii="宋体" w:hAnsi="宋体" w:eastAsia="宋体" w:cs="宋体"/>
          <w:b w:val="0"/>
          <w:color w:val="000000" w:themeColor="text1"/>
          <w:spacing w:val="0"/>
          <w:sz w:val="24"/>
          <w:highlight w:val="none"/>
          <w14:textFill>
            <w14:solidFill>
              <w14:schemeClr w14:val="tx1"/>
            </w14:solidFill>
          </w14:textFill>
        </w:rPr>
        <w:t>通过“苏采云”系统在线宣布投标人名称、投标价格和招标文件规定的需要宣布的其他内容。投标人在不见面开标系统中确认投标价格，如投标人未在线参加开标或未在规定时间内确认价格的，视同认可开标结果。</w:t>
      </w:r>
    </w:p>
    <w:p w14:paraId="44780095">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24．评标委员会</w:t>
      </w:r>
    </w:p>
    <w:p w14:paraId="5A3F4345">
      <w:pPr>
        <w:keepNext w:val="0"/>
        <w:keepLines w:val="0"/>
        <w:pageBreakBefore w:val="0"/>
        <w:shd w:val="clear" w:color="auto"/>
        <w:spacing w:line="520" w:lineRule="exact"/>
        <w:ind w:firstLine="480"/>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24.1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开标后，</w:t>
      </w:r>
      <w:bookmarkStart w:id="190" w:name="EBd93f728e80de47e5afd77299c0ffdfa6"/>
      <w:r>
        <w:rPr>
          <w:rFonts w:hint="eastAsia" w:ascii="宋体" w:hAnsi="宋体" w:eastAsia="宋体" w:cs="宋体"/>
          <w:color w:val="000000" w:themeColor="text1"/>
          <w:spacing w:val="0"/>
          <w:sz w:val="24"/>
          <w:szCs w:val="24"/>
          <w:highlight w:val="none"/>
          <w14:textFill>
            <w14:solidFill>
              <w14:schemeClr w14:val="tx1"/>
            </w14:solidFill>
          </w14:textFill>
        </w:rPr>
        <w:t>苏州政合信咨询管理服务有限公司</w:t>
      </w:r>
      <w:bookmarkEnd w:id="190"/>
      <w:r>
        <w:rPr>
          <w:rFonts w:hint="eastAsia" w:ascii="宋体" w:hAnsi="宋体" w:eastAsia="宋体" w:cs="宋体"/>
          <w:color w:val="000000" w:themeColor="text1"/>
          <w:spacing w:val="0"/>
          <w:sz w:val="24"/>
          <w:szCs w:val="24"/>
          <w:highlight w:val="none"/>
          <w14:textFill>
            <w14:solidFill>
              <w14:schemeClr w14:val="tx1"/>
            </w14:solidFill>
          </w14:textFill>
        </w:rPr>
        <w:t>将立即组织评标委员会（以下简称评委会）进行评标。</w:t>
      </w:r>
    </w:p>
    <w:p w14:paraId="1D1354A4">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24.2 评委会由评审专家、采购人代表组成，且人员构成符合政府采购有关规定。</w:t>
      </w:r>
    </w:p>
    <w:p w14:paraId="0D935837">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24.3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评委会应以科学、公正的态度参加评审工作并推荐中标候选人。评审专家和采购人代表在评审过程中不受任何干扰，独立、负责地提出评审意见，并对自己的评审意见承担责任。</w:t>
      </w:r>
    </w:p>
    <w:p w14:paraId="6A1B727E">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24.4</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评委会将对投标人的商业、技术秘密予以保密。</w:t>
      </w:r>
    </w:p>
    <w:p w14:paraId="0C006574">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25．评标过程的保密</w:t>
      </w:r>
      <w:bookmarkEnd w:id="187"/>
      <w:bookmarkEnd w:id="188"/>
      <w:bookmarkEnd w:id="189"/>
      <w:r>
        <w:rPr>
          <w:rFonts w:hint="eastAsia" w:ascii="宋体" w:hAnsi="宋体" w:eastAsia="宋体" w:cs="宋体"/>
          <w:b w:val="0"/>
          <w:bCs w:val="0"/>
          <w:color w:val="000000" w:themeColor="text1"/>
          <w:spacing w:val="0"/>
          <w:sz w:val="24"/>
          <w:szCs w:val="24"/>
          <w:highlight w:val="none"/>
          <w14:textFill>
            <w14:solidFill>
              <w14:schemeClr w14:val="tx1"/>
            </w14:solidFill>
          </w14:textFill>
        </w:rPr>
        <w:t>与公正</w:t>
      </w:r>
    </w:p>
    <w:p w14:paraId="431CE32D">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25.1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公开开标后，直至向中标的投标人授予合同时止，凡是与审查、澄清、评价和比较投标的有关资料以及授标建议等，均不得向投标人或与评标无关的其他人员透露。</w:t>
      </w:r>
    </w:p>
    <w:p w14:paraId="29E154F8">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25.2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在评标过程中，如果投标人试图向</w:t>
      </w:r>
      <w:bookmarkStart w:id="191" w:name="EB8495c46e8cb146ec80ae8c0f7928221c"/>
      <w:r>
        <w:rPr>
          <w:rFonts w:hint="eastAsia" w:ascii="宋体" w:hAnsi="宋体" w:eastAsia="宋体" w:cs="宋体"/>
          <w:bCs/>
          <w:color w:val="000000" w:themeColor="text1"/>
          <w:spacing w:val="0"/>
          <w:sz w:val="24"/>
          <w:szCs w:val="24"/>
          <w:highlight w:val="none"/>
          <w14:textFill>
            <w14:solidFill>
              <w14:schemeClr w14:val="tx1"/>
            </w14:solidFill>
          </w14:textFill>
        </w:rPr>
        <w:t>苏州政合信咨询管理服务有限公司</w:t>
      </w:r>
      <w:bookmarkEnd w:id="191"/>
      <w:r>
        <w:rPr>
          <w:rFonts w:hint="eastAsia" w:ascii="宋体" w:hAnsi="宋体" w:eastAsia="宋体" w:cs="宋体"/>
          <w:bCs/>
          <w:color w:val="000000" w:themeColor="text1"/>
          <w:spacing w:val="0"/>
          <w:sz w:val="24"/>
          <w:szCs w:val="24"/>
          <w:highlight w:val="none"/>
          <w14:textFill>
            <w14:solidFill>
              <w14:schemeClr w14:val="tx1"/>
            </w14:solidFill>
          </w14:textFill>
        </w:rPr>
        <w:t>和参与评标的人员施加任何影响，都将会导致其投标被拒绝。</w:t>
      </w:r>
    </w:p>
    <w:p w14:paraId="37772D33">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bookmarkStart w:id="192" w:name="_Toc513029232"/>
      <w:bookmarkStart w:id="193" w:name="_Toc16938548"/>
      <w:bookmarkStart w:id="194" w:name="_Toc20823304"/>
      <w:r>
        <w:rPr>
          <w:rFonts w:hint="eastAsia" w:ascii="宋体" w:hAnsi="宋体" w:eastAsia="宋体" w:cs="宋体"/>
          <w:bCs/>
          <w:color w:val="000000" w:themeColor="text1"/>
          <w:spacing w:val="0"/>
          <w:sz w:val="24"/>
          <w:szCs w:val="24"/>
          <w:highlight w:val="none"/>
          <w14:textFill>
            <w14:solidFill>
              <w14:schemeClr w14:val="tx1"/>
            </w14:solidFill>
          </w14:textFill>
        </w:rPr>
        <w:t>26．投标的澄清</w:t>
      </w:r>
      <w:bookmarkEnd w:id="192"/>
      <w:bookmarkEnd w:id="193"/>
      <w:bookmarkEnd w:id="194"/>
    </w:p>
    <w:p w14:paraId="0FBDCA29">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6</w:t>
      </w:r>
      <w:r>
        <w:rPr>
          <w:rFonts w:hint="eastAsia" w:ascii="宋体" w:hAnsi="宋体" w:eastAsia="宋体" w:cs="宋体"/>
          <w:bCs/>
          <w:color w:val="000000" w:themeColor="text1"/>
          <w:spacing w:val="0"/>
          <w:sz w:val="24"/>
          <w:szCs w:val="24"/>
          <w:highlight w:val="none"/>
          <w14:textFill>
            <w14:solidFill>
              <w14:schemeClr w14:val="tx1"/>
            </w14:solidFill>
          </w14:textFill>
        </w:rPr>
        <w:t>.1评标期间，为有助于对投标文件的审查、评价和比较，评委会有权要求投标人对其投标文件进行澄清，但并非对每个投标人都作澄清要求。</w:t>
      </w:r>
    </w:p>
    <w:p w14:paraId="3ED8B158">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26.2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p>
    <w:p w14:paraId="7E59582B">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pPr>
      <w:r>
        <w:rPr>
          <w:rFonts w:hint="eastAsia" w:ascii="宋体" w:hAnsi="宋体" w:eastAsia="宋体" w:cs="宋体"/>
          <w:b/>
          <w:bCs w:val="0"/>
          <w:color w:val="000000" w:themeColor="text1"/>
          <w:spacing w:val="0"/>
          <w:sz w:val="24"/>
          <w:szCs w:val="24"/>
          <w:highlight w:val="none"/>
          <w:lang w:val="zh-CN" w:eastAsia="zh-CN"/>
          <w14:textFill>
            <w14:solidFill>
              <w14:schemeClr w14:val="tx1"/>
            </w14:solidFill>
          </w14:textFill>
        </w:rPr>
        <w:t>本项目投标人的澄清、说明或者补正采用线上澄清：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eastAsia="宋体" w:cs="宋体"/>
          <w:bCs/>
          <w:color w:val="000000" w:themeColor="text1"/>
          <w:spacing w:val="0"/>
          <w:sz w:val="24"/>
          <w:szCs w:val="24"/>
          <w:highlight w:val="none"/>
          <w:lang w:val="zh-CN" w:eastAsia="zh-CN"/>
          <w14:textFill>
            <w14:solidFill>
              <w14:schemeClr w14:val="tx1"/>
            </w14:solidFill>
          </w14:textFill>
        </w:rPr>
        <w:t>(此处规定时间的计算以系统中的倒计时间为准，供应商应随时保持系统在线，如因供应商自身原因未在规定时间内提交澄清确认资料的，导致的不利后果由供应商自行承担。）</w:t>
      </w:r>
    </w:p>
    <w:p w14:paraId="04D31E26">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26.3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接到评委会澄清要求的投标人如未按规定作出澄清，其风险由投标人自行承担。</w:t>
      </w:r>
    </w:p>
    <w:p w14:paraId="21EC344E">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bookmarkStart w:id="195" w:name="_Toc513029233"/>
      <w:bookmarkStart w:id="196" w:name="_Toc16938549"/>
      <w:bookmarkStart w:id="197" w:name="_Toc20823305"/>
      <w:r>
        <w:rPr>
          <w:rFonts w:hint="eastAsia" w:ascii="宋体" w:hAnsi="宋体" w:eastAsia="宋体" w:cs="宋体"/>
          <w:bCs/>
          <w:color w:val="000000" w:themeColor="text1"/>
          <w:spacing w:val="0"/>
          <w:sz w:val="24"/>
          <w:szCs w:val="24"/>
          <w:highlight w:val="none"/>
          <w14:textFill>
            <w14:solidFill>
              <w14:schemeClr w14:val="tx1"/>
            </w14:solidFill>
          </w14:textFill>
        </w:rPr>
        <w:t>27</w:t>
      </w:r>
      <w:bookmarkEnd w:id="195"/>
      <w:bookmarkEnd w:id="196"/>
      <w:bookmarkEnd w:id="197"/>
      <w:r>
        <w:rPr>
          <w:rFonts w:hint="eastAsia" w:ascii="宋体" w:hAnsi="宋体" w:eastAsia="宋体" w:cs="宋体"/>
          <w:bCs/>
          <w:color w:val="000000" w:themeColor="text1"/>
          <w:spacing w:val="0"/>
          <w:sz w:val="24"/>
          <w:szCs w:val="24"/>
          <w:highlight w:val="none"/>
          <w14:textFill>
            <w14:solidFill>
              <w14:schemeClr w14:val="tx1"/>
            </w14:solidFill>
          </w14:textFill>
        </w:rPr>
        <w:t>．对投标文件的初审</w:t>
      </w:r>
    </w:p>
    <w:p w14:paraId="0881606E">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27.1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投标文件初审分为资格审查和符合性审查。</w:t>
      </w:r>
    </w:p>
    <w:p w14:paraId="2DE8A124">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27.1.1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资格性审查</w:t>
      </w:r>
    </w:p>
    <w:p w14:paraId="67297A50">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采购人或者采购代理机构依法对投标人的资格进行审查。</w:t>
      </w:r>
    </w:p>
    <w:p w14:paraId="7848B442">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7</w:t>
      </w:r>
      <w:r>
        <w:rPr>
          <w:rFonts w:hint="eastAsia" w:ascii="宋体" w:hAnsi="宋体" w:eastAsia="宋体" w:cs="宋体"/>
          <w:color w:val="000000" w:themeColor="text1"/>
          <w:spacing w:val="0"/>
          <w:sz w:val="24"/>
          <w:szCs w:val="24"/>
          <w:highlight w:val="none"/>
          <w:lang w:val="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关于信用查询：</w:t>
      </w:r>
    </w:p>
    <w:p w14:paraId="2289D4F0">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7</w:t>
      </w:r>
      <w:r>
        <w:rPr>
          <w:rFonts w:hint="eastAsia" w:ascii="宋体" w:hAnsi="宋体" w:eastAsia="宋体" w:cs="宋体"/>
          <w:color w:val="000000" w:themeColor="text1"/>
          <w:spacing w:val="0"/>
          <w:sz w:val="24"/>
          <w:szCs w:val="24"/>
          <w:highlight w:val="none"/>
          <w:lang w:val="zh-CN"/>
          <w14:textFill>
            <w14:solidFill>
              <w14:schemeClr w14:val="tx1"/>
            </w14:solidFill>
          </w14:textFill>
        </w:rPr>
        <w:t>.1.1.1.1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根据政府采购法及相关法规，以及苏州市财政局《关于印发苏州市市级政府采购信用记录查询和使用工作试行办法的通知》（苏财购（2017）11号）文件的规定，将对供应商进行信用查询。</w:t>
      </w:r>
    </w:p>
    <w:p w14:paraId="16786349">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7</w:t>
      </w:r>
      <w:r>
        <w:rPr>
          <w:rFonts w:hint="eastAsia" w:ascii="宋体" w:hAnsi="宋体" w:eastAsia="宋体" w:cs="宋体"/>
          <w:color w:val="000000" w:themeColor="text1"/>
          <w:spacing w:val="0"/>
          <w:sz w:val="24"/>
          <w:szCs w:val="24"/>
          <w:highlight w:val="none"/>
          <w:lang w:val="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1.1.2</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查询时间：投标文件递交截止时间。</w:t>
      </w:r>
    </w:p>
    <w:p w14:paraId="228A0625">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7</w:t>
      </w:r>
      <w:r>
        <w:rPr>
          <w:rFonts w:hint="eastAsia" w:ascii="宋体" w:hAnsi="宋体" w:eastAsia="宋体" w:cs="宋体"/>
          <w:color w:val="000000" w:themeColor="text1"/>
          <w:spacing w:val="0"/>
          <w:sz w:val="24"/>
          <w:szCs w:val="24"/>
          <w:highlight w:val="none"/>
          <w:lang w:val="zh-CN"/>
          <w14:textFill>
            <w14:solidFill>
              <w14:schemeClr w14:val="tx1"/>
            </w14:solidFill>
          </w14:textFill>
        </w:rPr>
        <w:t>.1.1.1.</w:t>
      </w:r>
      <w:r>
        <w:rPr>
          <w:rFonts w:hint="eastAsia" w:ascii="宋体" w:hAnsi="宋体" w:eastAsia="宋体" w:cs="宋体"/>
          <w:color w:val="000000" w:themeColor="text1"/>
          <w:spacing w:val="0"/>
          <w:sz w:val="24"/>
          <w:szCs w:val="24"/>
          <w:highlight w:val="none"/>
          <w14:textFill>
            <w14:solidFill>
              <w14:schemeClr w14:val="tx1"/>
            </w14:solidFill>
          </w14:textFill>
        </w:rPr>
        <w:t>3</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zh-CN"/>
          <w14:textFill>
            <w14:solidFill>
              <w14:schemeClr w14:val="tx1"/>
            </w14:solidFill>
          </w14:textFill>
        </w:rPr>
        <w:t>查询渠道：通过“信用中国”网站等渠道查询相关主体信用记录。</w:t>
      </w:r>
    </w:p>
    <w:p w14:paraId="48D3871C">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27.1.2</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符合性审查：</w:t>
      </w:r>
    </w:p>
    <w:p w14:paraId="1B3BB205">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依据招标文件的规定，由评委会对投标文件进行审查，以确定是否对招标文件的实质性要求作出响应。</w:t>
      </w:r>
    </w:p>
    <w:p w14:paraId="7B96C097">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27.2 在详细评标之前，评委会将首先审查每份投标文件是否实质性响应了招标文件的要求。实质性响应的投标应该是与招标文件要求的全部条款、条件和规格相符，没有重大偏离或保留的投标。</w:t>
      </w:r>
    </w:p>
    <w:p w14:paraId="663BC42E">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w:t>
      </w:r>
      <w:r>
        <w:rPr>
          <w:rFonts w:hint="eastAsia" w:ascii="宋体" w:hAnsi="宋体" w:eastAsia="宋体" w:cs="宋体"/>
          <w:bCs/>
          <w:color w:val="000000" w:themeColor="text1"/>
          <w:spacing w:val="0"/>
          <w:sz w:val="24"/>
          <w:szCs w:val="24"/>
          <w:highlight w:val="none"/>
          <w14:textFill>
            <w14:solidFill>
              <w14:schemeClr w14:val="tx1"/>
            </w14:solidFill>
          </w14:textFill>
        </w:rPr>
        <w:t>评委会决定投标文件的响应性只根据投标文件本身的内容，而不寻求外部的证据。</w:t>
      </w:r>
    </w:p>
    <w:p w14:paraId="1357D426">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 xml:space="preserve">27.3 </w:t>
      </w:r>
      <w:r>
        <w:rPr>
          <w:rFonts w:hint="eastAsia" w:ascii="宋体" w:hAnsi="宋体" w:eastAsia="宋体" w:cs="宋体"/>
          <w:bCs/>
          <w:color w:val="000000" w:themeColor="text1"/>
          <w:spacing w:val="0"/>
          <w:sz w:val="24"/>
          <w:szCs w:val="24"/>
          <w:highlight w:val="none"/>
          <w14:textFill>
            <w14:solidFill>
              <w14:schemeClr w14:val="tx1"/>
            </w14:solidFill>
          </w14:textFill>
        </w:rPr>
        <w:t>如果投标文件实质上没有响应招标文件的要求，评委会将予以拒绝，投标人不得通过修改或撤销不合要求的偏离或保留而使其投标成为实质性响应的投标。</w:t>
      </w:r>
    </w:p>
    <w:p w14:paraId="099FCE79">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27.4 投标文件报价出现前后不一致的，按下列规定修正：</w:t>
      </w:r>
    </w:p>
    <w:p w14:paraId="6FDDD5AD">
      <w:pPr>
        <w:keepNext w:val="0"/>
        <w:keepLines w:val="0"/>
        <w:pageBreakBefore w:val="0"/>
        <w:shd w:val="clear" w:color="auto"/>
        <w:spacing w:line="52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（1）投标文件中开标一览表（报价表）内容与投标文件中相应内容不一致的，以开标一览表（报价表）为准；</w:t>
      </w:r>
    </w:p>
    <w:p w14:paraId="615B9A2A">
      <w:pPr>
        <w:keepNext w:val="0"/>
        <w:keepLines w:val="0"/>
        <w:pageBreakBefore w:val="0"/>
        <w:shd w:val="clear" w:color="auto"/>
        <w:spacing w:line="52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（2）大写金额和小写金额不一致的，以大写金额为准；</w:t>
      </w:r>
    </w:p>
    <w:p w14:paraId="382B31F9">
      <w:pPr>
        <w:keepNext w:val="0"/>
        <w:keepLines w:val="0"/>
        <w:pageBreakBefore w:val="0"/>
        <w:shd w:val="clear" w:color="auto"/>
        <w:spacing w:line="52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（3）单价金额小数点或者百分比有明显错位的，以开标一览表的总价为准，并修改单价；</w:t>
      </w:r>
    </w:p>
    <w:p w14:paraId="6B80A9E3">
      <w:pPr>
        <w:keepNext w:val="0"/>
        <w:keepLines w:val="0"/>
        <w:pageBreakBefore w:val="0"/>
        <w:shd w:val="clear" w:color="auto"/>
        <w:spacing w:line="52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（4）总价金额与按单价汇总金额不一致的，以单价金额计算结果为准。</w:t>
      </w:r>
    </w:p>
    <w:p w14:paraId="3937C476">
      <w:pPr>
        <w:keepNext w:val="0"/>
        <w:keepLines w:val="0"/>
        <w:pageBreakBefore w:val="0"/>
        <w:shd w:val="clear" w:color="auto"/>
        <w:spacing w:line="520" w:lineRule="exact"/>
        <w:ind w:firstLine="480"/>
        <w:jc w:val="lef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同时出现两种以上不一致的，按照前款规定的顺序修正。修正后的报价按照财政部87号令第五十一条第二款的规定经投标人确认后产生约束力。</w:t>
      </w:r>
    </w:p>
    <w:p w14:paraId="3E3B06E8">
      <w:pPr>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27.5 评委会将允许修正投标文件中不构成重大偏离的、微小的、非正规的、不一致的或不规则的地方，但这些修改不能影响任何投标人相应的名次排列。</w:t>
      </w:r>
    </w:p>
    <w:p w14:paraId="386CCDA7">
      <w:pPr>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 异常低价投标审查</w:t>
      </w:r>
    </w:p>
    <w:p w14:paraId="63C51011">
      <w:pPr>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 评审过程中出现下列情形之一的，评审委员会应当启动异常低价投标（响应）审查程序：</w:t>
      </w:r>
    </w:p>
    <w:p w14:paraId="51FC19DC">
      <w:pPr>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27.6.1.1 投标（响应）报价低于全部通过符合性审查供应商投标（响应）报价平均50%的，即投标（响应）报价＜全部通过符合性审查供应商投标（响应）报价平均值×50%；</w:t>
      </w:r>
    </w:p>
    <w:p w14:paraId="3BF3EAE7">
      <w:pPr>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27.6.1.2 投标（响应）报价低于通过符合性审查的次低报价供应商投标（响应）报价50%的，即投标（响应）报价＜通过符合性审查的次低报价供应商投标（响应）报价×50%；</w:t>
      </w:r>
    </w:p>
    <w:p w14:paraId="2A66E38C">
      <w:pPr>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27.6.1.3 投标（响应）报价低于采购项目最高限价45%的，即投标（响应）报价＜采购项目最高限价×45%；</w:t>
      </w:r>
    </w:p>
    <w:p w14:paraId="3F6A6D3F">
      <w:pPr>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27.6.1.4 评审委员会基于专业判断，认为供应商报价过低，有可能影响产品质量或者不能诚信履约的其他情形。</w:t>
      </w:r>
    </w:p>
    <w:p w14:paraId="5FD2C18D">
      <w:pPr>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27.6.2 评审委员会启动异常低价投标（响应）审查后，属于前述第27.6.1.1项至第27.6.1.4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27.6.1.3项情形，供应商已随投标（响应）文件一并提交相关书面说明及必要的证明材料的，在评审现场可不再重复提交。</w:t>
      </w:r>
    </w:p>
    <w:p w14:paraId="65F187BB">
      <w:pPr>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BDF3362">
      <w:pPr>
        <w:keepNext/>
        <w:keepLines w:val="0"/>
        <w:pageBreakBefore w:val="0"/>
        <w:widowControl/>
        <w:shd w:val="clear" w:color="auto"/>
        <w:spacing w:line="520" w:lineRule="exact"/>
        <w:ind w:firstLine="482"/>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198" w:name="_Toc513029234"/>
      <w:bookmarkStart w:id="199" w:name="_Toc20823306"/>
      <w:bookmarkStart w:id="200" w:name="_Toc16938550"/>
      <w:bookmarkStart w:id="201" w:name="_Toc200451960"/>
      <w:r>
        <w:rPr>
          <w:rFonts w:hint="eastAsia" w:ascii="宋体" w:hAnsi="宋体" w:eastAsia="宋体" w:cs="宋体"/>
          <w:b w:val="0"/>
          <w:bCs w:val="0"/>
          <w:color w:val="000000" w:themeColor="text1"/>
          <w:spacing w:val="0"/>
          <w:sz w:val="24"/>
          <w:szCs w:val="24"/>
          <w:highlight w:val="none"/>
          <w14:textFill>
            <w14:solidFill>
              <w14:schemeClr w14:val="tx1"/>
            </w14:solidFill>
          </w14:textFill>
        </w:rPr>
        <w:t>28</w:t>
      </w:r>
      <w:bookmarkEnd w:id="198"/>
      <w:bookmarkEnd w:id="199"/>
      <w:bookmarkEnd w:id="200"/>
      <w:r>
        <w:rPr>
          <w:rFonts w:hint="eastAsia" w:ascii="宋体" w:hAnsi="宋体" w:eastAsia="宋体" w:cs="宋体"/>
          <w:b w:val="0"/>
          <w:bCs w:val="0"/>
          <w:color w:val="000000" w:themeColor="text1"/>
          <w:spacing w:val="0"/>
          <w:sz w:val="24"/>
          <w:szCs w:val="24"/>
          <w:highlight w:val="none"/>
          <w14:textFill>
            <w14:solidFill>
              <w14:schemeClr w14:val="tx1"/>
            </w14:solidFill>
          </w14:textFill>
        </w:rPr>
        <w:t>．无效投标条款和废标条款</w:t>
      </w:r>
    </w:p>
    <w:p w14:paraId="76C8252E">
      <w:pPr>
        <w:pStyle w:val="225"/>
        <w:keepNext/>
        <w:keepLines w:val="0"/>
        <w:pageBreakBefore w:val="0"/>
        <w:widowControl/>
        <w:shd w:val="clear" w:color="auto"/>
        <w:spacing w:line="520" w:lineRule="exact"/>
        <w:ind w:firstLine="482"/>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 无效投标条款</w:t>
      </w:r>
    </w:p>
    <w:p w14:paraId="52BA220B">
      <w:pPr>
        <w:pStyle w:val="225"/>
        <w:keepNext w:val="0"/>
        <w:keepLines w:val="0"/>
        <w:pageBreakBefore w:val="0"/>
        <w:widowControl w:val="0"/>
        <w:shd w:val="clear" w:color="auto"/>
        <w:spacing w:line="520" w:lineRule="exact"/>
        <w:ind w:firstLine="482"/>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 投标人未按照招标文件要求上传电子投标文件的；</w:t>
      </w:r>
    </w:p>
    <w:p w14:paraId="3C6F40BD">
      <w:pPr>
        <w:pStyle w:val="225"/>
        <w:keepNext w:val="0"/>
        <w:keepLines w:val="0"/>
        <w:pageBreakBefore w:val="0"/>
        <w:widowControl w:val="0"/>
        <w:shd w:val="clear" w:color="auto"/>
        <w:spacing w:line="520" w:lineRule="exact"/>
        <w:ind w:firstLine="482"/>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28.1.2 投标人在规定时间内不解密投标文件或未成功解密投标文件的（因系统原因导致的除外)；</w:t>
      </w:r>
    </w:p>
    <w:p w14:paraId="1E0386B7">
      <w:pPr>
        <w:pStyle w:val="225"/>
        <w:keepNext w:val="0"/>
        <w:keepLines w:val="0"/>
        <w:pageBreakBefore w:val="0"/>
        <w:widowControl w:val="0"/>
        <w:shd w:val="clear" w:color="auto"/>
        <w:spacing w:line="520" w:lineRule="exact"/>
        <w:ind w:firstLine="482"/>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28.1.3 投标文件中没有《开标一览表》或《开标一览表》未加盖投标人公章的；</w:t>
      </w:r>
    </w:p>
    <w:p w14:paraId="66CC90E4">
      <w:pPr>
        <w:pStyle w:val="225"/>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28.1.4 投标文件中任何有选择的报价；</w:t>
      </w:r>
    </w:p>
    <w:p w14:paraId="5DCBCE5B">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28.1.5 投标文件报价出现前后不一致的，按招标文件规定修正后投标人不确认的；</w:t>
      </w:r>
    </w:p>
    <w:p w14:paraId="4EAF62BC">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28.1.6 不同投标人的投标文件由同一单位或者个人编制；</w:t>
      </w:r>
    </w:p>
    <w:p w14:paraId="056BE75F">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28.1.7 不同投标人委托同一单位或者个人办理投标事宜；</w:t>
      </w:r>
    </w:p>
    <w:p w14:paraId="72E638D0">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28.1.8 不同投标人的投标文件载明的项目管理成员或者联系人员为同一人；</w:t>
      </w:r>
    </w:p>
    <w:p w14:paraId="395E8674">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28.1.9 不同投标人的投标文件异常一致或者投标报价呈规律性差异；</w:t>
      </w:r>
    </w:p>
    <w:p w14:paraId="396FB696">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28.1.10 不同投标人的投标文件制作机器码一致的；</w:t>
      </w:r>
    </w:p>
    <w:p w14:paraId="7924703D">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28.1.11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p>
    <w:p w14:paraId="141371AE">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28.1.12 凡“节能产品政府采购品目清单”中以★标注的政府强制采购产品，投标文件中未提供国家确定的认证机构出具的、处于有效期之内的节能产品认证证书的（若证书有附件（附录）的，附件（附录）须随证书一起提供)；</w:t>
      </w:r>
    </w:p>
    <w:p w14:paraId="5C22148E">
      <w:pPr>
        <w:pStyle w:val="225"/>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28.1.13 供应商被列入失信被执行人名单、重大税收违法案件当事人名单、政府采购严重违法失信行为记录名单以及其他不符合《中华人民共和国政府采购法》第二十二条规定条件的信用记录的；</w:t>
      </w:r>
    </w:p>
    <w:p w14:paraId="3C5A3C2C">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28.1.14 不同供应商的单位负责人为同一人或者存在直接控股、管理关系的；</w:t>
      </w:r>
    </w:p>
    <w:p w14:paraId="7A36C3F9">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28.1.15 为采购项目提供整体设计、规范编制或者项目管理、监理、检测等服务的；</w:t>
      </w:r>
    </w:p>
    <w:p w14:paraId="2E4B7C28">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28.1.16 资格证明文件中要求加盖公章而未加盖公章的；</w:t>
      </w:r>
    </w:p>
    <w:p w14:paraId="7A7E9317">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28.1.17 投标文件未按招标文件要求签署、盖章的；</w:t>
      </w:r>
    </w:p>
    <w:p w14:paraId="5F261132">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28.1.18 不具备招标文件中规定的资格要求或未按招标文件规定的要求提供资格证明文件的；</w:t>
      </w:r>
    </w:p>
    <w:p w14:paraId="7889EEC4">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28.1.19 报价超过招标文件中规定的预算金额或者最高限价的；</w:t>
      </w:r>
    </w:p>
    <w:p w14:paraId="3B64ADB8">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28.1.20 投标文件含有采购人不能接受的附加条件的；</w:t>
      </w:r>
    </w:p>
    <w:p w14:paraId="7714B48B">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28.1.21 不响应招标文件中规定的实质性要求的（本招标文件中斜体且有下划线部分为实质性要求）；</w:t>
      </w:r>
    </w:p>
    <w:p w14:paraId="022A7C49">
      <w:pPr>
        <w:pStyle w:val="226"/>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28.1.22 法律、法规和采购文件规定的其他无效情形；</w:t>
      </w:r>
    </w:p>
    <w:p w14:paraId="67E69AB0">
      <w:pPr>
        <w:pStyle w:val="227"/>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28.2 废标条款：</w:t>
      </w:r>
    </w:p>
    <w:p w14:paraId="653FB00C">
      <w:pPr>
        <w:pStyle w:val="227"/>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(1)符合专业条件的供应商或者对招标文件作实质响应的供应商不足三家的；</w:t>
      </w:r>
    </w:p>
    <w:p w14:paraId="593611D8">
      <w:pPr>
        <w:pStyle w:val="227"/>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(2)出现影响采购公正的违法、违规行为的；</w:t>
      </w:r>
    </w:p>
    <w:p w14:paraId="5CC65058">
      <w:pPr>
        <w:pStyle w:val="227"/>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(3)投标人的报价均超过了采购预算，采购人不能支付的；</w:t>
      </w:r>
    </w:p>
    <w:p w14:paraId="60E8F66D">
      <w:pPr>
        <w:pStyle w:val="227"/>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(4)因重大变故，采购任务取消的。</w:t>
      </w:r>
    </w:p>
    <w:p w14:paraId="20BA8075">
      <w:pPr>
        <w:pStyle w:val="227"/>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w:t>
      </w:r>
      <w:r>
        <w:rPr>
          <w:rStyle w:val="216"/>
          <w:rFonts w:hint="eastAsia" w:ascii="宋体" w:hAnsi="宋体" w:eastAsia="宋体" w:cs="宋体"/>
          <w:color w:val="000000" w:themeColor="text1"/>
          <w:spacing w:val="0"/>
          <w:sz w:val="24"/>
          <w:szCs w:val="24"/>
          <w:highlight w:val="none"/>
          <w:lang w:val="en-US" w:eastAsia="zh-CN"/>
          <w14:textFill>
            <w14:solidFill>
              <w14:schemeClr w14:val="tx1"/>
            </w14:solidFill>
          </w14:textFill>
        </w:rPr>
        <w:t>5</w:t>
      </w:r>
      <w:r>
        <w:rPr>
          <w:rStyle w:val="216"/>
          <w:rFonts w:hint="eastAsia" w:ascii="宋体" w:hAnsi="宋体" w:eastAsia="宋体" w:cs="宋体"/>
          <w:color w:val="000000" w:themeColor="text1"/>
          <w:spacing w:val="0"/>
          <w:sz w:val="24"/>
          <w:szCs w:val="24"/>
          <w:highlight w:val="none"/>
          <w14:textFill>
            <w14:solidFill>
              <w14:schemeClr w14:val="tx1"/>
            </w14:solidFill>
          </w14:textFill>
        </w:rPr>
        <w:t>)因苏采云系统系统故障原因造成开标不成功的。</w:t>
      </w:r>
    </w:p>
    <w:p w14:paraId="4D2460D7">
      <w:pPr>
        <w:pStyle w:val="227"/>
        <w:keepNext w:val="0"/>
        <w:keepLines w:val="0"/>
        <w:pageBreakBefore w:val="0"/>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28.3 投标截止时间结束后参加投标的供应商不足三家的处理：</w:t>
      </w:r>
    </w:p>
    <w:p w14:paraId="7F1A848F">
      <w:pPr>
        <w:pStyle w:val="227"/>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28.3.1 如出现投标截止时间结束后参加投标的供应商或者在评标期间对招标文件做出实质响应的供应商不足三家情况，按财政部第87号令第四十三条的规定执行。</w:t>
      </w:r>
      <w:bookmarkStart w:id="202" w:name="EB369a3ca3706348fd9a6451dab4968a5b"/>
      <w:bookmarkEnd w:id="202"/>
    </w:p>
    <w:p w14:paraId="5E612E2D">
      <w:pPr>
        <w:keepNext w:val="0"/>
        <w:keepLines w:val="0"/>
        <w:pageBreakBefore w:val="0"/>
        <w:widowControl/>
        <w:shd w:val="clear" w:color="auto"/>
        <w:spacing w:line="52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203" w:name="_Toc513029235"/>
      <w:bookmarkStart w:id="204" w:name="_Toc20823307"/>
      <w:bookmarkStart w:id="205" w:name="_Toc16938551"/>
      <w:bookmarkStart w:id="206" w:name="_Toc54615244"/>
      <w:bookmarkStart w:id="207" w:name="_Toc20853"/>
      <w:bookmarkStart w:id="208" w:name="_Toc31022"/>
      <w:bookmarkStart w:id="209" w:name="_Toc120614219"/>
      <w:bookmarkStart w:id="210" w:name="_Toc25114"/>
      <w:bookmarkStart w:id="211" w:name="_Toc38368125"/>
      <w:bookmarkStart w:id="212" w:name="_Toc35266025"/>
      <w:bookmarkStart w:id="213" w:name="_Toc12744"/>
      <w:r>
        <w:rPr>
          <w:rFonts w:hint="eastAsia" w:ascii="宋体" w:hAnsi="宋体" w:eastAsia="宋体" w:cs="宋体"/>
          <w:b/>
          <w:bCs/>
          <w:color w:val="000000" w:themeColor="text1"/>
          <w:spacing w:val="0"/>
          <w:sz w:val="28"/>
          <w:szCs w:val="28"/>
          <w:highlight w:val="none"/>
          <w14:textFill>
            <w14:solidFill>
              <w14:schemeClr w14:val="tx1"/>
            </w14:solidFill>
          </w14:textFill>
        </w:rPr>
        <w:t>六、</w:t>
      </w:r>
      <w:bookmarkEnd w:id="203"/>
      <w:bookmarkEnd w:id="204"/>
      <w:bookmarkEnd w:id="205"/>
      <w:r>
        <w:rPr>
          <w:rFonts w:hint="eastAsia" w:ascii="宋体" w:hAnsi="宋体" w:eastAsia="宋体" w:cs="宋体"/>
          <w:b/>
          <w:bCs/>
          <w:color w:val="000000" w:themeColor="text1"/>
          <w:spacing w:val="0"/>
          <w:sz w:val="28"/>
          <w:szCs w:val="28"/>
          <w:highlight w:val="none"/>
          <w14:textFill>
            <w14:solidFill>
              <w14:schemeClr w14:val="tx1"/>
            </w14:solidFill>
          </w14:textFill>
        </w:rPr>
        <w:t>定标</w:t>
      </w:r>
      <w:bookmarkEnd w:id="206"/>
      <w:bookmarkEnd w:id="207"/>
      <w:bookmarkEnd w:id="208"/>
      <w:bookmarkEnd w:id="209"/>
      <w:bookmarkEnd w:id="210"/>
      <w:bookmarkEnd w:id="211"/>
      <w:bookmarkEnd w:id="212"/>
      <w:bookmarkEnd w:id="213"/>
    </w:p>
    <w:p w14:paraId="112CF9E2">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bookmarkStart w:id="214" w:name="_Toc513029238"/>
      <w:bookmarkStart w:id="215" w:name="_Toc20823310"/>
      <w:bookmarkStart w:id="216" w:name="_Toc16938554"/>
      <w:r>
        <w:rPr>
          <w:rFonts w:hint="eastAsia" w:ascii="宋体" w:hAnsi="宋体" w:eastAsia="宋体" w:cs="宋体"/>
          <w:b w:val="0"/>
          <w:bCs w:val="0"/>
          <w:color w:val="000000" w:themeColor="text1"/>
          <w:spacing w:val="0"/>
          <w:sz w:val="24"/>
          <w:szCs w:val="24"/>
          <w:highlight w:val="none"/>
          <w14:textFill>
            <w14:solidFill>
              <w14:schemeClr w14:val="tx1"/>
            </w14:solidFill>
          </w14:textFill>
        </w:rPr>
        <w:t>29</w:t>
      </w:r>
      <w:bookmarkEnd w:id="214"/>
      <w:r>
        <w:rPr>
          <w:rFonts w:hint="eastAsia" w:ascii="宋体" w:hAnsi="宋体" w:eastAsia="宋体" w:cs="宋体"/>
          <w:b w:val="0"/>
          <w:bCs w:val="0"/>
          <w:color w:val="000000" w:themeColor="text1"/>
          <w:spacing w:val="0"/>
          <w:sz w:val="24"/>
          <w:szCs w:val="24"/>
          <w:highlight w:val="none"/>
          <w14:textFill>
            <w14:solidFill>
              <w14:schemeClr w14:val="tx1"/>
            </w14:solidFill>
          </w14:textFill>
        </w:rPr>
        <w:t>．确定</w:t>
      </w:r>
      <w:bookmarkEnd w:id="215"/>
      <w:bookmarkEnd w:id="216"/>
      <w:r>
        <w:rPr>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中标人</w:t>
      </w:r>
    </w:p>
    <w:p w14:paraId="2A31DA7B">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29.1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评委会根据本招标文件规定评标办法与评标标准向采购人推荐出 3 名中标候选人。</w:t>
      </w:r>
    </w:p>
    <w:p w14:paraId="6B0F3688">
      <w:pPr>
        <w:pStyle w:val="228"/>
        <w:keepNext w:val="0"/>
        <w:keepLines w:val="0"/>
        <w:pageBreakBefore w:val="0"/>
        <w:shd w:val="clear" w:color="auto"/>
        <w:spacing w:line="520" w:lineRule="exact"/>
        <w:ind w:firstLine="508"/>
        <w:rPr>
          <w:rFonts w:hint="eastAsia" w:ascii="宋体" w:hAnsi="宋体" w:eastAsia="宋体" w:cs="宋体"/>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 xml:space="preserve">29.2 </w:t>
      </w:r>
      <w:bookmarkEnd w:id="201"/>
      <w:bookmarkStart w:id="217" w:name="EBfa38c9fe4db84c47a946c1558a3ddb8f"/>
      <w:bookmarkEnd w:id="217"/>
      <w:r>
        <w:rPr>
          <w:rFonts w:hint="eastAsia" w:ascii="宋体" w:hAnsi="宋体" w:eastAsia="宋体" w:cs="宋体"/>
          <w:color w:val="000000" w:themeColor="text1"/>
          <w:spacing w:val="0"/>
          <w:sz w:val="24"/>
          <w:highlight w:val="none"/>
          <w14:textFill>
            <w14:solidFill>
              <w14:schemeClr w14:val="tx1"/>
            </w14:solidFill>
          </w14:textFill>
        </w:rPr>
        <w:t>中标候选人依据得分由高到低进行排名。评委会根据《委托代理协议书》中的授权，直接确定排名第一的中标候选人为中标人。依据财政部 94 号令第十六条第（二）项规定，如果中标人的中标资格因故被取消的，新的中标人按相关规定确定。</w:t>
      </w:r>
    </w:p>
    <w:p w14:paraId="2ACC3918">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29.3</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自中标人确定之日起2个工作日内，中标结果将在省级以上财政部门指定的媒体上进行公告，公告期限为1个工作日。</w:t>
      </w:r>
    </w:p>
    <w:p w14:paraId="7476C9EB">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29.4</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若有充分证据证明，中标人出现下列情况之一的，一经查实，中标无效：</w:t>
      </w:r>
    </w:p>
    <w:p w14:paraId="36892DDF">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（1）提供虚假材料谋取中标的；</w:t>
      </w:r>
    </w:p>
    <w:p w14:paraId="55A73505">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（2）采取不正当手段诋毁、排挤其他供应商的；</w:t>
      </w:r>
    </w:p>
    <w:p w14:paraId="45E5D523">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（3）与采购人、其他供应商或者采购代理机构恶意串通的；</w:t>
      </w:r>
    </w:p>
    <w:p w14:paraId="23BA9166">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（4）向采购人、采购代理机构行贿或者提供其他不正当利益的；</w:t>
      </w:r>
    </w:p>
    <w:p w14:paraId="5E81382E">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（5）在招标采购过程中与采购人进行协商谈判的；</w:t>
      </w:r>
    </w:p>
    <w:p w14:paraId="61E00FBE">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（6）向评标委员会行贿或者提供其他不正当利益。</w:t>
      </w:r>
    </w:p>
    <w:p w14:paraId="5B3024F7">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lang w:val="zh-CN"/>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30．</w:t>
      </w:r>
      <w:r>
        <w:rPr>
          <w:rFonts w:hint="eastAsia" w:ascii="宋体" w:hAnsi="宋体" w:eastAsia="宋体" w:cs="宋体"/>
          <w:b w:val="0"/>
          <w:bCs w:val="0"/>
          <w:color w:val="000000" w:themeColor="text1"/>
          <w:spacing w:val="0"/>
          <w:sz w:val="24"/>
          <w:szCs w:val="24"/>
          <w:highlight w:val="none"/>
          <w:lang w:val="zh-CN"/>
          <w14:textFill>
            <w14:solidFill>
              <w14:schemeClr w14:val="tx1"/>
            </w14:solidFill>
          </w14:textFill>
        </w:rPr>
        <w:t>质疑</w:t>
      </w:r>
    </w:p>
    <w:p w14:paraId="0BD4F4CA">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zh-CN"/>
          <w14:textFill>
            <w14:solidFill>
              <w14:schemeClr w14:val="tx1"/>
            </w14:solidFill>
          </w14:textFill>
        </w:rPr>
        <w:t>30.1</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质疑形式</w:t>
      </w:r>
    </w:p>
    <w:p w14:paraId="48F80EC1">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lang w:val="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30.1.1 </w:t>
      </w:r>
      <w:r>
        <w:rPr>
          <w:rFonts w:hint="eastAsia" w:ascii="宋体" w:hAnsi="宋体" w:eastAsia="宋体" w:cs="宋体"/>
          <w:color w:val="000000" w:themeColor="text1"/>
          <w:spacing w:val="0"/>
          <w:sz w:val="24"/>
          <w:szCs w:val="24"/>
          <w:highlight w:val="none"/>
          <w:lang w:val="zh-CN"/>
          <w14:textFill>
            <w14:solidFill>
              <w14:schemeClr w14:val="tx1"/>
            </w14:solidFill>
          </w14:textFill>
        </w:rPr>
        <w:t>供应商认为采购文件、采购过程和采购结果使自己的权益受到损害的，可以在知道或应知其权益受到损害之日起七个工作日内，以书面形式提出质疑（涉及采购</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方式</w:t>
      </w:r>
      <w:r>
        <w:rPr>
          <w:rFonts w:hint="eastAsia" w:ascii="宋体" w:hAnsi="宋体" w:eastAsia="宋体" w:cs="宋体"/>
          <w:color w:val="000000" w:themeColor="text1"/>
          <w:spacing w:val="0"/>
          <w:sz w:val="24"/>
          <w:szCs w:val="24"/>
          <w:highlight w:val="none"/>
          <w:lang w:val="zh-CN"/>
          <w14:textFill>
            <w14:solidFill>
              <w14:schemeClr w14:val="tx1"/>
            </w14:solidFill>
          </w14:textFill>
        </w:rPr>
        <w:t>、采购需求、供应商资格条件、评标方法和评标标准、合同文本，向采购单位提出；涉及采购程序问题的，向</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pacing w:val="0"/>
          <w:sz w:val="24"/>
          <w:szCs w:val="24"/>
          <w:highlight w:val="none"/>
          <w:lang w:val="zh-CN"/>
          <w14:textFill>
            <w14:solidFill>
              <w14:schemeClr w14:val="tx1"/>
            </w14:solidFill>
          </w14:textFill>
        </w:rPr>
        <w:t>提出）。非书面形式、七个工作日之外提交的质疑将不予受理。</w:t>
      </w:r>
    </w:p>
    <w:p w14:paraId="7624571A">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spacing w:val="0"/>
          <w:sz w:val="24"/>
          <w:szCs w:val="24"/>
          <w:highlight w:val="none"/>
          <w14:textFill>
            <w14:solidFill>
              <w14:schemeClr w14:val="tx1"/>
            </w14:solidFill>
          </w14:textFill>
        </w:rPr>
        <w:t>.2质疑必须按《政府采购法》、《政府采购法实施条例》及财政部94号令的相关规定提交，未按上述要求提交的质疑函</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有权不予受理</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w:t>
      </w:r>
    </w:p>
    <w:p w14:paraId="4FB5E0D8">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.1.3质疑函应当包括下列内容：</w:t>
      </w:r>
    </w:p>
    <w:p w14:paraId="03703FE3">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.1.3.1供应商的姓名或者名称、地址、邮编、联系人及联系电话；</w:t>
      </w:r>
    </w:p>
    <w:p w14:paraId="2F32737B">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.1.3.2质疑项目的名称、编号；</w:t>
      </w:r>
    </w:p>
    <w:p w14:paraId="5C6D4173">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.1.3.3具体、明确的质疑事项和与质疑事项相关的请求；</w:t>
      </w:r>
    </w:p>
    <w:p w14:paraId="5D49505A">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.1.3.4事实依据；</w:t>
      </w:r>
    </w:p>
    <w:p w14:paraId="051E003B">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.1.3.5必要的法律依据；</w:t>
      </w:r>
    </w:p>
    <w:p w14:paraId="2535D3A5">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.1.3.6提出质疑的日期。</w:t>
      </w:r>
    </w:p>
    <w:p w14:paraId="04663D83">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.1.4质疑函应当由法定代表人、主要负责人，或者其授权代表签字或者盖章，并加盖公章。匿名提交的质疑将不予受理。</w:t>
      </w:r>
    </w:p>
    <w:p w14:paraId="6B47F6E8">
      <w:pPr>
        <w:keepNext w:val="0"/>
        <w:keepLines w:val="0"/>
        <w:pageBreakBefore w:val="0"/>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.1.5质疑的送达方式</w:t>
      </w:r>
    </w:p>
    <w:p w14:paraId="1BBD67A5">
      <w:pPr>
        <w:keepNext w:val="0"/>
        <w:keepLines w:val="0"/>
        <w:pageBreakBefore w:val="0"/>
        <w:widowControl/>
        <w:shd w:val="clear" w:color="auto"/>
        <w:spacing w:line="520" w:lineRule="exact"/>
        <w:ind w:firstLine="482"/>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.1.5.1质疑函应采用邮寄送达或直接送达的方式递交，采用其他方式送达（含传真、电子邮件等）的，</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有权不予受理。</w:t>
      </w:r>
    </w:p>
    <w:p w14:paraId="5456BA7A">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特别提示</w:t>
      </w:r>
    </w:p>
    <w:p w14:paraId="3DDB614D">
      <w:pPr>
        <w:keepNext w:val="0"/>
        <w:keepLines w:val="0"/>
        <w:pageBreakBefore w:val="0"/>
        <w:shd w:val="clear" w:color="auto"/>
        <w:spacing w:line="520" w:lineRule="exact"/>
        <w:ind w:firstLine="480"/>
        <w:rPr>
          <w:rFonts w:hint="eastAsia" w:ascii="宋体" w:hAnsi="宋体" w:eastAsia="宋体" w:cs="宋体"/>
          <w:b/>
          <w:bCs/>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.1根据财政部94号令第十一条规定，提出质疑的供应商应当是参与所质疑项目采购活动的供应商。</w:t>
      </w:r>
      <w:r>
        <w:rPr>
          <w:rFonts w:hint="eastAsia" w:ascii="宋体" w:hAnsi="宋体" w:eastAsia="宋体" w:cs="宋体"/>
          <w:b/>
          <w:bCs/>
          <w:color w:val="000000" w:themeColor="text1"/>
          <w:spacing w:val="0"/>
          <w:sz w:val="24"/>
          <w:szCs w:val="24"/>
          <w:highlight w:val="none"/>
          <w14:textFill>
            <w14:solidFill>
              <w14:schemeClr w14:val="tx1"/>
            </w14:solidFill>
          </w14:textFill>
        </w:rPr>
        <w:t>因此凡是对招标文件提出质疑的供应商，必须是依法获取招标文件，请将合法获取招标文件的证明材料（即《投标供应商确认函》）与质疑函一起递交，否则不予受理。</w:t>
      </w:r>
    </w:p>
    <w:p w14:paraId="468A23C8">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.2供应商在法定质疑期内应一次性提出针对同一采购程序环节的质疑。</w:t>
      </w:r>
    </w:p>
    <w:p w14:paraId="1F0BF495">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pacing w:val="0"/>
          <w:sz w:val="24"/>
          <w:szCs w:val="24"/>
          <w:highlight w:val="none"/>
          <w14:textFill>
            <w14:solidFill>
              <w14:schemeClr w14:val="tx1"/>
            </w14:solidFill>
          </w14:textFill>
        </w:rPr>
        <w:t>.3供应商提出质疑必须有理、有据，不得恶意质疑或提交虚假质疑。否则，一经查实，采购人或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有权依据政府采购的有关规定，报请政府采购监管部门对该投标人进行相应的行政处罚。</w:t>
      </w:r>
    </w:p>
    <w:p w14:paraId="35C0EC13">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14:textFill>
            <w14:solidFill>
              <w14:schemeClr w14:val="tx1"/>
            </w14:solidFill>
          </w14:textFill>
        </w:rPr>
        <w:t>其他</w:t>
      </w:r>
    </w:p>
    <w:p w14:paraId="16D1E7FC">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30</w:t>
      </w:r>
      <w:r>
        <w:rPr>
          <w:rFonts w:hint="eastAsia" w:ascii="宋体" w:hAnsi="宋体" w:eastAsia="宋体" w:cs="宋体"/>
          <w:color w:val="000000" w:themeColor="text1"/>
          <w:spacing w:val="0"/>
          <w:sz w:val="24"/>
          <w:szCs w:val="24"/>
          <w:highlight w:val="none"/>
          <w14:textFill>
            <w14:solidFill>
              <w14:schemeClr w14:val="tx1"/>
            </w14:solidFill>
          </w14:textFill>
        </w:rPr>
        <w:t>.</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spacing w:val="0"/>
          <w:sz w:val="24"/>
          <w:szCs w:val="24"/>
          <w:highlight w:val="none"/>
          <w14:textFill>
            <w14:solidFill>
              <w14:schemeClr w14:val="tx1"/>
            </w14:solidFill>
          </w14:textFill>
        </w:rPr>
        <w:t>.1采购人或</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pacing w:val="0"/>
          <w:sz w:val="24"/>
          <w:szCs w:val="24"/>
          <w:highlight w:val="none"/>
          <w14:textFill>
            <w14:solidFill>
              <w14:schemeClr w14:val="tx1"/>
            </w14:solidFill>
          </w14:textFill>
        </w:rPr>
        <w:t>将在收到供应商的质疑后七个工作日内作出答复，答复的内容不涉及商业秘密。</w:t>
      </w:r>
    </w:p>
    <w:p w14:paraId="6AD516F2">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31．中标通知书</w:t>
      </w:r>
    </w:p>
    <w:p w14:paraId="79A3ABBA">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31.l</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pacing w:val="0"/>
          <w:sz w:val="24"/>
          <w:highlight w:val="none"/>
          <w14:textFill>
            <w14:solidFill>
              <w14:schemeClr w14:val="tx1"/>
            </w14:solidFill>
          </w14:textFill>
        </w:rPr>
        <w:t>在中标结果确定后2个工作日内，</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苏州政合信咨询管理服务有限公司</w:t>
      </w:r>
      <w:r>
        <w:rPr>
          <w:rFonts w:hint="eastAsia" w:ascii="宋体" w:hAnsi="宋体" w:eastAsia="宋体" w:cs="宋体"/>
          <w:color w:val="000000" w:themeColor="text1"/>
          <w:spacing w:val="0"/>
          <w:sz w:val="24"/>
          <w:highlight w:val="none"/>
          <w14:textFill>
            <w14:solidFill>
              <w14:schemeClr w14:val="tx1"/>
            </w14:solidFill>
          </w14:textFill>
        </w:rPr>
        <w:t>向中标</w:t>
      </w:r>
      <w:r>
        <w:rPr>
          <w:rFonts w:hint="eastAsia" w:ascii="宋体" w:hAnsi="宋体" w:eastAsia="宋体" w:cs="宋体"/>
          <w:color w:val="000000" w:themeColor="text1"/>
          <w:spacing w:val="0"/>
          <w:sz w:val="24"/>
          <w:highlight w:val="none"/>
          <w:lang w:val="en-US" w:eastAsia="zh-CN"/>
          <w14:textFill>
            <w14:solidFill>
              <w14:schemeClr w14:val="tx1"/>
            </w14:solidFill>
          </w14:textFill>
        </w:rPr>
        <w:t>人</w:t>
      </w:r>
      <w:r>
        <w:rPr>
          <w:rFonts w:hint="eastAsia" w:ascii="宋体" w:hAnsi="宋体" w:eastAsia="宋体" w:cs="宋体"/>
          <w:color w:val="000000" w:themeColor="text1"/>
          <w:spacing w:val="0"/>
          <w:sz w:val="24"/>
          <w:highlight w:val="none"/>
          <w14:textFill>
            <w14:solidFill>
              <w14:schemeClr w14:val="tx1"/>
            </w14:solidFill>
          </w14:textFill>
        </w:rPr>
        <w:t>发出中标通知书。请中标人在中标结果公告届满之日起30日内</w:t>
      </w:r>
      <w:r>
        <w:rPr>
          <w:rFonts w:hint="eastAsia" w:ascii="宋体" w:hAnsi="宋体" w:eastAsia="宋体" w:cs="宋体"/>
          <w:color w:val="000000" w:themeColor="text1"/>
          <w:spacing w:val="0"/>
          <w:sz w:val="24"/>
          <w:highlight w:val="none"/>
          <w:lang w:eastAsia="zh-CN"/>
          <w14:textFill>
            <w14:solidFill>
              <w14:schemeClr w14:val="tx1"/>
            </w14:solidFill>
          </w14:textFill>
        </w:rPr>
        <w:t>，</w:t>
      </w:r>
      <w:r>
        <w:rPr>
          <w:rFonts w:hint="eastAsia" w:ascii="宋体" w:hAnsi="宋体" w:eastAsia="宋体" w:cs="宋体"/>
          <w:color w:val="000000" w:themeColor="text1"/>
          <w:spacing w:val="0"/>
          <w:sz w:val="24"/>
          <w:highlight w:val="none"/>
          <w14:textFill>
            <w14:solidFill>
              <w14:schemeClr w14:val="tx1"/>
            </w14:solidFill>
          </w14:textFill>
        </w:rPr>
        <w:t>使用CA证书登录“苏采云”系统及时下载中标通知书。因系统存储空间有限，自中标结果公告届满之日起30日后，“苏采云”系统不再保证提供下载中标通知书服务</w:t>
      </w:r>
      <w:r>
        <w:rPr>
          <w:rFonts w:hint="eastAsia" w:ascii="宋体" w:hAnsi="宋体" w:eastAsia="宋体" w:cs="宋体"/>
          <w:color w:val="000000" w:themeColor="text1"/>
          <w:spacing w:val="0"/>
          <w:sz w:val="24"/>
          <w:highlight w:val="none"/>
          <w:lang w:eastAsia="zh-CN"/>
          <w14:textFill>
            <w14:solidFill>
              <w14:schemeClr w14:val="tx1"/>
            </w14:solidFill>
          </w14:textFill>
        </w:rPr>
        <w:t>，</w:t>
      </w:r>
      <w:r>
        <w:rPr>
          <w:rFonts w:hint="eastAsia" w:ascii="宋体" w:hAnsi="宋体" w:eastAsia="宋体" w:cs="宋体"/>
          <w:color w:val="000000" w:themeColor="text1"/>
          <w:spacing w:val="0"/>
          <w:sz w:val="24"/>
          <w:highlight w:val="none"/>
          <w14:textFill>
            <w14:solidFill>
              <w14:schemeClr w14:val="tx1"/>
            </w14:solidFill>
          </w14:textFill>
        </w:rPr>
        <w:t>因未及时下载而造成的不利后果由中标人自行承担。</w:t>
      </w:r>
    </w:p>
    <w:p w14:paraId="1F1BE5CF">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bookmarkStart w:id="218" w:name="_Toc25527"/>
      <w:bookmarkStart w:id="219" w:name="_Toc3165"/>
      <w:bookmarkStart w:id="220" w:name="_Toc186"/>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31</w:t>
      </w:r>
      <w:r>
        <w:rPr>
          <w:rFonts w:hint="eastAsia" w:ascii="宋体" w:hAnsi="宋体" w:eastAsia="宋体" w:cs="宋体"/>
          <w:color w:val="000000" w:themeColor="text1"/>
          <w:spacing w:val="0"/>
          <w:sz w:val="24"/>
          <w:szCs w:val="24"/>
          <w:highlight w:val="none"/>
          <w14:textFill>
            <w14:solidFill>
              <w14:schemeClr w14:val="tx1"/>
            </w14:solidFill>
          </w14:textFill>
        </w:rPr>
        <w:t>.2 中标通知书将是合同的一个组成部分。对采购人和中标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pacing w:val="0"/>
          <w:sz w:val="24"/>
          <w:szCs w:val="24"/>
          <w:highlight w:val="none"/>
          <w14:textFill>
            <w14:solidFill>
              <w14:schemeClr w14:val="tx1"/>
            </w14:solidFill>
          </w14:textFill>
        </w:rPr>
        <w:t>均具有法律效力。中标通知书发出后，采购人改变中标结果的，或者中标</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人</w:t>
      </w:r>
      <w:r>
        <w:rPr>
          <w:rFonts w:hint="eastAsia" w:ascii="宋体" w:hAnsi="宋体" w:eastAsia="宋体" w:cs="宋体"/>
          <w:color w:val="000000" w:themeColor="text1"/>
          <w:spacing w:val="0"/>
          <w:sz w:val="24"/>
          <w:szCs w:val="24"/>
          <w:highlight w:val="none"/>
          <w14:textFill>
            <w14:solidFill>
              <w14:schemeClr w14:val="tx1"/>
            </w14:solidFill>
          </w14:textFill>
        </w:rPr>
        <w:t>放弃中标项目的，应当依法承担法律责任。</w:t>
      </w:r>
    </w:p>
    <w:p w14:paraId="1773B753">
      <w:pPr>
        <w:keepNext w:val="0"/>
        <w:keepLines w:val="0"/>
        <w:pageBreakBefore w:val="0"/>
        <w:widowControl/>
        <w:shd w:val="clear" w:color="auto"/>
        <w:spacing w:line="520" w:lineRule="exact"/>
        <w:outlineLvl w:val="1"/>
        <w:rPr>
          <w:rFonts w:hint="eastAsia" w:ascii="宋体" w:hAnsi="宋体" w:eastAsia="宋体" w:cs="宋体"/>
          <w:b/>
          <w:bCs/>
          <w:color w:val="000000" w:themeColor="text1"/>
          <w:spacing w:val="0"/>
          <w:sz w:val="28"/>
          <w:szCs w:val="28"/>
          <w:highlight w:val="none"/>
          <w14:textFill>
            <w14:solidFill>
              <w14:schemeClr w14:val="tx1"/>
            </w14:solidFill>
          </w14:textFill>
        </w:rPr>
      </w:pPr>
      <w:bookmarkStart w:id="221" w:name="_Toc9601"/>
      <w:r>
        <w:rPr>
          <w:rFonts w:hint="eastAsia" w:ascii="宋体" w:hAnsi="宋体" w:eastAsia="宋体" w:cs="宋体"/>
          <w:b/>
          <w:bCs/>
          <w:color w:val="000000" w:themeColor="text1"/>
          <w:spacing w:val="0"/>
          <w:sz w:val="28"/>
          <w:szCs w:val="28"/>
          <w:highlight w:val="none"/>
          <w14:textFill>
            <w14:solidFill>
              <w14:schemeClr w14:val="tx1"/>
            </w14:solidFill>
          </w14:textFill>
        </w:rPr>
        <w:t>七、授予合同</w:t>
      </w:r>
      <w:bookmarkEnd w:id="218"/>
      <w:bookmarkEnd w:id="219"/>
      <w:bookmarkEnd w:id="220"/>
      <w:bookmarkEnd w:id="221"/>
    </w:p>
    <w:p w14:paraId="227A51EF">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32．签订合同</w:t>
      </w:r>
    </w:p>
    <w:p w14:paraId="1651A5EA">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32.l</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
          <w:bCs w:val="0"/>
          <w:color w:val="000000" w:themeColor="text1"/>
          <w:spacing w:val="0"/>
          <w:sz w:val="24"/>
          <w:highlight w:val="none"/>
          <w14:textFill>
            <w14:solidFill>
              <w14:schemeClr w14:val="tx1"/>
            </w14:solidFill>
          </w14:textFill>
        </w:rPr>
        <w:t>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p>
    <w:p w14:paraId="7DD92CB9">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32.2 招标文件、中标人的投标文件及招标过程中有关澄清、承诺文件均应作为合同附件。</w:t>
      </w:r>
    </w:p>
    <w:p w14:paraId="3D2121F6">
      <w:pPr>
        <w:keepNext w:val="0"/>
        <w:keepLines w:val="0"/>
        <w:pageBreakBefore w:val="0"/>
        <w:shd w:val="clear" w:color="auto"/>
        <w:spacing w:line="52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32.3 签订合同后，中标人不得将合同标的进行转包和分包</w:t>
      </w:r>
      <w:r>
        <w:rPr>
          <w:rFonts w:hint="eastAsia" w:ascii="宋体" w:hAnsi="宋体" w:eastAsia="宋体" w:cs="宋体"/>
          <w:color w:val="000000" w:themeColor="text1"/>
          <w:spacing w:val="0"/>
          <w:sz w:val="24"/>
          <w:szCs w:val="24"/>
          <w:highlight w:val="none"/>
          <w14:textFill>
            <w14:solidFill>
              <w14:schemeClr w14:val="tx1"/>
            </w14:solidFill>
          </w14:textFill>
        </w:rPr>
        <w:t>。</w:t>
      </w:r>
    </w:p>
    <w:p w14:paraId="0CC54970">
      <w:pPr>
        <w:widowControl/>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33．履约保证金</w:t>
      </w:r>
    </w:p>
    <w:p w14:paraId="7A02CBB5">
      <w:pPr>
        <w:widowControl/>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33.1 中标人向采购人交付的履约保证金为合同总价款 2 ％。</w:t>
      </w:r>
    </w:p>
    <w:p w14:paraId="4C295A07">
      <w:pPr>
        <w:widowControl/>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33.2 履约保证金必须是人民币。履约保证金应当以支票、汇票、本票或者金融机构、担保机构出具的保函等非现金形式提交。</w:t>
      </w:r>
    </w:p>
    <w:p w14:paraId="3A3D24E9">
      <w:pPr>
        <w:widowControl/>
        <w:shd w:val="clear" w:color="auto"/>
        <w:spacing w:line="520" w:lineRule="exact"/>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33.3</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0B0DEBFB">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34．货物和服务的追加、添购</w:t>
      </w:r>
    </w:p>
    <w:p w14:paraId="50FB5FCB">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34.1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政府采购合同履行中，采购人需追加与合同标的相同的货物和服务的，在不改变合同其他条款的前提下，可以与中标人协商签订补充合同，但所有补充合同的采购金额不超过原合同金额</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10</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w:t>
      </w:r>
    </w:p>
    <w:p w14:paraId="0B62E336">
      <w:pPr>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35．监督</w:t>
      </w:r>
    </w:p>
    <w:p w14:paraId="2ED5EF17">
      <w:pPr>
        <w:keepNext w:val="0"/>
        <w:keepLines w:val="0"/>
        <w:pageBreakBefore w:val="0"/>
        <w:shd w:val="clear" w:color="auto"/>
        <w:spacing w:line="520" w:lineRule="exact"/>
        <w:ind w:firstLine="480"/>
        <w:rPr>
          <w:rFonts w:hint="eastAsia" w:ascii="宋体" w:hAnsi="宋体" w:eastAsia="宋体" w:cs="宋体"/>
          <w:bCs/>
          <w:color w:val="000000" w:themeColor="text1"/>
          <w:spacing w:val="0"/>
          <w:sz w:val="24"/>
          <w:szCs w:val="24"/>
          <w:highlight w:val="none"/>
          <w14:textFill>
            <w14:solidFill>
              <w14:schemeClr w14:val="tx1"/>
            </w14:solidFill>
          </w14:textFill>
        </w:rPr>
      </w:pPr>
      <w:r>
        <w:rPr>
          <w:rFonts w:hint="eastAsia" w:ascii="宋体" w:hAnsi="宋体" w:eastAsia="宋体" w:cs="宋体"/>
          <w:bCs/>
          <w:color w:val="000000" w:themeColor="text1"/>
          <w:spacing w:val="0"/>
          <w:sz w:val="24"/>
          <w:szCs w:val="24"/>
          <w:highlight w:val="none"/>
          <w14:textFill>
            <w14:solidFill>
              <w14:schemeClr w14:val="tx1"/>
            </w14:solidFill>
          </w14:textFill>
        </w:rPr>
        <w:t>35.1</w:t>
      </w:r>
      <w:r>
        <w:rPr>
          <w:rFonts w:hint="eastAsia" w:ascii="宋体" w:hAnsi="宋体" w:eastAsia="宋体" w:cs="宋体"/>
          <w:bCs/>
          <w:color w:val="000000" w:themeColor="text1"/>
          <w:spacing w:val="0"/>
          <w:sz w:val="24"/>
          <w:szCs w:val="24"/>
          <w:highlight w:val="none"/>
          <w:lang w:val="en-US" w:eastAsia="zh-CN"/>
          <w14:textFill>
            <w14:solidFill>
              <w14:schemeClr w14:val="tx1"/>
            </w14:solidFill>
          </w14:textFill>
        </w:rPr>
        <w:t xml:space="preserve"> </w:t>
      </w:r>
      <w:r>
        <w:rPr>
          <w:rFonts w:hint="eastAsia" w:ascii="宋体" w:hAnsi="宋体" w:eastAsia="宋体" w:cs="宋体"/>
          <w:bCs/>
          <w:color w:val="000000" w:themeColor="text1"/>
          <w:spacing w:val="0"/>
          <w:sz w:val="24"/>
          <w:szCs w:val="24"/>
          <w:highlight w:val="none"/>
          <w14:textFill>
            <w14:solidFill>
              <w14:schemeClr w14:val="tx1"/>
            </w14:solidFill>
          </w14:textFill>
        </w:rPr>
        <w:t>政府有关监督部门将对投标全过程进行监督。</w:t>
      </w:r>
    </w:p>
    <w:p w14:paraId="78EC0A74">
      <w:pPr>
        <w:keepNext w:val="0"/>
        <w:keepLines w:val="0"/>
        <w:pageBreakBefore w:val="0"/>
        <w:shd w:val="clear" w:color="auto"/>
        <w:spacing w:line="520" w:lineRule="exact"/>
        <w:ind w:firstLine="544"/>
        <w:rPr>
          <w:rFonts w:hint="eastAsia" w:ascii="宋体" w:hAnsi="宋体" w:eastAsia="宋体" w:cs="宋体"/>
          <w:color w:val="000000" w:themeColor="text1"/>
          <w:spacing w:val="0"/>
          <w:sz w:val="24"/>
          <w:szCs w:val="24"/>
          <w:highlight w:val="none"/>
          <w14:textFill>
            <w14:solidFill>
              <w14:schemeClr w14:val="tx1"/>
            </w14:solidFill>
          </w14:textFill>
        </w:rPr>
        <w:sectPr>
          <w:headerReference r:id="rId12" w:type="first"/>
          <w:headerReference r:id="rId11" w:type="default"/>
          <w:pgSz w:w="11906" w:h="16838"/>
          <w:pgMar w:top="1440" w:right="1080" w:bottom="1440" w:left="1080" w:header="851" w:footer="992" w:gutter="0"/>
          <w:cols w:space="1701" w:num="1"/>
          <w:titlePg/>
          <w:docGrid w:linePitch="360" w:charSpace="0"/>
        </w:sectPr>
      </w:pPr>
      <w:bookmarkStart w:id="222" w:name="EB0f9f45dd5e234a13a81c333deb906690"/>
      <w:bookmarkEnd w:id="222"/>
    </w:p>
    <w:p w14:paraId="0D334E40">
      <w:pPr>
        <w:pStyle w:val="211"/>
        <w:keepNext w:val="0"/>
        <w:keepLines w:val="0"/>
        <w:pageBreakBefore w:val="0"/>
        <w:widowControl w:val="0"/>
        <w:shd w:val="clear" w:color="auto"/>
        <w:spacing w:before="313" w:after="313" w:line="500" w:lineRule="exact"/>
        <w:rPr>
          <w:rFonts w:hint="eastAsia" w:ascii="宋体" w:hAnsi="宋体" w:eastAsia="宋体" w:cs="宋体"/>
          <w:color w:val="000000" w:themeColor="text1"/>
          <w:spacing w:val="0"/>
          <w:highlight w:val="none"/>
          <w14:textFill>
            <w14:solidFill>
              <w14:schemeClr w14:val="tx1"/>
            </w14:solidFill>
          </w14:textFill>
        </w:rPr>
      </w:pPr>
      <w:bookmarkStart w:id="223" w:name="_Toc2580"/>
      <w:bookmarkStart w:id="224" w:name="_Toc18020"/>
      <w:bookmarkStart w:id="225" w:name="_Toc14382"/>
      <w:bookmarkStart w:id="226" w:name="_Toc31229"/>
      <w:bookmarkStart w:id="227" w:name="_Toc38368127"/>
      <w:bookmarkStart w:id="228" w:name="_Toc54615245"/>
      <w:bookmarkStart w:id="229" w:name="_Toc35266027"/>
      <w:r>
        <w:rPr>
          <w:rFonts w:hint="eastAsia" w:ascii="宋体" w:hAnsi="宋体" w:eastAsia="宋体" w:cs="宋体"/>
          <w:color w:val="000000" w:themeColor="text1"/>
          <w:spacing w:val="0"/>
          <w:highlight w:val="none"/>
          <w14:textFill>
            <w14:solidFill>
              <w14:schemeClr w14:val="tx1"/>
            </w14:solidFill>
          </w14:textFill>
        </w:rPr>
        <w:t>第三章 合同条款及</w:t>
      </w:r>
      <w:bookmarkEnd w:id="70"/>
      <w:bookmarkEnd w:id="71"/>
      <w:bookmarkEnd w:id="72"/>
      <w:bookmarkEnd w:id="73"/>
      <w:bookmarkEnd w:id="74"/>
      <w:r>
        <w:rPr>
          <w:rFonts w:hint="eastAsia" w:ascii="宋体" w:hAnsi="宋体" w:eastAsia="宋体" w:cs="宋体"/>
          <w:color w:val="000000" w:themeColor="text1"/>
          <w:spacing w:val="0"/>
          <w:highlight w:val="none"/>
          <w14:textFill>
            <w14:solidFill>
              <w14:schemeClr w14:val="tx1"/>
            </w14:solidFill>
          </w14:textFill>
        </w:rPr>
        <w:t>格式</w:t>
      </w:r>
      <w:bookmarkEnd w:id="223"/>
      <w:bookmarkEnd w:id="224"/>
      <w:bookmarkEnd w:id="225"/>
      <w:bookmarkEnd w:id="226"/>
      <w:bookmarkEnd w:id="227"/>
      <w:bookmarkEnd w:id="228"/>
      <w:bookmarkEnd w:id="229"/>
    </w:p>
    <w:p w14:paraId="0F742AAF">
      <w:pPr>
        <w:pStyle w:val="229"/>
        <w:keepNext w:val="0"/>
        <w:keepLines w:val="0"/>
        <w:pageBreakBefore w:val="0"/>
        <w:widowControl w:val="0"/>
        <w:shd w:val="clear" w:color="auto"/>
        <w:spacing w:line="500" w:lineRule="exact"/>
        <w:ind w:firstLine="0"/>
        <w:jc w:val="center"/>
        <w:rPr>
          <w:rStyle w:val="216"/>
          <w:rFonts w:hint="eastAsia" w:ascii="宋体" w:hAnsi="宋体" w:eastAsia="宋体" w:cs="宋体"/>
          <w:bCs/>
          <w:color w:val="000000" w:themeColor="text1"/>
          <w:spacing w:val="0"/>
          <w:sz w:val="24"/>
          <w:highlight w:val="none"/>
          <w14:textFill>
            <w14:solidFill>
              <w14:schemeClr w14:val="tx1"/>
            </w14:solidFill>
          </w14:textFill>
        </w:rPr>
      </w:pPr>
      <w:bookmarkStart w:id="230" w:name="EB445c3bd035294764b52dfc379b7b9568"/>
      <w:r>
        <w:rPr>
          <w:rStyle w:val="216"/>
          <w:rFonts w:hint="eastAsia" w:ascii="宋体" w:hAnsi="宋体" w:eastAsia="宋体" w:cs="宋体"/>
          <w:bCs/>
          <w:color w:val="000000" w:themeColor="text1"/>
          <w:spacing w:val="0"/>
          <w:sz w:val="24"/>
          <w:highlight w:val="none"/>
          <w14:textFill>
            <w14:solidFill>
              <w14:schemeClr w14:val="tx1"/>
            </w14:solidFill>
          </w14:textFill>
        </w:rPr>
        <w:t>以下为中标(成交)后签定本项目合同的通用条款，中标(成交)供应商不得提出实质性的修改。</w:t>
      </w:r>
    </w:p>
    <w:p w14:paraId="2B0E4C4D">
      <w:pPr>
        <w:pStyle w:val="229"/>
        <w:keepNext w:val="0"/>
        <w:keepLines w:val="0"/>
        <w:pageBreakBefore w:val="0"/>
        <w:widowControl w:val="0"/>
        <w:shd w:val="clear" w:color="auto"/>
        <w:spacing w:before="181" w:after="181" w:line="240" w:lineRule="auto"/>
        <w:ind w:firstLine="0"/>
        <w:jc w:val="center"/>
        <w:rPr>
          <w:rStyle w:val="216"/>
          <w:rFonts w:hint="eastAsia" w:ascii="宋体" w:hAnsi="宋体" w:eastAsia="宋体" w:cs="宋体"/>
          <w:b/>
          <w:bCs w:val="0"/>
          <w:color w:val="000000" w:themeColor="text1"/>
          <w:spacing w:val="0"/>
          <w:sz w:val="32"/>
          <w:szCs w:val="32"/>
          <w:highlight w:val="none"/>
          <w14:textFill>
            <w14:solidFill>
              <w14:schemeClr w14:val="tx1"/>
            </w14:solidFill>
          </w14:textFill>
        </w:rPr>
      </w:pPr>
      <w:bookmarkStart w:id="231" w:name="_Toc11920"/>
      <w:bookmarkStart w:id="232" w:name="_Toc11967"/>
      <w:bookmarkStart w:id="233" w:name="_Toc242"/>
      <w:r>
        <w:rPr>
          <w:rStyle w:val="216"/>
          <w:rFonts w:hint="eastAsia" w:ascii="宋体" w:hAnsi="宋体" w:eastAsia="宋体" w:cs="宋体"/>
          <w:b/>
          <w:bCs w:val="0"/>
          <w:color w:val="000000" w:themeColor="text1"/>
          <w:spacing w:val="0"/>
          <w:sz w:val="32"/>
          <w:szCs w:val="32"/>
          <w:highlight w:val="none"/>
          <w14:textFill>
            <w14:solidFill>
              <w14:schemeClr w14:val="tx1"/>
            </w14:solidFill>
          </w14:textFill>
        </w:rPr>
        <w:t>张家港市政府采购合同</w:t>
      </w:r>
      <w:bookmarkEnd w:id="231"/>
      <w:bookmarkEnd w:id="232"/>
      <w:bookmarkEnd w:id="233"/>
    </w:p>
    <w:p w14:paraId="6299939B">
      <w:pPr>
        <w:pStyle w:val="229"/>
        <w:keepNext w:val="0"/>
        <w:keepLines w:val="0"/>
        <w:pageBreakBefore w:val="0"/>
        <w:widowControl w:val="0"/>
        <w:shd w:val="clear" w:color="auto"/>
        <w:spacing w:line="50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项目名称：</w:t>
      </w:r>
      <w:bookmarkStart w:id="234" w:name="biaoduanname_1"/>
      <w:bookmarkEnd w:id="234"/>
      <w:r>
        <w:rPr>
          <w:rStyle w:val="21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p>
    <w:p w14:paraId="01D0E1DE">
      <w:pPr>
        <w:pStyle w:val="229"/>
        <w:keepNext w:val="0"/>
        <w:keepLines w:val="0"/>
        <w:pageBreakBefore w:val="0"/>
        <w:widowControl w:val="0"/>
        <w:shd w:val="clear" w:color="auto"/>
        <w:spacing w:line="500" w:lineRule="exact"/>
        <w:ind w:firstLine="480"/>
        <w:rPr>
          <w:rStyle w:val="216"/>
          <w:rFonts w:hint="eastAsia" w:ascii="宋体" w:hAnsi="宋体" w:eastAsia="宋体" w:cs="宋体"/>
          <w:color w:val="000000" w:themeColor="text1"/>
          <w:spacing w:val="0"/>
          <w:sz w:val="24"/>
          <w:highlight w:val="none"/>
          <w:u w:val="singl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项目编号：</w:t>
      </w:r>
      <w:bookmarkStart w:id="235" w:name="projectno"/>
      <w:bookmarkEnd w:id="235"/>
      <w:r>
        <w:rPr>
          <w:rStyle w:val="21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p>
    <w:p w14:paraId="5679AD2B">
      <w:pPr>
        <w:pStyle w:val="229"/>
        <w:keepNext w:val="0"/>
        <w:keepLines w:val="0"/>
        <w:pageBreakBefore w:val="0"/>
        <w:widowControl w:val="0"/>
        <w:shd w:val="clear" w:color="auto"/>
        <w:spacing w:line="50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甲方：（买方）</w:t>
      </w:r>
      <w:bookmarkStart w:id="236" w:name="jianshedanwei_1"/>
      <w:bookmarkEnd w:id="236"/>
      <w:r>
        <w:rPr>
          <w:rStyle w:val="21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p>
    <w:p w14:paraId="23FFA46E">
      <w:pPr>
        <w:pStyle w:val="229"/>
        <w:keepNext w:val="0"/>
        <w:keepLines w:val="0"/>
        <w:pageBreakBefore w:val="0"/>
        <w:widowControl w:val="0"/>
        <w:shd w:val="clear" w:color="auto"/>
        <w:spacing w:line="50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乙方：（卖方）</w:t>
      </w:r>
      <w:bookmarkStart w:id="237" w:name="zhongbiaodanweiname_1"/>
      <w:bookmarkEnd w:id="237"/>
      <w:r>
        <w:rPr>
          <w:rStyle w:val="21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p>
    <w:p w14:paraId="184085FE">
      <w:pPr>
        <w:pStyle w:val="229"/>
        <w:keepNext w:val="0"/>
        <w:keepLines w:val="0"/>
        <w:pageBreakBefore w:val="0"/>
        <w:widowControl w:val="0"/>
        <w:shd w:val="clear" w:color="auto"/>
        <w:spacing w:line="500" w:lineRule="exact"/>
        <w:ind w:firstLine="480"/>
        <w:rPr>
          <w:rStyle w:val="216"/>
          <w:rFonts w:hint="eastAsia" w:ascii="宋体" w:hAnsi="宋体" w:eastAsia="宋体" w:cs="宋体"/>
          <w:b/>
          <w:bCs/>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甲、乙双方根据</w:t>
      </w:r>
      <w:bookmarkStart w:id="238" w:name="EBdfedbe8ad66f4d4f87edd13341207451"/>
      <w:r>
        <w:rPr>
          <w:rStyle w:val="216"/>
          <w:rFonts w:hint="eastAsia" w:ascii="宋体" w:hAnsi="宋体" w:eastAsia="宋体" w:cs="宋体"/>
          <w:color w:val="000000" w:themeColor="text1"/>
          <w:spacing w:val="0"/>
          <w:sz w:val="24"/>
          <w:highlight w:val="none"/>
          <w14:textFill>
            <w14:solidFill>
              <w14:schemeClr w14:val="tx1"/>
            </w14:solidFill>
          </w14:textFill>
        </w:rPr>
        <w:t>苏州政合信咨询管理服务有限公司</w:t>
      </w:r>
      <w:bookmarkEnd w:id="238"/>
      <w:bookmarkStart w:id="239" w:name="biaoduanname_2"/>
      <w:bookmarkEnd w:id="239"/>
      <w:r>
        <w:rPr>
          <w:rStyle w:val="21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项目公开招标的结果，签署本合同。</w:t>
      </w:r>
    </w:p>
    <w:p w14:paraId="17F0E0C2">
      <w:pPr>
        <w:keepNext w:val="0"/>
        <w:keepLines w:val="0"/>
        <w:pageBreakBefore w:val="0"/>
        <w:widowControl w:val="0"/>
        <w:shd w:val="clear" w:color="auto"/>
        <w:spacing w:line="50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40" w:name="_Toc24789"/>
      <w:r>
        <w:rPr>
          <w:rFonts w:hint="eastAsia" w:ascii="宋体" w:hAnsi="宋体" w:eastAsia="宋体" w:cs="宋体"/>
          <w:b/>
          <w:color w:val="000000" w:themeColor="text1"/>
          <w:spacing w:val="0"/>
          <w:sz w:val="28"/>
          <w:szCs w:val="28"/>
          <w:highlight w:val="none"/>
          <w14:textFill>
            <w14:solidFill>
              <w14:schemeClr w14:val="tx1"/>
            </w14:solidFill>
          </w14:textFill>
        </w:rPr>
        <w:t>一、服务内容</w:t>
      </w:r>
      <w:bookmarkEnd w:id="240"/>
    </w:p>
    <w:tbl>
      <w:tblPr>
        <w:tblStyle w:val="39"/>
        <w:tblW w:w="981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3376"/>
        <w:gridCol w:w="3374"/>
        <w:gridCol w:w="3068"/>
      </w:tblGrid>
      <w:tr w14:paraId="5904B7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376" w:type="dxa"/>
            <w:noWrap/>
            <w:vAlign w:val="center"/>
          </w:tcPr>
          <w:p w14:paraId="2C9B6CE2">
            <w:pPr>
              <w:pStyle w:val="229"/>
              <w:keepNext w:val="0"/>
              <w:keepLines w:val="0"/>
              <w:pageBreakBefore w:val="0"/>
              <w:widowControl w:val="0"/>
              <w:shd w:val="clear" w:color="auto"/>
              <w:spacing w:line="240" w:lineRule="auto"/>
              <w:ind w:firstLine="0"/>
              <w:jc w:val="center"/>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项目名称</w:t>
            </w:r>
          </w:p>
        </w:tc>
        <w:tc>
          <w:tcPr>
            <w:tcW w:w="3374" w:type="dxa"/>
            <w:noWrap/>
            <w:vAlign w:val="center"/>
          </w:tcPr>
          <w:p w14:paraId="1932A9B3">
            <w:pPr>
              <w:pStyle w:val="229"/>
              <w:keepNext w:val="0"/>
              <w:keepLines w:val="0"/>
              <w:pageBreakBefore w:val="0"/>
              <w:widowControl w:val="0"/>
              <w:shd w:val="clear" w:color="auto"/>
              <w:spacing w:line="240" w:lineRule="auto"/>
              <w:ind w:firstLine="480"/>
              <w:jc w:val="center"/>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总价（元）</w:t>
            </w:r>
          </w:p>
        </w:tc>
        <w:tc>
          <w:tcPr>
            <w:tcW w:w="3068" w:type="dxa"/>
            <w:noWrap/>
            <w:vAlign w:val="center"/>
          </w:tcPr>
          <w:p w14:paraId="5D6C7DDC">
            <w:pPr>
              <w:pStyle w:val="229"/>
              <w:keepNext w:val="0"/>
              <w:keepLines w:val="0"/>
              <w:pageBreakBefore w:val="0"/>
              <w:widowControl w:val="0"/>
              <w:shd w:val="clear" w:color="auto"/>
              <w:spacing w:line="240" w:lineRule="auto"/>
              <w:ind w:firstLine="240"/>
              <w:jc w:val="center"/>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服务内容</w:t>
            </w:r>
          </w:p>
        </w:tc>
      </w:tr>
      <w:tr w14:paraId="2A078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567" w:hRule="atLeast"/>
          <w:jc w:val="center"/>
        </w:trPr>
        <w:tc>
          <w:tcPr>
            <w:tcW w:w="3376" w:type="dxa"/>
            <w:noWrap/>
            <w:vAlign w:val="center"/>
          </w:tcPr>
          <w:p w14:paraId="67C34209">
            <w:pPr>
              <w:pStyle w:val="229"/>
              <w:keepNext w:val="0"/>
              <w:keepLines w:val="0"/>
              <w:pageBreakBefore w:val="0"/>
              <w:widowControl w:val="0"/>
              <w:shd w:val="clear" w:color="auto"/>
              <w:spacing w:line="240" w:lineRule="auto"/>
              <w:ind w:firstLine="0"/>
              <w:jc w:val="center"/>
              <w:rPr>
                <w:rStyle w:val="216"/>
                <w:rFonts w:hint="eastAsia" w:ascii="宋体" w:hAnsi="宋体" w:eastAsia="宋体" w:cs="宋体"/>
                <w:color w:val="000000" w:themeColor="text1"/>
                <w:spacing w:val="0"/>
                <w:sz w:val="24"/>
                <w:highlight w:val="none"/>
                <w14:textFill>
                  <w14:solidFill>
                    <w14:schemeClr w14:val="tx1"/>
                  </w14:solidFill>
                </w14:textFill>
              </w:rPr>
            </w:pPr>
            <w:bookmarkStart w:id="241" w:name="biaoduanname_3"/>
            <w:bookmarkEnd w:id="241"/>
          </w:p>
        </w:tc>
        <w:tc>
          <w:tcPr>
            <w:tcW w:w="3374" w:type="dxa"/>
            <w:noWrap/>
            <w:vAlign w:val="center"/>
          </w:tcPr>
          <w:p w14:paraId="66AFB6D8">
            <w:pPr>
              <w:pStyle w:val="229"/>
              <w:keepNext w:val="0"/>
              <w:keepLines w:val="0"/>
              <w:pageBreakBefore w:val="0"/>
              <w:widowControl w:val="0"/>
              <w:shd w:val="clear" w:color="auto"/>
              <w:spacing w:line="240" w:lineRule="auto"/>
              <w:ind w:firstLine="0"/>
              <w:jc w:val="center"/>
              <w:rPr>
                <w:rStyle w:val="216"/>
                <w:rFonts w:hint="eastAsia" w:ascii="宋体" w:hAnsi="宋体" w:eastAsia="宋体" w:cs="宋体"/>
                <w:color w:val="000000" w:themeColor="text1"/>
                <w:spacing w:val="0"/>
                <w:sz w:val="24"/>
                <w:highlight w:val="none"/>
                <w14:textFill>
                  <w14:solidFill>
                    <w14:schemeClr w14:val="tx1"/>
                  </w14:solidFill>
                </w14:textFill>
              </w:rPr>
            </w:pPr>
            <w:bookmarkStart w:id="242" w:name="zhongbiaopricelow_1"/>
            <w:bookmarkEnd w:id="242"/>
          </w:p>
        </w:tc>
        <w:tc>
          <w:tcPr>
            <w:tcW w:w="3068" w:type="dxa"/>
            <w:noWrap/>
            <w:vAlign w:val="center"/>
          </w:tcPr>
          <w:p w14:paraId="2136BCA7">
            <w:pPr>
              <w:pStyle w:val="229"/>
              <w:keepNext w:val="0"/>
              <w:keepLines w:val="0"/>
              <w:pageBreakBefore w:val="0"/>
              <w:widowControl w:val="0"/>
              <w:shd w:val="clear" w:color="auto"/>
              <w:spacing w:line="240" w:lineRule="auto"/>
              <w:ind w:firstLine="0"/>
              <w:jc w:val="center"/>
              <w:rPr>
                <w:rStyle w:val="216"/>
                <w:rFonts w:hint="eastAsia" w:ascii="宋体" w:hAnsi="宋体" w:eastAsia="宋体" w:cs="宋体"/>
                <w:color w:val="000000" w:themeColor="text1"/>
                <w:spacing w:val="0"/>
                <w:sz w:val="24"/>
                <w:highlight w:val="none"/>
                <w14:textFill>
                  <w14:solidFill>
                    <w14:schemeClr w14:val="tx1"/>
                  </w14:solidFill>
                </w14:textFill>
              </w:rPr>
            </w:pPr>
            <w:bookmarkStart w:id="243" w:name="fuwuneirong"/>
            <w:bookmarkEnd w:id="243"/>
          </w:p>
        </w:tc>
      </w:tr>
    </w:tbl>
    <w:p w14:paraId="646A2B98">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44" w:name="_Toc23971"/>
      <w:r>
        <w:rPr>
          <w:rFonts w:hint="eastAsia" w:ascii="宋体" w:hAnsi="宋体" w:eastAsia="宋体" w:cs="宋体"/>
          <w:b/>
          <w:color w:val="000000" w:themeColor="text1"/>
          <w:spacing w:val="0"/>
          <w:sz w:val="28"/>
          <w:szCs w:val="28"/>
          <w:highlight w:val="none"/>
          <w14:textFill>
            <w14:solidFill>
              <w14:schemeClr w14:val="tx1"/>
            </w14:solidFill>
          </w14:textFill>
        </w:rPr>
        <w:t>二、合同金额</w:t>
      </w:r>
      <w:bookmarkEnd w:id="244"/>
    </w:p>
    <w:p w14:paraId="38DCE72B">
      <w:pPr>
        <w:pStyle w:val="229"/>
        <w:keepNext w:val="0"/>
        <w:keepLines w:val="0"/>
        <w:pageBreakBefore w:val="0"/>
        <w:widowControl w:val="0"/>
        <w:shd w:val="clear" w:color="auto"/>
        <w:spacing w:line="520" w:lineRule="exact"/>
        <w:ind w:firstLine="480"/>
        <w:jc w:val="left"/>
        <w:rPr>
          <w:rStyle w:val="216"/>
          <w:rFonts w:hint="eastAsia" w:ascii="宋体" w:hAnsi="宋体" w:eastAsia="宋体" w:cs="宋体"/>
          <w:b/>
          <w:bCs/>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2.1 本合同金额为（大写）：</w:t>
      </w:r>
      <w:bookmarkStart w:id="245" w:name="zhongbiaopriceup"/>
      <w:bookmarkEnd w:id="245"/>
      <w:r>
        <w:rPr>
          <w:rStyle w:val="21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w:t>
      </w:r>
      <w:bookmarkStart w:id="246" w:name="zhongbiaopricelow_2"/>
      <w:bookmarkEnd w:id="246"/>
      <w:r>
        <w:rPr>
          <w:rStyle w:val="216"/>
          <w:rFonts w:hint="eastAsia" w:ascii="宋体" w:hAnsi="宋体" w:eastAsia="宋体" w:cs="宋体"/>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元）人民币。</w:t>
      </w:r>
    </w:p>
    <w:p w14:paraId="11861C49">
      <w:pPr>
        <w:pStyle w:val="229"/>
        <w:keepNext w:val="0"/>
        <w:keepLines w:val="0"/>
        <w:pageBreakBefore w:val="0"/>
        <w:widowControl w:val="0"/>
        <w:shd w:val="clear" w:color="auto"/>
        <w:spacing w:line="50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bookmarkStart w:id="247" w:name="_Toc28372"/>
      <w:bookmarkStart w:id="248" w:name="_Toc26003"/>
      <w:bookmarkStart w:id="249" w:name="_Toc27782"/>
      <w:r>
        <w:rPr>
          <w:rStyle w:val="216"/>
          <w:rFonts w:hint="eastAsia" w:ascii="宋体" w:hAnsi="宋体" w:eastAsia="宋体" w:cs="宋体"/>
          <w:color w:val="000000" w:themeColor="text1"/>
          <w:spacing w:val="0"/>
          <w:sz w:val="24"/>
          <w:highlight w:val="none"/>
          <w14:textFill>
            <w14:solidFill>
              <w14:schemeClr w14:val="tx1"/>
            </w14:solidFill>
          </w14:textFill>
        </w:rPr>
        <w:t>总价为综合报价，应包括但不限于人员费用（工资、福利、培训、社会保险等）、服务所用设备工具购置及维修费用、服务所用材料消耗费用、管理费用、利润、税金、政策性文件规定及合同包含的所有风险、责任等各项应有费用。</w:t>
      </w:r>
    </w:p>
    <w:p w14:paraId="67BB20B0">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50" w:name="_Toc30853"/>
      <w:r>
        <w:rPr>
          <w:rFonts w:hint="eastAsia" w:ascii="宋体" w:hAnsi="宋体" w:eastAsia="宋体" w:cs="宋体"/>
          <w:b/>
          <w:color w:val="000000" w:themeColor="text1"/>
          <w:spacing w:val="0"/>
          <w:sz w:val="28"/>
          <w:szCs w:val="28"/>
          <w:highlight w:val="none"/>
          <w14:textFill>
            <w14:solidFill>
              <w14:schemeClr w14:val="tx1"/>
            </w14:solidFill>
          </w14:textFill>
        </w:rPr>
        <w:t>三、</w:t>
      </w:r>
      <w:bookmarkEnd w:id="247"/>
      <w:bookmarkEnd w:id="248"/>
      <w:bookmarkEnd w:id="249"/>
      <w:r>
        <w:rPr>
          <w:rFonts w:hint="eastAsia" w:ascii="宋体" w:hAnsi="宋体" w:eastAsia="宋体" w:cs="宋体"/>
          <w:b/>
          <w:color w:val="000000" w:themeColor="text1"/>
          <w:spacing w:val="0"/>
          <w:sz w:val="28"/>
          <w:szCs w:val="28"/>
          <w:highlight w:val="none"/>
          <w14:textFill>
            <w14:solidFill>
              <w14:schemeClr w14:val="tx1"/>
            </w14:solidFill>
          </w14:textFill>
        </w:rPr>
        <w:t>技术资料</w:t>
      </w:r>
      <w:bookmarkEnd w:id="250"/>
    </w:p>
    <w:p w14:paraId="62B97928">
      <w:pPr>
        <w:pStyle w:val="229"/>
        <w:keepNext w:val="0"/>
        <w:keepLines w:val="0"/>
        <w:pageBreakBefore w:val="0"/>
        <w:widowControl w:val="0"/>
        <w:shd w:val="clear" w:color="auto"/>
        <w:spacing w:line="520" w:lineRule="exact"/>
        <w:ind w:firstLine="480"/>
        <w:jc w:val="left"/>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3.1 乙方应按招标文件规定的时间向甲方提供服务的有关技术资料。</w:t>
      </w:r>
    </w:p>
    <w:p w14:paraId="6D98C44C">
      <w:pPr>
        <w:pStyle w:val="229"/>
        <w:keepNext w:val="0"/>
        <w:keepLines w:val="0"/>
        <w:pageBreakBefore w:val="0"/>
        <w:widowControl w:val="0"/>
        <w:shd w:val="clear" w:color="auto"/>
        <w:spacing w:line="520" w:lineRule="exact"/>
        <w:ind w:firstLine="480"/>
        <w:jc w:val="left"/>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p>
    <w:p w14:paraId="7319242B">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51" w:name="_Toc21229"/>
      <w:bookmarkStart w:id="252" w:name="_Toc24157"/>
      <w:bookmarkStart w:id="253" w:name="_Toc21968"/>
      <w:bookmarkStart w:id="254" w:name="_Toc1934"/>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四</w:t>
      </w:r>
      <w:r>
        <w:rPr>
          <w:rFonts w:hint="eastAsia" w:ascii="宋体" w:hAnsi="宋体" w:eastAsia="宋体" w:cs="宋体"/>
          <w:b/>
          <w:color w:val="000000" w:themeColor="text1"/>
          <w:spacing w:val="0"/>
          <w:sz w:val="28"/>
          <w:szCs w:val="28"/>
          <w:highlight w:val="none"/>
          <w14:textFill>
            <w14:solidFill>
              <w14:schemeClr w14:val="tx1"/>
            </w14:solidFill>
          </w14:textFill>
        </w:rPr>
        <w:t>、履约保证金</w:t>
      </w:r>
      <w:bookmarkEnd w:id="251"/>
    </w:p>
    <w:p w14:paraId="69855A03">
      <w:pPr>
        <w:pStyle w:val="229"/>
        <w:keepNext w:val="0"/>
        <w:keepLines w:val="0"/>
        <w:pageBreakBefore w:val="0"/>
        <w:widowControl w:val="0"/>
        <w:shd w:val="clear" w:color="auto"/>
        <w:spacing w:line="520" w:lineRule="exact"/>
        <w:ind w:firstLine="480"/>
        <w:jc w:val="left"/>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4</w:t>
      </w:r>
      <w:r>
        <w:rPr>
          <w:rStyle w:val="216"/>
          <w:rFonts w:hint="eastAsia" w:ascii="宋体" w:hAnsi="宋体" w:eastAsia="宋体" w:cs="宋体"/>
          <w:color w:val="000000" w:themeColor="text1"/>
          <w:spacing w:val="0"/>
          <w:sz w:val="24"/>
          <w:highlight w:val="none"/>
          <w14:textFill>
            <w14:solidFill>
              <w14:schemeClr w14:val="tx1"/>
            </w14:solidFill>
          </w14:textFill>
        </w:rPr>
        <w:t>.1</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合同签订前，乙方向</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甲方</w:t>
      </w:r>
      <w:r>
        <w:rPr>
          <w:rStyle w:val="216"/>
          <w:rFonts w:hint="eastAsia" w:ascii="宋体" w:hAnsi="宋体" w:eastAsia="宋体" w:cs="宋体"/>
          <w:color w:val="000000" w:themeColor="text1"/>
          <w:spacing w:val="0"/>
          <w:sz w:val="24"/>
          <w:highlight w:val="none"/>
          <w14:textFill>
            <w14:solidFill>
              <w14:schemeClr w14:val="tx1"/>
            </w14:solidFill>
          </w14:textFill>
        </w:rPr>
        <w:t>交纳人民币</w:t>
      </w:r>
      <w:r>
        <w:rPr>
          <w:rStyle w:val="216"/>
          <w:rFonts w:hint="eastAsia" w:ascii="宋体" w:hAnsi="宋体" w:eastAsia="宋体" w:cs="宋体"/>
          <w:color w:val="000000" w:themeColor="text1"/>
          <w:spacing w:val="0"/>
          <w:sz w:val="24"/>
          <w:highlight w:val="none"/>
          <w:u w:val="single"/>
          <w14:textFill>
            <w14:solidFill>
              <w14:schemeClr w14:val="tx1"/>
            </w14:solidFill>
          </w14:textFill>
        </w:rPr>
        <w:t xml:space="preserve"> </w:t>
      </w:r>
      <w:bookmarkStart w:id="255" w:name="lvbzj"/>
      <w:r>
        <w:rPr>
          <w:rStyle w:val="216"/>
          <w:rFonts w:hint="eastAsia" w:ascii="宋体" w:hAnsi="宋体" w:eastAsia="宋体" w:cs="宋体"/>
          <w:color w:val="000000" w:themeColor="text1"/>
          <w:spacing w:val="0"/>
          <w:sz w:val="24"/>
          <w:highlight w:val="none"/>
          <w:u w:val="single"/>
          <w14:textFill>
            <w14:solidFill>
              <w14:schemeClr w14:val="tx1"/>
            </w14:solidFill>
          </w14:textFill>
        </w:rPr>
        <w:t xml:space="preserve">  </w:t>
      </w:r>
      <w:bookmarkEnd w:id="255"/>
      <w:r>
        <w:rPr>
          <w:rStyle w:val="216"/>
          <w:rFonts w:hint="eastAsia" w:ascii="宋体" w:hAnsi="宋体" w:eastAsia="宋体" w:cs="宋体"/>
          <w:color w:val="000000" w:themeColor="text1"/>
          <w:spacing w:val="0"/>
          <w:sz w:val="24"/>
          <w:highlight w:val="none"/>
          <w:u w:val="single"/>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元作为本合同的履约保证金。履约保证金应当以支票、汇票、本票或者金融机构、担保机构出具的保函等非现金形式提交。</w:t>
      </w:r>
    </w:p>
    <w:p w14:paraId="72FD2667">
      <w:pPr>
        <w:pStyle w:val="229"/>
        <w:keepNext w:val="0"/>
        <w:keepLines w:val="0"/>
        <w:pageBreakBefore w:val="0"/>
        <w:widowControl w:val="0"/>
        <w:shd w:val="clear" w:color="auto"/>
        <w:spacing w:line="520" w:lineRule="exact"/>
        <w:ind w:firstLine="480"/>
        <w:jc w:val="left"/>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4</w:t>
      </w:r>
      <w:r>
        <w:rPr>
          <w:rStyle w:val="216"/>
          <w:rFonts w:hint="eastAsia" w:ascii="宋体" w:hAnsi="宋体" w:eastAsia="宋体" w:cs="宋体"/>
          <w:color w:val="000000" w:themeColor="text1"/>
          <w:spacing w:val="0"/>
          <w:sz w:val="24"/>
          <w:highlight w:val="none"/>
          <w14:textFill>
            <w14:solidFill>
              <w14:schemeClr w14:val="tx1"/>
            </w14:solidFill>
          </w14:textFill>
        </w:rPr>
        <w:t>.2</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甲方付清全部合同金额的同时返还履约保证金。逾期退还的，应当支付逾期利息，且逾期利息的利率不得低于合同订立时 1 年期贷款市场报价利率。</w:t>
      </w:r>
    </w:p>
    <w:p w14:paraId="61C1FD26">
      <w:pPr>
        <w:pStyle w:val="229"/>
        <w:keepNext w:val="0"/>
        <w:keepLines w:val="0"/>
        <w:pageBreakBefore w:val="0"/>
        <w:widowControl w:val="0"/>
        <w:shd w:val="clear" w:color="auto"/>
        <w:spacing w:line="520" w:lineRule="exact"/>
        <w:ind w:firstLine="480"/>
        <w:jc w:val="left"/>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4</w:t>
      </w:r>
      <w:r>
        <w:rPr>
          <w:rStyle w:val="216"/>
          <w:rFonts w:hint="eastAsia" w:ascii="宋体" w:hAnsi="宋体" w:eastAsia="宋体" w:cs="宋体"/>
          <w:color w:val="000000" w:themeColor="text1"/>
          <w:spacing w:val="0"/>
          <w:sz w:val="24"/>
          <w:highlight w:val="none"/>
          <w14:textFill>
            <w14:solidFill>
              <w14:schemeClr w14:val="tx1"/>
            </w14:solidFill>
          </w14:textFill>
        </w:rPr>
        <w:t>.3</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乙方不履行与甲方订立的合同的，履约保证金不予退还。</w:t>
      </w:r>
    </w:p>
    <w:p w14:paraId="29508E34">
      <w:pPr>
        <w:pStyle w:val="229"/>
        <w:keepNext w:val="0"/>
        <w:keepLines w:val="0"/>
        <w:pageBreakBefore w:val="0"/>
        <w:widowControl w:val="0"/>
        <w:shd w:val="clear" w:color="auto"/>
        <w:spacing w:line="520" w:lineRule="exact"/>
        <w:ind w:firstLine="480"/>
        <w:jc w:val="left"/>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4</w:t>
      </w:r>
      <w:r>
        <w:rPr>
          <w:rStyle w:val="216"/>
          <w:rFonts w:hint="eastAsia" w:ascii="宋体" w:hAnsi="宋体" w:eastAsia="宋体" w:cs="宋体"/>
          <w:color w:val="000000" w:themeColor="text1"/>
          <w:spacing w:val="0"/>
          <w:sz w:val="24"/>
          <w:highlight w:val="none"/>
          <w14:textFill>
            <w14:solidFill>
              <w14:schemeClr w14:val="tx1"/>
            </w14:solidFill>
          </w14:textFill>
        </w:rPr>
        <w:t>.4</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p>
    <w:p w14:paraId="5CB2B7C1">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56" w:name="_Toc26041"/>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五</w:t>
      </w:r>
      <w:r>
        <w:rPr>
          <w:rFonts w:hint="eastAsia" w:ascii="宋体" w:hAnsi="宋体" w:eastAsia="宋体" w:cs="宋体"/>
          <w:b/>
          <w:color w:val="000000" w:themeColor="text1"/>
          <w:spacing w:val="0"/>
          <w:sz w:val="28"/>
          <w:szCs w:val="28"/>
          <w:highlight w:val="none"/>
          <w14:textFill>
            <w14:solidFill>
              <w14:schemeClr w14:val="tx1"/>
            </w14:solidFill>
          </w14:textFill>
        </w:rPr>
        <w:t>、转包或分包</w:t>
      </w:r>
      <w:bookmarkEnd w:id="252"/>
      <w:bookmarkEnd w:id="253"/>
      <w:bookmarkEnd w:id="254"/>
      <w:bookmarkEnd w:id="256"/>
    </w:p>
    <w:p w14:paraId="0D91EFE8">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5</w:t>
      </w:r>
      <w:r>
        <w:rPr>
          <w:rStyle w:val="216"/>
          <w:rFonts w:hint="eastAsia" w:ascii="宋体" w:hAnsi="宋体" w:eastAsia="宋体" w:cs="宋体"/>
          <w:color w:val="000000" w:themeColor="text1"/>
          <w:spacing w:val="0"/>
          <w:sz w:val="24"/>
          <w:highlight w:val="none"/>
          <w14:textFill>
            <w14:solidFill>
              <w14:schemeClr w14:val="tx1"/>
            </w14:solidFill>
          </w14:textFill>
        </w:rPr>
        <w:t>.1 本合同范围的服务，应由乙方直接提供，不得转让他人提供。</w:t>
      </w:r>
    </w:p>
    <w:p w14:paraId="4C8876C8">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5</w:t>
      </w:r>
      <w:r>
        <w:rPr>
          <w:rStyle w:val="216"/>
          <w:rFonts w:hint="eastAsia" w:ascii="宋体" w:hAnsi="宋体" w:eastAsia="宋体" w:cs="宋体"/>
          <w:color w:val="000000" w:themeColor="text1"/>
          <w:spacing w:val="0"/>
          <w:sz w:val="24"/>
          <w:highlight w:val="none"/>
          <w14:textFill>
            <w14:solidFill>
              <w14:schemeClr w14:val="tx1"/>
            </w14:solidFill>
          </w14:textFill>
        </w:rPr>
        <w:t>.2 如有转包和分包行为，甲方有权给予终止合同。</w:t>
      </w:r>
    </w:p>
    <w:p w14:paraId="33C5E116">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pPr>
      <w:bookmarkStart w:id="257" w:name="_Toc2386"/>
      <w:bookmarkStart w:id="258" w:name="_Toc18624"/>
      <w:bookmarkStart w:id="259" w:name="_Toc32090"/>
      <w:bookmarkStart w:id="260" w:name="_Toc7612"/>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六</w:t>
      </w:r>
      <w:r>
        <w:rPr>
          <w:rFonts w:hint="eastAsia" w:ascii="宋体" w:hAnsi="宋体" w:eastAsia="宋体" w:cs="宋体"/>
          <w:b/>
          <w:color w:val="000000" w:themeColor="text1"/>
          <w:spacing w:val="0"/>
          <w:sz w:val="28"/>
          <w:szCs w:val="28"/>
          <w:highlight w:val="none"/>
          <w14:textFill>
            <w14:solidFill>
              <w14:schemeClr w14:val="tx1"/>
            </w14:solidFill>
          </w14:textFill>
        </w:rPr>
        <w:t>、服务期限</w:t>
      </w:r>
      <w:bookmarkEnd w:id="257"/>
      <w:bookmarkEnd w:id="258"/>
      <w:bookmarkEnd w:id="259"/>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及服务地点</w:t>
      </w:r>
      <w:bookmarkEnd w:id="260"/>
    </w:p>
    <w:p w14:paraId="3163BAF4">
      <w:pPr>
        <w:pStyle w:val="229"/>
        <w:keepNext w:val="0"/>
        <w:keepLines w:val="0"/>
        <w:pageBreakBefore w:val="0"/>
        <w:widowControl w:val="0"/>
        <w:shd w:val="clear" w:color="auto"/>
        <w:spacing w:line="520" w:lineRule="exact"/>
        <w:ind w:firstLine="480"/>
        <w:rPr>
          <w:rStyle w:val="216"/>
          <w:rFonts w:hint="eastAsia" w:ascii="宋体" w:hAnsi="宋体" w:eastAsia="宋体" w:cs="宋体"/>
          <w:bCs/>
          <w:color w:val="000000" w:themeColor="text1"/>
          <w:spacing w:val="0"/>
          <w:sz w:val="24"/>
          <w:highlight w:val="none"/>
          <w14:textFill>
            <w14:solidFill>
              <w14:schemeClr w14:val="tx1"/>
            </w14:solidFill>
          </w14:textFill>
        </w:rPr>
      </w:pPr>
      <w:r>
        <w:rPr>
          <w:rStyle w:val="216"/>
          <w:rFonts w:hint="eastAsia" w:ascii="宋体" w:hAnsi="宋体" w:eastAsia="宋体" w:cs="宋体"/>
          <w:bCs/>
          <w:color w:val="000000" w:themeColor="text1"/>
          <w:spacing w:val="0"/>
          <w:sz w:val="24"/>
          <w:highlight w:val="none"/>
          <w:lang w:val="en-US"/>
          <w14:textFill>
            <w14:solidFill>
              <w14:schemeClr w14:val="tx1"/>
            </w14:solidFill>
          </w14:textFill>
        </w:rPr>
        <w:t>6</w:t>
      </w:r>
      <w:r>
        <w:rPr>
          <w:rStyle w:val="216"/>
          <w:rFonts w:hint="eastAsia" w:ascii="宋体" w:hAnsi="宋体" w:eastAsia="宋体" w:cs="宋体"/>
          <w:bCs/>
          <w:color w:val="000000" w:themeColor="text1"/>
          <w:spacing w:val="0"/>
          <w:sz w:val="24"/>
          <w:highlight w:val="none"/>
          <w14:textFill>
            <w14:solidFill>
              <w14:schemeClr w14:val="tx1"/>
            </w14:solidFill>
          </w14:textFill>
        </w:rPr>
        <w:t>.1 服务期限：</w:t>
      </w:r>
      <w:bookmarkStart w:id="261" w:name="fuwuqixian"/>
      <w:bookmarkEnd w:id="261"/>
      <w:r>
        <w:rPr>
          <w:rStyle w:val="21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个月</w:t>
      </w:r>
      <w:r>
        <w:rPr>
          <w:rStyle w:val="216"/>
          <w:rFonts w:hint="eastAsia" w:ascii="宋体" w:hAnsi="宋体" w:eastAsia="宋体" w:cs="宋体"/>
          <w:bCs/>
          <w:caps w:val="0"/>
          <w:smallCaps w:val="0"/>
          <w:color w:val="000000" w:themeColor="text1"/>
          <w:spacing w:val="0"/>
          <w:sz w:val="24"/>
          <w:highlight w:val="none"/>
          <w:u w:val="none"/>
          <w:shd w:val="clear" w:color="auto" w:fill="auto"/>
          <w:lang w:val="en-US" w:eastAsia="zh-CN"/>
          <w14:textFill>
            <w14:solidFill>
              <w14:schemeClr w14:val="tx1"/>
            </w14:solidFill>
          </w14:textFill>
        </w:rPr>
        <w:t>，自</w:t>
      </w:r>
      <w:r>
        <w:rPr>
          <w:rStyle w:val="21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年    月    日至    年    月    日止</w:t>
      </w:r>
      <w:r>
        <w:rPr>
          <w:rStyle w:val="216"/>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w:t>
      </w:r>
    </w:p>
    <w:p w14:paraId="7B98A535">
      <w:pPr>
        <w:pStyle w:val="229"/>
        <w:keepNext w:val="0"/>
        <w:keepLines w:val="0"/>
        <w:pageBreakBefore w:val="0"/>
        <w:widowControl w:val="0"/>
        <w:shd w:val="clear" w:color="auto"/>
        <w:spacing w:line="520" w:lineRule="exact"/>
        <w:ind w:firstLine="480"/>
        <w:rPr>
          <w:rStyle w:val="216"/>
          <w:rFonts w:hint="eastAsia" w:ascii="宋体" w:hAnsi="宋体" w:eastAsia="宋体" w:cs="宋体"/>
          <w:bCs/>
          <w:color w:val="000000" w:themeColor="text1"/>
          <w:spacing w:val="0"/>
          <w:sz w:val="24"/>
          <w:highlight w:val="none"/>
          <w14:textFill>
            <w14:solidFill>
              <w14:schemeClr w14:val="tx1"/>
            </w14:solidFill>
          </w14:textFill>
        </w:rPr>
      </w:pPr>
      <w:r>
        <w:rPr>
          <w:rStyle w:val="216"/>
          <w:rFonts w:hint="eastAsia" w:ascii="宋体" w:hAnsi="宋体" w:eastAsia="宋体" w:cs="宋体"/>
          <w:bCs/>
          <w:color w:val="000000" w:themeColor="text1"/>
          <w:spacing w:val="0"/>
          <w:sz w:val="24"/>
          <w:highlight w:val="none"/>
          <w:lang w:val="en-US"/>
          <w14:textFill>
            <w14:solidFill>
              <w14:schemeClr w14:val="tx1"/>
            </w14:solidFill>
          </w14:textFill>
        </w:rPr>
        <w:t>6</w:t>
      </w:r>
      <w:r>
        <w:rPr>
          <w:rStyle w:val="216"/>
          <w:rFonts w:hint="eastAsia" w:ascii="宋体" w:hAnsi="宋体" w:eastAsia="宋体" w:cs="宋体"/>
          <w:bCs/>
          <w:color w:val="000000" w:themeColor="text1"/>
          <w:spacing w:val="0"/>
          <w:sz w:val="24"/>
          <w:highlight w:val="none"/>
          <w14:textFill>
            <w14:solidFill>
              <w14:schemeClr w14:val="tx1"/>
            </w14:solidFill>
          </w14:textFill>
        </w:rPr>
        <w:t>.2 服务</w:t>
      </w:r>
      <w:r>
        <w:rPr>
          <w:rStyle w:val="216"/>
          <w:rFonts w:hint="eastAsia" w:ascii="宋体" w:hAnsi="宋体" w:eastAsia="宋体" w:cs="宋体"/>
          <w:bCs/>
          <w:color w:val="000000" w:themeColor="text1"/>
          <w:spacing w:val="0"/>
          <w:sz w:val="24"/>
          <w:highlight w:val="none"/>
          <w:lang w:val="en-US"/>
          <w14:textFill>
            <w14:solidFill>
              <w14:schemeClr w14:val="tx1"/>
            </w14:solidFill>
          </w14:textFill>
        </w:rPr>
        <w:t>地点</w:t>
      </w:r>
      <w:r>
        <w:rPr>
          <w:rStyle w:val="216"/>
          <w:rFonts w:hint="eastAsia" w:ascii="宋体" w:hAnsi="宋体" w:eastAsia="宋体" w:cs="宋体"/>
          <w:bCs/>
          <w:color w:val="000000" w:themeColor="text1"/>
          <w:spacing w:val="0"/>
          <w:sz w:val="24"/>
          <w:highlight w:val="none"/>
          <w14:textFill>
            <w14:solidFill>
              <w14:schemeClr w14:val="tx1"/>
            </w14:solidFill>
          </w14:textFill>
        </w:rPr>
        <w:t>：</w:t>
      </w:r>
      <w:r>
        <w:rPr>
          <w:rStyle w:val="21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w:t>
      </w:r>
    </w:p>
    <w:p w14:paraId="35478B66">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lang w:eastAsia="zh-CN"/>
          <w14:textFill>
            <w14:solidFill>
              <w14:schemeClr w14:val="tx1"/>
            </w14:solidFill>
          </w14:textFill>
        </w:rPr>
      </w:pPr>
      <w:bookmarkStart w:id="262" w:name="_Toc27764"/>
      <w:bookmarkStart w:id="263" w:name="_Toc15021"/>
      <w:bookmarkStart w:id="264" w:name="_Toc23352"/>
      <w:bookmarkStart w:id="265" w:name="_Toc24877"/>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七</w:t>
      </w:r>
      <w:r>
        <w:rPr>
          <w:rFonts w:hint="eastAsia" w:ascii="宋体" w:hAnsi="宋体" w:eastAsia="宋体" w:cs="宋体"/>
          <w:b/>
          <w:color w:val="000000" w:themeColor="text1"/>
          <w:spacing w:val="0"/>
          <w:sz w:val="28"/>
          <w:szCs w:val="28"/>
          <w:highlight w:val="none"/>
          <w14:textFill>
            <w14:solidFill>
              <w14:schemeClr w14:val="tx1"/>
            </w14:solidFill>
          </w14:textFill>
        </w:rPr>
        <w:t>、</w:t>
      </w:r>
      <w:bookmarkEnd w:id="262"/>
      <w:bookmarkEnd w:id="263"/>
      <w:bookmarkEnd w:id="264"/>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支付方式</w:t>
      </w:r>
      <w:bookmarkEnd w:id="265"/>
    </w:p>
    <w:p w14:paraId="5ACA24EE">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bCs/>
          <w:color w:val="000000" w:themeColor="text1"/>
          <w:spacing w:val="0"/>
          <w:sz w:val="24"/>
          <w:highlight w:val="none"/>
          <w:lang w:val="en-US"/>
          <w14:textFill>
            <w14:solidFill>
              <w14:schemeClr w14:val="tx1"/>
            </w14:solidFill>
          </w14:textFill>
        </w:rPr>
        <w:t>7</w:t>
      </w:r>
      <w:r>
        <w:rPr>
          <w:rStyle w:val="216"/>
          <w:rFonts w:hint="eastAsia" w:ascii="宋体" w:hAnsi="宋体" w:eastAsia="宋体" w:cs="宋体"/>
          <w:bCs/>
          <w:color w:val="000000" w:themeColor="text1"/>
          <w:spacing w:val="0"/>
          <w:sz w:val="24"/>
          <w:highlight w:val="none"/>
          <w14:textFill>
            <w14:solidFill>
              <w14:schemeClr w14:val="tx1"/>
            </w14:solidFill>
          </w14:textFill>
        </w:rPr>
        <w:t xml:space="preserve">.1 </w:t>
      </w:r>
      <w:r>
        <w:rPr>
          <w:rStyle w:val="216"/>
          <w:rFonts w:hint="eastAsia" w:ascii="宋体" w:hAnsi="宋体" w:eastAsia="宋体" w:cs="宋体"/>
          <w:color w:val="000000" w:themeColor="text1"/>
          <w:spacing w:val="0"/>
          <w:sz w:val="24"/>
          <w:highlight w:val="none"/>
          <w14:textFill>
            <w14:solidFill>
              <w14:schemeClr w14:val="tx1"/>
            </w14:solidFill>
          </w14:textFill>
        </w:rPr>
        <w:t>结付程序：</w:t>
      </w:r>
      <w:bookmarkStart w:id="266" w:name="jiefuchengxu"/>
      <w:bookmarkEnd w:id="266"/>
      <w:r>
        <w:rPr>
          <w:rStyle w:val="21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w:t>
      </w:r>
    </w:p>
    <w:p w14:paraId="0A49A4E0">
      <w:pPr>
        <w:pStyle w:val="229"/>
        <w:keepNext w:val="0"/>
        <w:keepLines w:val="0"/>
        <w:pageBreakBefore w:val="0"/>
        <w:widowControl w:val="0"/>
        <w:shd w:val="clear" w:color="auto"/>
        <w:spacing w:line="520" w:lineRule="exact"/>
        <w:ind w:firstLine="480"/>
        <w:rPr>
          <w:rStyle w:val="216"/>
          <w:rFonts w:hint="eastAsia" w:ascii="宋体" w:hAnsi="宋体" w:eastAsia="宋体" w:cs="宋体"/>
          <w:bCs/>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7</w:t>
      </w:r>
      <w:r>
        <w:rPr>
          <w:rStyle w:val="216"/>
          <w:rFonts w:hint="eastAsia" w:ascii="宋体" w:hAnsi="宋体" w:eastAsia="宋体" w:cs="宋体"/>
          <w:color w:val="000000" w:themeColor="text1"/>
          <w:spacing w:val="0"/>
          <w:sz w:val="24"/>
          <w:highlight w:val="none"/>
          <w14:textFill>
            <w14:solidFill>
              <w14:schemeClr w14:val="tx1"/>
            </w14:solidFill>
          </w14:textFill>
        </w:rPr>
        <w:t>.2</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结付期限：</w:t>
      </w:r>
      <w:bookmarkStart w:id="267" w:name="jiefuqixian"/>
      <w:bookmarkEnd w:id="267"/>
      <w:r>
        <w:rPr>
          <w:rStyle w:val="21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highlight w:val="none"/>
          <w:shd w:val="clear" w:color="auto" w:fill="auto"/>
          <w:lang w:val="en-US" w:eastAsia="zh-CN"/>
          <w14:textFill>
            <w14:solidFill>
              <w14:schemeClr w14:val="tx1"/>
            </w14:solidFill>
          </w14:textFill>
        </w:rPr>
        <w:t>。</w:t>
      </w:r>
    </w:p>
    <w:p w14:paraId="6971FDE9">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7</w:t>
      </w:r>
      <w:r>
        <w:rPr>
          <w:rStyle w:val="216"/>
          <w:rFonts w:hint="eastAsia" w:ascii="宋体" w:hAnsi="宋体" w:eastAsia="宋体" w:cs="宋体"/>
          <w:color w:val="000000" w:themeColor="text1"/>
          <w:spacing w:val="0"/>
          <w:sz w:val="24"/>
          <w:highlight w:val="none"/>
          <w14:textFill>
            <w14:solidFill>
              <w14:schemeClr w14:val="tx1"/>
            </w14:solidFill>
          </w14:textFill>
        </w:rPr>
        <w:t>.3</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乙方收款账户：</w:t>
      </w:r>
      <w:bookmarkStart w:id="268" w:name="yifangzhanghao"/>
      <w:bookmarkEnd w:id="268"/>
      <w:r>
        <w:rPr>
          <w:rStyle w:val="216"/>
          <w:rFonts w:hint="eastAsia" w:ascii="宋体" w:hAnsi="宋体" w:eastAsia="宋体" w:cs="宋体"/>
          <w:bCs/>
          <w:caps w:val="0"/>
          <w:smallCaps w:val="0"/>
          <w:color w:val="000000" w:themeColor="text1"/>
          <w:spacing w:val="0"/>
          <w:sz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highlight w:val="none"/>
          <w:u w:val="single"/>
          <w:shd w:val="clear" w:color="auto" w:fill="auto"/>
          <w:lang w:val="en-US" w:eastAsia="zh-CN"/>
          <w14:textFill>
            <w14:solidFill>
              <w14:schemeClr w14:val="tx1"/>
            </w14:solidFill>
          </w14:textFill>
        </w:rPr>
        <w:t xml:space="preserve">                                             </w:t>
      </w:r>
      <w:r>
        <w:rPr>
          <w:rStyle w:val="216"/>
          <w:rFonts w:hint="eastAsia" w:ascii="宋体" w:hAnsi="宋体" w:eastAsia="宋体" w:cs="宋体"/>
          <w:color w:val="000000" w:themeColor="text1"/>
          <w:spacing w:val="0"/>
          <w:sz w:val="24"/>
          <w:highlight w:val="none"/>
          <w14:textFill>
            <w14:solidFill>
              <w14:schemeClr w14:val="tx1"/>
            </w14:solidFill>
          </w14:textFill>
        </w:rPr>
        <w:t>。</w:t>
      </w:r>
    </w:p>
    <w:p w14:paraId="4410E5BE">
      <w:pPr>
        <w:pStyle w:val="230"/>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bCs/>
          <w:color w:val="000000" w:themeColor="text1"/>
          <w:spacing w:val="0"/>
          <w:sz w:val="24"/>
          <w:szCs w:val="24"/>
          <w:highlight w:val="none"/>
          <w:lang w:val="en-US"/>
          <w14:textFill>
            <w14:solidFill>
              <w14:schemeClr w14:val="tx1"/>
            </w14:solidFill>
          </w14:textFill>
        </w:rPr>
        <w:t>7</w:t>
      </w:r>
      <w:r>
        <w:rPr>
          <w:rStyle w:val="216"/>
          <w:rFonts w:hint="eastAsia" w:ascii="宋体" w:hAnsi="宋体" w:eastAsia="宋体" w:cs="宋体"/>
          <w:bCs/>
          <w:color w:val="000000" w:themeColor="text1"/>
          <w:spacing w:val="0"/>
          <w:sz w:val="24"/>
          <w:szCs w:val="24"/>
          <w:highlight w:val="none"/>
          <w14:textFill>
            <w14:solidFill>
              <w14:schemeClr w14:val="tx1"/>
            </w14:solidFill>
          </w14:textFill>
        </w:rPr>
        <w:t>.4</w:t>
      </w:r>
      <w:r>
        <w:rPr>
          <w:rStyle w:val="216"/>
          <w:rFonts w:hint="eastAsia" w:ascii="宋体" w:hAnsi="宋体" w:eastAsia="宋体" w:cs="宋体"/>
          <w:bCs/>
          <w:color w:val="000000" w:themeColor="text1"/>
          <w:spacing w:val="0"/>
          <w:sz w:val="24"/>
          <w:szCs w:val="24"/>
          <w:highlight w:val="none"/>
          <w:lang w:val="en-US"/>
          <w14:textFill>
            <w14:solidFill>
              <w14:schemeClr w14:val="tx1"/>
            </w14:solidFill>
          </w14:textFill>
        </w:rPr>
        <w:t xml:space="preserve"> </w:t>
      </w:r>
      <w:r>
        <w:rPr>
          <w:rStyle w:val="216"/>
          <w:rFonts w:hint="eastAsia" w:ascii="宋体" w:hAnsi="宋体" w:eastAsia="宋体" w:cs="宋体"/>
          <w:color w:val="000000" w:themeColor="text1"/>
          <w:spacing w:val="0"/>
          <w:sz w:val="24"/>
          <w:szCs w:val="24"/>
          <w:highlight w:val="none"/>
          <w14:textFill>
            <w14:solidFill>
              <w14:schemeClr w14:val="tx1"/>
            </w14:solidFill>
          </w14:textFill>
        </w:rPr>
        <w:t>甲方合同款支付方式：</w:t>
      </w:r>
      <w:bookmarkStart w:id="269" w:name="hetongzhifutype"/>
      <w:bookmarkEnd w:id="269"/>
      <w:r>
        <w:rPr>
          <w:rStyle w:val="216"/>
          <w:rFonts w:hint="eastAsia" w:ascii="宋体" w:hAnsi="宋体" w:eastAsia="宋体" w:cs="宋体"/>
          <w:bCs/>
          <w:caps w:val="0"/>
          <w:smallCaps w:val="0"/>
          <w:color w:val="000000" w:themeColor="text1"/>
          <w:spacing w:val="0"/>
          <w:sz w:val="24"/>
          <w:szCs w:val="24"/>
          <w:highlight w:val="none"/>
          <w:u w:val="single"/>
          <w:shd w:val="clear" w:color="auto" w:fill="auto"/>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216"/>
          <w:rFonts w:hint="eastAsia" w:ascii="宋体" w:hAnsi="宋体" w:eastAsia="宋体" w:cs="宋体"/>
          <w:bCs/>
          <w:caps w:val="0"/>
          <w:smallCaps w:val="0"/>
          <w:color w:val="000000" w:themeColor="text1"/>
          <w:spacing w:val="0"/>
          <w:sz w:val="24"/>
          <w:szCs w:val="24"/>
          <w:highlight w:val="none"/>
          <w:shd w:val="clear" w:color="auto" w:fill="auto"/>
          <w:lang w:val="en-US" w:eastAsia="zh-CN"/>
          <w14:textFill>
            <w14:solidFill>
              <w14:schemeClr w14:val="tx1"/>
            </w14:solidFill>
          </w14:textFill>
        </w:rPr>
        <w:t>。</w:t>
      </w:r>
      <w:r>
        <w:rPr>
          <w:rStyle w:val="216"/>
          <w:rFonts w:hint="eastAsia" w:ascii="宋体" w:hAnsi="宋体" w:eastAsia="宋体" w:cs="宋体"/>
          <w:color w:val="000000" w:themeColor="text1"/>
          <w:spacing w:val="0"/>
          <w:sz w:val="24"/>
          <w:szCs w:val="24"/>
          <w:highlight w:val="none"/>
          <w14:textFill>
            <w14:solidFill>
              <w14:schemeClr w14:val="tx1"/>
            </w14:solidFill>
          </w14:textFill>
        </w:rPr>
        <w:t>（若乙方为中小企业，不得强制其接受非现金支付方式）。</w:t>
      </w:r>
    </w:p>
    <w:p w14:paraId="3A310DB6">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70" w:name="_Toc30997"/>
      <w:bookmarkStart w:id="271" w:name="_Toc9918"/>
      <w:bookmarkStart w:id="272" w:name="_Toc24156"/>
      <w:bookmarkStart w:id="273" w:name="_Toc20688"/>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八</w:t>
      </w:r>
      <w:r>
        <w:rPr>
          <w:rFonts w:hint="eastAsia" w:ascii="宋体" w:hAnsi="宋体" w:eastAsia="宋体" w:cs="宋体"/>
          <w:b/>
          <w:color w:val="000000" w:themeColor="text1"/>
          <w:spacing w:val="0"/>
          <w:sz w:val="28"/>
          <w:szCs w:val="28"/>
          <w:highlight w:val="none"/>
          <w14:textFill>
            <w14:solidFill>
              <w14:schemeClr w14:val="tx1"/>
            </w14:solidFill>
          </w14:textFill>
        </w:rPr>
        <w:t>、税</w:t>
      </w:r>
      <w:bookmarkEnd w:id="270"/>
      <w:bookmarkEnd w:id="271"/>
      <w:bookmarkEnd w:id="272"/>
      <w:bookmarkEnd w:id="273"/>
    </w:p>
    <w:p w14:paraId="7FB1EF80">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8</w:t>
      </w:r>
      <w:r>
        <w:rPr>
          <w:rStyle w:val="216"/>
          <w:rFonts w:hint="eastAsia" w:ascii="宋体" w:hAnsi="宋体" w:eastAsia="宋体" w:cs="宋体"/>
          <w:color w:val="000000" w:themeColor="text1"/>
          <w:spacing w:val="0"/>
          <w:sz w:val="24"/>
          <w:highlight w:val="none"/>
          <w14:textFill>
            <w14:solidFill>
              <w14:schemeClr w14:val="tx1"/>
            </w14:solidFill>
          </w14:textFill>
        </w:rPr>
        <w:t>.1 本合同执行中相关的一切税费均由乙方负担。</w:t>
      </w:r>
    </w:p>
    <w:p w14:paraId="063E29AE">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74" w:name="_Toc9796"/>
      <w:bookmarkStart w:id="275" w:name="_Toc22886"/>
      <w:bookmarkStart w:id="276" w:name="_Toc24001"/>
      <w:bookmarkStart w:id="277" w:name="_Toc12921"/>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九</w:t>
      </w:r>
      <w:r>
        <w:rPr>
          <w:rFonts w:hint="eastAsia" w:ascii="宋体" w:hAnsi="宋体" w:eastAsia="宋体" w:cs="宋体"/>
          <w:b/>
          <w:color w:val="000000" w:themeColor="text1"/>
          <w:spacing w:val="0"/>
          <w:sz w:val="28"/>
          <w:szCs w:val="28"/>
          <w:highlight w:val="none"/>
          <w14:textFill>
            <w14:solidFill>
              <w14:schemeClr w14:val="tx1"/>
            </w14:solidFill>
          </w14:textFill>
        </w:rPr>
        <w:t>、管理事项</w:t>
      </w:r>
      <w:bookmarkEnd w:id="274"/>
      <w:bookmarkEnd w:id="275"/>
      <w:bookmarkEnd w:id="276"/>
      <w:bookmarkEnd w:id="277"/>
    </w:p>
    <w:p w14:paraId="45B0C745">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9</w:t>
      </w:r>
      <w:r>
        <w:rPr>
          <w:rStyle w:val="216"/>
          <w:rFonts w:hint="eastAsia" w:ascii="宋体" w:hAnsi="宋体" w:eastAsia="宋体" w:cs="宋体"/>
          <w:color w:val="000000" w:themeColor="text1"/>
          <w:spacing w:val="0"/>
          <w:sz w:val="24"/>
          <w:highlight w:val="none"/>
          <w14:textFill>
            <w14:solidFill>
              <w14:schemeClr w14:val="tx1"/>
            </w14:solidFill>
          </w14:textFill>
        </w:rPr>
        <w:t>.1 按招标内容要求以及响应单位的承诺项目阐述。</w:t>
      </w:r>
    </w:p>
    <w:p w14:paraId="3255D84D">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78" w:name="_Toc5187"/>
      <w:bookmarkStart w:id="279" w:name="_Toc11419"/>
      <w:bookmarkStart w:id="280" w:name="_Toc6073"/>
      <w:bookmarkStart w:id="281" w:name="_Toc7595"/>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十</w:t>
      </w:r>
      <w:r>
        <w:rPr>
          <w:rFonts w:hint="eastAsia" w:ascii="宋体" w:hAnsi="宋体" w:eastAsia="宋体" w:cs="宋体"/>
          <w:b/>
          <w:color w:val="000000" w:themeColor="text1"/>
          <w:spacing w:val="0"/>
          <w:sz w:val="28"/>
          <w:szCs w:val="28"/>
          <w:highlight w:val="none"/>
          <w14:textFill>
            <w14:solidFill>
              <w14:schemeClr w14:val="tx1"/>
            </w14:solidFill>
          </w14:textFill>
        </w:rPr>
        <w:t>、双方权利义务</w:t>
      </w:r>
      <w:bookmarkEnd w:id="278"/>
      <w:bookmarkEnd w:id="279"/>
      <w:bookmarkEnd w:id="280"/>
      <w:bookmarkEnd w:id="281"/>
    </w:p>
    <w:p w14:paraId="3DDC24C0">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bookmarkStart w:id="282" w:name="_Toc30348"/>
      <w:bookmarkStart w:id="283" w:name="_Toc10339"/>
      <w:bookmarkStart w:id="284" w:name="_Toc407"/>
      <w:r>
        <w:rPr>
          <w:rStyle w:val="216"/>
          <w:rFonts w:hint="eastAsia" w:ascii="宋体" w:hAnsi="宋体" w:eastAsia="宋体" w:cs="宋体"/>
          <w:color w:val="000000" w:themeColor="text1"/>
          <w:spacing w:val="0"/>
          <w:sz w:val="24"/>
          <w:highlight w:val="none"/>
          <w:lang w:val="en-US"/>
          <w14:textFill>
            <w14:solidFill>
              <w14:schemeClr w14:val="tx1"/>
            </w14:solidFill>
          </w14:textFill>
        </w:rPr>
        <w:t>10.1 甲方的权利和义务</w:t>
      </w:r>
    </w:p>
    <w:p w14:paraId="5181F975">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(1)甲方制定的委托乙方承担的项目管理内容。（详见项目需求）</w:t>
      </w:r>
    </w:p>
    <w:p w14:paraId="00452FEC">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(2)检查监督乙方管理工作的实施及制度的执行情况，并进行考核。</w:t>
      </w:r>
    </w:p>
    <w:p w14:paraId="04CFD7E6">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(3)审定乙方提出的项目管理计划。</w:t>
      </w:r>
    </w:p>
    <w:p w14:paraId="2C61C027">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(4)协调处理本合同生效前发生的管理遗留问题。</w:t>
      </w:r>
    </w:p>
    <w:p w14:paraId="23F96DDF">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(5)协助乙方做好项目管理工作的宣传教育。</w:t>
      </w:r>
    </w:p>
    <w:p w14:paraId="508DC8BA">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(6)乙方有违约行为的，甲方有权解除合同并没收履约保证金及向乙方支付实际合同期内扣除考核扣款后的全部余款。</w:t>
      </w:r>
    </w:p>
    <w:p w14:paraId="5F37B0A5">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(7)甲方有权对中标后再转包或分包的乙方终止承包合同。</w:t>
      </w:r>
    </w:p>
    <w:p w14:paraId="7C787CAD">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(8)甲方有权在服务期内根据实际情况提出修改考核细则，并经与乙方协商确认后，按新的考核细则执行考核。</w:t>
      </w:r>
    </w:p>
    <w:p w14:paraId="4A986AE5">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10.2 乙方的权利和义务</w:t>
      </w:r>
    </w:p>
    <w:p w14:paraId="457EEB11">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(1)根据有关法律、法规及本合同的约定，制订项目管理制度。</w:t>
      </w:r>
    </w:p>
    <w:p w14:paraId="7A53D518">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(2)按合同约定，履行项目管理职责。</w:t>
      </w:r>
    </w:p>
    <w:p w14:paraId="02623CD8">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(3)负责编制项目管理年度管理计划。</w:t>
      </w:r>
    </w:p>
    <w:p w14:paraId="650D3D41">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(4)工作人员统一着装，并作好相关劳动安全防护工作，严格遵守各项管理规定。</w:t>
      </w:r>
    </w:p>
    <w:p w14:paraId="35F77007">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(5)如遇张家港市的各项重要活动、参观接待时，乙方应及时组织人员到位，完成各项突击任务。</w:t>
      </w:r>
    </w:p>
    <w:p w14:paraId="371F4313">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(6)乙方必须规范用工，签订用工合同。</w:t>
      </w:r>
    </w:p>
    <w:p w14:paraId="71248467">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(7)本合同终止时，乙方须向甲方移交项目管理全部档案资料，并对前述档案资料、协议内容等履行本协议过程中获取或知悉的甲方任何未对外公开的信息负有保密义务，不向第三方披露或者用于本协议之外的目的。</w:t>
      </w:r>
    </w:p>
    <w:p w14:paraId="116B652E">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85" w:name="_Toc3705"/>
      <w:r>
        <w:rPr>
          <w:rFonts w:hint="eastAsia" w:ascii="宋体" w:hAnsi="宋体" w:eastAsia="宋体" w:cs="宋体"/>
          <w:b/>
          <w:color w:val="000000" w:themeColor="text1"/>
          <w:spacing w:val="0"/>
          <w:sz w:val="28"/>
          <w:szCs w:val="28"/>
          <w:highlight w:val="none"/>
          <w14:textFill>
            <w14:solidFill>
              <w14:schemeClr w14:val="tx1"/>
            </w14:solidFill>
          </w14:textFill>
        </w:rPr>
        <w:t>十</w:t>
      </w:r>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一</w:t>
      </w:r>
      <w:r>
        <w:rPr>
          <w:rFonts w:hint="eastAsia" w:ascii="宋体" w:hAnsi="宋体" w:eastAsia="宋体" w:cs="宋体"/>
          <w:b/>
          <w:color w:val="000000" w:themeColor="text1"/>
          <w:spacing w:val="0"/>
          <w:sz w:val="28"/>
          <w:szCs w:val="28"/>
          <w:highlight w:val="none"/>
          <w14:textFill>
            <w14:solidFill>
              <w14:schemeClr w14:val="tx1"/>
            </w14:solidFill>
          </w14:textFill>
        </w:rPr>
        <w:t>、服务质量</w:t>
      </w:r>
      <w:bookmarkEnd w:id="282"/>
      <w:bookmarkEnd w:id="283"/>
      <w:bookmarkEnd w:id="284"/>
      <w:bookmarkEnd w:id="285"/>
    </w:p>
    <w:p w14:paraId="213B569A">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1</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1</w:t>
      </w:r>
      <w:r>
        <w:rPr>
          <w:rStyle w:val="216"/>
          <w:rFonts w:hint="eastAsia" w:ascii="宋体" w:hAnsi="宋体" w:eastAsia="宋体" w:cs="宋体"/>
          <w:color w:val="000000" w:themeColor="text1"/>
          <w:spacing w:val="0"/>
          <w:sz w:val="24"/>
          <w:highlight w:val="none"/>
          <w14:textFill>
            <w14:solidFill>
              <w14:schemeClr w14:val="tx1"/>
            </w14:solidFill>
          </w14:textFill>
        </w:rPr>
        <w:t>.1 乙方提供的管理服务应达到投标文件所约定的目标。对达标的理解有异议的，由双方共同认可的第三方予以评定。</w:t>
      </w:r>
    </w:p>
    <w:p w14:paraId="4083A837">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lang w:eastAsia="zh-CN"/>
          <w14:textFill>
            <w14:solidFill>
              <w14:schemeClr w14:val="tx1"/>
            </w14:solidFill>
          </w14:textFill>
        </w:rPr>
      </w:pPr>
      <w:bookmarkStart w:id="286" w:name="_Toc7424"/>
      <w:bookmarkStart w:id="287" w:name="_Toc3641"/>
      <w:bookmarkStart w:id="288" w:name="_Toc11282"/>
      <w:bookmarkStart w:id="289" w:name="_Toc13557"/>
      <w:r>
        <w:rPr>
          <w:rFonts w:hint="eastAsia" w:ascii="宋体" w:hAnsi="宋体" w:eastAsia="宋体" w:cs="宋体"/>
          <w:b/>
          <w:color w:val="000000" w:themeColor="text1"/>
          <w:spacing w:val="0"/>
          <w:sz w:val="28"/>
          <w:szCs w:val="28"/>
          <w:highlight w:val="none"/>
          <w14:textFill>
            <w14:solidFill>
              <w14:schemeClr w14:val="tx1"/>
            </w14:solidFill>
          </w14:textFill>
        </w:rPr>
        <w:t>十</w:t>
      </w:r>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二</w:t>
      </w:r>
      <w:r>
        <w:rPr>
          <w:rFonts w:hint="eastAsia" w:ascii="宋体" w:hAnsi="宋体" w:eastAsia="宋体" w:cs="宋体"/>
          <w:b/>
          <w:color w:val="000000" w:themeColor="text1"/>
          <w:spacing w:val="0"/>
          <w:sz w:val="28"/>
          <w:szCs w:val="28"/>
          <w:highlight w:val="none"/>
          <w14:textFill>
            <w14:solidFill>
              <w14:schemeClr w14:val="tx1"/>
            </w14:solidFill>
          </w14:textFill>
        </w:rPr>
        <w:t>、</w:t>
      </w:r>
      <w:r>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t>验收</w:t>
      </w:r>
      <w:bookmarkEnd w:id="286"/>
    </w:p>
    <w:p w14:paraId="3DE0AE2D">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 甲方依法组织履约验收工作。</w:t>
      </w:r>
    </w:p>
    <w:p w14:paraId="5265A40C">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p>
    <w:p w14:paraId="73CAF9B1">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.3 对于实际使用人和甲方分离的项目，甲方邀请实际使用人参与验收。</w:t>
      </w:r>
    </w:p>
    <w:p w14:paraId="01E4ED7D">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.4 如有必要，甲方邀请参加本项目的其他供应商或第三方专业机构及专家参与验收，相关意见将作为验收书的参考资料。</w:t>
      </w:r>
    </w:p>
    <w:p w14:paraId="503B0E24">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1</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2</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w:t>
      </w:r>
      <w:r>
        <w:rPr>
          <w:rFonts w:hint="eastAsia" w:ascii="宋体" w:hAnsi="宋体" w:cs="宋体"/>
          <w:color w:val="000000" w:themeColor="text1"/>
          <w:spacing w:val="0"/>
          <w:sz w:val="24"/>
          <w:szCs w:val="22"/>
          <w:highlight w:val="none"/>
          <w:lang w:val="en-US" w:eastAsia="zh-CN" w:bidi="ar-SA"/>
          <w14:textFill>
            <w14:solidFill>
              <w14:schemeClr w14:val="tx1"/>
            </w14:solidFill>
          </w14:textFill>
        </w:rPr>
        <w:t>5</w:t>
      </w:r>
      <w:r>
        <w:rPr>
          <w:rFonts w:hint="eastAsia" w:ascii="宋体" w:hAnsi="宋体" w:eastAsia="宋体" w:cs="宋体"/>
          <w:color w:val="000000" w:themeColor="text1"/>
          <w:spacing w:val="0"/>
          <w:sz w:val="24"/>
          <w:szCs w:val="22"/>
          <w:highlight w:val="none"/>
          <w:lang w:val="en-US" w:eastAsia="zh-CN" w:bidi="ar-SA"/>
          <w14:textFill>
            <w14:solidFill>
              <w14:schemeClr w14:val="tx1"/>
            </w14:solidFill>
          </w14:textFill>
        </w:rPr>
        <w:t xml:space="preserve">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p>
    <w:p w14:paraId="13C1E069">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90" w:name="_Toc9781"/>
      <w:r>
        <w:rPr>
          <w:rFonts w:hint="eastAsia" w:ascii="宋体" w:hAnsi="宋体" w:eastAsia="宋体" w:cs="宋体"/>
          <w:b/>
          <w:color w:val="000000" w:themeColor="text1"/>
          <w:spacing w:val="0"/>
          <w:sz w:val="28"/>
          <w:szCs w:val="28"/>
          <w:highlight w:val="none"/>
          <w14:textFill>
            <w14:solidFill>
              <w14:schemeClr w14:val="tx1"/>
            </w14:solidFill>
          </w14:textFill>
        </w:rPr>
        <w:t>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三</w:t>
      </w:r>
      <w:r>
        <w:rPr>
          <w:rFonts w:hint="eastAsia" w:ascii="宋体" w:hAnsi="宋体" w:eastAsia="宋体" w:cs="宋体"/>
          <w:b/>
          <w:color w:val="000000" w:themeColor="text1"/>
          <w:spacing w:val="0"/>
          <w:sz w:val="28"/>
          <w:szCs w:val="28"/>
          <w:highlight w:val="none"/>
          <w14:textFill>
            <w14:solidFill>
              <w14:schemeClr w14:val="tx1"/>
            </w14:solidFill>
          </w14:textFill>
        </w:rPr>
        <w:t>、违约责任</w:t>
      </w:r>
      <w:bookmarkEnd w:id="287"/>
      <w:bookmarkEnd w:id="288"/>
      <w:bookmarkEnd w:id="289"/>
      <w:bookmarkEnd w:id="290"/>
    </w:p>
    <w:p w14:paraId="6EA0400E">
      <w:pPr>
        <w:pStyle w:val="229"/>
        <w:keepNext w:val="0"/>
        <w:keepLines w:val="0"/>
        <w:pageBreakBefore w:val="0"/>
        <w:widowControl w:val="0"/>
        <w:shd w:val="clear" w:color="auto"/>
        <w:spacing w:line="520" w:lineRule="exact"/>
        <w:ind w:firstLine="47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1</w:t>
      </w:r>
      <w:r>
        <w:rPr>
          <w:rStyle w:val="216"/>
          <w:rFonts w:hint="eastAsia" w:ascii="宋体" w:hAnsi="宋体" w:cs="宋体"/>
          <w:color w:val="000000" w:themeColor="text1"/>
          <w:spacing w:val="0"/>
          <w:sz w:val="24"/>
          <w:highlight w:val="none"/>
          <w:lang w:val="en-US"/>
          <w14:textFill>
            <w14:solidFill>
              <w14:schemeClr w14:val="tx1"/>
            </w14:solidFill>
          </w14:textFill>
        </w:rPr>
        <w:t>3</w:t>
      </w:r>
      <w:r>
        <w:rPr>
          <w:rStyle w:val="216"/>
          <w:rFonts w:hint="eastAsia" w:ascii="宋体" w:hAnsi="宋体" w:eastAsia="宋体" w:cs="宋体"/>
          <w:color w:val="000000" w:themeColor="text1"/>
          <w:spacing w:val="0"/>
          <w:sz w:val="24"/>
          <w:highlight w:val="none"/>
          <w14:textFill>
            <w14:solidFill>
              <w14:schemeClr w14:val="tx1"/>
            </w14:solidFill>
          </w14:textFill>
        </w:rPr>
        <w:t>.1 甲方违反合同的约定，使乙方未完成规定管理目标，乙方有权要求甲方在一定期限内解决，逾期未解决的，乙方有权终止合同，造成乙方经济损失的，甲方给予乙方经济赔偿。</w:t>
      </w:r>
    </w:p>
    <w:p w14:paraId="20229778">
      <w:pPr>
        <w:pStyle w:val="229"/>
        <w:keepNext w:val="0"/>
        <w:keepLines w:val="0"/>
        <w:pageBreakBefore w:val="0"/>
        <w:widowControl w:val="0"/>
        <w:shd w:val="clear" w:color="auto"/>
        <w:spacing w:line="520" w:lineRule="exact"/>
        <w:ind w:firstLine="47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1</w:t>
      </w:r>
      <w:r>
        <w:rPr>
          <w:rStyle w:val="216"/>
          <w:rFonts w:hint="eastAsia" w:ascii="宋体" w:hAnsi="宋体" w:cs="宋体"/>
          <w:color w:val="000000" w:themeColor="text1"/>
          <w:spacing w:val="0"/>
          <w:sz w:val="24"/>
          <w:highlight w:val="none"/>
          <w:lang w:val="en-US"/>
          <w14:textFill>
            <w14:solidFill>
              <w14:schemeClr w14:val="tx1"/>
            </w14:solidFill>
          </w14:textFill>
        </w:rPr>
        <w:t>3</w:t>
      </w:r>
      <w:r>
        <w:rPr>
          <w:rStyle w:val="216"/>
          <w:rFonts w:hint="eastAsia" w:ascii="宋体" w:hAnsi="宋体" w:eastAsia="宋体" w:cs="宋体"/>
          <w:color w:val="000000" w:themeColor="text1"/>
          <w:spacing w:val="0"/>
          <w:sz w:val="24"/>
          <w:highlight w:val="none"/>
          <w14:textFill>
            <w14:solidFill>
              <w14:schemeClr w14:val="tx1"/>
            </w14:solidFill>
          </w14:textFill>
        </w:rPr>
        <w:t>.</w:t>
      </w:r>
      <w:r>
        <w:rPr>
          <w:rStyle w:val="216"/>
          <w:rFonts w:hint="eastAsia" w:ascii="宋体" w:hAnsi="宋体" w:cs="宋体"/>
          <w:color w:val="000000" w:themeColor="text1"/>
          <w:spacing w:val="0"/>
          <w:sz w:val="24"/>
          <w:highlight w:val="none"/>
          <w:lang w:val="en-US"/>
          <w14:textFill>
            <w14:solidFill>
              <w14:schemeClr w14:val="tx1"/>
            </w14:solidFill>
          </w14:textFill>
        </w:rPr>
        <w:t>2</w:t>
      </w:r>
      <w:r>
        <w:rPr>
          <w:rStyle w:val="216"/>
          <w:rFonts w:hint="eastAsia" w:ascii="宋体" w:hAnsi="宋体" w:eastAsia="宋体" w:cs="宋体"/>
          <w:color w:val="000000" w:themeColor="text1"/>
          <w:spacing w:val="0"/>
          <w:sz w:val="24"/>
          <w:highlight w:val="none"/>
          <w14:textFill>
            <w14:solidFill>
              <w14:schemeClr w14:val="tx1"/>
            </w14:solidFill>
          </w14:textFill>
        </w:rPr>
        <w:t xml:space="preserve"> 甲方对乙方进行考核，按考核结果给付费用。甲方逾期办理合同款支付的,应当支付逾期利息，且逾期利息的利率不得低于合同订立时1年期贷款市场报价利率。</w:t>
      </w:r>
    </w:p>
    <w:p w14:paraId="6904EC58">
      <w:pPr>
        <w:pStyle w:val="229"/>
        <w:keepNext w:val="0"/>
        <w:keepLines w:val="0"/>
        <w:pageBreakBefore w:val="0"/>
        <w:widowControl w:val="0"/>
        <w:shd w:val="clear" w:color="auto"/>
        <w:spacing w:line="520" w:lineRule="exact"/>
        <w:ind w:firstLine="47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1</w:t>
      </w:r>
      <w:r>
        <w:rPr>
          <w:rStyle w:val="216"/>
          <w:rFonts w:hint="eastAsia" w:ascii="宋体" w:hAnsi="宋体" w:cs="宋体"/>
          <w:color w:val="000000" w:themeColor="text1"/>
          <w:spacing w:val="0"/>
          <w:sz w:val="24"/>
          <w:highlight w:val="none"/>
          <w:lang w:val="en-US"/>
          <w14:textFill>
            <w14:solidFill>
              <w14:schemeClr w14:val="tx1"/>
            </w14:solidFill>
          </w14:textFill>
        </w:rPr>
        <w:t>3</w:t>
      </w:r>
      <w:r>
        <w:rPr>
          <w:rStyle w:val="216"/>
          <w:rFonts w:hint="eastAsia" w:ascii="宋体" w:hAnsi="宋体" w:eastAsia="宋体" w:cs="宋体"/>
          <w:color w:val="000000" w:themeColor="text1"/>
          <w:spacing w:val="0"/>
          <w:sz w:val="24"/>
          <w:highlight w:val="none"/>
          <w14:textFill>
            <w14:solidFill>
              <w14:schemeClr w14:val="tx1"/>
            </w14:solidFill>
          </w14:textFill>
        </w:rPr>
        <w:t>.</w:t>
      </w:r>
      <w:r>
        <w:rPr>
          <w:rStyle w:val="216"/>
          <w:rFonts w:hint="eastAsia" w:ascii="宋体" w:hAnsi="宋体" w:cs="宋体"/>
          <w:color w:val="000000" w:themeColor="text1"/>
          <w:spacing w:val="0"/>
          <w:sz w:val="24"/>
          <w:highlight w:val="none"/>
          <w:lang w:val="en-US"/>
          <w14:textFill>
            <w14:solidFill>
              <w14:schemeClr w14:val="tx1"/>
            </w14:solidFill>
          </w14:textFill>
        </w:rPr>
        <w:t>3</w:t>
      </w:r>
      <w:r>
        <w:rPr>
          <w:rStyle w:val="216"/>
          <w:rFonts w:hint="eastAsia" w:ascii="宋体" w:hAnsi="宋体" w:eastAsia="宋体" w:cs="宋体"/>
          <w:color w:val="000000" w:themeColor="text1"/>
          <w:spacing w:val="0"/>
          <w:sz w:val="24"/>
          <w:highlight w:val="none"/>
          <w14:textFill>
            <w14:solidFill>
              <w14:schemeClr w14:val="tx1"/>
            </w14:solidFill>
          </w14:textFill>
        </w:rPr>
        <w:t xml:space="preserve"> 乙方违反合同的约定，未能达到约定的管理目标，甲方有权要求乙方限期整改，逾期未整改的，甲方有权终止合同，造成甲方经济损失的，乙方给予甲方赔偿。</w:t>
      </w:r>
    </w:p>
    <w:p w14:paraId="43D67093">
      <w:pPr>
        <w:pStyle w:val="229"/>
        <w:keepNext w:val="0"/>
        <w:keepLines w:val="0"/>
        <w:pageBreakBefore w:val="0"/>
        <w:widowControl w:val="0"/>
        <w:shd w:val="clear" w:color="auto"/>
        <w:spacing w:line="520" w:lineRule="exact"/>
        <w:ind w:firstLine="47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cs="宋体"/>
          <w:color w:val="000000" w:themeColor="text1"/>
          <w:spacing w:val="0"/>
          <w:sz w:val="24"/>
          <w:highlight w:val="none"/>
          <w:lang w:val="en-US"/>
          <w14:textFill>
            <w14:solidFill>
              <w14:schemeClr w14:val="tx1"/>
            </w14:solidFill>
          </w14:textFill>
        </w:rPr>
        <w:t>13</w:t>
      </w:r>
      <w:r>
        <w:rPr>
          <w:rStyle w:val="216"/>
          <w:rFonts w:hint="eastAsia" w:ascii="宋体" w:hAnsi="宋体" w:eastAsia="宋体" w:cs="宋体"/>
          <w:color w:val="000000" w:themeColor="text1"/>
          <w:spacing w:val="0"/>
          <w:sz w:val="24"/>
          <w:highlight w:val="none"/>
          <w14:textFill>
            <w14:solidFill>
              <w14:schemeClr w14:val="tx1"/>
            </w14:solidFill>
          </w14:textFill>
        </w:rPr>
        <w:t>.10 本合同生效后，甲乙双</w:t>
      </w:r>
      <w:r>
        <w:rPr>
          <w:rStyle w:val="216"/>
          <w:rFonts w:hint="eastAsia" w:ascii="宋体" w:hAnsi="宋体" w:cs="宋体"/>
          <w:color w:val="000000" w:themeColor="text1"/>
          <w:spacing w:val="0"/>
          <w:sz w:val="24"/>
          <w:highlight w:val="none"/>
          <w:lang w:val="en-US"/>
          <w14:textFill>
            <w14:solidFill>
              <w14:schemeClr w14:val="tx1"/>
            </w14:solidFill>
          </w14:textFill>
        </w:rPr>
        <w:t>4</w:t>
      </w:r>
      <w:r>
        <w:rPr>
          <w:rStyle w:val="216"/>
          <w:rFonts w:hint="eastAsia" w:ascii="宋体" w:hAnsi="宋体" w:eastAsia="宋体" w:cs="宋体"/>
          <w:color w:val="000000" w:themeColor="text1"/>
          <w:spacing w:val="0"/>
          <w:sz w:val="24"/>
          <w:highlight w:val="none"/>
          <w14:textFill>
            <w14:solidFill>
              <w14:schemeClr w14:val="tx1"/>
            </w14:solidFill>
          </w14:textFill>
        </w:rPr>
        <w:t>方任何一方无正当理由要求终止合同的，除双方签订补充协议外，责任方须按本合同及其补充协议的有关条款之规定承担违约责任，并应向对方支付合同金额10%的违约金并应向对方支付合同金额。</w:t>
      </w:r>
    </w:p>
    <w:p w14:paraId="540A5950">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91" w:name="_Toc14509"/>
      <w:bookmarkStart w:id="292" w:name="_Toc30251"/>
      <w:bookmarkStart w:id="293" w:name="_Toc24363"/>
      <w:bookmarkStart w:id="294" w:name="_Toc9688"/>
      <w:bookmarkStart w:id="295" w:name="_Toc15058"/>
      <w:bookmarkStart w:id="296" w:name="_Toc27127"/>
      <w:bookmarkStart w:id="297" w:name="_Toc31496"/>
      <w:bookmarkStart w:id="298" w:name="_Toc5724"/>
      <w:r>
        <w:rPr>
          <w:rFonts w:hint="eastAsia" w:ascii="宋体" w:hAnsi="宋体" w:eastAsia="宋体" w:cs="宋体"/>
          <w:b/>
          <w:color w:val="000000" w:themeColor="text1"/>
          <w:spacing w:val="0"/>
          <w:sz w:val="28"/>
          <w:szCs w:val="28"/>
          <w:highlight w:val="none"/>
          <w14:textFill>
            <w14:solidFill>
              <w14:schemeClr w14:val="tx1"/>
            </w14:solidFill>
          </w14:textFill>
        </w:rPr>
        <w:t>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四</w:t>
      </w:r>
      <w:r>
        <w:rPr>
          <w:rFonts w:hint="eastAsia" w:ascii="宋体" w:hAnsi="宋体" w:eastAsia="宋体" w:cs="宋体"/>
          <w:b/>
          <w:color w:val="000000" w:themeColor="text1"/>
          <w:spacing w:val="0"/>
          <w:sz w:val="28"/>
          <w:szCs w:val="28"/>
          <w:highlight w:val="none"/>
          <w14:textFill>
            <w14:solidFill>
              <w14:schemeClr w14:val="tx1"/>
            </w14:solidFill>
          </w14:textFill>
        </w:rPr>
        <w:t>、不可抗力事件处理</w:t>
      </w:r>
      <w:bookmarkEnd w:id="291"/>
      <w:bookmarkEnd w:id="292"/>
      <w:bookmarkEnd w:id="293"/>
      <w:bookmarkEnd w:id="294"/>
      <w:bookmarkEnd w:id="295"/>
    </w:p>
    <w:p w14:paraId="643C0F81">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z w:val="24"/>
          <w:highlight w:val="none"/>
          <w14:textFill>
            <w14:solidFill>
              <w14:schemeClr w14:val="tx1"/>
            </w14:solidFill>
          </w14:textFill>
        </w:rPr>
      </w:pPr>
      <w:r>
        <w:rPr>
          <w:rStyle w:val="216"/>
          <w:rFonts w:hint="eastAsia" w:ascii="宋体" w:hAnsi="宋体" w:eastAsia="宋体" w:cs="宋体"/>
          <w:color w:val="000000" w:themeColor="text1"/>
          <w:sz w:val="24"/>
          <w:highlight w:val="none"/>
          <w14:textFill>
            <w14:solidFill>
              <w14:schemeClr w14:val="tx1"/>
            </w14:solidFill>
          </w14:textFill>
        </w:rPr>
        <w:t>1</w:t>
      </w:r>
      <w:r>
        <w:rPr>
          <w:rStyle w:val="216"/>
          <w:rFonts w:hint="eastAsia" w:ascii="宋体" w:hAnsi="宋体" w:cs="宋体"/>
          <w:color w:val="000000" w:themeColor="text1"/>
          <w:sz w:val="24"/>
          <w:highlight w:val="none"/>
          <w:lang w:val="en-US"/>
          <w14:textFill>
            <w14:solidFill>
              <w14:schemeClr w14:val="tx1"/>
            </w14:solidFill>
          </w14:textFill>
        </w:rPr>
        <w:t>4</w:t>
      </w:r>
      <w:r>
        <w:rPr>
          <w:rStyle w:val="216"/>
          <w:rFonts w:hint="eastAsia" w:ascii="宋体" w:hAnsi="宋体" w:eastAsia="宋体" w:cs="宋体"/>
          <w:color w:val="000000" w:themeColor="text1"/>
          <w:sz w:val="24"/>
          <w:highlight w:val="none"/>
          <w14:textFill>
            <w14:solidFill>
              <w14:schemeClr w14:val="tx1"/>
            </w14:solidFill>
          </w14:textFill>
        </w:rPr>
        <w:t>.1 在合同有效期内，任何一方因不可抗力事件导致不能履行合同，则合同履行期可延长，其延长期与不可抗力影响期相同。</w:t>
      </w:r>
    </w:p>
    <w:p w14:paraId="1E528A47">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z w:val="24"/>
          <w:highlight w:val="none"/>
          <w14:textFill>
            <w14:solidFill>
              <w14:schemeClr w14:val="tx1"/>
            </w14:solidFill>
          </w14:textFill>
        </w:rPr>
      </w:pPr>
      <w:r>
        <w:rPr>
          <w:rStyle w:val="216"/>
          <w:rFonts w:hint="eastAsia" w:ascii="宋体" w:hAnsi="宋体" w:eastAsia="宋体" w:cs="宋体"/>
          <w:color w:val="000000" w:themeColor="text1"/>
          <w:sz w:val="24"/>
          <w:highlight w:val="none"/>
          <w14:textFill>
            <w14:solidFill>
              <w14:schemeClr w14:val="tx1"/>
            </w14:solidFill>
          </w14:textFill>
        </w:rPr>
        <w:t>1</w:t>
      </w:r>
      <w:r>
        <w:rPr>
          <w:rStyle w:val="216"/>
          <w:rFonts w:hint="eastAsia" w:ascii="宋体" w:hAnsi="宋体" w:cs="宋体"/>
          <w:color w:val="000000" w:themeColor="text1"/>
          <w:sz w:val="24"/>
          <w:highlight w:val="none"/>
          <w:lang w:val="en-US"/>
          <w14:textFill>
            <w14:solidFill>
              <w14:schemeClr w14:val="tx1"/>
            </w14:solidFill>
          </w14:textFill>
        </w:rPr>
        <w:t>4</w:t>
      </w:r>
      <w:r>
        <w:rPr>
          <w:rStyle w:val="216"/>
          <w:rFonts w:hint="eastAsia" w:ascii="宋体" w:hAnsi="宋体" w:eastAsia="宋体" w:cs="宋体"/>
          <w:color w:val="000000" w:themeColor="text1"/>
          <w:sz w:val="24"/>
          <w:highlight w:val="none"/>
          <w14:textFill>
            <w14:solidFill>
              <w14:schemeClr w14:val="tx1"/>
            </w14:solidFill>
          </w14:textFill>
        </w:rPr>
        <w:t>.2 不可抗力事件发生后，应立即通知对方，并寄送有关权威机构出具的证明。</w:t>
      </w:r>
    </w:p>
    <w:p w14:paraId="033D310C">
      <w:pPr>
        <w:pStyle w:val="229"/>
        <w:keepNext w:val="0"/>
        <w:keepLines w:val="0"/>
        <w:pageBreakBefore w:val="0"/>
        <w:widowControl w:val="0"/>
        <w:shd w:val="clear" w:color="auto"/>
        <w:spacing w:line="520" w:lineRule="exact"/>
        <w:ind w:firstLine="470"/>
        <w:rPr>
          <w:rStyle w:val="216"/>
          <w:rFonts w:hint="eastAsia" w:ascii="宋体" w:hAnsi="宋体" w:eastAsia="宋体" w:cs="宋体"/>
          <w:color w:val="000000" w:themeColor="text1"/>
          <w:sz w:val="24"/>
          <w:highlight w:val="none"/>
          <w14:textFill>
            <w14:solidFill>
              <w14:schemeClr w14:val="tx1"/>
            </w14:solidFill>
          </w14:textFill>
        </w:rPr>
      </w:pPr>
      <w:r>
        <w:rPr>
          <w:rStyle w:val="216"/>
          <w:rFonts w:hint="eastAsia" w:ascii="宋体" w:hAnsi="宋体" w:eastAsia="宋体" w:cs="宋体"/>
          <w:color w:val="000000" w:themeColor="text1"/>
          <w:sz w:val="24"/>
          <w:highlight w:val="none"/>
          <w14:textFill>
            <w14:solidFill>
              <w14:schemeClr w14:val="tx1"/>
            </w14:solidFill>
          </w14:textFill>
        </w:rPr>
        <w:t>1</w:t>
      </w:r>
      <w:r>
        <w:rPr>
          <w:rStyle w:val="216"/>
          <w:rFonts w:hint="eastAsia" w:ascii="宋体" w:hAnsi="宋体" w:cs="宋体"/>
          <w:color w:val="000000" w:themeColor="text1"/>
          <w:sz w:val="24"/>
          <w:highlight w:val="none"/>
          <w:lang w:val="en-US"/>
          <w14:textFill>
            <w14:solidFill>
              <w14:schemeClr w14:val="tx1"/>
            </w14:solidFill>
          </w14:textFill>
        </w:rPr>
        <w:t>4</w:t>
      </w:r>
      <w:r>
        <w:rPr>
          <w:rStyle w:val="216"/>
          <w:rFonts w:hint="eastAsia" w:ascii="宋体" w:hAnsi="宋体" w:eastAsia="宋体" w:cs="宋体"/>
          <w:color w:val="000000" w:themeColor="text1"/>
          <w:sz w:val="24"/>
          <w:highlight w:val="none"/>
          <w14:textFill>
            <w14:solidFill>
              <w14:schemeClr w14:val="tx1"/>
            </w14:solidFill>
          </w14:textFill>
        </w:rPr>
        <w:t>.3 不可抗力事件延续120天以上，双方应通过友好协商，确定是否继续履行合同。</w:t>
      </w:r>
    </w:p>
    <w:p w14:paraId="250A5346">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299" w:name="_Toc20911"/>
      <w:r>
        <w:rPr>
          <w:rFonts w:hint="eastAsia" w:ascii="宋体" w:hAnsi="宋体" w:eastAsia="宋体" w:cs="宋体"/>
          <w:b/>
          <w:color w:val="000000" w:themeColor="text1"/>
          <w:spacing w:val="0"/>
          <w:sz w:val="28"/>
          <w:szCs w:val="28"/>
          <w:highlight w:val="none"/>
          <w14:textFill>
            <w14:solidFill>
              <w14:schemeClr w14:val="tx1"/>
            </w14:solidFill>
          </w14:textFill>
        </w:rPr>
        <w:t>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五</w:t>
      </w:r>
      <w:r>
        <w:rPr>
          <w:rFonts w:hint="eastAsia" w:ascii="宋体" w:hAnsi="宋体" w:eastAsia="宋体" w:cs="宋体"/>
          <w:b/>
          <w:color w:val="000000" w:themeColor="text1"/>
          <w:spacing w:val="0"/>
          <w:sz w:val="28"/>
          <w:szCs w:val="28"/>
          <w:highlight w:val="none"/>
          <w14:textFill>
            <w14:solidFill>
              <w14:schemeClr w14:val="tx1"/>
            </w14:solidFill>
          </w14:textFill>
        </w:rPr>
        <w:t>、诉讼</w:t>
      </w:r>
      <w:bookmarkEnd w:id="296"/>
      <w:bookmarkEnd w:id="297"/>
      <w:bookmarkEnd w:id="298"/>
      <w:bookmarkEnd w:id="299"/>
    </w:p>
    <w:p w14:paraId="5C99EE9C">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1</w:t>
      </w:r>
      <w:r>
        <w:rPr>
          <w:rStyle w:val="216"/>
          <w:rFonts w:hint="eastAsia" w:ascii="宋体" w:hAnsi="宋体" w:cs="宋体"/>
          <w:color w:val="000000" w:themeColor="text1"/>
          <w:spacing w:val="0"/>
          <w:sz w:val="24"/>
          <w:highlight w:val="none"/>
          <w:lang w:val="en-US"/>
          <w14:textFill>
            <w14:solidFill>
              <w14:schemeClr w14:val="tx1"/>
            </w14:solidFill>
          </w14:textFill>
        </w:rPr>
        <w:t>5</w:t>
      </w:r>
      <w:r>
        <w:rPr>
          <w:rStyle w:val="216"/>
          <w:rFonts w:hint="eastAsia" w:ascii="宋体" w:hAnsi="宋体" w:eastAsia="宋体" w:cs="宋体"/>
          <w:color w:val="000000" w:themeColor="text1"/>
          <w:spacing w:val="0"/>
          <w:sz w:val="24"/>
          <w:highlight w:val="none"/>
          <w14:textFill>
            <w14:solidFill>
              <w14:schemeClr w14:val="tx1"/>
            </w14:solidFill>
          </w14:textFill>
        </w:rPr>
        <w:t>.1 双方在执行合同中所发生的一切争议，应通过协商解决。如协商不成，可向合同签订地法院起诉，合同签订地在此约定为张家港市。</w:t>
      </w:r>
    </w:p>
    <w:p w14:paraId="29647592">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00" w:name="_Toc16222"/>
      <w:bookmarkStart w:id="301" w:name="_Toc17751"/>
      <w:bookmarkStart w:id="302" w:name="_Toc30828"/>
      <w:bookmarkStart w:id="303" w:name="_Toc134"/>
      <w:r>
        <w:rPr>
          <w:rFonts w:hint="eastAsia" w:ascii="宋体" w:hAnsi="宋体" w:eastAsia="宋体" w:cs="宋体"/>
          <w:b/>
          <w:color w:val="000000" w:themeColor="text1"/>
          <w:spacing w:val="0"/>
          <w:sz w:val="28"/>
          <w:szCs w:val="28"/>
          <w:highlight w:val="none"/>
          <w14:textFill>
            <w14:solidFill>
              <w14:schemeClr w14:val="tx1"/>
            </w14:solidFill>
          </w14:textFill>
        </w:rPr>
        <w:t>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六</w:t>
      </w:r>
      <w:r>
        <w:rPr>
          <w:rFonts w:hint="eastAsia" w:ascii="宋体" w:hAnsi="宋体" w:eastAsia="宋体" w:cs="宋体"/>
          <w:b/>
          <w:color w:val="000000" w:themeColor="text1"/>
          <w:spacing w:val="0"/>
          <w:sz w:val="28"/>
          <w:szCs w:val="28"/>
          <w:highlight w:val="none"/>
          <w14:textFill>
            <w14:solidFill>
              <w14:schemeClr w14:val="tx1"/>
            </w14:solidFill>
          </w14:textFill>
        </w:rPr>
        <w:t>、合同其他文件</w:t>
      </w:r>
      <w:bookmarkEnd w:id="300"/>
      <w:bookmarkEnd w:id="301"/>
      <w:bookmarkEnd w:id="302"/>
      <w:bookmarkEnd w:id="303"/>
    </w:p>
    <w:p w14:paraId="49F8D551">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1</w:t>
      </w:r>
      <w:r>
        <w:rPr>
          <w:rStyle w:val="216"/>
          <w:rFonts w:hint="eastAsia" w:ascii="宋体" w:hAnsi="宋体" w:cs="宋体"/>
          <w:color w:val="000000" w:themeColor="text1"/>
          <w:spacing w:val="0"/>
          <w:sz w:val="24"/>
          <w:highlight w:val="none"/>
          <w:lang w:val="en-US"/>
          <w14:textFill>
            <w14:solidFill>
              <w14:schemeClr w14:val="tx1"/>
            </w14:solidFill>
          </w14:textFill>
        </w:rPr>
        <w:t>6</w:t>
      </w:r>
      <w:r>
        <w:rPr>
          <w:rStyle w:val="216"/>
          <w:rFonts w:hint="eastAsia" w:ascii="宋体" w:hAnsi="宋体" w:eastAsia="宋体" w:cs="宋体"/>
          <w:color w:val="000000" w:themeColor="text1"/>
          <w:spacing w:val="0"/>
          <w:sz w:val="24"/>
          <w:highlight w:val="none"/>
          <w14:textFill>
            <w14:solidFill>
              <w14:schemeClr w14:val="tx1"/>
            </w14:solidFill>
          </w14:textFill>
        </w:rPr>
        <w:t>.1下列文件为本合同不可分割部</w:t>
      </w:r>
      <w:r>
        <w:rPr>
          <w:rStyle w:val="216"/>
          <w:rFonts w:hint="eastAsia" w:ascii="宋体" w:hAnsi="宋体" w:cs="宋体"/>
          <w:color w:val="000000" w:themeColor="text1"/>
          <w:spacing w:val="0"/>
          <w:sz w:val="24"/>
          <w:highlight w:val="none"/>
          <w:lang w:val="en-US"/>
          <w14:textFill>
            <w14:solidFill>
              <w14:schemeClr w14:val="tx1"/>
            </w14:solidFill>
          </w14:textFill>
        </w:rPr>
        <w:t>分</w:t>
      </w:r>
      <w:r>
        <w:rPr>
          <w:rStyle w:val="216"/>
          <w:rFonts w:hint="eastAsia" w:ascii="宋体" w:hAnsi="宋体" w:eastAsia="宋体" w:cs="宋体"/>
          <w:color w:val="000000" w:themeColor="text1"/>
          <w:spacing w:val="0"/>
          <w:sz w:val="24"/>
          <w:highlight w:val="none"/>
          <w14:textFill>
            <w14:solidFill>
              <w14:schemeClr w14:val="tx1"/>
            </w14:solidFill>
          </w14:textFill>
        </w:rPr>
        <w:t>，与本合同具有同等效力。</w:t>
      </w:r>
    </w:p>
    <w:p w14:paraId="33C5355E">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1</w:t>
      </w:r>
      <w:r>
        <w:rPr>
          <w:rStyle w:val="216"/>
          <w:rFonts w:hint="eastAsia" w:ascii="宋体" w:hAnsi="宋体" w:eastAsia="宋体" w:cs="宋体"/>
          <w:color w:val="000000" w:themeColor="text1"/>
          <w:spacing w:val="0"/>
          <w:sz w:val="24"/>
          <w:highlight w:val="none"/>
          <w14:textFill>
            <w14:solidFill>
              <w14:schemeClr w14:val="tx1"/>
            </w14:solidFill>
          </w14:textFill>
        </w:rPr>
        <w:t>）中标通知书；</w:t>
      </w:r>
    </w:p>
    <w:p w14:paraId="0CFA5D71">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2</w:t>
      </w:r>
      <w:r>
        <w:rPr>
          <w:rStyle w:val="216"/>
          <w:rFonts w:hint="eastAsia" w:ascii="宋体" w:hAnsi="宋体" w:eastAsia="宋体" w:cs="宋体"/>
          <w:color w:val="000000" w:themeColor="text1"/>
          <w:spacing w:val="0"/>
          <w:sz w:val="24"/>
          <w:highlight w:val="none"/>
          <w14:textFill>
            <w14:solidFill>
              <w14:schemeClr w14:val="tx1"/>
            </w14:solidFill>
          </w14:textFill>
        </w:rPr>
        <w:t>）乙方中标的投标文件；</w:t>
      </w:r>
    </w:p>
    <w:p w14:paraId="73F65D62">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3</w:t>
      </w:r>
      <w:r>
        <w:rPr>
          <w:rStyle w:val="216"/>
          <w:rFonts w:hint="eastAsia" w:ascii="宋体" w:hAnsi="宋体" w:eastAsia="宋体" w:cs="宋体"/>
          <w:color w:val="000000" w:themeColor="text1"/>
          <w:spacing w:val="0"/>
          <w:sz w:val="24"/>
          <w:highlight w:val="none"/>
          <w14:textFill>
            <w14:solidFill>
              <w14:schemeClr w14:val="tx1"/>
            </w14:solidFill>
          </w14:textFill>
        </w:rPr>
        <w:t>）招标文件；</w:t>
      </w:r>
    </w:p>
    <w:p w14:paraId="77CE6899">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4</w:t>
      </w:r>
      <w:r>
        <w:rPr>
          <w:rStyle w:val="216"/>
          <w:rFonts w:hint="eastAsia" w:ascii="宋体" w:hAnsi="宋体" w:eastAsia="宋体" w:cs="宋体"/>
          <w:color w:val="000000" w:themeColor="text1"/>
          <w:spacing w:val="0"/>
          <w:sz w:val="24"/>
          <w:highlight w:val="none"/>
          <w14:textFill>
            <w14:solidFill>
              <w14:schemeClr w14:val="tx1"/>
            </w14:solidFill>
          </w14:textFill>
        </w:rPr>
        <w:t>）乙方在招投标过程中所作的其他承诺、声明、书面澄清等。</w:t>
      </w:r>
    </w:p>
    <w:p w14:paraId="0AD0E117">
      <w:pPr>
        <w:keepNext w:val="0"/>
        <w:keepLines w:val="0"/>
        <w:pageBreakBefore w:val="0"/>
        <w:widowControl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04" w:name="_Toc2387"/>
      <w:bookmarkStart w:id="305" w:name="_Toc20291"/>
      <w:bookmarkStart w:id="306" w:name="_Toc24198"/>
      <w:bookmarkStart w:id="307" w:name="_Toc13398"/>
      <w:r>
        <w:rPr>
          <w:rFonts w:hint="eastAsia" w:ascii="宋体" w:hAnsi="宋体" w:eastAsia="宋体" w:cs="宋体"/>
          <w:b/>
          <w:color w:val="000000" w:themeColor="text1"/>
          <w:spacing w:val="0"/>
          <w:sz w:val="28"/>
          <w:szCs w:val="28"/>
          <w:highlight w:val="none"/>
          <w14:textFill>
            <w14:solidFill>
              <w14:schemeClr w14:val="tx1"/>
            </w14:solidFill>
          </w14:textFill>
        </w:rPr>
        <w:t>十</w:t>
      </w:r>
      <w:r>
        <w:rPr>
          <w:rFonts w:hint="eastAsia" w:ascii="宋体" w:hAnsi="宋体" w:cs="宋体"/>
          <w:b/>
          <w:color w:val="000000" w:themeColor="text1"/>
          <w:spacing w:val="0"/>
          <w:sz w:val="28"/>
          <w:szCs w:val="28"/>
          <w:highlight w:val="none"/>
          <w:lang w:val="en-US" w:eastAsia="zh-CN"/>
          <w14:textFill>
            <w14:solidFill>
              <w14:schemeClr w14:val="tx1"/>
            </w14:solidFill>
          </w14:textFill>
        </w:rPr>
        <w:t>七</w:t>
      </w:r>
      <w:r>
        <w:rPr>
          <w:rFonts w:hint="eastAsia" w:ascii="宋体" w:hAnsi="宋体" w:eastAsia="宋体" w:cs="宋体"/>
          <w:b/>
          <w:color w:val="000000" w:themeColor="text1"/>
          <w:spacing w:val="0"/>
          <w:sz w:val="28"/>
          <w:szCs w:val="28"/>
          <w:highlight w:val="none"/>
          <w14:textFill>
            <w14:solidFill>
              <w14:schemeClr w14:val="tx1"/>
            </w14:solidFill>
          </w14:textFill>
        </w:rPr>
        <w:t>、合同生效及其它</w:t>
      </w:r>
      <w:bookmarkEnd w:id="304"/>
      <w:bookmarkEnd w:id="305"/>
      <w:bookmarkEnd w:id="306"/>
      <w:bookmarkEnd w:id="307"/>
    </w:p>
    <w:p w14:paraId="7ABAE2A4">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1</w:t>
      </w:r>
      <w:r>
        <w:rPr>
          <w:rStyle w:val="216"/>
          <w:rFonts w:hint="eastAsia" w:ascii="宋体" w:hAnsi="宋体" w:cs="宋体"/>
          <w:color w:val="000000" w:themeColor="text1"/>
          <w:spacing w:val="0"/>
          <w:sz w:val="24"/>
          <w:highlight w:val="none"/>
          <w:lang w:val="en-US"/>
          <w14:textFill>
            <w14:solidFill>
              <w14:schemeClr w14:val="tx1"/>
            </w14:solidFill>
          </w14:textFill>
        </w:rPr>
        <w:t>7</w:t>
      </w:r>
      <w:r>
        <w:rPr>
          <w:rStyle w:val="216"/>
          <w:rFonts w:hint="eastAsia" w:ascii="宋体" w:hAnsi="宋体" w:eastAsia="宋体" w:cs="宋体"/>
          <w:color w:val="000000" w:themeColor="text1"/>
          <w:spacing w:val="0"/>
          <w:sz w:val="24"/>
          <w:highlight w:val="none"/>
          <w14:textFill>
            <w14:solidFill>
              <w14:schemeClr w14:val="tx1"/>
            </w14:solidFill>
          </w14:textFill>
        </w:rPr>
        <w:t>.1合同经双方法定代表人</w:t>
      </w:r>
      <w:r>
        <w:rPr>
          <w:rStyle w:val="216"/>
          <w:rFonts w:hint="eastAsia" w:ascii="宋体" w:hAnsi="宋体" w:eastAsia="宋体" w:cs="宋体"/>
          <w:bCs/>
          <w:color w:val="000000" w:themeColor="text1"/>
          <w:spacing w:val="0"/>
          <w:sz w:val="24"/>
          <w:highlight w:val="none"/>
          <w14:textFill>
            <w14:solidFill>
              <w14:schemeClr w14:val="tx1"/>
            </w14:solidFill>
          </w14:textFill>
        </w:rPr>
        <w:t>（或负责人）</w:t>
      </w:r>
      <w:r>
        <w:rPr>
          <w:rStyle w:val="216"/>
          <w:rFonts w:hint="eastAsia" w:ascii="宋体" w:hAnsi="宋体" w:eastAsia="宋体" w:cs="宋体"/>
          <w:color w:val="000000" w:themeColor="text1"/>
          <w:spacing w:val="0"/>
          <w:sz w:val="24"/>
          <w:highlight w:val="none"/>
          <w14:textFill>
            <w14:solidFill>
              <w14:schemeClr w14:val="tx1"/>
            </w14:solidFill>
          </w14:textFill>
        </w:rPr>
        <w:t>或授权委托代表人签字并加盖单位公章（</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或合同章</w:t>
      </w:r>
      <w:r>
        <w:rPr>
          <w:rStyle w:val="216"/>
          <w:rFonts w:hint="eastAsia" w:ascii="宋体" w:hAnsi="宋体" w:eastAsia="宋体" w:cs="宋体"/>
          <w:color w:val="000000" w:themeColor="text1"/>
          <w:spacing w:val="0"/>
          <w:sz w:val="24"/>
          <w:highlight w:val="none"/>
          <w14:textFill>
            <w14:solidFill>
              <w14:schemeClr w14:val="tx1"/>
            </w14:solidFill>
          </w14:textFill>
        </w:rPr>
        <w:t>）后生效，生效后至张家港市政府采购管理中心备案。</w:t>
      </w:r>
    </w:p>
    <w:p w14:paraId="5AC2D60F">
      <w:pPr>
        <w:pStyle w:val="229"/>
        <w:keepNext w:val="0"/>
        <w:keepLines w:val="0"/>
        <w:pageBreakBefore w:val="0"/>
        <w:widowControl w:val="0"/>
        <w:shd w:val="clear" w:color="auto"/>
        <w:spacing w:line="520" w:lineRule="exact"/>
        <w:ind w:firstLine="480"/>
        <w:rPr>
          <w:rStyle w:val="216"/>
          <w:rFonts w:hint="eastAsia" w:ascii="宋体" w:hAnsi="宋体" w:eastAsia="宋体" w:cs="宋体"/>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highlight w:val="none"/>
          <w14:textFill>
            <w14:solidFill>
              <w14:schemeClr w14:val="tx1"/>
            </w14:solidFill>
          </w14:textFill>
        </w:rPr>
        <w:t>1</w:t>
      </w:r>
      <w:r>
        <w:rPr>
          <w:rStyle w:val="216"/>
          <w:rFonts w:hint="eastAsia" w:ascii="宋体" w:hAnsi="宋体" w:cs="宋体"/>
          <w:color w:val="000000" w:themeColor="text1"/>
          <w:spacing w:val="0"/>
          <w:sz w:val="24"/>
          <w:highlight w:val="none"/>
          <w:lang w:val="en-US"/>
          <w14:textFill>
            <w14:solidFill>
              <w14:schemeClr w14:val="tx1"/>
            </w14:solidFill>
          </w14:textFill>
        </w:rPr>
        <w:t>7</w:t>
      </w:r>
      <w:r>
        <w:rPr>
          <w:rStyle w:val="216"/>
          <w:rFonts w:hint="eastAsia" w:ascii="宋体" w:hAnsi="宋体" w:eastAsia="宋体" w:cs="宋体"/>
          <w:color w:val="000000" w:themeColor="text1"/>
          <w:spacing w:val="0"/>
          <w:sz w:val="24"/>
          <w:highlight w:val="none"/>
          <w14:textFill>
            <w14:solidFill>
              <w14:schemeClr w14:val="tx1"/>
            </w14:solidFill>
          </w14:textFill>
        </w:rPr>
        <w:t>.2 本合同未尽事宜，遵照《</w:t>
      </w:r>
      <w:r>
        <w:rPr>
          <w:rStyle w:val="216"/>
          <w:rFonts w:hint="eastAsia" w:ascii="宋体" w:hAnsi="宋体" w:cs="宋体"/>
          <w:color w:val="000000" w:themeColor="text1"/>
          <w:spacing w:val="0"/>
          <w:sz w:val="24"/>
          <w:highlight w:val="none"/>
          <w:lang w:val="en-US"/>
          <w14:textFill>
            <w14:solidFill>
              <w14:schemeClr w14:val="tx1"/>
            </w14:solidFill>
          </w14:textFill>
        </w:rPr>
        <w:t>中华人民共和国</w:t>
      </w:r>
      <w:r>
        <w:rPr>
          <w:rStyle w:val="216"/>
          <w:rFonts w:hint="eastAsia" w:ascii="宋体" w:hAnsi="宋体" w:eastAsia="宋体" w:cs="宋体"/>
          <w:color w:val="000000" w:themeColor="text1"/>
          <w:spacing w:val="0"/>
          <w:sz w:val="24"/>
          <w:highlight w:val="none"/>
          <w14:textFill>
            <w14:solidFill>
              <w14:schemeClr w14:val="tx1"/>
            </w14:solidFill>
          </w14:textFill>
        </w:rPr>
        <w:t>民法典》合同编经甲乙双方协商一致可签订补充协议。</w:t>
      </w:r>
    </w:p>
    <w:p w14:paraId="3B1C5A71">
      <w:pPr>
        <w:pStyle w:val="230"/>
        <w:shd w:val="clear" w:color="auto"/>
        <w:ind w:left="0" w:firstLine="0"/>
        <w:rPr>
          <w:rStyle w:val="216"/>
          <w:rFonts w:hint="eastAsia" w:ascii="宋体" w:hAnsi="宋体" w:eastAsia="宋体" w:cs="宋体"/>
          <w:color w:val="000000" w:themeColor="text1"/>
          <w:spacing w:val="0"/>
          <w:sz w:val="24"/>
          <w:highlight w:val="none"/>
          <w:lang w:val="en-US"/>
          <w14:textFill>
            <w14:solidFill>
              <w14:schemeClr w14:val="tx1"/>
            </w14:solidFill>
          </w14:textFill>
        </w:rPr>
      </w:pPr>
      <w:r>
        <w:rPr>
          <w:rStyle w:val="216"/>
          <w:rFonts w:hint="eastAsia" w:ascii="宋体" w:hAnsi="宋体" w:eastAsia="宋体" w:cs="宋体"/>
          <w:color w:val="000000" w:themeColor="text1"/>
          <w:spacing w:val="0"/>
          <w:sz w:val="24"/>
          <w:highlight w:val="none"/>
          <w:lang w:val="en-US"/>
          <w14:textFill>
            <w14:solidFill>
              <w14:schemeClr w14:val="tx1"/>
            </w14:solidFill>
          </w14:textFill>
        </w:rPr>
        <w:t>1</w:t>
      </w:r>
      <w:r>
        <w:rPr>
          <w:rStyle w:val="216"/>
          <w:rFonts w:hint="eastAsia" w:ascii="宋体" w:hAnsi="宋体" w:cs="宋体"/>
          <w:color w:val="000000" w:themeColor="text1"/>
          <w:spacing w:val="0"/>
          <w:sz w:val="24"/>
          <w:highlight w:val="none"/>
          <w:lang w:val="en-US"/>
          <w14:textFill>
            <w14:solidFill>
              <w14:schemeClr w14:val="tx1"/>
            </w14:solidFill>
          </w14:textFill>
        </w:rPr>
        <w:t>7</w:t>
      </w:r>
      <w:r>
        <w:rPr>
          <w:rStyle w:val="216"/>
          <w:rFonts w:hint="eastAsia" w:ascii="宋体" w:hAnsi="宋体" w:eastAsia="宋体" w:cs="宋体"/>
          <w:color w:val="000000" w:themeColor="text1"/>
          <w:spacing w:val="0"/>
          <w:sz w:val="24"/>
          <w:highlight w:val="none"/>
          <w:lang w:val="en-US"/>
          <w14:textFill>
            <w14:solidFill>
              <w14:schemeClr w14:val="tx1"/>
            </w14:solidFill>
          </w14:textFill>
        </w:rPr>
        <w:t>.3 本合同正本一式六份，具有同等法律效力，甲方执三份，乙方、苏州政合信咨询管理服务有限公司、张家港市政府采购管理中心各执一份。</w:t>
      </w:r>
    </w:p>
    <w:tbl>
      <w:tblPr>
        <w:tblStyle w:val="40"/>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9962"/>
      </w:tblGrid>
      <w:tr w14:paraId="5151D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tcPr>
          <w:p w14:paraId="55554131">
            <w:pPr>
              <w:pStyle w:val="229"/>
              <w:keepNext w:val="0"/>
              <w:keepLines w:val="0"/>
              <w:pageBreakBefore w:val="0"/>
              <w:widowControl w:val="0"/>
              <w:shd w:val="clear" w:color="auto"/>
              <w:spacing w:after="0" w:line="440" w:lineRule="exact"/>
              <w:ind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甲方：</w:t>
            </w:r>
            <w:bookmarkStart w:id="308" w:name="jianshedanwei_2"/>
            <w:bookmarkEnd w:id="308"/>
          </w:p>
          <w:p w14:paraId="4232EA34">
            <w:pPr>
              <w:pStyle w:val="229"/>
              <w:keepNext w:val="0"/>
              <w:keepLines w:val="0"/>
              <w:pageBreakBefore w:val="0"/>
              <w:widowControl w:val="0"/>
              <w:shd w:val="clear" w:color="auto"/>
              <w:spacing w:after="0" w:line="440" w:lineRule="exact"/>
              <w:ind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地址：</w:t>
            </w:r>
            <w:bookmarkStart w:id="309" w:name="jianshedanweiaddress"/>
            <w:bookmarkEnd w:id="309"/>
          </w:p>
          <w:p w14:paraId="37050B58">
            <w:pPr>
              <w:pStyle w:val="229"/>
              <w:keepNext w:val="0"/>
              <w:keepLines w:val="0"/>
              <w:pageBreakBefore w:val="0"/>
              <w:widowControl w:val="0"/>
              <w:shd w:val="clear" w:color="auto"/>
              <w:spacing w:after="0" w:line="440" w:lineRule="exact"/>
              <w:ind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法定代表人</w:t>
            </w:r>
            <w:r>
              <w:rPr>
                <w:rStyle w:val="216"/>
                <w:rFonts w:hint="eastAsia" w:ascii="宋体" w:hAnsi="宋体" w:eastAsia="宋体" w:cs="宋体"/>
                <w:bCs/>
                <w:color w:val="000000" w:themeColor="text1"/>
                <w:spacing w:val="0"/>
                <w:sz w:val="24"/>
                <w:szCs w:val="24"/>
                <w:highlight w:val="none"/>
                <w14:textFill>
                  <w14:solidFill>
                    <w14:schemeClr w14:val="tx1"/>
                  </w14:solidFill>
                </w14:textFill>
              </w:rPr>
              <w:t>（或负责人）</w:t>
            </w:r>
            <w:r>
              <w:rPr>
                <w:rStyle w:val="216"/>
                <w:rFonts w:hint="eastAsia" w:ascii="宋体" w:hAnsi="宋体" w:eastAsia="宋体" w:cs="宋体"/>
                <w:color w:val="000000" w:themeColor="text1"/>
                <w:spacing w:val="0"/>
                <w:sz w:val="24"/>
                <w:szCs w:val="24"/>
                <w:highlight w:val="none"/>
                <w14:textFill>
                  <w14:solidFill>
                    <w14:schemeClr w14:val="tx1"/>
                  </w14:solidFill>
                </w14:textFill>
              </w:rPr>
              <w:t>或授权代表：</w:t>
            </w:r>
            <w:bookmarkStart w:id="310" w:name="jianshedanweifaren"/>
            <w:bookmarkEnd w:id="310"/>
          </w:p>
          <w:p w14:paraId="5BAF89B6">
            <w:pPr>
              <w:pStyle w:val="229"/>
              <w:keepNext w:val="0"/>
              <w:keepLines w:val="0"/>
              <w:pageBreakBefore w:val="0"/>
              <w:widowControl w:val="0"/>
              <w:shd w:val="clear" w:color="auto"/>
              <w:spacing w:after="0" w:line="440" w:lineRule="exact"/>
              <w:ind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联系电话：</w:t>
            </w:r>
            <w:bookmarkStart w:id="311" w:name="jianshedanweifarentel"/>
            <w:bookmarkEnd w:id="311"/>
          </w:p>
          <w:p w14:paraId="398A7636">
            <w:pPr>
              <w:pStyle w:val="229"/>
              <w:keepNext w:val="0"/>
              <w:keepLines w:val="0"/>
              <w:pageBreakBefore w:val="0"/>
              <w:widowControl w:val="0"/>
              <w:shd w:val="clear" w:color="auto"/>
              <w:spacing w:after="0" w:line="440" w:lineRule="exact"/>
              <w:ind w:left="0"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签订日期：</w:t>
            </w:r>
            <w:bookmarkStart w:id="312" w:name="jiafangqiandingdate"/>
            <w:r>
              <w:rPr>
                <w:rStyle w:val="216"/>
                <w:rFonts w:hint="eastAsia" w:ascii="宋体" w:hAnsi="宋体" w:eastAsia="宋体" w:cs="宋体"/>
                <w:color w:val="000000" w:themeColor="text1"/>
                <w:spacing w:val="0"/>
                <w:sz w:val="24"/>
                <w:szCs w:val="24"/>
                <w:highlight w:val="none"/>
                <w14:textFill>
                  <w14:solidFill>
                    <w14:schemeClr w14:val="tx1"/>
                  </w14:solidFill>
                </w14:textFill>
              </w:rPr>
              <w:t xml:space="preserve">      年    月  日</w:t>
            </w:r>
            <w:bookmarkEnd w:id="230"/>
            <w:bookmarkEnd w:id="312"/>
          </w:p>
        </w:tc>
      </w:tr>
      <w:tr w14:paraId="60EB2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5000" w:type="pct"/>
            <w:noWrap w:val="0"/>
          </w:tcPr>
          <w:p w14:paraId="364FB95C">
            <w:pPr>
              <w:pStyle w:val="229"/>
              <w:keepNext w:val="0"/>
              <w:keepLines w:val="0"/>
              <w:pageBreakBefore w:val="0"/>
              <w:widowControl w:val="0"/>
              <w:shd w:val="clear" w:color="auto"/>
              <w:spacing w:after="0" w:line="440" w:lineRule="exact"/>
              <w:ind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乙方：</w:t>
            </w:r>
            <w:bookmarkStart w:id="313" w:name="zhongbiaodanweiname_2"/>
            <w:bookmarkEnd w:id="313"/>
          </w:p>
          <w:p w14:paraId="1A761881">
            <w:pPr>
              <w:pStyle w:val="230"/>
              <w:keepNext w:val="0"/>
              <w:keepLines w:val="0"/>
              <w:pageBreakBefore w:val="0"/>
              <w:widowControl w:val="0"/>
              <w:shd w:val="clear" w:color="auto"/>
              <w:spacing w:after="0" w:line="440" w:lineRule="exact"/>
              <w:ind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地址：</w:t>
            </w:r>
            <w:bookmarkStart w:id="314" w:name="zhongbiaodanweiaddress"/>
            <w:bookmarkEnd w:id="314"/>
          </w:p>
          <w:p w14:paraId="0F6A94AA">
            <w:pPr>
              <w:pStyle w:val="229"/>
              <w:keepNext w:val="0"/>
              <w:keepLines w:val="0"/>
              <w:pageBreakBefore w:val="0"/>
              <w:widowControl w:val="0"/>
              <w:shd w:val="clear" w:color="auto"/>
              <w:spacing w:after="0" w:line="440" w:lineRule="exact"/>
              <w:ind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法定代表人</w:t>
            </w:r>
            <w:r>
              <w:rPr>
                <w:rStyle w:val="216"/>
                <w:rFonts w:hint="eastAsia" w:ascii="宋体" w:hAnsi="宋体" w:eastAsia="宋体" w:cs="宋体"/>
                <w:bCs/>
                <w:color w:val="000000" w:themeColor="text1"/>
                <w:spacing w:val="0"/>
                <w:sz w:val="24"/>
                <w:szCs w:val="24"/>
                <w:highlight w:val="none"/>
                <w14:textFill>
                  <w14:solidFill>
                    <w14:schemeClr w14:val="tx1"/>
                  </w14:solidFill>
                </w14:textFill>
              </w:rPr>
              <w:t>（或负责人）</w:t>
            </w:r>
            <w:r>
              <w:rPr>
                <w:rStyle w:val="216"/>
                <w:rFonts w:hint="eastAsia" w:ascii="宋体" w:hAnsi="宋体" w:eastAsia="宋体" w:cs="宋体"/>
                <w:color w:val="000000" w:themeColor="text1"/>
                <w:spacing w:val="0"/>
                <w:sz w:val="24"/>
                <w:szCs w:val="24"/>
                <w:highlight w:val="none"/>
                <w14:textFill>
                  <w14:solidFill>
                    <w14:schemeClr w14:val="tx1"/>
                  </w14:solidFill>
                </w14:textFill>
              </w:rPr>
              <w:t>或授权代表：</w:t>
            </w:r>
            <w:bookmarkStart w:id="315" w:name="zhongbiaodanweifaren"/>
            <w:bookmarkEnd w:id="315"/>
          </w:p>
          <w:p w14:paraId="23B91D80">
            <w:pPr>
              <w:pStyle w:val="229"/>
              <w:keepNext w:val="0"/>
              <w:keepLines w:val="0"/>
              <w:pageBreakBefore w:val="0"/>
              <w:widowControl w:val="0"/>
              <w:shd w:val="clear" w:color="auto"/>
              <w:spacing w:after="0" w:line="440" w:lineRule="exact"/>
              <w:ind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联系电话：</w:t>
            </w:r>
            <w:bookmarkStart w:id="316" w:name="zhongbiaodanweifarentel"/>
            <w:bookmarkEnd w:id="316"/>
          </w:p>
          <w:p w14:paraId="547C1E93">
            <w:pPr>
              <w:pStyle w:val="229"/>
              <w:keepNext w:val="0"/>
              <w:keepLines w:val="0"/>
              <w:pageBreakBefore w:val="0"/>
              <w:widowControl w:val="0"/>
              <w:shd w:val="clear" w:color="auto"/>
              <w:spacing w:after="0" w:line="440" w:lineRule="exact"/>
              <w:ind w:left="0" w:firstLine="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 xml:space="preserve">签订日期： </w:t>
            </w:r>
            <w:bookmarkStart w:id="317" w:name="yifangqiandingdate"/>
            <w:r>
              <w:rPr>
                <w:rStyle w:val="216"/>
                <w:rFonts w:hint="eastAsia" w:ascii="宋体" w:hAnsi="宋体" w:eastAsia="宋体" w:cs="宋体"/>
                <w:color w:val="000000" w:themeColor="text1"/>
                <w:spacing w:val="0"/>
                <w:sz w:val="24"/>
                <w:szCs w:val="24"/>
                <w:highlight w:val="none"/>
                <w14:textFill>
                  <w14:solidFill>
                    <w14:schemeClr w14:val="tx1"/>
                  </w14:solidFill>
                </w14:textFill>
              </w:rPr>
              <w:t xml:space="preserve">     年    月  日</w:t>
            </w:r>
            <w:bookmarkEnd w:id="317"/>
          </w:p>
        </w:tc>
      </w:tr>
    </w:tbl>
    <w:p w14:paraId="0CC1FE7E">
      <w:pPr>
        <w:pStyle w:val="229"/>
        <w:keepNext w:val="0"/>
        <w:keepLines w:val="0"/>
        <w:pageBreakBefore w:val="0"/>
        <w:widowControl w:val="0"/>
        <w:shd w:val="clear" w:color="auto"/>
        <w:spacing w:line="500" w:lineRule="exact"/>
        <w:ind w:firstLine="0"/>
        <w:rPr>
          <w:rStyle w:val="216"/>
          <w:rFonts w:hint="eastAsia" w:ascii="宋体" w:hAnsi="宋体" w:eastAsia="宋体" w:cs="宋体"/>
          <w:color w:val="000000" w:themeColor="text1"/>
          <w:spacing w:val="0"/>
          <w:highlight w:val="none"/>
          <w14:textFill>
            <w14:solidFill>
              <w14:schemeClr w14:val="tx1"/>
            </w14:solidFill>
          </w14:textFill>
        </w:rPr>
      </w:pPr>
    </w:p>
    <w:p w14:paraId="7F200008">
      <w:pPr>
        <w:keepNext w:val="0"/>
        <w:keepLines w:val="0"/>
        <w:pageBreakBefore w:val="0"/>
        <w:widowControl w:val="0"/>
        <w:shd w:val="clear" w:color="auto"/>
        <w:spacing w:line="500" w:lineRule="exact"/>
        <w:rPr>
          <w:rFonts w:hint="eastAsia" w:ascii="宋体" w:hAnsi="宋体" w:eastAsia="宋体" w:cs="宋体"/>
          <w:color w:val="000000" w:themeColor="text1"/>
          <w:spacing w:val="0"/>
          <w:sz w:val="20"/>
          <w:highlight w:val="none"/>
          <w14:textFill>
            <w14:solidFill>
              <w14:schemeClr w14:val="tx1"/>
            </w14:solidFill>
          </w14:textFill>
        </w:rPr>
        <w:sectPr>
          <w:headerReference r:id="rId14" w:type="first"/>
          <w:headerReference r:id="rId13" w:type="default"/>
          <w:pgSz w:w="11906" w:h="16838"/>
          <w:pgMar w:top="1440" w:right="1080" w:bottom="1440" w:left="1080" w:header="851" w:footer="992" w:gutter="0"/>
          <w:cols w:space="1701" w:num="1"/>
          <w:titlePg/>
          <w:docGrid w:linePitch="360" w:charSpace="0"/>
        </w:sectPr>
      </w:pPr>
    </w:p>
    <w:p w14:paraId="0F976C19">
      <w:pPr>
        <w:pStyle w:val="211"/>
        <w:shd w:val="clear" w:color="auto"/>
        <w:spacing w:before="313" w:after="313"/>
        <w:rPr>
          <w:rFonts w:hint="eastAsia" w:ascii="宋体" w:hAnsi="宋体" w:eastAsia="宋体" w:cs="宋体"/>
          <w:color w:val="000000" w:themeColor="text1"/>
          <w:spacing w:val="0"/>
          <w:highlight w:val="none"/>
          <w14:textFill>
            <w14:solidFill>
              <w14:schemeClr w14:val="tx1"/>
            </w14:solidFill>
          </w14:textFill>
        </w:rPr>
      </w:pPr>
      <w:bookmarkStart w:id="318" w:name="_Hlt16619350"/>
      <w:bookmarkStart w:id="319" w:name="_Toc24253"/>
      <w:bookmarkStart w:id="320" w:name="_Toc20823346"/>
      <w:bookmarkStart w:id="321" w:name="_Toc13070"/>
      <w:bookmarkStart w:id="322" w:name="_Toc35266028"/>
      <w:bookmarkStart w:id="323" w:name="_Toc120614244"/>
      <w:bookmarkStart w:id="324" w:name="_Toc9844"/>
      <w:bookmarkStart w:id="325" w:name="_Toc54615246"/>
      <w:bookmarkStart w:id="326" w:name="_Toc26104"/>
      <w:bookmarkStart w:id="327" w:name="_Toc16938590"/>
      <w:bookmarkStart w:id="328" w:name="_Toc38368128"/>
      <w:r>
        <w:rPr>
          <w:rFonts w:hint="eastAsia" w:ascii="宋体" w:hAnsi="宋体" w:eastAsia="宋体" w:cs="宋体"/>
          <w:color w:val="000000" w:themeColor="text1"/>
          <w:spacing w:val="0"/>
          <w:highlight w:val="none"/>
          <w14:textFill>
            <w14:solidFill>
              <w14:schemeClr w14:val="tx1"/>
            </w14:solidFill>
          </w14:textFill>
        </w:rPr>
        <w:t>第</w:t>
      </w:r>
      <w:bookmarkEnd w:id="318"/>
      <w:r>
        <w:rPr>
          <w:rFonts w:hint="eastAsia" w:ascii="宋体" w:hAnsi="宋体" w:eastAsia="宋体" w:cs="宋体"/>
          <w:color w:val="000000" w:themeColor="text1"/>
          <w:spacing w:val="0"/>
          <w:highlight w:val="none"/>
          <w14:textFill>
            <w14:solidFill>
              <w14:schemeClr w14:val="tx1"/>
            </w14:solidFill>
          </w14:textFill>
        </w:rPr>
        <w:t>四章 项目需求</w:t>
      </w:r>
      <w:bookmarkEnd w:id="319"/>
      <w:bookmarkEnd w:id="320"/>
      <w:bookmarkEnd w:id="321"/>
      <w:bookmarkEnd w:id="322"/>
      <w:bookmarkEnd w:id="323"/>
      <w:bookmarkEnd w:id="324"/>
      <w:bookmarkEnd w:id="325"/>
      <w:bookmarkEnd w:id="326"/>
      <w:bookmarkEnd w:id="327"/>
      <w:bookmarkEnd w:id="328"/>
      <w:bookmarkStart w:id="329" w:name="_Toc483515625"/>
      <w:bookmarkEnd w:id="329"/>
      <w:bookmarkStart w:id="330" w:name="_Toc274321794"/>
      <w:bookmarkEnd w:id="330"/>
      <w:bookmarkStart w:id="331" w:name="_Toc319429198"/>
      <w:bookmarkEnd w:id="331"/>
      <w:bookmarkStart w:id="332" w:name="_Toc350255489"/>
      <w:bookmarkEnd w:id="332"/>
      <w:bookmarkStart w:id="333" w:name="_Toc26554093"/>
      <w:bookmarkStart w:id="334" w:name="_Toc49090575"/>
    </w:p>
    <w:p w14:paraId="22B980A4">
      <w:pPr>
        <w:keepNext w:val="0"/>
        <w:keepLines w:val="0"/>
        <w:pageBreakBefore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35" w:name="_Toc2128"/>
      <w:bookmarkStart w:id="336" w:name="_Toc28824"/>
      <w:bookmarkStart w:id="337" w:name="_Toc13663"/>
      <w:bookmarkStart w:id="338" w:name="_Toc22586"/>
      <w:bookmarkStart w:id="339" w:name="_Toc120614281"/>
      <w:r>
        <w:rPr>
          <w:rFonts w:hint="eastAsia" w:ascii="宋体" w:hAnsi="宋体" w:eastAsia="宋体" w:cs="宋体"/>
          <w:b/>
          <w:color w:val="000000" w:themeColor="text1"/>
          <w:spacing w:val="0"/>
          <w:sz w:val="28"/>
          <w:szCs w:val="28"/>
          <w:highlight w:val="none"/>
          <w14:textFill>
            <w14:solidFill>
              <w14:schemeClr w14:val="tx1"/>
            </w14:solidFill>
          </w14:textFill>
        </w:rPr>
        <w:t>一、清单</w:t>
      </w:r>
      <w:bookmarkEnd w:id="335"/>
      <w:bookmarkEnd w:id="336"/>
      <w:bookmarkEnd w:id="337"/>
      <w:bookmarkEnd w:id="338"/>
    </w:p>
    <w:p w14:paraId="1522B8B3">
      <w:pPr>
        <w:pStyle w:val="233"/>
        <w:keepNext w:val="0"/>
        <w:keepLines w:val="0"/>
        <w:pageBreakBefore w:val="0"/>
        <w:widowControl/>
        <w:shd w:val="clear" w:color="auto"/>
        <w:spacing w:line="520" w:lineRule="exact"/>
        <w:ind w:firstLine="482"/>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一</w:t>
      </w: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清单</w:t>
      </w:r>
    </w:p>
    <w:tbl>
      <w:tblPr>
        <w:tblStyle w:val="39"/>
        <w:tblW w:w="97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100" w:type="dxa"/>
          <w:left w:w="108" w:type="dxa"/>
          <w:bottom w:w="100" w:type="dxa"/>
          <w:right w:w="108" w:type="dxa"/>
        </w:tblCellMar>
      </w:tblPr>
      <w:tblGrid>
        <w:gridCol w:w="655"/>
        <w:gridCol w:w="2475"/>
        <w:gridCol w:w="712"/>
        <w:gridCol w:w="575"/>
        <w:gridCol w:w="538"/>
        <w:gridCol w:w="2712"/>
        <w:gridCol w:w="888"/>
        <w:gridCol w:w="1227"/>
      </w:tblGrid>
      <w:tr w14:paraId="70C1E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55" w:type="dxa"/>
            <w:shd w:val="clear" w:color="auto" w:fill="B5C7EA"/>
            <w:noWrap/>
            <w:tcMar>
              <w:top w:w="100" w:type="dxa"/>
              <w:bottom w:w="100" w:type="dxa"/>
            </w:tcMar>
            <w:vAlign w:val="center"/>
          </w:tcPr>
          <w:p w14:paraId="005044A3">
            <w:pPr>
              <w:pStyle w:val="232"/>
              <w:shd w:val="clear" w:color="auto"/>
              <w:spacing w:line="240" w:lineRule="auto"/>
              <w:jc w:val="center"/>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序号</w:t>
            </w:r>
          </w:p>
        </w:tc>
        <w:tc>
          <w:tcPr>
            <w:tcW w:w="2475" w:type="dxa"/>
            <w:shd w:val="clear" w:color="auto" w:fill="B5C7EA"/>
            <w:noWrap/>
            <w:tcMar>
              <w:top w:w="100" w:type="dxa"/>
              <w:bottom w:w="100" w:type="dxa"/>
            </w:tcMar>
            <w:vAlign w:val="center"/>
          </w:tcPr>
          <w:p w14:paraId="09AECE88">
            <w:pPr>
              <w:pStyle w:val="232"/>
              <w:shd w:val="clear" w:color="auto"/>
              <w:spacing w:line="240" w:lineRule="auto"/>
              <w:jc w:val="center"/>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名称</w:t>
            </w:r>
          </w:p>
        </w:tc>
        <w:tc>
          <w:tcPr>
            <w:tcW w:w="712" w:type="dxa"/>
            <w:shd w:val="clear" w:color="auto" w:fill="B5C7EA"/>
            <w:noWrap/>
            <w:tcMar>
              <w:top w:w="100" w:type="dxa"/>
              <w:bottom w:w="100" w:type="dxa"/>
            </w:tcMar>
            <w:vAlign w:val="center"/>
          </w:tcPr>
          <w:p w14:paraId="2628F8E4">
            <w:pPr>
              <w:pStyle w:val="232"/>
              <w:shd w:val="clear" w:color="auto"/>
              <w:spacing w:line="240" w:lineRule="auto"/>
              <w:jc w:val="center"/>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数量</w:t>
            </w:r>
          </w:p>
        </w:tc>
        <w:tc>
          <w:tcPr>
            <w:tcW w:w="575" w:type="dxa"/>
            <w:shd w:val="clear" w:color="auto" w:fill="B5C7EA"/>
            <w:noWrap/>
            <w:tcMar>
              <w:top w:w="100" w:type="dxa"/>
              <w:bottom w:w="100" w:type="dxa"/>
            </w:tcMar>
            <w:vAlign w:val="center"/>
          </w:tcPr>
          <w:p w14:paraId="52F96554">
            <w:pPr>
              <w:pStyle w:val="232"/>
              <w:shd w:val="clear" w:color="auto"/>
              <w:spacing w:line="240" w:lineRule="auto"/>
              <w:jc w:val="center"/>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单位</w:t>
            </w:r>
          </w:p>
        </w:tc>
        <w:tc>
          <w:tcPr>
            <w:tcW w:w="538" w:type="dxa"/>
            <w:shd w:val="clear" w:color="auto" w:fill="B5C7EA"/>
            <w:noWrap/>
            <w:tcMar>
              <w:top w:w="100" w:type="dxa"/>
              <w:bottom w:w="100" w:type="dxa"/>
            </w:tcMar>
            <w:vAlign w:val="center"/>
          </w:tcPr>
          <w:p w14:paraId="1B629473">
            <w:pPr>
              <w:pStyle w:val="232"/>
              <w:shd w:val="clear" w:color="auto"/>
              <w:spacing w:line="240" w:lineRule="auto"/>
              <w:jc w:val="center"/>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图片</w:t>
            </w:r>
          </w:p>
        </w:tc>
        <w:tc>
          <w:tcPr>
            <w:tcW w:w="2712" w:type="dxa"/>
            <w:shd w:val="clear" w:color="auto" w:fill="B5C7EA"/>
            <w:noWrap/>
            <w:tcMar>
              <w:top w:w="100" w:type="dxa"/>
              <w:bottom w:w="100" w:type="dxa"/>
            </w:tcMar>
            <w:vAlign w:val="center"/>
          </w:tcPr>
          <w:p w14:paraId="497BD490">
            <w:pPr>
              <w:pStyle w:val="232"/>
              <w:shd w:val="clear" w:color="auto"/>
              <w:spacing w:line="240" w:lineRule="auto"/>
              <w:jc w:val="center"/>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所属行业</w:t>
            </w:r>
          </w:p>
        </w:tc>
        <w:tc>
          <w:tcPr>
            <w:tcW w:w="888" w:type="dxa"/>
            <w:shd w:val="clear" w:color="auto" w:fill="B5C7EA"/>
            <w:noWrap/>
            <w:tcMar>
              <w:top w:w="100" w:type="dxa"/>
              <w:bottom w:w="100" w:type="dxa"/>
            </w:tcMar>
            <w:vAlign w:val="center"/>
          </w:tcPr>
          <w:p w14:paraId="04A36767">
            <w:pPr>
              <w:pStyle w:val="232"/>
              <w:shd w:val="clear" w:color="auto"/>
              <w:spacing w:line="240" w:lineRule="auto"/>
              <w:jc w:val="center"/>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标的类型</w:t>
            </w:r>
          </w:p>
        </w:tc>
        <w:tc>
          <w:tcPr>
            <w:tcW w:w="1227" w:type="dxa"/>
            <w:shd w:val="clear" w:color="auto" w:fill="B5C7EA"/>
            <w:noWrap/>
            <w:tcMar>
              <w:top w:w="100" w:type="dxa"/>
              <w:bottom w:w="100" w:type="dxa"/>
            </w:tcMar>
            <w:vAlign w:val="center"/>
          </w:tcPr>
          <w:p w14:paraId="69BE071C">
            <w:pPr>
              <w:pStyle w:val="232"/>
              <w:shd w:val="clear" w:color="auto"/>
              <w:spacing w:line="240" w:lineRule="auto"/>
              <w:jc w:val="center"/>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标的属性</w:t>
            </w:r>
          </w:p>
        </w:tc>
      </w:tr>
      <w:tr w14:paraId="0EE47A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00" w:type="dxa"/>
            <w:left w:w="108" w:type="dxa"/>
            <w:bottom w:w="100" w:type="dxa"/>
            <w:right w:w="108" w:type="dxa"/>
          </w:tblCellMar>
        </w:tblPrEx>
        <w:trPr>
          <w:trHeight w:val="567" w:hRule="atLeast"/>
          <w:jc w:val="center"/>
        </w:trPr>
        <w:tc>
          <w:tcPr>
            <w:tcW w:w="655" w:type="dxa"/>
            <w:noWrap/>
            <w:tcMar>
              <w:top w:w="100" w:type="dxa"/>
              <w:bottom w:w="100" w:type="dxa"/>
            </w:tcMar>
            <w:vAlign w:val="center"/>
          </w:tcPr>
          <w:p w14:paraId="44C5BD88">
            <w:pPr>
              <w:pStyle w:val="232"/>
              <w:keepNext w:val="0"/>
              <w:keepLines w:val="0"/>
              <w:pageBreakBefore w:val="0"/>
              <w:widowControl/>
              <w:shd w:val="clear" w:color="auto"/>
              <w:spacing w:line="240" w:lineRule="auto"/>
              <w:jc w:val="center"/>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w:t>
            </w:r>
          </w:p>
        </w:tc>
        <w:tc>
          <w:tcPr>
            <w:tcW w:w="2475" w:type="dxa"/>
            <w:noWrap/>
            <w:tcMar>
              <w:top w:w="100" w:type="dxa"/>
              <w:bottom w:w="100" w:type="dxa"/>
            </w:tcMar>
            <w:vAlign w:val="center"/>
          </w:tcPr>
          <w:p w14:paraId="495CA797">
            <w:pPr>
              <w:pStyle w:val="232"/>
              <w:keepNext w:val="0"/>
              <w:keepLines w:val="0"/>
              <w:pageBreakBefore w:val="0"/>
              <w:widowControl/>
              <w:shd w:val="clear" w:color="auto"/>
              <w:spacing w:line="240" w:lineRule="auto"/>
              <w:jc w:val="center"/>
              <w:rPr>
                <w:rStyle w:val="216"/>
                <w:rFonts w:hint="eastAsia" w:ascii="宋体" w:hAnsi="宋体" w:eastAsia="宋体" w:cs="宋体"/>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eastAsia="zh-CN"/>
                <w14:textFill>
                  <w14:solidFill>
                    <w14:schemeClr w14:val="tx1"/>
                  </w14:solidFill>
                </w14:textFill>
              </w:rPr>
              <w:t>张家港经济技术开发区园区限值限量监测设备第三方运维服务项目</w:t>
            </w:r>
          </w:p>
        </w:tc>
        <w:tc>
          <w:tcPr>
            <w:tcW w:w="712" w:type="dxa"/>
            <w:noWrap/>
            <w:tcMar>
              <w:top w:w="100" w:type="dxa"/>
              <w:bottom w:w="100" w:type="dxa"/>
            </w:tcMar>
            <w:vAlign w:val="center"/>
          </w:tcPr>
          <w:p w14:paraId="2E639E73">
            <w:pPr>
              <w:pStyle w:val="239"/>
              <w:keepNext w:val="0"/>
              <w:keepLines w:val="0"/>
              <w:pageBreakBefore w:val="0"/>
              <w:widowControl/>
              <w:shd w:val="clear" w:color="auto"/>
              <w:spacing w:line="516" w:lineRule="exact"/>
              <w:jc w:val="center"/>
              <w:outlineLvl w:val="9"/>
              <w:rPr>
                <w:rStyle w:val="216"/>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Style w:val="216"/>
                <w:rFonts w:hint="eastAsia" w:ascii="宋体" w:hAnsi="宋体" w:eastAsia="宋体" w:cs="宋体"/>
                <w:color w:val="000000" w:themeColor="text1"/>
                <w:spacing w:val="0"/>
                <w:sz w:val="24"/>
                <w:szCs w:val="24"/>
                <w:highlight w:val="none"/>
                <w:lang w:val="en-US" w:eastAsia="zh-CN"/>
                <w14:textFill>
                  <w14:solidFill>
                    <w14:schemeClr w14:val="tx1"/>
                  </w14:solidFill>
                </w14:textFill>
              </w:rPr>
              <w:t>1</w:t>
            </w:r>
          </w:p>
        </w:tc>
        <w:tc>
          <w:tcPr>
            <w:tcW w:w="575" w:type="dxa"/>
            <w:noWrap/>
            <w:tcMar>
              <w:top w:w="100" w:type="dxa"/>
              <w:bottom w:w="100" w:type="dxa"/>
            </w:tcMar>
            <w:vAlign w:val="center"/>
          </w:tcPr>
          <w:p w14:paraId="74C50BAF">
            <w:pPr>
              <w:pStyle w:val="239"/>
              <w:keepNext w:val="0"/>
              <w:keepLines w:val="0"/>
              <w:pageBreakBefore w:val="0"/>
              <w:widowControl/>
              <w:shd w:val="clear" w:color="auto"/>
              <w:spacing w:line="516" w:lineRule="exact"/>
              <w:jc w:val="center"/>
              <w:outlineLvl w:val="9"/>
              <w:rPr>
                <w:rStyle w:val="216"/>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Style w:val="216"/>
                <w:rFonts w:hint="eastAsia" w:ascii="宋体" w:hAnsi="宋体" w:eastAsia="宋体" w:cs="宋体"/>
                <w:color w:val="000000" w:themeColor="text1"/>
                <w:spacing w:val="0"/>
                <w:sz w:val="24"/>
                <w:szCs w:val="24"/>
                <w:highlight w:val="none"/>
                <w:lang w:val="en-US" w:eastAsia="zh-CN"/>
                <w14:textFill>
                  <w14:solidFill>
                    <w14:schemeClr w14:val="tx1"/>
                  </w14:solidFill>
                </w14:textFill>
              </w:rPr>
              <w:t>项</w:t>
            </w:r>
          </w:p>
        </w:tc>
        <w:tc>
          <w:tcPr>
            <w:tcW w:w="538" w:type="dxa"/>
            <w:noWrap/>
            <w:tcMar>
              <w:top w:w="100" w:type="dxa"/>
              <w:bottom w:w="100" w:type="dxa"/>
            </w:tcMar>
            <w:vAlign w:val="center"/>
          </w:tcPr>
          <w:p w14:paraId="2FD5E4B7">
            <w:pPr>
              <w:pStyle w:val="239"/>
              <w:keepNext w:val="0"/>
              <w:keepLines w:val="0"/>
              <w:pageBreakBefore w:val="0"/>
              <w:widowControl/>
              <w:shd w:val="clear" w:color="auto"/>
              <w:spacing w:line="516" w:lineRule="exact"/>
              <w:jc w:val="center"/>
              <w:outlineLvl w:val="9"/>
              <w:rPr>
                <w:rStyle w:val="216"/>
                <w:rFonts w:hint="eastAsia" w:ascii="宋体" w:hAnsi="宋体" w:eastAsia="宋体" w:cs="宋体"/>
                <w:color w:val="000000" w:themeColor="text1"/>
                <w:spacing w:val="0"/>
                <w:sz w:val="24"/>
                <w:szCs w:val="24"/>
                <w:highlight w:val="none"/>
                <w:lang w:val="en-US" w:eastAsia="zh-CN"/>
                <w14:textFill>
                  <w14:solidFill>
                    <w14:schemeClr w14:val="tx1"/>
                  </w14:solidFill>
                </w14:textFill>
              </w:rPr>
            </w:pPr>
            <w:r>
              <w:rPr>
                <w:rStyle w:val="216"/>
                <w:rFonts w:hint="eastAsia" w:ascii="宋体" w:hAnsi="宋体" w:eastAsia="宋体" w:cs="宋体"/>
                <w:color w:val="000000" w:themeColor="text1"/>
                <w:spacing w:val="0"/>
                <w:sz w:val="24"/>
                <w:szCs w:val="24"/>
                <w:highlight w:val="none"/>
                <w:lang w:val="en-US" w:eastAsia="zh-CN"/>
                <w14:textFill>
                  <w14:solidFill>
                    <w14:schemeClr w14:val="tx1"/>
                  </w14:solidFill>
                </w14:textFill>
              </w:rPr>
              <w:t>无</w:t>
            </w:r>
          </w:p>
        </w:tc>
        <w:tc>
          <w:tcPr>
            <w:tcW w:w="2712" w:type="dxa"/>
            <w:noWrap/>
            <w:tcMar>
              <w:top w:w="100" w:type="dxa"/>
              <w:bottom w:w="100" w:type="dxa"/>
            </w:tcMar>
            <w:vAlign w:val="center"/>
          </w:tcPr>
          <w:p w14:paraId="62359A8C">
            <w:pPr>
              <w:pStyle w:val="232"/>
              <w:keepNext w:val="0"/>
              <w:keepLines w:val="0"/>
              <w:pageBreakBefore w:val="0"/>
              <w:widowControl/>
              <w:shd w:val="clear" w:color="auto"/>
              <w:spacing w:line="240" w:lineRule="auto"/>
              <w:jc w:val="center"/>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其他未列明行业（包括科学研究和技术服务业，水利、环境和公共设施管理业，居民服务、修理和其他服务业，社会工作，文化、体育和娱乐业等）</w:t>
            </w:r>
          </w:p>
        </w:tc>
        <w:tc>
          <w:tcPr>
            <w:tcW w:w="888" w:type="dxa"/>
            <w:noWrap/>
            <w:tcMar>
              <w:top w:w="100" w:type="dxa"/>
              <w:bottom w:w="100" w:type="dxa"/>
            </w:tcMar>
            <w:vAlign w:val="center"/>
          </w:tcPr>
          <w:p w14:paraId="6D8906A1">
            <w:pPr>
              <w:pStyle w:val="232"/>
              <w:keepNext w:val="0"/>
              <w:keepLines w:val="0"/>
              <w:pageBreakBefore w:val="0"/>
              <w:widowControl/>
              <w:shd w:val="clear" w:color="auto"/>
              <w:spacing w:line="240" w:lineRule="auto"/>
              <w:jc w:val="center"/>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主要采购标的</w:t>
            </w:r>
          </w:p>
        </w:tc>
        <w:tc>
          <w:tcPr>
            <w:tcW w:w="1227" w:type="dxa"/>
            <w:noWrap/>
            <w:tcMar>
              <w:top w:w="100" w:type="dxa"/>
              <w:bottom w:w="100" w:type="dxa"/>
            </w:tcMar>
            <w:vAlign w:val="center"/>
          </w:tcPr>
          <w:p w14:paraId="3CDE6EC6">
            <w:pPr>
              <w:pStyle w:val="232"/>
              <w:keepNext w:val="0"/>
              <w:keepLines w:val="0"/>
              <w:pageBreakBefore w:val="0"/>
              <w:widowControl/>
              <w:shd w:val="clear" w:color="auto"/>
              <w:spacing w:line="240" w:lineRule="auto"/>
              <w:jc w:val="center"/>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服务类</w:t>
            </w:r>
          </w:p>
        </w:tc>
      </w:tr>
    </w:tbl>
    <w:p w14:paraId="5AE6F524">
      <w:pPr>
        <w:pStyle w:val="231"/>
        <w:keepNext w:val="0"/>
        <w:keepLines w:val="0"/>
        <w:pageBreakBefore w:val="0"/>
        <w:widowControl/>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w:t>
      </w:r>
      <w:r>
        <w:rPr>
          <w:rFonts w:hint="eastAsia" w:ascii="宋体" w:hAnsi="宋体" w:eastAsia="宋体" w:cs="宋体"/>
          <w:color w:val="000000" w:themeColor="text1"/>
          <w:spacing w:val="0"/>
          <w:sz w:val="24"/>
          <w:szCs w:val="24"/>
          <w:highlight w:val="none"/>
          <w14:textFill>
            <w14:solidFill>
              <w14:schemeClr w14:val="tx1"/>
            </w14:solidFill>
          </w14:textFill>
        </w:rPr>
        <w:t>其他未列明行业（包括科学研究和技术服务业，水利、环境和公共设施管理业，居民服务、修理和其他服务业，社会工作，文化、体育和娱乐业等）</w:t>
      </w:r>
      <w:r>
        <w:rPr>
          <w:rStyle w:val="216"/>
          <w:rFonts w:hint="eastAsia" w:ascii="宋体" w:hAnsi="宋体" w:eastAsia="宋体" w:cs="宋体"/>
          <w:color w:val="000000" w:themeColor="text1"/>
          <w:spacing w:val="0"/>
          <w:sz w:val="24"/>
          <w:szCs w:val="24"/>
          <w:highlight w:val="none"/>
          <w14:textFill>
            <w14:solidFill>
              <w14:schemeClr w14:val="tx1"/>
            </w14:solidFill>
          </w14:textFill>
        </w:rPr>
        <w:t>。</w:t>
      </w:r>
    </w:p>
    <w:p w14:paraId="48B24248">
      <w:pPr>
        <w:pStyle w:val="233"/>
        <w:keepNext w:val="0"/>
        <w:keepLines w:val="0"/>
        <w:pageBreakBefore w:val="0"/>
        <w:widowControl/>
        <w:shd w:val="clear" w:color="auto"/>
        <w:spacing w:line="520" w:lineRule="exact"/>
        <w:ind w:firstLine="482"/>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二</w:t>
      </w: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核心产品清单</w:t>
      </w:r>
    </w:p>
    <w:p w14:paraId="26D9C0FA">
      <w:pPr>
        <w:pStyle w:val="233"/>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14:textFill>
            <w14:solidFill>
              <w14:schemeClr w14:val="tx1"/>
            </w14:solidFill>
          </w14:textFill>
        </w:rPr>
        <w:t>无。</w:t>
      </w:r>
    </w:p>
    <w:p w14:paraId="7CCF0ABA">
      <w:pPr>
        <w:pStyle w:val="234"/>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注：</w:t>
      </w:r>
    </w:p>
    <w:p w14:paraId="06A58525">
      <w:pPr>
        <w:pStyle w:val="234"/>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1</w:t>
      </w:r>
      <w:r>
        <w:rPr>
          <w:rStyle w:val="216"/>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）若本次采购项目为单一产品，提供相同品牌产品且通过资格审查、符合性审查的不同投标人参加同一合同项下投标的，按一家投标人计算。对招标文件作实质响应的投标人不足三个的，将作废标处理；</w:t>
      </w:r>
    </w:p>
    <w:p w14:paraId="40401ABA">
      <w:pPr>
        <w:pStyle w:val="234"/>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2</w:t>
      </w:r>
      <w:r>
        <w:rPr>
          <w:rStyle w:val="216"/>
          <w:rFonts w:hint="eastAsia" w:ascii="宋体" w:hAnsi="宋体" w:eastAsia="宋体" w:cs="宋体"/>
          <w:b w:val="0"/>
          <w:bCs w:val="0"/>
          <w:color w:val="000000" w:themeColor="text1"/>
          <w:spacing w:val="0"/>
          <w:sz w:val="24"/>
          <w:szCs w:val="24"/>
          <w:highlight w:val="none"/>
          <w:lang w:eastAsia="zh-CN"/>
          <w14:textFill>
            <w14:solidFill>
              <w14:schemeClr w14:val="tx1"/>
            </w14:solidFill>
          </w14:textFill>
        </w:rPr>
        <w:t>）若本次采购项目为非单一产品，提供相同品牌核心产品且通过资格审查、符合性审查的不同投标人参加同一合同项下投标的，按一家投标人计算。对招标文件作实质响应的投标人不足三个的，将作废标处理。</w:t>
      </w:r>
    </w:p>
    <w:p w14:paraId="1CDD65F6">
      <w:pPr>
        <w:pStyle w:val="234"/>
        <w:keepNext w:val="0"/>
        <w:keepLines w:val="0"/>
        <w:pageBreakBefore w:val="0"/>
        <w:widowControl/>
        <w:shd w:val="clear" w:color="auto"/>
        <w:spacing w:line="520" w:lineRule="exact"/>
        <w:ind w:firstLine="482"/>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三</w:t>
      </w: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节能、环境标志产品清单(请提供国家确定的认证机构出具的、处于有效期之内的节能产品、环境标志产品认证证书（若证书有附件（附录）的，附件（附录）须随证书一起提供）</w:t>
      </w:r>
    </w:p>
    <w:p w14:paraId="2E4BEFDA">
      <w:pPr>
        <w:pStyle w:val="234"/>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14:textFill>
            <w14:solidFill>
              <w14:schemeClr w14:val="tx1"/>
            </w14:solidFill>
          </w14:textFill>
        </w:rPr>
        <w:t>节能产品政府采购品目清单：</w:t>
      </w:r>
    </w:p>
    <w:p w14:paraId="0166BDFD">
      <w:pPr>
        <w:pStyle w:val="234"/>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14:textFill>
            <w14:solidFill>
              <w14:schemeClr w14:val="tx1"/>
            </w14:solidFill>
          </w14:textFill>
        </w:rPr>
        <w:t>无。</w:t>
      </w:r>
    </w:p>
    <w:p w14:paraId="4FB6C351">
      <w:pPr>
        <w:pStyle w:val="235"/>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14:textFill>
            <w14:solidFill>
              <w14:schemeClr w14:val="tx1"/>
            </w14:solidFill>
          </w14:textFill>
        </w:rPr>
        <w:t>环境标志产品政府采购品目清单：</w:t>
      </w:r>
    </w:p>
    <w:p w14:paraId="75AED8C8">
      <w:pPr>
        <w:pStyle w:val="234"/>
        <w:keepNext w:val="0"/>
        <w:keepLines w:val="0"/>
        <w:pageBreakBefore w:val="0"/>
        <w:widowControl/>
        <w:shd w:val="clear" w:color="auto"/>
        <w:spacing w:line="520" w:lineRule="exact"/>
        <w:ind w:firstLine="480"/>
        <w:rPr>
          <w:rFonts w:hint="eastAsia" w:ascii="宋体" w:hAnsi="宋体" w:eastAsia="宋体" w:cs="宋体"/>
          <w:b w:val="0"/>
          <w:bCs w:val="0"/>
          <w:color w:val="000000" w:themeColor="text1"/>
          <w:spacing w:val="0"/>
          <w:sz w:val="24"/>
          <w:szCs w:val="24"/>
          <w:highlight w:val="none"/>
          <w14:textFill>
            <w14:solidFill>
              <w14:schemeClr w14:val="tx1"/>
            </w14:solidFill>
          </w14:textFill>
        </w:rPr>
      </w:pPr>
      <w:bookmarkStart w:id="340" w:name="EB408f2104b2e44804a6615a1921eee37c"/>
      <w:bookmarkEnd w:id="340"/>
      <w:r>
        <w:rPr>
          <w:rStyle w:val="216"/>
          <w:rFonts w:hint="eastAsia" w:ascii="宋体" w:hAnsi="宋体" w:eastAsia="宋体" w:cs="宋体"/>
          <w:b w:val="0"/>
          <w:bCs w:val="0"/>
          <w:color w:val="000000" w:themeColor="text1"/>
          <w:spacing w:val="0"/>
          <w:sz w:val="24"/>
          <w:szCs w:val="24"/>
          <w:highlight w:val="none"/>
          <w14:textFill>
            <w14:solidFill>
              <w14:schemeClr w14:val="tx1"/>
            </w14:solidFill>
          </w14:textFill>
        </w:rPr>
        <w:t>无。</w:t>
      </w:r>
    </w:p>
    <w:p w14:paraId="51FD4BFB">
      <w:pPr>
        <w:pStyle w:val="234"/>
        <w:keepNext w:val="0"/>
        <w:keepLines w:val="0"/>
        <w:pageBreakBefore w:val="0"/>
        <w:widowControl/>
        <w:shd w:val="clear" w:color="auto"/>
        <w:spacing w:line="520" w:lineRule="exact"/>
        <w:ind w:firstLine="482"/>
        <w:rPr>
          <w:rStyle w:val="216"/>
          <w:rFonts w:hint="eastAsia" w:ascii="宋体" w:hAnsi="宋体" w:eastAsia="宋体" w:cs="宋体"/>
          <w:b/>
          <w:bCs/>
          <w:color w:val="000000" w:themeColor="text1"/>
          <w:spacing w:val="0"/>
          <w:sz w:val="24"/>
          <w:szCs w:val="24"/>
          <w:highlight w:val="none"/>
          <w:lang w:val="en-US"/>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lang w:val="en-US"/>
          <w14:textFill>
            <w14:solidFill>
              <w14:schemeClr w14:val="tx1"/>
            </w14:solidFill>
          </w14:textFill>
        </w:rPr>
        <w:t>（四）绿色采购其他政策</w:t>
      </w:r>
    </w:p>
    <w:p w14:paraId="508B9275">
      <w:pPr>
        <w:pStyle w:val="235"/>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t>1．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p>
    <w:p w14:paraId="469B3D37">
      <w:pPr>
        <w:pStyle w:val="235"/>
        <w:keepNext w:val="0"/>
        <w:keepLines w:val="0"/>
        <w:pageBreakBefore w:val="0"/>
        <w:widowControl/>
        <w:shd w:val="clear" w:color="auto"/>
        <w:spacing w:line="520" w:lineRule="exact"/>
        <w:ind w:firstLine="480"/>
        <w:rPr>
          <w:rStyle w:val="216"/>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pPr>
      <w:r>
        <w:rPr>
          <w:rStyle w:val="216"/>
          <w:rFonts w:hint="eastAsia" w:ascii="宋体" w:hAnsi="宋体" w:eastAsia="宋体" w:cs="宋体"/>
          <w:b w:val="0"/>
          <w:bCs w:val="0"/>
          <w:color w:val="000000" w:themeColor="text1"/>
          <w:spacing w:val="0"/>
          <w:sz w:val="24"/>
          <w:szCs w:val="24"/>
          <w:highlight w:val="none"/>
          <w:lang w:val="en-US"/>
          <w14:textFill>
            <w14:solidFill>
              <w14:schemeClr w14:val="tx1"/>
            </w14:solidFill>
          </w14:textFill>
        </w:rPr>
        <w:t>2．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p>
    <w:p w14:paraId="0D183AF3">
      <w:pPr>
        <w:keepNext w:val="0"/>
        <w:keepLines w:val="0"/>
        <w:pageBreakBefore w:val="0"/>
        <w:widowControl w:val="0"/>
        <w:numPr>
          <w:ilvl w:val="0"/>
          <w:numId w:val="0"/>
        </w:numPr>
        <w:shd w:val="clear" w:color="auto"/>
        <w:spacing w:line="520" w:lineRule="exact"/>
        <w:outlineLvl w:val="1"/>
        <w:rPr>
          <w:rFonts w:hint="eastAsia" w:ascii="宋体" w:hAnsi="宋体" w:eastAsia="宋体" w:cs="宋体"/>
          <w:b/>
          <w:color w:val="000000" w:themeColor="text1"/>
          <w:spacing w:val="0"/>
          <w:sz w:val="28"/>
          <w:szCs w:val="28"/>
          <w:highlight w:val="none"/>
          <w:lang w:val="en-US" w:eastAsia="zh-CN" w:bidi="ar-SA"/>
          <w14:textFill>
            <w14:solidFill>
              <w14:schemeClr w14:val="tx1"/>
            </w14:solidFill>
          </w14:textFill>
        </w:rPr>
        <w:sectPr>
          <w:headerReference r:id="rId16" w:type="first"/>
          <w:footerReference r:id="rId18" w:type="first"/>
          <w:headerReference r:id="rId15" w:type="default"/>
          <w:footerReference r:id="rId17" w:type="default"/>
          <w:pgSz w:w="11906" w:h="16838"/>
          <w:pgMar w:top="1440" w:right="1080" w:bottom="1440" w:left="1080" w:header="851" w:footer="992" w:gutter="0"/>
          <w:cols w:space="1701" w:num="1"/>
          <w:titlePg/>
          <w:docGrid w:linePitch="360" w:charSpace="0"/>
        </w:sectPr>
      </w:pPr>
    </w:p>
    <w:p w14:paraId="72A2247A">
      <w:pPr>
        <w:keepNext w:val="0"/>
        <w:keepLines w:val="0"/>
        <w:pageBreakBefore w:val="0"/>
        <w:widowControl w:val="0"/>
        <w:numPr>
          <w:ilvl w:val="0"/>
          <w:numId w:val="0"/>
        </w:numPr>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41" w:name="_Toc8750"/>
      <w:r>
        <w:rPr>
          <w:rFonts w:hint="eastAsia" w:ascii="宋体" w:hAnsi="宋体" w:eastAsia="宋体" w:cs="宋体"/>
          <w:b/>
          <w:color w:val="000000" w:themeColor="text1"/>
          <w:spacing w:val="0"/>
          <w:sz w:val="28"/>
          <w:szCs w:val="28"/>
          <w:highlight w:val="none"/>
          <w:lang w:val="en-US" w:eastAsia="zh-CN" w:bidi="ar-SA"/>
          <w14:textFill>
            <w14:solidFill>
              <w14:schemeClr w14:val="tx1"/>
            </w14:solidFill>
          </w14:textFill>
        </w:rPr>
        <w:t>二、</w:t>
      </w:r>
      <w:r>
        <w:rPr>
          <w:rFonts w:hint="eastAsia" w:ascii="宋体" w:hAnsi="宋体" w:eastAsia="宋体" w:cs="宋体"/>
          <w:b/>
          <w:color w:val="000000" w:themeColor="text1"/>
          <w:spacing w:val="0"/>
          <w:sz w:val="28"/>
          <w:szCs w:val="28"/>
          <w:highlight w:val="none"/>
          <w14:textFill>
            <w14:solidFill>
              <w14:schemeClr w14:val="tx1"/>
            </w14:solidFill>
          </w14:textFill>
        </w:rPr>
        <w:t>技术要求</w:t>
      </w:r>
      <w:bookmarkEnd w:id="341"/>
    </w:p>
    <w:p w14:paraId="68D3FEB9">
      <w:pPr>
        <w:pStyle w:val="48"/>
        <w:keepNext w:val="0"/>
        <w:keepLines w:val="0"/>
        <w:pageBreakBefore w:val="0"/>
        <w:widowControl w:val="0"/>
        <w:shd w:val="clear" w:color="auto"/>
        <w:spacing w:line="520" w:lineRule="exact"/>
        <w:ind w:firstLine="482"/>
        <w:rPr>
          <w:rFonts w:hint="eastAsia" w:ascii="宋体" w:hAnsi="宋体" w:eastAsia="宋体" w:cs="宋体"/>
          <w:b/>
          <w:color w:val="000000" w:themeColor="text1"/>
          <w:spacing w:val="0"/>
          <w:sz w:val="28"/>
          <w:szCs w:val="28"/>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一</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bidi="ar"/>
          <w14:textFill>
            <w14:solidFill>
              <w14:schemeClr w14:val="tx1"/>
            </w14:solidFill>
          </w14:textFill>
        </w:rPr>
        <w:t>项目概况</w:t>
      </w:r>
    </w:p>
    <w:p w14:paraId="3BF80947">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为严格落实污染物排放限值限量管理实施方案要求，持续保障相关监测设备正常运行，确保监测监控数据的质量，拟采购新一年的园区限值限量监测设备第三方运维，包括大气标准站1个、VOCs监测设备2套、微型空气站31个。</w:t>
      </w:r>
    </w:p>
    <w:p w14:paraId="3F640B1E">
      <w:pPr>
        <w:keepNext w:val="0"/>
        <w:keepLines w:val="0"/>
        <w:pageBreakBefore w:val="0"/>
        <w:widowControl w:val="0"/>
        <w:shd w:val="clear" w:color="auto"/>
        <w:spacing w:line="520" w:lineRule="exact"/>
        <w:ind w:firstLine="482"/>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二</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bidi="ar"/>
          <w14:textFill>
            <w14:solidFill>
              <w14:schemeClr w14:val="tx1"/>
            </w14:solidFill>
          </w14:textFill>
        </w:rPr>
        <w:t>运维内容</w:t>
      </w:r>
    </w:p>
    <w:p w14:paraId="66CC5D4E">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张家港经开区气站的日常运行维护、维修、消耗件和部件的更换、质量保证和质量控制</w:t>
      </w:r>
      <w:r>
        <w:rPr>
          <w:rFonts w:hint="eastAsia" w:ascii="宋体" w:hAnsi="宋体" w:cs="宋体"/>
          <w:color w:val="000000" w:themeColor="text1"/>
          <w:sz w:val="24"/>
          <w:szCs w:val="24"/>
          <w:highlight w:val="none"/>
          <w:lang w:eastAsia="zh-CN" w:bidi="ar"/>
          <w14:textFill>
            <w14:solidFill>
              <w14:schemeClr w14:val="tx1"/>
            </w14:solidFill>
          </w14:textFill>
        </w:rPr>
        <w:t>、</w:t>
      </w:r>
      <w:r>
        <w:rPr>
          <w:rFonts w:hint="eastAsia" w:ascii="宋体" w:hAnsi="宋体" w:cs="宋体"/>
          <w:color w:val="000000" w:themeColor="text1"/>
          <w:sz w:val="24"/>
          <w:szCs w:val="24"/>
          <w:highlight w:val="none"/>
          <w:lang w:val="en-US" w:eastAsia="zh-CN" w:bidi="ar"/>
          <w14:textFill>
            <w14:solidFill>
              <w14:schemeClr w14:val="tx1"/>
            </w14:solidFill>
          </w14:textFill>
        </w:rPr>
        <w:t>周边范围内的卫生工作</w:t>
      </w:r>
      <w:r>
        <w:rPr>
          <w:rFonts w:hint="eastAsia" w:ascii="宋体" w:hAnsi="宋体" w:eastAsia="宋体" w:cs="宋体"/>
          <w:color w:val="000000" w:themeColor="text1"/>
          <w:sz w:val="24"/>
          <w:szCs w:val="24"/>
          <w:highlight w:val="none"/>
          <w:lang w:bidi="ar"/>
          <w14:textFill>
            <w14:solidFill>
              <w14:schemeClr w14:val="tx1"/>
            </w14:solidFill>
          </w14:textFill>
        </w:rPr>
        <w:t>等托管给中标单位。各个气站的主要监测仪器及监测指标详见“四、其他部分”。</w:t>
      </w:r>
    </w:p>
    <w:p w14:paraId="5B35843A">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注意事项：</w:t>
      </w:r>
    </w:p>
    <w:p w14:paraId="39CC0162">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1．托管不仅包括主要仪器，还包括与自动监测相关的全部辅助设备，如：采样装置、通讯及控制设备、防雷设备、防火防盗设施、空调、 UPS、稳压器、分析仪的辅助设备等</w:t>
      </w:r>
      <w:r>
        <w:rPr>
          <w:rFonts w:hint="eastAsia" w:ascii="宋体" w:hAnsi="宋体" w:cs="宋体"/>
          <w:color w:val="000000" w:themeColor="text1"/>
          <w:sz w:val="24"/>
          <w:szCs w:val="24"/>
          <w:highlight w:val="none"/>
          <w:lang w:eastAsia="zh-CN" w:bidi="ar"/>
          <w14:textFill>
            <w14:solidFill>
              <w14:schemeClr w14:val="tx1"/>
            </w14:solidFill>
          </w14:textFill>
        </w:rPr>
        <w:t>。</w:t>
      </w:r>
    </w:p>
    <w:p w14:paraId="03FA7F79">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2．仪器和设施的消耗件和部件、运营车辆费用、办事处费用、</w:t>
      </w:r>
      <w:r>
        <w:rPr>
          <w:rFonts w:hint="eastAsia" w:ascii="宋体" w:hAnsi="宋体"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投入人员的工资、标准气体费用、防雷检测报告费用、灭火器费用等由</w:t>
      </w:r>
      <w:r>
        <w:rPr>
          <w:rFonts w:hint="eastAsia" w:ascii="宋体" w:hAnsi="宋体"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承担</w:t>
      </w:r>
      <w:r>
        <w:rPr>
          <w:rFonts w:hint="eastAsia" w:ascii="宋体" w:hAnsi="宋体" w:cs="宋体"/>
          <w:color w:val="000000" w:themeColor="text1"/>
          <w:sz w:val="24"/>
          <w:szCs w:val="24"/>
          <w:highlight w:val="none"/>
          <w:lang w:eastAsia="zh-CN" w:bidi="ar"/>
          <w14:textFill>
            <w14:solidFill>
              <w14:schemeClr w14:val="tx1"/>
            </w14:solidFill>
          </w14:textFill>
        </w:rPr>
        <w:t>。</w:t>
      </w:r>
    </w:p>
    <w:p w14:paraId="1C801C5B">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3．气站水费、避雷塔、接地装置、地线、宽带费等及其他数据传输费用也由</w:t>
      </w:r>
      <w:r>
        <w:rPr>
          <w:rFonts w:hint="eastAsia" w:ascii="宋体" w:hAnsi="宋体"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承担，电费由采购人承担。</w:t>
      </w:r>
    </w:p>
    <w:p w14:paraId="662A3099">
      <w:pPr>
        <w:keepNext w:val="0"/>
        <w:keepLines w:val="0"/>
        <w:pageBreakBefore w:val="0"/>
        <w:widowControl w:val="0"/>
        <w:shd w:val="clear" w:color="auto"/>
        <w:spacing w:line="520" w:lineRule="exact"/>
        <w:ind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4．微站的传感器由</w:t>
      </w:r>
      <w:r>
        <w:rPr>
          <w:rFonts w:hint="eastAsia" w:ascii="宋体" w:hAnsi="宋体"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定期更换，相应费用由</w:t>
      </w:r>
      <w:r>
        <w:rPr>
          <w:rFonts w:hint="eastAsia" w:ascii="宋体" w:hAnsi="宋体"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承担。</w:t>
      </w:r>
    </w:p>
    <w:p w14:paraId="59A7052A">
      <w:pPr>
        <w:keepNext w:val="0"/>
        <w:keepLines w:val="0"/>
        <w:pageBreakBefore w:val="0"/>
        <w:widowControl w:val="0"/>
        <w:shd w:val="clear" w:color="auto"/>
        <w:spacing w:line="520" w:lineRule="exact"/>
        <w:ind w:firstLine="482"/>
        <w:rPr>
          <w:rFonts w:hint="eastAsia" w:ascii="宋体" w:hAnsi="宋体" w:eastAsia="宋体" w:cs="宋体"/>
          <w:b/>
          <w:bCs/>
          <w:color w:val="000000" w:themeColor="text1"/>
          <w:sz w:val="24"/>
          <w:szCs w:val="24"/>
          <w:highlight w:val="none"/>
          <w:lang w:bidi="ar"/>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三</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bidi="ar"/>
          <w14:textFill>
            <w14:solidFill>
              <w14:schemeClr w14:val="tx1"/>
            </w14:solidFill>
          </w14:textFill>
        </w:rPr>
        <w:t>运维目标</w:t>
      </w:r>
    </w:p>
    <w:p w14:paraId="4F3A98D1">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应建立完善的运行维护工作规范与质量管理体系，确保提供及时、准确、有效的监测数据，空气站的运行质量应达到以下指标：</w:t>
      </w:r>
    </w:p>
    <w:p w14:paraId="7C81CCED">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1．所获取的各项指标的有效监测数据必须满足《环境空气质量标准》（GB 3095-2012）中规定的污染物浓度数据有效性最低要求</w:t>
      </w:r>
      <w:r>
        <w:rPr>
          <w:rFonts w:hint="eastAsia" w:ascii="宋体" w:hAnsi="宋体" w:cs="宋体"/>
          <w:color w:val="000000" w:themeColor="text1"/>
          <w:sz w:val="24"/>
          <w:szCs w:val="24"/>
          <w:highlight w:val="none"/>
          <w:lang w:eastAsia="zh-CN" w:bidi="ar"/>
          <w14:textFill>
            <w14:solidFill>
              <w14:schemeClr w14:val="tx1"/>
            </w14:solidFill>
          </w14:textFill>
        </w:rPr>
        <w:t>（</w:t>
      </w:r>
      <w:r>
        <w:rPr>
          <w:rFonts w:hint="eastAsia" w:ascii="宋体" w:hAnsi="宋体" w:eastAsia="宋体" w:cs="宋体"/>
          <w:color w:val="000000" w:themeColor="text1"/>
          <w:sz w:val="24"/>
          <w:szCs w:val="24"/>
          <w:highlight w:val="none"/>
          <w:lang w:bidi="ar"/>
          <w14:textFill>
            <w14:solidFill>
              <w14:schemeClr w14:val="tx1"/>
            </w14:solidFill>
          </w14:textFill>
        </w:rPr>
        <w:t>SO2、NO2、PM10、CO、O3 和 PM2.5 每月监测数据不得少于 27 个有效日，每日至少有 20个小时平均浓度值</w:t>
      </w:r>
      <w:r>
        <w:rPr>
          <w:rFonts w:hint="eastAsia" w:ascii="宋体" w:hAnsi="宋体" w:cs="宋体"/>
          <w:color w:val="000000" w:themeColor="text1"/>
          <w:sz w:val="24"/>
          <w:szCs w:val="24"/>
          <w:highlight w:val="none"/>
          <w:lang w:eastAsia="zh-CN" w:bidi="ar"/>
          <w14:textFill>
            <w14:solidFill>
              <w14:schemeClr w14:val="tx1"/>
            </w14:solidFill>
          </w14:textFill>
        </w:rPr>
        <w:t>）。</w:t>
      </w:r>
    </w:p>
    <w:p w14:paraId="5E49F3F0">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2．单站设备运行率必须高于 90%</w:t>
      </w:r>
      <w:r>
        <w:rPr>
          <w:rFonts w:hint="eastAsia" w:ascii="宋体" w:hAnsi="宋体" w:cs="宋体"/>
          <w:color w:val="000000" w:themeColor="text1"/>
          <w:sz w:val="24"/>
          <w:szCs w:val="24"/>
          <w:highlight w:val="none"/>
          <w:lang w:eastAsia="zh-CN" w:bidi="ar"/>
          <w14:textFill>
            <w14:solidFill>
              <w14:schemeClr w14:val="tx1"/>
            </w14:solidFill>
          </w14:textFill>
        </w:rPr>
        <w:t>（</w:t>
      </w:r>
      <w:r>
        <w:rPr>
          <w:rFonts w:hint="eastAsia" w:ascii="宋体" w:hAnsi="宋体" w:cs="宋体"/>
          <w:color w:val="000000" w:themeColor="text1"/>
          <w:sz w:val="24"/>
          <w:szCs w:val="24"/>
          <w:highlight w:val="none"/>
          <w:lang w:val="en-US" w:eastAsia="zh-CN" w:bidi="ar"/>
          <w14:textFill>
            <w14:solidFill>
              <w14:schemeClr w14:val="tx1"/>
            </w14:solidFill>
          </w14:textFill>
        </w:rPr>
        <w:t>含</w:t>
      </w:r>
      <w:r>
        <w:rPr>
          <w:rFonts w:hint="eastAsia" w:ascii="宋体" w:hAnsi="宋体" w:cs="宋体"/>
          <w:color w:val="000000" w:themeColor="text1"/>
          <w:sz w:val="24"/>
          <w:szCs w:val="24"/>
          <w:highlight w:val="none"/>
          <w:lang w:eastAsia="zh-CN" w:bidi="ar"/>
          <w14:textFill>
            <w14:solidFill>
              <w14:schemeClr w14:val="tx1"/>
            </w14:solidFill>
          </w14:textFill>
        </w:rPr>
        <w:t>）</w:t>
      </w:r>
      <w:r>
        <w:rPr>
          <w:rFonts w:hint="eastAsia" w:ascii="宋体" w:hAnsi="宋体" w:eastAsia="宋体" w:cs="宋体"/>
          <w:color w:val="000000" w:themeColor="text1"/>
          <w:sz w:val="24"/>
          <w:szCs w:val="24"/>
          <w:highlight w:val="none"/>
          <w:lang w:bidi="ar"/>
          <w14:textFill>
            <w14:solidFill>
              <w14:schemeClr w14:val="tx1"/>
            </w14:solidFill>
          </w14:textFill>
        </w:rPr>
        <w:t>，整个站点仪器运转率大于 95%；单项指标数据有效率必须高于85%</w:t>
      </w:r>
      <w:r>
        <w:rPr>
          <w:rFonts w:hint="eastAsia" w:ascii="宋体" w:hAnsi="宋体" w:cs="宋体"/>
          <w:color w:val="000000" w:themeColor="text1"/>
          <w:sz w:val="24"/>
          <w:szCs w:val="24"/>
          <w:highlight w:val="none"/>
          <w:lang w:eastAsia="zh-CN" w:bidi="ar"/>
          <w14:textFill>
            <w14:solidFill>
              <w14:schemeClr w14:val="tx1"/>
            </w14:solidFill>
          </w14:textFill>
        </w:rPr>
        <w:t>（</w:t>
      </w:r>
      <w:r>
        <w:rPr>
          <w:rFonts w:hint="eastAsia" w:ascii="宋体" w:hAnsi="宋体" w:cs="宋体"/>
          <w:color w:val="000000" w:themeColor="text1"/>
          <w:sz w:val="24"/>
          <w:szCs w:val="24"/>
          <w:highlight w:val="none"/>
          <w:lang w:val="en-US" w:eastAsia="zh-CN" w:bidi="ar"/>
          <w14:textFill>
            <w14:solidFill>
              <w14:schemeClr w14:val="tx1"/>
            </w14:solidFill>
          </w14:textFill>
        </w:rPr>
        <w:t>含</w:t>
      </w:r>
      <w:r>
        <w:rPr>
          <w:rFonts w:hint="eastAsia" w:ascii="宋体" w:hAnsi="宋体" w:cs="宋体"/>
          <w:color w:val="000000" w:themeColor="text1"/>
          <w:sz w:val="24"/>
          <w:szCs w:val="24"/>
          <w:highlight w:val="none"/>
          <w:lang w:eastAsia="zh-CN" w:bidi="ar"/>
          <w14:textFill>
            <w14:solidFill>
              <w14:schemeClr w14:val="tx1"/>
            </w14:solidFill>
          </w14:textFill>
        </w:rPr>
        <w:t>）</w:t>
      </w:r>
      <w:r>
        <w:rPr>
          <w:rFonts w:hint="eastAsia" w:ascii="宋体" w:hAnsi="宋体" w:eastAsia="宋体" w:cs="宋体"/>
          <w:color w:val="000000" w:themeColor="text1"/>
          <w:sz w:val="24"/>
          <w:szCs w:val="24"/>
          <w:highlight w:val="none"/>
          <w:lang w:bidi="ar"/>
          <w14:textFill>
            <w14:solidFill>
              <w14:schemeClr w14:val="tx1"/>
            </w14:solidFill>
          </w14:textFill>
        </w:rPr>
        <w:t>、整个站点数据有效率大于90%。（设备运行率是指已上传数据量与应上传数据量之比，数据有效率是指有效数据量与应上传数据量之比。）</w:t>
      </w:r>
    </w:p>
    <w:p w14:paraId="372C3DBA">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3．数据质控合格率大于90％。</w:t>
      </w:r>
    </w:p>
    <w:p w14:paraId="1A5B9611">
      <w:pPr>
        <w:keepNext w:val="0"/>
        <w:keepLines w:val="0"/>
        <w:pageBreakBefore w:val="0"/>
        <w:widowControl w:val="0"/>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4．完成各气站的日常运行维护、维修、质量管理，运维任务完成率100%。</w:t>
      </w:r>
    </w:p>
    <w:p w14:paraId="5AB6B258">
      <w:pPr>
        <w:pStyle w:val="48"/>
        <w:keepNext w:val="0"/>
        <w:keepLines w:val="0"/>
        <w:pageBreakBefore w:val="0"/>
        <w:widowControl w:val="0"/>
        <w:shd w:val="clear" w:color="auto"/>
        <w:spacing w:line="520" w:lineRule="exac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四</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bidi="ar"/>
          <w14:textFill>
            <w14:solidFill>
              <w14:schemeClr w14:val="tx1"/>
            </w14:solidFill>
          </w14:textFill>
        </w:rPr>
        <w:t>运维工作要求</w:t>
      </w:r>
    </w:p>
    <w:p w14:paraId="4D56B308">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b w:val="0"/>
          <w:bCs w:val="0"/>
          <w:color w:val="000000" w:themeColor="text1"/>
          <w:sz w:val="24"/>
          <w:szCs w:val="24"/>
          <w:highlight w:val="none"/>
          <w:lang w:bidi="ar"/>
          <w14:textFill>
            <w14:solidFill>
              <w14:schemeClr w14:val="tx1"/>
            </w14:solidFill>
          </w14:textFill>
        </w:rPr>
        <w:t>1．</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应提供完整的气站运维服务方案，提出解决目前存在问题的有效措施，且明确维护方法、周期、内容及技术保障等，包括以下几方面内容：</w:t>
      </w:r>
    </w:p>
    <w:p w14:paraId="171F91A0">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（1）项目理解与分析。包括站点设备现状、项目需求理解、工作重点分析等。</w:t>
      </w:r>
    </w:p>
    <w:p w14:paraId="2B324EA5">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（2）总体运维方案。包括空气自动监测系统运维实施方案、运行管理机构设置、工作管理制度、操作规程、具体的日常维护、定期巡检和故障维修措施等。</w:t>
      </w:r>
    </w:p>
    <w:p w14:paraId="251FCB64">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（3）服务质量保证方案。包括质量保证与质量控制体系、质控措施；运维质量保证方案、标准物质或样品的管理、验收和期间核查；备品备件的存放地点及更换频次等。</w:t>
      </w:r>
    </w:p>
    <w:p w14:paraId="573814A3">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（4）管理制度。包括质量管理制度、安全管理制度、人员管理制度和车辆管理制度等。</w:t>
      </w:r>
    </w:p>
    <w:p w14:paraId="21C54A0F">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（5）应急预案。包括对应急工作的规划和可行计划，各种应急情景的判断、发现应急情况的方法、应急措施及解决方案，制定相应工作流程等。</w:t>
      </w:r>
    </w:p>
    <w:p w14:paraId="7B179A31">
      <w:pPr>
        <w:pStyle w:val="48"/>
        <w:keepNext w:val="0"/>
        <w:keepLines w:val="0"/>
        <w:pageBreakBefore w:val="0"/>
        <w:numPr>
          <w:ilvl w:val="0"/>
          <w:numId w:val="0"/>
        </w:numPr>
        <w:shd w:val="clear" w:color="auto"/>
        <w:spacing w:line="520" w:lineRule="exact"/>
        <w:ind w:firstLine="480"/>
        <w:rPr>
          <w:rFonts w:hint="eastAsia" w:cs="宋体"/>
          <w:color w:val="000000" w:themeColor="text1"/>
          <w:sz w:val="24"/>
          <w:szCs w:val="24"/>
          <w:highlight w:val="none"/>
          <w:lang w:eastAsia="zh-CN" w:bidi="ar"/>
          <w14:textFill>
            <w14:solidFill>
              <w14:schemeClr w14:val="tx1"/>
            </w14:solidFill>
          </w14:textFill>
        </w:rPr>
      </w:pPr>
      <w:r>
        <w:rPr>
          <w:rFonts w:hint="eastAsia" w:cs="宋体"/>
          <w:color w:val="000000" w:themeColor="text1"/>
          <w:sz w:val="24"/>
          <w:szCs w:val="24"/>
          <w:highlight w:val="none"/>
          <w:lang w:eastAsia="zh-CN" w:bidi="ar"/>
          <w14:textFill>
            <w14:solidFill>
              <w14:schemeClr w14:val="tx1"/>
            </w14:solidFill>
          </w14:textFill>
        </w:rPr>
        <w:t>（</w:t>
      </w:r>
      <w:r>
        <w:rPr>
          <w:rFonts w:hint="eastAsia" w:cs="宋体"/>
          <w:color w:val="000000" w:themeColor="text1"/>
          <w:sz w:val="24"/>
          <w:szCs w:val="24"/>
          <w:highlight w:val="none"/>
          <w:lang w:val="en-US" w:eastAsia="zh-CN" w:bidi="ar"/>
          <w14:textFill>
            <w14:solidFill>
              <w14:schemeClr w14:val="tx1"/>
            </w14:solidFill>
          </w14:textFill>
        </w:rPr>
        <w:t>6</w:t>
      </w:r>
      <w:r>
        <w:rPr>
          <w:rFonts w:hint="eastAsia" w:cs="宋体"/>
          <w:color w:val="000000" w:themeColor="text1"/>
          <w:sz w:val="24"/>
          <w:szCs w:val="24"/>
          <w:highlight w:val="none"/>
          <w:lang w:eastAsia="zh-CN" w:bidi="ar"/>
          <w14:textFill>
            <w14:solidFill>
              <w14:schemeClr w14:val="tx1"/>
            </w14:solidFill>
          </w14:textFill>
        </w:rPr>
        <w:t>）</w:t>
      </w: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手工比对工作报告</w:t>
      </w:r>
      <w:r>
        <w:rPr>
          <w:rStyle w:val="200"/>
          <w:rFonts w:hint="eastAsia" w:cs="宋体"/>
          <w:b w:val="0"/>
          <w:color w:val="000000" w:themeColor="text1"/>
          <w:spacing w:val="0"/>
          <w:sz w:val="24"/>
          <w:highlight w:val="none"/>
          <w:lang w:val="en-US" w:eastAsia="zh-CN"/>
          <w14:textFill>
            <w14:solidFill>
              <w14:schemeClr w14:val="tx1"/>
            </w14:solidFill>
          </w14:textFill>
        </w:rPr>
        <w:t>。</w:t>
      </w:r>
      <w:r>
        <w:rPr>
          <w:rFonts w:hint="eastAsia" w:cs="宋体"/>
          <w:color w:val="000000" w:themeColor="text1"/>
          <w:sz w:val="24"/>
          <w:szCs w:val="24"/>
          <w:highlight w:val="none"/>
          <w:lang w:eastAsia="zh-CN" w:bidi="ar"/>
          <w14:textFill>
            <w14:solidFill>
              <w14:schemeClr w14:val="tx1"/>
            </w14:solidFill>
          </w14:textFill>
        </w:rPr>
        <w:t>投标人提供 2023 年以来开展过空气自动站颗粒物手工比对的工作报告。</w:t>
      </w:r>
    </w:p>
    <w:p w14:paraId="2DFDD1BA">
      <w:pPr>
        <w:pStyle w:val="48"/>
        <w:keepNext w:val="0"/>
        <w:keepLines w:val="0"/>
        <w:pageBreakBefore w:val="0"/>
        <w:numPr>
          <w:ilvl w:val="0"/>
          <w:numId w:val="0"/>
        </w:numPr>
        <w:shd w:val="clear" w:color="auto"/>
        <w:spacing w:line="520" w:lineRule="exact"/>
        <w:ind w:firstLine="480"/>
        <w:rPr>
          <w:rFonts w:hint="eastAsia" w:cs="宋体"/>
          <w:color w:val="000000" w:themeColor="text1"/>
          <w:sz w:val="24"/>
          <w:szCs w:val="24"/>
          <w:highlight w:val="none"/>
          <w:lang w:eastAsia="zh-CN" w:bidi="ar"/>
          <w14:textFill>
            <w14:solidFill>
              <w14:schemeClr w14:val="tx1"/>
            </w14:solidFill>
          </w14:textFill>
        </w:rPr>
      </w:pPr>
      <w:r>
        <w:rPr>
          <w:rFonts w:hint="eastAsia" w:cs="宋体"/>
          <w:color w:val="000000" w:themeColor="text1"/>
          <w:sz w:val="24"/>
          <w:szCs w:val="24"/>
          <w:highlight w:val="none"/>
          <w:lang w:eastAsia="zh-CN" w:bidi="ar"/>
          <w14:textFill>
            <w14:solidFill>
              <w14:schemeClr w14:val="tx1"/>
            </w14:solidFill>
          </w14:textFill>
        </w:rPr>
        <w:t>（</w:t>
      </w:r>
      <w:r>
        <w:rPr>
          <w:rFonts w:hint="eastAsia" w:cs="宋体"/>
          <w:color w:val="000000" w:themeColor="text1"/>
          <w:sz w:val="24"/>
          <w:szCs w:val="24"/>
          <w:highlight w:val="none"/>
          <w:lang w:val="en-US" w:eastAsia="zh-CN" w:bidi="ar"/>
          <w14:textFill>
            <w14:solidFill>
              <w14:schemeClr w14:val="tx1"/>
            </w14:solidFill>
          </w14:textFill>
        </w:rPr>
        <w:t>7</w:t>
      </w:r>
      <w:r>
        <w:rPr>
          <w:rFonts w:hint="eastAsia" w:cs="宋体"/>
          <w:color w:val="000000" w:themeColor="text1"/>
          <w:sz w:val="24"/>
          <w:szCs w:val="24"/>
          <w:highlight w:val="none"/>
          <w:lang w:eastAsia="zh-CN" w:bidi="ar"/>
          <w14:textFill>
            <w14:solidFill>
              <w14:schemeClr w14:val="tx1"/>
            </w14:solidFill>
          </w14:textFill>
        </w:rPr>
        <w:t>）设备、车辆投入方案。包括但不限于本项目投入的设备、车辆及项目实施过程中对设备、车辆的使用管理等。</w:t>
      </w:r>
    </w:p>
    <w:p w14:paraId="6461FBA8">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2</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须严格按照仪器说明书中的维护项目、周期和程序，《环境空气气态污染物（SO2、NO2、O3、CO）连续自动监测系统运行和质控技术规范》（HJ 818-2018）、《环境空气颗粒物（PM10 和 PM2.5）连续自动监测系统运行和质控技术规范》（HJ 817-2018）以及采购人运维要求进行运维。</w:t>
      </w:r>
    </w:p>
    <w:p w14:paraId="64882F0A">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3</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应具备三年或三年以上空气监测设备的运维经验。</w:t>
      </w:r>
    </w:p>
    <w:p w14:paraId="1273A3CB">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4</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w:t>
      </w:r>
      <w:r>
        <w:rPr>
          <w:rFonts w:hint="eastAsia" w:ascii="宋体" w:hAnsi="宋体" w:eastAsia="宋体" w:cs="宋体"/>
          <w:color w:val="000000" w:themeColor="text1"/>
          <w:sz w:val="24"/>
          <w:szCs w:val="24"/>
          <w:highlight w:val="none"/>
          <w:lang w:bidi="ar"/>
          <w14:textFill>
            <w14:solidFill>
              <w14:schemeClr w14:val="tx1"/>
            </w14:solidFill>
          </w14:textFill>
        </w:rPr>
        <w:t>设施设备人员要求：</w:t>
      </w:r>
    </w:p>
    <w:p w14:paraId="49172754">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（1）</w:t>
      </w:r>
      <w:r>
        <w:rPr>
          <w:rFonts w:hint="eastAsia" w:cs="宋体"/>
          <w:strike w:val="0"/>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strike w:val="0"/>
          <w:color w:val="000000" w:themeColor="text1"/>
          <w:sz w:val="24"/>
          <w:szCs w:val="24"/>
          <w:highlight w:val="none"/>
          <w:lang w:bidi="ar"/>
          <w14:textFill>
            <w14:solidFill>
              <w14:schemeClr w14:val="tx1"/>
            </w14:solidFill>
          </w14:textFill>
        </w:rPr>
        <w:t>应在张家港市范围内设有固定的办公场所，若</w:t>
      </w:r>
      <w:r>
        <w:rPr>
          <w:rFonts w:hint="eastAsia" w:cs="宋体"/>
          <w:strike w:val="0"/>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strike w:val="0"/>
          <w:color w:val="000000" w:themeColor="text1"/>
          <w:sz w:val="24"/>
          <w:szCs w:val="24"/>
          <w:highlight w:val="none"/>
          <w:lang w:bidi="ar"/>
          <w14:textFill>
            <w14:solidFill>
              <w14:schemeClr w14:val="tx1"/>
            </w14:solidFill>
          </w14:textFill>
        </w:rPr>
        <w:t>在张家港市范围内无固定的办公场所和专业运行维护人员，可在</w:t>
      </w:r>
      <w:r>
        <w:rPr>
          <w:rFonts w:hint="eastAsia" w:cs="宋体"/>
          <w:strike w:val="0"/>
          <w:color w:val="000000" w:themeColor="text1"/>
          <w:sz w:val="24"/>
          <w:szCs w:val="24"/>
          <w:highlight w:val="none"/>
          <w:lang w:val="en-US" w:eastAsia="zh-CN" w:bidi="ar"/>
          <w14:textFill>
            <w14:solidFill>
              <w14:schemeClr w14:val="tx1"/>
            </w14:solidFill>
          </w14:textFill>
        </w:rPr>
        <w:t>投标</w:t>
      </w:r>
      <w:r>
        <w:rPr>
          <w:rFonts w:hint="eastAsia" w:ascii="宋体" w:hAnsi="宋体" w:eastAsia="宋体" w:cs="宋体"/>
          <w:strike w:val="0"/>
          <w:color w:val="000000" w:themeColor="text1"/>
          <w:sz w:val="24"/>
          <w:szCs w:val="24"/>
          <w:highlight w:val="none"/>
          <w:lang w:bidi="ar"/>
          <w14:textFill>
            <w14:solidFill>
              <w14:schemeClr w14:val="tx1"/>
            </w14:solidFill>
          </w14:textFill>
        </w:rPr>
        <w:t>文件中承诺中标后1个月内于合同签订前在张家港市范围内建立固定的办公场所（确保 2 小时内赶到现场）</w:t>
      </w:r>
      <w:r>
        <w:rPr>
          <w:rFonts w:hint="eastAsia" w:ascii="宋体" w:hAnsi="宋体" w:eastAsia="宋体" w:cs="宋体"/>
          <w:color w:val="000000" w:themeColor="text1"/>
          <w:sz w:val="24"/>
          <w:szCs w:val="24"/>
          <w:highlight w:val="none"/>
          <w:lang w:bidi="ar"/>
          <w14:textFill>
            <w14:solidFill>
              <w14:schemeClr w14:val="tx1"/>
            </w14:solidFill>
          </w14:textFill>
        </w:rPr>
        <w:t>。</w:t>
      </w:r>
    </w:p>
    <w:p w14:paraId="4FD5FAF9">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（2）</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投入本项目的专用车辆不少于 1 辆，自有或租赁均可。（请在</w:t>
      </w:r>
      <w:r>
        <w:rPr>
          <w:rFonts w:hint="eastAsia" w:cs="宋体"/>
          <w:color w:val="000000" w:themeColor="text1"/>
          <w:sz w:val="24"/>
          <w:szCs w:val="24"/>
          <w:highlight w:val="none"/>
          <w:lang w:val="en-US" w:eastAsia="zh-CN" w:bidi="ar"/>
          <w14:textFill>
            <w14:solidFill>
              <w14:schemeClr w14:val="tx1"/>
            </w14:solidFill>
          </w14:textFill>
        </w:rPr>
        <w:t>合同签订前</w:t>
      </w:r>
      <w:r>
        <w:rPr>
          <w:rFonts w:hint="eastAsia" w:ascii="宋体" w:hAnsi="宋体" w:eastAsia="宋体" w:cs="宋体"/>
          <w:color w:val="000000" w:themeColor="text1"/>
          <w:sz w:val="24"/>
          <w:szCs w:val="24"/>
          <w:highlight w:val="none"/>
          <w:lang w:bidi="ar"/>
          <w14:textFill>
            <w14:solidFill>
              <w14:schemeClr w14:val="tx1"/>
            </w14:solidFill>
          </w14:textFill>
        </w:rPr>
        <w:t>提供车辆的行驶证或机动车登记证（产权证）或购置发票，车辆租赁的需另行提供有效期内的租赁协议。）</w:t>
      </w:r>
    </w:p>
    <w:p w14:paraId="0FABCADB">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（3）</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需承诺配备项目负责人1名（具有环境主管部门或者第三方机构出具的气站运维培训证明</w:t>
      </w:r>
      <w:r>
        <w:rPr>
          <w:rFonts w:hint="eastAsia" w:cs="宋体"/>
          <w:color w:val="000000" w:themeColor="text1"/>
          <w:sz w:val="24"/>
          <w:szCs w:val="24"/>
          <w:highlight w:val="none"/>
          <w:lang w:eastAsia="zh-CN" w:bidi="ar"/>
          <w14:textFill>
            <w14:solidFill>
              <w14:schemeClr w14:val="tx1"/>
            </w14:solidFill>
          </w14:textFill>
        </w:rPr>
        <w:t>、具有环境类相关专业高级及以上技术职称</w:t>
      </w:r>
      <w:r>
        <w:rPr>
          <w:rFonts w:hint="eastAsia" w:ascii="宋体" w:hAnsi="宋体" w:eastAsia="宋体" w:cs="宋体"/>
          <w:color w:val="000000" w:themeColor="text1"/>
          <w:sz w:val="24"/>
          <w:szCs w:val="24"/>
          <w:highlight w:val="none"/>
          <w:lang w:bidi="ar"/>
          <w14:textFill>
            <w14:solidFill>
              <w14:schemeClr w14:val="tx1"/>
            </w14:solidFill>
          </w14:textFill>
        </w:rPr>
        <w:t>）和</w:t>
      </w:r>
      <w:r>
        <w:rPr>
          <w:rFonts w:hint="eastAsia" w:cs="宋体"/>
          <w:color w:val="000000" w:themeColor="text1"/>
          <w:sz w:val="24"/>
          <w:szCs w:val="24"/>
          <w:highlight w:val="none"/>
          <w:lang w:val="en-US" w:eastAsia="zh-CN" w:bidi="ar"/>
          <w14:textFill>
            <w14:solidFill>
              <w14:schemeClr w14:val="tx1"/>
            </w14:solidFill>
          </w14:textFill>
        </w:rPr>
        <w:t>不少于4</w:t>
      </w:r>
      <w:r>
        <w:rPr>
          <w:rFonts w:hint="eastAsia" w:ascii="宋体" w:hAnsi="宋体" w:eastAsia="宋体" w:cs="宋体"/>
          <w:color w:val="000000" w:themeColor="text1"/>
          <w:sz w:val="24"/>
          <w:szCs w:val="24"/>
          <w:highlight w:val="none"/>
          <w:lang w:bidi="ar"/>
          <w14:textFill>
            <w14:solidFill>
              <w14:schemeClr w14:val="tx1"/>
            </w14:solidFill>
          </w14:textFill>
        </w:rPr>
        <w:t>名经验丰富的专职运维技术人员</w:t>
      </w:r>
      <w:r>
        <w:rPr>
          <w:rFonts w:hint="eastAsia" w:cs="宋体"/>
          <w:color w:val="000000" w:themeColor="text1"/>
          <w:sz w:val="24"/>
          <w:szCs w:val="24"/>
          <w:highlight w:val="none"/>
          <w:lang w:eastAsia="zh-CN" w:bidi="ar"/>
          <w14:textFill>
            <w14:solidFill>
              <w14:schemeClr w14:val="tx1"/>
            </w14:solidFill>
          </w14:textFill>
        </w:rPr>
        <w:t>（</w:t>
      </w:r>
      <w:r>
        <w:rPr>
          <w:rFonts w:hint="eastAsia" w:cs="宋体"/>
          <w:color w:val="000000" w:themeColor="text1"/>
          <w:sz w:val="24"/>
          <w:szCs w:val="24"/>
          <w:highlight w:val="none"/>
          <w:lang w:val="en-US" w:eastAsia="zh-CN" w:bidi="ar"/>
          <w14:textFill>
            <w14:solidFill>
              <w14:schemeClr w14:val="tx1"/>
            </w14:solidFill>
          </w14:textFill>
        </w:rPr>
        <w:t>具有环境主管部门或者第三方机构出具的气站运维培训证明，其中不少于1名人员</w:t>
      </w:r>
      <w:r>
        <w:rPr>
          <w:rFonts w:hint="eastAsia" w:ascii="宋体" w:hAnsi="宋体" w:eastAsia="宋体" w:cs="宋体"/>
          <w:color w:val="000000" w:themeColor="text1"/>
          <w:sz w:val="24"/>
          <w:szCs w:val="24"/>
          <w:highlight w:val="none"/>
          <w:lang w:bidi="ar"/>
          <w14:textFill>
            <w14:solidFill>
              <w14:schemeClr w14:val="tx1"/>
            </w14:solidFill>
          </w14:textFill>
        </w:rPr>
        <w:t>具有环境类相关专业中级及以上技术职称</w:t>
      </w:r>
      <w:r>
        <w:rPr>
          <w:rFonts w:hint="eastAsia" w:cs="宋体"/>
          <w:color w:val="000000" w:themeColor="text1"/>
          <w:sz w:val="24"/>
          <w:szCs w:val="24"/>
          <w:highlight w:val="none"/>
          <w:lang w:eastAsia="zh-CN" w:bidi="ar"/>
          <w14:textFill>
            <w14:solidFill>
              <w14:schemeClr w14:val="tx1"/>
            </w14:solidFill>
          </w14:textFill>
        </w:rPr>
        <w:t>）</w:t>
      </w:r>
      <w:r>
        <w:rPr>
          <w:rFonts w:hint="eastAsia" w:ascii="宋体" w:hAnsi="宋体" w:eastAsia="宋体" w:cs="宋体"/>
          <w:color w:val="000000" w:themeColor="text1"/>
          <w:sz w:val="24"/>
          <w:szCs w:val="24"/>
          <w:highlight w:val="none"/>
          <w:lang w:bidi="ar"/>
          <w14:textFill>
            <w14:solidFill>
              <w14:schemeClr w14:val="tx1"/>
            </w14:solidFill>
          </w14:textFill>
        </w:rPr>
        <w:t>。</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不得指派维护人员从事与本项目无关的工作，对于不合格的运维人员采购人有权要求更换。</w:t>
      </w:r>
    </w:p>
    <w:p w14:paraId="07FB1ABB">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（4）投标人在投标文件中须详细列出本项目的主要人员及车辆等配制说明，并对人员分工做出说明。采购人根据运维服务成效考核的情况，有权要求适当增加车辆和人员。</w:t>
      </w:r>
    </w:p>
    <w:p w14:paraId="13157F7B">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（5）</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应配备 SO2、NO2、CO、PM10、PM2.5、O3 六项指标自动监测仪器 1 套用作备机，对备用机定期开机检查，确保仪器工况达到监测规范要求，并做好记录。（请在合同签订前提供设备照片、发票等相关证明材料，租赁的需另行提供有效期内的租赁协议。）</w:t>
      </w:r>
    </w:p>
    <w:p w14:paraId="31C3E36A">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（6）</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中标后在张家港应设立耗材和备用机库，耗材储备量以所运维站点运行半年用量计算。</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应配备气站维护所需基本工具，包括但不限于以下工具：流量计（0～1L/min 1 级和 1～20L/min 1 级）、温湿度计、压力表、万用表、专业维修工具。</w:t>
      </w:r>
    </w:p>
    <w:p w14:paraId="69B56C91">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eastAsia="zh-CN" w:bidi="ar"/>
          <w14:textFill>
            <w14:solidFill>
              <w14:schemeClr w14:val="tx1"/>
            </w14:solidFill>
          </w14:textFill>
        </w:rPr>
      </w:pPr>
      <w:r>
        <w:rPr>
          <w:rFonts w:hint="eastAsia" w:cs="宋体"/>
          <w:color w:val="000000" w:themeColor="text1"/>
          <w:sz w:val="24"/>
          <w:szCs w:val="24"/>
          <w:highlight w:val="none"/>
          <w:lang w:eastAsia="zh-CN" w:bidi="ar"/>
          <w14:textFill>
            <w14:solidFill>
              <w14:schemeClr w14:val="tx1"/>
            </w14:solidFill>
          </w14:textFill>
        </w:rPr>
        <w:t>（</w:t>
      </w:r>
      <w:r>
        <w:rPr>
          <w:rFonts w:hint="eastAsia" w:cs="宋体"/>
          <w:color w:val="000000" w:themeColor="text1"/>
          <w:sz w:val="24"/>
          <w:szCs w:val="24"/>
          <w:highlight w:val="none"/>
          <w:lang w:val="en-US" w:eastAsia="zh-CN" w:bidi="ar"/>
          <w14:textFill>
            <w14:solidFill>
              <w14:schemeClr w14:val="tx1"/>
            </w14:solidFill>
          </w14:textFill>
        </w:rPr>
        <w:t>7</w:t>
      </w:r>
      <w:r>
        <w:rPr>
          <w:rFonts w:hint="eastAsia" w:cs="宋体"/>
          <w:color w:val="000000" w:themeColor="text1"/>
          <w:sz w:val="24"/>
          <w:szCs w:val="24"/>
          <w:highlight w:val="none"/>
          <w:lang w:eastAsia="zh-CN" w:bidi="ar"/>
          <w14:textFill>
            <w14:solidFill>
              <w14:schemeClr w14:val="tx1"/>
            </w14:solidFill>
          </w14:textFill>
        </w:rPr>
        <w:t>）投标人应具备运维数据的质控能力，质控项目包括SO2、NO2、O3、CO、PM10、PM2.5六项指标。</w:t>
      </w:r>
    </w:p>
    <w:p w14:paraId="6FEB5ACF">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5</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对重要站点定期开展质控比对工作。</w:t>
      </w:r>
    </w:p>
    <w:p w14:paraId="5E203ACE">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6</w:t>
      </w:r>
      <w:r>
        <w:rPr>
          <w:rFonts w:hint="eastAsia" w:ascii="宋体" w:hAnsi="宋体" w:eastAsia="宋体" w:cs="宋体"/>
          <w:b w:val="0"/>
          <w:bCs w:val="0"/>
          <w:color w:val="000000" w:themeColor="text1"/>
          <w:sz w:val="24"/>
          <w:szCs w:val="24"/>
          <w:highlight w:val="none"/>
          <w:lang w:bidi="ar"/>
          <w14:textFill>
            <w14:solidFill>
              <w14:schemeClr w14:val="tx1"/>
            </w14:solidFill>
          </w14:textFill>
        </w:rPr>
        <w:t>．</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应建立气站维护档案，将气站的运行管理情况和运行事件进行详细记录，并进行归档管理。</w:t>
      </w:r>
    </w:p>
    <w:p w14:paraId="4F964686">
      <w:pPr>
        <w:pStyle w:val="48"/>
        <w:keepNext w:val="0"/>
        <w:keepLines w:val="0"/>
        <w:pageBreakBefore w:val="0"/>
        <w:numPr>
          <w:ilvl w:val="0"/>
          <w:numId w:val="0"/>
        </w:numPr>
        <w:shd w:val="clear" w:color="auto"/>
        <w:spacing w:line="520" w:lineRule="exact"/>
        <w:ind w:firstLine="480"/>
        <w:rPr>
          <w:rFonts w:hint="eastAsia" w:ascii="宋体" w:hAnsi="宋体" w:eastAsia="宋体" w:cs="宋体"/>
          <w:color w:val="000000" w:themeColor="text1"/>
          <w:sz w:val="24"/>
          <w:szCs w:val="24"/>
          <w:highlight w:val="none"/>
          <w:lang w:bidi="ar"/>
          <w14:textFill>
            <w14:solidFill>
              <w14:schemeClr w14:val="tx1"/>
            </w14:solidFill>
          </w14:textFill>
        </w:rPr>
      </w:pPr>
      <w:r>
        <w:rPr>
          <w:rFonts w:hint="eastAsia" w:ascii="宋体" w:hAnsi="宋体" w:eastAsia="宋体" w:cs="宋体"/>
          <w:color w:val="000000" w:themeColor="text1"/>
          <w:sz w:val="24"/>
          <w:szCs w:val="24"/>
          <w:highlight w:val="none"/>
          <w:lang w:bidi="ar"/>
          <w14:textFill>
            <w14:solidFill>
              <w14:schemeClr w14:val="tx1"/>
            </w14:solidFill>
          </w14:textFill>
        </w:rPr>
        <w:t>7</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w:t>
      </w:r>
      <w:r>
        <w:rPr>
          <w:rFonts w:hint="eastAsia" w:cs="宋体"/>
          <w:color w:val="000000" w:themeColor="text1"/>
          <w:sz w:val="24"/>
          <w:szCs w:val="24"/>
          <w:highlight w:val="none"/>
          <w:lang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bidi="ar"/>
          <w14:textFill>
            <w14:solidFill>
              <w14:schemeClr w14:val="tx1"/>
            </w14:solidFill>
          </w14:textFill>
        </w:rPr>
        <w:t>须遵守生态环境部、中国环境监测总站、江苏省生态环境厅、苏州市生态环境局关于环境空气自动监测运行管理的各项规定，如运维期间上述部门出台新的空气站运行管理规定，则运维工作要求随之执行最新规定。</w:t>
      </w:r>
    </w:p>
    <w:p w14:paraId="224C91A0">
      <w:pPr>
        <w:pStyle w:val="48"/>
        <w:keepNext w:val="0"/>
        <w:keepLines w:val="0"/>
        <w:pageBreakBefore w:val="0"/>
        <w:shd w:val="clear" w:color="auto"/>
        <w:spacing w:line="520" w:lineRule="exac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五</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bidi="ar"/>
          <w14:textFill>
            <w14:solidFill>
              <w14:schemeClr w14:val="tx1"/>
            </w14:solidFill>
          </w14:textFill>
        </w:rPr>
        <w:t>服务要求</w:t>
      </w:r>
    </w:p>
    <w:p w14:paraId="3BDB5D4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应落实气站制度上墙机制，每个气站需张贴站房管理制度、仪器操作规程、安全注意事项等，相关费用由</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承担。</w:t>
      </w:r>
    </w:p>
    <w:p w14:paraId="3272462D">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应列明空气质量自动监测系统运营及管理期间的费用预算开支（分别按各项目、各站列出）。</w:t>
      </w:r>
    </w:p>
    <w:p w14:paraId="59F592F0">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应承担监测数据的保密责任，必须按照采购人的要求，进行报告和传输有关的监测数据，均不得以任何方式和渠道向外界传递任何监测数据，否则采购人有权终止合同，并进一步追究相关法律责任。</w:t>
      </w:r>
    </w:p>
    <w:p w14:paraId="51AB966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每年应对站房进行防雷检测，并提供检测报告。</w:t>
      </w:r>
    </w:p>
    <w:p w14:paraId="4BFBA4B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5．</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应为每个气站配备自动干粉灭火装置，保障站点财产安全。无人值守的自动监测站使用自动化系统和仪器，如遭遇火灾，必须自动主动消防，避免或减少自动监测系统及仪器的财产损失，防范于未然。</w:t>
      </w:r>
    </w:p>
    <w:p w14:paraId="5B54A16E">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6．</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还应承担采购人安排的与气站运维相关的但在本招标文件中未提及的其他工作，所需费用已包含在合同价内。（如：对采购人所属的位于南新村空气站房的喷灌设施进行作业管理，保证在需要时进行喷灌作业，改善南新村站房局部环境。）</w:t>
      </w:r>
    </w:p>
    <w:p w14:paraId="2DB0184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7．未经采购人同意，</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不得以任何方式对各类财产进行出售、抵押或转移</w:t>
      </w:r>
      <w:r>
        <w:rPr>
          <w:rFonts w:hint="eastAsia" w:ascii="宋体" w:hAnsi="宋体" w:eastAsia="宋体" w:cs="宋体"/>
          <w:color w:val="000000" w:themeColor="text1"/>
          <w:sz w:val="24"/>
          <w:szCs w:val="24"/>
          <w:highlight w:val="none"/>
          <w:lang w:bidi="ar"/>
          <w14:textFill>
            <w14:solidFill>
              <w14:schemeClr w14:val="tx1"/>
            </w14:solidFill>
          </w14:textFill>
        </w:rPr>
        <w:t>。</w:t>
      </w:r>
    </w:p>
    <w:p w14:paraId="634EA26A">
      <w:pPr>
        <w:pStyle w:val="48"/>
        <w:keepNext w:val="0"/>
        <w:keepLines w:val="0"/>
        <w:pageBreakBefore w:val="0"/>
        <w:shd w:val="clear" w:color="auto"/>
        <w:spacing w:line="520" w:lineRule="exact"/>
        <w:ind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六</w:t>
      </w:r>
      <w:r>
        <w:rPr>
          <w:rFonts w:hint="eastAsia" w:ascii="宋体" w:hAnsi="宋体" w:eastAsia="宋体" w:cs="宋体"/>
          <w:b/>
          <w:bCs/>
          <w:color w:val="000000" w:themeColor="text1"/>
          <w:sz w:val="24"/>
          <w:szCs w:val="24"/>
          <w:highlight w:val="none"/>
          <w:lang w:eastAsia="zh-CN" w:bidi="ar"/>
          <w14:textFill>
            <w14:solidFill>
              <w14:schemeClr w14:val="tx1"/>
            </w14:solidFill>
          </w14:textFill>
        </w:rPr>
        <w:t>）</w:t>
      </w:r>
      <w:r>
        <w:rPr>
          <w:rFonts w:hint="eastAsia" w:ascii="宋体" w:hAnsi="宋体" w:eastAsia="宋体" w:cs="宋体"/>
          <w:b/>
          <w:bCs/>
          <w:color w:val="000000" w:themeColor="text1"/>
          <w:sz w:val="24"/>
          <w:szCs w:val="24"/>
          <w:highlight w:val="none"/>
          <w:lang w:bidi="ar"/>
          <w14:textFill>
            <w14:solidFill>
              <w14:schemeClr w14:val="tx1"/>
            </w14:solidFill>
          </w14:textFill>
        </w:rPr>
        <w:t>空气站运维技术要求</w:t>
      </w:r>
    </w:p>
    <w:p w14:paraId="6EAD8EAB">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1．环境空气挥发性有机物（VOCS）PAMS 在线分析仪</w:t>
      </w:r>
    </w:p>
    <w:p w14:paraId="07FF6378">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日常巡查</w:t>
      </w:r>
    </w:p>
    <w:p w14:paraId="1DF8B311">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每日检查仪器运行状况、工作参数、数据采集和传输情况是否正常；</w:t>
      </w:r>
    </w:p>
    <w:p w14:paraId="7BC4439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每日远程登录或现场对仪器软件进行谱图检查，对峰飘物质及时修正；</w:t>
      </w:r>
    </w:p>
    <w:p w14:paraId="222AE379">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每日使用标准混合气体对仪器各组分进行单点（工作点）检查与校准，当大于 20%的物种色谱标准气单点浓度偏差大于 20%、质谱标准气单点浓度偏差大于30%时，需重新标定校准曲线。每日工作点检查结束后，应使用零气对仪器各组分进行检查与校准，物种组分空白残留不应该高于 0.1 nmol/mol。若出现组分空白不合格，且该组分日常浓度范围在 0.3 nmol/mol 以内，则当天监测数据均做无效处理；若该组分日常浓度范围在 1 nmol/mol 以上，则视空白结果予以保留或无效标注处理；数据浓度相对较高，可体现污染和变化现状的，酌情保留；</w:t>
      </w:r>
    </w:p>
    <w:p w14:paraId="0C05F43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每日对前一日 VOCs 谱图开展人工二次积分以确保监测结果的准确性，对异常及缺失数据进行记录与说明。</w:t>
      </w:r>
    </w:p>
    <w:p w14:paraId="6404138E">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VOCs 空气站至少每周现场巡检一次</w:t>
      </w:r>
    </w:p>
    <w:p w14:paraId="2A3BED8C">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检查仪器运行状态，是否报警或异常；</w:t>
      </w:r>
    </w:p>
    <w:p w14:paraId="2B45C2F6">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检查仪器耗材使用情况，更换仪器所需耗材；</w:t>
      </w:r>
    </w:p>
    <w:p w14:paraId="54ACB30B">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检查标气、载气等各类气体使用情况；</w:t>
      </w:r>
    </w:p>
    <w:p w14:paraId="2088286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检查仪器管路、阀门是否漏气；</w:t>
      </w:r>
    </w:p>
    <w:p w14:paraId="1AE5290C">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⑤</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检查站房外部环境，是否存在对监测数据或运行环境存在明显影响的污染源；</w:t>
      </w:r>
    </w:p>
    <w:p w14:paraId="218994A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检查站房通讯及数据传输系统状态；</w:t>
      </w:r>
    </w:p>
    <w:p w14:paraId="3DAE449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⑦</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检查更换颗粒物过滤膜；</w:t>
      </w:r>
    </w:p>
    <w:p w14:paraId="0A1D783D">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⑧</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检查站房消防、防雷、防水等安全措施是否正常。</w:t>
      </w:r>
    </w:p>
    <w:p w14:paraId="159F7B4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月度维护</w:t>
      </w:r>
    </w:p>
    <w:p w14:paraId="1CEC8F0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清洗仪器散热风扇滤网；</w:t>
      </w:r>
    </w:p>
    <w:p w14:paraId="10585B8A">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更换发生器过滤分子筛；</w:t>
      </w:r>
    </w:p>
    <w:p w14:paraId="7C2022BE">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更换发生器干燥剂。</w:t>
      </w:r>
    </w:p>
    <w:p w14:paraId="300AE20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（4）</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季度检查</w:t>
      </w:r>
    </w:p>
    <w:p w14:paraId="6165336D">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每季度检查检测器工作状态、老化色谱柱；</w:t>
      </w:r>
    </w:p>
    <w:p w14:paraId="67A31506">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每季对仪器进行一次预防性维护和各测试参数检查；</w:t>
      </w:r>
    </w:p>
    <w:p w14:paraId="10166559">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每季对仪器所有数据进行备份；</w:t>
      </w:r>
    </w:p>
    <w:p w14:paraId="355C217E">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每季使用标准混合气更新工作曲线和峰窗。</w:t>
      </w:r>
    </w:p>
    <w:p w14:paraId="25489D8C">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半年维护检查</w:t>
      </w:r>
    </w:p>
    <w:p w14:paraId="2F9CD05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每半年对仪器设备进行一次维护保养，对气态污染物采样系统进行一次维护清洗；</w:t>
      </w:r>
    </w:p>
    <w:p w14:paraId="3B446519">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每半年按照 HJ 1010 中仪器性能指标要求对仪器进行全面检查，包括方法检出限、校准曲线、全系统空白、精密性、物种分离度等。</w:t>
      </w:r>
    </w:p>
    <w:p w14:paraId="508CD73C">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各种技术与质量文件均保持现行有效，可根据管理需要进行调整或修订，巡检记录、维修记录、日常检查与监督抽查等质量保证与质量控制记录均按要求进行填写，每月进行整理归档。</w:t>
      </w:r>
    </w:p>
    <w:p w14:paraId="4F9836F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．微型空气站</w:t>
      </w:r>
    </w:p>
    <w:p w14:paraId="3B077C3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微型空气监测站运行维护应包括周监控、月巡检、季度检查和年度更换，具体要求如下：</w:t>
      </w:r>
    </w:p>
    <w:p w14:paraId="5B103938">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日审核：每日12时前完成前一日监测数据的审核，并提交异常数据审核无效的佐证材料（如运维、质控、仪器故障、断电等），一审需严格按照监测数据审核规则开展审核，负责审核数据的真实性及质量是否符合要求。一审对数据准确性及真实性负责。</w:t>
      </w:r>
    </w:p>
    <w:p w14:paraId="0827F09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周监控：每周检查设备在线率、报警情况、运行维护计划等至少 1次；</w:t>
      </w:r>
    </w:p>
    <w:p w14:paraId="0DDC49AE">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巡检：每月远程巡检设备运行状况至少 1 次，具体内容包括设备运行状态、异常率、运行负荷、质控合格情况等，远程巡检如设备状态异常需现场检查仪器；</w:t>
      </w:r>
    </w:p>
    <w:p w14:paraId="6245929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（4）</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季度检查：每季度抽取不少于总数 5%的站点进行现场检查，检查内容包括质量浓度准确性、平行性、设备状况、周边环境、设备运行状况等。安装气象传感器的站点，应使用标准温湿度气压计、手持式风向风速仪进行比对校准。如果季度抽查不合格比例超过 20%，应及时更换不合格产品并将季度检查频次缩短为月度检查；</w:t>
      </w:r>
    </w:p>
    <w:p w14:paraId="4D42D96A">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年度检查：每年对设备的气路、光路和电路板等进行检查和清洁处理，按厂家提供的使用和维护手册规定的使用寿命，更换仪器中传感器、电池等关键零部件，并送质量保证实验室进行准确性、平行性检查等工作，对检查不通过的设备，根据实际情况，进行校准、维修、报废等操作。</w:t>
      </w:r>
    </w:p>
    <w:p w14:paraId="0D81958D">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（6）</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其他相关要求按江苏省工业园区（集中区）污染物排放限值限量环境空气自动监测监控系统运行管理技术规范（试行）等规范要求执行。</w:t>
      </w:r>
    </w:p>
    <w:p w14:paraId="71949BCC">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（7）</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运维人员应经培训合格后持证上岗，具有相关的专业知识，能独立完成空气站维护工作，并根据实际需要配备运维车辆。</w:t>
      </w:r>
    </w:p>
    <w:p w14:paraId="6F0D9AAF">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（8）</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各种技术与质量文件均保持现行有效，可根据管理需要进行调整或修订，巡检记录、维修记录、日常检查与监督抽查等质量保证与质量控制记录均按要求进行填写，每月进行整理归档。</w:t>
      </w:r>
    </w:p>
    <w:p w14:paraId="2A01D6D8">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．标准空气站</w:t>
      </w:r>
    </w:p>
    <w:p w14:paraId="7B8EBDEE">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标准空气站运维及质控应参照 HJ 817 及 HJ 818 有关要求开展，具体要求如下：</w:t>
      </w:r>
    </w:p>
    <w:p w14:paraId="6DA535F9">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（1）</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每周巡检</w:t>
      </w:r>
    </w:p>
    <w:p w14:paraId="51AB131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检查站房温湿度是否正常，在冬、夏季节应注意站点房室内外温差，若温差较大，应及时改变站房温度或对采样总管采取适当的控制措施，防止冷凝现象。</w:t>
      </w:r>
    </w:p>
    <w:p w14:paraId="4554B9FC">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检查采样和排气管路是否有漏气或堵塞现象，各分析仪器采样流量是否正常。</w:t>
      </w:r>
    </w:p>
    <w:p w14:paraId="3E06BDD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检查标气及减压阀状态。</w:t>
      </w:r>
    </w:p>
    <w:p w14:paraId="634A9FE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检查数采及网络传输是否正常。</w:t>
      </w:r>
    </w:p>
    <w:p w14:paraId="5DDDACD9">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⑤</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检查运维工具、耗材、备件是否充足、完好。</w:t>
      </w:r>
    </w:p>
    <w:p w14:paraId="6974B128">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检查空调、电源等辅助设施运行是否正常，滤网是否清洁。</w:t>
      </w:r>
    </w:p>
    <w:p w14:paraId="5AC91E0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⑦</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检查消防、安全设施是否正常。</w:t>
      </w:r>
    </w:p>
    <w:p w14:paraId="236E506D">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⑧</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检查站房周边环境是否正常，包括是否有杂物、遮挡、积水等。</w:t>
      </w:r>
    </w:p>
    <w:p w14:paraId="4FAAB7A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⑨</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检查避雷设施、防水、气象杆是否正常。</w:t>
      </w:r>
    </w:p>
    <w:p w14:paraId="484003E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⑩</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检查颗粒物仪器采样纸带或滤膜。</w:t>
      </w:r>
    </w:p>
    <w:p w14:paraId="4A0B8F2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⑪</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对气态污染物仪器进行零点和跨点检查或校准。</w:t>
      </w:r>
    </w:p>
    <w:p w14:paraId="4FE7483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⑫</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检查各仪器参数是否正常。</w:t>
      </w:r>
    </w:p>
    <w:p w14:paraId="6BCE7BD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⑬填写运维记录表。</w:t>
      </w:r>
    </w:p>
    <w:p w14:paraId="66D0234C">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（2）</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月巡检</w:t>
      </w:r>
    </w:p>
    <w:p w14:paraId="123A26E4">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清洗颗粒物仪器切割器，检查喷嘴、压环等部件，若重污染天气应加密开展。</w:t>
      </w:r>
    </w:p>
    <w:p w14:paraId="2AE96FF9">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检查各分析仪流量，必要时进行校准。</w:t>
      </w:r>
    </w:p>
    <w:p w14:paraId="55FFD98B">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进行仪器漏气检查。</w:t>
      </w:r>
    </w:p>
    <w:p w14:paraId="1FF352C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检查仪器时钟。</w:t>
      </w:r>
    </w:p>
    <w:p w14:paraId="383CD79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⑤</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检查仪器数据与数采仪数据一致性。</w:t>
      </w:r>
    </w:p>
    <w:p w14:paraId="7A4A4FC1">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清洗空调滤网。</w:t>
      </w:r>
    </w:p>
    <w:p w14:paraId="257D9778">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季度巡检</w:t>
      </w:r>
    </w:p>
    <w:p w14:paraId="598CEE4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清洗采样总管及支管。</w:t>
      </w:r>
    </w:p>
    <w:p w14:paraId="7B2909AD">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清洗采样风机。</w:t>
      </w:r>
    </w:p>
    <w:p w14:paraId="2AB8AC70">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清洗颗粒物采样管。</w:t>
      </w:r>
    </w:p>
    <w:p w14:paraId="1125423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检查或校准颗粒物仪器温湿度、大气压读值准确性。</w:t>
      </w:r>
    </w:p>
    <w:p w14:paraId="14A5C9E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⑤</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开展颗粒物仪器标准膜检查或校准。</w:t>
      </w:r>
    </w:p>
    <w:p w14:paraId="3443DC7B">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⑥</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开展气态污染物仪器多点线性校准。</w:t>
      </w:r>
    </w:p>
    <w:p w14:paraId="01DF35AB">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⑦</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开展气态污染物仪器精密度检查。</w:t>
      </w:r>
    </w:p>
    <w:p w14:paraId="22B1C2D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⑧</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检查颗粒物仪器采样管及气态采样总管加热装置是否正常。</w:t>
      </w:r>
    </w:p>
    <w:p w14:paraId="4698371E">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（4）</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半年检查</w:t>
      </w:r>
    </w:p>
    <w:p w14:paraId="6CE9C3A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更换零气发生器耗材。</w:t>
      </w:r>
    </w:p>
    <w:p w14:paraId="0DBF46F7">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检查氮氧化物分析仪鉬炉转化效率。</w:t>
      </w:r>
    </w:p>
    <w:p w14:paraId="2D048790">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进行动态校准仪MFC流量控制器线性检查。</w:t>
      </w:r>
    </w:p>
    <w:p w14:paraId="43330CBB">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进行臭氧校准仪或动态校准仪臭氧量值传递。</w:t>
      </w:r>
    </w:p>
    <w:p w14:paraId="7ADDF8E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（5）</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年度维护</w:t>
      </w:r>
    </w:p>
    <w:p w14:paraId="0D594F8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①</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气态污染物仪器准确度审核。</w:t>
      </w:r>
    </w:p>
    <w:p w14:paraId="301B896B">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②</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检查标气用量及有效期。</w:t>
      </w:r>
    </w:p>
    <w:p w14:paraId="042A964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③</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开展质控仪器检定。</w:t>
      </w:r>
    </w:p>
    <w:p w14:paraId="0A329F1B">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cs="宋体"/>
          <w:color w:val="000000" w:themeColor="text1"/>
          <w:sz w:val="24"/>
          <w:szCs w:val="24"/>
          <w:highlight w:val="none"/>
          <w:lang w:val="en-US" w:eastAsia="zh-CN" w:bidi="ar"/>
          <w14:textFill>
            <w14:solidFill>
              <w14:schemeClr w14:val="tx1"/>
            </w14:solidFill>
          </w14:textFill>
        </w:rPr>
        <w:t>④</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按仪器说明书要求，对仪器及组件进行预防性维护，包括泵维护、采样管路更换等。</w:t>
      </w:r>
    </w:p>
    <w:p w14:paraId="133CACFF">
      <w:pPr>
        <w:pStyle w:val="48"/>
        <w:keepNext w:val="0"/>
        <w:keepLines w:val="0"/>
        <w:pageBreakBefore w:val="0"/>
        <w:shd w:val="clear" w:color="auto"/>
        <w:spacing w:line="520" w:lineRule="exact"/>
        <w:ind w:firstLine="482"/>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
          <w14:textFill>
            <w14:solidFill>
              <w14:schemeClr w14:val="tx1"/>
            </w14:solidFill>
          </w14:textFill>
        </w:rPr>
        <w:t>（七）其他要求</w:t>
      </w:r>
    </w:p>
    <w:p w14:paraId="35679882">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1．保持站房内部环境清洁，布置整齐，各仪器设备干净清洁，设备、管路、电线标识清楚。</w:t>
      </w:r>
    </w:p>
    <w:p w14:paraId="2EEA3FB4">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2．检查供电、网络的情况，保证系统的正常运行。通讯及控制系统维护主要是对仪器控制系统和通讯系统进行检查维护，以免造成通讯中断，影响通信质量。</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负责前端通讯设备、中心站服务器和软件平台的维护，确保从仪器到中心站服务器数据传输稳定准确，相关费用由</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承担。</w:t>
      </w:r>
    </w:p>
    <w:p w14:paraId="799994A9">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3．保证空调正常工作，仪器运行温度保持在 25℃±5℃，湿度保持在80%RH 以下。</w:t>
      </w:r>
    </w:p>
    <w:p w14:paraId="161A7338">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4．指派专人维护，设备固定牢固，门窗关闭良好，人走关门，非工作人员未经许可不得入内。</w:t>
      </w:r>
    </w:p>
    <w:p w14:paraId="40104C43">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5．定期检查消防和安全设施。</w:t>
      </w:r>
    </w:p>
    <w:p w14:paraId="4E84F7C0">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6．对一些重要的维护项目，包括贵重消耗件的更换，需通知采购人，经采购人确认。</w:t>
      </w:r>
    </w:p>
    <w:p w14:paraId="2A9804E1">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7．</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进行维护时，应规范操作，注意安全，防止意外发生。 若是</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的原因导致设备损坏的，由</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承担相关责任。若发生人身伤害等工伤事故，责任由成交供应商自负，与采购人无关。</w:t>
      </w:r>
    </w:p>
    <w:p w14:paraId="759DDF1C">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8．采取切实有效的措施，加强气站的安全保卫，切实做好防盗、防火以及防止其它人为或自然事故的发生，确保气站资产的安全，凡非客观原因（客观原因指不可预防抗拒的自然灾害，如地震等）造成的资产损失，由</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负责赔偿。遇到自然灾害等不可预防抗拒外部因素造成资产损害，</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应第一时间向采购人申报。</w:t>
      </w:r>
    </w:p>
    <w:p w14:paraId="1057B37F">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9．每次维护后做好系统运行维护记录，巡检记录应包含该系统运行状况、系统辅助设备运行状况、系统校准工作、环境条件监控等必检项目和记录，以及仪器使用说明书和国家规范中规定的其他检查项目和校准、维护保养、维修记录等。</w:t>
      </w:r>
    </w:p>
    <w:p w14:paraId="41F9ACCA">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10．每天早上</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应将昨日运维情况、当天需完成的维护工作当面告知采购人。</w:t>
      </w:r>
    </w:p>
    <w:p w14:paraId="2DCBC52D">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11．在节假日期间，</w:t>
      </w:r>
      <w:r>
        <w:rPr>
          <w:rFonts w:hint="eastAsia" w:cs="宋体"/>
          <w:color w:val="000000" w:themeColor="text1"/>
          <w:sz w:val="24"/>
          <w:szCs w:val="24"/>
          <w:highlight w:val="none"/>
          <w:lang w:val="en-US" w:eastAsia="zh-CN" w:bidi="ar"/>
          <w14:textFill>
            <w14:solidFill>
              <w14:schemeClr w14:val="tx1"/>
            </w14:solidFill>
          </w14:textFill>
        </w:rPr>
        <w:t>中标单位</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应安排值班人员，以保证气站的正常运行。</w:t>
      </w:r>
    </w:p>
    <w:p w14:paraId="7487558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12．协助采购人完成平台数据维护审核。</w:t>
      </w:r>
    </w:p>
    <w:p w14:paraId="5F7950E5">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13．通过照片、视频等手段，使采购人能对重要、关键运维过程和结果进行确认。</w:t>
      </w:r>
    </w:p>
    <w:p w14:paraId="2DFD26A0">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14．配合做好上级主管部门的各项检查考核。</w:t>
      </w:r>
    </w:p>
    <w:p w14:paraId="00263DB4">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15．每周对气站及周边环境进行巡查，排除人为干扰隐患。</w:t>
      </w:r>
    </w:p>
    <w:p w14:paraId="4AD42D81">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16．南新村站房内外的监控设施应保证采购人能实时查看，并保证能调取查看 10 天内的监控记录不中断。</w:t>
      </w:r>
    </w:p>
    <w:p w14:paraId="083B2B19">
      <w:pPr>
        <w:pStyle w:val="48"/>
        <w:keepNext w:val="0"/>
        <w:keepLines w:val="0"/>
        <w:pageBreakBefore w:val="0"/>
        <w:shd w:val="clear" w:color="auto"/>
        <w:spacing w:line="520" w:lineRule="exact"/>
        <w:ind w:firstLine="480"/>
        <w:rPr>
          <w:rFonts w:hint="eastAsia" w:ascii="宋体" w:hAnsi="宋体" w:eastAsia="宋体" w:cs="宋体"/>
          <w:color w:val="000000" w:themeColor="text1"/>
          <w:sz w:val="24"/>
          <w:szCs w:val="24"/>
          <w:highlight w:val="none"/>
          <w:lang w:val="en-US" w:eastAsia="zh-CN" w:bidi="ar"/>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17．投标人提供 202</w:t>
      </w:r>
      <w:r>
        <w:rPr>
          <w:rFonts w:hint="eastAsia" w:cs="宋体"/>
          <w:color w:val="000000" w:themeColor="text1"/>
          <w:sz w:val="24"/>
          <w:szCs w:val="24"/>
          <w:highlight w:val="none"/>
          <w:lang w:val="en-US" w:eastAsia="zh-CN" w:bidi="ar"/>
          <w14:textFill>
            <w14:solidFill>
              <w14:schemeClr w14:val="tx1"/>
            </w14:solidFill>
          </w14:textFill>
        </w:rPr>
        <w:t>3</w:t>
      </w:r>
      <w:r>
        <w:rPr>
          <w:rFonts w:hint="eastAsia" w:ascii="宋体" w:hAnsi="宋体" w:eastAsia="宋体" w:cs="宋体"/>
          <w:color w:val="000000" w:themeColor="text1"/>
          <w:sz w:val="24"/>
          <w:szCs w:val="24"/>
          <w:highlight w:val="none"/>
          <w:lang w:val="en-US" w:eastAsia="zh-CN" w:bidi="ar"/>
          <w14:textFill>
            <w14:solidFill>
              <w14:schemeClr w14:val="tx1"/>
            </w14:solidFill>
          </w14:textFill>
        </w:rPr>
        <w:t xml:space="preserve"> 年以来（以合同签订时间为准）的类似业绩。</w:t>
      </w:r>
    </w:p>
    <w:p w14:paraId="118078DB">
      <w:pPr>
        <w:keepNext w:val="0"/>
        <w:keepLines w:val="0"/>
        <w:pageBreakBefore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42" w:name="_Toc4370"/>
      <w:r>
        <w:rPr>
          <w:rFonts w:hint="eastAsia" w:ascii="宋体" w:hAnsi="宋体" w:eastAsia="宋体" w:cs="宋体"/>
          <w:b/>
          <w:color w:val="000000" w:themeColor="text1"/>
          <w:spacing w:val="0"/>
          <w:sz w:val="28"/>
          <w:szCs w:val="28"/>
          <w:highlight w:val="none"/>
          <w14:textFill>
            <w14:solidFill>
              <w14:schemeClr w14:val="tx1"/>
            </w14:solidFill>
          </w14:textFill>
        </w:rPr>
        <w:t>三、商务条款</w:t>
      </w:r>
      <w:bookmarkEnd w:id="342"/>
    </w:p>
    <w:p w14:paraId="14048FB0">
      <w:pPr>
        <w:pStyle w:val="238"/>
        <w:keepNext w:val="0"/>
        <w:keepLines w:val="0"/>
        <w:pageBreakBefore w:val="0"/>
        <w:widowControl/>
        <w:shd w:val="clear" w:color="auto"/>
        <w:spacing w:line="520" w:lineRule="exact"/>
        <w:ind w:firstLine="482"/>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一</w:t>
      </w: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服务期限</w:t>
      </w:r>
      <w:r>
        <w:rPr>
          <w:rStyle w:val="216"/>
          <w:rFonts w:hint="eastAsia" w:ascii="宋体" w:hAnsi="宋体" w:eastAsia="宋体" w:cs="宋体"/>
          <w:b/>
          <w:bCs/>
          <w:color w:val="000000" w:themeColor="text1"/>
          <w:spacing w:val="0"/>
          <w:sz w:val="24"/>
          <w:szCs w:val="24"/>
          <w:highlight w:val="none"/>
          <w:lang w:val="en-US"/>
          <w14:textFill>
            <w14:solidFill>
              <w14:schemeClr w14:val="tx1"/>
            </w14:solidFill>
          </w14:textFill>
        </w:rPr>
        <w:t>及服务地点</w:t>
      </w:r>
    </w:p>
    <w:p w14:paraId="616D51AA">
      <w:pPr>
        <w:keepNext w:val="0"/>
        <w:keepLines w:val="0"/>
        <w:pageBreakBefore w:val="0"/>
        <w:widowControl/>
        <w:shd w:val="clear" w:color="auto"/>
        <w:spacing w:line="520" w:lineRule="exact"/>
        <w:ind w:firstLine="480"/>
        <w:outlineLvl w:val="9"/>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1.服务期限</w:t>
      </w:r>
    </w:p>
    <w:p w14:paraId="5F9C7072">
      <w:pPr>
        <w:keepNext w:val="0"/>
        <w:keepLines w:val="0"/>
        <w:pageBreakBefore w:val="0"/>
        <w:widowControl/>
        <w:shd w:val="clear" w:color="auto"/>
        <w:spacing w:line="520" w:lineRule="exact"/>
        <w:ind w:firstLine="480"/>
        <w:outlineLvl w:val="9"/>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1</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年。</w:t>
      </w:r>
    </w:p>
    <w:p w14:paraId="1D965284">
      <w:pPr>
        <w:keepNext w:val="0"/>
        <w:keepLines w:val="0"/>
        <w:pageBreakBefore w:val="0"/>
        <w:widowControl/>
        <w:shd w:val="clear" w:color="auto"/>
        <w:spacing w:line="520" w:lineRule="exact"/>
        <w:ind w:firstLine="480"/>
        <w:outlineLvl w:val="9"/>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2.服务地点</w:t>
      </w:r>
    </w:p>
    <w:p w14:paraId="14689B8C">
      <w:pPr>
        <w:keepNext w:val="0"/>
        <w:keepLines w:val="0"/>
        <w:pageBreakBefore w:val="0"/>
        <w:widowControl/>
        <w:shd w:val="clear" w:color="auto"/>
        <w:spacing w:line="520" w:lineRule="exact"/>
        <w:ind w:firstLine="480"/>
        <w:outlineLvl w:val="9"/>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采购人指定地点。</w:t>
      </w:r>
    </w:p>
    <w:p w14:paraId="34D24785">
      <w:pPr>
        <w:pStyle w:val="238"/>
        <w:keepNext w:val="0"/>
        <w:keepLines w:val="0"/>
        <w:pageBreakBefore w:val="0"/>
        <w:shd w:val="clear" w:color="auto"/>
        <w:spacing w:line="520" w:lineRule="exact"/>
        <w:ind w:firstLine="482"/>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二</w:t>
      </w: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14:textFill>
            <w14:solidFill>
              <w14:schemeClr w14:val="tx1"/>
            </w14:solidFill>
          </w14:textFill>
        </w:rPr>
        <w:t>支付</w:t>
      </w:r>
      <w:r>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t>方式</w:t>
      </w:r>
    </w:p>
    <w:p w14:paraId="589315EF">
      <w:pPr>
        <w:pStyle w:val="238"/>
        <w:keepNext w:val="0"/>
        <w:keepLines w:val="0"/>
        <w:pageBreakBefore w:val="0"/>
        <w:shd w:val="clear" w:color="auto"/>
        <w:spacing w:line="520" w:lineRule="exact"/>
        <w:ind w:firstLine="48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1.</w:t>
      </w: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结付程序</w:t>
      </w:r>
    </w:p>
    <w:p w14:paraId="0A7757B4">
      <w:pPr>
        <w:pStyle w:val="238"/>
        <w:keepNext w:val="0"/>
        <w:keepLines w:val="0"/>
        <w:pageBreakBefore w:val="0"/>
        <w:shd w:val="clear" w:color="auto"/>
        <w:spacing w:line="520" w:lineRule="exact"/>
        <w:ind w:firstLine="48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中标人按合同内容合格地履行义务后，凭考核结果和销售发票到采购单位办理合同款结算手续。</w:t>
      </w:r>
    </w:p>
    <w:p w14:paraId="35DB5887">
      <w:pPr>
        <w:pStyle w:val="238"/>
        <w:keepNext w:val="0"/>
        <w:keepLines w:val="0"/>
        <w:pageBreakBefore w:val="0"/>
        <w:shd w:val="clear" w:color="auto"/>
        <w:spacing w:line="520" w:lineRule="exact"/>
        <w:ind w:firstLine="48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2.</w:t>
      </w: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结付期限</w:t>
      </w:r>
    </w:p>
    <w:p w14:paraId="18604E46">
      <w:pPr>
        <w:pStyle w:val="238"/>
        <w:keepNext w:val="0"/>
        <w:keepLines w:val="0"/>
        <w:pageBreakBefore w:val="0"/>
        <w:shd w:val="clear" w:color="auto"/>
        <w:spacing w:line="520" w:lineRule="exact"/>
        <w:ind w:firstLine="48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合同签订生效后，预付合同额的10%，按半年进行考核，上半年度考核通过后支付合同额40%（实际付款根据考核结果进行相应扣减），下半年度考核通过后支付合同额的50%（实际付款根据考核结果进行相应扣减）。服务期满后，采购人一次性退回履约保证金（合同金额的2%）。</w:t>
      </w:r>
    </w:p>
    <w:p w14:paraId="0470C3F7">
      <w:pPr>
        <w:pStyle w:val="238"/>
        <w:keepNext w:val="0"/>
        <w:keepLines w:val="0"/>
        <w:pageBreakBefore w:val="0"/>
        <w:shd w:val="clear" w:color="auto"/>
        <w:spacing w:line="520" w:lineRule="exact"/>
        <w:ind w:firstLine="48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3.</w:t>
      </w: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结付标准</w:t>
      </w:r>
    </w:p>
    <w:p w14:paraId="41C171D6">
      <w:pPr>
        <w:pStyle w:val="238"/>
        <w:keepNext w:val="0"/>
        <w:keepLines w:val="0"/>
        <w:pageBreakBefore w:val="0"/>
        <w:shd w:val="clear" w:color="auto"/>
        <w:spacing w:line="520" w:lineRule="exact"/>
        <w:ind w:firstLine="48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考核采取百分制、单站考核的方式进行，运维费根据各站点半年度考核结果核算。半年度考核分 95 分（含）以上的，拨付全额运维费；半年度考核分低于 95 分的，运维费=实际考核分/100*全额运维费。半年度考核分低于 80 分的，责令进行整改，整改不到位的采购人有权终止合同并不予返还履约保证金。</w:t>
      </w:r>
    </w:p>
    <w:p w14:paraId="58CA065C">
      <w:pPr>
        <w:pStyle w:val="238"/>
        <w:keepNext w:val="0"/>
        <w:keepLines w:val="0"/>
        <w:pageBreakBefore w:val="0"/>
        <w:shd w:val="clear" w:color="auto"/>
        <w:spacing w:line="520" w:lineRule="exact"/>
        <w:ind w:firstLine="482"/>
        <w:rPr>
          <w:rStyle w:val="216"/>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pP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三</w:t>
      </w: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14:textFill>
            <w14:solidFill>
              <w14:schemeClr w14:val="tx1"/>
            </w14:solidFill>
          </w14:textFill>
        </w:rPr>
        <w:t>投标货币</w:t>
      </w:r>
    </w:p>
    <w:p w14:paraId="425A401A">
      <w:pPr>
        <w:pStyle w:val="238"/>
        <w:keepNext w:val="0"/>
        <w:keepLines w:val="0"/>
        <w:pageBreakBefore w:val="0"/>
        <w:shd w:val="clear" w:color="auto"/>
        <w:spacing w:line="520" w:lineRule="exact"/>
        <w:ind w:firstLine="480"/>
        <w:rPr>
          <w:rStyle w:val="216"/>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216"/>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p w14:paraId="5642EE40">
      <w:pPr>
        <w:keepNext w:val="0"/>
        <w:keepLines w:val="0"/>
        <w:pageBreakBefore w:val="0"/>
        <w:shd w:val="clear" w:color="auto"/>
        <w:spacing w:line="520" w:lineRule="exact"/>
        <w:outlineLvl w:val="1"/>
        <w:rPr>
          <w:rFonts w:hint="eastAsia" w:ascii="宋体" w:hAnsi="宋体" w:eastAsia="宋体" w:cs="宋体"/>
          <w:b/>
          <w:color w:val="000000" w:themeColor="text1"/>
          <w:spacing w:val="0"/>
          <w:sz w:val="28"/>
          <w:szCs w:val="28"/>
          <w:highlight w:val="none"/>
          <w14:textFill>
            <w14:solidFill>
              <w14:schemeClr w14:val="tx1"/>
            </w14:solidFill>
          </w14:textFill>
        </w:rPr>
      </w:pPr>
      <w:bookmarkStart w:id="343" w:name="_Toc4444"/>
      <w:r>
        <w:rPr>
          <w:rFonts w:hint="eastAsia" w:ascii="宋体" w:hAnsi="宋体" w:eastAsia="宋体" w:cs="宋体"/>
          <w:b/>
          <w:color w:val="000000" w:themeColor="text1"/>
          <w:spacing w:val="0"/>
          <w:sz w:val="28"/>
          <w:szCs w:val="28"/>
          <w:highlight w:val="none"/>
          <w14:textFill>
            <w14:solidFill>
              <w14:schemeClr w14:val="tx1"/>
            </w14:solidFill>
          </w14:textFill>
        </w:rPr>
        <w:t>四、其他部分</w:t>
      </w:r>
      <w:bookmarkEnd w:id="343"/>
    </w:p>
    <w:p w14:paraId="3E3EB200">
      <w:pPr>
        <w:pStyle w:val="287"/>
        <w:keepNext w:val="0"/>
        <w:keepLines w:val="0"/>
        <w:pageBreakBefore w:val="0"/>
        <w:widowControl/>
        <w:shd w:val="clear" w:color="auto"/>
        <w:spacing w:line="520" w:lineRule="exact"/>
        <w:ind w:firstLine="482"/>
        <w:rPr>
          <w:rFonts w:hint="eastAsia" w:ascii="宋体" w:hAnsi="宋体" w:eastAsia="宋体" w:cs="宋体"/>
          <w:color w:val="000000" w:themeColor="text1"/>
          <w:sz w:val="24"/>
          <w:szCs w:val="24"/>
          <w:highlight w:val="none"/>
          <w14:textFill>
            <w14:solidFill>
              <w14:schemeClr w14:val="tx1"/>
            </w14:solidFill>
          </w14:textFill>
        </w:rPr>
      </w:pPr>
      <w:bookmarkStart w:id="344" w:name="EB46fc682c2c764bbdaed30f22794dcce7"/>
      <w:bookmarkEnd w:id="344"/>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一</w:t>
      </w:r>
      <w:r>
        <w:rPr>
          <w:rFonts w:hint="eastAsia" w:ascii="宋体" w:hAnsi="宋体" w:eastAsia="宋体" w:cs="宋体"/>
          <w:b/>
          <w:bCs/>
          <w:color w:val="000000" w:themeColor="text1"/>
          <w:sz w:val="24"/>
          <w:szCs w:val="24"/>
          <w:highlight w:val="none"/>
          <w:lang w:eastAsia="zh-CN"/>
          <w14:textFill>
            <w14:solidFill>
              <w14:schemeClr w14:val="tx1"/>
            </w14:solidFill>
          </w14:textFill>
        </w:rPr>
        <w:t>）</w:t>
      </w:r>
      <w:r>
        <w:rPr>
          <w:rFonts w:hint="eastAsia" w:ascii="宋体" w:hAnsi="宋体" w:eastAsia="宋体" w:cs="宋体"/>
          <w:b/>
          <w:bCs/>
          <w:color w:val="000000" w:themeColor="text1"/>
          <w:sz w:val="24"/>
          <w:szCs w:val="24"/>
          <w:highlight w:val="none"/>
          <w14:textFill>
            <w14:solidFill>
              <w14:schemeClr w14:val="tx1"/>
            </w14:solidFill>
          </w14:textFill>
        </w:rPr>
        <w:t>设备清单及位置</w:t>
      </w:r>
    </w:p>
    <w:p w14:paraId="4BEA8877">
      <w:pPr>
        <w:shd w:val="clear" w:color="auto"/>
        <w:spacing w:line="440" w:lineRule="exact"/>
        <w:rPr>
          <w:rFonts w:hint="eastAsia" w:ascii="宋体" w:hAnsi="宋体" w:eastAsia="宋体" w:cs="宋体"/>
          <w:b/>
          <w:color w:val="000000" w:themeColor="text1"/>
          <w:sz w:val="24"/>
          <w:szCs w:val="24"/>
          <w:highlight w:val="none"/>
          <w14:textFill>
            <w14:solidFill>
              <w14:schemeClr w14:val="tx1"/>
            </w14:solidFill>
          </w14:textFill>
        </w:rPr>
      </w:pPr>
      <w:bookmarkStart w:id="345" w:name="EBeba33935409e4c76a800f8c7f49348de"/>
      <w:bookmarkEnd w:id="345"/>
      <w:r>
        <w:rPr>
          <w:rFonts w:hint="eastAsia" w:ascii="宋体" w:hAnsi="宋体" w:eastAsia="宋体" w:cs="宋体"/>
          <w:b/>
          <w:color w:val="000000" w:themeColor="text1"/>
          <w:sz w:val="24"/>
          <w:szCs w:val="24"/>
          <w:highlight w:val="none"/>
          <w:lang w:val="en-US" w:eastAsia="zh-CN"/>
          <w14:textFill>
            <w14:solidFill>
              <w14:schemeClr w14:val="tx1"/>
            </w14:solidFill>
          </w14:textFill>
        </w:rPr>
        <w:t>空气站</w:t>
      </w:r>
      <w:r>
        <w:rPr>
          <w:rFonts w:hint="eastAsia" w:ascii="宋体" w:hAnsi="宋体" w:cs="宋体"/>
          <w:b/>
          <w:color w:val="000000" w:themeColor="text1"/>
          <w:sz w:val="24"/>
          <w:szCs w:val="24"/>
          <w:highlight w:val="none"/>
          <w:lang w:val="en-US" w:eastAsia="zh-CN"/>
          <w14:textFill>
            <w14:solidFill>
              <w14:schemeClr w14:val="tx1"/>
            </w14:solidFill>
          </w14:textFill>
        </w:rPr>
        <w:t>设备</w:t>
      </w:r>
      <w:r>
        <w:rPr>
          <w:rFonts w:hint="eastAsia" w:ascii="宋体" w:hAnsi="宋体" w:eastAsia="宋体" w:cs="宋体"/>
          <w:b/>
          <w:color w:val="000000" w:themeColor="text1"/>
          <w:sz w:val="24"/>
          <w:szCs w:val="24"/>
          <w:highlight w:val="none"/>
          <w:lang w:val="en-US" w:eastAsia="zh-CN"/>
          <w14:textFill>
            <w14:solidFill>
              <w14:schemeClr w14:val="tx1"/>
            </w14:solidFill>
          </w14:textFill>
        </w:rPr>
        <w:t>清单</w:t>
      </w:r>
      <w:r>
        <w:rPr>
          <w:rFonts w:hint="eastAsia" w:ascii="宋体" w:hAnsi="宋体" w:cs="宋体"/>
          <w:b/>
          <w:color w:val="000000" w:themeColor="text1"/>
          <w:sz w:val="24"/>
          <w:szCs w:val="24"/>
          <w:highlight w:val="none"/>
          <w:lang w:val="en-US" w:eastAsia="zh-CN"/>
          <w14:textFill>
            <w14:solidFill>
              <w14:schemeClr w14:val="tx1"/>
            </w14:solidFill>
          </w14:textFill>
        </w:rPr>
        <w:t>如下</w:t>
      </w:r>
      <w:r>
        <w:rPr>
          <w:rFonts w:hint="eastAsia" w:ascii="宋体" w:hAnsi="宋体" w:eastAsia="宋体" w:cs="宋体"/>
          <w:b/>
          <w:color w:val="000000" w:themeColor="text1"/>
          <w:sz w:val="24"/>
          <w:szCs w:val="24"/>
          <w:highlight w:val="none"/>
          <w:lang w:val="en-US" w:eastAsia="zh-CN"/>
          <w14:textFill>
            <w14:solidFill>
              <w14:schemeClr w14:val="tx1"/>
            </w14:solidFill>
          </w14:textFill>
        </w:rPr>
        <w:t>：</w:t>
      </w:r>
    </w:p>
    <w:tbl>
      <w:tblPr>
        <w:tblStyle w:val="39"/>
        <w:tblW w:w="1009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29"/>
        <w:gridCol w:w="1570"/>
        <w:gridCol w:w="2268"/>
        <w:gridCol w:w="1142"/>
        <w:gridCol w:w="976"/>
        <w:gridCol w:w="1716"/>
        <w:gridCol w:w="732"/>
        <w:gridCol w:w="963"/>
      </w:tblGrid>
      <w:tr w14:paraId="0ACD6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29"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25915140">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序号</w:t>
            </w:r>
          </w:p>
        </w:tc>
        <w:tc>
          <w:tcPr>
            <w:tcW w:w="1570"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0FDBE4DB">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站点名称</w:t>
            </w:r>
          </w:p>
        </w:tc>
        <w:tc>
          <w:tcPr>
            <w:tcW w:w="2268"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6D73077C">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设备名称</w:t>
            </w:r>
          </w:p>
        </w:tc>
        <w:tc>
          <w:tcPr>
            <w:tcW w:w="1142"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2B618DBD">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品牌</w:t>
            </w:r>
          </w:p>
        </w:tc>
        <w:tc>
          <w:tcPr>
            <w:tcW w:w="976"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09D779FD">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规格型号</w:t>
            </w:r>
          </w:p>
        </w:tc>
        <w:tc>
          <w:tcPr>
            <w:tcW w:w="1716"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406C6E72">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制造厂商</w:t>
            </w:r>
          </w:p>
        </w:tc>
        <w:tc>
          <w:tcPr>
            <w:tcW w:w="732"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478F6552">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数量</w:t>
            </w:r>
          </w:p>
        </w:tc>
        <w:tc>
          <w:tcPr>
            <w:tcW w:w="963"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46D5518C">
            <w:pPr>
              <w:keepNext w:val="0"/>
              <w:keepLines w:val="0"/>
              <w:pageBreakBefore w:val="0"/>
              <w:widowControl/>
              <w:suppressLineNumbers w:val="0"/>
              <w:shd w:val="clear" w:color="auto"/>
              <w:spacing w:line="240" w:lineRule="auto"/>
              <w:jc w:val="center"/>
              <w:rPr>
                <w:rFonts w:hint="default"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cs="宋体"/>
                <w:i w:val="0"/>
                <w:iCs w:val="0"/>
                <w:color w:val="000000" w:themeColor="text1"/>
                <w:sz w:val="24"/>
                <w:szCs w:val="24"/>
                <w:highlight w:val="none"/>
                <w:u w:val="none"/>
                <w:lang w:val="en-US" w:eastAsia="zh-CN" w:bidi="ar"/>
                <w14:textFill>
                  <w14:solidFill>
                    <w14:schemeClr w14:val="tx1"/>
                  </w14:solidFill>
                </w14:textFill>
              </w:rPr>
              <w:t>单位</w:t>
            </w:r>
          </w:p>
        </w:tc>
      </w:tr>
      <w:tr w14:paraId="5CE44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03" w:hRule="atLeast"/>
          <w:jc w:val="center"/>
        </w:trPr>
        <w:tc>
          <w:tcPr>
            <w:tcW w:w="72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3AECDA0">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157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00F908">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凤凰空气站（上风向）</w:t>
            </w: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385E2C">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环境空气挥发性有机物（VOCs）PAMS 在线分析仪</w:t>
            </w:r>
          </w:p>
        </w:tc>
        <w:tc>
          <w:tcPr>
            <w:tcW w:w="11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CEFA18">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赛默飞</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92119FF">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5900-C</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6363FB">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赛默飞世尔科技（中国）有限公司</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E2CFA9">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B0F2E48">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7786C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203" w:hRule="atLeast"/>
          <w:jc w:val="center"/>
        </w:trPr>
        <w:tc>
          <w:tcPr>
            <w:tcW w:w="729"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14:paraId="659776DE">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2</w:t>
            </w:r>
          </w:p>
        </w:tc>
        <w:tc>
          <w:tcPr>
            <w:tcW w:w="1570"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3061761">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南新村标准空气站（下风向）</w:t>
            </w: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258B4BD">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标准空气站（气象五参数、PM</w:t>
            </w:r>
            <w:r>
              <w:rPr>
                <w:rFonts w:hint="eastAsia" w:ascii="宋体" w:hAnsi="宋体" w:cs="宋体"/>
                <w:color w:val="000000" w:themeColor="text1"/>
                <w:sz w:val="24"/>
                <w:szCs w:val="24"/>
                <w:highlight w:val="none"/>
                <w:u w:val="none"/>
                <w:vertAlign w:val="subscript"/>
                <w:lang w:val="en-US" w:eastAsia="zh-CN" w:bidi="ar"/>
                <w14:textFill>
                  <w14:solidFill>
                    <w14:schemeClr w14:val="tx1"/>
                  </w14:solidFill>
                </w14:textFill>
              </w:rPr>
              <w:t>2.5</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、PM</w:t>
            </w:r>
            <w:r>
              <w:rPr>
                <w:rFonts w:hint="eastAsia" w:ascii="宋体" w:hAnsi="宋体" w:cs="宋体"/>
                <w:color w:val="000000" w:themeColor="text1"/>
                <w:sz w:val="24"/>
                <w:szCs w:val="24"/>
                <w:highlight w:val="none"/>
                <w:u w:val="none"/>
                <w:vertAlign w:val="subscript"/>
                <w:lang w:val="en-US" w:eastAsia="zh-CN" w:bidi="ar"/>
                <w14:textFill>
                  <w14:solidFill>
                    <w14:schemeClr w14:val="tx1"/>
                  </w14:solidFill>
                </w14:textFill>
              </w:rPr>
              <w:t>10</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、SO</w:t>
            </w:r>
            <w:r>
              <w:rPr>
                <w:rFonts w:hint="eastAsia" w:ascii="宋体" w:hAnsi="宋体" w:cs="宋体"/>
                <w:color w:val="000000" w:themeColor="text1"/>
                <w:sz w:val="24"/>
                <w:szCs w:val="24"/>
                <w:highlight w:val="none"/>
                <w:u w:val="none"/>
                <w:vertAlign w:val="subscript"/>
                <w:lang w:val="en-US" w:eastAsia="zh-CN" w:bidi="ar"/>
                <w14:textFill>
                  <w14:solidFill>
                    <w14:schemeClr w14:val="tx1"/>
                  </w14:solidFill>
                </w14:textFill>
              </w:rPr>
              <w:t>2</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、NO</w:t>
            </w:r>
            <w:r>
              <w:rPr>
                <w:rFonts w:hint="eastAsia" w:ascii="宋体" w:hAnsi="宋体" w:cs="宋体"/>
                <w:color w:val="000000" w:themeColor="text1"/>
                <w:sz w:val="24"/>
                <w:szCs w:val="24"/>
                <w:highlight w:val="none"/>
                <w:u w:val="none"/>
                <w:vertAlign w:val="subscript"/>
                <w:lang w:val="en-US" w:eastAsia="zh-CN" w:bidi="ar"/>
                <w14:textFill>
                  <w14:solidFill>
                    <w14:schemeClr w14:val="tx1"/>
                  </w14:solidFill>
                </w14:textFill>
              </w:rPr>
              <w:t>2</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、CO、O</w:t>
            </w:r>
            <w:r>
              <w:rPr>
                <w:rFonts w:hint="eastAsia" w:ascii="宋体" w:hAnsi="宋体" w:cs="宋体"/>
                <w:color w:val="000000" w:themeColor="text1"/>
                <w:sz w:val="24"/>
                <w:szCs w:val="24"/>
                <w:highlight w:val="none"/>
                <w:u w:val="none"/>
                <w:vertAlign w:val="subscript"/>
                <w:lang w:val="en-US" w:eastAsia="zh-CN" w:bidi="ar"/>
                <w14:textFill>
                  <w14:solidFill>
                    <w14:schemeClr w14:val="tx1"/>
                  </w14:solidFill>
                </w14:textFill>
              </w:rPr>
              <w:t>3</w:t>
            </w:r>
            <w:r>
              <w:rPr>
                <w:rFonts w:hint="eastAsia" w:ascii="宋体" w:hAnsi="宋体" w:cs="宋体"/>
                <w:color w:val="000000" w:themeColor="text1"/>
                <w:sz w:val="24"/>
                <w:szCs w:val="24"/>
                <w:highlight w:val="none"/>
                <w:u w:val="none"/>
                <w:lang w:val="en-US" w:eastAsia="zh-CN" w:bidi="ar"/>
                <w14:textFill>
                  <w14:solidFill>
                    <w14:schemeClr w14:val="tx1"/>
                  </w14:solidFill>
                </w14:textFill>
              </w:rPr>
              <w:t>）</w:t>
            </w:r>
          </w:p>
        </w:tc>
        <w:tc>
          <w:tcPr>
            <w:tcW w:w="11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65F03A">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赛默飞</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F9CC06A">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DA5D13">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赛默飞世尔科技（中国）有限公司</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955D93C">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DE3621F">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3742F80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7" w:hRule="atLeast"/>
          <w:jc w:val="center"/>
        </w:trPr>
        <w:tc>
          <w:tcPr>
            <w:tcW w:w="729"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14:paraId="73AE0704">
            <w:pPr>
              <w:keepNext w:val="0"/>
              <w:keepLines w:val="0"/>
              <w:pageBreakBefore w:val="0"/>
              <w:widowControl/>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1570"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3A8F5E">
            <w:pPr>
              <w:keepNext w:val="0"/>
              <w:keepLines w:val="0"/>
              <w:pageBreakBefore w:val="0"/>
              <w:widowControl/>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226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55D3A7">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环境空气挥发性有机物（VOCs）PAMS 在线分析仪</w:t>
            </w:r>
          </w:p>
        </w:tc>
        <w:tc>
          <w:tcPr>
            <w:tcW w:w="1142"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00A3B6">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赛默飞</w:t>
            </w:r>
          </w:p>
        </w:tc>
        <w:tc>
          <w:tcPr>
            <w:tcW w:w="97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CB2B86">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5900-C</w:t>
            </w:r>
          </w:p>
        </w:tc>
        <w:tc>
          <w:tcPr>
            <w:tcW w:w="171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E63509">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赛默飞世尔科技（中国）有限公司</w:t>
            </w:r>
          </w:p>
        </w:tc>
        <w:tc>
          <w:tcPr>
            <w:tcW w:w="732"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603244">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96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255A542">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bl>
    <w:p w14:paraId="64565786">
      <w:pPr>
        <w:shd w:val="clear" w:color="auto"/>
        <w:rPr>
          <w:rFonts w:hint="eastAsia" w:ascii="宋体" w:hAnsi="宋体" w:eastAsia="宋体" w:cs="宋体"/>
          <w:b/>
          <w:color w:val="000000" w:themeColor="text1"/>
          <w:sz w:val="24"/>
          <w:szCs w:val="24"/>
          <w:highlight w:val="none"/>
          <w:lang w:val="en-US" w:eastAsia="zh-CN"/>
          <w14:textFill>
            <w14:solidFill>
              <w14:schemeClr w14:val="tx1"/>
            </w14:solidFill>
          </w14:textFill>
        </w:rPr>
      </w:pPr>
    </w:p>
    <w:p w14:paraId="4D264656">
      <w:pPr>
        <w:shd w:val="clear" w:color="auto"/>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微型空气监测站设备清单如下：</w:t>
      </w:r>
    </w:p>
    <w:tbl>
      <w:tblPr>
        <w:tblStyle w:val="39"/>
        <w:tblW w:w="10119"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14"/>
        <w:gridCol w:w="1575"/>
        <w:gridCol w:w="4410"/>
        <w:gridCol w:w="1440"/>
        <w:gridCol w:w="1050"/>
        <w:gridCol w:w="930"/>
      </w:tblGrid>
      <w:tr w14:paraId="4C62C12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3ED3EE9A">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序号</w:t>
            </w:r>
          </w:p>
        </w:tc>
        <w:tc>
          <w:tcPr>
            <w:tcW w:w="1575"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6067ED65">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站点名称</w:t>
            </w:r>
          </w:p>
        </w:tc>
        <w:tc>
          <w:tcPr>
            <w:tcW w:w="4410"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45B04A0D">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设备名称</w:t>
            </w:r>
          </w:p>
        </w:tc>
        <w:tc>
          <w:tcPr>
            <w:tcW w:w="1440"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68EEF4E9">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品牌</w:t>
            </w:r>
          </w:p>
        </w:tc>
        <w:tc>
          <w:tcPr>
            <w:tcW w:w="1050"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2F5F5B18">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数量</w:t>
            </w:r>
          </w:p>
        </w:tc>
        <w:tc>
          <w:tcPr>
            <w:tcW w:w="930" w:type="dxa"/>
            <w:tcBorders>
              <w:top w:val="single" w:color="000000" w:sz="4" w:space="0"/>
              <w:left w:val="single" w:color="000000" w:sz="4" w:space="0"/>
              <w:bottom w:val="single" w:color="000000" w:sz="4" w:space="0"/>
              <w:right w:val="single" w:color="000000" w:sz="4" w:space="0"/>
            </w:tcBorders>
            <w:shd w:val="clear" w:color="auto" w:fill="B8CCE4" w:themeFill="accent1" w:themeFillTint="66"/>
            <w:noWrap/>
            <w:vAlign w:val="center"/>
          </w:tcPr>
          <w:p w14:paraId="79B08E22">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shd w:val="clear" w:color="auto" w:fill="B8CCE4" w:themeFill="accent1" w:themeFillTint="66"/>
                <w:lang w:val="en-US" w:eastAsia="zh-CN" w:bidi="ar"/>
                <w14:textFill>
                  <w14:solidFill>
                    <w14:schemeClr w14:val="tx1"/>
                  </w14:solidFill>
                </w14:textFill>
              </w:rPr>
              <w:t>单位</w:t>
            </w:r>
          </w:p>
        </w:tc>
      </w:tr>
      <w:tr w14:paraId="7ED6D03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71E8A">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6231B42">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微型空气监测站 1</w:t>
            </w:r>
          </w:p>
        </w:tc>
        <w:tc>
          <w:tcPr>
            <w:tcW w:w="4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06223F">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颗粒物（PM</w:t>
            </w:r>
            <w:r>
              <w:rPr>
                <w:rFonts w:hint="eastAsia" w:ascii="宋体" w:hAnsi="宋体" w:eastAsia="宋体" w:cs="宋体"/>
                <w:color w:val="000000" w:themeColor="text1"/>
                <w:sz w:val="24"/>
                <w:szCs w:val="24"/>
                <w:highlight w:val="none"/>
                <w:u w:val="none"/>
                <w:vertAlign w:val="subscript"/>
                <w:lang w:val="en-US" w:eastAsia="zh-CN" w:bidi="ar"/>
                <w14:textFill>
                  <w14:solidFill>
                    <w14:schemeClr w14:val="tx1"/>
                  </w14:solidFill>
                </w14:textFill>
              </w:rPr>
              <w:t>2.5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、PM</w:t>
            </w:r>
            <w:r>
              <w:rPr>
                <w:rFonts w:hint="eastAsia" w:ascii="宋体" w:hAnsi="宋体" w:eastAsia="宋体" w:cs="宋体"/>
                <w:color w:val="000000" w:themeColor="text1"/>
                <w:sz w:val="24"/>
                <w:szCs w:val="24"/>
                <w:highlight w:val="none"/>
                <w:u w:val="none"/>
                <w:vertAlign w:val="subscript"/>
                <w:lang w:val="en-US" w:eastAsia="zh-CN" w:bidi="ar"/>
                <w14:textFill>
                  <w14:solidFill>
                    <w14:schemeClr w14:val="tx1"/>
                  </w14:solidFill>
                </w14:textFill>
              </w:rPr>
              <w:t>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）浓度监测单元</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02D61B0">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先河</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EDA8237">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30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227109C">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470C54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4833F2E">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2</w:t>
            </w: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979FFC">
            <w:pPr>
              <w:keepNext w:val="0"/>
              <w:keepLines w:val="0"/>
              <w:pageBreakBefore w:val="0"/>
              <w:widowControl/>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ACD5A">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气态污染物检测模块 1（NO</w:t>
            </w:r>
            <w:r>
              <w:rPr>
                <w:rFonts w:hint="eastAsia" w:ascii="宋体" w:hAnsi="宋体" w:eastAsia="宋体" w:cs="宋体"/>
                <w:color w:val="000000" w:themeColor="text1"/>
                <w:sz w:val="24"/>
                <w:szCs w:val="24"/>
                <w:highlight w:val="none"/>
                <w:u w:val="none"/>
                <w:vertAlign w:val="subscript"/>
                <w:lang w:val="en-US" w:eastAsia="zh-CN" w:bidi="ar"/>
                <w14:textFill>
                  <w14:solidFill>
                    <w14:schemeClr w14:val="tx1"/>
                  </w14:solidFill>
                </w14:textFill>
              </w:rPr>
              <w:t>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、O</w:t>
            </w:r>
            <w:r>
              <w:rPr>
                <w:rFonts w:hint="eastAsia" w:ascii="宋体" w:hAnsi="宋体" w:eastAsia="宋体" w:cs="宋体"/>
                <w:color w:val="000000" w:themeColor="text1"/>
                <w:sz w:val="24"/>
                <w:szCs w:val="24"/>
                <w:highlight w:val="none"/>
                <w:u w:val="none"/>
                <w:vertAlign w:val="subscript"/>
                <w:lang w:val="en-US" w:eastAsia="zh-CN" w:bidi="ar"/>
                <w14:textFill>
                  <w14:solidFill>
                    <w14:schemeClr w14:val="tx1"/>
                  </w14:solidFill>
                </w14:textFill>
              </w:rPr>
              <w:t>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19C83F9">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先河</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35B5B5">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30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FA7C83">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5AD5B5F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99A4C3">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3</w:t>
            </w: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299493">
            <w:pPr>
              <w:keepNext w:val="0"/>
              <w:keepLines w:val="0"/>
              <w:pageBreakBefore w:val="0"/>
              <w:widowControl/>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DB6754">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TVOC 检测模块</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04253AD">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先河</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55EF0D6">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30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471A6F8">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004129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9786FF">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4</w:t>
            </w: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85F87A6">
            <w:pPr>
              <w:keepNext w:val="0"/>
              <w:keepLines w:val="0"/>
              <w:pageBreakBefore w:val="0"/>
              <w:widowControl/>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B25B711">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气象五参数（风速、风向、温度、湿度、压力）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ED2924F">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先河</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3BEED0D">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30</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1AB8A25">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1D71D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E8B5AA7">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5</w:t>
            </w:r>
          </w:p>
        </w:tc>
        <w:tc>
          <w:tcPr>
            <w:tcW w:w="1575" w:type="dxa"/>
            <w:vMerge w:val="restar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65BC56B">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微型空气监测站 2</w:t>
            </w:r>
          </w:p>
        </w:tc>
        <w:tc>
          <w:tcPr>
            <w:tcW w:w="4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9A11D68">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颗粒物（PM</w:t>
            </w:r>
            <w:r>
              <w:rPr>
                <w:rFonts w:hint="eastAsia" w:ascii="宋体" w:hAnsi="宋体" w:eastAsia="宋体" w:cs="宋体"/>
                <w:color w:val="000000" w:themeColor="text1"/>
                <w:sz w:val="24"/>
                <w:szCs w:val="24"/>
                <w:highlight w:val="none"/>
                <w:u w:val="none"/>
                <w:vertAlign w:val="subscript"/>
                <w:lang w:val="en-US" w:eastAsia="zh-CN" w:bidi="ar"/>
                <w14:textFill>
                  <w14:solidFill>
                    <w14:schemeClr w14:val="tx1"/>
                  </w14:solidFill>
                </w14:textFill>
              </w:rPr>
              <w:t>2.5</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、PM</w:t>
            </w:r>
            <w:r>
              <w:rPr>
                <w:rFonts w:hint="eastAsia" w:ascii="宋体" w:hAnsi="宋体" w:eastAsia="宋体" w:cs="宋体"/>
                <w:color w:val="000000" w:themeColor="text1"/>
                <w:sz w:val="24"/>
                <w:szCs w:val="24"/>
                <w:highlight w:val="none"/>
                <w:u w:val="none"/>
                <w:vertAlign w:val="subscript"/>
                <w:lang w:val="en-US" w:eastAsia="zh-CN" w:bidi="ar"/>
                <w14:textFill>
                  <w14:solidFill>
                    <w14:schemeClr w14:val="tx1"/>
                  </w14:solidFill>
                </w14:textFill>
              </w:rPr>
              <w:t>10</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）浓度监测单元</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04D41">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先河</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4F08076">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C079FDC">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03EF09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231D04E">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6</w:t>
            </w: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7B259DC">
            <w:pPr>
              <w:keepNext w:val="0"/>
              <w:keepLines w:val="0"/>
              <w:pageBreakBefore w:val="0"/>
              <w:widowControl/>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FC1747">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气态污染物检测模块 2（NO</w:t>
            </w:r>
            <w:r>
              <w:rPr>
                <w:rFonts w:hint="eastAsia" w:ascii="宋体" w:hAnsi="宋体" w:eastAsia="宋体" w:cs="宋体"/>
                <w:color w:val="000000" w:themeColor="text1"/>
                <w:sz w:val="24"/>
                <w:szCs w:val="24"/>
                <w:highlight w:val="none"/>
                <w:u w:val="none"/>
                <w:vertAlign w:val="subscript"/>
                <w:lang w:val="en-US" w:eastAsia="zh-CN" w:bidi="ar"/>
                <w14:textFill>
                  <w14:solidFill>
                    <w14:schemeClr w14:val="tx1"/>
                  </w14:solidFill>
                </w14:textFill>
              </w:rPr>
              <w:t>2</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、O</w:t>
            </w:r>
            <w:r>
              <w:rPr>
                <w:rFonts w:hint="eastAsia" w:ascii="宋体" w:hAnsi="宋体" w:eastAsia="宋体" w:cs="宋体"/>
                <w:color w:val="000000" w:themeColor="text1"/>
                <w:sz w:val="24"/>
                <w:szCs w:val="24"/>
                <w:highlight w:val="none"/>
                <w:u w:val="none"/>
                <w:vertAlign w:val="subscript"/>
                <w:lang w:val="en-US" w:eastAsia="zh-CN" w:bidi="ar"/>
                <w14:textFill>
                  <w14:solidFill>
                    <w14:schemeClr w14:val="tx1"/>
                  </w14:solidFill>
                </w14:textFill>
              </w:rPr>
              <w:t>3</w:t>
            </w: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、氟化物、氯化氢）</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1779114">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先河</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746D7B8">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01542DE">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5B1239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484F469A">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7</w:t>
            </w: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16A7A3">
            <w:pPr>
              <w:keepNext w:val="0"/>
              <w:keepLines w:val="0"/>
              <w:pageBreakBefore w:val="0"/>
              <w:widowControl/>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9699F2">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TVOC 检测模块</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6E90D99C">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先河</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0F13277">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6EC9CCE">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r w14:paraId="62F92C9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atLeast"/>
          <w:jc w:val="center"/>
        </w:trPr>
        <w:tc>
          <w:tcPr>
            <w:tcW w:w="71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60F0BD2">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8</w:t>
            </w:r>
          </w:p>
        </w:tc>
        <w:tc>
          <w:tcPr>
            <w:tcW w:w="1575" w:type="dxa"/>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D770FD8">
            <w:pPr>
              <w:keepNext w:val="0"/>
              <w:keepLines w:val="0"/>
              <w:pageBreakBefore w:val="0"/>
              <w:widowControl/>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p>
        </w:tc>
        <w:tc>
          <w:tcPr>
            <w:tcW w:w="4410"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55B6634">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气象五参数（风速、风向、温度、湿度、压力）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40052F0">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先河</w:t>
            </w:r>
          </w:p>
        </w:tc>
        <w:tc>
          <w:tcPr>
            <w:tcW w:w="105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BAF8B5F">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1</w:t>
            </w:r>
          </w:p>
        </w:tc>
        <w:tc>
          <w:tcPr>
            <w:tcW w:w="93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313FB48A">
            <w:pPr>
              <w:keepNext w:val="0"/>
              <w:keepLines w:val="0"/>
              <w:pageBreakBefore w:val="0"/>
              <w:widowControl/>
              <w:suppressLineNumbers w:val="0"/>
              <w:shd w:val="clear" w:color="auto"/>
              <w:spacing w:line="240" w:lineRule="auto"/>
              <w:jc w:val="center"/>
              <w:rPr>
                <w:rFonts w:hint="eastAsia" w:ascii="宋体" w:hAnsi="宋体" w:eastAsia="宋体" w:cs="宋体"/>
                <w:i w:val="0"/>
                <w:iCs w:val="0"/>
                <w:color w:val="000000" w:themeColor="text1"/>
                <w:sz w:val="24"/>
                <w:szCs w:val="24"/>
                <w:highlight w:val="none"/>
                <w:u w:val="none"/>
                <w14:textFill>
                  <w14:solidFill>
                    <w14:schemeClr w14:val="tx1"/>
                  </w14:solidFill>
                </w14:textFill>
              </w:rPr>
            </w:pPr>
            <w:r>
              <w:rPr>
                <w:rFonts w:hint="eastAsia" w:ascii="宋体" w:hAnsi="宋体" w:eastAsia="宋体" w:cs="宋体"/>
                <w:i w:val="0"/>
                <w:iCs w:val="0"/>
                <w:color w:val="000000" w:themeColor="text1"/>
                <w:sz w:val="24"/>
                <w:szCs w:val="24"/>
                <w:highlight w:val="none"/>
                <w:u w:val="none"/>
                <w:lang w:val="en-US" w:eastAsia="zh-CN" w:bidi="ar"/>
                <w14:textFill>
                  <w14:solidFill>
                    <w14:schemeClr w14:val="tx1"/>
                  </w14:solidFill>
                </w14:textFill>
              </w:rPr>
              <w:t>套</w:t>
            </w:r>
          </w:p>
        </w:tc>
      </w:tr>
    </w:tbl>
    <w:p w14:paraId="2033B58C">
      <w:pPr>
        <w:keepNext w:val="0"/>
        <w:keepLines w:val="0"/>
        <w:pageBreakBefore w:val="0"/>
        <w:widowControl w:val="0"/>
        <w:shd w:val="clear" w:color="auto"/>
        <w:spacing w:line="520" w:lineRule="exact"/>
        <w:ind w:firstLine="480"/>
        <w:jc w:val="left"/>
        <w:rPr>
          <w:rFonts w:hint="eastAsia" w:ascii="宋体" w:hAnsi="宋体" w:eastAsia="宋体" w:cs="宋体"/>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其中 16 个为园区边界微型空气站，</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 个园区内部微型空气站，</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6 个第一第二风向下风向微型空气站，</w:t>
      </w:r>
      <w:r>
        <w:rPr>
          <w:rFonts w:hint="eastAsia" w:ascii="宋体" w:hAnsi="宋体" w:cs="宋体"/>
          <w:color w:val="000000" w:themeColor="text1"/>
          <w:sz w:val="24"/>
          <w:szCs w:val="24"/>
          <w:highlight w:val="none"/>
          <w:lang w:val="en-US" w:eastAsia="zh-CN" w:bidi="ar-SA"/>
          <w14:textFill>
            <w14:solidFill>
              <w14:schemeClr w14:val="tx1"/>
            </w14:solidFill>
          </w14:textFill>
        </w:rPr>
        <w:t xml:space="preserve"> </w:t>
      </w: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3 个质控点微型空气站。</w:t>
      </w:r>
    </w:p>
    <w:p w14:paraId="0F82934E">
      <w:pPr>
        <w:keepNext w:val="0"/>
        <w:keepLines w:val="0"/>
        <w:pageBreakBefore w:val="0"/>
        <w:widowControl w:val="0"/>
        <w:shd w:val="clear" w:color="auto"/>
        <w:spacing w:line="520" w:lineRule="exact"/>
        <w:ind w:firstLine="482"/>
        <w:rPr>
          <w:rFonts w:ascii="宋体" w:hAnsi="宋体" w:cs="Times New Roman"/>
          <w:b/>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w:t>
      </w:r>
      <w:r>
        <w:rPr>
          <w:rFonts w:hint="eastAsia" w:ascii="宋体" w:hAnsi="宋体" w:cs="Times New Roman"/>
          <w:b/>
          <w:color w:val="000000" w:themeColor="text1"/>
          <w:sz w:val="24"/>
          <w:highlight w:val="none"/>
          <w14:textFill>
            <w14:solidFill>
              <w14:schemeClr w14:val="tx1"/>
            </w14:solidFill>
          </w14:textFill>
        </w:rPr>
        <w:t>考核</w:t>
      </w:r>
      <w:r>
        <w:rPr>
          <w:rFonts w:hint="eastAsia" w:ascii="宋体" w:hAnsi="宋体" w:cs="Times New Roman"/>
          <w:b/>
          <w:color w:val="000000" w:themeColor="text1"/>
          <w:sz w:val="24"/>
          <w:highlight w:val="none"/>
          <w:lang w:val="en-US" w:eastAsia="zh-CN"/>
          <w14:textFill>
            <w14:solidFill>
              <w14:schemeClr w14:val="tx1"/>
            </w14:solidFill>
          </w14:textFill>
        </w:rPr>
        <w:t>办法</w:t>
      </w:r>
      <w:r>
        <w:rPr>
          <w:rFonts w:hint="eastAsia" w:ascii="宋体" w:hAnsi="宋体" w:cs="Times New Roman"/>
          <w:b/>
          <w:color w:val="000000" w:themeColor="text1"/>
          <w:sz w:val="24"/>
          <w:highlight w:val="none"/>
          <w14:textFill>
            <w14:solidFill>
              <w14:schemeClr w14:val="tx1"/>
            </w14:solidFill>
          </w14:textFill>
        </w:rPr>
        <w:t>与惩罚办法</w:t>
      </w:r>
    </w:p>
    <w:p w14:paraId="64D17F4F">
      <w:pPr>
        <w:keepNext w:val="0"/>
        <w:keepLines w:val="0"/>
        <w:pageBreakBefore w:val="0"/>
        <w:widowControl w:val="0"/>
        <w:shd w:val="clear" w:color="auto"/>
        <w:spacing w:line="520" w:lineRule="exact"/>
        <w:ind w:firstLine="482"/>
        <w:outlineLvl w:val="1"/>
        <w:rPr>
          <w:rFonts w:hint="eastAsia" w:ascii="宋体" w:hAnsi="宋体" w:eastAsia="宋体" w:cs="宋体"/>
          <w:b/>
          <w:bCs/>
          <w:color w:val="000000" w:themeColor="text1"/>
          <w:sz w:val="24"/>
          <w:szCs w:val="24"/>
          <w:highlight w:val="none"/>
          <w14:textFill>
            <w14:solidFill>
              <w14:schemeClr w14:val="tx1"/>
            </w14:solidFill>
          </w14:textFill>
        </w:rPr>
      </w:pPr>
      <w:bookmarkStart w:id="346" w:name="_Toc25162"/>
      <w:r>
        <w:rPr>
          <w:rFonts w:hint="eastAsia" w:ascii="宋体" w:hAnsi="宋体" w:eastAsia="宋体" w:cs="宋体"/>
          <w:b/>
          <w:bCs/>
          <w:color w:val="000000" w:themeColor="text1"/>
          <w:sz w:val="24"/>
          <w:szCs w:val="24"/>
          <w:highlight w:val="none"/>
          <w:lang w:eastAsia="zh-CN" w:bidi="ar-SA"/>
          <w14:textFill>
            <w14:solidFill>
              <w14:schemeClr w14:val="tx1"/>
            </w14:solidFill>
          </w14:textFill>
        </w:rPr>
        <w:t>1．</w:t>
      </w:r>
      <w:r>
        <w:rPr>
          <w:rFonts w:hint="eastAsia" w:ascii="宋体" w:hAnsi="宋体" w:cs="Times New Roman"/>
          <w:b/>
          <w:color w:val="000000" w:themeColor="text1"/>
          <w:sz w:val="24"/>
          <w:highlight w:val="none"/>
          <w14:textFill>
            <w14:solidFill>
              <w14:schemeClr w14:val="tx1"/>
            </w14:solidFill>
          </w14:textFill>
        </w:rPr>
        <w:t>考核办法</w:t>
      </w:r>
      <w:bookmarkEnd w:id="346"/>
    </w:p>
    <w:p w14:paraId="5AF5DF2D">
      <w:pPr>
        <w:keepNext w:val="0"/>
        <w:keepLines w:val="0"/>
        <w:pageBreakBefore w:val="0"/>
        <w:widowControl w:val="0"/>
        <w:shd w:val="clear" w:color="auto"/>
        <w:spacing w:line="520" w:lineRule="exact"/>
        <w:ind w:firstLine="480"/>
        <w:jc w:val="both"/>
        <w:rPr>
          <w:rFonts w:hint="default" w:ascii="宋体" w:hAnsi="宋体" w:eastAsia="宋体" w:cs="Times New Roman"/>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采购人每半年对中标单位开展一次运营维护工作考核，以每个气站为单位进行。逐站依据上述维护内容的维护质量和相关指标相结合的方式进行评分，满分为100分，每次</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考核得分</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小于80分为不合格；</w:t>
      </w:r>
      <w:r>
        <w:rPr>
          <w:rFonts w:hint="eastAsia" w:ascii="宋体" w:hAnsi="宋体" w:cs="Times New Roman"/>
          <w:bCs/>
          <w:color w:val="000000" w:themeColor="text1"/>
          <w:sz w:val="24"/>
          <w:szCs w:val="24"/>
          <w:highlight w:val="none"/>
          <w:lang w:val="en-US" w:eastAsia="zh-CN" w:bidi="ar-SA"/>
          <w14:textFill>
            <w14:solidFill>
              <w14:schemeClr w14:val="tx1"/>
            </w14:solidFill>
          </w14:textFill>
        </w:rPr>
        <w:t>考核得分</w:t>
      </w:r>
      <w:r>
        <w:rPr>
          <w:rFonts w:hint="eastAsia" w:ascii="宋体" w:hAnsi="宋体" w:eastAsia="宋体" w:cs="Times New Roman"/>
          <w:bCs/>
          <w:color w:val="000000" w:themeColor="text1"/>
          <w:sz w:val="24"/>
          <w:szCs w:val="24"/>
          <w:highlight w:val="none"/>
          <w:lang w:val="en-US" w:eastAsia="zh-CN" w:bidi="ar-SA"/>
          <w14:textFill>
            <w14:solidFill>
              <w14:schemeClr w14:val="tx1"/>
            </w14:solidFill>
          </w14:textFill>
        </w:rPr>
        <w:t>80分为合格。由采购人进行评审，具体考核内容见下表。考核合格后按照合同要求支付半年度的运行费。</w:t>
      </w:r>
    </w:p>
    <w:p w14:paraId="172EE5EC">
      <w:pPr>
        <w:shd w:val="clear" w:color="auto"/>
        <w:spacing w:before="312" w:after="24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bidi="ar-SA"/>
          <w14:textFill>
            <w14:solidFill>
              <w14:schemeClr w14:val="tx1"/>
            </w14:solidFill>
          </w14:textFill>
        </w:rPr>
        <w:t>环境空气自动监测站运营维护考核</w:t>
      </w:r>
    </w:p>
    <w:tbl>
      <w:tblPr>
        <w:tblStyle w:val="39"/>
        <w:tblW w:w="5155" w:type="pct"/>
        <w:jc w:val="center"/>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Layout w:type="autofit"/>
        <w:tblCellMar>
          <w:top w:w="15" w:type="dxa"/>
          <w:left w:w="15" w:type="dxa"/>
          <w:bottom w:w="15" w:type="dxa"/>
          <w:right w:w="15" w:type="dxa"/>
        </w:tblCellMar>
      </w:tblPr>
      <w:tblGrid>
        <w:gridCol w:w="1630"/>
        <w:gridCol w:w="1567"/>
        <w:gridCol w:w="5997"/>
        <w:gridCol w:w="875"/>
      </w:tblGrid>
      <w:tr w14:paraId="24A7656B">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tblHeader/>
          <w:jc w:val="center"/>
        </w:trPr>
        <w:tc>
          <w:tcPr>
            <w:tcW w:w="1587" w:type="pct"/>
            <w:gridSpan w:val="2"/>
            <w:tcBorders>
              <w:top w:val="single" w:color="000000" w:sz="8" w:space="0"/>
              <w:left w:val="single" w:color="000000" w:sz="8" w:space="0"/>
              <w:bottom w:val="single" w:color="000000" w:sz="8" w:space="0"/>
              <w:right w:val="single" w:color="000000" w:sz="8" w:space="0"/>
            </w:tcBorders>
            <w:shd w:val="clear" w:color="auto" w:fill="B8CCE4" w:themeFill="accent1" w:themeFillTint="66"/>
            <w:noWrap w:val="0"/>
            <w:tcMar>
              <w:top w:w="0" w:type="dxa"/>
              <w:left w:w="0" w:type="dxa"/>
              <w:bottom w:w="0" w:type="dxa"/>
              <w:right w:w="0" w:type="dxa"/>
            </w:tcMar>
            <w:vAlign w:val="center"/>
          </w:tcPr>
          <w:p w14:paraId="1B4152B1">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smallCaps w:val="0"/>
                <w:color w:val="000000" w:themeColor="text1"/>
                <w:sz w:val="24"/>
                <w:szCs w:val="24"/>
                <w:highlight w:val="none"/>
                <w:lang w:val="en-US" w:eastAsia="zh-CN" w:bidi="ar-SA"/>
                <w14:textFill>
                  <w14:solidFill>
                    <w14:schemeClr w14:val="tx1"/>
                  </w14:solidFill>
                </w14:textFill>
              </w:rPr>
              <w:t>考核内容及评分标准</w:t>
            </w:r>
          </w:p>
        </w:tc>
        <w:tc>
          <w:tcPr>
            <w:tcW w:w="2977" w:type="pct"/>
            <w:tcBorders>
              <w:top w:val="single" w:color="000000" w:sz="8" w:space="0"/>
              <w:left w:val="single" w:color="000000" w:sz="8" w:space="0"/>
              <w:bottom w:val="single" w:color="000000" w:sz="8" w:space="0"/>
              <w:right w:val="single" w:color="000000" w:sz="8" w:space="0"/>
            </w:tcBorders>
            <w:shd w:val="clear" w:color="auto" w:fill="B8CCE4" w:themeFill="accent1" w:themeFillTint="66"/>
            <w:noWrap w:val="0"/>
            <w:tcMar>
              <w:top w:w="0" w:type="dxa"/>
              <w:left w:w="0" w:type="dxa"/>
              <w:bottom w:w="0" w:type="dxa"/>
              <w:right w:w="0" w:type="dxa"/>
            </w:tcMar>
            <w:vAlign w:val="center"/>
          </w:tcPr>
          <w:p w14:paraId="0E510DF7">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smallCaps w:val="0"/>
                <w:color w:val="000000" w:themeColor="text1"/>
                <w:sz w:val="24"/>
                <w:szCs w:val="24"/>
                <w:highlight w:val="none"/>
                <w:lang w:val="en-US" w:eastAsia="zh-CN" w:bidi="ar-SA"/>
                <w14:textFill>
                  <w14:solidFill>
                    <w14:schemeClr w14:val="tx1"/>
                  </w14:solidFill>
                </w14:textFill>
              </w:rPr>
              <w:t>考核要求</w:t>
            </w:r>
          </w:p>
        </w:tc>
        <w:tc>
          <w:tcPr>
            <w:tcW w:w="434" w:type="pct"/>
            <w:tcBorders>
              <w:top w:val="single" w:color="000000" w:sz="8" w:space="0"/>
              <w:left w:val="single" w:color="000000" w:sz="8" w:space="0"/>
              <w:bottom w:val="single" w:color="000000" w:sz="8" w:space="0"/>
              <w:right w:val="single" w:color="000000" w:sz="8" w:space="0"/>
            </w:tcBorders>
            <w:shd w:val="clear" w:color="auto" w:fill="B8CCE4" w:themeFill="accent1" w:themeFillTint="66"/>
            <w:noWrap w:val="0"/>
            <w:tcMar>
              <w:top w:w="0" w:type="dxa"/>
              <w:left w:w="0" w:type="dxa"/>
              <w:bottom w:w="0" w:type="dxa"/>
              <w:right w:w="0" w:type="dxa"/>
            </w:tcMar>
            <w:vAlign w:val="center"/>
          </w:tcPr>
          <w:p w14:paraId="38A409CD">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bCs/>
                <w:i w:val="0"/>
                <w:iCs w:val="0"/>
                <w:smallCaps w:val="0"/>
                <w:color w:val="000000" w:themeColor="text1"/>
                <w:sz w:val="24"/>
                <w:szCs w:val="24"/>
                <w:highlight w:val="none"/>
                <w:lang w:val="en-US" w:eastAsia="zh-CN" w:bidi="ar-SA"/>
                <w14:textFill>
                  <w14:solidFill>
                    <w14:schemeClr w14:val="tx1"/>
                  </w14:solidFill>
                </w14:textFill>
              </w:rPr>
              <w:t>得分</w:t>
            </w:r>
          </w:p>
        </w:tc>
      </w:tr>
      <w:tr w14:paraId="0B2F29F3">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809" w:type="pct"/>
            <w:vMerge w:val="restar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1F1E4241">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一．气站维护（20分）</w:t>
            </w: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3D095A91">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站房</w:t>
            </w:r>
          </w:p>
          <w:p w14:paraId="29F47203">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w:t>
            </w:r>
            <w:r>
              <w:rPr>
                <w:rFonts w:hint="eastAsia" w:ascii="宋体" w:hAnsi="宋体" w:cs="宋体"/>
                <w:b w:val="0"/>
                <w:bCs w:val="0"/>
                <w:i w:val="0"/>
                <w:iCs w:val="0"/>
                <w:smallCaps w:val="0"/>
                <w:color w:val="000000" w:themeColor="text1"/>
                <w:sz w:val="24"/>
                <w:szCs w:val="24"/>
                <w:highlight w:val="none"/>
                <w:lang w:val="en-US" w:eastAsia="zh-CN" w:bidi="ar-SA"/>
                <w14:textFill>
                  <w14:solidFill>
                    <w14:schemeClr w14:val="tx1"/>
                  </w14:solidFill>
                </w14:textFill>
              </w:rPr>
              <w:t>6</w:t>
            </w: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09724C41">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清洁整齐，及时检查电、电话、网络、空调（去湿）</w:t>
            </w:r>
            <w:r>
              <w:rPr>
                <w:rFonts w:hint="eastAsia" w:ascii="宋体" w:hAnsi="宋体" w:cs="宋体"/>
                <w:b w:val="0"/>
                <w:bCs w:val="0"/>
                <w:i w:val="0"/>
                <w:iCs w:val="0"/>
                <w:smallCaps w:val="0"/>
                <w:color w:val="000000" w:themeColor="text1"/>
                <w:sz w:val="24"/>
                <w:szCs w:val="24"/>
                <w:highlight w:val="none"/>
                <w:lang w:val="en-US" w:eastAsia="zh-CN" w:bidi="ar-SA"/>
                <w14:textFill>
                  <w14:solidFill>
                    <w14:schemeClr w14:val="tx1"/>
                  </w14:solidFill>
                </w14:textFill>
              </w:rPr>
              <w:t>，周边范围内的卫生工作</w:t>
            </w: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等满足要求，保证系统仪器具有良好的运行环境；及时做好记录</w:t>
            </w:r>
          </w:p>
        </w:tc>
        <w:tc>
          <w:tcPr>
            <w:tcW w:w="434" w:type="pct"/>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5EF27D7">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r w14:paraId="2BC00955">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0" w:type="auto"/>
            <w:vMerge w:val="continue"/>
            <w:tcBorders>
              <w:left w:val="single" w:color="808080" w:sz="8" w:space="0"/>
              <w:bottom w:val="single" w:color="808080" w:sz="8" w:space="0"/>
              <w:right w:val="single" w:color="808080" w:sz="8" w:space="0"/>
            </w:tcBorders>
            <w:noWrap w:val="0"/>
            <w:vAlign w:val="center"/>
          </w:tcPr>
          <w:p w14:paraId="0DB58F71">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127CBA76">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仪器维护</w:t>
            </w:r>
          </w:p>
          <w:p w14:paraId="45B87D25">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（1</w:t>
            </w:r>
            <w:r>
              <w:rPr>
                <w:rFonts w:hint="eastAsia" w:ascii="宋体" w:hAnsi="宋体" w:cs="宋体"/>
                <w:b w:val="0"/>
                <w:bCs w:val="0"/>
                <w:i w:val="0"/>
                <w:iCs w:val="0"/>
                <w:smallCaps w:val="0"/>
                <w:color w:val="000000" w:themeColor="text1"/>
                <w:sz w:val="24"/>
                <w:szCs w:val="24"/>
                <w:highlight w:val="none"/>
                <w:lang w:val="en-US" w:eastAsia="zh-CN" w:bidi="ar-SA"/>
                <w14:textFill>
                  <w14:solidFill>
                    <w14:schemeClr w14:val="tx1"/>
                  </w14:solidFill>
                </w14:textFill>
              </w:rPr>
              <w:t>0</w:t>
            </w: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0CEACD7D">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严格按仪器说明书及国家规范进行仪器、系统的维护，定期完成清洗采样管、更换消耗品、清洁光学器件等工作，仪器运行在最佳的工作状态；故障及时修复或使用备机；及时做好记录</w:t>
            </w:r>
          </w:p>
        </w:tc>
        <w:tc>
          <w:tcPr>
            <w:tcW w:w="434"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4017C312">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r w14:paraId="1B708F61">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0" w:type="auto"/>
            <w:vMerge w:val="continue"/>
            <w:tcBorders>
              <w:left w:val="single" w:color="808080" w:sz="8" w:space="0"/>
              <w:bottom w:val="single" w:color="808080" w:sz="8" w:space="0"/>
              <w:right w:val="single" w:color="808080" w:sz="8" w:space="0"/>
            </w:tcBorders>
            <w:noWrap w:val="0"/>
            <w:vAlign w:val="center"/>
          </w:tcPr>
          <w:p w14:paraId="01613986">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1ACA35BC">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通讯、数据传输（4分）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2861035D">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保证仪器数据输出、接收准确，保证电话和通讯线路畅通（不可抗拒因素除外），监测数据捕捉率不小于99%。</w:t>
            </w:r>
          </w:p>
        </w:tc>
        <w:tc>
          <w:tcPr>
            <w:tcW w:w="434"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0B964044">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r w14:paraId="5BCD11A7">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809" w:type="pct"/>
            <w:vMerge w:val="restar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71EDDE74">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二．质控管理（30分）</w:t>
            </w: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0BB384F1">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运维商质控</w:t>
            </w:r>
          </w:p>
          <w:p w14:paraId="72CC2D9C">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（10分）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4FD1E0DE">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满足仪器说明书及国家规范要求，每次做好记录</w:t>
            </w:r>
          </w:p>
        </w:tc>
        <w:tc>
          <w:tcPr>
            <w:tcW w:w="434"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6DF04ED3">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r w14:paraId="6A845405">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0" w:type="auto"/>
            <w:vMerge w:val="continue"/>
            <w:tcBorders>
              <w:left w:val="single" w:color="808080" w:sz="8" w:space="0"/>
              <w:bottom w:val="single" w:color="808080" w:sz="8" w:space="0"/>
              <w:right w:val="single" w:color="808080" w:sz="8" w:space="0"/>
            </w:tcBorders>
            <w:noWrap w:val="0"/>
            <w:vAlign w:val="center"/>
          </w:tcPr>
          <w:p w14:paraId="321F5A44">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6E680F62">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标样考核</w:t>
            </w:r>
          </w:p>
          <w:p w14:paraId="038432F2">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（16分）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30FEEF31">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合格率≥90%，每次做好记录（合格率90％得满分，合格率70％得0分，中间部分用线性内插）</w:t>
            </w:r>
          </w:p>
        </w:tc>
        <w:tc>
          <w:tcPr>
            <w:tcW w:w="434"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7B015A21">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r w14:paraId="6092B3B9">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0" w:type="auto"/>
            <w:vMerge w:val="continue"/>
            <w:tcBorders>
              <w:left w:val="single" w:color="808080" w:sz="8" w:space="0"/>
              <w:bottom w:val="single" w:color="808080" w:sz="8" w:space="0"/>
              <w:right w:val="single" w:color="808080" w:sz="8" w:space="0"/>
            </w:tcBorders>
            <w:noWrap w:val="0"/>
            <w:vAlign w:val="center"/>
          </w:tcPr>
          <w:p w14:paraId="15C5CD30">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3DD952E9">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数据传输质量</w:t>
            </w:r>
          </w:p>
          <w:p w14:paraId="164AA923">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（4分）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2465F951">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每天对校准、质控和异常等数据做出标识，报采购人。</w:t>
            </w:r>
          </w:p>
        </w:tc>
        <w:tc>
          <w:tcPr>
            <w:tcW w:w="434"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1F45AD4F">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r w14:paraId="65952202">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809" w:type="pct"/>
            <w:vMerge w:val="restar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3B9DCAE6">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三．有效数据质量（50分）</w:t>
            </w: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7B5D08BC">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仪器运转率</w:t>
            </w:r>
          </w:p>
          <w:p w14:paraId="4150F1E5">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（10分）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3BB65F2B">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单项指标仪器运转率大于90%、整个站点仪器运转率大于95%</w:t>
            </w:r>
          </w:p>
          <w:p w14:paraId="6AFCBCEF">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（站点运转率95％得满分，运转率75％得0分，中间部分用线性内插）</w:t>
            </w:r>
          </w:p>
        </w:tc>
        <w:tc>
          <w:tcPr>
            <w:tcW w:w="434"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455CCFF1">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r w14:paraId="3D57A57C">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0" w:type="auto"/>
            <w:vMerge w:val="continue"/>
            <w:tcBorders>
              <w:left w:val="single" w:color="808080" w:sz="8" w:space="0"/>
              <w:bottom w:val="single" w:color="808080" w:sz="8" w:space="0"/>
              <w:right w:val="single" w:color="808080" w:sz="8" w:space="0"/>
            </w:tcBorders>
            <w:noWrap w:val="0"/>
            <w:vAlign w:val="center"/>
          </w:tcPr>
          <w:p w14:paraId="60982C0B">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1CE05797">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数据有效率</w:t>
            </w:r>
          </w:p>
          <w:p w14:paraId="58844D6B">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（30分）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05800C64">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单项指标数据有效率大于85%、整个站点数据有效率大于90%，各指标每月有效日均值数超过27天。（站点数据有效率90％得满分，有效率70％得0分，中间部分用线性内插）</w:t>
            </w:r>
          </w:p>
        </w:tc>
        <w:tc>
          <w:tcPr>
            <w:tcW w:w="434"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3ED6F5B6">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r w14:paraId="5DCAF2B9">
        <w:tblPrEx>
          <w:tblBorders>
            <w:top w:val="single" w:color="808080" w:sz="6" w:space="0"/>
            <w:left w:val="single" w:color="808080" w:sz="6" w:space="0"/>
            <w:bottom w:val="single" w:color="808080" w:sz="6" w:space="0"/>
            <w:right w:val="single" w:color="808080" w:sz="6" w:space="0"/>
            <w:insideH w:val="none" w:color="auto" w:sz="0" w:space="0"/>
            <w:insideV w:val="none" w:color="auto" w:sz="0" w:space="0"/>
          </w:tblBorders>
          <w:tblCellMar>
            <w:top w:w="15" w:type="dxa"/>
            <w:left w:w="15" w:type="dxa"/>
            <w:bottom w:w="15" w:type="dxa"/>
            <w:right w:w="15" w:type="dxa"/>
          </w:tblCellMar>
        </w:tblPrEx>
        <w:trPr>
          <w:trHeight w:val="567" w:hRule="atLeast"/>
          <w:jc w:val="center"/>
        </w:trPr>
        <w:tc>
          <w:tcPr>
            <w:tcW w:w="0" w:type="auto"/>
            <w:vMerge w:val="continue"/>
            <w:tcBorders>
              <w:left w:val="single" w:color="808080" w:sz="8" w:space="0"/>
              <w:bottom w:val="single" w:color="808080" w:sz="8" w:space="0"/>
              <w:right w:val="single" w:color="808080" w:sz="8" w:space="0"/>
            </w:tcBorders>
            <w:noWrap w:val="0"/>
            <w:vAlign w:val="center"/>
          </w:tcPr>
          <w:p w14:paraId="02440355">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p>
        </w:tc>
        <w:tc>
          <w:tcPr>
            <w:tcW w:w="778"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52D8D613">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台帐管理</w:t>
            </w:r>
          </w:p>
          <w:p w14:paraId="03DB313F">
            <w:pPr>
              <w:keepNext w:val="0"/>
              <w:keepLines w:val="0"/>
              <w:pageBreakBefore w:val="0"/>
              <w:widowControl w:val="0"/>
              <w:shd w:val="clear" w:color="auto"/>
              <w:jc w:val="center"/>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（10分）</w:t>
            </w:r>
          </w:p>
        </w:tc>
        <w:tc>
          <w:tcPr>
            <w:tcW w:w="2977"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41CE3C33">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仪器设备、定期数据备份、运行记录</w:t>
            </w:r>
          </w:p>
        </w:tc>
        <w:tc>
          <w:tcPr>
            <w:tcW w:w="434" w:type="pct"/>
            <w:tcBorders>
              <w:left w:val="single" w:color="808080" w:sz="8" w:space="0"/>
              <w:bottom w:val="single" w:color="808080" w:sz="8" w:space="0"/>
              <w:right w:val="single" w:color="808080" w:sz="8" w:space="0"/>
            </w:tcBorders>
            <w:noWrap w:val="0"/>
            <w:tcMar>
              <w:top w:w="0" w:type="dxa"/>
              <w:left w:w="0" w:type="dxa"/>
              <w:bottom w:w="0" w:type="dxa"/>
              <w:right w:w="0" w:type="dxa"/>
            </w:tcMar>
            <w:vAlign w:val="center"/>
          </w:tcPr>
          <w:p w14:paraId="77F8F65C">
            <w:pPr>
              <w:keepNext w:val="0"/>
              <w:keepLines w:val="0"/>
              <w:pageBreakBefore w:val="0"/>
              <w:widowControl w:val="0"/>
              <w:shd w:val="clear" w:color="auto"/>
              <w:rPr>
                <w:rFonts w:hint="eastAsia" w:ascii="宋体" w:hAnsi="宋体" w:eastAsia="宋体" w:cs="宋体"/>
                <w:b w:val="0"/>
                <w:bCs w:val="0"/>
                <w:i w:val="0"/>
                <w:iCs w:val="0"/>
                <w:smallCaps w:val="0"/>
                <w:color w:val="000000" w:themeColor="text1"/>
                <w:sz w:val="24"/>
                <w:szCs w:val="24"/>
                <w:highlight w:val="none"/>
                <w14:textFill>
                  <w14:solidFill>
                    <w14:schemeClr w14:val="tx1"/>
                  </w14:solidFill>
                </w14:textFill>
              </w:rPr>
            </w:pPr>
            <w:r>
              <w:rPr>
                <w:rFonts w:hint="eastAsia" w:ascii="宋体" w:hAnsi="宋体" w:eastAsia="宋体" w:cs="宋体"/>
                <w:b w:val="0"/>
                <w:bCs w:val="0"/>
                <w:i w:val="0"/>
                <w:iCs w:val="0"/>
                <w:smallCaps w:val="0"/>
                <w:color w:val="000000" w:themeColor="text1"/>
                <w:sz w:val="24"/>
                <w:szCs w:val="24"/>
                <w:highlight w:val="none"/>
                <w:lang w:val="en-US" w:eastAsia="zh-CN" w:bidi="ar-SA"/>
                <w14:textFill>
                  <w14:solidFill>
                    <w14:schemeClr w14:val="tx1"/>
                  </w14:solidFill>
                </w14:textFill>
              </w:rPr>
              <w:t> </w:t>
            </w:r>
          </w:p>
        </w:tc>
      </w:tr>
    </w:tbl>
    <w:p w14:paraId="6A6AA832">
      <w:pPr>
        <w:keepNext w:val="0"/>
        <w:keepLines w:val="0"/>
        <w:pageBreakBefore w:val="0"/>
        <w:widowControl w:val="0"/>
        <w:shd w:val="clear" w:color="auto"/>
        <w:spacing w:line="520" w:lineRule="exact"/>
        <w:ind w:left="0" w:firstLine="480"/>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注：</w:t>
      </w:r>
    </w:p>
    <w:p w14:paraId="35C53F33">
      <w:pPr>
        <w:keepNext w:val="0"/>
        <w:keepLines w:val="0"/>
        <w:pageBreakBefore w:val="0"/>
        <w:widowControl w:val="0"/>
        <w:shd w:val="clear" w:color="auto"/>
        <w:spacing w:line="520" w:lineRule="exact"/>
        <w:ind w:left="0" w:firstLine="480"/>
        <w:jc w:val="left"/>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（1）</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所有仪器运转率、数据有效率是基于客户端远程监控平台采集的数据进行考核。</w:t>
      </w:r>
    </w:p>
    <w:p w14:paraId="6C65AFB5">
      <w:pPr>
        <w:keepNext w:val="0"/>
        <w:keepLines w:val="0"/>
        <w:pageBreakBefore w:val="0"/>
        <w:widowControl w:val="0"/>
        <w:shd w:val="clear" w:color="auto"/>
        <w:spacing w:line="52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（2）</w:t>
      </w:r>
      <w:r>
        <w:rPr>
          <w:rFonts w:hint="eastAsia" w:ascii="宋体" w:hAnsi="宋体" w:eastAsia="宋体" w:cs="宋体"/>
          <w:color w:val="000000" w:themeColor="text1"/>
          <w:sz w:val="24"/>
          <w:highlight w:val="none"/>
          <w14:textFill>
            <w14:solidFill>
              <w14:schemeClr w14:val="tx1"/>
            </w14:solidFill>
          </w14:textFill>
        </w:rPr>
        <w:t>某指标仪器运转率=（该指标实际运行总时数÷运行考核总时数）×100%</w:t>
      </w:r>
    </w:p>
    <w:p w14:paraId="55252804">
      <w:pPr>
        <w:keepNext w:val="0"/>
        <w:keepLines w:val="0"/>
        <w:pageBreakBefore w:val="0"/>
        <w:widowControl w:val="0"/>
        <w:shd w:val="clear" w:color="auto"/>
        <w:spacing w:line="52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整个站点仪器运转率=（各指标实际运行总时数之和÷（运行考核总时数×气站所有参数数））×100%</w:t>
      </w:r>
    </w:p>
    <w:p w14:paraId="246541C3">
      <w:pPr>
        <w:keepNext w:val="0"/>
        <w:keepLines w:val="0"/>
        <w:pageBreakBefore w:val="0"/>
        <w:widowControl w:val="0"/>
        <w:shd w:val="clear" w:color="auto"/>
        <w:spacing w:line="52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单项指标数据有效率=（该指标有效运行总时数÷运行考核总时数）×100%</w:t>
      </w:r>
    </w:p>
    <w:p w14:paraId="06CB88C4">
      <w:pPr>
        <w:keepNext w:val="0"/>
        <w:keepLines w:val="0"/>
        <w:pageBreakBefore w:val="0"/>
        <w:widowControl w:val="0"/>
        <w:shd w:val="clear" w:color="auto"/>
        <w:spacing w:line="52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整个站点数据有效率=（各指标有效运行总时数之和÷（运行考核总时数×气站所有参数数））×100%</w:t>
      </w:r>
    </w:p>
    <w:p w14:paraId="574DAE75">
      <w:pPr>
        <w:keepNext w:val="0"/>
        <w:keepLines w:val="0"/>
        <w:pageBreakBefore w:val="0"/>
        <w:widowControl w:val="0"/>
        <w:shd w:val="clear" w:color="auto"/>
        <w:spacing w:line="52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对于单项指标存在如下关系：</w:t>
      </w:r>
    </w:p>
    <w:p w14:paraId="11741F24">
      <w:pPr>
        <w:keepNext w:val="0"/>
        <w:keepLines w:val="0"/>
        <w:pageBreakBefore w:val="0"/>
        <w:widowControl w:val="0"/>
        <w:shd w:val="clear" w:color="auto"/>
        <w:spacing w:line="52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有效运行总时数=实际运行总时数－无效运行总时数</w:t>
      </w:r>
    </w:p>
    <w:p w14:paraId="4842FBE5">
      <w:pPr>
        <w:keepNext w:val="0"/>
        <w:keepLines w:val="0"/>
        <w:pageBreakBefore w:val="0"/>
        <w:widowControl w:val="0"/>
        <w:shd w:val="clear" w:color="auto"/>
        <w:spacing w:line="520" w:lineRule="exact"/>
        <w:ind w:left="0" w:firstLine="216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=运行考核总时数－无效运行总时数－停机总时数</w:t>
      </w:r>
    </w:p>
    <w:p w14:paraId="4B4F0AA4">
      <w:pPr>
        <w:keepNext w:val="0"/>
        <w:keepLines w:val="0"/>
        <w:pageBreakBefore w:val="0"/>
        <w:widowControl w:val="0"/>
        <w:shd w:val="clear" w:color="auto"/>
        <w:spacing w:line="520" w:lineRule="exact"/>
        <w:ind w:left="0" w:firstLine="480"/>
        <w:jc w:val="left"/>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运行考核总时数=考核天数×24-停电总时数</w:t>
      </w:r>
    </w:p>
    <w:p w14:paraId="1958B33A">
      <w:pPr>
        <w:keepNext w:val="0"/>
        <w:keepLines w:val="0"/>
        <w:pageBreakBefore w:val="0"/>
        <w:widowControl w:val="0"/>
        <w:numPr>
          <w:ilvl w:val="0"/>
          <w:numId w:val="0"/>
        </w:numPr>
        <w:shd w:val="clear" w:color="auto"/>
        <w:spacing w:line="520" w:lineRule="exact"/>
        <w:ind w:left="0" w:firstLine="480"/>
        <w:jc w:val="left"/>
        <w:rPr>
          <w:rFonts w:hint="eastAsia" w:ascii="宋体" w:hAnsi="宋体" w:cs="Times New Roman"/>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（3）</w:t>
      </w:r>
      <w:r>
        <w:rPr>
          <w:rFonts w:hint="eastAsia" w:ascii="宋体" w:hAnsi="宋体" w:eastAsia="宋体" w:cs="宋体"/>
          <w:color w:val="000000" w:themeColor="text1"/>
          <w:sz w:val="24"/>
          <w:highlight w:val="none"/>
          <w14:textFill>
            <w14:solidFill>
              <w14:schemeClr w14:val="tx1"/>
            </w14:solidFill>
          </w14:textFill>
        </w:rPr>
        <w:t>若不可预防抗拒的自然灾害、天气、施工等因素，造成</w:t>
      </w:r>
      <w:r>
        <w:rPr>
          <w:rFonts w:hint="eastAsia" w:ascii="宋体" w:hAnsi="宋体" w:cs="Times New Roman"/>
          <w:color w:val="000000" w:themeColor="text1"/>
          <w:sz w:val="24"/>
          <w:highlight w:val="none"/>
          <w14:textFill>
            <w14:solidFill>
              <w14:schemeClr w14:val="tx1"/>
            </w14:solidFill>
          </w14:textFill>
        </w:rPr>
        <w:t>气站长时间停止运行，按照停运时间占托管运行时间的比例，扣除相应的运行费。</w:t>
      </w:r>
    </w:p>
    <w:p w14:paraId="115A5F6B">
      <w:pPr>
        <w:keepNext w:val="0"/>
        <w:keepLines w:val="0"/>
        <w:pageBreakBefore w:val="0"/>
        <w:widowControl w:val="0"/>
        <w:numPr>
          <w:ilvl w:val="0"/>
          <w:numId w:val="0"/>
        </w:numPr>
        <w:shd w:val="clear" w:color="auto"/>
        <w:spacing w:line="520" w:lineRule="exact"/>
        <w:ind w:left="0" w:firstLine="480"/>
        <w:jc w:val="left"/>
        <w:rPr>
          <w:rFonts w:ascii="宋体" w:hAnsi="宋体" w:cs="Times New Roman"/>
          <w:color w:val="000000" w:themeColor="text1"/>
          <w:sz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bidi="ar-SA"/>
          <w14:textFill>
            <w14:solidFill>
              <w14:schemeClr w14:val="tx1"/>
            </w14:solidFill>
          </w14:textFill>
        </w:rPr>
        <w:t>（4）</w:t>
      </w:r>
      <w:r>
        <w:rPr>
          <w:rFonts w:hint="eastAsia" w:ascii="宋体" w:hAnsi="宋体" w:cs="Times New Roman"/>
          <w:color w:val="000000" w:themeColor="text1"/>
          <w:sz w:val="24"/>
          <w:highlight w:val="none"/>
          <w14:textFill>
            <w14:solidFill>
              <w14:schemeClr w14:val="tx1"/>
            </w14:solidFill>
          </w14:textFill>
        </w:rPr>
        <w:t>服务期内如有最新考核以最新的为准。</w:t>
      </w:r>
    </w:p>
    <w:p w14:paraId="6B9AAB1A">
      <w:pPr>
        <w:keepNext w:val="0"/>
        <w:keepLines w:val="0"/>
        <w:pageBreakBefore w:val="0"/>
        <w:widowControl w:val="0"/>
        <w:shd w:val="clear" w:color="auto"/>
        <w:spacing w:line="520" w:lineRule="exact"/>
        <w:ind w:left="0" w:firstLine="482"/>
        <w:jc w:val="left"/>
        <w:outlineLvl w:val="1"/>
        <w:rPr>
          <w:rFonts w:ascii="宋体" w:hAnsi="宋体" w:cs="Times New Roman"/>
          <w:b/>
          <w:color w:val="000000" w:themeColor="text1"/>
          <w:sz w:val="24"/>
          <w:highlight w:val="none"/>
          <w14:textFill>
            <w14:solidFill>
              <w14:schemeClr w14:val="tx1"/>
            </w14:solidFill>
          </w14:textFill>
        </w:rPr>
      </w:pPr>
      <w:bookmarkStart w:id="347" w:name="_Toc4106"/>
      <w:r>
        <w:rPr>
          <w:rFonts w:hint="eastAsia" w:ascii="宋体" w:hAnsi="宋体" w:cs="Times New Roman"/>
          <w:b/>
          <w:color w:val="000000" w:themeColor="text1"/>
          <w:sz w:val="24"/>
          <w:highlight w:val="none"/>
          <w14:textFill>
            <w14:solidFill>
              <w14:schemeClr w14:val="tx1"/>
            </w14:solidFill>
          </w14:textFill>
        </w:rPr>
        <w:t>2．惩罚办法</w:t>
      </w:r>
      <w:bookmarkEnd w:id="347"/>
    </w:p>
    <w:p w14:paraId="008ECE06">
      <w:pPr>
        <w:keepNext w:val="0"/>
        <w:keepLines w:val="0"/>
        <w:pageBreakBefore w:val="0"/>
        <w:widowControl w:val="0"/>
        <w:spacing w:line="520" w:lineRule="exact"/>
        <w:ind w:left="0" w:firstLine="480"/>
        <w:jc w:val="left"/>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 w:val="0"/>
          <w:bCs w:val="0"/>
          <w:color w:val="000000" w:themeColor="text1"/>
          <w:sz w:val="24"/>
          <w:szCs w:val="24"/>
          <w:lang w:val="en-US" w:eastAsia="zh-CN" w:bidi="ar-SA"/>
          <w14:textFill>
            <w14:solidFill>
              <w14:schemeClr w14:val="tx1"/>
            </w14:solidFill>
          </w14:textFill>
        </w:rPr>
        <w:t>（1）</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每半年对每个气站单独考核，其中</w:t>
      </w:r>
    </w:p>
    <w:p w14:paraId="44BA5C15">
      <w:pPr>
        <w:keepNext w:val="0"/>
        <w:keepLines w:val="0"/>
        <w:pageBreakBefore w:val="0"/>
        <w:widowControl w:val="0"/>
        <w:spacing w:line="520" w:lineRule="exact"/>
        <w:ind w:left="0" w:firstLine="480"/>
        <w:jc w:val="left"/>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①单次考核结果在70分</w:t>
      </w:r>
      <w:r>
        <w:rPr>
          <w:rFonts w:hint="eastAsia" w:ascii="宋体" w:hAnsi="宋体" w:cs="Times New Roman"/>
          <w:bCs/>
          <w:color w:val="000000" w:themeColor="text1"/>
          <w:sz w:val="24"/>
          <w:szCs w:val="24"/>
          <w:lang w:val="en-US" w:eastAsia="zh-CN" w:bidi="ar-SA"/>
          <w14:textFill>
            <w14:solidFill>
              <w14:schemeClr w14:val="tx1"/>
            </w14:solidFill>
          </w14:textFill>
        </w:rPr>
        <w:t>（含）</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以上，80分以下，为初级警告，扣除半年度运营费20%，并责令整改。</w:t>
      </w:r>
    </w:p>
    <w:p w14:paraId="2694F8A8">
      <w:pPr>
        <w:keepNext w:val="0"/>
        <w:keepLines w:val="0"/>
        <w:pageBreakBefore w:val="0"/>
        <w:widowControl w:val="0"/>
        <w:spacing w:line="520" w:lineRule="exact"/>
        <w:ind w:left="0" w:firstLine="480"/>
        <w:jc w:val="left"/>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eastAsia="宋体" w:cs="Times New Roman"/>
          <w:bCs/>
          <w:color w:val="000000" w:themeColor="text1"/>
          <w:sz w:val="24"/>
          <w:szCs w:val="24"/>
          <w:lang w:val="en-US" w:eastAsia="zh-CN" w:bidi="ar-SA"/>
          <w14:textFill>
            <w14:solidFill>
              <w14:schemeClr w14:val="tx1"/>
            </w14:solidFill>
          </w14:textFill>
        </w:rPr>
        <w:t>②单次考核结果在60分</w:t>
      </w:r>
      <w:r>
        <w:rPr>
          <w:rFonts w:hint="eastAsia" w:ascii="宋体" w:hAnsi="宋体" w:cs="Times New Roman"/>
          <w:bCs/>
          <w:color w:val="000000" w:themeColor="text1"/>
          <w:sz w:val="24"/>
          <w:szCs w:val="24"/>
          <w:lang w:val="en-US" w:eastAsia="zh-CN" w:bidi="ar-SA"/>
          <w14:textFill>
            <w14:solidFill>
              <w14:schemeClr w14:val="tx1"/>
            </w14:solidFill>
          </w14:textFill>
        </w:rPr>
        <w:t>（含）</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以上，70分以下，为二级警告，扣除半年度运行费的50%，并责令整改。</w:t>
      </w:r>
    </w:p>
    <w:p w14:paraId="42FE7D63">
      <w:pPr>
        <w:keepNext w:val="0"/>
        <w:keepLines w:val="0"/>
        <w:pageBreakBefore w:val="0"/>
        <w:widowControl w:val="0"/>
        <w:spacing w:line="520" w:lineRule="exact"/>
        <w:ind w:left="0" w:firstLine="480"/>
        <w:jc w:val="left"/>
        <w:rPr>
          <w:rFonts w:hint="default" w:ascii="宋体" w:hAnsi="宋体" w:eastAsia="宋体" w:cs="Times New Roman"/>
          <w:bCs/>
          <w:color w:val="000000" w:themeColor="text1"/>
          <w:sz w:val="24"/>
          <w:szCs w:val="24"/>
          <w:lang w:val="en-US" w:eastAsia="zh-CN" w:bidi="ar-SA"/>
          <w14:textFill>
            <w14:solidFill>
              <w14:schemeClr w14:val="tx1"/>
            </w14:solidFill>
          </w14:textFill>
        </w:rPr>
      </w:pPr>
      <w:r>
        <w:rPr>
          <w:rFonts w:hint="eastAsia" w:ascii="宋体" w:hAnsi="宋体" w:cs="Times New Roman"/>
          <w:bCs/>
          <w:color w:val="000000" w:themeColor="text1"/>
          <w:sz w:val="24"/>
          <w:szCs w:val="24"/>
          <w:lang w:val="en-US" w:eastAsia="zh-CN" w:bidi="ar-SA"/>
          <w14:textFill>
            <w14:solidFill>
              <w14:schemeClr w14:val="tx1"/>
            </w14:solidFill>
          </w14:textFill>
        </w:rPr>
        <w:t>③</w:t>
      </w:r>
      <w:r>
        <w:rPr>
          <w:rFonts w:hint="eastAsia" w:ascii="宋体" w:hAnsi="宋体" w:eastAsia="宋体" w:cs="Times New Roman"/>
          <w:bCs/>
          <w:color w:val="000000" w:themeColor="text1"/>
          <w:sz w:val="24"/>
          <w:szCs w:val="24"/>
          <w:lang w:val="en-US" w:eastAsia="zh-CN" w:bidi="ar-SA"/>
          <w14:textFill>
            <w14:solidFill>
              <w14:schemeClr w14:val="tx1"/>
            </w14:solidFill>
          </w14:textFill>
        </w:rPr>
        <w:t>质控合格率、仪器运转率、数据有效率等考核指标未达标，按《运维考核表》要求进行处罚。</w:t>
      </w:r>
    </w:p>
    <w:p w14:paraId="1AA85399">
      <w:pPr>
        <w:keepNext w:val="0"/>
        <w:keepLines w:val="0"/>
        <w:pageBreakBefore w:val="0"/>
        <w:widowControl w:val="0"/>
        <w:shd w:val="clear" w:color="auto"/>
        <w:spacing w:line="520" w:lineRule="exact"/>
        <w:ind w:left="0" w:firstLine="480"/>
        <w:jc w:val="left"/>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Times New Roman"/>
          <w:bCs w:val="0"/>
          <w:color w:val="000000" w:themeColor="text1"/>
          <w:sz w:val="24"/>
          <w:szCs w:val="24"/>
          <w:lang w:eastAsia="zh-CN"/>
          <w14:textFill>
            <w14:solidFill>
              <w14:schemeClr w14:val="tx1"/>
            </w14:solidFill>
          </w14:textFill>
        </w:rPr>
        <w:t>（</w:t>
      </w:r>
      <w:r>
        <w:rPr>
          <w:rFonts w:hint="eastAsia" w:ascii="宋体" w:hAnsi="宋体" w:cs="Times New Roman"/>
          <w:bCs w:val="0"/>
          <w:color w:val="000000" w:themeColor="text1"/>
          <w:sz w:val="24"/>
          <w:szCs w:val="24"/>
          <w:lang w:val="en-US" w:eastAsia="zh-CN"/>
          <w14:textFill>
            <w14:solidFill>
              <w14:schemeClr w14:val="tx1"/>
            </w14:solidFill>
          </w14:textFill>
        </w:rPr>
        <w:t>2</w:t>
      </w:r>
      <w:r>
        <w:rPr>
          <w:rFonts w:hint="eastAsia" w:ascii="宋体" w:hAnsi="宋体" w:eastAsia="宋体" w:cs="Times New Roman"/>
          <w:bCs w:val="0"/>
          <w:color w:val="000000" w:themeColor="text1"/>
          <w:sz w:val="24"/>
          <w:szCs w:val="24"/>
          <w:lang w:eastAsia="zh-CN"/>
          <w14:textFill>
            <w14:solidFill>
              <w14:schemeClr w14:val="tx1"/>
            </w14:solidFill>
          </w14:textFill>
        </w:rPr>
        <w:t>）</w:t>
      </w:r>
      <w:r>
        <w:rPr>
          <w:rFonts w:hint="eastAsia" w:ascii="宋体" w:hAnsi="宋体" w:eastAsia="宋体" w:cs="Times New Roman"/>
          <w:bCs w:val="0"/>
          <w:color w:val="000000" w:themeColor="text1"/>
          <w:sz w:val="24"/>
          <w:szCs w:val="24"/>
          <w14:textFill>
            <w14:solidFill>
              <w14:schemeClr w14:val="tx1"/>
            </w14:solidFill>
          </w14:textFill>
        </w:rPr>
        <w:t>合同到期前3个月或解除后，</w:t>
      </w:r>
      <w:r>
        <w:rPr>
          <w:rFonts w:hint="eastAsia" w:ascii="宋体" w:hAnsi="宋体" w:eastAsia="宋体" w:cs="Times New Roman"/>
          <w:bCs w:val="0"/>
          <w:color w:val="000000" w:themeColor="text1"/>
          <w:sz w:val="24"/>
          <w:szCs w:val="24"/>
          <w:lang w:eastAsia="zh-CN"/>
          <w14:textFill>
            <w14:solidFill>
              <w14:schemeClr w14:val="tx1"/>
            </w14:solidFill>
          </w14:textFill>
        </w:rPr>
        <w:t>中标单位</w:t>
      </w:r>
      <w:r>
        <w:rPr>
          <w:rFonts w:hint="eastAsia" w:ascii="宋体" w:hAnsi="宋体" w:eastAsia="宋体" w:cs="Times New Roman"/>
          <w:bCs w:val="0"/>
          <w:color w:val="000000" w:themeColor="text1"/>
          <w:sz w:val="24"/>
          <w:szCs w:val="24"/>
          <w14:textFill>
            <w14:solidFill>
              <w14:schemeClr w14:val="tx1"/>
            </w14:solidFill>
          </w14:textFill>
        </w:rPr>
        <w:t>必须对所运营的站点按接手时的仪器配置品牌型号进行全面大修，确保新的运营商在接手后</w:t>
      </w:r>
      <w:r>
        <w:rPr>
          <w:rFonts w:hint="eastAsia" w:ascii="宋体" w:hAnsi="宋体" w:cs="Times New Roman"/>
          <w:bCs w:val="0"/>
          <w:color w:val="000000" w:themeColor="text1"/>
          <w:sz w:val="24"/>
          <w:szCs w:val="24"/>
          <w:lang w:eastAsia="zh-CN"/>
          <w14:textFill>
            <w14:solidFill>
              <w14:schemeClr w14:val="tx1"/>
            </w14:solidFill>
          </w14:textFill>
        </w:rPr>
        <w:t>设备出于正常状态。</w:t>
      </w:r>
    </w:p>
    <w:p w14:paraId="1237976A">
      <w:pPr>
        <w:keepNext w:val="0"/>
        <w:keepLines w:val="0"/>
        <w:pageBreakBefore w:val="0"/>
        <w:widowControl w:val="0"/>
        <w:shd w:val="clear" w:color="auto"/>
        <w:spacing w:line="520" w:lineRule="exact"/>
        <w:ind w:firstLine="482"/>
        <w:jc w:val="left"/>
        <w:outlineLvl w:val="1"/>
        <w:rPr>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pPr>
    </w:p>
    <w:p w14:paraId="395129E0">
      <w:pPr>
        <w:keepNext w:val="0"/>
        <w:keepLines w:val="0"/>
        <w:pageBreakBefore w:val="0"/>
        <w:widowControl w:val="0"/>
        <w:shd w:val="clear" w:color="auto"/>
        <w:spacing w:line="520" w:lineRule="exact"/>
        <w:ind w:firstLine="562"/>
        <w:jc w:val="left"/>
        <w:outlineLvl w:val="1"/>
        <w:rPr>
          <w:rFonts w:hint="eastAsia" w:ascii="宋体" w:hAnsi="宋体" w:eastAsia="宋体" w:cs="宋体"/>
          <w:b/>
          <w:color w:val="000000" w:themeColor="text1"/>
          <w:spacing w:val="0"/>
          <w:sz w:val="28"/>
          <w:szCs w:val="28"/>
          <w:highlight w:val="none"/>
          <w:lang w:val="en-US" w:eastAsia="zh-CN"/>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D7498A2">
      <w:pPr>
        <w:pStyle w:val="211"/>
        <w:shd w:val="clear" w:color="auto"/>
        <w:spacing w:before="313" w:after="313"/>
        <w:rPr>
          <w:rFonts w:hint="eastAsia" w:ascii="宋体" w:hAnsi="宋体" w:eastAsia="宋体" w:cs="宋体"/>
          <w:color w:val="000000" w:themeColor="text1"/>
          <w:spacing w:val="0"/>
          <w:highlight w:val="none"/>
          <w14:textFill>
            <w14:solidFill>
              <w14:schemeClr w14:val="tx1"/>
            </w14:solidFill>
          </w14:textFill>
        </w:rPr>
      </w:pPr>
      <w:bookmarkStart w:id="348" w:name="_Toc9779"/>
      <w:bookmarkStart w:id="349" w:name="_Toc38368129"/>
      <w:bookmarkStart w:id="350" w:name="_Toc35266029"/>
      <w:bookmarkStart w:id="351" w:name="_Toc19919"/>
      <w:bookmarkStart w:id="352" w:name="_Toc54615247"/>
      <w:bookmarkStart w:id="353" w:name="_Toc687"/>
      <w:bookmarkStart w:id="354" w:name="_Toc9054"/>
      <w:bookmarkStart w:id="355" w:name="_Toc5882"/>
      <w:r>
        <w:rPr>
          <w:rFonts w:hint="eastAsia" w:ascii="宋体" w:hAnsi="宋体" w:eastAsia="宋体" w:cs="宋体"/>
          <w:color w:val="000000" w:themeColor="text1"/>
          <w:spacing w:val="0"/>
          <w:highlight w:val="none"/>
          <w14:textFill>
            <w14:solidFill>
              <w14:schemeClr w14:val="tx1"/>
            </w14:solidFill>
          </w14:textFill>
        </w:rPr>
        <w:t>第五章 评标方法与评标标准</w:t>
      </w:r>
      <w:bookmarkEnd w:id="348"/>
      <w:bookmarkEnd w:id="349"/>
      <w:bookmarkEnd w:id="350"/>
      <w:bookmarkEnd w:id="351"/>
      <w:bookmarkEnd w:id="352"/>
      <w:bookmarkEnd w:id="353"/>
      <w:bookmarkEnd w:id="354"/>
      <w:bookmarkEnd w:id="355"/>
    </w:p>
    <w:p w14:paraId="2E279E1F">
      <w:pPr>
        <w:pStyle w:val="239"/>
        <w:keepNext w:val="0"/>
        <w:keepLines w:val="0"/>
        <w:pageBreakBefore w:val="0"/>
        <w:widowControl/>
        <w:shd w:val="clear" w:color="auto"/>
        <w:spacing w:line="520" w:lineRule="exact"/>
        <w:outlineLvl w:val="1"/>
        <w:rPr>
          <w:rStyle w:val="216"/>
          <w:rFonts w:hint="eastAsia" w:ascii="宋体" w:hAnsi="宋体" w:eastAsia="宋体" w:cs="宋体"/>
          <w:b/>
          <w:color w:val="000000" w:themeColor="text1"/>
          <w:spacing w:val="0"/>
          <w:sz w:val="28"/>
          <w:szCs w:val="28"/>
          <w:highlight w:val="none"/>
          <w14:textFill>
            <w14:solidFill>
              <w14:schemeClr w14:val="tx1"/>
            </w14:solidFill>
          </w14:textFill>
        </w:rPr>
      </w:pPr>
      <w:bookmarkStart w:id="356" w:name="_Toc38368130"/>
      <w:bookmarkStart w:id="357" w:name="_Toc35266030"/>
      <w:bookmarkStart w:id="358" w:name="_Toc20893"/>
      <w:bookmarkStart w:id="359" w:name="_Toc6812"/>
      <w:bookmarkStart w:id="360" w:name="_Toc22809"/>
      <w:bookmarkStart w:id="361" w:name="_Toc15851"/>
      <w:bookmarkStart w:id="362" w:name="_Toc54615248"/>
      <w:bookmarkStart w:id="363" w:name="_Toc20541"/>
      <w:r>
        <w:rPr>
          <w:rStyle w:val="216"/>
          <w:rFonts w:hint="eastAsia" w:ascii="宋体" w:hAnsi="宋体" w:eastAsia="宋体" w:cs="宋体"/>
          <w:b/>
          <w:color w:val="000000" w:themeColor="text1"/>
          <w:spacing w:val="0"/>
          <w:sz w:val="28"/>
          <w:szCs w:val="28"/>
          <w:highlight w:val="none"/>
          <w14:textFill>
            <w14:solidFill>
              <w14:schemeClr w14:val="tx1"/>
            </w14:solidFill>
          </w14:textFill>
        </w:rPr>
        <w:t>一、评标方法与定标原则</w:t>
      </w:r>
      <w:bookmarkEnd w:id="356"/>
      <w:bookmarkEnd w:id="357"/>
      <w:bookmarkEnd w:id="358"/>
      <w:bookmarkEnd w:id="359"/>
      <w:bookmarkEnd w:id="360"/>
      <w:bookmarkEnd w:id="361"/>
      <w:bookmarkEnd w:id="362"/>
      <w:bookmarkEnd w:id="363"/>
    </w:p>
    <w:p w14:paraId="207AEBF2">
      <w:pPr>
        <w:pStyle w:val="240"/>
        <w:keepNext w:val="0"/>
        <w:keepLines w:val="0"/>
        <w:pageBreakBefore w:val="0"/>
        <w:widowControl/>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评标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p>
    <w:p w14:paraId="5D3508A2">
      <w:pPr>
        <w:pStyle w:val="239"/>
        <w:keepNext w:val="0"/>
        <w:keepLines w:val="0"/>
        <w:pageBreakBefore w:val="0"/>
        <w:widowControl/>
        <w:shd w:val="clear" w:color="auto"/>
        <w:spacing w:line="520" w:lineRule="exact"/>
        <w:outlineLvl w:val="1"/>
        <w:rPr>
          <w:rStyle w:val="216"/>
          <w:rFonts w:hint="eastAsia" w:ascii="宋体" w:hAnsi="宋体" w:eastAsia="宋体" w:cs="宋体"/>
          <w:b/>
          <w:color w:val="000000" w:themeColor="text1"/>
          <w:spacing w:val="0"/>
          <w:highlight w:val="none"/>
          <w14:textFill>
            <w14:solidFill>
              <w14:schemeClr w14:val="tx1"/>
            </w14:solidFill>
          </w14:textFill>
        </w:rPr>
      </w:pPr>
      <w:bookmarkStart w:id="364" w:name="EB4d4ec51fae08401e9c82e93d31b337cc"/>
      <w:bookmarkEnd w:id="364"/>
      <w:bookmarkStart w:id="365" w:name="EBd9567453f96a4fca96262d13cc886515"/>
      <w:bookmarkEnd w:id="365"/>
      <w:bookmarkStart w:id="366" w:name="_Toc38368131"/>
      <w:bookmarkStart w:id="367" w:name="_Toc24442"/>
      <w:bookmarkStart w:id="368" w:name="_Toc35266031"/>
      <w:bookmarkStart w:id="369" w:name="_Toc54615249"/>
      <w:bookmarkStart w:id="370" w:name="_Toc27494"/>
      <w:bookmarkStart w:id="371" w:name="_Toc22639"/>
      <w:bookmarkStart w:id="372" w:name="_Toc17619"/>
      <w:bookmarkStart w:id="373" w:name="_Toc24219"/>
      <w:r>
        <w:rPr>
          <w:rStyle w:val="216"/>
          <w:rFonts w:hint="eastAsia" w:ascii="宋体" w:hAnsi="宋体" w:eastAsia="宋体" w:cs="宋体"/>
          <w:b/>
          <w:color w:val="000000" w:themeColor="text1"/>
          <w:spacing w:val="0"/>
          <w:sz w:val="28"/>
          <w:szCs w:val="28"/>
          <w:highlight w:val="none"/>
          <w14:textFill>
            <w14:solidFill>
              <w14:schemeClr w14:val="tx1"/>
            </w14:solidFill>
          </w14:textFill>
        </w:rPr>
        <w:t>二、评标标准</w:t>
      </w:r>
      <w:bookmarkEnd w:id="366"/>
      <w:bookmarkEnd w:id="367"/>
      <w:bookmarkEnd w:id="368"/>
      <w:bookmarkEnd w:id="369"/>
      <w:bookmarkEnd w:id="370"/>
      <w:bookmarkEnd w:id="371"/>
      <w:bookmarkEnd w:id="372"/>
      <w:bookmarkEnd w:id="373"/>
    </w:p>
    <w:p w14:paraId="19CFA0E5">
      <w:pPr>
        <w:pStyle w:val="239"/>
        <w:keepNext w:val="0"/>
        <w:keepLines w:val="0"/>
        <w:pageBreakBefore w:val="0"/>
        <w:widowControl/>
        <w:shd w:val="clear" w:color="auto"/>
        <w:spacing w:line="520" w:lineRule="exact"/>
        <w:ind w:firstLine="482"/>
        <w:rPr>
          <w:rStyle w:val="216"/>
          <w:rFonts w:hint="default" w:ascii="宋体" w:hAnsi="宋体" w:eastAsia="宋体" w:cs="宋体"/>
          <w:b/>
          <w:color w:val="000000" w:themeColor="text1"/>
          <w:spacing w:val="0"/>
          <w:sz w:val="24"/>
          <w:szCs w:val="24"/>
          <w:highlight w:val="none"/>
          <w:lang w:val="en-US"/>
          <w14:textFill>
            <w14:solidFill>
              <w14:schemeClr w14:val="tx1"/>
            </w14:solidFill>
          </w14:textFill>
        </w:rPr>
      </w:pPr>
      <w:bookmarkStart w:id="374" w:name="EB5eda7c9be7464788810dca94d24e634f"/>
      <w:bookmarkEnd w:id="374"/>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一</w:t>
      </w: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14:textFill>
            <w14:solidFill>
              <w14:schemeClr w14:val="tx1"/>
            </w14:solidFill>
          </w14:textFill>
        </w:rPr>
        <w:t>价格分</w:t>
      </w:r>
      <w:r>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t>20分</w:t>
      </w:r>
    </w:p>
    <w:p w14:paraId="474A54FD">
      <w:pPr>
        <w:pStyle w:val="239"/>
        <w:keepNext w:val="0"/>
        <w:keepLines w:val="0"/>
        <w:pageBreakBefore w:val="0"/>
        <w:widowControl/>
        <w:shd w:val="clear" w:color="auto"/>
        <w:spacing w:line="520" w:lineRule="exact"/>
        <w:ind w:firstLine="480"/>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采用低价优先法计算，即满足招标文件要求且投标价格最低的投标价为评标基准价，其价格分为满分</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20</w:t>
      </w:r>
      <w:r>
        <w:rPr>
          <w:rStyle w:val="216"/>
          <w:rFonts w:hint="eastAsia" w:ascii="宋体" w:hAnsi="宋体" w:eastAsia="宋体" w:cs="宋体"/>
          <w:color w:val="000000" w:themeColor="text1"/>
          <w:spacing w:val="0"/>
          <w:sz w:val="24"/>
          <w:szCs w:val="24"/>
          <w:highlight w:val="none"/>
          <w14:textFill>
            <w14:solidFill>
              <w14:schemeClr w14:val="tx1"/>
            </w14:solidFill>
          </w14:textFill>
        </w:rPr>
        <w:t>分。其他投标人的价格分统一按照下列公式计算：</w:t>
      </w:r>
    </w:p>
    <w:p w14:paraId="43F5C785">
      <w:pPr>
        <w:pStyle w:val="239"/>
        <w:keepNext w:val="0"/>
        <w:keepLines w:val="0"/>
        <w:pageBreakBefore w:val="0"/>
        <w:widowControl/>
        <w:shd w:val="clear" w:color="auto"/>
        <w:spacing w:line="520" w:lineRule="exact"/>
        <w:ind w:firstLine="480"/>
        <w:rPr>
          <w:rStyle w:val="200"/>
          <w:rFonts w:hint="eastAsia" w:ascii="宋体" w:hAnsi="宋体" w:eastAsia="宋体" w:cs="宋体"/>
          <w:b w:val="0"/>
          <w:color w:val="000000" w:themeColor="text1"/>
          <w:spacing w:val="0"/>
          <w:sz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投标报价得分=（评标基准价/投标报价）*</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20</w:t>
      </w:r>
      <w:r>
        <w:rPr>
          <w:rStyle w:val="216"/>
          <w:rFonts w:hint="eastAsia" w:ascii="宋体" w:hAnsi="宋体" w:eastAsia="宋体" w:cs="宋体"/>
          <w:color w:val="000000" w:themeColor="text1"/>
          <w:spacing w:val="0"/>
          <w:sz w:val="24"/>
          <w:szCs w:val="24"/>
          <w:highlight w:val="none"/>
          <w14:textFill>
            <w14:solidFill>
              <w14:schemeClr w14:val="tx1"/>
            </w14:solidFill>
          </w14:textFill>
        </w:rPr>
        <w:t>%*100（保留二位小数）</w:t>
      </w:r>
      <w:r>
        <w:rPr>
          <w:rStyle w:val="216"/>
          <w:rFonts w:hint="eastAsia" w:ascii="宋体" w:hAnsi="宋体" w:eastAsia="宋体" w:cs="宋体"/>
          <w:color w:val="000000" w:themeColor="text1"/>
          <w:spacing w:val="0"/>
          <w:sz w:val="24"/>
          <w:szCs w:val="24"/>
          <w:highlight w:val="none"/>
          <w:lang w:eastAsia="zh-CN"/>
          <w14:textFill>
            <w14:solidFill>
              <w14:schemeClr w14:val="tx1"/>
            </w14:solidFill>
          </w14:textFill>
        </w:rPr>
        <w:t>。</w:t>
      </w:r>
    </w:p>
    <w:p w14:paraId="5B478B5E">
      <w:pPr>
        <w:pStyle w:val="239"/>
        <w:keepNext w:val="0"/>
        <w:keepLines w:val="0"/>
        <w:pageBreakBefore w:val="0"/>
        <w:widowControl/>
        <w:shd w:val="clear" w:color="auto"/>
        <w:spacing w:line="520" w:lineRule="exact"/>
        <w:ind w:firstLine="480"/>
        <w:outlineLvl w:val="9"/>
        <w:rPr>
          <w:rStyle w:val="200"/>
          <w:rFonts w:hint="default" w:ascii="宋体" w:hAnsi="宋体" w:eastAsia="宋体" w:cs="宋体"/>
          <w:b w:val="0"/>
          <w:color w:val="000000" w:themeColor="text1"/>
          <w:spacing w:val="0"/>
          <w:sz w:val="24"/>
          <w:highlight w:val="none"/>
          <w:lang w:val="en-US" w:eastAsia="zh-CN"/>
          <w14:textFill>
            <w14:solidFill>
              <w14:schemeClr w14:val="tx1"/>
            </w14:solidFill>
          </w14:textFill>
        </w:rPr>
      </w:pPr>
      <w:r>
        <w:rPr>
          <w:rStyle w:val="216"/>
          <w:rFonts w:hint="eastAsia" w:ascii="宋体" w:hAnsi="宋体" w:eastAsia="宋体" w:cs="宋体"/>
          <w:b/>
          <w:color w:val="000000" w:themeColor="text1"/>
          <w:spacing w:val="0"/>
          <w:sz w:val="24"/>
          <w:szCs w:val="24"/>
          <w:highlight w:val="none"/>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t>二</w:t>
      </w:r>
      <w:r>
        <w:rPr>
          <w:rStyle w:val="216"/>
          <w:rFonts w:hint="eastAsia" w:ascii="宋体" w:hAnsi="宋体" w:eastAsia="宋体" w:cs="宋体"/>
          <w:b/>
          <w:color w:val="000000" w:themeColor="text1"/>
          <w:spacing w:val="0"/>
          <w:sz w:val="24"/>
          <w:szCs w:val="24"/>
          <w:highlight w:val="none"/>
          <w14:textFill>
            <w14:solidFill>
              <w14:schemeClr w14:val="tx1"/>
            </w14:solidFill>
          </w14:textFill>
        </w:rPr>
        <w:t>）技术方案分</w:t>
      </w:r>
      <w:r>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t>57分</w:t>
      </w:r>
    </w:p>
    <w:p w14:paraId="68E1160D">
      <w:pPr>
        <w:pStyle w:val="239"/>
        <w:keepNext w:val="0"/>
        <w:keepLines w:val="0"/>
        <w:pageBreakBefore w:val="0"/>
        <w:widowControl/>
        <w:shd w:val="clear" w:color="auto"/>
        <w:spacing w:line="520" w:lineRule="exact"/>
        <w:ind w:firstLine="480"/>
        <w:outlineLvl w:val="9"/>
        <w:rPr>
          <w:rStyle w:val="200"/>
          <w:rFonts w:hint="default"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1.项目理解与分析10分</w:t>
      </w:r>
    </w:p>
    <w:p w14:paraId="2D8F1EAE">
      <w:pPr>
        <w:pStyle w:val="239"/>
        <w:keepNext w:val="0"/>
        <w:keepLines w:val="0"/>
        <w:pageBreakBefore w:val="0"/>
        <w:widowControl/>
        <w:shd w:val="clear" w:color="auto"/>
        <w:spacing w:line="520" w:lineRule="exact"/>
        <w:ind w:firstLine="480"/>
        <w:outlineLvl w:val="9"/>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pPr>
      <w:r>
        <w:rPr>
          <w:rFonts w:hint="eastAsia" w:ascii="宋体" w:hAnsi="宋体" w:eastAsia="宋体" w:cs="宋体"/>
          <w:caps w:val="0"/>
          <w:color w:val="000000" w:themeColor="text1"/>
          <w:spacing w:val="0"/>
          <w:sz w:val="24"/>
          <w:szCs w:val="24"/>
          <w:highlight w:val="none"/>
          <w14:textFill>
            <w14:solidFill>
              <w14:schemeClr w14:val="tx1"/>
            </w14:solidFill>
          </w14:textFill>
        </w:rPr>
        <w:t>投标人针对本项目提供的项目理解与分析方案，包括但不限于站点设备现状、项目需求理解、工作重点分析等。方案完全包含上述内容且内容有实质性意义的，得</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10</w:t>
      </w:r>
      <w:r>
        <w:rPr>
          <w:rFonts w:hint="eastAsia" w:ascii="宋体" w:hAnsi="宋体" w:eastAsia="宋体" w:cs="宋体"/>
          <w:caps w:val="0"/>
          <w:color w:val="000000" w:themeColor="text1"/>
          <w:spacing w:val="0"/>
          <w:sz w:val="24"/>
          <w:szCs w:val="24"/>
          <w:highlight w:val="none"/>
          <w14:textFill>
            <w14:solidFill>
              <w14:schemeClr w14:val="tx1"/>
            </w14:solidFill>
          </w14:textFill>
        </w:rPr>
        <w:t>分；方案内容有部分缺少或部分内容无实质性意义的，得</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9</w:t>
      </w:r>
      <w:r>
        <w:rPr>
          <w:rFonts w:hint="eastAsia" w:ascii="宋体" w:hAnsi="宋体" w:eastAsia="宋体" w:cs="宋体"/>
          <w:caps w:val="0"/>
          <w:color w:val="000000" w:themeColor="text1"/>
          <w:spacing w:val="0"/>
          <w:sz w:val="24"/>
          <w:szCs w:val="24"/>
          <w:highlight w:val="none"/>
          <w14:textFill>
            <w14:solidFill>
              <w14:schemeClr w14:val="tx1"/>
            </w14:solidFill>
          </w14:textFill>
        </w:rPr>
        <w:t>分；方案内容缺少较多或内容无实质性意义的，得</w:t>
      </w:r>
      <w:r>
        <w:rPr>
          <w:rFonts w:hint="eastAsia" w:ascii="宋体" w:hAnsi="宋体" w:eastAsia="宋体" w:cs="宋体"/>
          <w:caps w:val="0"/>
          <w:color w:val="000000" w:themeColor="text1"/>
          <w:spacing w:val="0"/>
          <w:sz w:val="24"/>
          <w:szCs w:val="24"/>
          <w:highlight w:val="none"/>
          <w:lang w:val="en-US" w:eastAsia="zh-CN"/>
          <w14:textFill>
            <w14:solidFill>
              <w14:schemeClr w14:val="tx1"/>
            </w14:solidFill>
          </w14:textFill>
        </w:rPr>
        <w:t>7</w:t>
      </w:r>
      <w:r>
        <w:rPr>
          <w:rFonts w:hint="eastAsia" w:ascii="宋体" w:hAnsi="宋体" w:eastAsia="宋体" w:cs="宋体"/>
          <w:caps w:val="0"/>
          <w:color w:val="000000" w:themeColor="text1"/>
          <w:spacing w:val="0"/>
          <w:sz w:val="24"/>
          <w:szCs w:val="24"/>
          <w:highlight w:val="none"/>
          <w14:textFill>
            <w14:solidFill>
              <w14:schemeClr w14:val="tx1"/>
            </w14:solidFill>
          </w14:textFill>
        </w:rPr>
        <w:t>分；未作说明的不得分</w:t>
      </w: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w:t>
      </w:r>
    </w:p>
    <w:p w14:paraId="37CDF114">
      <w:pPr>
        <w:pStyle w:val="239"/>
        <w:keepNext w:val="0"/>
        <w:keepLines w:val="0"/>
        <w:pageBreakBefore w:val="0"/>
        <w:widowControl/>
        <w:shd w:val="clear" w:color="auto"/>
        <w:spacing w:line="520" w:lineRule="exact"/>
        <w:ind w:firstLine="480"/>
        <w:outlineLvl w:val="9"/>
        <w:rPr>
          <w:rStyle w:val="200"/>
          <w:rFonts w:hint="default"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2.</w:t>
      </w:r>
      <w:r>
        <w:rPr>
          <w:rStyle w:val="200"/>
          <w:rFonts w:hint="eastAsia" w:ascii="宋体" w:hAnsi="宋体" w:eastAsia="宋体" w:cs="宋体"/>
          <w:b w:val="0"/>
          <w:color w:val="000000" w:themeColor="text1"/>
          <w:spacing w:val="0"/>
          <w:sz w:val="24"/>
          <w:highlight w:val="none"/>
          <w:lang w:eastAsia="zh-CN"/>
          <w14:textFill>
            <w14:solidFill>
              <w14:schemeClr w14:val="tx1"/>
            </w14:solidFill>
          </w14:textFill>
        </w:rPr>
        <w:t>总体运维方案</w:t>
      </w: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10</w:t>
      </w:r>
      <w:r>
        <w:rPr>
          <w:rStyle w:val="200"/>
          <w:rFonts w:hint="eastAsia" w:ascii="宋体" w:hAnsi="宋体" w:eastAsia="宋体" w:cs="宋体"/>
          <w:b w:val="0"/>
          <w:color w:val="000000" w:themeColor="text1"/>
          <w:spacing w:val="0"/>
          <w:sz w:val="24"/>
          <w:highlight w:val="none"/>
          <w14:textFill>
            <w14:solidFill>
              <w14:schemeClr w14:val="tx1"/>
            </w14:solidFill>
          </w14:textFill>
        </w:rPr>
        <w:t>分</w:t>
      </w:r>
    </w:p>
    <w:p w14:paraId="546BFF27">
      <w:pPr>
        <w:pStyle w:val="239"/>
        <w:keepNext w:val="0"/>
        <w:keepLines w:val="0"/>
        <w:pageBreakBefore w:val="0"/>
        <w:widowControl/>
        <w:shd w:val="clear" w:color="auto"/>
        <w:spacing w:line="520" w:lineRule="exact"/>
        <w:ind w:firstLine="480"/>
        <w:outlineLvl w:val="9"/>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投标人针对本项目提供的总体运维方案，包括但不限于空气自动监测系统运维实施方案、运行管理机构设置、工作管理制度、操作规程、具体的日常维护、定期巡检和故障维修措施等。方案完全包含上述内容且内容有实质性意义的，得10分；方案内容有部分缺少或部分内容无实质性意义的，得9分；方案内容缺少较多或内容无实质性意义的，得7分；未作说明的不得分。</w:t>
      </w:r>
    </w:p>
    <w:p w14:paraId="4D893AC2">
      <w:pPr>
        <w:pStyle w:val="239"/>
        <w:keepNext w:val="0"/>
        <w:keepLines w:val="0"/>
        <w:pageBreakBefore w:val="0"/>
        <w:widowControl/>
        <w:shd w:val="clear" w:color="auto"/>
        <w:spacing w:line="520" w:lineRule="exact"/>
        <w:ind w:firstLine="480"/>
        <w:outlineLvl w:val="9"/>
        <w:rPr>
          <w:rStyle w:val="200"/>
          <w:rFonts w:hint="default"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3.服务质量保证方案10分</w:t>
      </w:r>
    </w:p>
    <w:p w14:paraId="6A7BB0BE">
      <w:pPr>
        <w:pStyle w:val="239"/>
        <w:keepNext w:val="0"/>
        <w:keepLines w:val="0"/>
        <w:pageBreakBefore w:val="0"/>
        <w:widowControl/>
        <w:shd w:val="clear" w:color="auto"/>
        <w:spacing w:line="520" w:lineRule="exact"/>
        <w:ind w:firstLine="480"/>
        <w:outlineLvl w:val="9"/>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投标人针对本项目提供的服务质量保证方案，包括但不限于质量保证与质量控制体系、质控措施，运维质量保证方案，标准物质或样品的管理，验收和期间核查，备品备件的存放地点及更换频次等。方案完全包含上述内容且内容有实质性意义的，得10分；方案内容有部分缺少或部分内容无实质性意义的，得9分；方案内容缺少较多或内容无实质性意义的，得7分；未作说明的不得分。</w:t>
      </w:r>
    </w:p>
    <w:p w14:paraId="7AF24E28">
      <w:pPr>
        <w:pStyle w:val="239"/>
        <w:keepNext w:val="0"/>
        <w:keepLines w:val="0"/>
        <w:pageBreakBefore w:val="0"/>
        <w:widowControl/>
        <w:shd w:val="clear" w:color="auto"/>
        <w:spacing w:line="520" w:lineRule="exact"/>
        <w:ind w:firstLine="480"/>
        <w:outlineLvl w:val="9"/>
        <w:rPr>
          <w:rStyle w:val="200"/>
          <w:rFonts w:hint="default"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4.管理制度8分</w:t>
      </w:r>
    </w:p>
    <w:p w14:paraId="287434CB">
      <w:pPr>
        <w:pStyle w:val="239"/>
        <w:keepNext w:val="0"/>
        <w:keepLines w:val="0"/>
        <w:pageBreakBefore w:val="0"/>
        <w:widowControl/>
        <w:shd w:val="clear" w:color="auto"/>
        <w:spacing w:line="520" w:lineRule="exact"/>
        <w:ind w:firstLine="480"/>
        <w:outlineLvl w:val="9"/>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投标人针对本项目提供的管理制度，包括但不限于质量管理制度、安全管理制度、人员管理制度和车辆管理制度等。方案完全包含上述内容且内容有实质性意义的，得8分；方案内容有部分缺少或部分内容无实质性意义的，得7分；方案内容缺少较多或内容无实质性意义的，得5分；未作说明的不得分。</w:t>
      </w:r>
    </w:p>
    <w:p w14:paraId="11A0E482">
      <w:pPr>
        <w:pStyle w:val="239"/>
        <w:keepNext w:val="0"/>
        <w:keepLines w:val="0"/>
        <w:pageBreakBefore w:val="0"/>
        <w:widowControl/>
        <w:shd w:val="clear" w:color="auto"/>
        <w:spacing w:line="520" w:lineRule="exact"/>
        <w:ind w:firstLine="480"/>
        <w:outlineLvl w:val="9"/>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5.应急预案8分</w:t>
      </w:r>
    </w:p>
    <w:p w14:paraId="47D47471">
      <w:pPr>
        <w:pStyle w:val="239"/>
        <w:keepNext w:val="0"/>
        <w:keepLines w:val="0"/>
        <w:pageBreakBefore w:val="0"/>
        <w:widowControl/>
        <w:shd w:val="clear" w:color="auto"/>
        <w:spacing w:line="520" w:lineRule="exact"/>
        <w:ind w:firstLine="480"/>
        <w:outlineLvl w:val="9"/>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投标人针对本项目提供的应急预案，包括但不限于对应急工作的规划和可行计划、各种应急情景的判断、发现应急情况的方法、应急措施及解决方案、制定相应工作流程等。方案完全包含上述内容且内容有实质性意义的，得8分；方案内容有部分缺少或部分内容无实质性意义的，得7分；方案内容缺少较多或内容无实质性意义的，得5分；未作说明的不得分。</w:t>
      </w:r>
    </w:p>
    <w:p w14:paraId="793A765B">
      <w:pPr>
        <w:pStyle w:val="239"/>
        <w:keepNext w:val="0"/>
        <w:keepLines w:val="0"/>
        <w:pageBreakBefore w:val="0"/>
        <w:widowControl/>
        <w:shd w:val="clear" w:color="auto"/>
        <w:spacing w:line="520" w:lineRule="exact"/>
        <w:ind w:firstLine="480"/>
        <w:outlineLvl w:val="9"/>
        <w:rPr>
          <w:rStyle w:val="200"/>
          <w:rFonts w:hint="default"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6.手工比对工作报告4分</w:t>
      </w:r>
    </w:p>
    <w:p w14:paraId="716DBA64">
      <w:pPr>
        <w:pStyle w:val="239"/>
        <w:keepNext w:val="0"/>
        <w:keepLines w:val="0"/>
        <w:pageBreakBefore w:val="0"/>
        <w:widowControl/>
        <w:shd w:val="clear" w:color="auto"/>
        <w:spacing w:line="520" w:lineRule="exact"/>
        <w:ind w:firstLine="480"/>
        <w:outlineLvl w:val="9"/>
        <w:rPr>
          <w:rStyle w:val="200"/>
          <w:rFonts w:hint="default"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投标人提供2023年以来开展过空气自动站颗粒物手工比对的工作报告，有一份得2分，最多得4分</w:t>
      </w:r>
      <w:r>
        <w:rPr>
          <w:rStyle w:val="200"/>
          <w:rFonts w:hint="eastAsia" w:ascii="宋体" w:hAnsi="宋体" w:eastAsia="宋体" w:cs="宋体"/>
          <w:b/>
          <w:bCs/>
          <w:color w:val="000000" w:themeColor="text1"/>
          <w:spacing w:val="0"/>
          <w:sz w:val="24"/>
          <w:highlight w:val="none"/>
          <w:lang w:val="en-US" w:eastAsia="zh-CN"/>
          <w14:textFill>
            <w14:solidFill>
              <w14:schemeClr w14:val="tx1"/>
            </w14:solidFill>
          </w14:textFill>
        </w:rPr>
        <w:t>（请在投标文件中提供相关比对报告，不提供的不得分）。</w:t>
      </w:r>
    </w:p>
    <w:p w14:paraId="2C166072">
      <w:pPr>
        <w:pStyle w:val="239"/>
        <w:keepNext w:val="0"/>
        <w:keepLines w:val="0"/>
        <w:pageBreakBefore w:val="0"/>
        <w:widowControl/>
        <w:shd w:val="clear" w:color="auto"/>
        <w:spacing w:line="520" w:lineRule="exact"/>
        <w:ind w:firstLine="480"/>
        <w:outlineLvl w:val="9"/>
        <w:rPr>
          <w:rStyle w:val="200"/>
          <w:rFonts w:hint="default"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7.设备、车辆投入</w:t>
      </w:r>
      <w:r>
        <w:rPr>
          <w:rStyle w:val="200"/>
          <w:rFonts w:hint="eastAsia" w:ascii="宋体" w:hAnsi="宋体" w:eastAsia="宋体" w:cs="宋体"/>
          <w:b w:val="0"/>
          <w:strike w:val="0"/>
          <w:color w:val="000000" w:themeColor="text1"/>
          <w:spacing w:val="0"/>
          <w:sz w:val="24"/>
          <w:highlight w:val="none"/>
          <w:lang w:val="en-US" w:eastAsia="zh-CN"/>
          <w14:textFill>
            <w14:solidFill>
              <w14:schemeClr w14:val="tx1"/>
            </w14:solidFill>
          </w14:textFill>
        </w:rPr>
        <w:t>方案</w:t>
      </w: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7分</w:t>
      </w:r>
    </w:p>
    <w:p w14:paraId="62DFE7BB">
      <w:pPr>
        <w:pStyle w:val="239"/>
        <w:keepNext w:val="0"/>
        <w:keepLines w:val="0"/>
        <w:pageBreakBefore w:val="0"/>
        <w:widowControl/>
        <w:shd w:val="clear" w:color="auto"/>
        <w:spacing w:line="520" w:lineRule="exact"/>
        <w:ind w:firstLine="480"/>
        <w:outlineLvl w:val="9"/>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pPr>
      <w:r>
        <w:rPr>
          <w:rStyle w:val="200"/>
          <w:rFonts w:hint="eastAsia" w:ascii="宋体" w:hAnsi="宋体" w:eastAsia="宋体" w:cs="宋体"/>
          <w:b w:val="0"/>
          <w:color w:val="000000" w:themeColor="text1"/>
          <w:spacing w:val="0"/>
          <w:sz w:val="24"/>
          <w:highlight w:val="none"/>
          <w:lang w:val="en-US" w:eastAsia="zh-CN"/>
          <w14:textFill>
            <w14:solidFill>
              <w14:schemeClr w14:val="tx1"/>
            </w14:solidFill>
          </w14:textFill>
        </w:rPr>
        <w:t>投标人针对本项目提供的设备、车辆投入方案，包括但不限于本项目投入的设备、车辆及项目实施过程中对设备、车辆的使用管理等。方案完全包含上述内容且内容有实质性意义的，得7分；方案内容有部分缺少或部分内容无实质性意义的，得6分；方案内容缺少较多或内容无实质性意义的，得4分；未作说明的不得分。</w:t>
      </w:r>
    </w:p>
    <w:p w14:paraId="1519D7EF">
      <w:pPr>
        <w:pStyle w:val="239"/>
        <w:keepNext w:val="0"/>
        <w:keepLines w:val="0"/>
        <w:pageBreakBefore w:val="0"/>
        <w:widowControl/>
        <w:numPr>
          <w:ilvl w:val="0"/>
          <w:numId w:val="0"/>
        </w:numPr>
        <w:shd w:val="clear" w:color="auto"/>
        <w:spacing w:line="520" w:lineRule="exact"/>
        <w:ind w:firstLine="482"/>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pPr>
      <w:r>
        <w:rPr>
          <w:rFonts w:hint="eastAsia" w:ascii="宋体" w:hAnsi="宋体" w:eastAsia="宋体" w:cs="宋体"/>
          <w:b/>
          <w:color w:val="000000" w:themeColor="text1"/>
          <w:spacing w:val="0"/>
          <w:sz w:val="24"/>
          <w:szCs w:val="24"/>
          <w:highlight w:val="none"/>
          <w:lang w:val="en-US" w:eastAsia="zh-CN" w:bidi="ar-SA"/>
          <w14:textFill>
            <w14:solidFill>
              <w14:schemeClr w14:val="tx1"/>
            </w14:solidFill>
          </w14:textFill>
        </w:rPr>
        <w:t>（三）</w:t>
      </w: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人员配置</w:t>
      </w:r>
      <w:r>
        <w:rPr>
          <w:rStyle w:val="216"/>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分10</w:t>
      </w: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分</w:t>
      </w:r>
    </w:p>
    <w:p w14:paraId="71106C12">
      <w:pPr>
        <w:pStyle w:val="239"/>
        <w:keepNext w:val="0"/>
        <w:keepLines w:val="0"/>
        <w:pageBreakBefore w:val="0"/>
        <w:widowControl w:val="0"/>
        <w:shd w:val="clear" w:color="auto"/>
        <w:spacing w:line="520" w:lineRule="exact"/>
        <w:ind w:firstLine="482"/>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1.</w:t>
      </w:r>
      <w:r>
        <w:rPr>
          <w:rStyle w:val="216"/>
          <w:rFonts w:hint="eastAsia" w:ascii="宋体" w:hAnsi="宋体" w:eastAsia="宋体" w:cs="宋体"/>
          <w:color w:val="000000" w:themeColor="text1"/>
          <w:spacing w:val="0"/>
          <w:sz w:val="24"/>
          <w:szCs w:val="24"/>
          <w:highlight w:val="none"/>
          <w14:textFill>
            <w14:solidFill>
              <w14:schemeClr w14:val="tx1"/>
            </w14:solidFill>
          </w14:textFill>
        </w:rPr>
        <w:t>项目负责人</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4分</w:t>
      </w:r>
    </w:p>
    <w:p w14:paraId="6684DBB2">
      <w:pPr>
        <w:pStyle w:val="239"/>
        <w:keepNext w:val="0"/>
        <w:keepLines w:val="0"/>
        <w:pageBreakBefore w:val="0"/>
        <w:widowControl w:val="0"/>
        <w:shd w:val="clear" w:color="auto"/>
        <w:spacing w:line="520" w:lineRule="exact"/>
        <w:ind w:firstLine="482"/>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投标人拟投入本项目的项目负责人具有环境主管部门或者第三方机构出具的气站运维培训证明的，得2分；具有环境类相关专业高级及以上技术职称的，得2分；本项最多得4分</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（请在投标文件中提供相关证书及投标人为其缴纳的社保证明材料，不提供或提供不全的不得分）。</w:t>
      </w:r>
    </w:p>
    <w:p w14:paraId="74FAA551">
      <w:pPr>
        <w:pStyle w:val="239"/>
        <w:keepNext w:val="0"/>
        <w:keepLines w:val="0"/>
        <w:pageBreakBefore w:val="0"/>
        <w:widowControl/>
        <w:shd w:val="clear" w:color="auto"/>
        <w:spacing w:line="520" w:lineRule="exact"/>
        <w:ind w:firstLine="480"/>
        <w:rPr>
          <w:rStyle w:val="216"/>
          <w:rFonts w:hint="default" w:ascii="宋体" w:hAnsi="宋体" w:eastAsia="宋体" w:cs="宋体"/>
          <w:color w:val="000000" w:themeColor="text1"/>
          <w:spacing w:val="0"/>
          <w:sz w:val="24"/>
          <w:szCs w:val="24"/>
          <w:highlight w:val="none"/>
          <w:lang w:val="en-US"/>
          <w14:textFill>
            <w14:solidFill>
              <w14:schemeClr w14:val="tx1"/>
            </w14:solidFill>
          </w14:textFill>
        </w:rPr>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2.</w:t>
      </w:r>
      <w:r>
        <w:rPr>
          <w:rStyle w:val="216"/>
          <w:rFonts w:hint="eastAsia" w:ascii="宋体" w:hAnsi="宋体" w:eastAsia="宋体" w:cs="宋体"/>
          <w:color w:val="000000" w:themeColor="text1"/>
          <w:spacing w:val="0"/>
          <w:sz w:val="24"/>
          <w:szCs w:val="24"/>
          <w:highlight w:val="none"/>
          <w14:textFill>
            <w14:solidFill>
              <w14:schemeClr w14:val="tx1"/>
            </w14:solidFill>
          </w14:textFill>
        </w:rPr>
        <w:t>专职运维技术人员（项目负责人除外）</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6</w:t>
      </w:r>
      <w:r>
        <w:rPr>
          <w:rStyle w:val="216"/>
          <w:rFonts w:hint="eastAsia" w:ascii="宋体" w:hAnsi="宋体" w:eastAsia="宋体" w:cs="宋体"/>
          <w:color w:val="000000" w:themeColor="text1"/>
          <w:spacing w:val="0"/>
          <w:sz w:val="24"/>
          <w:szCs w:val="24"/>
          <w:highlight w:val="none"/>
          <w14:textFill>
            <w14:solidFill>
              <w14:schemeClr w14:val="tx1"/>
            </w14:solidFill>
          </w14:textFill>
        </w:rPr>
        <w:t>分</w:t>
      </w:r>
    </w:p>
    <w:p w14:paraId="2FD92392">
      <w:pPr>
        <w:pStyle w:val="239"/>
        <w:keepNext w:val="0"/>
        <w:keepLines w:val="0"/>
        <w:pageBreakBefore w:val="0"/>
        <w:widowControl/>
        <w:numPr>
          <w:ilvl w:val="0"/>
          <w:numId w:val="0"/>
        </w:numPr>
        <w:shd w:val="clear" w:color="auto"/>
        <w:spacing w:line="520" w:lineRule="exact"/>
        <w:ind w:firstLine="482"/>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（1）投标人拟投入本项目的专职运维技术人员（项目负责人除外）具有环境主管部门或者第三方机构出具的气站运维培训证明的，有一人得1分，最多得4分</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（请在投标文件中提供相关证书及投标人为其缴纳的社保证明材料，不提供或提供不全的不得分）。</w:t>
      </w:r>
    </w:p>
    <w:p w14:paraId="0BCA8C2A">
      <w:pPr>
        <w:pStyle w:val="239"/>
        <w:keepNext w:val="0"/>
        <w:keepLines w:val="0"/>
        <w:pageBreakBefore w:val="0"/>
        <w:widowControl/>
        <w:numPr>
          <w:ilvl w:val="0"/>
          <w:numId w:val="0"/>
        </w:numPr>
        <w:shd w:val="clear" w:color="auto"/>
        <w:spacing w:line="520" w:lineRule="exact"/>
        <w:ind w:firstLine="482"/>
        <w:rPr>
          <w:rStyle w:val="216"/>
          <w:rFonts w:hint="eastAsia" w:ascii="宋体" w:hAnsi="宋体" w:eastAsia="宋体" w:cs="宋体"/>
          <w:b/>
          <w:bCs/>
          <w:color w:val="000000" w:themeColor="text1"/>
          <w:spacing w:val="0"/>
          <w:sz w:val="24"/>
          <w:szCs w:val="24"/>
          <w:highlight w:val="none"/>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（2）投标人拟投入本项目的专职运维技术人员（项目负责人除外）具有环境类相关专业中级及以上技术职称的，有一人得2分，最多得2分</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（请在投标文件中提供相关证书及投标人为其缴纳的社保证明材料，不提供或提供不全的不得分）。</w:t>
      </w:r>
    </w:p>
    <w:p w14:paraId="38FD837D">
      <w:pPr>
        <w:pStyle w:val="239"/>
        <w:keepNext w:val="0"/>
        <w:keepLines w:val="0"/>
        <w:pageBreakBefore w:val="0"/>
        <w:widowControl/>
        <w:numPr>
          <w:ilvl w:val="0"/>
          <w:numId w:val="0"/>
        </w:numPr>
        <w:shd w:val="clear" w:color="auto"/>
        <w:spacing w:line="520" w:lineRule="exact"/>
        <w:ind w:firstLine="482"/>
        <w:rPr>
          <w:rStyle w:val="216"/>
          <w:rFonts w:hint="default" w:ascii="宋体" w:hAnsi="宋体" w:eastAsia="宋体" w:cs="宋体"/>
          <w:b/>
          <w:color w:val="000000" w:themeColor="text1"/>
          <w:spacing w:val="0"/>
          <w:sz w:val="24"/>
          <w:szCs w:val="24"/>
          <w:highlight w:val="none"/>
          <w:lang w:val="en-US" w:eastAsia="zh-CN"/>
          <w14:textFill>
            <w14:solidFill>
              <w14:schemeClr w14:val="tx1"/>
            </w14:solidFill>
          </w14:textFill>
        </w:rPr>
      </w:pP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四</w:t>
      </w: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）履约能力</w:t>
      </w:r>
      <w:r>
        <w:rPr>
          <w:rStyle w:val="216"/>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分13</w:t>
      </w: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分</w:t>
      </w:r>
    </w:p>
    <w:p w14:paraId="0CFCF138">
      <w:pPr>
        <w:pStyle w:val="239"/>
        <w:keepNext w:val="0"/>
        <w:keepLines w:val="0"/>
        <w:pageBreakBefore w:val="0"/>
        <w:widowControl/>
        <w:numPr>
          <w:ilvl w:val="0"/>
          <w:numId w:val="0"/>
        </w:numPr>
        <w:shd w:val="clear" w:color="auto"/>
        <w:spacing w:line="520" w:lineRule="exact"/>
        <w:ind w:firstLine="482"/>
        <w:rPr>
          <w:rStyle w:val="216"/>
          <w:rFonts w:hint="default" w:ascii="宋体" w:hAnsi="宋体" w:eastAsia="宋体" w:cs="宋体"/>
          <w:color w:val="000000" w:themeColor="text1"/>
          <w:spacing w:val="0"/>
          <w:sz w:val="24"/>
          <w:szCs w:val="24"/>
          <w:highlight w:val="none"/>
          <w:lang w:val="en-US"/>
          <w14:textFill>
            <w14:solidFill>
              <w14:schemeClr w14:val="tx1"/>
            </w14:solidFill>
          </w14:textFill>
        </w:rPr>
      </w:pPr>
      <w:r>
        <w:rPr>
          <w:rFonts w:hint="eastAsia" w:ascii="宋体" w:hAnsi="宋体" w:eastAsia="宋体" w:cs="宋体"/>
          <w:b w:val="0"/>
          <w:caps w:val="0"/>
          <w:smallCaps w:val="0"/>
          <w:color w:val="000000" w:themeColor="text1"/>
          <w:spacing w:val="0"/>
          <w:sz w:val="24"/>
          <w:szCs w:val="22"/>
          <w:highlight w:val="none"/>
          <w:shd w:val="clear" w:color="auto" w:fill="auto"/>
          <w:lang w:val="en-US" w:eastAsia="zh-CN" w:bidi="ar-SA"/>
          <w14:textFill>
            <w14:solidFill>
              <w14:schemeClr w14:val="tx1"/>
            </w14:solidFill>
          </w14:textFill>
        </w:rPr>
        <w:t>1.</w:t>
      </w:r>
      <w:r>
        <w:rPr>
          <w:rStyle w:val="216"/>
          <w:rFonts w:hint="eastAsia" w:ascii="宋体" w:hAnsi="宋体" w:eastAsia="宋体" w:cs="宋体"/>
          <w:color w:val="000000" w:themeColor="text1"/>
          <w:spacing w:val="0"/>
          <w:sz w:val="24"/>
          <w:szCs w:val="24"/>
          <w:highlight w:val="none"/>
          <w14:textFill>
            <w14:solidFill>
              <w14:schemeClr w14:val="tx1"/>
            </w14:solidFill>
          </w14:textFill>
        </w:rPr>
        <w:t>类似</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项目</w:t>
      </w:r>
      <w:r>
        <w:rPr>
          <w:rStyle w:val="216"/>
          <w:rFonts w:hint="eastAsia" w:ascii="宋体" w:hAnsi="宋体" w:eastAsia="宋体" w:cs="宋体"/>
          <w:color w:val="000000" w:themeColor="text1"/>
          <w:spacing w:val="0"/>
          <w:sz w:val="24"/>
          <w:szCs w:val="24"/>
          <w:highlight w:val="none"/>
          <w14:textFill>
            <w14:solidFill>
              <w14:schemeClr w14:val="tx1"/>
            </w14:solidFill>
          </w14:textFill>
        </w:rPr>
        <w:t>业绩</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10分</w:t>
      </w:r>
    </w:p>
    <w:p w14:paraId="216EE7CA">
      <w:pPr>
        <w:pStyle w:val="239"/>
        <w:keepNext w:val="0"/>
        <w:keepLines w:val="0"/>
        <w:pageBreakBefore w:val="0"/>
        <w:widowControl/>
        <w:shd w:val="clear" w:color="auto"/>
        <w:spacing w:line="520" w:lineRule="exact"/>
        <w:ind w:firstLine="480"/>
        <w:rPr>
          <w:rFonts w:hint="eastAsia" w:ascii="宋体" w:hAnsi="宋体" w:cs="宋体"/>
          <w:color w:val="000000" w:themeColor="text1"/>
          <w:spacing w:val="0"/>
          <w:sz w:val="24"/>
          <w:szCs w:val="24"/>
          <w:highlight w:val="none"/>
          <w:lang w:val="en-US" w:eastAsia="zh-CN"/>
          <w14:textFill>
            <w14:solidFill>
              <w14:schemeClr w14:val="tx1"/>
            </w14:solidFill>
          </w14:textFill>
        </w:rPr>
      </w:pPr>
      <w:r>
        <w:rPr>
          <w:rStyle w:val="216"/>
          <w:rFonts w:hint="eastAsia" w:ascii="宋体" w:hAnsi="宋体" w:eastAsia="宋体" w:cs="宋体"/>
          <w:color w:val="000000" w:themeColor="text1"/>
          <w:spacing w:val="0"/>
          <w:sz w:val="24"/>
          <w:szCs w:val="24"/>
          <w:highlight w:val="none"/>
          <w14:textFill>
            <w14:solidFill>
              <w14:schemeClr w14:val="tx1"/>
            </w14:solidFill>
          </w14:textFill>
        </w:rPr>
        <w:t>投标人</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2023年以来（以合同签订时间为准）</w:t>
      </w:r>
      <w:r>
        <w:rPr>
          <w:rStyle w:val="216"/>
          <w:rFonts w:hint="eastAsia" w:ascii="宋体" w:hAnsi="宋体" w:eastAsia="宋体" w:cs="宋体"/>
          <w:color w:val="000000" w:themeColor="text1"/>
          <w:spacing w:val="0"/>
          <w:sz w:val="24"/>
          <w:szCs w:val="24"/>
          <w:highlight w:val="none"/>
          <w14:textFill>
            <w14:solidFill>
              <w14:schemeClr w14:val="tx1"/>
            </w14:solidFill>
          </w14:textFill>
        </w:rPr>
        <w:t>承担过</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类似项目业绩</w:t>
      </w:r>
      <w:r>
        <w:rPr>
          <w:rStyle w:val="216"/>
          <w:rFonts w:hint="eastAsia" w:ascii="宋体" w:hAnsi="宋体" w:eastAsia="宋体" w:cs="宋体"/>
          <w:color w:val="000000" w:themeColor="text1"/>
          <w:spacing w:val="0"/>
          <w:sz w:val="24"/>
          <w:szCs w:val="24"/>
          <w:highlight w:val="none"/>
          <w14:textFill>
            <w14:solidFill>
              <w14:schemeClr w14:val="tx1"/>
            </w14:solidFill>
          </w14:textFill>
        </w:rPr>
        <w:t>的，</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有一份</w:t>
      </w:r>
      <w:r>
        <w:rPr>
          <w:rStyle w:val="216"/>
          <w:rFonts w:hint="eastAsia" w:ascii="宋体" w:hAnsi="宋体" w:eastAsia="宋体" w:cs="宋体"/>
          <w:color w:val="000000" w:themeColor="text1"/>
          <w:spacing w:val="0"/>
          <w:sz w:val="24"/>
          <w:szCs w:val="24"/>
          <w:highlight w:val="none"/>
          <w14:textFill>
            <w14:solidFill>
              <w14:schemeClr w14:val="tx1"/>
            </w14:solidFill>
          </w14:textFill>
        </w:rPr>
        <w:t>得</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2</w:t>
      </w:r>
      <w:r>
        <w:rPr>
          <w:rStyle w:val="216"/>
          <w:rFonts w:hint="eastAsia" w:ascii="宋体" w:hAnsi="宋体" w:eastAsia="宋体" w:cs="宋体"/>
          <w:color w:val="000000" w:themeColor="text1"/>
          <w:spacing w:val="0"/>
          <w:sz w:val="24"/>
          <w:szCs w:val="24"/>
          <w:highlight w:val="none"/>
          <w14:textFill>
            <w14:solidFill>
              <w14:schemeClr w14:val="tx1"/>
            </w14:solidFill>
          </w14:textFill>
        </w:rPr>
        <w:t>分，最多得</w:t>
      </w:r>
      <w:r>
        <w:rPr>
          <w:rStyle w:val="216"/>
          <w:rFonts w:hint="eastAsia" w:ascii="宋体" w:hAnsi="宋体" w:eastAsia="宋体" w:cs="宋体"/>
          <w:color w:val="000000" w:themeColor="text1"/>
          <w:spacing w:val="0"/>
          <w:sz w:val="24"/>
          <w:szCs w:val="24"/>
          <w:highlight w:val="none"/>
          <w:lang w:val="en-US"/>
          <w14:textFill>
            <w14:solidFill>
              <w14:schemeClr w14:val="tx1"/>
            </w14:solidFill>
          </w14:textFill>
        </w:rPr>
        <w:t>10</w:t>
      </w:r>
      <w:r>
        <w:rPr>
          <w:rStyle w:val="216"/>
          <w:rFonts w:hint="eastAsia" w:ascii="宋体" w:hAnsi="宋体" w:eastAsia="宋体" w:cs="宋体"/>
          <w:color w:val="000000" w:themeColor="text1"/>
          <w:spacing w:val="0"/>
          <w:sz w:val="24"/>
          <w:szCs w:val="24"/>
          <w:highlight w:val="none"/>
          <w14:textFill>
            <w14:solidFill>
              <w14:schemeClr w14:val="tx1"/>
            </w14:solidFill>
          </w14:textFill>
        </w:rPr>
        <w:t>分</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lang w:val="en-US"/>
          <w14:textFill>
            <w14:solidFill>
              <w14:schemeClr w14:val="tx1"/>
            </w14:solidFill>
          </w14:textFill>
        </w:rPr>
        <w:t>请在投标文件中提供相关合同证明材料，如合同不能反映相关信息的，须提供其他材料予以证明，不提供或提供不全的不得分</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w:t>
      </w:r>
    </w:p>
    <w:p w14:paraId="207101B8">
      <w:pPr>
        <w:pStyle w:val="239"/>
        <w:keepNext w:val="0"/>
        <w:keepLines w:val="0"/>
        <w:pageBreakBefore w:val="0"/>
        <w:widowControl/>
        <w:shd w:val="clear" w:color="auto"/>
        <w:spacing w:line="520" w:lineRule="exact"/>
        <w:ind w:firstLine="480"/>
        <w:rPr>
          <w:rStyle w:val="41"/>
          <w:rFonts w:hint="eastAsia" w:ascii="宋体" w:hAnsi="宋体" w:eastAsia="宋体" w:cs="宋体"/>
          <w:b w:val="0"/>
          <w:strike w:val="0"/>
          <w:color w:val="000000" w:themeColor="text1"/>
          <w:spacing w:val="0"/>
          <w:sz w:val="24"/>
          <w:highlight w:val="none"/>
          <w:lang w:val="en-US" w:eastAsia="zh-CN"/>
          <w14:textFill>
            <w14:solidFill>
              <w14:schemeClr w14:val="tx1"/>
            </w14:solidFill>
          </w14:textFill>
        </w:rPr>
      </w:pPr>
      <w:r>
        <w:rPr>
          <w:rStyle w:val="41"/>
          <w:rFonts w:hint="eastAsia" w:ascii="宋体" w:hAnsi="宋体" w:eastAsia="宋体" w:cs="宋体"/>
          <w:b w:val="0"/>
          <w:strike w:val="0"/>
          <w:color w:val="000000" w:themeColor="text1"/>
          <w:spacing w:val="0"/>
          <w:sz w:val="24"/>
          <w:highlight w:val="none"/>
          <w:lang w:val="en-US" w:eastAsia="zh-CN"/>
          <w14:textFill>
            <w14:solidFill>
              <w14:schemeClr w14:val="tx1"/>
            </w14:solidFill>
          </w14:textFill>
        </w:rPr>
        <w:t>2.质量控制实验室3分</w:t>
      </w:r>
    </w:p>
    <w:p w14:paraId="1925C632">
      <w:pPr>
        <w:pStyle w:val="239"/>
        <w:keepNext w:val="0"/>
        <w:keepLines w:val="0"/>
        <w:pageBreakBefore w:val="0"/>
        <w:widowControl/>
        <w:shd w:val="clear" w:color="auto"/>
        <w:spacing w:line="520" w:lineRule="exact"/>
        <w:ind w:firstLine="480"/>
        <w:rPr>
          <w:rStyle w:val="41"/>
          <w:rFonts w:hint="eastAsia" w:ascii="宋体" w:hAnsi="宋体" w:eastAsia="宋体" w:cs="宋体"/>
          <w:b w:val="0"/>
          <w:strike w:val="0"/>
          <w:color w:val="000000" w:themeColor="text1"/>
          <w:spacing w:val="0"/>
          <w:sz w:val="24"/>
          <w:highlight w:val="none"/>
          <w:lang w:val="en-US" w:eastAsia="zh-CN"/>
          <w14:textFill>
            <w14:solidFill>
              <w14:schemeClr w14:val="tx1"/>
            </w14:solidFill>
          </w14:textFill>
        </w:rPr>
      </w:pPr>
      <w:r>
        <w:rPr>
          <w:rStyle w:val="41"/>
          <w:rFonts w:hint="eastAsia" w:ascii="宋体" w:hAnsi="宋体" w:eastAsia="宋体" w:cs="宋体"/>
          <w:b w:val="0"/>
          <w:strike w:val="0"/>
          <w:color w:val="000000" w:themeColor="text1"/>
          <w:spacing w:val="0"/>
          <w:sz w:val="24"/>
          <w:highlight w:val="none"/>
          <w:lang w:val="en-US" w:eastAsia="zh-CN"/>
          <w14:textFill>
            <w14:solidFill>
              <w14:schemeClr w14:val="tx1"/>
            </w14:solidFill>
          </w14:textFill>
        </w:rPr>
        <w:t>投标人自有用于质量控制实验室或委托质量控制实验室（质控实验室具备CMA证书，能力涵盖SO</w:t>
      </w:r>
      <w:r>
        <w:rPr>
          <w:rStyle w:val="41"/>
          <w:rFonts w:hint="eastAsia" w:ascii="宋体" w:hAnsi="宋体" w:eastAsia="宋体" w:cs="宋体"/>
          <w:b w:val="0"/>
          <w:strike w:val="0"/>
          <w:color w:val="000000" w:themeColor="text1"/>
          <w:spacing w:val="0"/>
          <w:sz w:val="24"/>
          <w:highlight w:val="none"/>
          <w:vertAlign w:val="subscript"/>
          <w:lang w:val="en-US" w:eastAsia="zh-CN"/>
          <w14:textFill>
            <w14:solidFill>
              <w14:schemeClr w14:val="tx1"/>
            </w14:solidFill>
          </w14:textFill>
        </w:rPr>
        <w:t>2</w:t>
      </w:r>
      <w:r>
        <w:rPr>
          <w:rStyle w:val="41"/>
          <w:rFonts w:hint="eastAsia" w:ascii="宋体" w:hAnsi="宋体" w:eastAsia="宋体" w:cs="宋体"/>
          <w:b w:val="0"/>
          <w:strike w:val="0"/>
          <w:color w:val="000000" w:themeColor="text1"/>
          <w:spacing w:val="0"/>
          <w:sz w:val="24"/>
          <w:highlight w:val="none"/>
          <w:vertAlign w:val="baseline"/>
          <w:lang w:val="en-US" w:eastAsia="zh-CN"/>
          <w14:textFill>
            <w14:solidFill>
              <w14:schemeClr w14:val="tx1"/>
            </w14:solidFill>
          </w14:textFill>
        </w:rPr>
        <w:t>、NO</w:t>
      </w:r>
      <w:r>
        <w:rPr>
          <w:rStyle w:val="41"/>
          <w:rFonts w:hint="eastAsia" w:ascii="宋体" w:hAnsi="宋体" w:eastAsia="宋体" w:cs="宋体"/>
          <w:b w:val="0"/>
          <w:strike w:val="0"/>
          <w:color w:val="000000" w:themeColor="text1"/>
          <w:spacing w:val="0"/>
          <w:sz w:val="24"/>
          <w:highlight w:val="none"/>
          <w:vertAlign w:val="subscript"/>
          <w:lang w:val="en-US" w:eastAsia="zh-CN"/>
          <w14:textFill>
            <w14:solidFill>
              <w14:schemeClr w14:val="tx1"/>
            </w14:solidFill>
          </w14:textFill>
        </w:rPr>
        <w:t>2</w:t>
      </w:r>
      <w:r>
        <w:rPr>
          <w:rStyle w:val="41"/>
          <w:rFonts w:hint="eastAsia" w:ascii="宋体" w:hAnsi="宋体" w:eastAsia="宋体" w:cs="宋体"/>
          <w:b w:val="0"/>
          <w:strike w:val="0"/>
          <w:color w:val="000000" w:themeColor="text1"/>
          <w:spacing w:val="0"/>
          <w:sz w:val="24"/>
          <w:highlight w:val="none"/>
          <w:vertAlign w:val="baseline"/>
          <w:lang w:val="en-US" w:eastAsia="zh-CN"/>
          <w14:textFill>
            <w14:solidFill>
              <w14:schemeClr w14:val="tx1"/>
            </w14:solidFill>
          </w14:textFill>
        </w:rPr>
        <w:t>、O</w:t>
      </w:r>
      <w:r>
        <w:rPr>
          <w:rStyle w:val="41"/>
          <w:rFonts w:hint="eastAsia" w:ascii="宋体" w:hAnsi="宋体" w:eastAsia="宋体" w:cs="宋体"/>
          <w:b w:val="0"/>
          <w:strike w:val="0"/>
          <w:color w:val="000000" w:themeColor="text1"/>
          <w:spacing w:val="0"/>
          <w:sz w:val="24"/>
          <w:highlight w:val="none"/>
          <w:vertAlign w:val="subscript"/>
          <w:lang w:val="en-US" w:eastAsia="zh-CN"/>
          <w14:textFill>
            <w14:solidFill>
              <w14:schemeClr w14:val="tx1"/>
            </w14:solidFill>
          </w14:textFill>
        </w:rPr>
        <w:t>3</w:t>
      </w:r>
      <w:r>
        <w:rPr>
          <w:rStyle w:val="41"/>
          <w:rFonts w:hint="eastAsia" w:ascii="宋体" w:hAnsi="宋体" w:eastAsia="宋体" w:cs="宋体"/>
          <w:b w:val="0"/>
          <w:strike w:val="0"/>
          <w:color w:val="000000" w:themeColor="text1"/>
          <w:spacing w:val="0"/>
          <w:sz w:val="24"/>
          <w:highlight w:val="none"/>
          <w:vertAlign w:val="baseline"/>
          <w:lang w:val="en-US" w:eastAsia="zh-CN"/>
          <w14:textFill>
            <w14:solidFill>
              <w14:schemeClr w14:val="tx1"/>
            </w14:solidFill>
          </w14:textFill>
        </w:rPr>
        <w:t>、CO、PM</w:t>
      </w:r>
      <w:r>
        <w:rPr>
          <w:rStyle w:val="41"/>
          <w:rFonts w:hint="eastAsia" w:ascii="宋体" w:hAnsi="宋体" w:eastAsia="宋体" w:cs="宋体"/>
          <w:b w:val="0"/>
          <w:strike w:val="0"/>
          <w:color w:val="000000" w:themeColor="text1"/>
          <w:spacing w:val="0"/>
          <w:sz w:val="24"/>
          <w:highlight w:val="none"/>
          <w:vertAlign w:val="subscript"/>
          <w:lang w:val="en-US" w:eastAsia="zh-CN"/>
          <w14:textFill>
            <w14:solidFill>
              <w14:schemeClr w14:val="tx1"/>
            </w14:solidFill>
          </w14:textFill>
        </w:rPr>
        <w:t>10</w:t>
      </w:r>
      <w:r>
        <w:rPr>
          <w:rStyle w:val="41"/>
          <w:rFonts w:hint="eastAsia" w:ascii="宋体" w:hAnsi="宋体" w:eastAsia="宋体" w:cs="宋体"/>
          <w:b w:val="0"/>
          <w:strike w:val="0"/>
          <w:color w:val="000000" w:themeColor="text1"/>
          <w:spacing w:val="0"/>
          <w:sz w:val="24"/>
          <w:highlight w:val="none"/>
          <w:vertAlign w:val="baseline"/>
          <w:lang w:val="en-US" w:eastAsia="zh-CN"/>
          <w14:textFill>
            <w14:solidFill>
              <w14:schemeClr w14:val="tx1"/>
            </w14:solidFill>
          </w14:textFill>
        </w:rPr>
        <w:t>、PM</w:t>
      </w:r>
      <w:r>
        <w:rPr>
          <w:rStyle w:val="41"/>
          <w:rFonts w:hint="eastAsia" w:ascii="宋体" w:hAnsi="宋体" w:eastAsia="宋体" w:cs="宋体"/>
          <w:b w:val="0"/>
          <w:strike w:val="0"/>
          <w:color w:val="000000" w:themeColor="text1"/>
          <w:spacing w:val="0"/>
          <w:sz w:val="24"/>
          <w:highlight w:val="none"/>
          <w:vertAlign w:val="subscript"/>
          <w:lang w:val="en-US" w:eastAsia="zh-CN"/>
          <w14:textFill>
            <w14:solidFill>
              <w14:schemeClr w14:val="tx1"/>
            </w14:solidFill>
          </w14:textFill>
        </w:rPr>
        <w:t>2.5</w:t>
      </w:r>
      <w:r>
        <w:rPr>
          <w:rStyle w:val="41"/>
          <w:rFonts w:hint="eastAsia" w:ascii="宋体" w:hAnsi="宋体" w:eastAsia="宋体" w:cs="宋体"/>
          <w:b w:val="0"/>
          <w:strike w:val="0"/>
          <w:color w:val="000000" w:themeColor="text1"/>
          <w:spacing w:val="0"/>
          <w:sz w:val="24"/>
          <w:highlight w:val="none"/>
          <w:lang w:val="en-US" w:eastAsia="zh-CN"/>
          <w14:textFill>
            <w14:solidFill>
              <w14:schemeClr w14:val="tx1"/>
            </w14:solidFill>
          </w14:textFill>
        </w:rPr>
        <w:t>），并承诺本项目相关手工监测样品能在2小时内送至实验室分析的，得3分</w:t>
      </w:r>
      <w:r>
        <w:rPr>
          <w:rStyle w:val="41"/>
          <w:rFonts w:hint="eastAsia" w:ascii="宋体" w:hAnsi="宋体" w:eastAsia="宋体" w:cs="宋体"/>
          <w:b/>
          <w:bCs/>
          <w:strike w:val="0"/>
          <w:color w:val="000000" w:themeColor="text1"/>
          <w:spacing w:val="0"/>
          <w:sz w:val="24"/>
          <w:highlight w:val="none"/>
          <w:lang w:val="en-US" w:eastAsia="zh-CN"/>
          <w14:textFill>
            <w14:solidFill>
              <w14:schemeClr w14:val="tx1"/>
            </w14:solidFill>
          </w14:textFill>
        </w:rPr>
        <w:t>{如自有质控实验室，请在投标文件中提供有效的CMA认证资质、涵盖本项目指标的计量认证及承诺函；如委托质控实验室，请在投标文件中提供有效的委托协议、有效的CMA认证资质、涵盖本项目指标的计量认证及承诺函；不提供或提供不全的不得分}。</w:t>
      </w:r>
    </w:p>
    <w:bookmarkEnd w:id="333"/>
    <w:bookmarkEnd w:id="334"/>
    <w:bookmarkEnd w:id="339"/>
    <w:p w14:paraId="0B051125">
      <w:pPr>
        <w:keepNext w:val="0"/>
        <w:keepLines w:val="0"/>
        <w:pageBreakBefore w:val="0"/>
        <w:shd w:val="clear" w:color="auto"/>
        <w:spacing w:line="520" w:lineRule="exact"/>
        <w:ind w:right="-124" w:firstLine="480"/>
        <w:rPr>
          <w:rFonts w:hint="default" w:ascii="宋体" w:hAnsi="宋体" w:eastAsia="宋体" w:cs="宋体"/>
          <w:color w:val="000000" w:themeColor="text1"/>
          <w:spacing w:val="0"/>
          <w:sz w:val="24"/>
          <w:szCs w:val="24"/>
          <w:highlight w:val="none"/>
          <w:lang w:val="en-US" w:eastAsia="zh-CN"/>
          <w14:textFill>
            <w14:solidFill>
              <w14:schemeClr w14:val="tx1"/>
            </w14:solidFill>
          </w14:textFill>
        </w:rPr>
      </w:pPr>
    </w:p>
    <w:p w14:paraId="750552F3">
      <w:pPr>
        <w:keepNext w:val="0"/>
        <w:keepLines w:val="0"/>
        <w:pageBreakBefore w:val="0"/>
        <w:shd w:val="clear" w:color="auto"/>
        <w:spacing w:line="520" w:lineRule="exact"/>
        <w:ind w:right="-124" w:firstLine="482"/>
        <w:rPr>
          <w:rFonts w:hint="eastAsia" w:ascii="宋体" w:hAnsi="宋体" w:eastAsia="宋体" w:cs="宋体"/>
          <w:b/>
          <w:bCs/>
          <w:color w:val="000000" w:themeColor="text1"/>
          <w:spacing w:val="0"/>
          <w:sz w:val="24"/>
          <w:szCs w:val="24"/>
          <w:highlight w:val="none"/>
          <w14:textFill>
            <w14:solidFill>
              <w14:schemeClr w14:val="tx1"/>
            </w14:solidFill>
          </w14:textFill>
        </w:rPr>
      </w:pPr>
    </w:p>
    <w:p w14:paraId="16B742BB">
      <w:pPr>
        <w:keepNext w:val="0"/>
        <w:keepLines w:val="0"/>
        <w:pageBreakBefore w:val="0"/>
        <w:shd w:val="clear" w:color="auto"/>
        <w:spacing w:line="520" w:lineRule="exact"/>
        <w:ind w:right="-124" w:firstLine="482"/>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注：以上证明材料请在投标文件中提供原件扫描件或者电子件，不提供不得分。</w:t>
      </w:r>
    </w:p>
    <w:p w14:paraId="2E481AC2">
      <w:pPr>
        <w:keepNext w:val="0"/>
        <w:keepLines w:val="0"/>
        <w:pageBreakBefore w:val="0"/>
        <w:shd w:val="clear" w:color="auto"/>
        <w:spacing w:line="520" w:lineRule="exact"/>
        <w:rPr>
          <w:rFonts w:hint="eastAsia" w:ascii="宋体" w:hAnsi="宋体" w:eastAsia="宋体" w:cs="宋体"/>
          <w:color w:val="000000" w:themeColor="text1"/>
          <w:highlight w:val="none"/>
          <w14:textFill>
            <w14:solidFill>
              <w14:schemeClr w14:val="tx1"/>
            </w14:solidFill>
          </w14:textFill>
        </w:rPr>
        <w:sectPr>
          <w:headerReference r:id="rId20" w:type="first"/>
          <w:footerReference r:id="rId22" w:type="first"/>
          <w:headerReference r:id="rId19" w:type="default"/>
          <w:footerReference r:id="rId21" w:type="default"/>
          <w:pgSz w:w="11906" w:h="16838"/>
          <w:pgMar w:top="1440" w:right="1080" w:bottom="1440" w:left="1080" w:header="851" w:footer="992" w:gutter="0"/>
          <w:cols w:space="1701" w:num="1"/>
          <w:titlePg/>
          <w:docGrid w:linePitch="360" w:charSpace="0"/>
        </w:sectPr>
      </w:pPr>
    </w:p>
    <w:p w14:paraId="6442E236">
      <w:pPr>
        <w:pStyle w:val="211"/>
        <w:shd w:val="clear" w:color="auto"/>
        <w:spacing w:before="313" w:after="313"/>
        <w:rPr>
          <w:rFonts w:hint="eastAsia" w:ascii="宋体" w:hAnsi="宋体" w:eastAsia="宋体" w:cs="宋体"/>
          <w:color w:val="000000" w:themeColor="text1"/>
          <w:spacing w:val="0"/>
          <w:highlight w:val="none"/>
          <w14:textFill>
            <w14:solidFill>
              <w14:schemeClr w14:val="tx1"/>
            </w14:solidFill>
          </w14:textFill>
        </w:rPr>
      </w:pPr>
      <w:bookmarkStart w:id="375" w:name="_Toc11445"/>
      <w:bookmarkStart w:id="376" w:name="_Toc20359"/>
      <w:bookmarkStart w:id="377" w:name="_Toc27079"/>
      <w:bookmarkStart w:id="378" w:name="_Toc19751"/>
      <w:bookmarkStart w:id="379" w:name="_Toc54615250"/>
      <w:bookmarkStart w:id="380" w:name="_Toc38368132"/>
      <w:bookmarkStart w:id="381" w:name="_Toc5859"/>
      <w:bookmarkStart w:id="382" w:name="_Toc35266032"/>
      <w:r>
        <w:rPr>
          <w:rFonts w:hint="eastAsia" w:ascii="宋体" w:hAnsi="宋体" w:eastAsia="宋体" w:cs="宋体"/>
          <w:color w:val="000000" w:themeColor="text1"/>
          <w:spacing w:val="0"/>
          <w:highlight w:val="none"/>
          <w14:textFill>
            <w14:solidFill>
              <w14:schemeClr w14:val="tx1"/>
            </w14:solidFill>
          </w14:textFill>
        </w:rPr>
        <w:t>第六章 投标文件格式</w:t>
      </w:r>
      <w:bookmarkEnd w:id="375"/>
      <w:bookmarkEnd w:id="376"/>
      <w:bookmarkEnd w:id="377"/>
      <w:bookmarkEnd w:id="378"/>
      <w:bookmarkEnd w:id="379"/>
      <w:bookmarkEnd w:id="380"/>
      <w:bookmarkEnd w:id="381"/>
      <w:bookmarkEnd w:id="382"/>
    </w:p>
    <w:p w14:paraId="5F8D4504">
      <w:pPr>
        <w:pStyle w:val="241"/>
        <w:shd w:val="clear" w:color="auto"/>
        <w:spacing w:before="157" w:after="157"/>
        <w:jc w:val="center"/>
        <w:rPr>
          <w:rStyle w:val="216"/>
          <w:rFonts w:hint="eastAsia" w:ascii="宋体" w:hAnsi="宋体" w:eastAsia="宋体" w:cs="宋体"/>
          <w:color w:val="000000" w:themeColor="text1"/>
          <w:spacing w:val="0"/>
          <w:sz w:val="40"/>
          <w:szCs w:val="40"/>
          <w:highlight w:val="none"/>
          <w14:textFill>
            <w14:solidFill>
              <w14:schemeClr w14:val="tx1"/>
            </w14:solidFill>
          </w14:textFill>
        </w:rPr>
      </w:pPr>
      <w:r>
        <w:rPr>
          <w:rStyle w:val="216"/>
          <w:rFonts w:hint="eastAsia" w:ascii="宋体" w:hAnsi="宋体" w:eastAsia="宋体" w:cs="宋体"/>
          <w:color w:val="000000" w:themeColor="text1"/>
          <w:spacing w:val="0"/>
          <w:sz w:val="40"/>
          <w:szCs w:val="40"/>
          <w:highlight w:val="none"/>
          <w14:textFill>
            <w14:solidFill>
              <w14:schemeClr w14:val="tx1"/>
            </w14:solidFill>
          </w14:textFill>
        </w:rPr>
        <w:t>投标主要文件目录</w:t>
      </w:r>
    </w:p>
    <w:p w14:paraId="3A63D9AA">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14:textFill>
            <w14:solidFill>
              <w14:schemeClr w14:val="tx1"/>
            </w14:solidFill>
          </w14:textFill>
        </w:rPr>
        <w:t>一、封面</w:t>
      </w:r>
    </w:p>
    <w:p w14:paraId="203F230C">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14:textFill>
            <w14:solidFill>
              <w14:schemeClr w14:val="tx1"/>
            </w14:solidFill>
          </w14:textFill>
        </w:rPr>
        <w:t>二、投标函</w:t>
      </w:r>
    </w:p>
    <w:p w14:paraId="561CE5B3">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14:textFill>
            <w14:solidFill>
              <w14:schemeClr w14:val="tx1"/>
            </w14:solidFill>
          </w14:textFill>
        </w:rPr>
        <w:t>三、开标一览表</w:t>
      </w:r>
    </w:p>
    <w:p w14:paraId="701F3AFB">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pPr>
      <w:r>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t>四</w:t>
      </w:r>
      <w:r>
        <w:rPr>
          <w:rStyle w:val="216"/>
          <w:rFonts w:hint="eastAsia" w:ascii="宋体" w:hAnsi="宋体" w:eastAsia="宋体" w:cs="宋体"/>
          <w:color w:val="000000" w:themeColor="text1"/>
          <w:spacing w:val="0"/>
          <w:sz w:val="28"/>
          <w:szCs w:val="28"/>
          <w:highlight w:val="none"/>
          <w14:textFill>
            <w14:solidFill>
              <w14:schemeClr w14:val="tx1"/>
            </w14:solidFill>
          </w14:textFill>
        </w:rPr>
        <w:t>、</w:t>
      </w:r>
      <w:r>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t>资格证明文件</w:t>
      </w:r>
    </w:p>
    <w:p w14:paraId="1FAF4653">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lang w:val="en-US"/>
          <w14:textFill>
            <w14:solidFill>
              <w14:schemeClr w14:val="tx1"/>
            </w14:solidFill>
          </w14:textFill>
        </w:rPr>
      </w:pPr>
      <w:r>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t>五</w:t>
      </w:r>
      <w:r>
        <w:rPr>
          <w:rStyle w:val="216"/>
          <w:rFonts w:hint="eastAsia" w:ascii="宋体" w:hAnsi="宋体" w:eastAsia="宋体" w:cs="宋体"/>
          <w:color w:val="000000" w:themeColor="text1"/>
          <w:spacing w:val="0"/>
          <w:sz w:val="28"/>
          <w:szCs w:val="28"/>
          <w:highlight w:val="none"/>
          <w14:textFill>
            <w14:solidFill>
              <w14:schemeClr w14:val="tx1"/>
            </w14:solidFill>
          </w14:textFill>
        </w:rPr>
        <w:t>、</w:t>
      </w:r>
      <w:r>
        <w:rPr>
          <w:rStyle w:val="216"/>
          <w:rFonts w:hint="eastAsia" w:ascii="宋体" w:hAnsi="宋体" w:eastAsia="宋体" w:cs="宋体"/>
          <w:color w:val="000000" w:themeColor="text1"/>
          <w:spacing w:val="0"/>
          <w:sz w:val="28"/>
          <w:szCs w:val="28"/>
          <w:highlight w:val="none"/>
          <w:lang w:val="en-US"/>
          <w14:textFill>
            <w14:solidFill>
              <w14:schemeClr w14:val="tx1"/>
            </w14:solidFill>
          </w14:textFill>
        </w:rPr>
        <w:t>经费测算明细表</w:t>
      </w:r>
    </w:p>
    <w:p w14:paraId="2D221970">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lang w:val="en-US"/>
          <w14:textFill>
            <w14:solidFill>
              <w14:schemeClr w14:val="tx1"/>
            </w14:solidFill>
          </w14:textFill>
        </w:rPr>
      </w:pPr>
      <w:r>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t>六</w:t>
      </w:r>
      <w:r>
        <w:rPr>
          <w:rStyle w:val="216"/>
          <w:rFonts w:hint="eastAsia" w:ascii="宋体" w:hAnsi="宋体" w:eastAsia="宋体" w:cs="宋体"/>
          <w:color w:val="000000" w:themeColor="text1"/>
          <w:spacing w:val="0"/>
          <w:sz w:val="28"/>
          <w:szCs w:val="28"/>
          <w:highlight w:val="none"/>
          <w14:textFill>
            <w14:solidFill>
              <w14:schemeClr w14:val="tx1"/>
            </w14:solidFill>
          </w14:textFill>
        </w:rPr>
        <w:t>、</w:t>
      </w:r>
      <w:r>
        <w:rPr>
          <w:rStyle w:val="216"/>
          <w:rFonts w:hint="eastAsia" w:ascii="宋体" w:hAnsi="宋体" w:eastAsia="宋体" w:cs="宋体"/>
          <w:color w:val="000000" w:themeColor="text1"/>
          <w:spacing w:val="0"/>
          <w:sz w:val="28"/>
          <w:szCs w:val="28"/>
          <w:highlight w:val="none"/>
          <w:lang w:val="en-US"/>
          <w14:textFill>
            <w14:solidFill>
              <w14:schemeClr w14:val="tx1"/>
            </w14:solidFill>
          </w14:textFill>
        </w:rPr>
        <w:t>常用零配件及耗材报价表</w:t>
      </w:r>
    </w:p>
    <w:p w14:paraId="0CB6E6F6">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t>七</w:t>
      </w:r>
      <w:r>
        <w:rPr>
          <w:rStyle w:val="216"/>
          <w:rFonts w:hint="eastAsia" w:ascii="宋体" w:hAnsi="宋体" w:eastAsia="宋体" w:cs="宋体"/>
          <w:color w:val="000000" w:themeColor="text1"/>
          <w:spacing w:val="0"/>
          <w:sz w:val="28"/>
          <w:szCs w:val="28"/>
          <w:highlight w:val="none"/>
          <w14:textFill>
            <w14:solidFill>
              <w14:schemeClr w14:val="tx1"/>
            </w14:solidFill>
          </w14:textFill>
        </w:rPr>
        <w:t>、第四章项目需求中实质性要求响应对照表</w:t>
      </w:r>
    </w:p>
    <w:p w14:paraId="697CB471">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t>八</w:t>
      </w:r>
      <w:r>
        <w:rPr>
          <w:rStyle w:val="216"/>
          <w:rFonts w:hint="eastAsia" w:ascii="宋体" w:hAnsi="宋体" w:eastAsia="宋体" w:cs="宋体"/>
          <w:color w:val="000000" w:themeColor="text1"/>
          <w:spacing w:val="0"/>
          <w:sz w:val="28"/>
          <w:szCs w:val="28"/>
          <w:highlight w:val="none"/>
          <w14:textFill>
            <w14:solidFill>
              <w14:schemeClr w14:val="tx1"/>
            </w14:solidFill>
          </w14:textFill>
        </w:rPr>
        <w:t>、服务方案</w:t>
      </w:r>
    </w:p>
    <w:p w14:paraId="6376DC1E">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t>九</w:t>
      </w:r>
      <w:r>
        <w:rPr>
          <w:rStyle w:val="216"/>
          <w:rFonts w:hint="eastAsia" w:ascii="宋体" w:hAnsi="宋体" w:eastAsia="宋体" w:cs="宋体"/>
          <w:color w:val="000000" w:themeColor="text1"/>
          <w:spacing w:val="0"/>
          <w:sz w:val="28"/>
          <w:szCs w:val="28"/>
          <w:highlight w:val="none"/>
          <w14:textFill>
            <w14:solidFill>
              <w14:schemeClr w14:val="tx1"/>
            </w14:solidFill>
          </w14:textFill>
        </w:rPr>
        <w:t>、投标人情况介绍</w:t>
      </w:r>
    </w:p>
    <w:p w14:paraId="4483DDB1">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14:textFill>
            <w14:solidFill>
              <w14:schemeClr w14:val="tx1"/>
            </w14:solidFill>
          </w14:textFill>
        </w:rPr>
        <w:t>十、技术要求响应及偏离表</w:t>
      </w:r>
    </w:p>
    <w:p w14:paraId="51FE42E7">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28"/>
          <w:szCs w:val="28"/>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14:textFill>
            <w14:solidFill>
              <w14:schemeClr w14:val="tx1"/>
            </w14:solidFill>
          </w14:textFill>
        </w:rPr>
        <w:t>十</w:t>
      </w:r>
      <w:r>
        <w:rPr>
          <w:rStyle w:val="216"/>
          <w:rFonts w:hint="eastAsia" w:ascii="宋体" w:hAnsi="宋体" w:eastAsia="宋体" w:cs="宋体"/>
          <w:color w:val="000000" w:themeColor="text1"/>
          <w:spacing w:val="0"/>
          <w:sz w:val="28"/>
          <w:szCs w:val="28"/>
          <w:highlight w:val="none"/>
          <w:lang w:val="en-US"/>
          <w14:textFill>
            <w14:solidFill>
              <w14:schemeClr w14:val="tx1"/>
            </w14:solidFill>
          </w14:textFill>
        </w:rPr>
        <w:t>一</w:t>
      </w:r>
      <w:r>
        <w:rPr>
          <w:rStyle w:val="216"/>
          <w:rFonts w:hint="eastAsia" w:ascii="宋体" w:hAnsi="宋体" w:eastAsia="宋体" w:cs="宋体"/>
          <w:color w:val="000000" w:themeColor="text1"/>
          <w:spacing w:val="0"/>
          <w:sz w:val="28"/>
          <w:szCs w:val="28"/>
          <w:highlight w:val="none"/>
          <w14:textFill>
            <w14:solidFill>
              <w14:schemeClr w14:val="tx1"/>
            </w14:solidFill>
          </w14:textFill>
        </w:rPr>
        <w:t>、商务条款响应及偏离表</w:t>
      </w:r>
    </w:p>
    <w:p w14:paraId="34F91B93">
      <w:pPr>
        <w:pStyle w:val="241"/>
        <w:keepNext w:val="0"/>
        <w:keepLines w:val="0"/>
        <w:pageBreakBefore w:val="0"/>
        <w:widowControl/>
        <w:shd w:val="clear" w:color="auto"/>
        <w:spacing w:line="480" w:lineRule="auto"/>
        <w:rPr>
          <w:rStyle w:val="216"/>
          <w:rFonts w:hint="eastAsia" w:ascii="宋体" w:hAnsi="宋体" w:eastAsia="宋体" w:cs="宋体"/>
          <w:color w:val="000000" w:themeColor="text1"/>
          <w:spacing w:val="0"/>
          <w:sz w:val="32"/>
          <w:szCs w:val="32"/>
          <w:highlight w:val="none"/>
          <w14:textFill>
            <w14:solidFill>
              <w14:schemeClr w14:val="tx1"/>
            </w14:solidFill>
          </w14:textFill>
        </w:rPr>
      </w:pPr>
      <w:r>
        <w:rPr>
          <w:rStyle w:val="216"/>
          <w:rFonts w:hint="eastAsia" w:ascii="宋体" w:hAnsi="宋体" w:eastAsia="宋体" w:cs="宋体"/>
          <w:color w:val="000000" w:themeColor="text1"/>
          <w:spacing w:val="0"/>
          <w:sz w:val="28"/>
          <w:szCs w:val="28"/>
          <w:highlight w:val="none"/>
          <w:lang w:val="en-US" w:eastAsia="zh-CN"/>
          <w14:textFill>
            <w14:solidFill>
              <w14:schemeClr w14:val="tx1"/>
            </w14:solidFill>
          </w14:textFill>
        </w:rPr>
        <w:t>十二</w:t>
      </w:r>
      <w:r>
        <w:rPr>
          <w:rStyle w:val="216"/>
          <w:rFonts w:hint="eastAsia" w:ascii="宋体" w:hAnsi="宋体" w:eastAsia="宋体" w:cs="宋体"/>
          <w:color w:val="000000" w:themeColor="text1"/>
          <w:spacing w:val="0"/>
          <w:sz w:val="28"/>
          <w:szCs w:val="28"/>
          <w:highlight w:val="none"/>
          <w14:textFill>
            <w14:solidFill>
              <w14:schemeClr w14:val="tx1"/>
            </w14:solidFill>
          </w14:textFill>
        </w:rPr>
        <w:t>、其他材料</w:t>
      </w:r>
    </w:p>
    <w:p w14:paraId="41FAE506">
      <w:pPr>
        <w:pStyle w:val="242"/>
        <w:keepNext w:val="0"/>
        <w:keepLines w:val="0"/>
        <w:pageBreakBefore w:val="0"/>
        <w:widowControl/>
        <w:shd w:val="clear" w:color="auto"/>
        <w:spacing w:line="400" w:lineRule="exact"/>
        <w:jc w:val="left"/>
        <w:outlineLvl w:val="1"/>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color w:val="000000" w:themeColor="text1"/>
          <w:spacing w:val="0"/>
          <w:highlight w:val="none"/>
          <w14:textFill>
            <w14:solidFill>
              <w14:schemeClr w14:val="tx1"/>
            </w14:solidFill>
          </w14:textFill>
        </w:rPr>
        <w:br w:type="page" w:clear="all"/>
      </w:r>
      <w:bookmarkStart w:id="383" w:name="_Toc24520"/>
      <w:bookmarkStart w:id="384" w:name="_Toc10661"/>
      <w:bookmarkStart w:id="385" w:name="_Toc10154"/>
      <w:bookmarkStart w:id="386" w:name="_Toc31370"/>
      <w:bookmarkStart w:id="387" w:name="_Toc29924"/>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一、封面</w:t>
      </w:r>
      <w:bookmarkEnd w:id="383"/>
      <w:bookmarkEnd w:id="384"/>
      <w:bookmarkEnd w:id="385"/>
      <w:bookmarkEnd w:id="386"/>
      <w:bookmarkEnd w:id="387"/>
    </w:p>
    <w:p w14:paraId="075F226F">
      <w:pPr>
        <w:pStyle w:val="243"/>
        <w:shd w:val="clear" w:color="auto"/>
        <w:spacing w:before="540" w:after="540"/>
        <w:jc w:val="center"/>
        <w:rPr>
          <w:rStyle w:val="216"/>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pPr>
      <w:r>
        <w:rPr>
          <w:rStyle w:val="216"/>
          <w:rFonts w:hint="eastAsia" w:ascii="宋体" w:hAnsi="宋体" w:eastAsia="宋体" w:cs="宋体"/>
          <w:b/>
          <w:bCs/>
          <w:caps w:val="0"/>
          <w:smallCaps w:val="0"/>
          <w:color w:val="000000" w:themeColor="text1"/>
          <w:spacing w:val="0"/>
          <w:sz w:val="72"/>
          <w:szCs w:val="72"/>
          <w:highlight w:val="none"/>
          <w:shd w:val="clear" w:color="auto" w:fill="auto"/>
          <w14:textFill>
            <w14:solidFill>
              <w14:schemeClr w14:val="tx1"/>
            </w14:solidFill>
          </w14:textFill>
        </w:rPr>
        <w:t>投 标 文 件</w:t>
      </w:r>
    </w:p>
    <w:p w14:paraId="58DE9B63">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5EC18FAD">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4D25F11C">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5CD2BF0C">
      <w:pPr>
        <w:pStyle w:val="243"/>
        <w:shd w:val="clear" w:color="auto"/>
        <w:spacing w:before="360" w:after="360"/>
        <w:ind w:firstLine="2168"/>
        <w:jc w:val="both"/>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项</w:t>
      </w: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目</w:t>
      </w: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名</w:t>
      </w: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称：</w:t>
      </w:r>
      <w:r>
        <w:rPr>
          <w:rStyle w:val="216"/>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p>
    <w:p w14:paraId="5535CE08">
      <w:pPr>
        <w:pStyle w:val="243"/>
        <w:shd w:val="clear" w:color="auto"/>
        <w:spacing w:before="360" w:after="360"/>
        <w:ind w:firstLine="2168"/>
        <w:jc w:val="both"/>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招</w:t>
      </w: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标</w:t>
      </w: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编</w:t>
      </w: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 xml:space="preserve"> </w:t>
      </w: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号：</w:t>
      </w:r>
      <w:r>
        <w:rPr>
          <w:rStyle w:val="216"/>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p>
    <w:p w14:paraId="5176B790">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32304446">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30B989BD">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09E1675D">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55214AE5">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3E88F8B3">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2B3A83D2">
      <w:pPr>
        <w:pStyle w:val="243"/>
        <w:keepNext w:val="0"/>
        <w:keepLines w:val="0"/>
        <w:pageBreakBefore w:val="0"/>
        <w:widowControl/>
        <w:shd w:val="clear" w:color="auto"/>
        <w:spacing w:line="520" w:lineRule="exact"/>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223682E0">
      <w:pPr>
        <w:pStyle w:val="243"/>
        <w:shd w:val="clear" w:color="auto"/>
        <w:spacing w:before="360" w:after="360"/>
        <w:ind w:firstLine="2168"/>
        <w:jc w:val="both"/>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投标人名称：</w:t>
      </w:r>
      <w:r>
        <w:rPr>
          <w:rStyle w:val="216"/>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p>
    <w:p w14:paraId="58BC2B07">
      <w:pPr>
        <w:pStyle w:val="243"/>
        <w:shd w:val="clear" w:color="auto"/>
        <w:spacing w:before="360" w:after="360"/>
        <w:ind w:firstLine="2168"/>
        <w:jc w:val="both"/>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日</w:t>
      </w: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 xml:space="preserve">      </w:t>
      </w: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期：</w:t>
      </w:r>
      <w:r>
        <w:rPr>
          <w:rStyle w:val="216"/>
          <w:rFonts w:hint="eastAsia" w:ascii="宋体" w:hAnsi="宋体" w:eastAsia="宋体" w:cs="宋体"/>
          <w:b/>
          <w:bCs/>
          <w:caps w:val="0"/>
          <w:smallCaps w:val="0"/>
          <w:color w:val="000000" w:themeColor="text1"/>
          <w:spacing w:val="0"/>
          <w:sz w:val="36"/>
          <w:szCs w:val="36"/>
          <w:highlight w:val="none"/>
          <w:u w:val="single"/>
          <w:shd w:val="clear" w:color="auto" w:fill="auto"/>
          <w:lang w:val="en-US" w:eastAsia="zh-CN"/>
          <w14:textFill>
            <w14:solidFill>
              <w14:schemeClr w14:val="tx1"/>
            </w14:solidFill>
          </w14:textFill>
        </w:rPr>
        <w:t xml:space="preserve">                </w:t>
      </w:r>
    </w:p>
    <w:p w14:paraId="492192BE">
      <w:pPr>
        <w:pStyle w:val="243"/>
        <w:keepNext w:val="0"/>
        <w:keepLines w:val="0"/>
        <w:pageBreakBefore w:val="0"/>
        <w:widowControl/>
        <w:shd w:val="clear" w:color="auto"/>
        <w:spacing w:line="520" w:lineRule="exact"/>
        <w:jc w:val="center"/>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13A5B7E5">
      <w:pPr>
        <w:pStyle w:val="243"/>
        <w:keepNext w:val="0"/>
        <w:keepLines w:val="0"/>
        <w:pageBreakBefore w:val="0"/>
        <w:widowControl/>
        <w:shd w:val="clear" w:color="auto"/>
        <w:spacing w:line="520" w:lineRule="exact"/>
        <w:jc w:val="center"/>
        <w:outlineLvl w:val="9"/>
        <w:rPr>
          <w:rStyle w:val="216"/>
          <w:rFonts w:hint="eastAsia" w:ascii="宋体" w:hAnsi="宋体" w:eastAsia="宋体" w:cs="宋体"/>
          <w:b/>
          <w:bCs/>
          <w:caps w:val="0"/>
          <w:smallCaps w:val="0"/>
          <w:color w:val="000000" w:themeColor="text1"/>
          <w:spacing w:val="0"/>
          <w:highlight w:val="none"/>
          <w:shd w:val="clear" w:color="auto" w:fill="auto"/>
          <w14:textFill>
            <w14:solidFill>
              <w14:schemeClr w14:val="tx1"/>
            </w14:solidFill>
          </w14:textFill>
        </w:rPr>
      </w:pPr>
    </w:p>
    <w:p w14:paraId="271F890B">
      <w:pPr>
        <w:pStyle w:val="244"/>
        <w:shd w:val="clear" w:color="auto"/>
        <w:jc w:val="both"/>
        <w:outlineLvl w:val="1"/>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388" w:name="_Toc19488"/>
      <w:bookmarkStart w:id="389" w:name="_Toc3182"/>
      <w:bookmarkStart w:id="390" w:name="_Toc28507"/>
      <w:bookmarkStart w:id="391" w:name="_Toc3730"/>
      <w:bookmarkStart w:id="392" w:name="_Toc27453"/>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二、投标函格式</w:t>
      </w:r>
      <w:bookmarkEnd w:id="388"/>
      <w:bookmarkEnd w:id="389"/>
      <w:bookmarkEnd w:id="390"/>
      <w:bookmarkEnd w:id="391"/>
      <w:bookmarkEnd w:id="392"/>
    </w:p>
    <w:p w14:paraId="6BD5625A">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投标函</w:t>
      </w:r>
    </w:p>
    <w:p w14:paraId="3ED04052">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致：</w:t>
      </w:r>
      <w:r>
        <w:rPr>
          <w:rStyle w:val="21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苏州政合信咨询管理服务有限公司</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w:t>
      </w:r>
    </w:p>
    <w:p w14:paraId="509CFCCD">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根据贵方的</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号招标文件，正式授权下述签字人</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(姓名和职务)代表我方</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（投标人名称），全权处理本次项目投标的有关事宜。</w:t>
      </w:r>
    </w:p>
    <w:p w14:paraId="785E6419">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据此函，签字人兹宣布同意如下：</w:t>
      </w:r>
    </w:p>
    <w:p w14:paraId="48FDD501">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1</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同意向贵方提供贵方可能另外要求的与投标有关的任何证据或资料；</w:t>
      </w:r>
    </w:p>
    <w:p w14:paraId="3CF98657">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2</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我们完全理解贵方不一定将合同授予最低报价的投标人；</w:t>
      </w:r>
    </w:p>
    <w:p w14:paraId="793120EC">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3</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我们已详细审核全部招标文件及其有效补充文件，我们知道必须放弃提出含糊不清或误解问题的权利；</w:t>
      </w:r>
    </w:p>
    <w:p w14:paraId="70277F63">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4</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一旦我方中标，我们将根据招标文件的规定，严格履行合同条款的责任和义务，并保证按照合同条款提供服务；</w:t>
      </w:r>
    </w:p>
    <w:p w14:paraId="259A6B7E">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5</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与本投标有关的正式通讯地址为：</w:t>
      </w:r>
    </w:p>
    <w:p w14:paraId="740AE425">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地址：</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0887F21E">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邮编：</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68D35B12">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电话：</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523866CC">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传真：</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1C4B19B3">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投标人法定代表人（单位负责人）或授权代表姓名（签字或盖章）：</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439F352B">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人</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名称：</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7EBE27CB">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公章：</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69FC99A0">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日期：</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2F6BE46D">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pPr>
    </w:p>
    <w:p w14:paraId="204551C9">
      <w:pPr>
        <w:pStyle w:val="246"/>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sectPr>
          <w:headerReference r:id="rId24" w:type="first"/>
          <w:headerReference r:id="rId23" w:type="default"/>
          <w:pgSz w:w="11906" w:h="16838"/>
          <w:pgMar w:top="1440" w:right="1080" w:bottom="1440" w:left="1080" w:header="851" w:footer="992" w:gutter="0"/>
          <w:cols w:space="1701" w:num="1"/>
          <w:titlePg/>
          <w:docGrid w:linePitch="360" w:charSpace="0"/>
        </w:sectPr>
      </w:pPr>
    </w:p>
    <w:p w14:paraId="60B90CD2">
      <w:pPr>
        <w:pStyle w:val="247"/>
        <w:keepNext w:val="0"/>
        <w:keepLines w:val="0"/>
        <w:pageBreakBefore w:val="0"/>
        <w:widowControl/>
        <w:shd w:val="clear" w:color="auto"/>
        <w:spacing w:line="520" w:lineRule="exact"/>
        <w:jc w:val="left"/>
        <w:outlineLvl w:val="1"/>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393" w:name="_Toc2722"/>
      <w:bookmarkStart w:id="394" w:name="_Toc9318"/>
      <w:bookmarkStart w:id="395" w:name="_Toc32465"/>
      <w:bookmarkStart w:id="396" w:name="_Toc26406"/>
      <w:bookmarkStart w:id="397" w:name="_Toc23994"/>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三、开标一览表</w:t>
      </w:r>
      <w:bookmarkEnd w:id="393"/>
      <w:bookmarkEnd w:id="394"/>
      <w:bookmarkEnd w:id="395"/>
      <w:bookmarkEnd w:id="396"/>
      <w:bookmarkEnd w:id="397"/>
    </w:p>
    <w:p w14:paraId="0B5974C2">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开标一览表（总报价）</w:t>
      </w:r>
    </w:p>
    <w:p w14:paraId="4AD934F2">
      <w:pPr>
        <w:pStyle w:val="245"/>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人</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全称（加盖公章）：</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1DC97DDE">
      <w:pPr>
        <w:pStyle w:val="245"/>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项目编号：</w:t>
      </w:r>
      <w:r>
        <w:rPr>
          <w:rStyle w:val="216"/>
          <w:rFonts w:hint="eastAsia" w:ascii="宋体" w:hAnsi="宋体" w:eastAsia="宋体" w:cs="宋体"/>
          <w:caps w:val="0"/>
          <w:smallCaps w:val="0"/>
          <w:color w:val="000000" w:themeColor="text1"/>
          <w:spacing w:val="0"/>
          <w:sz w:val="24"/>
          <w:szCs w:val="24"/>
          <w:highlight w:val="none"/>
          <w:u w:val="single"/>
          <w:shd w:val="clear" w:color="auto" w:fill="auto"/>
          <w:lang w:val="en-US" w:eastAsia="zh-CN"/>
          <w14:textFill>
            <w14:solidFill>
              <w14:schemeClr w14:val="tx1"/>
            </w14:solidFill>
          </w14:textFill>
        </w:rPr>
        <w:t xml:space="preserve">                                    </w:t>
      </w:r>
    </w:p>
    <w:p w14:paraId="0C645B59">
      <w:pPr>
        <w:pStyle w:val="245"/>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p>
    <w:p w14:paraId="32F086BB">
      <w:pPr>
        <w:pStyle w:val="245"/>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p>
    <w:p w14:paraId="7BFC0E1B">
      <w:pPr>
        <w:pStyle w:val="245"/>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14:textFill>
            <w14:solidFill>
              <w14:schemeClr w14:val="tx1"/>
            </w14:solidFill>
          </w14:textFill>
        </w:rPr>
      </w:pPr>
    </w:p>
    <w:tbl>
      <w:tblPr>
        <w:tblStyle w:val="39"/>
        <w:tblW w:w="978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91"/>
        <w:gridCol w:w="7198"/>
      </w:tblGrid>
      <w:tr w14:paraId="6F0BB9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591" w:type="dxa"/>
            <w:noWrap w:val="0"/>
            <w:tcMar>
              <w:top w:w="0" w:type="dxa"/>
              <w:left w:w="0" w:type="dxa"/>
              <w:bottom w:w="0" w:type="dxa"/>
              <w:right w:w="0" w:type="dxa"/>
            </w:tcMar>
            <w:vAlign w:val="center"/>
          </w:tcPr>
          <w:p w14:paraId="36F62BA9">
            <w:pPr>
              <w:pStyle w:val="245"/>
              <w:shd w:val="clear" w:color="auto"/>
              <w:spacing w:line="240" w:lineRule="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项目名称</w:t>
            </w:r>
          </w:p>
        </w:tc>
        <w:tc>
          <w:tcPr>
            <w:tcW w:w="7198" w:type="dxa"/>
            <w:noWrap w:val="0"/>
            <w:tcMar>
              <w:top w:w="0" w:type="dxa"/>
              <w:left w:w="0" w:type="dxa"/>
              <w:bottom w:w="0" w:type="dxa"/>
              <w:right w:w="0" w:type="dxa"/>
            </w:tcMar>
            <w:vAlign w:val="center"/>
          </w:tcPr>
          <w:p w14:paraId="4848912C">
            <w:pPr>
              <w:pStyle w:val="245"/>
              <w:shd w:val="clear" w:color="auto"/>
              <w:spacing w:line="240" w:lineRule="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lang w:val="en-US"/>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lang w:val="en-US"/>
                <w14:textFill>
                  <w14:solidFill>
                    <w14:schemeClr w14:val="tx1"/>
                  </w14:solidFill>
                </w14:textFill>
              </w:rPr>
              <w:t>投标总报价</w:t>
            </w:r>
          </w:p>
        </w:tc>
      </w:tr>
      <w:tr w14:paraId="7E86D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134" w:hRule="atLeast"/>
        </w:trPr>
        <w:tc>
          <w:tcPr>
            <w:tcW w:w="2591" w:type="dxa"/>
            <w:noWrap w:val="0"/>
            <w:tcMar>
              <w:top w:w="0" w:type="dxa"/>
              <w:left w:w="0" w:type="dxa"/>
              <w:bottom w:w="0" w:type="dxa"/>
              <w:right w:w="0" w:type="dxa"/>
            </w:tcMar>
            <w:vAlign w:val="center"/>
          </w:tcPr>
          <w:p w14:paraId="7F896757">
            <w:pPr>
              <w:pStyle w:val="245"/>
              <w:keepNext w:val="0"/>
              <w:keepLines w:val="0"/>
              <w:pageBreakBefore w:val="0"/>
              <w:widowControl/>
              <w:shd w:val="clear" w:color="auto"/>
              <w:spacing w:line="240" w:lineRule="auto"/>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张家港经济技术开发区园区限值限量监测设备第三方运维服务项目</w:t>
            </w:r>
          </w:p>
        </w:tc>
        <w:tc>
          <w:tcPr>
            <w:tcW w:w="7198" w:type="dxa"/>
            <w:noWrap w:val="0"/>
            <w:tcMar>
              <w:top w:w="0" w:type="dxa"/>
              <w:left w:w="0" w:type="dxa"/>
              <w:bottom w:w="0" w:type="dxa"/>
              <w:right w:w="0" w:type="dxa"/>
            </w:tcMar>
            <w:vAlign w:val="center"/>
          </w:tcPr>
          <w:p w14:paraId="53C7ECE2">
            <w:pPr>
              <w:pStyle w:val="245"/>
              <w:shd w:val="clear" w:color="auto"/>
              <w:spacing w:line="240" w:lineRule="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小写：</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14:textFill>
                  <w14:solidFill>
                    <w14:schemeClr w14:val="tx1"/>
                  </w14:solidFill>
                </w14:textFill>
              </w:rPr>
              <w:t>（元人民币）</w:t>
            </w:r>
          </w:p>
        </w:tc>
      </w:tr>
      <w:tr w14:paraId="767345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7" w:hRule="atLeast"/>
        </w:trPr>
        <w:tc>
          <w:tcPr>
            <w:tcW w:w="2591" w:type="dxa"/>
            <w:noWrap w:val="0"/>
            <w:tcMar>
              <w:top w:w="0" w:type="dxa"/>
              <w:left w:w="0" w:type="dxa"/>
              <w:bottom w:w="0" w:type="dxa"/>
              <w:right w:w="0" w:type="dxa"/>
            </w:tcMar>
            <w:vAlign w:val="center"/>
          </w:tcPr>
          <w:p w14:paraId="1296696D">
            <w:pPr>
              <w:pStyle w:val="245"/>
              <w:shd w:val="clear" w:color="auto"/>
              <w:spacing w:line="240" w:lineRule="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投标报价大写金额</w:t>
            </w:r>
          </w:p>
        </w:tc>
        <w:tc>
          <w:tcPr>
            <w:tcW w:w="7198" w:type="dxa"/>
            <w:noWrap w:val="0"/>
            <w:tcMar>
              <w:top w:w="0" w:type="dxa"/>
              <w:left w:w="0" w:type="dxa"/>
              <w:bottom w:w="0" w:type="dxa"/>
              <w:right w:w="0" w:type="dxa"/>
            </w:tcMar>
            <w:vAlign w:val="center"/>
          </w:tcPr>
          <w:p w14:paraId="72927CE3">
            <w:pPr>
              <w:pStyle w:val="245"/>
              <w:shd w:val="clear" w:color="auto"/>
              <w:spacing w:line="240" w:lineRule="auto"/>
              <w:ind w:firstLine="1200"/>
              <w:jc w:val="both"/>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大</w:t>
            </w:r>
            <w:r>
              <w:rPr>
                <w:rFonts w:hint="eastAsia" w:ascii="宋体" w:hAnsi="宋体" w:eastAsia="宋体" w:cs="宋体"/>
                <w:color w:val="000000" w:themeColor="text1"/>
                <w:spacing w:val="0"/>
                <w:sz w:val="24"/>
                <w:szCs w:val="24"/>
                <w:highlight w:val="none"/>
                <w14:textFill>
                  <w14:solidFill>
                    <w14:schemeClr w14:val="tx1"/>
                  </w14:solidFill>
                </w14:textFill>
              </w:rPr>
              <w:t>写：</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p>
        </w:tc>
      </w:tr>
    </w:tbl>
    <w:p w14:paraId="1D213D74">
      <w:pPr>
        <w:pStyle w:val="245"/>
        <w:keepNext w:val="0"/>
        <w:keepLines w:val="0"/>
        <w:pageBreakBefore w:val="0"/>
        <w:widowControl/>
        <w:shd w:val="clear" w:color="auto"/>
        <w:spacing w:line="520" w:lineRule="exact"/>
        <w:jc w:val="right"/>
        <w:rPr>
          <w:rStyle w:val="216"/>
          <w:rFonts w:hint="eastAsia" w:ascii="宋体" w:hAnsi="宋体" w:eastAsia="宋体" w:cs="宋体"/>
          <w:b/>
          <w:bCs/>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日期：</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年</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月</w:t>
      </w:r>
      <w:r>
        <w:rPr>
          <w:rFonts w:hint="eastAsia" w:ascii="宋体" w:hAnsi="宋体" w:eastAsia="宋体" w:cs="宋体"/>
          <w:color w:val="000000" w:themeColor="text1"/>
          <w:spacing w:val="0"/>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14:textFill>
            <w14:solidFill>
              <w14:schemeClr w14:val="tx1"/>
            </w14:solidFill>
          </w14:textFill>
        </w:rPr>
        <w:t>日</w:t>
      </w:r>
    </w:p>
    <w:p w14:paraId="433C9486">
      <w:pPr>
        <w:pStyle w:val="206"/>
        <w:keepNext w:val="0"/>
        <w:keepLines w:val="0"/>
        <w:widowControl/>
        <w:suppressLineNumbers w:val="0"/>
        <w:shd w:val="clear" w:color="auto"/>
        <w:spacing w:line="440" w:lineRule="exact"/>
        <w:rPr>
          <w:rFonts w:hint="eastAsia" w:ascii="宋体" w:hAnsi="宋体" w:eastAsia="宋体" w:cs="宋体"/>
          <w:color w:val="000000" w:themeColor="text1"/>
          <w:spacing w:val="0"/>
          <w:highlight w:val="none"/>
          <w14:textFill>
            <w14:solidFill>
              <w14:schemeClr w14:val="tx1"/>
            </w14:solidFill>
          </w14:textFill>
        </w:rPr>
      </w:pPr>
    </w:p>
    <w:p w14:paraId="525052F6">
      <w:pPr>
        <w:pStyle w:val="206"/>
        <w:keepNext w:val="0"/>
        <w:keepLines w:val="0"/>
        <w:widowControl/>
        <w:suppressLineNumbers w:val="0"/>
        <w:shd w:val="clear" w:color="auto"/>
        <w:spacing w:line="440" w:lineRule="exact"/>
        <w:rPr>
          <w:rFonts w:hint="eastAsia" w:ascii="宋体" w:hAnsi="宋体" w:eastAsia="宋体" w:cs="宋体"/>
          <w:color w:val="000000" w:themeColor="text1"/>
          <w:spacing w:val="0"/>
          <w:highlight w:val="none"/>
          <w14:textFill>
            <w14:solidFill>
              <w14:schemeClr w14:val="tx1"/>
            </w14:solidFill>
          </w14:textFill>
        </w:rPr>
      </w:pPr>
    </w:p>
    <w:p w14:paraId="253A2160">
      <w:pPr>
        <w:pStyle w:val="206"/>
        <w:keepNext w:val="0"/>
        <w:keepLines w:val="0"/>
        <w:widowControl/>
        <w:suppressLineNumbers w:val="0"/>
        <w:shd w:val="clear" w:color="auto"/>
        <w:spacing w:line="440" w:lineRule="exact"/>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color w:val="000000" w:themeColor="text1"/>
          <w:spacing w:val="0"/>
          <w:highlight w:val="none"/>
          <w14:textFill>
            <w14:solidFill>
              <w14:schemeClr w14:val="tx1"/>
            </w14:solidFill>
          </w14:textFill>
        </w:rPr>
        <w:t>填写说明：</w:t>
      </w:r>
    </w:p>
    <w:p w14:paraId="178FF3D1">
      <w:pPr>
        <w:pStyle w:val="206"/>
        <w:keepNext w:val="0"/>
        <w:keepLines w:val="0"/>
        <w:widowControl/>
        <w:suppressLineNumbers w:val="0"/>
        <w:shd w:val="clear" w:color="auto"/>
        <w:spacing w:line="440" w:lineRule="exact"/>
        <w:rPr>
          <w:rFonts w:hint="eastAsia" w:ascii="宋体" w:hAnsi="宋体" w:eastAsia="宋体" w:cs="宋体"/>
          <w:color w:val="000000" w:themeColor="text1"/>
          <w:spacing w:val="0"/>
          <w:highlight w:val="none"/>
          <w14:textFill>
            <w14:solidFill>
              <w14:schemeClr w14:val="tx1"/>
            </w14:solidFill>
          </w14:textFill>
        </w:rPr>
      </w:pPr>
      <w:r>
        <w:rPr>
          <w:rStyle w:val="207"/>
          <w:rFonts w:hint="eastAsia" w:ascii="宋体" w:hAnsi="宋体" w:eastAsia="宋体" w:cs="宋体"/>
          <w:color w:val="000000" w:themeColor="text1"/>
          <w:spacing w:val="0"/>
          <w:highlight w:val="none"/>
          <w:u w:val="single"/>
          <w14:textFill>
            <w14:solidFill>
              <w14:schemeClr w14:val="tx1"/>
            </w14:solidFill>
          </w14:textFill>
        </w:rPr>
        <w:t>1</w:t>
      </w:r>
      <w:r>
        <w:rPr>
          <w:rStyle w:val="207"/>
          <w:rFonts w:hint="eastAsia" w:ascii="宋体" w:hAnsi="宋体" w:eastAsia="宋体" w:cs="宋体"/>
          <w:color w:val="000000" w:themeColor="text1"/>
          <w:spacing w:val="0"/>
          <w:highlight w:val="none"/>
          <w:u w:val="single"/>
          <w:lang w:val="en-US" w:eastAsia="zh-CN"/>
          <w14:textFill>
            <w14:solidFill>
              <w14:schemeClr w14:val="tx1"/>
            </w14:solidFill>
          </w14:textFill>
        </w:rPr>
        <w:t>.</w:t>
      </w:r>
      <w:r>
        <w:rPr>
          <w:rStyle w:val="207"/>
          <w:rFonts w:hint="eastAsia" w:ascii="宋体" w:hAnsi="宋体" w:eastAsia="宋体" w:cs="宋体"/>
          <w:color w:val="000000" w:themeColor="text1"/>
          <w:spacing w:val="0"/>
          <w:highlight w:val="none"/>
          <w:u w:val="single"/>
          <w14:textFill>
            <w14:solidFill>
              <w14:schemeClr w14:val="tx1"/>
            </w14:solidFill>
          </w14:textFill>
        </w:rPr>
        <w:t>开标一览表必须加盖投标人公章（复印件无效）。</w:t>
      </w:r>
    </w:p>
    <w:p w14:paraId="3F51E601">
      <w:pPr>
        <w:pStyle w:val="206"/>
        <w:keepNext w:val="0"/>
        <w:keepLines w:val="0"/>
        <w:widowControl/>
        <w:suppressLineNumbers w:val="0"/>
        <w:shd w:val="clear" w:color="auto"/>
        <w:spacing w:line="44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07"/>
          <w:rFonts w:hint="eastAsia" w:ascii="宋体" w:hAnsi="宋体" w:eastAsia="宋体" w:cs="宋体"/>
          <w:color w:val="000000" w:themeColor="text1"/>
          <w:spacing w:val="0"/>
          <w:highlight w:val="none"/>
          <w:u w:val="single"/>
          <w14:textFill>
            <w14:solidFill>
              <w14:schemeClr w14:val="tx1"/>
            </w14:solidFill>
          </w14:textFill>
        </w:rPr>
        <w:t>2</w:t>
      </w:r>
      <w:r>
        <w:rPr>
          <w:rStyle w:val="207"/>
          <w:rFonts w:hint="eastAsia" w:ascii="宋体" w:hAnsi="宋体" w:eastAsia="宋体" w:cs="宋体"/>
          <w:color w:val="000000" w:themeColor="text1"/>
          <w:spacing w:val="0"/>
          <w:highlight w:val="none"/>
          <w:u w:val="single"/>
          <w:lang w:val="en-US" w:eastAsia="zh-CN"/>
          <w14:textFill>
            <w14:solidFill>
              <w14:schemeClr w14:val="tx1"/>
            </w14:solidFill>
          </w14:textFill>
        </w:rPr>
        <w:t>.</w:t>
      </w:r>
      <w:r>
        <w:rPr>
          <w:rStyle w:val="207"/>
          <w:rFonts w:hint="eastAsia" w:ascii="宋体" w:hAnsi="宋体" w:eastAsia="宋体" w:cs="宋体"/>
          <w:color w:val="000000" w:themeColor="text1"/>
          <w:spacing w:val="0"/>
          <w:highlight w:val="none"/>
          <w:u w:val="single"/>
          <w14:textFill>
            <w14:solidFill>
              <w14:schemeClr w14:val="tx1"/>
            </w14:solidFill>
          </w14:textFill>
        </w:rPr>
        <w:t>如有分包，投标人投任何一个包的标的，都需单独填写开标一览表。</w:t>
      </w:r>
    </w:p>
    <w:p w14:paraId="6877E0A8">
      <w:pPr>
        <w:pStyle w:val="245"/>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F9BFB82">
      <w:pPr>
        <w:pStyle w:val="248"/>
        <w:shd w:val="clear" w:color="auto"/>
        <w:jc w:val="left"/>
        <w:outlineLvl w:val="9"/>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40F4EDBB">
      <w:pPr>
        <w:pStyle w:val="249"/>
        <w:keepNext w:val="0"/>
        <w:keepLines w:val="0"/>
        <w:pageBreakBefore w:val="0"/>
        <w:widowControl/>
        <w:shd w:val="clear" w:color="auto"/>
        <w:spacing w:line="520" w:lineRule="exact"/>
        <w:jc w:val="left"/>
        <w:outlineLvl w:val="1"/>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pPr>
      <w:bookmarkStart w:id="398" w:name="_Toc10367"/>
      <w:bookmarkStart w:id="399" w:name="_Toc24613"/>
      <w:bookmarkStart w:id="400" w:name="_Toc21766"/>
      <w:bookmarkStart w:id="401" w:name="_Toc19115"/>
      <w:bookmarkStart w:id="402" w:name="_Toc28557"/>
      <w:bookmarkStart w:id="403" w:name="_Toc12028"/>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四、资格证明文件</w:t>
      </w:r>
      <w:bookmarkEnd w:id="398"/>
      <w:bookmarkEnd w:id="399"/>
      <w:bookmarkEnd w:id="400"/>
      <w:bookmarkEnd w:id="401"/>
    </w:p>
    <w:p w14:paraId="677A304F">
      <w:pPr>
        <w:pStyle w:val="250"/>
        <w:keepNext w:val="0"/>
        <w:keepLines w:val="0"/>
        <w:pageBreakBefore w:val="0"/>
        <w:widowControl/>
        <w:shd w:val="clear" w:color="auto"/>
        <w:spacing w:line="520" w:lineRule="exact"/>
        <w:ind w:firstLine="482"/>
        <w:outlineLvl w:val="2"/>
        <w:rPr>
          <w:rStyle w:val="216"/>
          <w:rFonts w:hint="eastAsia" w:ascii="宋体" w:hAnsi="宋体" w:eastAsia="宋体" w:cs="宋体"/>
          <w:b/>
          <w:bCs w:val="0"/>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bCs w:val="0"/>
          <w:i/>
          <w:iCs/>
          <w:color w:val="000000" w:themeColor="text1"/>
          <w:sz w:val="24"/>
          <w:szCs w:val="24"/>
          <w:highlight w:val="none"/>
          <w:u w:val="single"/>
          <w14:textFill>
            <w14:solidFill>
              <w14:schemeClr w14:val="tx1"/>
            </w14:solidFill>
          </w14:textFill>
        </w:rPr>
        <w:t>投标人必须在投标文件提交截止时间之前递交以下资格证明文件：</w:t>
      </w:r>
    </w:p>
    <w:p w14:paraId="485F527C">
      <w:pPr>
        <w:pStyle w:val="250"/>
        <w:keepNext w:val="0"/>
        <w:keepLines w:val="0"/>
        <w:pageBreakBefore w:val="0"/>
        <w:widowControl/>
        <w:shd w:val="clear" w:color="auto"/>
        <w:spacing w:line="520" w:lineRule="exact"/>
        <w:ind w:firstLine="480"/>
        <w:outlineLvl w:val="2"/>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1</w:t>
      </w: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2888FC86">
      <w:pPr>
        <w:pStyle w:val="250"/>
        <w:keepNext w:val="0"/>
        <w:keepLines w:val="0"/>
        <w:pageBreakBefore w:val="0"/>
        <w:widowControl/>
        <w:shd w:val="clear" w:color="auto"/>
        <w:spacing w:line="520" w:lineRule="exact"/>
        <w:ind w:firstLine="480"/>
        <w:outlineLvl w:val="2"/>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2</w:t>
      </w: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财务状况报告（成立不满一年不需要提供，若投标人为分公司，可提供总公司财务状况报告）；</w:t>
      </w:r>
    </w:p>
    <w:p w14:paraId="43ADF063">
      <w:pPr>
        <w:pStyle w:val="250"/>
        <w:keepNext w:val="0"/>
        <w:keepLines w:val="0"/>
        <w:pageBreakBefore w:val="0"/>
        <w:widowControl/>
        <w:shd w:val="clear" w:color="auto"/>
        <w:spacing w:line="520" w:lineRule="exact"/>
        <w:ind w:firstLine="480"/>
        <w:outlineLvl w:val="2"/>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3</w:t>
      </w: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依法缴纳税收和社会保障资金的相关材料（如依法享受缓缴、免缴税收、社会保障资金的，应提供相关证明材料）；</w:t>
      </w:r>
    </w:p>
    <w:p w14:paraId="040DC655">
      <w:pPr>
        <w:pStyle w:val="250"/>
        <w:keepNext w:val="0"/>
        <w:keepLines w:val="0"/>
        <w:pageBreakBefore w:val="0"/>
        <w:widowControl/>
        <w:shd w:val="clear" w:color="auto"/>
        <w:spacing w:line="520" w:lineRule="exact"/>
        <w:ind w:firstLine="480"/>
        <w:outlineLvl w:val="2"/>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4</w:t>
      </w: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具备履行合同所必需的设备和专业技术能力的书面声明（格式见后）；</w:t>
      </w:r>
    </w:p>
    <w:p w14:paraId="01C3085A">
      <w:pPr>
        <w:pStyle w:val="250"/>
        <w:keepNext w:val="0"/>
        <w:keepLines w:val="0"/>
        <w:pageBreakBefore w:val="0"/>
        <w:widowControl/>
        <w:shd w:val="clear" w:color="auto"/>
        <w:spacing w:line="520" w:lineRule="exact"/>
        <w:ind w:firstLine="480"/>
        <w:outlineLvl w:val="2"/>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5</w:t>
      </w: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参加政府采购活动前3年内在经营活动中没有重大违法记录的书面声明（格式见后）；</w:t>
      </w:r>
    </w:p>
    <w:p w14:paraId="08418CB7">
      <w:pPr>
        <w:pStyle w:val="250"/>
        <w:keepNext w:val="0"/>
        <w:keepLines w:val="0"/>
        <w:pageBreakBefore w:val="0"/>
        <w:widowControl/>
        <w:shd w:val="clear" w:color="auto"/>
        <w:spacing w:line="520" w:lineRule="exact"/>
        <w:ind w:firstLine="480"/>
        <w:outlineLvl w:val="2"/>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6.</w:t>
      </w: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提供授权委托书（被授权人非法定代表人的，应提供授权委托书；被授权人是法定代表人的，应提供授权委托书或法定代表人身份证明书。格式见后）；</w:t>
      </w:r>
    </w:p>
    <w:p w14:paraId="24165E15">
      <w:pPr>
        <w:pStyle w:val="250"/>
        <w:keepNext w:val="0"/>
        <w:keepLines w:val="0"/>
        <w:pageBreakBefore w:val="0"/>
        <w:widowControl/>
        <w:shd w:val="clear" w:color="auto"/>
        <w:spacing w:line="520" w:lineRule="exact"/>
        <w:ind w:firstLine="480"/>
        <w:outlineLvl w:val="2"/>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7</w:t>
      </w: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w:t>
      </w: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关于资格证明文件的书面承诺（格式见后）；</w:t>
      </w:r>
    </w:p>
    <w:p w14:paraId="3E1C57EE">
      <w:pPr>
        <w:keepNext w:val="0"/>
        <w:keepLines w:val="0"/>
        <w:pageBreakBefore w:val="0"/>
        <w:widowControl/>
        <w:shd w:val="clear" w:color="auto"/>
        <w:spacing w:line="520" w:lineRule="exact"/>
        <w:ind w:firstLine="480"/>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8.</w:t>
      </w:r>
      <w:r>
        <w:rPr>
          <w:rStyle w:val="216"/>
          <w:rFonts w:hint="eastAsia" w:ascii="宋体" w:hAnsi="宋体" w:eastAsia="宋体" w:cs="宋体"/>
          <w:b w:val="0"/>
          <w:bCs/>
          <w:i/>
          <w:iCs/>
          <w:color w:val="000000" w:themeColor="text1"/>
          <w:sz w:val="24"/>
          <w:szCs w:val="24"/>
          <w:highlight w:val="none"/>
          <w:u w:val="single"/>
          <w14:textFill>
            <w14:solidFill>
              <w14:schemeClr w14:val="tx1"/>
            </w14:solidFill>
          </w14:textFill>
        </w:rPr>
        <w:t>中小企业声明函等（格式见后）；</w:t>
      </w:r>
    </w:p>
    <w:p w14:paraId="42ACD455">
      <w:pPr>
        <w:pStyle w:val="250"/>
        <w:keepNext w:val="0"/>
        <w:keepLines w:val="0"/>
        <w:pageBreakBefore w:val="0"/>
        <w:widowControl/>
        <w:shd w:val="clear" w:color="auto"/>
        <w:spacing w:line="520" w:lineRule="exact"/>
        <w:ind w:firstLine="480"/>
        <w:outlineLvl w:val="2"/>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pPr>
      <w:r>
        <w:rPr>
          <w:rStyle w:val="216"/>
          <w:rFonts w:hint="eastAsia" w:ascii="宋体" w:hAnsi="宋体" w:eastAsia="宋体" w:cs="宋体"/>
          <w:b w:val="0"/>
          <w:bCs/>
          <w:i/>
          <w:iCs/>
          <w:color w:val="000000" w:themeColor="text1"/>
          <w:sz w:val="24"/>
          <w:szCs w:val="24"/>
          <w:highlight w:val="none"/>
          <w:u w:val="single"/>
          <w:lang w:val="en-US"/>
          <w14:textFill>
            <w14:solidFill>
              <w14:schemeClr w14:val="tx1"/>
            </w14:solidFill>
          </w14:textFill>
        </w:rPr>
        <w:t>9.未被“信用中国”网站（www.creditchina.gov.cn）列入失信被执行人、重大税收违法案件当事人名单、政府采购严重失信行为记录名单（提供相关证明材料）。</w:t>
      </w:r>
    </w:p>
    <w:p w14:paraId="151BB1EE">
      <w:pPr>
        <w:pStyle w:val="250"/>
        <w:shd w:val="clear" w:color="auto"/>
        <w:outlineLvl w:val="2"/>
        <w:rPr>
          <w:rStyle w:val="216"/>
          <w:rFonts w:hint="eastAsia" w:ascii="宋体" w:hAnsi="宋体" w:eastAsia="宋体" w:cs="宋体"/>
          <w:b/>
          <w:color w:val="000000" w:themeColor="text1"/>
          <w:sz w:val="28"/>
          <w:highlight w:val="none"/>
          <w14:textFill>
            <w14:solidFill>
              <w14:schemeClr w14:val="tx1"/>
            </w14:solidFill>
          </w14:textFill>
        </w:rPr>
      </w:pPr>
    </w:p>
    <w:p w14:paraId="5FF2C2AD">
      <w:pPr>
        <w:pStyle w:val="250"/>
        <w:shd w:val="clear" w:color="auto"/>
        <w:outlineLvl w:val="2"/>
        <w:rPr>
          <w:rStyle w:val="216"/>
          <w:rFonts w:hint="eastAsia" w:ascii="宋体" w:hAnsi="宋体" w:eastAsia="宋体" w:cs="宋体"/>
          <w:b/>
          <w:color w:val="000000" w:themeColor="text1"/>
          <w:sz w:val="28"/>
          <w:highlight w:val="none"/>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50590A6F">
      <w:pPr>
        <w:pStyle w:val="250"/>
        <w:keepNext w:val="0"/>
        <w:keepLines w:val="0"/>
        <w:pageBreakBefore w:val="0"/>
        <w:widowControl/>
        <w:shd w:val="clear" w:color="auto"/>
        <w:spacing w:line="520" w:lineRule="exact"/>
        <w:jc w:val="left"/>
        <w:outlineLvl w:val="2"/>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法人或者其他组织的营业执照等证明文件，自然人的身份证明</w:t>
      </w:r>
    </w:p>
    <w:p w14:paraId="401A53AB">
      <w:pPr>
        <w:pStyle w:val="251"/>
        <w:keepNext w:val="0"/>
        <w:keepLines w:val="0"/>
        <w:pageBreakBefore w:val="0"/>
        <w:widowControl/>
        <w:shd w:val="clear" w:color="auto"/>
        <w:spacing w:line="520" w:lineRule="exact"/>
        <w:outlineLvl w:val="9"/>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0E7A45E0">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法人或者其他组织的营业执照等证明文件，自然人的身份证明</w:t>
      </w:r>
    </w:p>
    <w:p w14:paraId="45ED05F3">
      <w:pPr>
        <w:pStyle w:val="251"/>
        <w:keepNext w:val="0"/>
        <w:keepLines w:val="0"/>
        <w:pageBreakBefore w:val="0"/>
        <w:widowControl/>
        <w:shd w:val="clear" w:color="auto"/>
        <w:spacing w:before="240" w:after="240" w:line="520" w:lineRule="exact"/>
        <w:jc w:val="left"/>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2E9E9D6E">
      <w:pPr>
        <w:pStyle w:val="251"/>
        <w:keepNext w:val="0"/>
        <w:keepLines w:val="0"/>
        <w:pageBreakBefore w:val="0"/>
        <w:widowControl/>
        <w:shd w:val="clear" w:color="auto"/>
        <w:spacing w:before="240" w:after="240" w:line="520" w:lineRule="exact"/>
        <w:jc w:val="left"/>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34032E7D">
      <w:pPr>
        <w:pStyle w:val="251"/>
        <w:keepNext w:val="0"/>
        <w:keepLines w:val="0"/>
        <w:pageBreakBefore w:val="0"/>
        <w:widowControl/>
        <w:shd w:val="clear" w:color="auto"/>
        <w:spacing w:before="240" w:after="240" w:line="520" w:lineRule="exact"/>
        <w:jc w:val="left"/>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6EA16D26">
      <w:pPr>
        <w:pStyle w:val="251"/>
        <w:keepNext w:val="0"/>
        <w:keepLines w:val="0"/>
        <w:pageBreakBefore w:val="0"/>
        <w:widowControl/>
        <w:shd w:val="clear" w:color="auto"/>
        <w:spacing w:before="240" w:after="240" w:line="520" w:lineRule="exact"/>
        <w:ind w:firstLine="480"/>
        <w:jc w:val="lef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注：若供应商为分公司，则还须提供总公司同意其独立开展业务的授权，其中银行、保险、石油石化、电力、电信、邮政、铁路等特殊行业，可提供总公司有关文件或制度等能够证明总公司授权其独立开展业务的证明材料。</w:t>
      </w:r>
    </w:p>
    <w:p w14:paraId="18D5D3FE">
      <w:pPr>
        <w:pStyle w:val="251"/>
        <w:keepNext w:val="0"/>
        <w:keepLines w:val="0"/>
        <w:pageBreakBefore w:val="0"/>
        <w:widowControl/>
        <w:shd w:val="clear" w:color="auto"/>
        <w:spacing w:before="240" w:after="240" w:line="520" w:lineRule="exact"/>
        <w:jc w:val="lef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37881205">
      <w:pPr>
        <w:pStyle w:val="251"/>
        <w:keepNext w:val="0"/>
        <w:keepLines w:val="0"/>
        <w:pageBreakBefore w:val="0"/>
        <w:widowControl/>
        <w:shd w:val="clear" w:color="auto"/>
        <w:spacing w:before="240" w:after="240" w:line="520" w:lineRule="exact"/>
        <w:jc w:val="lef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731020E6">
      <w:pPr>
        <w:pStyle w:val="252"/>
        <w:keepNext w:val="0"/>
        <w:keepLines w:val="0"/>
        <w:pageBreakBefore w:val="0"/>
        <w:widowControl/>
        <w:shd w:val="clear" w:color="auto"/>
        <w:spacing w:line="520" w:lineRule="exact"/>
        <w:jc w:val="left"/>
        <w:outlineLvl w:val="2"/>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财务状况报告（成立不满一年不需要提供，若投标人为分公司，可提供总公司财务状况报告）</w:t>
      </w:r>
    </w:p>
    <w:p w14:paraId="2559F0B6">
      <w:pPr>
        <w:pStyle w:val="253"/>
        <w:keepNext w:val="0"/>
        <w:keepLines w:val="0"/>
        <w:pageBreakBefore w:val="0"/>
        <w:widowControl/>
        <w:shd w:val="clear" w:color="auto"/>
        <w:spacing w:line="520" w:lineRule="exact"/>
        <w:outlineLvl w:val="9"/>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0B7D2F42">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近年财务状况表</w:t>
      </w:r>
    </w:p>
    <w:p w14:paraId="67F26086">
      <w:pPr>
        <w:keepNext w:val="0"/>
        <w:keepLines w:val="0"/>
        <w:pageBreakBefore w:val="0"/>
        <w:widowControl/>
        <w:shd w:val="clear" w:color="auto" w:fill="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lang w:val="en-US" w:eastAsia="zh-CN" w:bidi="ar-SA"/>
          <w14:textFill>
            <w14:solidFill>
              <w14:schemeClr w14:val="tx1"/>
            </w14:solidFill>
          </w14:textFill>
        </w:rPr>
      </w:pPr>
    </w:p>
    <w:p w14:paraId="44DB6D4D">
      <w:pPr>
        <w:keepNext w:val="0"/>
        <w:keepLines w:val="0"/>
        <w:pageBreakBefore w:val="0"/>
        <w:widowControl/>
        <w:shd w:val="clear" w:color="auto" w:fill="auto"/>
        <w:spacing w:before="240" w:after="240" w:line="520" w:lineRule="exact"/>
        <w:ind w:firstLine="480"/>
        <w:jc w:val="both"/>
        <w:rPr>
          <w:rFonts w:hint="eastAsia" w:ascii="宋体" w:hAnsi="宋体" w:eastAsia="宋体" w:cs="宋体"/>
          <w:caps w:val="0"/>
          <w:smallCaps w:val="0"/>
          <w:color w:val="000000" w:themeColor="text1"/>
          <w:spacing w:val="0"/>
          <w:sz w:val="24"/>
          <w:szCs w:val="24"/>
          <w:highlight w:val="none"/>
          <w:lang w:val="en-US" w:eastAsia="zh-CN" w:bidi="ar-SA"/>
          <w14:textFill>
            <w14:solidFill>
              <w14:schemeClr w14:val="tx1"/>
            </w14:solidFill>
          </w14:textFill>
          <w14:ligatures w14:val="none"/>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注：若投标人为分公司，可提供总公司财务状况报告。</w:t>
      </w:r>
    </w:p>
    <w:p w14:paraId="19501133">
      <w:pPr>
        <w:keepNext w:val="0"/>
        <w:keepLines w:val="0"/>
        <w:pageBreakBefore w:val="0"/>
        <w:widowControl/>
        <w:shd w:val="clear" w:color="auto" w:fill="auto"/>
        <w:spacing w:line="520" w:lineRule="exact"/>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pPr>
    </w:p>
    <w:p w14:paraId="6590D8C6">
      <w:pPr>
        <w:keepNext w:val="0"/>
        <w:keepLines w:val="0"/>
        <w:pageBreakBefore w:val="0"/>
        <w:widowControl/>
        <w:shd w:val="clear" w:color="auto" w:fill="auto"/>
        <w:spacing w:line="520" w:lineRule="exact"/>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192C0EBC">
      <w:pPr>
        <w:pStyle w:val="251"/>
        <w:shd w:val="clear" w:color="auto"/>
        <w:spacing w:before="240" w:after="240" w:line="520" w:lineRule="exact"/>
        <w:rPr>
          <w:rStyle w:val="216"/>
          <w:rFonts w:hint="eastAsia" w:ascii="宋体" w:hAnsi="宋体" w:eastAsia="宋体" w:cs="宋体"/>
          <w:color w:val="000000" w:themeColor="text1"/>
          <w:spacing w:val="0"/>
          <w:sz w:val="24"/>
          <w:szCs w:val="24"/>
          <w:highlight w:val="none"/>
          <w14:textFill>
            <w14:solidFill>
              <w14:schemeClr w14:val="tx1"/>
            </w14:solidFill>
          </w14:textFill>
        </w:rPr>
      </w:pPr>
      <w:r>
        <w:rPr>
          <w:rStyle w:val="216"/>
          <w:rFonts w:hint="eastAsia" w:ascii="宋体" w:hAnsi="宋体" w:eastAsia="宋体" w:cs="宋体"/>
          <w:b/>
          <w:color w:val="000000" w:themeColor="text1"/>
          <w:spacing w:val="0"/>
          <w:sz w:val="28"/>
          <w:highlight w:val="none"/>
          <w14:textFill>
            <w14:solidFill>
              <w14:schemeClr w14:val="tx1"/>
            </w14:solidFill>
          </w14:textFill>
        </w:rPr>
        <w:t>依法缴纳税收和社会保障资金的相关材料（如依法享受缓缴、免缴税收、社会保障资金的，应提供相关证明材料）</w:t>
      </w:r>
    </w:p>
    <w:p w14:paraId="46E74F9E">
      <w:pPr>
        <w:pStyle w:val="245"/>
        <w:shd w:val="clear" w:color="auto"/>
        <w:spacing w:before="567" w:after="567"/>
        <w:jc w:val="center"/>
        <w:rPr>
          <w:rStyle w:val="216"/>
          <w:rFonts w:hint="eastAsia" w:ascii="宋体" w:hAnsi="宋体" w:eastAsia="宋体" w:cs="宋体"/>
          <w:b/>
          <w:bCs/>
          <w:color w:val="000000" w:themeColor="text1"/>
          <w:spacing w:val="0"/>
          <w:sz w:val="36"/>
          <w:szCs w:val="36"/>
          <w:highlight w:val="none"/>
          <w14:textFill>
            <w14:solidFill>
              <w14:schemeClr w14:val="tx1"/>
            </w14:solidFill>
          </w14:textFill>
        </w:rPr>
      </w:pPr>
      <w:r>
        <w:rPr>
          <w:rStyle w:val="216"/>
          <w:rFonts w:hint="eastAsia" w:ascii="宋体" w:hAnsi="宋体" w:eastAsia="宋体" w:cs="宋体"/>
          <w:b/>
          <w:bCs/>
          <w:color w:val="000000" w:themeColor="text1"/>
          <w:spacing w:val="0"/>
          <w:sz w:val="36"/>
          <w:szCs w:val="36"/>
          <w:highlight w:val="none"/>
          <w14:textFill>
            <w14:solidFill>
              <w14:schemeClr w14:val="tx1"/>
            </w14:solidFill>
          </w14:textFill>
        </w:rPr>
        <w:t>依法缴纳税收和社会保障资金的相关材料（如依法享受缓缴、免缴税收、社会保障资金的，应提供相关证明材料）</w:t>
      </w:r>
    </w:p>
    <w:p w14:paraId="3AC73E40">
      <w:pPr>
        <w:pStyle w:val="251"/>
        <w:shd w:val="clear" w:color="auto"/>
        <w:spacing w:before="240" w:after="240" w:line="520" w:lineRule="exact"/>
        <w:rPr>
          <w:rStyle w:val="216"/>
          <w:rFonts w:hint="eastAsia" w:ascii="宋体" w:hAnsi="宋体" w:eastAsia="宋体" w:cs="宋体"/>
          <w:color w:val="000000" w:themeColor="text1"/>
          <w:spacing w:val="0"/>
          <w:sz w:val="24"/>
          <w:szCs w:val="24"/>
          <w:highlight w:val="none"/>
          <w14:textFill>
            <w14:solidFill>
              <w14:schemeClr w14:val="tx1"/>
            </w14:solidFill>
          </w14:textFill>
        </w:rPr>
      </w:pPr>
    </w:p>
    <w:p w14:paraId="4204AAD9">
      <w:pPr>
        <w:pStyle w:val="251"/>
        <w:shd w:val="clear" w:color="auto"/>
        <w:spacing w:before="240" w:after="240" w:line="520" w:lineRule="exact"/>
        <w:rPr>
          <w:rStyle w:val="216"/>
          <w:rFonts w:hint="eastAsia" w:ascii="宋体" w:hAnsi="宋体" w:eastAsia="宋体" w:cs="宋体"/>
          <w:color w:val="000000" w:themeColor="text1"/>
          <w:spacing w:val="0"/>
          <w:sz w:val="24"/>
          <w:szCs w:val="24"/>
          <w:highlight w:val="none"/>
          <w14:textFill>
            <w14:solidFill>
              <w14:schemeClr w14:val="tx1"/>
            </w14:solidFill>
          </w14:textFill>
        </w:rPr>
      </w:pPr>
    </w:p>
    <w:p w14:paraId="491231CB">
      <w:pPr>
        <w:pStyle w:val="251"/>
        <w:shd w:val="clear" w:color="auto"/>
        <w:spacing w:before="240" w:after="240" w:line="520" w:lineRule="exact"/>
        <w:rPr>
          <w:rStyle w:val="216"/>
          <w:rFonts w:hint="eastAsia" w:ascii="宋体" w:hAnsi="宋体" w:eastAsia="宋体" w:cs="宋体"/>
          <w:color w:val="000000" w:themeColor="text1"/>
          <w:spacing w:val="0"/>
          <w:sz w:val="24"/>
          <w:szCs w:val="24"/>
          <w:highlight w:val="none"/>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0CC6EFF8">
      <w:pPr>
        <w:pStyle w:val="254"/>
        <w:keepNext w:val="0"/>
        <w:keepLines w:val="0"/>
        <w:pageBreakBefore w:val="0"/>
        <w:widowControl/>
        <w:shd w:val="clear" w:color="auto"/>
        <w:spacing w:line="520" w:lineRule="exact"/>
        <w:jc w:val="left"/>
        <w:outlineLvl w:val="2"/>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具备履行合同所必需的设备和专业技术能力的书面声明</w:t>
      </w:r>
    </w:p>
    <w:p w14:paraId="2AA5D74A">
      <w:pPr>
        <w:pStyle w:val="255"/>
        <w:keepNext w:val="0"/>
        <w:keepLines w:val="0"/>
        <w:pageBreakBefore w:val="0"/>
        <w:widowControl/>
        <w:shd w:val="clear" w:color="auto"/>
        <w:spacing w:line="520" w:lineRule="exact"/>
        <w:outlineLvl w:val="9"/>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t>﻿</w:t>
      </w:r>
    </w:p>
    <w:p w14:paraId="499839D4">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具备履行合同所必需的设备和专业技术能力的书面声明</w:t>
      </w:r>
    </w:p>
    <w:p w14:paraId="55FC7F62">
      <w:pPr>
        <w:pStyle w:val="255"/>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493F5D51">
      <w:pPr>
        <w:pStyle w:val="255"/>
        <w:keepNext w:val="0"/>
        <w:keepLines w:val="0"/>
        <w:pageBreakBefore w:val="0"/>
        <w:widowControl/>
        <w:shd w:val="clear" w:color="auto"/>
        <w:spacing w:before="320" w:after="320" w:line="520" w:lineRule="exact"/>
        <w:jc w:val="center"/>
        <w:rPr>
          <w:rStyle w:val="216"/>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pPr>
    </w:p>
    <w:p w14:paraId="4475D247">
      <w:pPr>
        <w:pStyle w:val="255"/>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63C42EB0">
      <w:pPr>
        <w:pStyle w:val="255"/>
        <w:keepNext w:val="0"/>
        <w:keepLines w:val="0"/>
        <w:pageBreakBefore w:val="0"/>
        <w:widowControl/>
        <w:shd w:val="clear" w:color="auto"/>
        <w:spacing w:before="240" w:after="240" w:line="520" w:lineRule="exact"/>
        <w:ind w:firstLine="480"/>
        <w:jc w:val="both"/>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我单位郑重声明：我单位具备履行本项采购合同所必需的设备和专业技术能力。</w:t>
      </w:r>
    </w:p>
    <w:p w14:paraId="085F21CA">
      <w:pPr>
        <w:pStyle w:val="255"/>
        <w:keepNext w:val="0"/>
        <w:keepLines w:val="0"/>
        <w:pageBreakBefore w:val="0"/>
        <w:widowControl/>
        <w:shd w:val="clear" w:color="auto"/>
        <w:spacing w:before="360" w:after="36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6C4D2AE9">
      <w:pPr>
        <w:pStyle w:val="255"/>
        <w:keepNext w:val="0"/>
        <w:keepLines w:val="0"/>
        <w:pageBreakBefore w:val="0"/>
        <w:widowControl/>
        <w:shd w:val="clear" w:color="auto"/>
        <w:spacing w:before="360" w:after="36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566812E">
      <w:pPr>
        <w:pStyle w:val="255"/>
        <w:keepNext w:val="0"/>
        <w:keepLines w:val="0"/>
        <w:pageBreakBefore w:val="0"/>
        <w:widowControl/>
        <w:shd w:val="clear" w:color="auto"/>
        <w:spacing w:before="360" w:after="36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6C153C3">
      <w:pPr>
        <w:pStyle w:val="255"/>
        <w:keepNext w:val="0"/>
        <w:keepLines w:val="0"/>
        <w:pageBreakBefore w:val="0"/>
        <w:widowControl/>
        <w:shd w:val="clear" w:color="auto"/>
        <w:spacing w:before="210" w:after="210" w:line="520" w:lineRule="exact"/>
        <w:ind w:firstLine="3600"/>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人名称</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（加盖公章）：</w:t>
      </w:r>
    </w:p>
    <w:p w14:paraId="615E763D">
      <w:pPr>
        <w:pStyle w:val="256"/>
        <w:keepNext w:val="0"/>
        <w:keepLines w:val="0"/>
        <w:pageBreakBefore w:val="0"/>
        <w:widowControl/>
        <w:shd w:val="clear" w:color="auto"/>
        <w:spacing w:line="520" w:lineRule="exact"/>
        <w:jc w:val="left"/>
        <w:outlineLvl w:val="2"/>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参加政府采购活动前3年内在经营活动中没有重大违法记录的书面声明</w:t>
      </w:r>
    </w:p>
    <w:p w14:paraId="176F3622">
      <w:pPr>
        <w:pStyle w:val="257"/>
        <w:keepNext w:val="0"/>
        <w:keepLines w:val="0"/>
        <w:pageBreakBefore w:val="0"/>
        <w:widowControl/>
        <w:shd w:val="clear" w:color="auto"/>
        <w:spacing w:line="520" w:lineRule="exact"/>
        <w:outlineLvl w:val="9"/>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253BDE91">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参加政府采购活动前3年内在经营活动中没有重大违法记录的书面声明</w:t>
      </w:r>
    </w:p>
    <w:p w14:paraId="5C5D748C">
      <w:pPr>
        <w:pStyle w:val="255"/>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4D6E36B">
      <w:pPr>
        <w:pStyle w:val="255"/>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57571DB8">
      <w:pPr>
        <w:pStyle w:val="255"/>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31C035F3">
      <w:pPr>
        <w:pStyle w:val="255"/>
        <w:keepNext w:val="0"/>
        <w:keepLines w:val="0"/>
        <w:pageBreakBefore w:val="0"/>
        <w:widowControl/>
        <w:shd w:val="clear" w:color="auto"/>
        <w:spacing w:before="240" w:after="240" w:line="520" w:lineRule="exact"/>
        <w:jc w:val="both"/>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我单位郑重声明：参加本次政府采购活动前3年内，我单位在经营活动中没有因违法经营受到刑事处罚或者责令停产停业、吊销许可证或者执照、较大数额罚款等行政处罚。</w:t>
      </w:r>
    </w:p>
    <w:p w14:paraId="01C07716">
      <w:pPr>
        <w:pStyle w:val="255"/>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094AC546">
      <w:pPr>
        <w:pStyle w:val="255"/>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7A88FAA0">
      <w:pPr>
        <w:pStyle w:val="255"/>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7ADFA209">
      <w:pPr>
        <w:pStyle w:val="257"/>
        <w:keepNext w:val="0"/>
        <w:keepLines w:val="0"/>
        <w:pageBreakBefore w:val="0"/>
        <w:widowControl/>
        <w:shd w:val="clear" w:color="auto"/>
        <w:spacing w:before="240" w:after="240" w:line="520" w:lineRule="exact"/>
        <w:ind w:firstLine="4320"/>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人名称</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（加盖公章）：</w:t>
      </w:r>
    </w:p>
    <w:p w14:paraId="6BDA18F4">
      <w:pPr>
        <w:pStyle w:val="258"/>
        <w:shd w:val="clear" w:color="auto"/>
        <w:spacing w:line="520" w:lineRule="exact"/>
        <w:outlineLvl w:val="2"/>
        <w:rPr>
          <w:rStyle w:val="216"/>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b/>
          <w:color w:val="000000" w:themeColor="text1"/>
          <w:spacing w:val="0"/>
          <w:sz w:val="28"/>
          <w:highlight w:val="none"/>
          <w14:textFill>
            <w14:solidFill>
              <w14:schemeClr w14:val="tx1"/>
            </w14:solidFill>
          </w14:textFill>
        </w:rPr>
        <w:t>授权委托书（被授权人非法定代表人的，应提供授权委托书；被授权人是法定代表人的，应提供授权委托书或法定代表人身份证明书）</w:t>
      </w:r>
    </w:p>
    <w:p w14:paraId="59D6A21F">
      <w:pPr>
        <w:keepNext w:val="0"/>
        <w:keepLines w:val="0"/>
        <w:pageBreakBefore w:val="0"/>
        <w:widowControl/>
        <w:shd w:val="clear" w:color="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1.授权委托书</w:t>
      </w:r>
    </w:p>
    <w:p w14:paraId="3DE25524">
      <w:pPr>
        <w:keepNext w:val="0"/>
        <w:keepLines w:val="0"/>
        <w:pageBreakBefore w:val="0"/>
        <w:widowControl/>
        <w:shd w:val="clear" w:color="auto"/>
        <w:spacing w:line="520" w:lineRule="exact"/>
        <w:ind w:firstLine="48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本授权书声明：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（投标人名称）授权</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(被授权人的姓名)（被授权人身份证号码：</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）为我方就</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（项目编号：</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）项目采购活动的合法代理人，以本单位名义全权处理一切与该项目采购有关的事务，其代表本单位处理相关事项所产生的一切责任由本单位承担。</w:t>
      </w:r>
    </w:p>
    <w:p w14:paraId="60DAE8CF">
      <w:pPr>
        <w:keepNext w:val="0"/>
        <w:keepLines w:val="0"/>
        <w:pageBreakBefore w:val="0"/>
        <w:widowControl/>
        <w:shd w:val="clear" w:color="auto"/>
        <w:spacing w:line="520" w:lineRule="exact"/>
        <w:ind w:firstLine="48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本授权书于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日起生效，特此声明。</w:t>
      </w:r>
    </w:p>
    <w:p w14:paraId="195DAC6B">
      <w:pPr>
        <w:keepNext w:val="0"/>
        <w:keepLines w:val="0"/>
        <w:pageBreakBefore w:val="0"/>
        <w:widowControl/>
        <w:shd w:val="clear" w:color="auto"/>
        <w:spacing w:line="520" w:lineRule="exact"/>
        <w:ind w:firstLine="360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被授权人联系电话：（手机）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3116DA34">
      <w:pPr>
        <w:keepNext w:val="0"/>
        <w:keepLines w:val="0"/>
        <w:pageBreakBefore w:val="0"/>
        <w:widowControl/>
        <w:shd w:val="clear" w:color="auto"/>
        <w:spacing w:line="520" w:lineRule="exact"/>
        <w:ind w:firstLine="360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授权单位名称：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（加盖公章）</w:t>
      </w:r>
    </w:p>
    <w:p w14:paraId="3A07FA0C">
      <w:pPr>
        <w:keepNext w:val="0"/>
        <w:keepLines w:val="0"/>
        <w:pageBreakBefore w:val="0"/>
        <w:widowControl/>
        <w:shd w:val="clear" w:color="auto"/>
        <w:spacing w:line="520" w:lineRule="exact"/>
        <w:ind w:firstLine="3600"/>
        <w:jc w:val="both"/>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单位地址：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5F229383">
      <w:pPr>
        <w:keepNext w:val="0"/>
        <w:keepLines w:val="0"/>
        <w:pageBreakBefore w:val="0"/>
        <w:widowControl/>
        <w:shd w:val="clear" w:color="auto"/>
        <w:spacing w:line="520" w:lineRule="exact"/>
        <w:ind w:firstLine="360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w:t>
      </w:r>
    </w:p>
    <w:p w14:paraId="3ECE0416">
      <w:pPr>
        <w:keepNext w:val="0"/>
        <w:keepLines w:val="0"/>
        <w:pageBreakBefore w:val="0"/>
        <w:widowControl/>
        <w:shd w:val="clear" w:color="auto"/>
        <w:spacing w:before="567" w:after="567" w:line="240" w:lineRule="auto"/>
        <w:jc w:val="center"/>
        <w:rPr>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36"/>
          <w:szCs w:val="36"/>
          <w:highlight w:val="none"/>
          <w:shd w:val="clear" w:color="auto" w:fill="auto"/>
          <w:lang w:val="en-US" w:eastAsia="zh-CN" w:bidi="ar-SA"/>
          <w14:textFill>
            <w14:solidFill>
              <w14:schemeClr w14:val="tx1"/>
            </w14:solidFill>
          </w14:textFill>
        </w:rPr>
        <w:t>2.法定代表人身份证明书</w:t>
      </w:r>
    </w:p>
    <w:p w14:paraId="77293B11">
      <w:pPr>
        <w:keepNext w:val="0"/>
        <w:keepLines w:val="0"/>
        <w:pageBreakBefore w:val="0"/>
        <w:widowControl/>
        <w:shd w:val="clear" w:color="auto"/>
        <w:spacing w:line="520" w:lineRule="exact"/>
        <w:ind w:firstLine="48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兹证明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（姓名）（法定代表人身份证号码：</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）担任</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(投标人名称)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（职位），是我单位的法定代表人。</w:t>
      </w:r>
    </w:p>
    <w:p w14:paraId="0C10CA5D">
      <w:pPr>
        <w:keepNext w:val="0"/>
        <w:keepLines w:val="0"/>
        <w:pageBreakBefore w:val="0"/>
        <w:widowControl/>
        <w:shd w:val="clear" w:color="auto"/>
        <w:spacing w:line="520" w:lineRule="exact"/>
        <w:ind w:firstLine="48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特此证明。</w:t>
      </w:r>
    </w:p>
    <w:p w14:paraId="20904072">
      <w:pPr>
        <w:keepNext w:val="0"/>
        <w:keepLines w:val="0"/>
        <w:pageBreakBefore w:val="0"/>
        <w:widowControl/>
        <w:shd w:val="clear" w:color="auto"/>
        <w:spacing w:line="520" w:lineRule="exact"/>
        <w:ind w:firstLine="336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法定代表人联系电话：（手机）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4AD92D8E">
      <w:pPr>
        <w:keepNext w:val="0"/>
        <w:keepLines w:val="0"/>
        <w:pageBreakBefore w:val="0"/>
        <w:widowControl/>
        <w:shd w:val="clear" w:color="auto"/>
        <w:spacing w:line="520" w:lineRule="exact"/>
        <w:ind w:firstLine="3360"/>
        <w:jc w:val="both"/>
        <w:rPr>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单位名称：</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（加盖公章）</w:t>
      </w:r>
    </w:p>
    <w:p w14:paraId="6335A927">
      <w:pPr>
        <w:keepNext w:val="0"/>
        <w:keepLines w:val="0"/>
        <w:pageBreakBefore w:val="0"/>
        <w:widowControl/>
        <w:shd w:val="clear" w:color="auto"/>
        <w:spacing w:line="520" w:lineRule="exact"/>
        <w:ind w:firstLine="3360"/>
        <w:jc w:val="both"/>
        <w:rPr>
          <w:rFonts w:hint="eastAsia" w:ascii="宋体" w:hAnsi="宋体" w:eastAsia="宋体" w:cs="宋体"/>
          <w:caps w:val="0"/>
          <w:smallCaps w:val="0"/>
          <w:color w:val="000000" w:themeColor="text1"/>
          <w:spacing w:val="0"/>
          <w:sz w:val="24"/>
          <w:szCs w:val="24"/>
          <w:highlight w:val="none"/>
          <w:u w:val="single"/>
          <w:shd w:val="clear" w:color="auto" w:fill="auto"/>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单位地址：</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72B6EFEF">
      <w:pPr>
        <w:keepNext w:val="0"/>
        <w:keepLines w:val="0"/>
        <w:pageBreakBefore w:val="0"/>
        <w:widowControl/>
        <w:shd w:val="clear" w:color="auto"/>
        <w:spacing w:line="520" w:lineRule="exact"/>
        <w:ind w:firstLine="3360"/>
        <w:jc w:val="both"/>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sectPr>
          <w:pgSz w:w="11906" w:h="16838"/>
          <w:pgMar w:top="1440" w:right="1080" w:bottom="1440" w:left="1080" w:header="851" w:footer="992" w:gutter="0"/>
          <w:cols w:space="1701" w:num="1"/>
          <w:titlePg/>
          <w:docGrid w:linePitch="360" w:charSpace="0"/>
        </w:sect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年</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月</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w:t>
      </w:r>
    </w:p>
    <w:p w14:paraId="1D89507A">
      <w:pPr>
        <w:pStyle w:val="260"/>
        <w:shd w:val="clear" w:color="auto"/>
        <w:jc w:val="left"/>
        <w:outlineLvl w:val="2"/>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关于资格证明文件的书面承诺</w:t>
      </w:r>
    </w:p>
    <w:p w14:paraId="22CAD1D9">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3A60619E">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关于资格证明文件的书面承诺</w:t>
      </w:r>
    </w:p>
    <w:p w14:paraId="7B21CDE3">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3FBD7FF9">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2B36DA33">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42C33220">
      <w:pPr>
        <w:pStyle w:val="261"/>
        <w:keepNext w:val="0"/>
        <w:keepLines w:val="0"/>
        <w:pageBreakBefore w:val="0"/>
        <w:widowControl/>
        <w:shd w:val="clear" w:color="auto"/>
        <w:spacing w:before="240" w:after="240" w:line="520" w:lineRule="exact"/>
        <w:ind w:firstLine="480"/>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w:t>
      </w:r>
    </w:p>
    <w:p w14:paraId="1FD98274">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4040D7FD">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6040D9F5">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25F8FDDD">
      <w:pPr>
        <w:pStyle w:val="261"/>
        <w:keepNext w:val="0"/>
        <w:keepLines w:val="0"/>
        <w:pageBreakBefore w:val="0"/>
        <w:widowControl/>
        <w:shd w:val="clear" w:color="auto"/>
        <w:spacing w:before="240" w:after="240" w:line="520" w:lineRule="exact"/>
        <w:ind w:firstLine="3840"/>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w:t>
      </w:r>
      <w:r>
        <w:rPr>
          <w:rStyle w:val="216"/>
          <w:rFonts w:hint="eastAsia" w:ascii="宋体" w:hAnsi="宋体" w:eastAsia="宋体" w:cs="宋体"/>
          <w:caps w:val="0"/>
          <w:smallCaps w:val="0"/>
          <w:color w:val="000000" w:themeColor="text1"/>
          <w:spacing w:val="0"/>
          <w:sz w:val="24"/>
          <w:szCs w:val="24"/>
          <w:highlight w:val="none"/>
          <w:shd w:val="clear" w:color="auto" w:fill="auto"/>
          <w:lang w:val="en-US"/>
          <w14:textFill>
            <w14:solidFill>
              <w14:schemeClr w14:val="tx1"/>
            </w14:solidFill>
          </w14:textFill>
        </w:rPr>
        <w:t>人名称</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（加盖公章）：</w:t>
      </w:r>
    </w:p>
    <w:p w14:paraId="4FED4B39">
      <w:pPr>
        <w:pStyle w:val="262"/>
        <w:shd w:val="clear" w:color="auto"/>
        <w:jc w:val="left"/>
        <w:outlineLvl w:val="1"/>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bookmarkStart w:id="404" w:name="_Toc6100"/>
      <w:bookmarkEnd w:id="404"/>
      <w:bookmarkStart w:id="405" w:name="_Toc11461"/>
      <w:bookmarkEnd w:id="405"/>
      <w:bookmarkStart w:id="406" w:name="_Toc26705"/>
      <w:bookmarkEnd w:id="406"/>
    </w:p>
    <w:p w14:paraId="5BAAAC74">
      <w:pPr>
        <w:pStyle w:val="260"/>
        <w:shd w:val="clear" w:color="auto"/>
        <w:jc w:val="left"/>
        <w:outlineLvl w:val="2"/>
        <w:rPr>
          <w:rStyle w:val="216"/>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中小企业声明函（本项目专门面向中小企业采购）</w:t>
      </w:r>
    </w:p>
    <w:p w14:paraId="0DC89079">
      <w:pPr>
        <w:pStyle w:val="245"/>
        <w:keepNext w:val="0"/>
        <w:keepLines w:val="0"/>
        <w:pageBreakBefore w:val="0"/>
        <w:widowControl/>
        <w:shd w:val="clear" w:color="auto"/>
        <w:spacing w:before="567" w:after="567" w:line="520" w:lineRule="exact"/>
        <w:jc w:val="center"/>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中小企业声明函（服务）</w:t>
      </w:r>
    </w:p>
    <w:p w14:paraId="3259B85F">
      <w:pPr>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本公司郑重声明，根据《政府采购促进中小企业发展管理办法》</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财库〔2020〕46号)的规定，本公司参加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（单位名称）的</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（项目名称）采购活动，服务全部由符合政策要求的中小企业承接。相关企业的具体情况如下：</w:t>
      </w:r>
    </w:p>
    <w:p w14:paraId="01E21F29">
      <w:pPr>
        <w:keepNext w:val="0"/>
        <w:keepLines w:val="0"/>
        <w:pageBreakBefore w:val="0"/>
        <w:widowControl/>
        <w:shd w:val="clear" w:color="auto"/>
        <w:spacing w:line="520" w:lineRule="exact"/>
        <w:ind w:firstLine="480"/>
        <w:jc w:val="lef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张家港经济技术开发区园区限值限量监测设备第三方运维服务项目</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（标的名称），</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其他未列明行业 </w:t>
      </w:r>
      <w:r>
        <w:rPr>
          <w:rFonts w:hint="eastAsia" w:ascii="宋体" w:hAnsi="宋体" w:eastAsia="宋体" w:cs="宋体"/>
          <w:caps w:val="0"/>
          <w:smallCaps w:val="0"/>
          <w:color w:val="000000" w:themeColor="text1"/>
          <w:spacing w:val="0"/>
          <w:sz w:val="24"/>
          <w:szCs w:val="24"/>
          <w:highlight w:val="none"/>
          <w:u w:val="none"/>
          <w:shd w:val="clear" w:color="auto" w:fill="auto"/>
          <w:lang w:val="en-US" w:eastAsia="zh-CN" w:bidi="ar-SA"/>
          <w14:textFill>
            <w14:solidFill>
              <w14:schemeClr w14:val="tx1"/>
            </w14:solidFill>
          </w14:textFill>
        </w:rPr>
        <w:t>（采购文件中明确的所属行业）；</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承接企业为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（企业名称），从业人员</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人，营业收入为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万元，资产总额为</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万元，属于</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（中型企业、小型企业、微型企业）；</w:t>
      </w:r>
    </w:p>
    <w:p w14:paraId="78229FB8">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p>
    <w:p w14:paraId="1726BC7E">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以上企业，不属于大企业的分支机构，不存在控股股东为大企业的情形，也不存在与大企业的负责人为同一人的情形。</w:t>
      </w:r>
    </w:p>
    <w:p w14:paraId="5F246516">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本企业对上述声明内容的真实性负责。如有虚假，将依法承担相应责任。</w:t>
      </w:r>
    </w:p>
    <w:p w14:paraId="56AAECFC">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企业名称（盖章）：</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53DA32D8">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日期：</w:t>
      </w:r>
      <w:r>
        <w:rPr>
          <w:rFonts w:hint="eastAsia" w:ascii="宋体" w:hAnsi="宋体" w:eastAsia="宋体" w:cs="宋体"/>
          <w:caps w:val="0"/>
          <w:smallCaps w:val="0"/>
          <w:color w:val="000000" w:themeColor="text1"/>
          <w:spacing w:val="0"/>
          <w:sz w:val="24"/>
          <w:szCs w:val="24"/>
          <w:highlight w:val="none"/>
          <w:u w:val="single"/>
          <w:shd w:val="clear" w:color="auto" w:fill="auto"/>
          <w:lang w:val="en-US" w:eastAsia="zh-CN" w:bidi="ar-SA"/>
          <w14:textFill>
            <w14:solidFill>
              <w14:schemeClr w14:val="tx1"/>
            </w14:solidFill>
          </w14:textFill>
        </w:rPr>
        <w:t xml:space="preserve">                    </w:t>
      </w:r>
    </w:p>
    <w:p w14:paraId="4BC4EF10">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p>
    <w:p w14:paraId="67C6204B">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注：供应商对照《关于印发中小企业划型标准规定的通知》（工信部联企业【2011】300号）中的标准，明确标的承接企业所属企业类型。</w:t>
      </w:r>
    </w:p>
    <w:p w14:paraId="6D30423A">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备注：</w:t>
      </w:r>
    </w:p>
    <w:p w14:paraId="16501F85">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1.从业人员、营业收入、资产总额填报上一年度数据，无上一年度数据的新成立企业可不填报。</w:t>
      </w:r>
    </w:p>
    <w:p w14:paraId="0DD775D6">
      <w:pPr>
        <w:keepNext w:val="0"/>
        <w:keepLines w:val="0"/>
        <w:pageBreakBefore w:val="0"/>
        <w:widowControl/>
        <w:shd w:val="clear" w:color="auto"/>
        <w:spacing w:line="520" w:lineRule="exac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aps w:val="0"/>
          <w:smallCaps w:val="0"/>
          <w:color w:val="000000" w:themeColor="text1"/>
          <w:spacing w:val="0"/>
          <w:sz w:val="24"/>
          <w:szCs w:val="24"/>
          <w:highlight w:val="none"/>
          <w:shd w:val="clear" w:color="auto" w:fill="auto"/>
          <w:lang w:val="en-US" w:eastAsia="zh-CN" w:bidi="ar-SA"/>
          <w14:textFill>
            <w14:solidFill>
              <w14:schemeClr w14:val="tx1"/>
            </w14:solidFill>
          </w14:textFill>
        </w:rPr>
        <w:t>2.在服务采购项目中，服务由中小企业承接，即提供服务的人员为中小企业依照《中华人民共和国劳动合同法》订立劳动合同的从业人员。</w:t>
      </w:r>
      <w:r>
        <w:rPr>
          <w:rFonts w:hint="eastAsia" w:ascii="宋体" w:hAnsi="宋体" w:eastAsia="宋体" w:cs="宋体"/>
          <w:b/>
          <w:bCs/>
          <w:caps w:val="0"/>
          <w:smallCaps w:val="0"/>
          <w:color w:val="000000" w:themeColor="text1"/>
          <w:spacing w:val="0"/>
          <w:sz w:val="24"/>
          <w:szCs w:val="24"/>
          <w:highlight w:val="none"/>
          <w:shd w:val="clear" w:color="auto" w:fill="auto"/>
          <w:lang w:val="en-US" w:eastAsia="zh-CN" w:bidi="ar-SA"/>
          <w14:textFill>
            <w14:solidFill>
              <w14:schemeClr w14:val="tx1"/>
            </w14:solidFill>
          </w14:textFill>
        </w:rPr>
        <w:t>服务类项目中供应商若使用退休人员，将不享受相应扶持政策。</w:t>
      </w:r>
    </w:p>
    <w:p w14:paraId="6EA96239">
      <w:pPr>
        <w:pStyle w:val="263"/>
        <w:shd w:val="clear" w:color="auto"/>
        <w:spacing w:before="240" w:after="240"/>
        <w:rPr>
          <w:rFonts w:hint="eastAsia" w:ascii="宋体" w:hAnsi="宋体" w:eastAsia="宋体" w:cs="宋体"/>
          <w:color w:val="000000" w:themeColor="text1"/>
          <w:spacing w:val="0"/>
          <w:highlight w:val="none"/>
          <w14:textFill>
            <w14:solidFill>
              <w14:schemeClr w14:val="tx1"/>
            </w14:solidFill>
          </w14:textFill>
        </w:rPr>
        <w:sectPr>
          <w:pgSz w:w="11906" w:h="16838"/>
          <w:pgMar w:top="1440" w:right="1080" w:bottom="1440" w:left="1080" w:header="709" w:footer="709" w:gutter="0"/>
          <w:cols w:space="1701" w:num="1"/>
          <w:titlePg/>
          <w:docGrid w:linePitch="360" w:charSpace="0"/>
        </w:sectPr>
      </w:pPr>
    </w:p>
    <w:p w14:paraId="009D1481">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附：中小企业划型标准规定</w:t>
      </w:r>
    </w:p>
    <w:p w14:paraId="50BB906C">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1D63E99E">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6F594FD7">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42AE5D0D">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53471BE5">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7A649EE1">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F3A1A44">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693F806E">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3D8598CC">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155AED0">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37BD6CCE">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030F30D8">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531B5498">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303D6241">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2ECF1F40">
      <w:pPr>
        <w:pStyle w:val="263"/>
        <w:keepNext w:val="0"/>
        <w:keepLines w:val="0"/>
        <w:pageBreakBefore w:val="0"/>
        <w:widowControl/>
        <w:shd w:val="clear" w:color="auto"/>
        <w:spacing w:before="240" w:after="240" w:line="360" w:lineRule="exact"/>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2839D7FD">
      <w:pPr>
        <w:pStyle w:val="263"/>
        <w:keepNext w:val="0"/>
        <w:keepLines w:val="0"/>
        <w:pageBreakBefore w:val="0"/>
        <w:widowControl/>
        <w:shd w:val="clear" w:color="auto"/>
        <w:spacing w:before="240" w:after="240" w:line="36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45C8E7C6">
      <w:pPr>
        <w:pStyle w:val="264"/>
        <w:keepNext w:val="0"/>
        <w:keepLines w:val="0"/>
        <w:pageBreakBefore w:val="0"/>
        <w:widowControl/>
        <w:shd w:val="clear" w:color="auto"/>
        <w:spacing w:line="360" w:lineRule="exact"/>
        <w:jc w:val="left"/>
        <w:outlineLvl w:val="9"/>
        <w:rPr>
          <w:rFonts w:hint="eastAsia" w:ascii="宋体" w:hAnsi="宋体" w:eastAsia="宋体" w:cs="宋体"/>
          <w:color w:val="000000" w:themeColor="text1"/>
          <w:spacing w:val="0"/>
          <w:highlight w:val="none"/>
          <w14:textFill>
            <w14:solidFill>
              <w14:schemeClr w14:val="tx1"/>
            </w14:solidFill>
          </w14:textFill>
        </w:rPr>
      </w:pPr>
      <w:bookmarkStart w:id="407" w:name="undefined"/>
      <w:r>
        <w:rPr>
          <w:rStyle w:val="216"/>
          <w:rFonts w:hint="eastAsia" w:ascii="宋体" w:hAnsi="宋体" w:eastAsia="宋体" w:cs="宋体"/>
          <w:b/>
          <w:caps w:val="0"/>
          <w:smallCaps w:val="0"/>
          <w:color w:val="000000" w:themeColor="text1"/>
          <w:spacing w:val="0"/>
          <w:sz w:val="32"/>
          <w:szCs w:val="24"/>
          <w:highlight w:val="none"/>
          <w:shd w:val="clear" w:color="auto" w:fill="auto"/>
          <w14:textFill>
            <w14:solidFill>
              <w14:schemeClr w14:val="tx1"/>
            </w14:solidFill>
          </w14:textFill>
        </w:rPr>
        <w:t>残疾人福利性单位声明函</w:t>
      </w:r>
      <w:bookmarkEnd w:id="407"/>
    </w:p>
    <w:p w14:paraId="01EF1E90">
      <w:pPr>
        <w:pStyle w:val="245"/>
        <w:keepNext w:val="0"/>
        <w:keepLines w:val="0"/>
        <w:pageBreakBefore w:val="0"/>
        <w:widowControl/>
        <w:shd w:val="clear" w:color="auto"/>
        <w:spacing w:before="567" w:after="567" w:line="520" w:lineRule="exact"/>
        <w:jc w:val="center"/>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﻿残疾人福利性单位声明函</w:t>
      </w:r>
    </w:p>
    <w:p w14:paraId="1C069F0D">
      <w:pPr>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000000" w:themeColor="text1"/>
          <w:spacing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单位的</w:t>
      </w:r>
      <w:r>
        <w:rPr>
          <w:rFonts w:hint="eastAsia" w:ascii="宋体" w:hAnsi="宋体" w:eastAsia="宋体" w:cs="宋体"/>
          <w:color w:val="000000" w:themeColor="text1"/>
          <w:spacing w:val="0"/>
          <w:sz w:val="24"/>
          <w:szCs w:val="24"/>
          <w:highlight w:val="none"/>
          <w:u w:val="single"/>
          <w:lang w:val="en-US" w:eastAsia="zh-CN" w:bidi="ar-SA"/>
          <w14:textFill>
            <w14:solidFill>
              <w14:schemeClr w14:val="tx1"/>
            </w14:solidFill>
          </w14:textFill>
        </w:rPr>
        <w:t xml:space="preserve">                      </w:t>
      </w: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项目采购活动提供本单位制造的货物（由本单位承担工程/提供服务），或者提供其他残疾人福利性单位制造的货物（不包括使用非残疾人福利性单位注册商标的货物）。</w:t>
      </w:r>
    </w:p>
    <w:p w14:paraId="6CBC7F90">
      <w:pPr>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本单位对上述声明的真实性负责。如有虚假，将依法承担相应责任。</w:t>
      </w:r>
    </w:p>
    <w:p w14:paraId="1B1204BE">
      <w:pPr>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p>
    <w:p w14:paraId="38680A50">
      <w:pPr>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p>
    <w:p w14:paraId="25429739">
      <w:pPr>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单位名称（盖章）：</w:t>
      </w:r>
    </w:p>
    <w:p w14:paraId="6C869985">
      <w:pPr>
        <w:keepNext w:val="0"/>
        <w:keepLines w:val="0"/>
        <w:pageBreakBefore w:val="0"/>
        <w:widowControl/>
        <w:shd w:val="clear" w:color="auto"/>
        <w:spacing w:line="520" w:lineRule="exact"/>
        <w:ind w:firstLine="480"/>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日期：</w:t>
      </w:r>
    </w:p>
    <w:p w14:paraId="51A135EC">
      <w:pPr>
        <w:keepNext w:val="0"/>
        <w:keepLines w:val="0"/>
        <w:pageBreakBefore w:val="0"/>
        <w:widowControl/>
        <w:shd w:val="clear" w:color="auto"/>
        <w:spacing w:before="0" w:after="0" w:line="520" w:lineRule="exact"/>
        <w:ind w:firstLine="480"/>
        <w:jc w:val="lef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p>
    <w:p w14:paraId="10DEB64C">
      <w:pPr>
        <w:keepNext w:val="0"/>
        <w:keepLines w:val="0"/>
        <w:pageBreakBefore w:val="0"/>
        <w:widowControl/>
        <w:shd w:val="clear" w:color="auto"/>
        <w:spacing w:before="0" w:after="0" w:line="520" w:lineRule="exact"/>
        <w:ind w:firstLine="480"/>
        <w:jc w:val="lef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注：</w:t>
      </w:r>
    </w:p>
    <w:p w14:paraId="0C5C3667">
      <w:pPr>
        <w:keepNext w:val="0"/>
        <w:keepLines w:val="0"/>
        <w:pageBreakBefore w:val="0"/>
        <w:widowControl/>
        <w:shd w:val="clear" w:color="auto"/>
        <w:spacing w:before="0" w:after="0" w:line="520" w:lineRule="exact"/>
        <w:ind w:firstLine="480"/>
        <w:jc w:val="lef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1.符合《关于促进残疾人就业政府采购政策的通知》（财库〔2017〕141号）规定条件的残疾人福利性单位在参加政府采购活动时，应当提供《残疾人福利性单位声明函》，并对声明的真实性负责。</w:t>
      </w:r>
    </w:p>
    <w:p w14:paraId="158E0997">
      <w:pPr>
        <w:keepNext w:val="0"/>
        <w:keepLines w:val="0"/>
        <w:pageBreakBefore w:val="0"/>
        <w:widowControl/>
        <w:shd w:val="clear" w:color="auto"/>
        <w:spacing w:before="0" w:after="0" w:line="520" w:lineRule="exact"/>
        <w:ind w:firstLine="480"/>
        <w:jc w:val="lef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供应商提供的《残疾人福利性单位声明函》与事实不符的，依照《政府采购法》第七十七条第一款的规定追究法律责任。</w:t>
      </w:r>
    </w:p>
    <w:p w14:paraId="02282ECC">
      <w:pPr>
        <w:keepNext w:val="0"/>
        <w:keepLines w:val="0"/>
        <w:pageBreakBefore w:val="0"/>
        <w:widowControl/>
        <w:shd w:val="clear" w:color="auto"/>
        <w:spacing w:before="0" w:after="0" w:line="520" w:lineRule="exact"/>
        <w:ind w:firstLine="480"/>
        <w:jc w:val="lef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中标、成交供应商为残疾人福利性单位的，采购人或者其委托的采购代理机构应当随中标、成交结果同时公告其《残疾人福利性单位声明函》，接受社会监督。</w:t>
      </w:r>
    </w:p>
    <w:p w14:paraId="33DDB17D">
      <w:pPr>
        <w:keepNext w:val="0"/>
        <w:keepLines w:val="0"/>
        <w:pageBreakBefore w:val="0"/>
        <w:widowControl/>
        <w:shd w:val="clear" w:color="auto"/>
        <w:spacing w:before="0" w:after="0" w:line="520" w:lineRule="exact"/>
        <w:ind w:firstLine="480"/>
        <w:jc w:val="left"/>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sectPr>
          <w:pgSz w:w="11906" w:h="16838"/>
          <w:pgMar w:top="1440" w:right="1080" w:bottom="1440" w:left="1080" w:header="851" w:footer="992" w:gutter="0"/>
          <w:cols w:space="1701" w:num="1"/>
          <w:titlePg/>
          <w:docGrid w:linePitch="360" w:charSpace="0"/>
        </w:sect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2.若供应商对照《关于促进残疾人就业政府采购政策的通知》（财库〔2017〕141号）中的规定，明确不符合残疾人福利性单位条件的，则无需提供此声明函。</w:t>
      </w:r>
    </w:p>
    <w:p w14:paraId="75A02599">
      <w:pPr>
        <w:pStyle w:val="264"/>
        <w:keepNext w:val="0"/>
        <w:keepLines w:val="0"/>
        <w:pageBreakBefore w:val="0"/>
        <w:widowControl/>
        <w:shd w:val="clear" w:color="auto"/>
        <w:spacing w:line="360" w:lineRule="exact"/>
        <w:jc w:val="left"/>
        <w:outlineLvl w:val="9"/>
        <w:rPr>
          <w:rStyle w:val="216"/>
          <w:rFonts w:hint="eastAsia" w:ascii="宋体" w:hAnsi="宋体" w:eastAsia="宋体" w:cs="宋体"/>
          <w:b/>
          <w:caps w:val="0"/>
          <w:smallCaps w:val="0"/>
          <w:color w:val="000000" w:themeColor="text1"/>
          <w:spacing w:val="0"/>
          <w:sz w:val="32"/>
          <w:szCs w:val="24"/>
          <w:highlight w:val="none"/>
          <w:shd w:val="clear" w:color="auto" w:fill="auto"/>
          <w:lang w:val="en-US" w:eastAsia="zh-CN"/>
          <w14:textFill>
            <w14:solidFill>
              <w14:schemeClr w14:val="tx1"/>
            </w14:solidFill>
          </w14:textFill>
        </w:rPr>
      </w:pPr>
      <w:bookmarkStart w:id="408" w:name="_Toc13316"/>
      <w:bookmarkStart w:id="409" w:name="_Toc12746"/>
      <w:r>
        <w:rPr>
          <w:rStyle w:val="216"/>
          <w:rFonts w:hint="eastAsia" w:ascii="宋体" w:hAnsi="宋体" w:eastAsia="宋体" w:cs="宋体"/>
          <w:b/>
          <w:caps w:val="0"/>
          <w:smallCaps w:val="0"/>
          <w:color w:val="000000" w:themeColor="text1"/>
          <w:spacing w:val="0"/>
          <w:sz w:val="32"/>
          <w:szCs w:val="24"/>
          <w:highlight w:val="none"/>
          <w:shd w:val="clear" w:color="auto" w:fill="auto"/>
          <w:lang w:val="en-US" w:eastAsia="zh-CN"/>
          <w14:textFill>
            <w14:solidFill>
              <w14:schemeClr w14:val="tx1"/>
            </w14:solidFill>
          </w14:textFill>
        </w:rPr>
        <w:t>监狱企业的证明文件</w:t>
      </w:r>
      <w:bookmarkEnd w:id="408"/>
      <w:bookmarkEnd w:id="409"/>
    </w:p>
    <w:p w14:paraId="644D6D1A">
      <w:pPr>
        <w:pStyle w:val="245"/>
        <w:keepNext w:val="0"/>
        <w:keepLines w:val="0"/>
        <w:pageBreakBefore w:val="0"/>
        <w:widowControl/>
        <w:shd w:val="clear" w:color="auto"/>
        <w:spacing w:before="567" w:after="567" w:line="520" w:lineRule="exact"/>
        <w:jc w:val="center"/>
        <w:rPr>
          <w:rFonts w:hint="eastAsia" w:ascii="宋体" w:hAnsi="宋体" w:eastAsia="宋体" w:cs="宋体"/>
          <w:color w:val="000000" w:themeColor="text1"/>
          <w:spacing w:val="0"/>
          <w:highlight w:val="none"/>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监狱企业的证明文件</w:t>
      </w:r>
    </w:p>
    <w:p w14:paraId="202CA40D">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p>
    <w:p w14:paraId="0C02657A">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注：</w:t>
      </w:r>
    </w:p>
    <w:p w14:paraId="146BA011">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1.符合《关于政府采购支持监狱企业发展有关问题的通知》（财库〔2014〕68号）条件的监狱企业参加政府采购活动时，应当提供由省级以上监狱管理局、戒毒管理局（含新疆生产建设兵团）出具的属于监狱企业的证明文件。</w:t>
      </w:r>
    </w:p>
    <w:p w14:paraId="517D5ED2">
      <w:pPr>
        <w:keepNext w:val="0"/>
        <w:keepLines w:val="0"/>
        <w:pageBreakBefore w:val="0"/>
        <w:widowControl w:val="0"/>
        <w:shd w:val="clear" w:color="auto"/>
        <w:spacing w:line="520" w:lineRule="exact"/>
        <w:ind w:firstLine="480"/>
        <w:jc w:val="both"/>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spacing w:val="0"/>
          <w:sz w:val="24"/>
          <w:szCs w:val="24"/>
          <w:highlight w:val="none"/>
          <w:lang w:val="en-US" w:eastAsia="zh-CN" w:bidi="ar-SA"/>
          <w14:textFill>
            <w14:solidFill>
              <w14:schemeClr w14:val="tx1"/>
            </w14:solidFill>
          </w14:textFill>
        </w:rPr>
        <w:t>2.若供应商对照《关于政府采购支持监狱企业发展有关问题的通知》（财库〔2014〕68号）中的规定，明确不符合监狱企业条件的，则无需提供相关证明文件。</w:t>
      </w:r>
    </w:p>
    <w:p w14:paraId="26855140">
      <w:pPr>
        <w:shd w:val="clear" w:color="auto"/>
        <w:rPr>
          <w:rFonts w:hint="eastAsia" w:ascii="宋体" w:hAnsi="宋体" w:eastAsia="宋体" w:cs="宋体"/>
          <w:color w:val="000000" w:themeColor="text1"/>
          <w:spacing w:val="0"/>
          <w:highlight w:val="none"/>
          <w14:textFill>
            <w14:solidFill>
              <w14:schemeClr w14:val="tx1"/>
            </w14:solidFill>
          </w14:textFill>
        </w:rPr>
      </w:pPr>
    </w:p>
    <w:p w14:paraId="3A2831FC">
      <w:pPr>
        <w:shd w:val="clear" w:color="auto"/>
        <w:outlineLvl w:val="9"/>
        <w:rPr>
          <w:rStyle w:val="216"/>
          <w:rFonts w:hint="eastAsia" w:ascii="宋体" w:hAnsi="宋体" w:eastAsia="宋体" w:cs="宋体"/>
          <w:caps w:val="0"/>
          <w:smallCaps w:val="0"/>
          <w:color w:val="000000" w:themeColor="text1"/>
          <w:spacing w:val="0"/>
          <w:highlight w:val="none"/>
          <w:lang w:eastAsia="zh-CN"/>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30D233BD">
      <w:pPr>
        <w:pBdr>
          <w:top w:val="none" w:color="000000" w:sz="0" w:space="0"/>
          <w:left w:val="none" w:color="000000" w:sz="0" w:space="0"/>
          <w:bottom w:val="none" w:color="000000" w:sz="0" w:space="0"/>
          <w:right w:val="none" w:color="000000" w:sz="0" w:space="0"/>
        </w:pBdr>
        <w:shd w:val="clear" w:color="auto"/>
        <w:spacing w:before="0" w:after="0"/>
        <w:ind w:left="0" w:right="0" w:firstLine="0"/>
        <w:jc w:val="center"/>
        <w:rPr>
          <w:rFonts w:hint="eastAsia" w:ascii="宋体" w:hAnsi="宋体" w:eastAsia="宋体" w:cs="宋体"/>
          <w:color w:val="000000" w:themeColor="text1"/>
          <w:spacing w:val="0"/>
          <w:highlight w:val="none"/>
          <w14:textFill>
            <w14:solidFill>
              <w14:schemeClr w14:val="tx1"/>
            </w14:solidFill>
          </w14:textFill>
        </w:rPr>
      </w:pPr>
      <w:r>
        <w:rPr>
          <w:rFonts w:hint="eastAsia" w:ascii="宋体" w:hAnsi="宋体" w:eastAsia="宋体" w:cs="宋体"/>
          <w:b/>
          <w:color w:val="000000" w:themeColor="text1"/>
          <w:spacing w:val="0"/>
          <w:sz w:val="32"/>
          <w:highlight w:val="none"/>
          <w14:textFill>
            <w14:solidFill>
              <w14:schemeClr w14:val="tx1"/>
            </w14:solidFill>
          </w14:textFill>
        </w:rPr>
        <w:t>未被“信用中国”网站（www.creditchina.gov.cn）列入失信被执行人、重大税收违法案件当事人名单、政府采购严重失信行为记录名单（提供相关证明材料）</w:t>
      </w:r>
    </w:p>
    <w:p w14:paraId="74094881">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3F1B619E">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2B958C43">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4CE85F7F">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17B9DA6E">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76EE6A1A">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0AA98999">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1537A72B">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0F59519D">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pPr>
    </w:p>
    <w:p w14:paraId="34EA1E55">
      <w:pPr>
        <w:pStyle w:val="48"/>
        <w:shd w:val="clear" w:color="auto"/>
        <w:ind w:left="0" w:firstLine="0"/>
        <w:rPr>
          <w:rFonts w:hint="eastAsia" w:ascii="宋体" w:hAnsi="宋体" w:eastAsia="宋体" w:cs="宋体"/>
          <w:b/>
          <w:color w:val="000000" w:themeColor="text1"/>
          <w:spacing w:val="0"/>
          <w:sz w:val="32"/>
          <w:highlight w:val="none"/>
          <w:lang w:val="en-US" w:eastAsia="zh-CN"/>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1EE8B390">
      <w:pPr>
        <w:pStyle w:val="249"/>
        <w:keepNext w:val="0"/>
        <w:keepLines w:val="0"/>
        <w:pageBreakBefore w:val="0"/>
        <w:widowControl/>
        <w:shd w:val="clear" w:color="auto"/>
        <w:spacing w:line="520" w:lineRule="exact"/>
        <w:jc w:val="left"/>
        <w:outlineLvl w:val="1"/>
        <w:rPr>
          <w:rStyle w:val="216"/>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pPr>
      <w:bookmarkStart w:id="410" w:name="_Toc3942"/>
      <w:r>
        <w:rPr>
          <w:rStyle w:val="21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五</w:t>
      </w:r>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w:t>
      </w:r>
      <w:bookmarkEnd w:id="402"/>
      <w:bookmarkEnd w:id="403"/>
      <w:r>
        <w:rPr>
          <w:rStyle w:val="216"/>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t>经费测算明细表</w:t>
      </w:r>
      <w:bookmarkEnd w:id="410"/>
    </w:p>
    <w:p w14:paraId="28B962BC">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14:textFill>
            <w14:solidFill>
              <w14:schemeClr w14:val="tx1"/>
            </w14:solidFill>
          </w14:textFill>
        </w:rPr>
        <w:t>经费测算明细表</w:t>
      </w:r>
    </w:p>
    <w:tbl>
      <w:tblPr>
        <w:tblStyle w:val="39"/>
        <w:tblW w:w="48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9"/>
        <w:gridCol w:w="3586"/>
        <w:gridCol w:w="996"/>
        <w:gridCol w:w="943"/>
        <w:gridCol w:w="1158"/>
        <w:gridCol w:w="1261"/>
        <w:gridCol w:w="1000"/>
      </w:tblGrid>
      <w:tr w14:paraId="4BA58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2535A7D0">
            <w:pPr>
              <w:keepNext w:val="0"/>
              <w:keepLines w:val="0"/>
              <w:pageBreakBefore w:val="0"/>
              <w:widowControl w:val="0"/>
              <w:shd w:val="clear" w:color="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序号</w:t>
            </w:r>
          </w:p>
        </w:tc>
        <w:tc>
          <w:tcPr>
            <w:tcW w:w="1837" w:type="pct"/>
            <w:noWrap w:val="0"/>
            <w:vAlign w:val="center"/>
          </w:tcPr>
          <w:p w14:paraId="73A7B169">
            <w:pPr>
              <w:keepNext w:val="0"/>
              <w:keepLines w:val="0"/>
              <w:pageBreakBefore w:val="0"/>
              <w:widowControl w:val="0"/>
              <w:shd w:val="clear" w:color="auto"/>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名</w:t>
            </w:r>
            <w:r>
              <w:rPr>
                <w:rFonts w:hint="eastAsia" w:ascii="宋体" w:hAnsi="宋体" w:eastAsia="宋体" w:cs="宋体"/>
                <w:b/>
                <w:bCs/>
                <w:color w:val="000000" w:themeColor="text1"/>
                <w:sz w:val="24"/>
                <w:highlight w:val="none"/>
                <w14:textFill>
                  <w14:solidFill>
                    <w14:schemeClr w14:val="tx1"/>
                  </w14:solidFill>
                </w14:textFill>
              </w:rPr>
              <w:t xml:space="preserve">    </w:t>
            </w:r>
            <w:r>
              <w:rPr>
                <w:rFonts w:hint="eastAsia" w:ascii="宋体" w:hAnsi="宋体" w:eastAsia="宋体" w:cs="宋体"/>
                <w:b/>
                <w:bCs/>
                <w:color w:val="000000" w:themeColor="text1"/>
                <w:sz w:val="24"/>
                <w:highlight w:val="none"/>
                <w:lang w:val="en-US" w:eastAsia="zh-CN"/>
                <w14:textFill>
                  <w14:solidFill>
                    <w14:schemeClr w14:val="tx1"/>
                  </w14:solidFill>
                </w14:textFill>
              </w:rPr>
              <w:t>称</w:t>
            </w:r>
          </w:p>
        </w:tc>
        <w:tc>
          <w:tcPr>
            <w:tcW w:w="510" w:type="pct"/>
            <w:noWrap w:val="0"/>
            <w:vAlign w:val="center"/>
          </w:tcPr>
          <w:p w14:paraId="34FC50BC">
            <w:pPr>
              <w:keepNext w:val="0"/>
              <w:keepLines w:val="0"/>
              <w:pageBreakBefore w:val="0"/>
              <w:widowControl w:val="0"/>
              <w:shd w:val="clear" w:color="auto"/>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数量</w:t>
            </w:r>
          </w:p>
        </w:tc>
        <w:tc>
          <w:tcPr>
            <w:tcW w:w="483" w:type="pct"/>
            <w:noWrap w:val="0"/>
            <w:vAlign w:val="center"/>
          </w:tcPr>
          <w:p w14:paraId="5289171B">
            <w:pPr>
              <w:pBdr>
                <w:top w:val="none" w:color="000000" w:sz="0" w:space="0"/>
                <w:left w:val="none" w:color="000000" w:sz="0" w:space="0"/>
                <w:bottom w:val="none" w:color="000000" w:sz="0" w:space="0"/>
                <w:right w:val="none" w:color="000000" w:sz="0" w:space="0"/>
              </w:pBdr>
              <w:shd w:val="clear" w:color="auto"/>
              <w:spacing w:before="200" w:after="200"/>
              <w:jc w:val="center"/>
              <w:rPr>
                <w:rFonts w:hint="eastAsia" w:ascii="宋体" w:hAnsi="宋体" w:eastAsia="宋体" w:cs="宋体"/>
                <w:b/>
                <w:color w:val="000000" w:themeColor="text1"/>
                <w:sz w:val="24"/>
                <w:szCs w:val="24"/>
                <w:highlight w:val="none"/>
                <w:lang w:val="en-US" w:eastAsia="zh-CN"/>
                <w14:textFill>
                  <w14:solidFill>
                    <w14:schemeClr w14:val="tx1"/>
                  </w14:solidFill>
                </w14:textFill>
              </w:rPr>
            </w:pPr>
            <w:r>
              <w:rPr>
                <w:rFonts w:hint="eastAsia" w:ascii="宋体" w:hAnsi="宋体" w:eastAsia="宋体" w:cs="宋体"/>
                <w:b/>
                <w:color w:val="000000" w:themeColor="text1"/>
                <w:sz w:val="24"/>
                <w:szCs w:val="24"/>
                <w:highlight w:val="none"/>
                <w:lang w:val="en-US" w:eastAsia="zh-CN"/>
                <w14:textFill>
                  <w14:solidFill>
                    <w14:schemeClr w14:val="tx1"/>
                  </w14:solidFill>
                </w14:textFill>
              </w:rPr>
              <w:t>单位</w:t>
            </w:r>
          </w:p>
        </w:tc>
        <w:tc>
          <w:tcPr>
            <w:tcW w:w="593" w:type="pct"/>
            <w:noWrap w:val="0"/>
            <w:vAlign w:val="center"/>
          </w:tcPr>
          <w:p w14:paraId="7517AC41">
            <w:pPr>
              <w:pBdr>
                <w:top w:val="none" w:color="000000" w:sz="0" w:space="0"/>
                <w:left w:val="none" w:color="000000" w:sz="0" w:space="0"/>
                <w:bottom w:val="none" w:color="000000" w:sz="0" w:space="0"/>
                <w:right w:val="none" w:color="000000" w:sz="0" w:space="0"/>
              </w:pBdr>
              <w:shd w:val="clear" w:color="auto"/>
              <w:spacing w:before="200" w:after="200"/>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单价（元）</w:t>
            </w:r>
          </w:p>
        </w:tc>
        <w:tc>
          <w:tcPr>
            <w:tcW w:w="646" w:type="pct"/>
            <w:noWrap w:val="0"/>
            <w:vAlign w:val="center"/>
          </w:tcPr>
          <w:p w14:paraId="0332C16E">
            <w:pPr>
              <w:pBdr>
                <w:top w:val="none" w:color="000000" w:sz="0" w:space="0"/>
                <w:left w:val="none" w:color="000000" w:sz="0" w:space="0"/>
                <w:bottom w:val="none" w:color="000000" w:sz="0" w:space="0"/>
                <w:right w:val="none" w:color="000000" w:sz="0" w:space="0"/>
              </w:pBdr>
              <w:shd w:val="clear" w:color="auto"/>
              <w:spacing w:before="200" w:after="200"/>
              <w:jc w:val="center"/>
              <w:rPr>
                <w:rFonts w:hint="eastAsia" w:ascii="宋体" w:hAnsi="宋体" w:eastAsia="宋体" w:cs="宋体"/>
                <w:b/>
                <w:bCs/>
                <w:color w:val="000000" w:themeColor="text1"/>
                <w:sz w:val="24"/>
                <w:highlight w:val="none"/>
                <w:lang w:eastAsia="zh-CN"/>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总价（元）</w:t>
            </w:r>
          </w:p>
        </w:tc>
        <w:tc>
          <w:tcPr>
            <w:tcW w:w="512" w:type="pct"/>
            <w:noWrap w:val="0"/>
            <w:vAlign w:val="center"/>
          </w:tcPr>
          <w:p w14:paraId="16C33483">
            <w:pPr>
              <w:keepNext w:val="0"/>
              <w:keepLines w:val="0"/>
              <w:pageBreakBefore w:val="0"/>
              <w:widowControl w:val="0"/>
              <w:shd w:val="clear" w:color="auto"/>
              <w:jc w:val="center"/>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备注</w:t>
            </w:r>
          </w:p>
        </w:tc>
      </w:tr>
      <w:tr w14:paraId="37D8A0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5F7117F5">
            <w:pPr>
              <w:keepNext w:val="0"/>
              <w:keepLines w:val="0"/>
              <w:pageBreakBefore w:val="0"/>
              <w:widowControl w:val="0"/>
              <w:shd w:val="clear" w:color="auto"/>
              <w:spacing w:line="240" w:lineRule="auto"/>
              <w:jc w:val="center"/>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1</w:t>
            </w:r>
          </w:p>
        </w:tc>
        <w:tc>
          <w:tcPr>
            <w:tcW w:w="1837" w:type="pct"/>
            <w:noWrap w:val="0"/>
            <w:vAlign w:val="center"/>
          </w:tcPr>
          <w:p w14:paraId="50A94FA0">
            <w:pPr>
              <w:keepNext w:val="0"/>
              <w:keepLines w:val="0"/>
              <w:pageBreakBefore w:val="0"/>
              <w:widowControl w:val="0"/>
              <w:shd w:val="clear" w:color="auto"/>
              <w:spacing w:line="24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510" w:type="pct"/>
            <w:noWrap w:val="0"/>
            <w:vAlign w:val="center"/>
          </w:tcPr>
          <w:p w14:paraId="4ED25F73">
            <w:pPr>
              <w:keepNext w:val="0"/>
              <w:keepLines w:val="0"/>
              <w:pageBreakBefore w:val="0"/>
              <w:widowControl w:val="0"/>
              <w:shd w:val="clear" w:color="auto"/>
              <w:spacing w:line="240" w:lineRule="auto"/>
              <w:jc w:val="center"/>
              <w:rPr>
                <w:rFonts w:hint="eastAsia" w:ascii="宋体" w:hAnsi="宋体" w:eastAsia="宋体" w:cs="宋体"/>
                <w:b w:val="0"/>
                <w:bCs w:val="0"/>
                <w:color w:val="000000" w:themeColor="text1"/>
                <w:sz w:val="24"/>
                <w:highlight w:val="none"/>
                <w:lang w:val="en-US" w:eastAsia="zh-CN"/>
                <w14:textFill>
                  <w14:solidFill>
                    <w14:schemeClr w14:val="tx1"/>
                  </w14:solidFill>
                </w14:textFill>
              </w:rPr>
            </w:pPr>
          </w:p>
        </w:tc>
        <w:tc>
          <w:tcPr>
            <w:tcW w:w="483" w:type="pct"/>
            <w:noWrap w:val="0"/>
            <w:vAlign w:val="center"/>
          </w:tcPr>
          <w:p w14:paraId="0A8F943A">
            <w:pPr>
              <w:keepNext w:val="0"/>
              <w:keepLines w:val="0"/>
              <w:pageBreakBefore w:val="0"/>
              <w:widowControl w:val="0"/>
              <w:shd w:val="clear" w:color="auto"/>
              <w:spacing w:line="240" w:lineRule="auto"/>
              <w:jc w:val="center"/>
              <w:rPr>
                <w:rFonts w:hint="eastAsia" w:ascii="宋体" w:hAnsi="宋体" w:eastAsia="宋体" w:cs="宋体"/>
                <w:b w:val="0"/>
                <w:bCs w:val="0"/>
                <w:color w:val="000000" w:themeColor="text1"/>
                <w:sz w:val="24"/>
                <w:highlight w:val="none"/>
                <w:lang w:val="en-US" w:eastAsia="zh-CN"/>
                <w14:textFill>
                  <w14:solidFill>
                    <w14:schemeClr w14:val="tx1"/>
                  </w14:solidFill>
                </w14:textFill>
              </w:rPr>
            </w:pPr>
          </w:p>
        </w:tc>
        <w:tc>
          <w:tcPr>
            <w:tcW w:w="593" w:type="pct"/>
            <w:noWrap w:val="0"/>
            <w:vAlign w:val="center"/>
          </w:tcPr>
          <w:p w14:paraId="26301429">
            <w:pPr>
              <w:keepNext w:val="0"/>
              <w:keepLines w:val="0"/>
              <w:pageBreakBefore w:val="0"/>
              <w:widowControl w:val="0"/>
              <w:shd w:val="clear" w:color="auto"/>
              <w:spacing w:line="240" w:lineRule="auto"/>
              <w:jc w:val="center"/>
              <w:rPr>
                <w:rFonts w:hint="eastAsia" w:ascii="宋体" w:hAnsi="宋体" w:eastAsia="宋体" w:cs="宋体"/>
                <w:b/>
                <w:bCs/>
                <w:color w:val="000000" w:themeColor="text1"/>
                <w:sz w:val="24"/>
                <w:highlight w:val="none"/>
                <w:lang w:val="en-US" w:eastAsia="zh-CN"/>
                <w14:textFill>
                  <w14:solidFill>
                    <w14:schemeClr w14:val="tx1"/>
                  </w14:solidFill>
                </w14:textFill>
              </w:rPr>
            </w:pPr>
          </w:p>
        </w:tc>
        <w:tc>
          <w:tcPr>
            <w:tcW w:w="646" w:type="pct"/>
            <w:noWrap w:val="0"/>
            <w:vAlign w:val="center"/>
          </w:tcPr>
          <w:p w14:paraId="107A9D3A">
            <w:pPr>
              <w:keepNext w:val="0"/>
              <w:keepLines w:val="0"/>
              <w:pageBreakBefore w:val="0"/>
              <w:widowControl w:val="0"/>
              <w:shd w:val="clear" w:color="auto"/>
              <w:spacing w:line="240" w:lineRule="auto"/>
              <w:jc w:val="center"/>
              <w:rPr>
                <w:rFonts w:hint="eastAsia" w:ascii="宋体" w:hAnsi="宋体" w:eastAsia="宋体" w:cs="宋体"/>
                <w:b/>
                <w:bCs/>
                <w:color w:val="000000" w:themeColor="text1"/>
                <w:sz w:val="24"/>
                <w:highlight w:val="none"/>
                <w14:textFill>
                  <w14:solidFill>
                    <w14:schemeClr w14:val="tx1"/>
                  </w14:solidFill>
                </w14:textFill>
              </w:rPr>
            </w:pPr>
          </w:p>
        </w:tc>
        <w:tc>
          <w:tcPr>
            <w:tcW w:w="512" w:type="pct"/>
            <w:noWrap w:val="0"/>
            <w:vAlign w:val="center"/>
          </w:tcPr>
          <w:p w14:paraId="0C301462">
            <w:pPr>
              <w:keepNext w:val="0"/>
              <w:keepLines w:val="0"/>
              <w:pageBreakBefore w:val="0"/>
              <w:widowControl w:val="0"/>
              <w:shd w:val="clear" w:color="auto"/>
              <w:spacing w:line="240" w:lineRule="auto"/>
              <w:jc w:val="center"/>
              <w:rPr>
                <w:rFonts w:hint="eastAsia" w:ascii="宋体" w:hAnsi="宋体" w:eastAsia="宋体" w:cs="宋体"/>
                <w:color w:val="000000" w:themeColor="text1"/>
                <w:sz w:val="18"/>
                <w:szCs w:val="18"/>
                <w:highlight w:val="none"/>
                <w:lang w:val="en-US" w:eastAsia="zh-CN"/>
                <w14:textFill>
                  <w14:solidFill>
                    <w14:schemeClr w14:val="tx1"/>
                  </w14:solidFill>
                </w14:textFill>
              </w:rPr>
            </w:pPr>
          </w:p>
        </w:tc>
      </w:tr>
      <w:tr w14:paraId="36528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43D38622">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2</w:t>
            </w:r>
          </w:p>
        </w:tc>
        <w:tc>
          <w:tcPr>
            <w:tcW w:w="1837" w:type="pct"/>
            <w:noWrap w:val="0"/>
            <w:vAlign w:val="center"/>
          </w:tcPr>
          <w:p w14:paraId="246E9322">
            <w:pPr>
              <w:keepNext w:val="0"/>
              <w:keepLines w:val="0"/>
              <w:pageBreakBefore w:val="0"/>
              <w:widowControl w:val="0"/>
              <w:shd w:val="clear" w:color="auto"/>
              <w:spacing w:line="24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510" w:type="pct"/>
            <w:noWrap w:val="0"/>
            <w:vAlign w:val="center"/>
          </w:tcPr>
          <w:p w14:paraId="0FBA37A7">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483" w:type="pct"/>
            <w:noWrap w:val="0"/>
            <w:vAlign w:val="center"/>
          </w:tcPr>
          <w:p w14:paraId="3D0D57E5">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593" w:type="pct"/>
            <w:noWrap w:val="0"/>
            <w:vAlign w:val="center"/>
          </w:tcPr>
          <w:p w14:paraId="4AB59FA9">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646" w:type="pct"/>
            <w:noWrap w:val="0"/>
            <w:vAlign w:val="center"/>
          </w:tcPr>
          <w:p w14:paraId="1B4BD258">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12" w:type="pct"/>
            <w:noWrap w:val="0"/>
            <w:vAlign w:val="center"/>
          </w:tcPr>
          <w:p w14:paraId="1F51E66D">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171288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14A67358">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lang w:val="en-US" w:eastAsia="zh-CN"/>
                <w14:textFill>
                  <w14:solidFill>
                    <w14:schemeClr w14:val="tx1"/>
                  </w14:solidFill>
                </w14:textFill>
              </w:rPr>
              <w:t>3</w:t>
            </w:r>
          </w:p>
        </w:tc>
        <w:tc>
          <w:tcPr>
            <w:tcW w:w="1837" w:type="pct"/>
            <w:noWrap w:val="0"/>
            <w:vAlign w:val="center"/>
          </w:tcPr>
          <w:p w14:paraId="5109E625">
            <w:pPr>
              <w:keepNext w:val="0"/>
              <w:keepLines w:val="0"/>
              <w:pageBreakBefore w:val="0"/>
              <w:widowControl w:val="0"/>
              <w:shd w:val="clear" w:color="auto"/>
              <w:spacing w:line="24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510" w:type="pct"/>
            <w:noWrap w:val="0"/>
            <w:vAlign w:val="center"/>
          </w:tcPr>
          <w:p w14:paraId="1DD0C565">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483" w:type="pct"/>
            <w:noWrap w:val="0"/>
            <w:vAlign w:val="center"/>
          </w:tcPr>
          <w:p w14:paraId="7523DD34">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593" w:type="pct"/>
            <w:noWrap w:val="0"/>
            <w:vAlign w:val="center"/>
          </w:tcPr>
          <w:p w14:paraId="38B3C711">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646" w:type="pct"/>
            <w:noWrap w:val="0"/>
            <w:vAlign w:val="center"/>
          </w:tcPr>
          <w:p w14:paraId="787302A4">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12" w:type="pct"/>
            <w:noWrap w:val="0"/>
            <w:vAlign w:val="center"/>
          </w:tcPr>
          <w:p w14:paraId="387F4E6C">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5DC18A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5D8F0799">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37" w:type="pct"/>
            <w:noWrap w:val="0"/>
            <w:vAlign w:val="center"/>
          </w:tcPr>
          <w:p w14:paraId="279BE2B0">
            <w:pPr>
              <w:keepNext w:val="0"/>
              <w:keepLines w:val="0"/>
              <w:pageBreakBefore w:val="0"/>
              <w:widowControl w:val="0"/>
              <w:shd w:val="clear" w:color="auto"/>
              <w:spacing w:line="24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510" w:type="pct"/>
            <w:noWrap w:val="0"/>
            <w:vAlign w:val="center"/>
          </w:tcPr>
          <w:p w14:paraId="3E425BAA">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483" w:type="pct"/>
            <w:noWrap w:val="0"/>
            <w:vAlign w:val="center"/>
          </w:tcPr>
          <w:p w14:paraId="3B21A8F5">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93" w:type="pct"/>
            <w:noWrap w:val="0"/>
            <w:vAlign w:val="center"/>
          </w:tcPr>
          <w:p w14:paraId="3CDD82EE">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646" w:type="pct"/>
            <w:noWrap w:val="0"/>
            <w:vAlign w:val="center"/>
          </w:tcPr>
          <w:p w14:paraId="2A09373E">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12" w:type="pct"/>
            <w:noWrap w:val="0"/>
            <w:vAlign w:val="center"/>
          </w:tcPr>
          <w:p w14:paraId="4F749064">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19D488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53BB5AF6">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37" w:type="pct"/>
            <w:noWrap w:val="0"/>
            <w:vAlign w:val="center"/>
          </w:tcPr>
          <w:p w14:paraId="03E7CA84">
            <w:pPr>
              <w:keepNext w:val="0"/>
              <w:keepLines w:val="0"/>
              <w:pageBreakBefore w:val="0"/>
              <w:widowControl w:val="0"/>
              <w:shd w:val="clear" w:color="auto"/>
              <w:spacing w:line="24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510" w:type="pct"/>
            <w:noWrap w:val="0"/>
            <w:vAlign w:val="center"/>
          </w:tcPr>
          <w:p w14:paraId="463B1FB8">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483" w:type="pct"/>
            <w:noWrap w:val="0"/>
            <w:vAlign w:val="center"/>
          </w:tcPr>
          <w:p w14:paraId="340B7607">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93" w:type="pct"/>
            <w:noWrap w:val="0"/>
            <w:vAlign w:val="center"/>
          </w:tcPr>
          <w:p w14:paraId="2F5CBCFA">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646" w:type="pct"/>
            <w:noWrap w:val="0"/>
            <w:vAlign w:val="center"/>
          </w:tcPr>
          <w:p w14:paraId="2E307F61">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12" w:type="pct"/>
            <w:noWrap w:val="0"/>
            <w:vAlign w:val="center"/>
          </w:tcPr>
          <w:p w14:paraId="01581C45">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7C36B9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72E3BC07">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1837" w:type="pct"/>
            <w:noWrap w:val="0"/>
            <w:vAlign w:val="center"/>
          </w:tcPr>
          <w:p w14:paraId="60E6BA47">
            <w:pPr>
              <w:keepNext w:val="0"/>
              <w:keepLines w:val="0"/>
              <w:pageBreakBefore w:val="0"/>
              <w:widowControl w:val="0"/>
              <w:shd w:val="clear" w:color="auto"/>
              <w:spacing w:line="24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510" w:type="pct"/>
            <w:noWrap w:val="0"/>
            <w:vAlign w:val="center"/>
          </w:tcPr>
          <w:p w14:paraId="27454C6F">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483" w:type="pct"/>
            <w:noWrap w:val="0"/>
            <w:vAlign w:val="center"/>
          </w:tcPr>
          <w:p w14:paraId="653A4F78">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93" w:type="pct"/>
            <w:noWrap w:val="0"/>
            <w:vAlign w:val="center"/>
          </w:tcPr>
          <w:p w14:paraId="379D551B">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646" w:type="pct"/>
            <w:noWrap w:val="0"/>
            <w:vAlign w:val="center"/>
          </w:tcPr>
          <w:p w14:paraId="1D1789F0">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12" w:type="pct"/>
            <w:noWrap w:val="0"/>
            <w:vAlign w:val="center"/>
          </w:tcPr>
          <w:p w14:paraId="18E2A5A7">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5F4952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5AFC4766">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37" w:type="pct"/>
            <w:noWrap w:val="0"/>
            <w:vAlign w:val="center"/>
          </w:tcPr>
          <w:p w14:paraId="52680004">
            <w:pPr>
              <w:keepNext w:val="0"/>
              <w:keepLines w:val="0"/>
              <w:pageBreakBefore w:val="0"/>
              <w:widowControl w:val="0"/>
              <w:shd w:val="clear" w:color="auto"/>
              <w:spacing w:line="24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510" w:type="pct"/>
            <w:noWrap w:val="0"/>
            <w:vAlign w:val="center"/>
          </w:tcPr>
          <w:p w14:paraId="79432BC6">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483" w:type="pct"/>
            <w:noWrap w:val="0"/>
            <w:vAlign w:val="center"/>
          </w:tcPr>
          <w:p w14:paraId="1EAE32CE">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93" w:type="pct"/>
            <w:noWrap w:val="0"/>
            <w:vAlign w:val="center"/>
          </w:tcPr>
          <w:p w14:paraId="62B964F5">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646" w:type="pct"/>
            <w:noWrap w:val="0"/>
            <w:vAlign w:val="center"/>
          </w:tcPr>
          <w:p w14:paraId="609EE687">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12" w:type="pct"/>
            <w:noWrap w:val="0"/>
            <w:vAlign w:val="center"/>
          </w:tcPr>
          <w:p w14:paraId="5579343B">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164F0C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3B63EB22">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lang w:val="en-US" w:eastAsia="zh-CN"/>
                <w14:textFill>
                  <w14:solidFill>
                    <w14:schemeClr w14:val="tx1"/>
                  </w14:solidFill>
                </w14:textFill>
              </w:rPr>
            </w:pPr>
          </w:p>
        </w:tc>
        <w:tc>
          <w:tcPr>
            <w:tcW w:w="1837" w:type="pct"/>
            <w:noWrap w:val="0"/>
            <w:vAlign w:val="center"/>
          </w:tcPr>
          <w:p w14:paraId="12353657">
            <w:pPr>
              <w:keepNext w:val="0"/>
              <w:keepLines w:val="0"/>
              <w:pageBreakBefore w:val="0"/>
              <w:widowControl w:val="0"/>
              <w:shd w:val="clear" w:color="auto"/>
              <w:spacing w:line="240" w:lineRule="auto"/>
              <w:jc w:val="left"/>
              <w:rPr>
                <w:rFonts w:hint="eastAsia" w:ascii="宋体" w:hAnsi="宋体" w:eastAsia="宋体" w:cs="宋体"/>
                <w:color w:val="000000" w:themeColor="text1"/>
                <w:sz w:val="24"/>
                <w:highlight w:val="none"/>
                <w14:textFill>
                  <w14:solidFill>
                    <w14:schemeClr w14:val="tx1"/>
                  </w14:solidFill>
                </w14:textFill>
              </w:rPr>
            </w:pPr>
          </w:p>
        </w:tc>
        <w:tc>
          <w:tcPr>
            <w:tcW w:w="510" w:type="pct"/>
            <w:noWrap w:val="0"/>
            <w:vAlign w:val="center"/>
          </w:tcPr>
          <w:p w14:paraId="68E13C05">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483" w:type="pct"/>
            <w:noWrap w:val="0"/>
            <w:vAlign w:val="center"/>
          </w:tcPr>
          <w:p w14:paraId="09943D01">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93" w:type="pct"/>
            <w:noWrap w:val="0"/>
            <w:vAlign w:val="center"/>
          </w:tcPr>
          <w:p w14:paraId="6F598BFB">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646" w:type="pct"/>
            <w:noWrap w:val="0"/>
            <w:vAlign w:val="center"/>
          </w:tcPr>
          <w:p w14:paraId="168E841B">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c>
          <w:tcPr>
            <w:tcW w:w="512" w:type="pct"/>
            <w:noWrap w:val="0"/>
            <w:vAlign w:val="center"/>
          </w:tcPr>
          <w:p w14:paraId="14746CAE">
            <w:pPr>
              <w:keepNext w:val="0"/>
              <w:keepLines w:val="0"/>
              <w:pageBreakBefore w:val="0"/>
              <w:widowControl w:val="0"/>
              <w:shd w:val="clear" w:color="auto"/>
              <w:spacing w:line="240" w:lineRule="auto"/>
              <w:jc w:val="center"/>
              <w:rPr>
                <w:rFonts w:hint="eastAsia" w:ascii="宋体" w:hAnsi="宋体" w:eastAsia="宋体" w:cs="宋体"/>
                <w:color w:val="000000" w:themeColor="text1"/>
                <w:sz w:val="24"/>
                <w:highlight w:val="none"/>
                <w14:textFill>
                  <w14:solidFill>
                    <w14:schemeClr w14:val="tx1"/>
                  </w14:solidFill>
                </w14:textFill>
              </w:rPr>
            </w:pPr>
          </w:p>
        </w:tc>
      </w:tr>
      <w:tr w14:paraId="34317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415" w:type="pct"/>
            <w:noWrap w:val="0"/>
            <w:vAlign w:val="center"/>
          </w:tcPr>
          <w:p w14:paraId="1B186580">
            <w:pPr>
              <w:keepNext w:val="0"/>
              <w:keepLines w:val="0"/>
              <w:pageBreakBefore w:val="0"/>
              <w:widowControl w:val="0"/>
              <w:shd w:val="clear" w:color="auto"/>
              <w:spacing w:line="240" w:lineRule="auto"/>
              <w:jc w:val="center"/>
              <w:rPr>
                <w:rFonts w:hint="eastAsia" w:ascii="宋体" w:hAnsi="宋体" w:eastAsia="宋体" w:cs="宋体"/>
                <w:color w:val="000000" w:themeColor="text1"/>
                <w:spacing w:val="-8"/>
                <w:sz w:val="24"/>
                <w:highlight w:val="none"/>
                <w14:textFill>
                  <w14:solidFill>
                    <w14:schemeClr w14:val="tx1"/>
                  </w14:solidFill>
                </w14:textFill>
              </w:rPr>
            </w:pPr>
          </w:p>
        </w:tc>
        <w:tc>
          <w:tcPr>
            <w:tcW w:w="1837" w:type="pct"/>
            <w:noWrap w:val="0"/>
            <w:vAlign w:val="center"/>
          </w:tcPr>
          <w:p w14:paraId="0A05AD62">
            <w:pPr>
              <w:keepNext w:val="0"/>
              <w:keepLines w:val="0"/>
              <w:pageBreakBefore w:val="0"/>
              <w:widowControl w:val="0"/>
              <w:shd w:val="clear" w:color="auto"/>
              <w:spacing w:line="240" w:lineRule="auto"/>
              <w:jc w:val="left"/>
              <w:rPr>
                <w:rFonts w:hint="eastAsia" w:ascii="宋体" w:hAnsi="宋体" w:eastAsia="宋体" w:cs="宋体"/>
                <w:bCs/>
                <w:color w:val="000000" w:themeColor="text1"/>
                <w:spacing w:val="-8"/>
                <w:sz w:val="24"/>
                <w:highlight w:val="none"/>
                <w14:textFill>
                  <w14:solidFill>
                    <w14:schemeClr w14:val="tx1"/>
                  </w14:solidFill>
                </w14:textFill>
              </w:rPr>
            </w:pPr>
            <w:r>
              <w:rPr>
                <w:rFonts w:hint="eastAsia" w:ascii="宋体" w:hAnsi="宋体" w:eastAsia="宋体" w:cs="宋体"/>
                <w:bCs/>
                <w:color w:val="000000" w:themeColor="text1"/>
                <w:spacing w:val="-8"/>
                <w:sz w:val="24"/>
                <w:highlight w:val="none"/>
                <w14:textFill>
                  <w14:solidFill>
                    <w14:schemeClr w14:val="tx1"/>
                  </w14:solidFill>
                </w14:textFill>
              </w:rPr>
              <w:t>合计</w:t>
            </w:r>
          </w:p>
        </w:tc>
        <w:tc>
          <w:tcPr>
            <w:tcW w:w="510" w:type="pct"/>
            <w:noWrap w:val="0"/>
            <w:vAlign w:val="center"/>
          </w:tcPr>
          <w:p w14:paraId="77FB812C">
            <w:pPr>
              <w:keepNext w:val="0"/>
              <w:keepLines w:val="0"/>
              <w:pageBreakBefore w:val="0"/>
              <w:widowControl w:val="0"/>
              <w:shd w:val="clear" w:color="auto"/>
              <w:spacing w:line="240" w:lineRule="auto"/>
              <w:jc w:val="center"/>
              <w:rPr>
                <w:rFonts w:hint="eastAsia" w:ascii="宋体" w:hAnsi="宋体" w:eastAsia="宋体" w:cs="宋体"/>
                <w:b/>
                <w:bCs/>
                <w:color w:val="000000" w:themeColor="text1"/>
                <w:spacing w:val="-8"/>
                <w:sz w:val="24"/>
                <w:highlight w:val="none"/>
                <w14:textFill>
                  <w14:solidFill>
                    <w14:schemeClr w14:val="tx1"/>
                  </w14:solidFill>
                </w14:textFill>
              </w:rPr>
            </w:pPr>
          </w:p>
        </w:tc>
        <w:tc>
          <w:tcPr>
            <w:tcW w:w="483" w:type="pct"/>
            <w:noWrap w:val="0"/>
            <w:vAlign w:val="center"/>
          </w:tcPr>
          <w:p w14:paraId="483D3769">
            <w:pPr>
              <w:keepNext w:val="0"/>
              <w:keepLines w:val="0"/>
              <w:pageBreakBefore w:val="0"/>
              <w:widowControl w:val="0"/>
              <w:shd w:val="clear" w:color="auto"/>
              <w:spacing w:line="240" w:lineRule="auto"/>
              <w:jc w:val="center"/>
              <w:rPr>
                <w:rFonts w:hint="eastAsia" w:ascii="宋体" w:hAnsi="宋体" w:eastAsia="宋体" w:cs="宋体"/>
                <w:b/>
                <w:bCs/>
                <w:color w:val="000000" w:themeColor="text1"/>
                <w:spacing w:val="-8"/>
                <w:sz w:val="24"/>
                <w:highlight w:val="none"/>
                <w14:textFill>
                  <w14:solidFill>
                    <w14:schemeClr w14:val="tx1"/>
                  </w14:solidFill>
                </w14:textFill>
              </w:rPr>
            </w:pPr>
          </w:p>
        </w:tc>
        <w:tc>
          <w:tcPr>
            <w:tcW w:w="593" w:type="pct"/>
            <w:noWrap w:val="0"/>
            <w:vAlign w:val="center"/>
          </w:tcPr>
          <w:p w14:paraId="1B3582A4">
            <w:pPr>
              <w:keepNext w:val="0"/>
              <w:keepLines w:val="0"/>
              <w:pageBreakBefore w:val="0"/>
              <w:widowControl w:val="0"/>
              <w:shd w:val="clear" w:color="auto"/>
              <w:spacing w:line="240" w:lineRule="auto"/>
              <w:jc w:val="center"/>
              <w:rPr>
                <w:rFonts w:hint="eastAsia" w:ascii="宋体" w:hAnsi="宋体" w:eastAsia="宋体" w:cs="宋体"/>
                <w:b/>
                <w:bCs/>
                <w:color w:val="000000" w:themeColor="text1"/>
                <w:spacing w:val="-8"/>
                <w:sz w:val="24"/>
                <w:highlight w:val="none"/>
                <w14:textFill>
                  <w14:solidFill>
                    <w14:schemeClr w14:val="tx1"/>
                  </w14:solidFill>
                </w14:textFill>
              </w:rPr>
            </w:pPr>
          </w:p>
        </w:tc>
        <w:tc>
          <w:tcPr>
            <w:tcW w:w="646" w:type="pct"/>
            <w:noWrap w:val="0"/>
            <w:vAlign w:val="center"/>
          </w:tcPr>
          <w:p w14:paraId="6A3F3E70">
            <w:pPr>
              <w:keepNext w:val="0"/>
              <w:keepLines w:val="0"/>
              <w:pageBreakBefore w:val="0"/>
              <w:widowControl w:val="0"/>
              <w:shd w:val="clear" w:color="auto"/>
              <w:spacing w:line="240" w:lineRule="auto"/>
              <w:jc w:val="center"/>
              <w:rPr>
                <w:rFonts w:hint="eastAsia" w:ascii="宋体" w:hAnsi="宋体" w:eastAsia="宋体" w:cs="宋体"/>
                <w:b/>
                <w:bCs/>
                <w:color w:val="000000" w:themeColor="text1"/>
                <w:spacing w:val="-8"/>
                <w:sz w:val="24"/>
                <w:highlight w:val="none"/>
                <w14:textFill>
                  <w14:solidFill>
                    <w14:schemeClr w14:val="tx1"/>
                  </w14:solidFill>
                </w14:textFill>
              </w:rPr>
            </w:pPr>
          </w:p>
        </w:tc>
        <w:tc>
          <w:tcPr>
            <w:tcW w:w="512" w:type="pct"/>
            <w:noWrap w:val="0"/>
            <w:vAlign w:val="center"/>
          </w:tcPr>
          <w:p w14:paraId="2796FDF0">
            <w:pPr>
              <w:keepNext w:val="0"/>
              <w:keepLines w:val="0"/>
              <w:pageBreakBefore w:val="0"/>
              <w:widowControl w:val="0"/>
              <w:shd w:val="clear" w:color="auto"/>
              <w:spacing w:line="240" w:lineRule="auto"/>
              <w:jc w:val="center"/>
              <w:rPr>
                <w:rFonts w:hint="eastAsia" w:ascii="宋体" w:hAnsi="宋体" w:eastAsia="宋体" w:cs="宋体"/>
                <w:b/>
                <w:bCs/>
                <w:color w:val="000000" w:themeColor="text1"/>
                <w:sz w:val="24"/>
                <w:highlight w:val="none"/>
                <w14:textFill>
                  <w14:solidFill>
                    <w14:schemeClr w14:val="tx1"/>
                  </w14:solidFill>
                </w14:textFill>
              </w:rPr>
            </w:pPr>
          </w:p>
        </w:tc>
      </w:tr>
    </w:tbl>
    <w:p w14:paraId="16E73E40">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20" w:lineRule="atLeast"/>
        <w:ind w:left="0" w:right="0" w:firstLine="482"/>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针对本项目</w:t>
      </w:r>
      <w:r>
        <w:rPr>
          <w:rFonts w:hint="eastAsia" w:ascii="宋体" w:hAnsi="宋体" w:eastAsia="宋体" w:cs="宋体"/>
          <w:b/>
          <w:color w:val="000000" w:themeColor="text1"/>
          <w:sz w:val="24"/>
          <w:highlight w:val="none"/>
          <w:u w:val="single"/>
          <w:lang w:val="en-US" w:eastAsia="zh-CN"/>
          <w14:textFill>
            <w14:solidFill>
              <w14:schemeClr w14:val="tx1"/>
            </w14:solidFill>
          </w14:textFill>
        </w:rPr>
        <w:t xml:space="preserve">                     </w:t>
      </w:r>
      <w:r>
        <w:rPr>
          <w:rFonts w:hint="eastAsia" w:ascii="宋体" w:hAnsi="宋体" w:eastAsia="宋体" w:cs="宋体"/>
          <w:b/>
          <w:color w:val="000000" w:themeColor="text1"/>
          <w:sz w:val="24"/>
          <w:highlight w:val="none"/>
          <w14:textFill>
            <w14:solidFill>
              <w14:schemeClr w14:val="tx1"/>
            </w14:solidFill>
          </w14:textFill>
        </w:rPr>
        <w:t>（是或否）使用退休人员。</w:t>
      </w:r>
    </w:p>
    <w:p w14:paraId="1D84FD61">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20" w:lineRule="atLeast"/>
        <w:ind w:left="0" w:righ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w:t>
      </w:r>
    </w:p>
    <w:p w14:paraId="446CFD95">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20" w:lineRule="atLeast"/>
        <w:ind w:left="0" w:right="0" w:firstLine="480"/>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请投标人明确针对该项目是否使用退休人员：如使用退休人员，则在横线处填写“是”；如未使用退休人员，则在横线处填写“否”。(此为必填项)</w:t>
      </w:r>
    </w:p>
    <w:p w14:paraId="75EEC799">
      <w:pPr>
        <w:keepNext w:val="0"/>
        <w:keepLines w:val="0"/>
        <w:pageBreakBefore w:val="0"/>
        <w:widowControl w:val="0"/>
        <w:pBdr>
          <w:top w:val="none" w:color="000000" w:sz="0" w:space="0"/>
          <w:left w:val="none" w:color="000000" w:sz="0" w:space="0"/>
          <w:bottom w:val="none" w:color="000000" w:sz="0" w:space="0"/>
          <w:right w:val="none" w:color="000000" w:sz="0" w:space="0"/>
        </w:pBdr>
        <w:shd w:val="clear" w:color="auto"/>
        <w:spacing w:line="520" w:lineRule="atLeast"/>
        <w:ind w:left="0" w:right="0" w:firstLine="482"/>
        <w:rPr>
          <w:rFonts w:hint="eastAsia" w:ascii="宋体" w:hAnsi="宋体" w:eastAsia="宋体" w:cs="宋体"/>
          <w:color w:val="000000" w:themeColor="text1"/>
          <w:sz w:val="24"/>
          <w:highlight w:val="none"/>
          <w14:textFill>
            <w14:solidFill>
              <w14:schemeClr w14:val="tx1"/>
            </w14:solidFill>
          </w14:textFill>
        </w:rPr>
        <w:sectPr>
          <w:pgSz w:w="11906" w:h="16838"/>
          <w:pgMar w:top="1440" w:right="1080" w:bottom="1440" w:left="1080" w:header="851" w:footer="992" w:gutter="0"/>
          <w:cols w:space="1701" w:num="1"/>
          <w:titlePg/>
          <w:docGrid w:linePitch="360" w:charSpace="0"/>
        </w:sectPr>
      </w:pPr>
      <w:r>
        <w:rPr>
          <w:rFonts w:hint="eastAsia" w:ascii="宋体" w:hAnsi="宋体" w:eastAsia="宋体" w:cs="宋体"/>
          <w:color w:val="000000" w:themeColor="text1"/>
          <w:sz w:val="24"/>
          <w:highlight w:val="none"/>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以上表格必须如实提供，内容表述不全的可自行调整或添加。此表的合计金额应与开标一览表相符，如有不符，以开标一览表为准。</w:t>
      </w:r>
    </w:p>
    <w:p w14:paraId="55E6E221">
      <w:pPr>
        <w:pStyle w:val="266"/>
        <w:shd w:val="clear" w:color="auto"/>
        <w:outlineLvl w:val="1"/>
        <w:rPr>
          <w:rStyle w:val="216"/>
          <w:rFonts w:hint="eastAsia" w:ascii="宋体" w:hAnsi="宋体" w:eastAsia="宋体" w:cs="宋体"/>
          <w:b/>
          <w:color w:val="000000" w:themeColor="text1"/>
          <w:sz w:val="32"/>
          <w:highlight w:val="none"/>
          <w14:textFill>
            <w14:solidFill>
              <w14:schemeClr w14:val="tx1"/>
            </w14:solidFill>
          </w14:textFill>
        </w:rPr>
      </w:pPr>
      <w:bookmarkStart w:id="411" w:name="_Toc21515"/>
      <w:bookmarkStart w:id="412" w:name="_Toc30033"/>
      <w:bookmarkStart w:id="413" w:name="_Toc5493"/>
      <w:bookmarkStart w:id="414" w:name="_Toc4216"/>
      <w:bookmarkStart w:id="415" w:name="_Toc22512"/>
      <w:bookmarkStart w:id="416" w:name="_Toc17337"/>
      <w:r>
        <w:rPr>
          <w:rStyle w:val="216"/>
          <w:rFonts w:hint="eastAsia" w:ascii="宋体" w:hAnsi="宋体" w:eastAsia="宋体" w:cs="宋体"/>
          <w:b/>
          <w:color w:val="000000" w:themeColor="text1"/>
          <w:sz w:val="32"/>
          <w:highlight w:val="none"/>
          <w:lang w:val="en-US"/>
          <w14:textFill>
            <w14:solidFill>
              <w14:schemeClr w14:val="tx1"/>
            </w14:solidFill>
          </w14:textFill>
        </w:rPr>
        <w:t>六</w:t>
      </w:r>
      <w:r>
        <w:rPr>
          <w:rStyle w:val="216"/>
          <w:rFonts w:hint="eastAsia" w:ascii="宋体" w:hAnsi="宋体" w:eastAsia="宋体" w:cs="宋体"/>
          <w:b/>
          <w:color w:val="000000" w:themeColor="text1"/>
          <w:sz w:val="32"/>
          <w:highlight w:val="none"/>
          <w14:textFill>
            <w14:solidFill>
              <w14:schemeClr w14:val="tx1"/>
            </w14:solidFill>
          </w14:textFill>
        </w:rPr>
        <w:t>、常用零配件及耗材报价表</w:t>
      </w:r>
      <w:bookmarkEnd w:id="411"/>
      <w:bookmarkEnd w:id="412"/>
    </w:p>
    <w:p w14:paraId="58C0ECFD">
      <w:pPr>
        <w:pStyle w:val="245"/>
        <w:shd w:val="clear" w:color="auto"/>
        <w:spacing w:before="567" w:after="567"/>
        <w:jc w:val="center"/>
        <w:rPr>
          <w:rStyle w:val="216"/>
          <w:rFonts w:hint="eastAsia" w:ascii="宋体" w:hAnsi="宋体" w:eastAsia="宋体" w:cs="宋体"/>
          <w:b/>
          <w:bCs/>
          <w:color w:val="000000" w:themeColor="text1"/>
          <w:sz w:val="36"/>
          <w:szCs w:val="36"/>
          <w:highlight w:val="none"/>
          <w14:textFill>
            <w14:solidFill>
              <w14:schemeClr w14:val="tx1"/>
            </w14:solidFill>
          </w14:textFill>
        </w:rPr>
      </w:pPr>
      <w:r>
        <w:rPr>
          <w:rStyle w:val="216"/>
          <w:rFonts w:hint="eastAsia" w:ascii="宋体" w:hAnsi="宋体" w:eastAsia="宋体" w:cs="宋体"/>
          <w:b/>
          <w:bCs/>
          <w:color w:val="000000" w:themeColor="text1"/>
          <w:sz w:val="36"/>
          <w:szCs w:val="36"/>
          <w:highlight w:val="none"/>
          <w14:textFill>
            <w14:solidFill>
              <w14:schemeClr w14:val="tx1"/>
            </w14:solidFill>
          </w14:textFill>
        </w:rPr>
        <w:t>常用零配件及耗材报价表</w:t>
      </w:r>
    </w:p>
    <w:tbl>
      <w:tblPr>
        <w:tblStyle w:val="40"/>
        <w:tblW w:w="9788"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top w:w="0" w:type="dxa"/>
          <w:left w:w="108" w:type="dxa"/>
          <w:bottom w:w="0" w:type="dxa"/>
          <w:right w:w="108" w:type="dxa"/>
        </w:tblCellMar>
      </w:tblPr>
      <w:tblGrid>
        <w:gridCol w:w="902"/>
        <w:gridCol w:w="2280"/>
        <w:gridCol w:w="2407"/>
        <w:gridCol w:w="1203"/>
        <w:gridCol w:w="1633"/>
        <w:gridCol w:w="1363"/>
      </w:tblGrid>
      <w:tr w14:paraId="341464B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746BA42">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序号</w:t>
            </w:r>
          </w:p>
        </w:tc>
        <w:tc>
          <w:tcPr>
            <w:tcW w:w="2280"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C3458DC">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货物（产品）名称</w:t>
            </w:r>
          </w:p>
        </w:tc>
        <w:tc>
          <w:tcPr>
            <w:tcW w:w="2407"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53C2718">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规格型号</w:t>
            </w:r>
          </w:p>
        </w:tc>
        <w:tc>
          <w:tcPr>
            <w:tcW w:w="120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2789DEC">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计量单位</w:t>
            </w:r>
          </w:p>
        </w:tc>
        <w:tc>
          <w:tcPr>
            <w:tcW w:w="163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1D0A0C7">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数量</w:t>
            </w:r>
          </w:p>
        </w:tc>
        <w:tc>
          <w:tcPr>
            <w:tcW w:w="1363" w:type="dxa"/>
            <w:tcBorders>
              <w:top w:val="single" w:color="000000" w:sz="8" w:space="0"/>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8B0A040">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r>
              <w:rPr>
                <w:rFonts w:hint="eastAsia" w:ascii="宋体" w:hAnsi="宋体" w:eastAsia="宋体" w:cs="宋体"/>
                <w:b/>
                <w:color w:val="000000" w:themeColor="text1"/>
                <w:sz w:val="24"/>
                <w:highlight w:val="none"/>
                <w14:textFill>
                  <w14:solidFill>
                    <w14:schemeClr w14:val="tx1"/>
                  </w14:solidFill>
                </w14:textFill>
              </w:rPr>
              <w:t>单价（元）</w:t>
            </w:r>
          </w:p>
        </w:tc>
      </w:tr>
      <w:tr w14:paraId="10E8DD0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5BA17DA">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53B2CF6">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E443790">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D56FCDF">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A0CFDE7">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3BD061">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r w14:paraId="24B01A4E">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F75E67F">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C71DE3A">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9C53D35">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AF214A4">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F30989D">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63D3DEA">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r w14:paraId="25180E9B">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6A27DE8">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79552F4">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E7A19CA">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A77FCB7">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73FA763">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84E1F38">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r w14:paraId="769DAA9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672F7FB">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33054FE">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2E1D664">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4D57B6F">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30C220B">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AC71582">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r w14:paraId="3B0685D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9D2B1ED">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E6BEADF">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A7CB4A4">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292D321">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951B561">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E95F5C1">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r w14:paraId="53E83E4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5C76FC2">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79B3025">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60D21C77">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BBCF7E1">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73B23878">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87F860E">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r w14:paraId="3471A496">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181221C">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FB3CD43">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BC3E87A">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FAA72AA">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1E098B0">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717A289">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r w14:paraId="75F5970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7E45CE2">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3BC87AE">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D6083D0">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5D0D1D48">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463A2F6">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27BFEF77">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r w14:paraId="492BE87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567" w:hRule="atLeast"/>
        </w:trPr>
        <w:tc>
          <w:tcPr>
            <w:tcW w:w="902"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9797B5B">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280"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5700AF9">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2407"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09D31AE6">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20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1462C728">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63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3B5F1739">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c>
          <w:tcPr>
            <w:tcW w:w="1363" w:type="dxa"/>
            <w:tcBorders>
              <w:top w:val="nil"/>
              <w:left w:val="single" w:color="000000" w:sz="8" w:space="0"/>
              <w:bottom w:val="single" w:color="000000" w:sz="8" w:space="0"/>
              <w:right w:val="single" w:color="000000" w:sz="8" w:space="0"/>
            </w:tcBorders>
            <w:noWrap w:val="0"/>
            <w:tcMar>
              <w:top w:w="0" w:type="dxa"/>
              <w:left w:w="0" w:type="dxa"/>
              <w:bottom w:w="0" w:type="dxa"/>
              <w:right w:w="0" w:type="dxa"/>
            </w:tcMar>
            <w:vAlign w:val="center"/>
          </w:tcPr>
          <w:p w14:paraId="4D81D5DB">
            <w:pPr>
              <w:pBdr>
                <w:top w:val="none" w:color="000000" w:sz="0" w:space="0"/>
                <w:left w:val="none" w:color="000000" w:sz="0" w:space="0"/>
                <w:bottom w:val="none" w:color="000000" w:sz="0" w:space="0"/>
                <w:right w:val="none" w:color="000000" w:sz="0" w:space="0"/>
              </w:pBdr>
              <w:shd w:val="clear" w:color="auto"/>
              <w:spacing w:before="200" w:after="200" w:line="240" w:lineRule="auto"/>
              <w:jc w:val="center"/>
              <w:rPr>
                <w:rFonts w:hint="eastAsia" w:ascii="宋体" w:hAnsi="宋体" w:eastAsia="宋体" w:cs="宋体"/>
                <w:color w:val="000000" w:themeColor="text1"/>
                <w:highlight w:val="none"/>
                <w14:textFill>
                  <w14:solidFill>
                    <w14:schemeClr w14:val="tx1"/>
                  </w14:solidFill>
                </w14:textFill>
              </w:rPr>
            </w:pPr>
          </w:p>
        </w:tc>
      </w:tr>
    </w:tbl>
    <w:p w14:paraId="27F72704">
      <w:pPr>
        <w:pBdr>
          <w:top w:val="none" w:color="000000" w:sz="0" w:space="0"/>
          <w:left w:val="none" w:color="000000" w:sz="0" w:space="0"/>
          <w:bottom w:val="none" w:color="000000" w:sz="0" w:space="0"/>
          <w:right w:val="none" w:color="000000" w:sz="0" w:space="0"/>
        </w:pBdr>
        <w:shd w:val="clear" w:color="auto"/>
        <w:spacing w:before="240" w:after="24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注：以上常用零配件及耗材必须保证与</w:t>
      </w:r>
      <w:r>
        <w:rPr>
          <w:rFonts w:hint="eastAsia" w:ascii="宋体" w:hAnsi="宋体" w:eastAsia="宋体" w:cs="宋体"/>
          <w:color w:val="000000" w:themeColor="text1"/>
          <w:sz w:val="24"/>
          <w:highlight w:val="none"/>
          <w:lang w:val="en-US" w:eastAsia="zh-CN"/>
          <w14:textFill>
            <w14:solidFill>
              <w14:schemeClr w14:val="tx1"/>
            </w14:solidFill>
          </w14:textFill>
        </w:rPr>
        <w:t>本项目运维设备</w:t>
      </w:r>
      <w:r>
        <w:rPr>
          <w:rFonts w:hint="eastAsia" w:ascii="宋体" w:hAnsi="宋体" w:eastAsia="宋体" w:cs="宋体"/>
          <w:color w:val="000000" w:themeColor="text1"/>
          <w:sz w:val="24"/>
          <w:highlight w:val="none"/>
          <w14:textFill>
            <w14:solidFill>
              <w14:schemeClr w14:val="tx1"/>
            </w14:solidFill>
          </w14:textFill>
        </w:rPr>
        <w:t>兼容配套使用。</w:t>
      </w:r>
    </w:p>
    <w:p w14:paraId="6611448B">
      <w:pPr>
        <w:pStyle w:val="249"/>
        <w:keepNext w:val="0"/>
        <w:keepLines w:val="0"/>
        <w:pageBreakBefore w:val="0"/>
        <w:widowControl/>
        <w:shd w:val="clear" w:color="auto"/>
        <w:spacing w:line="520" w:lineRule="exact"/>
        <w:jc w:val="left"/>
        <w:outlineLvl w:val="1"/>
        <w:rPr>
          <w:rStyle w:val="21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6844D718">
      <w:pPr>
        <w:pStyle w:val="249"/>
        <w:keepNext w:val="0"/>
        <w:keepLines w:val="0"/>
        <w:pageBreakBefore w:val="0"/>
        <w:widowControl/>
        <w:shd w:val="clear" w:color="auto"/>
        <w:spacing w:line="520" w:lineRule="exact"/>
        <w:jc w:val="left"/>
        <w:outlineLvl w:val="1"/>
        <w:rPr>
          <w:rStyle w:val="216"/>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pPr>
      <w:bookmarkStart w:id="417" w:name="_Toc24929"/>
      <w:r>
        <w:rPr>
          <w:rStyle w:val="21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七</w:t>
      </w:r>
      <w:r>
        <w:rPr>
          <w:rStyle w:val="216"/>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t>、第四章项目需求中实质性要求响应对照表</w:t>
      </w:r>
      <w:bookmarkEnd w:id="413"/>
      <w:bookmarkEnd w:id="414"/>
      <w:bookmarkEnd w:id="415"/>
      <w:bookmarkEnd w:id="416"/>
      <w:bookmarkEnd w:id="417"/>
    </w:p>
    <w:p w14:paraId="74BA44D2">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bookmarkStart w:id="418" w:name="_Toc8782"/>
      <w:bookmarkStart w:id="419" w:name="_Toc12266"/>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第四章项目需求中实质性要求响应对照表</w:t>
      </w:r>
      <w:bookmarkEnd w:id="418"/>
      <w:bookmarkEnd w:id="419"/>
    </w:p>
    <w:p w14:paraId="5820E859">
      <w:pPr>
        <w:pStyle w:val="272"/>
        <w:shd w:val="clear" w:color="auto"/>
        <w:spacing w:line="440" w:lineRule="exact"/>
        <w:ind w:firstLine="482"/>
        <w:rPr>
          <w:rStyle w:val="200"/>
          <w:rFonts w:hint="eastAsia" w:ascii="宋体" w:hAnsi="宋体" w:eastAsia="宋体" w:cs="宋体"/>
          <w:b/>
          <w:bCs/>
          <w:color w:val="000000" w:themeColor="text1"/>
          <w:spacing w:val="0"/>
          <w:highlight w:val="none"/>
          <w:lang w:val="en-US" w:eastAsia="zh-CN"/>
          <w14:textFill>
            <w14:solidFill>
              <w14:schemeClr w14:val="tx1"/>
            </w14:solidFill>
          </w14:textFill>
        </w:rPr>
      </w:pPr>
      <w:r>
        <w:rPr>
          <w:rStyle w:val="200"/>
          <w:rFonts w:hint="default" w:ascii="宋体" w:hAnsi="宋体" w:eastAsia="宋体" w:cs="宋体"/>
          <w:b/>
          <w:bCs/>
          <w:color w:val="000000" w:themeColor="text1"/>
          <w:spacing w:val="0"/>
          <w:highlight w:val="none"/>
          <w:lang w:val="en-US" w:eastAsia="zh-CN"/>
          <w14:textFill>
            <w14:solidFill>
              <w14:schemeClr w14:val="tx1"/>
            </w14:solidFill>
          </w14:textFill>
        </w:rPr>
        <w:t>1</w:t>
      </w:r>
      <w:r>
        <w:rPr>
          <w:rStyle w:val="200"/>
          <w:rFonts w:hint="eastAsia" w:ascii="宋体" w:hAnsi="宋体" w:eastAsia="宋体" w:cs="宋体"/>
          <w:b/>
          <w:bCs/>
          <w:color w:val="000000" w:themeColor="text1"/>
          <w:spacing w:val="0"/>
          <w:highlight w:val="none"/>
          <w:lang w:val="en-US" w:eastAsia="zh-CN"/>
          <w14:textFill>
            <w14:solidFill>
              <w14:schemeClr w14:val="tx1"/>
            </w14:solidFill>
          </w14:textFill>
        </w:rPr>
        <w:t>.</w:t>
      </w:r>
      <w:r>
        <w:rPr>
          <w:rStyle w:val="200"/>
          <w:rFonts w:hint="eastAsia" w:ascii="宋体" w:hAnsi="宋体" w:eastAsia="宋体" w:cs="宋体"/>
          <w:b/>
          <w:bCs/>
          <w:color w:val="000000" w:themeColor="text1"/>
          <w:spacing w:val="0"/>
          <w:sz w:val="24"/>
          <w:szCs w:val="24"/>
          <w:highlight w:val="none"/>
          <w:lang w:eastAsia="zh-CN"/>
          <w14:textFill>
            <w14:solidFill>
              <w14:schemeClr w14:val="tx1"/>
            </w14:solidFill>
          </w14:textFill>
        </w:rPr>
        <w:t>商务条款的实质性格式</w:t>
      </w:r>
    </w:p>
    <w:tbl>
      <w:tblPr>
        <w:tblStyle w:val="39"/>
        <w:tblW w:w="97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73"/>
        <w:gridCol w:w="5831"/>
        <w:gridCol w:w="1771"/>
        <w:gridCol w:w="1606"/>
      </w:tblGrid>
      <w:tr w14:paraId="71D3D7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blHeader/>
        </w:trPr>
        <w:tc>
          <w:tcPr>
            <w:tcW w:w="573" w:type="dxa"/>
            <w:noWrap w:val="0"/>
            <w:tcMar>
              <w:top w:w="0" w:type="dxa"/>
              <w:left w:w="0" w:type="dxa"/>
              <w:bottom w:w="0" w:type="dxa"/>
              <w:right w:w="0" w:type="dxa"/>
            </w:tcMar>
            <w:vAlign w:val="center"/>
          </w:tcPr>
          <w:p w14:paraId="5201236F">
            <w:pPr>
              <w:pStyle w:val="272"/>
              <w:keepNext w:val="0"/>
              <w:keepLines w:val="0"/>
              <w:pageBreakBefore w:val="0"/>
              <w:widowControl/>
              <w:shd w:val="clear" w:color="auto"/>
              <w:spacing w:line="240" w:lineRule="auto"/>
              <w:jc w:val="center"/>
              <w:rPr>
                <w:rStyle w:val="200"/>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Style w:val="200"/>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t>序号</w:t>
            </w:r>
          </w:p>
        </w:tc>
        <w:tc>
          <w:tcPr>
            <w:tcW w:w="5831" w:type="dxa"/>
            <w:noWrap w:val="0"/>
            <w:tcMar>
              <w:top w:w="0" w:type="dxa"/>
              <w:left w:w="0" w:type="dxa"/>
              <w:bottom w:w="0" w:type="dxa"/>
              <w:right w:w="0" w:type="dxa"/>
            </w:tcMar>
            <w:vAlign w:val="center"/>
          </w:tcPr>
          <w:p w14:paraId="3154EB09">
            <w:pPr>
              <w:pStyle w:val="272"/>
              <w:keepNext w:val="0"/>
              <w:keepLines w:val="0"/>
              <w:pageBreakBefore w:val="0"/>
              <w:widowControl/>
              <w:shd w:val="clear" w:color="auto"/>
              <w:spacing w:line="240" w:lineRule="auto"/>
              <w:jc w:val="center"/>
              <w:rPr>
                <w:rStyle w:val="200"/>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Style w:val="200"/>
                <w:rFonts w:hint="eastAsia" w:ascii="宋体" w:hAnsi="宋体" w:eastAsia="宋体" w:cs="宋体"/>
                <w:b/>
                <w:bCs/>
                <w:i w:val="0"/>
                <w:iCs w:val="0"/>
                <w:smallCaps w:val="0"/>
                <w:color w:val="000000" w:themeColor="text1"/>
                <w:spacing w:val="0"/>
                <w:sz w:val="24"/>
                <w:szCs w:val="24"/>
                <w:highlight w:val="none"/>
                <w:lang w:val="en-US" w:eastAsia="zh-CN"/>
                <w14:textFill>
                  <w14:solidFill>
                    <w14:schemeClr w14:val="tx1"/>
                  </w14:solidFill>
                </w14:textFill>
              </w:rPr>
              <w:t>商务</w:t>
            </w:r>
            <w:r>
              <w:rPr>
                <w:rStyle w:val="200"/>
                <w:rFonts w:hint="eastAsia" w:ascii="宋体" w:hAnsi="宋体" w:eastAsia="宋体" w:cs="宋体"/>
                <w:b/>
                <w:bCs/>
                <w:i w:val="0"/>
                <w:iCs w:val="0"/>
                <w:smallCaps w:val="0"/>
                <w:color w:val="000000" w:themeColor="text1"/>
                <w:spacing w:val="0"/>
                <w:sz w:val="24"/>
                <w:szCs w:val="24"/>
                <w:highlight w:val="none"/>
                <w:lang w:eastAsia="zh-CN"/>
                <w14:textFill>
                  <w14:solidFill>
                    <w14:schemeClr w14:val="tx1"/>
                  </w14:solidFill>
                </w14:textFill>
              </w:rPr>
              <w:t>要求</w:t>
            </w:r>
            <w:r>
              <w:rPr>
                <w:rStyle w:val="200"/>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t>的实质性要求</w:t>
            </w:r>
          </w:p>
          <w:p w14:paraId="2907A01C">
            <w:pPr>
              <w:pStyle w:val="272"/>
              <w:keepNext w:val="0"/>
              <w:keepLines w:val="0"/>
              <w:pageBreakBefore w:val="0"/>
              <w:widowControl/>
              <w:shd w:val="clear" w:color="auto"/>
              <w:spacing w:line="240" w:lineRule="auto"/>
              <w:jc w:val="center"/>
              <w:rPr>
                <w:rStyle w:val="200"/>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Fonts w:hint="eastAsia" w:ascii="宋体" w:hAnsi="宋体" w:eastAsia="宋体" w:cs="宋体"/>
                <w:b/>
                <w:bCs/>
                <w:i/>
                <w:color w:val="000000" w:themeColor="text1"/>
                <w:spacing w:val="0"/>
                <w:sz w:val="24"/>
                <w:szCs w:val="24"/>
                <w:highlight w:val="none"/>
                <w:u w:val="single"/>
                <w14:textFill>
                  <w14:solidFill>
                    <w14:schemeClr w14:val="tx1"/>
                  </w14:solidFill>
                </w14:textFill>
              </w:rPr>
              <w:t>（加斜体下划线内容）</w:t>
            </w:r>
          </w:p>
        </w:tc>
        <w:tc>
          <w:tcPr>
            <w:tcW w:w="1771" w:type="dxa"/>
            <w:noWrap w:val="0"/>
            <w:tcMar>
              <w:top w:w="0" w:type="dxa"/>
              <w:left w:w="0" w:type="dxa"/>
              <w:bottom w:w="0" w:type="dxa"/>
              <w:right w:w="0" w:type="dxa"/>
            </w:tcMar>
            <w:vAlign w:val="center"/>
          </w:tcPr>
          <w:p w14:paraId="4132E458">
            <w:pPr>
              <w:pStyle w:val="272"/>
              <w:keepNext w:val="0"/>
              <w:keepLines w:val="0"/>
              <w:pageBreakBefore w:val="0"/>
              <w:widowControl/>
              <w:shd w:val="clear" w:color="auto"/>
              <w:spacing w:line="240" w:lineRule="auto"/>
              <w:jc w:val="center"/>
              <w:rPr>
                <w:rStyle w:val="200"/>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Style w:val="200"/>
                <w:rFonts w:hint="eastAsia" w:ascii="宋体" w:hAnsi="宋体" w:eastAsia="宋体" w:cs="宋体"/>
                <w:b/>
                <w:bCs/>
                <w:i w:val="0"/>
                <w:iCs w:val="0"/>
                <w:smallCaps w:val="0"/>
                <w:color w:val="000000" w:themeColor="text1"/>
                <w:spacing w:val="0"/>
                <w:sz w:val="24"/>
                <w:szCs w:val="24"/>
                <w:highlight w:val="none"/>
                <w:lang w:eastAsia="zh-CN"/>
                <w14:textFill>
                  <w14:solidFill>
                    <w14:schemeClr w14:val="tx1"/>
                  </w14:solidFill>
                </w14:textFill>
              </w:rPr>
              <w:t>投标响应情况</w:t>
            </w:r>
          </w:p>
        </w:tc>
        <w:tc>
          <w:tcPr>
            <w:tcW w:w="1606" w:type="dxa"/>
            <w:noWrap w:val="0"/>
            <w:tcMar>
              <w:top w:w="0" w:type="dxa"/>
              <w:left w:w="0" w:type="dxa"/>
              <w:bottom w:w="0" w:type="dxa"/>
              <w:right w:w="0" w:type="dxa"/>
            </w:tcMar>
            <w:vAlign w:val="center"/>
          </w:tcPr>
          <w:p w14:paraId="6E77E539">
            <w:pPr>
              <w:pStyle w:val="272"/>
              <w:keepNext w:val="0"/>
              <w:keepLines w:val="0"/>
              <w:pageBreakBefore w:val="0"/>
              <w:widowControl/>
              <w:shd w:val="clear" w:color="auto"/>
              <w:spacing w:line="240" w:lineRule="auto"/>
              <w:jc w:val="center"/>
              <w:rPr>
                <w:rStyle w:val="200"/>
                <w:rFonts w:hint="eastAsia" w:ascii="宋体" w:hAnsi="宋体" w:eastAsia="宋体" w:cs="宋体"/>
                <w:b/>
                <w:bCs/>
                <w:i w:val="0"/>
                <w:iCs w:val="0"/>
                <w:smallCaps w:val="0"/>
                <w:color w:val="000000" w:themeColor="text1"/>
                <w:spacing w:val="0"/>
                <w:sz w:val="24"/>
                <w:szCs w:val="24"/>
                <w:highlight w:val="none"/>
                <w14:textFill>
                  <w14:solidFill>
                    <w14:schemeClr w14:val="tx1"/>
                  </w14:solidFill>
                </w14:textFill>
              </w:rPr>
            </w:pPr>
            <w:r>
              <w:rPr>
                <w:rStyle w:val="200"/>
                <w:rFonts w:hint="eastAsia" w:ascii="宋体" w:hAnsi="宋体" w:eastAsia="宋体" w:cs="宋体"/>
                <w:b/>
                <w:bCs/>
                <w:i w:val="0"/>
                <w:iCs w:val="0"/>
                <w:smallCaps w:val="0"/>
                <w:color w:val="000000" w:themeColor="text1"/>
                <w:spacing w:val="0"/>
                <w:sz w:val="24"/>
                <w:szCs w:val="24"/>
                <w:highlight w:val="none"/>
                <w:lang w:eastAsia="zh-CN"/>
                <w14:textFill>
                  <w14:solidFill>
                    <w14:schemeClr w14:val="tx1"/>
                  </w14:solidFill>
                </w14:textFill>
              </w:rPr>
              <w:t>正偏离、符合或负偏离</w:t>
            </w:r>
          </w:p>
        </w:tc>
      </w:tr>
      <w:tr w14:paraId="742AE2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73" w:type="dxa"/>
            <w:noWrap w:val="0"/>
            <w:tcMar>
              <w:top w:w="0" w:type="dxa"/>
              <w:left w:w="0" w:type="dxa"/>
              <w:bottom w:w="0" w:type="dxa"/>
              <w:right w:w="0" w:type="dxa"/>
            </w:tcMar>
            <w:vAlign w:val="center"/>
          </w:tcPr>
          <w:p w14:paraId="6B887DBF">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200"/>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1</w:t>
            </w:r>
          </w:p>
        </w:tc>
        <w:tc>
          <w:tcPr>
            <w:tcW w:w="5831" w:type="dxa"/>
            <w:noWrap w:val="0"/>
            <w:tcMar>
              <w:top w:w="0" w:type="dxa"/>
              <w:left w:w="0" w:type="dxa"/>
              <w:bottom w:w="0" w:type="dxa"/>
              <w:right w:w="0" w:type="dxa"/>
            </w:tcMar>
            <w:vAlign w:val="center"/>
          </w:tcPr>
          <w:p w14:paraId="6AB12F17">
            <w:pPr>
              <w:pStyle w:val="238"/>
              <w:keepNext w:val="0"/>
              <w:keepLines w:val="0"/>
              <w:pageBreakBefore w:val="0"/>
              <w:widowControl/>
              <w:shd w:val="clear" w:color="auto"/>
              <w:spacing w:line="520" w:lineRule="exact"/>
              <w:ind w:firstLine="0"/>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一</w:t>
            </w: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14:textFill>
                  <w14:solidFill>
                    <w14:schemeClr w14:val="tx1"/>
                  </w14:solidFill>
                </w14:textFill>
              </w:rPr>
              <w:t>服务期限</w:t>
            </w:r>
            <w:r>
              <w:rPr>
                <w:rStyle w:val="216"/>
                <w:rFonts w:hint="eastAsia" w:ascii="宋体" w:hAnsi="宋体" w:eastAsia="宋体" w:cs="宋体"/>
                <w:b/>
                <w:bCs/>
                <w:color w:val="000000" w:themeColor="text1"/>
                <w:spacing w:val="0"/>
                <w:sz w:val="24"/>
                <w:szCs w:val="24"/>
                <w:highlight w:val="none"/>
                <w:lang w:val="en-US"/>
                <w14:textFill>
                  <w14:solidFill>
                    <w14:schemeClr w14:val="tx1"/>
                  </w14:solidFill>
                </w14:textFill>
              </w:rPr>
              <w:t>及服务地点</w:t>
            </w:r>
          </w:p>
          <w:p w14:paraId="11EC2D8A">
            <w:pPr>
              <w:keepNext w:val="0"/>
              <w:keepLines w:val="0"/>
              <w:pageBreakBefore w:val="0"/>
              <w:widowControl/>
              <w:shd w:val="clear" w:color="auto"/>
              <w:spacing w:line="520" w:lineRule="exact"/>
              <w:ind w:firstLine="0"/>
              <w:outlineLvl w:val="9"/>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1.服务期限</w:t>
            </w:r>
          </w:p>
          <w:p w14:paraId="3644BF53">
            <w:pPr>
              <w:keepNext w:val="0"/>
              <w:keepLines w:val="0"/>
              <w:pageBreakBefore w:val="0"/>
              <w:widowControl/>
              <w:shd w:val="clear" w:color="auto"/>
              <w:spacing w:line="520" w:lineRule="exact"/>
              <w:ind w:firstLine="0"/>
              <w:outlineLvl w:val="9"/>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1</w:t>
            </w: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年。</w:t>
            </w:r>
          </w:p>
          <w:p w14:paraId="1C724BEC">
            <w:pPr>
              <w:keepNext w:val="0"/>
              <w:keepLines w:val="0"/>
              <w:pageBreakBefore w:val="0"/>
              <w:widowControl/>
              <w:shd w:val="clear" w:color="auto"/>
              <w:spacing w:line="520" w:lineRule="exact"/>
              <w:ind w:firstLine="0"/>
              <w:outlineLvl w:val="9"/>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2.服务地点</w:t>
            </w:r>
          </w:p>
          <w:p w14:paraId="27680F51">
            <w:pPr>
              <w:keepNext w:val="0"/>
              <w:keepLines w:val="0"/>
              <w:pageBreakBefore w:val="0"/>
              <w:widowControl/>
              <w:shd w:val="clear" w:color="auto"/>
              <w:spacing w:line="520" w:lineRule="exact"/>
              <w:ind w:firstLine="0"/>
              <w:outlineLvl w:val="9"/>
              <w:rPr>
                <w:rFonts w:hint="eastAsia" w:ascii="宋体" w:hAnsi="宋体" w:eastAsia="宋体" w:cs="宋体"/>
                <w:b w:val="0"/>
                <w:i/>
                <w:color w:val="000000" w:themeColor="text1"/>
                <w:spacing w:val="0"/>
                <w:sz w:val="24"/>
                <w:szCs w:val="24"/>
                <w:highlight w:val="none"/>
                <w:u w:val="single"/>
                <w:lang w:eastAsia="zh-CN"/>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采购人指定地点。</w:t>
            </w:r>
          </w:p>
        </w:tc>
        <w:tc>
          <w:tcPr>
            <w:tcW w:w="1771" w:type="dxa"/>
            <w:noWrap w:val="0"/>
            <w:tcMar>
              <w:top w:w="0" w:type="dxa"/>
              <w:left w:w="0" w:type="dxa"/>
              <w:bottom w:w="0" w:type="dxa"/>
              <w:right w:w="0" w:type="dxa"/>
            </w:tcMar>
            <w:vAlign w:val="center"/>
          </w:tcPr>
          <w:p w14:paraId="4E796511">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p>
        </w:tc>
        <w:tc>
          <w:tcPr>
            <w:tcW w:w="1606" w:type="dxa"/>
            <w:noWrap w:val="0"/>
            <w:tcMar>
              <w:top w:w="0" w:type="dxa"/>
              <w:left w:w="0" w:type="dxa"/>
              <w:bottom w:w="0" w:type="dxa"/>
              <w:right w:w="0" w:type="dxa"/>
            </w:tcMar>
            <w:vAlign w:val="center"/>
          </w:tcPr>
          <w:p w14:paraId="7FEACA61">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p>
        </w:tc>
      </w:tr>
      <w:tr w14:paraId="280EAE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73" w:type="dxa"/>
            <w:noWrap w:val="0"/>
            <w:tcMar>
              <w:top w:w="0" w:type="dxa"/>
              <w:left w:w="0" w:type="dxa"/>
              <w:bottom w:w="0" w:type="dxa"/>
              <w:right w:w="0" w:type="dxa"/>
            </w:tcMar>
            <w:vAlign w:val="center"/>
          </w:tcPr>
          <w:p w14:paraId="53C04ACF">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200"/>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2</w:t>
            </w:r>
          </w:p>
        </w:tc>
        <w:tc>
          <w:tcPr>
            <w:tcW w:w="5831" w:type="dxa"/>
            <w:noWrap w:val="0"/>
            <w:tcMar>
              <w:top w:w="0" w:type="dxa"/>
              <w:left w:w="0" w:type="dxa"/>
              <w:bottom w:w="0" w:type="dxa"/>
              <w:right w:w="0" w:type="dxa"/>
            </w:tcMar>
            <w:vAlign w:val="center"/>
          </w:tcPr>
          <w:p w14:paraId="05AFE843">
            <w:pPr>
              <w:pStyle w:val="238"/>
              <w:keepNext w:val="0"/>
              <w:keepLines w:val="0"/>
              <w:pageBreakBefore w:val="0"/>
              <w:widowControl/>
              <w:shd w:val="clear" w:color="auto"/>
              <w:spacing w:line="520" w:lineRule="exact"/>
              <w:ind w:firstLine="0"/>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pP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bCs/>
                <w:color w:val="000000" w:themeColor="text1"/>
                <w:spacing w:val="0"/>
                <w:sz w:val="24"/>
                <w:szCs w:val="24"/>
                <w:highlight w:val="none"/>
                <w:lang w:val="en-US" w:eastAsia="zh-CN"/>
                <w14:textFill>
                  <w14:solidFill>
                    <w14:schemeClr w14:val="tx1"/>
                  </w14:solidFill>
                </w14:textFill>
              </w:rPr>
              <w:t>二</w:t>
            </w:r>
            <w:r>
              <w:rPr>
                <w:rStyle w:val="216"/>
                <w:rFonts w:hint="eastAsia" w:ascii="宋体" w:hAnsi="宋体" w:eastAsia="宋体" w:cs="宋体"/>
                <w:b/>
                <w:bCs/>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14:textFill>
                  <w14:solidFill>
                    <w14:schemeClr w14:val="tx1"/>
                  </w14:solidFill>
                </w14:textFill>
              </w:rPr>
              <w:t>支付</w:t>
            </w:r>
            <w:r>
              <w:rPr>
                <w:rStyle w:val="216"/>
                <w:rFonts w:hint="eastAsia" w:ascii="宋体" w:hAnsi="宋体" w:eastAsia="宋体" w:cs="宋体"/>
                <w:b/>
                <w:color w:val="000000" w:themeColor="text1"/>
                <w:spacing w:val="0"/>
                <w:sz w:val="24"/>
                <w:szCs w:val="24"/>
                <w:highlight w:val="none"/>
                <w:lang w:val="en-US"/>
                <w14:textFill>
                  <w14:solidFill>
                    <w14:schemeClr w14:val="tx1"/>
                  </w14:solidFill>
                </w14:textFill>
              </w:rPr>
              <w:t>方式</w:t>
            </w:r>
          </w:p>
          <w:p w14:paraId="54D6FA93">
            <w:pPr>
              <w:pStyle w:val="238"/>
              <w:keepNext w:val="0"/>
              <w:keepLines w:val="0"/>
              <w:pageBreakBefore w:val="0"/>
              <w:widowControl/>
              <w:shd w:val="clear" w:color="auto"/>
              <w:spacing w:line="520" w:lineRule="exact"/>
              <w:ind w:firstLine="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1.</w:t>
            </w: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结付程序</w:t>
            </w:r>
          </w:p>
          <w:p w14:paraId="3BCB5250">
            <w:pPr>
              <w:pStyle w:val="238"/>
              <w:keepNext w:val="0"/>
              <w:keepLines w:val="0"/>
              <w:pageBreakBefore w:val="0"/>
              <w:widowControl/>
              <w:shd w:val="clear" w:color="auto"/>
              <w:spacing w:line="520" w:lineRule="exact"/>
              <w:ind w:firstLine="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中标人按合同内容合格地履行义务后，凭考核结果和销售发票到采购单位办理合同款结算手续。</w:t>
            </w:r>
          </w:p>
          <w:p w14:paraId="0D96CC75">
            <w:pPr>
              <w:pStyle w:val="238"/>
              <w:keepNext w:val="0"/>
              <w:keepLines w:val="0"/>
              <w:pageBreakBefore w:val="0"/>
              <w:widowControl/>
              <w:shd w:val="clear" w:color="auto"/>
              <w:spacing w:line="520" w:lineRule="exact"/>
              <w:ind w:firstLine="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2.</w:t>
            </w: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结付期限</w:t>
            </w:r>
          </w:p>
          <w:p w14:paraId="3AC90D7B">
            <w:pPr>
              <w:pStyle w:val="238"/>
              <w:keepNext w:val="0"/>
              <w:keepLines w:val="0"/>
              <w:pageBreakBefore w:val="0"/>
              <w:widowControl/>
              <w:shd w:val="clear" w:color="auto"/>
              <w:spacing w:line="520" w:lineRule="exact"/>
              <w:ind w:firstLine="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合同签订生效后，预付合同额的10%，按半年进行考核，上半年度考核通过后支付合同额40%（实际付款根据考核结果进行相应扣减），下半年度考核通过后支付合同额的50%（实际付款根据考核结果进行相应扣减）。服务期满后，采购人一次性退回履约保证金（合同金额的2%）。</w:t>
            </w:r>
          </w:p>
          <w:p w14:paraId="478072BF">
            <w:pPr>
              <w:pStyle w:val="238"/>
              <w:keepNext w:val="0"/>
              <w:keepLines w:val="0"/>
              <w:pageBreakBefore w:val="0"/>
              <w:widowControl/>
              <w:shd w:val="clear" w:color="auto"/>
              <w:spacing w:line="520" w:lineRule="exact"/>
              <w:ind w:firstLine="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Fonts w:hint="eastAsia" w:ascii="宋体" w:hAnsi="宋体" w:eastAsia="宋体" w:cs="宋体"/>
                <w:b w:val="0"/>
                <w:i/>
                <w:iCs/>
                <w:caps w:val="0"/>
                <w:smallCaps w:val="0"/>
                <w:color w:val="000000" w:themeColor="text1"/>
                <w:spacing w:val="0"/>
                <w:sz w:val="24"/>
                <w:szCs w:val="22"/>
                <w:highlight w:val="none"/>
                <w:u w:val="single"/>
                <w:shd w:val="clear" w:color="auto" w:fill="auto"/>
                <w:lang w:val="en-US" w:eastAsia="zh-CN" w:bidi="ar-SA"/>
                <w14:textFill>
                  <w14:solidFill>
                    <w14:schemeClr w14:val="tx1"/>
                  </w14:solidFill>
                </w14:textFill>
              </w:rPr>
              <w:t>3.</w:t>
            </w: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结付标准</w:t>
            </w:r>
          </w:p>
          <w:p w14:paraId="5976F933">
            <w:pPr>
              <w:pStyle w:val="238"/>
              <w:keepNext w:val="0"/>
              <w:keepLines w:val="0"/>
              <w:pageBreakBefore w:val="0"/>
              <w:widowControl/>
              <w:shd w:val="clear" w:color="auto"/>
              <w:spacing w:line="520" w:lineRule="exact"/>
              <w:ind w:firstLine="0"/>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pPr>
            <w:r>
              <w:rPr>
                <w:rStyle w:val="216"/>
                <w:rFonts w:hint="eastAsia" w:ascii="宋体" w:hAnsi="宋体" w:eastAsia="宋体" w:cs="宋体"/>
                <w:i/>
                <w:iCs/>
                <w:color w:val="000000" w:themeColor="text1"/>
                <w:spacing w:val="0"/>
                <w:sz w:val="24"/>
                <w:szCs w:val="24"/>
                <w:highlight w:val="none"/>
                <w:u w:val="single"/>
                <w:lang w:val="en-US" w:eastAsia="zh-CN" w:bidi="ar-SA"/>
                <w14:textFill>
                  <w14:solidFill>
                    <w14:schemeClr w14:val="tx1"/>
                  </w14:solidFill>
                </w14:textFill>
              </w:rPr>
              <w:t>考核采取百分制、单站考核的方式进行，运维费根据各站点半年度考核结果核算。半年度考核分 95 分（含）以上的，拨付全额运维费；半年度考核分低于 95 分的，运维费=实际考核分/100*全额运维费。半年度考核分低于 80 分的，责令进行整改，整改不到位的采购人有权终止合同并不予返还履约保证金。</w:t>
            </w:r>
          </w:p>
          <w:p w14:paraId="068449EF">
            <w:pPr>
              <w:keepNext w:val="0"/>
              <w:keepLines w:val="0"/>
              <w:pageBreakBefore w:val="0"/>
              <w:widowControl/>
              <w:shd w:val="clear" w:color="auto"/>
              <w:spacing w:line="240" w:lineRule="auto"/>
              <w:ind w:firstLine="0"/>
              <w:jc w:val="left"/>
              <w:outlineLvl w:val="9"/>
              <w:rPr>
                <w:rFonts w:hint="eastAsia" w:ascii="宋体" w:hAnsi="宋体" w:eastAsia="宋体" w:cs="宋体"/>
                <w:b/>
                <w:i/>
                <w:iCs/>
                <w:color w:val="000000" w:themeColor="text1"/>
                <w:spacing w:val="0"/>
                <w:sz w:val="24"/>
                <w:highlight w:val="none"/>
                <w:u w:val="single"/>
                <w:lang w:eastAsia="zh-CN"/>
                <w14:textFill>
                  <w14:solidFill>
                    <w14:schemeClr w14:val="tx1"/>
                  </w14:solidFill>
                </w14:textFill>
              </w:rPr>
            </w:pPr>
          </w:p>
        </w:tc>
        <w:tc>
          <w:tcPr>
            <w:tcW w:w="1771" w:type="dxa"/>
            <w:noWrap w:val="0"/>
            <w:tcMar>
              <w:top w:w="0" w:type="dxa"/>
              <w:left w:w="0" w:type="dxa"/>
              <w:bottom w:w="0" w:type="dxa"/>
              <w:right w:w="0" w:type="dxa"/>
            </w:tcMar>
            <w:vAlign w:val="center"/>
          </w:tcPr>
          <w:p w14:paraId="5CD46FEF">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p>
        </w:tc>
        <w:tc>
          <w:tcPr>
            <w:tcW w:w="1606" w:type="dxa"/>
            <w:noWrap w:val="0"/>
            <w:tcMar>
              <w:top w:w="0" w:type="dxa"/>
              <w:left w:w="0" w:type="dxa"/>
              <w:bottom w:w="0" w:type="dxa"/>
              <w:right w:w="0" w:type="dxa"/>
            </w:tcMar>
            <w:vAlign w:val="center"/>
          </w:tcPr>
          <w:p w14:paraId="122F7B00">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p>
        </w:tc>
      </w:tr>
      <w:tr w14:paraId="1F616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73" w:type="dxa"/>
            <w:noWrap w:val="0"/>
            <w:tcMar>
              <w:top w:w="0" w:type="dxa"/>
              <w:left w:w="0" w:type="dxa"/>
              <w:bottom w:w="0" w:type="dxa"/>
              <w:right w:w="0" w:type="dxa"/>
            </w:tcMar>
            <w:vAlign w:val="center"/>
          </w:tcPr>
          <w:p w14:paraId="48D9D9EA">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pPr>
            <w:r>
              <w:rPr>
                <w:rStyle w:val="200"/>
                <w:rFonts w:hint="eastAsia" w:ascii="宋体" w:hAnsi="宋体" w:eastAsia="宋体" w:cs="宋体"/>
                <w:b w:val="0"/>
                <w:bCs w:val="0"/>
                <w:i w:val="0"/>
                <w:iCs w:val="0"/>
                <w:smallCaps w:val="0"/>
                <w:color w:val="000000" w:themeColor="text1"/>
                <w:spacing w:val="0"/>
                <w:sz w:val="24"/>
                <w:szCs w:val="24"/>
                <w:highlight w:val="none"/>
                <w:lang w:val="en-US" w:eastAsia="zh-CN"/>
                <w14:textFill>
                  <w14:solidFill>
                    <w14:schemeClr w14:val="tx1"/>
                  </w14:solidFill>
                </w14:textFill>
              </w:rPr>
              <w:t>3</w:t>
            </w:r>
          </w:p>
        </w:tc>
        <w:tc>
          <w:tcPr>
            <w:tcW w:w="5831" w:type="dxa"/>
            <w:noWrap w:val="0"/>
            <w:tcMar>
              <w:top w:w="0" w:type="dxa"/>
              <w:left w:w="0" w:type="dxa"/>
              <w:bottom w:w="0" w:type="dxa"/>
              <w:right w:w="0" w:type="dxa"/>
            </w:tcMar>
            <w:vAlign w:val="center"/>
          </w:tcPr>
          <w:p w14:paraId="2CD7F645">
            <w:pPr>
              <w:pStyle w:val="238"/>
              <w:keepNext w:val="0"/>
              <w:keepLines w:val="0"/>
              <w:pageBreakBefore w:val="0"/>
              <w:widowControl/>
              <w:shd w:val="clear" w:color="auto"/>
              <w:spacing w:line="520" w:lineRule="exact"/>
              <w:ind w:firstLine="0"/>
              <w:rPr>
                <w:rStyle w:val="216"/>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pP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lang w:val="en-US" w:eastAsia="zh-CN"/>
                <w14:textFill>
                  <w14:solidFill>
                    <w14:schemeClr w14:val="tx1"/>
                  </w14:solidFill>
                </w14:textFill>
              </w:rPr>
              <w:t>三</w:t>
            </w:r>
            <w:r>
              <w:rPr>
                <w:rStyle w:val="216"/>
                <w:rFonts w:hint="eastAsia" w:ascii="宋体" w:hAnsi="宋体" w:eastAsia="宋体" w:cs="宋体"/>
                <w:b/>
                <w:color w:val="000000" w:themeColor="text1"/>
                <w:spacing w:val="0"/>
                <w:sz w:val="24"/>
                <w:szCs w:val="24"/>
                <w:highlight w:val="none"/>
                <w:lang w:eastAsia="zh-CN"/>
                <w14:textFill>
                  <w14:solidFill>
                    <w14:schemeClr w14:val="tx1"/>
                  </w14:solidFill>
                </w14:textFill>
              </w:rPr>
              <w:t>）</w:t>
            </w:r>
            <w:r>
              <w:rPr>
                <w:rStyle w:val="216"/>
                <w:rFonts w:hint="eastAsia" w:ascii="宋体" w:hAnsi="宋体" w:eastAsia="宋体" w:cs="宋体"/>
                <w:b/>
                <w:color w:val="000000" w:themeColor="text1"/>
                <w:spacing w:val="0"/>
                <w:sz w:val="24"/>
                <w:szCs w:val="24"/>
                <w:highlight w:val="none"/>
                <w14:textFill>
                  <w14:solidFill>
                    <w14:schemeClr w14:val="tx1"/>
                  </w14:solidFill>
                </w14:textFill>
              </w:rPr>
              <w:t>投标货币</w:t>
            </w:r>
          </w:p>
          <w:p w14:paraId="501CCE3F">
            <w:pPr>
              <w:pStyle w:val="238"/>
              <w:keepNext w:val="0"/>
              <w:keepLines w:val="0"/>
              <w:pageBreakBefore w:val="0"/>
              <w:widowControl/>
              <w:shd w:val="clear" w:color="auto"/>
              <w:spacing w:line="520" w:lineRule="exact"/>
              <w:ind w:firstLine="0"/>
              <w:rPr>
                <w:rStyle w:val="216"/>
                <w:rFonts w:hint="eastAsia" w:ascii="宋体" w:hAnsi="宋体" w:eastAsia="宋体" w:cs="宋体"/>
                <w:i/>
                <w:color w:val="000000" w:themeColor="text1"/>
                <w:spacing w:val="0"/>
                <w:sz w:val="24"/>
                <w:szCs w:val="24"/>
                <w:highlight w:val="none"/>
                <w:u w:val="single"/>
                <w14:textFill>
                  <w14:solidFill>
                    <w14:schemeClr w14:val="tx1"/>
                  </w14:solidFill>
                </w14:textFill>
              </w:rPr>
            </w:pPr>
            <w:r>
              <w:rPr>
                <w:rStyle w:val="216"/>
                <w:rFonts w:hint="eastAsia" w:ascii="宋体" w:hAnsi="宋体" w:eastAsia="宋体" w:cs="宋体"/>
                <w:i/>
                <w:color w:val="000000" w:themeColor="text1"/>
                <w:spacing w:val="0"/>
                <w:sz w:val="24"/>
                <w:szCs w:val="24"/>
                <w:highlight w:val="none"/>
                <w:u w:val="single"/>
                <w14:textFill>
                  <w14:solidFill>
                    <w14:schemeClr w14:val="tx1"/>
                  </w14:solidFill>
                </w14:textFill>
              </w:rPr>
              <w:t>人民币。</w:t>
            </w:r>
          </w:p>
          <w:p w14:paraId="49F52094">
            <w:pPr>
              <w:keepNext w:val="0"/>
              <w:keepLines w:val="0"/>
              <w:pageBreakBefore w:val="0"/>
              <w:widowControl/>
              <w:numPr>
                <w:ilvl w:val="0"/>
                <w:numId w:val="0"/>
              </w:numPr>
              <w:shd w:val="clear" w:color="auto"/>
              <w:spacing w:line="240" w:lineRule="auto"/>
              <w:ind w:firstLine="0"/>
              <w:outlineLvl w:val="9"/>
              <w:rPr>
                <w:rFonts w:hint="eastAsia" w:ascii="宋体" w:hAnsi="宋体" w:eastAsia="宋体" w:cs="宋体"/>
                <w:b w:val="0"/>
                <w:i w:val="0"/>
                <w:color w:val="000000" w:themeColor="text1"/>
                <w:spacing w:val="0"/>
                <w:sz w:val="24"/>
                <w:szCs w:val="24"/>
                <w:highlight w:val="none"/>
                <w:u w:val="none"/>
                <w:lang w:eastAsia="zh-CN"/>
                <w14:textFill>
                  <w14:solidFill>
                    <w14:schemeClr w14:val="tx1"/>
                  </w14:solidFill>
                </w14:textFill>
              </w:rPr>
            </w:pPr>
          </w:p>
        </w:tc>
        <w:tc>
          <w:tcPr>
            <w:tcW w:w="1771" w:type="dxa"/>
            <w:noWrap w:val="0"/>
            <w:tcMar>
              <w:top w:w="0" w:type="dxa"/>
              <w:left w:w="0" w:type="dxa"/>
              <w:bottom w:w="0" w:type="dxa"/>
              <w:right w:w="0" w:type="dxa"/>
            </w:tcMar>
            <w:vAlign w:val="center"/>
          </w:tcPr>
          <w:p w14:paraId="691BB60E">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p>
        </w:tc>
        <w:tc>
          <w:tcPr>
            <w:tcW w:w="1606" w:type="dxa"/>
            <w:noWrap w:val="0"/>
            <w:tcMar>
              <w:top w:w="0" w:type="dxa"/>
              <w:left w:w="0" w:type="dxa"/>
              <w:bottom w:w="0" w:type="dxa"/>
              <w:right w:w="0" w:type="dxa"/>
            </w:tcMar>
            <w:vAlign w:val="center"/>
          </w:tcPr>
          <w:p w14:paraId="00EC41EB">
            <w:pPr>
              <w:pStyle w:val="272"/>
              <w:keepNext w:val="0"/>
              <w:keepLines w:val="0"/>
              <w:pageBreakBefore w:val="0"/>
              <w:widowControl/>
              <w:shd w:val="clear" w:color="auto"/>
              <w:spacing w:line="240" w:lineRule="auto"/>
              <w:jc w:val="center"/>
              <w:rPr>
                <w:rStyle w:val="200"/>
                <w:rFonts w:hint="eastAsia" w:ascii="宋体" w:hAnsi="宋体" w:eastAsia="宋体" w:cs="宋体"/>
                <w:b w:val="0"/>
                <w:bCs w:val="0"/>
                <w:i w:val="0"/>
                <w:iCs w:val="0"/>
                <w:smallCaps w:val="0"/>
                <w:color w:val="000000" w:themeColor="text1"/>
                <w:spacing w:val="0"/>
                <w:sz w:val="24"/>
                <w:szCs w:val="24"/>
                <w:highlight w:val="none"/>
                <w14:textFill>
                  <w14:solidFill>
                    <w14:schemeClr w14:val="tx1"/>
                  </w14:solidFill>
                </w14:textFill>
              </w:rPr>
            </w:pPr>
          </w:p>
        </w:tc>
      </w:tr>
    </w:tbl>
    <w:p w14:paraId="5517035A">
      <w:pPr>
        <w:shd w:val="clear" w:color="auto"/>
        <w:spacing w:line="440" w:lineRule="exact"/>
        <w:ind w:firstLine="480"/>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注：投标人必须对商务</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条款</w:t>
      </w:r>
      <w:r>
        <w:rPr>
          <w:rFonts w:hint="eastAsia" w:ascii="宋体" w:hAnsi="宋体" w:eastAsia="宋体" w:cs="宋体"/>
          <w:color w:val="000000" w:themeColor="text1"/>
          <w:spacing w:val="0"/>
          <w:sz w:val="24"/>
          <w:szCs w:val="24"/>
          <w:highlight w:val="none"/>
          <w14:textFill>
            <w14:solidFill>
              <w14:schemeClr w14:val="tx1"/>
            </w14:solidFill>
          </w14:textFill>
        </w:rPr>
        <w:t>中的实质性要求</w:t>
      </w:r>
      <w:r>
        <w:rPr>
          <w:rFonts w:hint="eastAsia" w:ascii="宋体" w:hAnsi="宋体" w:eastAsia="宋体" w:cs="宋体"/>
          <w:i/>
          <w:color w:val="000000" w:themeColor="text1"/>
          <w:spacing w:val="0"/>
          <w:sz w:val="24"/>
          <w:szCs w:val="24"/>
          <w:highlight w:val="none"/>
          <w:u w:val="single"/>
          <w14:textFill>
            <w14:solidFill>
              <w14:schemeClr w14:val="tx1"/>
            </w14:solidFill>
          </w14:textFill>
        </w:rPr>
        <w:t>（加斜体下划线内容）</w:t>
      </w:r>
      <w:r>
        <w:rPr>
          <w:rFonts w:hint="eastAsia" w:ascii="宋体" w:hAnsi="宋体" w:eastAsia="宋体" w:cs="宋体"/>
          <w:color w:val="000000" w:themeColor="text1"/>
          <w:spacing w:val="0"/>
          <w:sz w:val="24"/>
          <w:szCs w:val="24"/>
          <w:highlight w:val="none"/>
          <w14:textFill>
            <w14:solidFill>
              <w14:schemeClr w14:val="tx1"/>
            </w14:solidFill>
          </w14:textFill>
        </w:rPr>
        <w:t>逐条做出明确响应，否则</w:t>
      </w:r>
      <w:r>
        <w:rPr>
          <w:rFonts w:hint="eastAsia" w:ascii="宋体" w:hAnsi="宋体" w:eastAsia="宋体" w:cs="宋体"/>
          <w:color w:val="000000" w:themeColor="text1"/>
          <w:spacing w:val="0"/>
          <w:sz w:val="24"/>
          <w:szCs w:val="24"/>
          <w:highlight w:val="none"/>
          <w:lang w:eastAsia="zh-CN"/>
          <w14:textFill>
            <w14:solidFill>
              <w14:schemeClr w14:val="tx1"/>
            </w14:solidFill>
          </w14:textFill>
        </w:rPr>
        <w:t>该采购包</w:t>
      </w:r>
      <w:r>
        <w:rPr>
          <w:rFonts w:hint="eastAsia" w:ascii="宋体" w:hAnsi="宋体" w:eastAsia="宋体" w:cs="宋体"/>
          <w:color w:val="000000" w:themeColor="text1"/>
          <w:spacing w:val="0"/>
          <w:sz w:val="24"/>
          <w:szCs w:val="24"/>
          <w:highlight w:val="none"/>
          <w14:textFill>
            <w14:solidFill>
              <w14:schemeClr w14:val="tx1"/>
            </w14:solidFill>
          </w14:textFill>
        </w:rPr>
        <w:t>作无效投标处理。</w:t>
      </w:r>
    </w:p>
    <w:p w14:paraId="5DA27286">
      <w:pPr>
        <w:pStyle w:val="245"/>
        <w:keepNext w:val="0"/>
        <w:keepLines w:val="0"/>
        <w:pageBreakBefore w:val="0"/>
        <w:widowControl/>
        <w:shd w:val="clear" w:color="auto"/>
        <w:spacing w:before="567" w:after="567" w:line="240" w:lineRule="auto"/>
        <w:jc w:val="both"/>
        <w:outlineLvl w:val="9"/>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7986FF84">
      <w:pPr>
        <w:pStyle w:val="268"/>
        <w:shd w:val="clear" w:color="auto"/>
        <w:jc w:val="left"/>
        <w:outlineLvl w:val="1"/>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420" w:name="_Toc12673"/>
      <w:bookmarkStart w:id="421" w:name="_Toc18666"/>
      <w:bookmarkStart w:id="422" w:name="_Toc11261"/>
      <w:bookmarkStart w:id="423" w:name="_Toc13750"/>
      <w:bookmarkStart w:id="424" w:name="_Toc19964"/>
      <w:r>
        <w:rPr>
          <w:rStyle w:val="21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八</w:t>
      </w:r>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、服务方案</w:t>
      </w:r>
      <w:bookmarkEnd w:id="420"/>
      <w:bookmarkEnd w:id="421"/>
      <w:bookmarkEnd w:id="422"/>
      <w:bookmarkEnd w:id="423"/>
      <w:bookmarkEnd w:id="424"/>
    </w:p>
    <w:p w14:paraId="241E2BF0">
      <w:pPr>
        <w:pStyle w:val="245"/>
        <w:keepNext w:val="0"/>
        <w:keepLines w:val="0"/>
        <w:pageBreakBefore w:val="0"/>
        <w:widowControl/>
        <w:shd w:val="clear" w:color="auto"/>
        <w:spacing w:before="567" w:after="567" w:line="240" w:lineRule="auto"/>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bookmarkStart w:id="425" w:name="_Toc35266041"/>
      <w:bookmarkStart w:id="426" w:name="_Toc43285583"/>
      <w: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t>服务方案</w:t>
      </w:r>
      <w:bookmarkEnd w:id="425"/>
      <w:bookmarkEnd w:id="426"/>
    </w:p>
    <w:p w14:paraId="4BBCDE09">
      <w:pPr>
        <w:pStyle w:val="269"/>
        <w:keepNext w:val="0"/>
        <w:keepLines w:val="0"/>
        <w:pageBreakBefore w:val="0"/>
        <w:widowControl w:val="0"/>
        <w:shd w:val="clear" w:color="auto"/>
        <w:spacing w:line="520" w:lineRule="exact"/>
        <w:jc w:val="center"/>
        <w:rPr>
          <w:rStyle w:val="216"/>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1"/>
          <w:highlight w:val="none"/>
          <w:shd w:val="clear" w:color="auto" w:fill="auto"/>
          <w14:textFill>
            <w14:solidFill>
              <w14:schemeClr w14:val="tx1"/>
            </w14:solidFill>
          </w14:textFill>
        </w:rPr>
        <w:t>（服务方案的内容编排等由投标人自定）</w:t>
      </w:r>
    </w:p>
    <w:p w14:paraId="5A57D75C">
      <w:pPr>
        <w:pStyle w:val="271"/>
        <w:keepNext w:val="0"/>
        <w:keepLines w:val="0"/>
        <w:pageBreakBefore w:val="0"/>
        <w:widowControl/>
        <w:shd w:val="clear" w:color="auto"/>
        <w:spacing w:line="520" w:lineRule="exact"/>
        <w:jc w:val="left"/>
        <w:outlineLvl w:val="9"/>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32E20A6E">
      <w:pPr>
        <w:pStyle w:val="271"/>
        <w:keepNext w:val="0"/>
        <w:keepLines w:val="0"/>
        <w:pageBreakBefore w:val="0"/>
        <w:widowControl/>
        <w:shd w:val="clear" w:color="auto"/>
        <w:spacing w:line="520" w:lineRule="exact"/>
        <w:jc w:val="left"/>
        <w:outlineLvl w:val="9"/>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0EC3BE96">
      <w:pPr>
        <w:pStyle w:val="271"/>
        <w:keepNext w:val="0"/>
        <w:keepLines w:val="0"/>
        <w:pageBreakBefore w:val="0"/>
        <w:widowControl/>
        <w:shd w:val="clear" w:color="auto"/>
        <w:spacing w:line="520" w:lineRule="exact"/>
        <w:jc w:val="left"/>
        <w:outlineLvl w:val="1"/>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br w:type="page" w:clear="all"/>
      </w:r>
      <w:bookmarkStart w:id="427" w:name="_Toc29514"/>
      <w:bookmarkStart w:id="428" w:name="_Toc11992"/>
      <w:bookmarkStart w:id="429" w:name="_Toc15154"/>
      <w:bookmarkStart w:id="430" w:name="_Toc29190"/>
      <w:bookmarkStart w:id="431" w:name="_Toc12415"/>
      <w:r>
        <w:rPr>
          <w:rStyle w:val="21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九</w:t>
      </w:r>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、投标人情况介绍</w:t>
      </w:r>
      <w:bookmarkEnd w:id="427"/>
      <w:bookmarkEnd w:id="428"/>
      <w:bookmarkEnd w:id="429"/>
      <w:bookmarkEnd w:id="430"/>
      <w:bookmarkEnd w:id="431"/>
    </w:p>
    <w:p w14:paraId="39068768">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50A31C47">
      <w:pPr>
        <w:pStyle w:val="272"/>
        <w:keepNext w:val="0"/>
        <w:keepLines w:val="0"/>
        <w:pageBreakBefore w:val="0"/>
        <w:widowControl/>
        <w:shd w:val="clear" w:color="auto"/>
        <w:spacing w:line="520" w:lineRule="exact"/>
        <w:jc w:val="left"/>
        <w:outlineLvl w:val="3"/>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投标人拥有的设施设备情况</w:t>
      </w:r>
    </w:p>
    <w:p w14:paraId="292F8C73">
      <w:pPr>
        <w:pStyle w:val="245"/>
        <w:keepNext w:val="0"/>
        <w:keepLines w:val="0"/>
        <w:pageBreakBefore w:val="0"/>
        <w:widowControl/>
        <w:shd w:val="clear" w:color="auto"/>
        <w:spacing w:before="567" w:after="567" w:line="520" w:lineRule="exact"/>
        <w:jc w:val="cente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投标人拥有的设施设备情况（若有的话）</w:t>
      </w:r>
    </w:p>
    <w:p w14:paraId="3D6AAA96">
      <w:pPr>
        <w:pStyle w:val="245"/>
        <w:keepNext w:val="0"/>
        <w:keepLines w:val="0"/>
        <w:pageBreakBefore w:val="0"/>
        <w:widowControl/>
        <w:shd w:val="clear" w:color="auto"/>
        <w:spacing w:before="567" w:after="567" w:line="520" w:lineRule="exact"/>
        <w:jc w:val="center"/>
        <w:rPr>
          <w:rStyle w:val="216"/>
          <w:rFonts w:hint="eastAsia" w:ascii="宋体" w:hAnsi="宋体" w:eastAsia="宋体" w:cs="宋体"/>
          <w:b/>
          <w:bCs/>
          <w:caps w:val="0"/>
          <w:smallCaps w:val="0"/>
          <w:color w:val="000000" w:themeColor="text1"/>
          <w:spacing w:val="0"/>
          <w:sz w:val="36"/>
          <w:szCs w:val="36"/>
          <w:highlight w:val="none"/>
          <w:shd w:val="clear" w:color="auto" w:fill="auto"/>
          <w14:textFill>
            <w14:solidFill>
              <w14:schemeClr w14:val="tx1"/>
            </w14:solidFill>
          </w14:textFill>
        </w:rPr>
      </w:pPr>
    </w:p>
    <w:p w14:paraId="5066C678">
      <w:pPr>
        <w:pStyle w:val="255"/>
        <w:keepNext w:val="0"/>
        <w:keepLines w:val="0"/>
        <w:pageBreakBefore w:val="0"/>
        <w:widowControl/>
        <w:shd w:val="clear" w:color="auto"/>
        <w:spacing w:line="520" w:lineRule="exact"/>
        <w:jc w:val="both"/>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p>
    <w:p w14:paraId="5B83FD02">
      <w:pPr>
        <w:pStyle w:val="255"/>
        <w:keepNext w:val="0"/>
        <w:keepLines w:val="0"/>
        <w:pageBreakBefore w:val="0"/>
        <w:widowControl/>
        <w:shd w:val="clear" w:color="auto"/>
        <w:spacing w:line="520" w:lineRule="exact"/>
        <w:jc w:val="center"/>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6CAB4323">
      <w:pPr>
        <w:pStyle w:val="273"/>
        <w:keepNext w:val="0"/>
        <w:keepLines w:val="0"/>
        <w:pageBreakBefore w:val="0"/>
        <w:widowControl/>
        <w:shd w:val="clear" w:color="auto"/>
        <w:spacing w:line="520" w:lineRule="exact"/>
        <w:jc w:val="left"/>
        <w:outlineLvl w:val="3"/>
        <w:rPr>
          <w:rStyle w:val="216"/>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t>项目负责人及其他人员介绍</w:t>
      </w:r>
    </w:p>
    <w:p w14:paraId="00CFEFBE">
      <w:pPr>
        <w:pStyle w:val="245"/>
        <w:keepNext w:val="0"/>
        <w:keepLines w:val="0"/>
        <w:pageBreakBefore w:val="0"/>
        <w:widowControl/>
        <w:shd w:val="clear" w:color="auto"/>
        <w:spacing w:before="567" w:after="567" w:line="520" w:lineRule="exact"/>
        <w:jc w:val="center"/>
        <w:rPr>
          <w:rStyle w:val="216"/>
          <w:rFonts w:hint="eastAsia" w:ascii="宋体" w:hAnsi="宋体" w:eastAsia="宋体" w:cs="宋体"/>
          <w:b/>
          <w:caps w:val="0"/>
          <w:smallCaps w:val="0"/>
          <w:color w:val="000000" w:themeColor="text1"/>
          <w:spacing w:val="0"/>
          <w:sz w:val="28"/>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项目负责人及其他人员介绍</w:t>
      </w:r>
    </w:p>
    <w:tbl>
      <w:tblPr>
        <w:tblStyle w:val="39"/>
        <w:tblW w:w="1467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03"/>
        <w:gridCol w:w="1270"/>
        <w:gridCol w:w="673"/>
        <w:gridCol w:w="602"/>
        <w:gridCol w:w="1275"/>
        <w:gridCol w:w="1061"/>
        <w:gridCol w:w="1322"/>
        <w:gridCol w:w="708"/>
        <w:gridCol w:w="708"/>
        <w:gridCol w:w="1854"/>
        <w:gridCol w:w="2472"/>
        <w:gridCol w:w="1080"/>
        <w:gridCol w:w="945"/>
      </w:tblGrid>
      <w:tr w14:paraId="6178D2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restart"/>
            <w:noWrap w:val="0"/>
            <w:vAlign w:val="center"/>
          </w:tcPr>
          <w:p w14:paraId="222AB459">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序号</w:t>
            </w:r>
          </w:p>
        </w:tc>
        <w:tc>
          <w:tcPr>
            <w:tcW w:w="1270" w:type="dxa"/>
            <w:vMerge w:val="restart"/>
            <w:noWrap w:val="0"/>
            <w:vAlign w:val="center"/>
          </w:tcPr>
          <w:p w14:paraId="5893573A">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姓名</w:t>
            </w:r>
          </w:p>
        </w:tc>
        <w:tc>
          <w:tcPr>
            <w:tcW w:w="673" w:type="dxa"/>
            <w:vMerge w:val="restart"/>
            <w:noWrap w:val="0"/>
            <w:vAlign w:val="center"/>
          </w:tcPr>
          <w:p w14:paraId="6861B4CD">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性别</w:t>
            </w:r>
          </w:p>
        </w:tc>
        <w:tc>
          <w:tcPr>
            <w:tcW w:w="602" w:type="dxa"/>
            <w:vMerge w:val="restart"/>
            <w:noWrap w:val="0"/>
            <w:vAlign w:val="center"/>
          </w:tcPr>
          <w:p w14:paraId="2D9F5FCF">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年龄</w:t>
            </w:r>
          </w:p>
        </w:tc>
        <w:tc>
          <w:tcPr>
            <w:tcW w:w="1275" w:type="dxa"/>
            <w:vMerge w:val="restart"/>
            <w:noWrap w:val="0"/>
            <w:vAlign w:val="center"/>
          </w:tcPr>
          <w:p w14:paraId="04AFBD4C">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文化程度</w:t>
            </w:r>
          </w:p>
        </w:tc>
        <w:tc>
          <w:tcPr>
            <w:tcW w:w="1061" w:type="dxa"/>
            <w:vMerge w:val="restart"/>
            <w:noWrap w:val="0"/>
            <w:vAlign w:val="center"/>
          </w:tcPr>
          <w:p w14:paraId="7F1B38F4">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专业</w:t>
            </w:r>
          </w:p>
        </w:tc>
        <w:tc>
          <w:tcPr>
            <w:tcW w:w="1322" w:type="dxa"/>
            <w:vMerge w:val="restart"/>
            <w:noWrap w:val="0"/>
            <w:vAlign w:val="center"/>
          </w:tcPr>
          <w:p w14:paraId="609B1F6F">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技术职称</w:t>
            </w:r>
          </w:p>
        </w:tc>
        <w:tc>
          <w:tcPr>
            <w:tcW w:w="1416" w:type="dxa"/>
            <w:gridSpan w:val="2"/>
            <w:noWrap w:val="0"/>
            <w:vAlign w:val="center"/>
          </w:tcPr>
          <w:p w14:paraId="47828A3F">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资格证书</w:t>
            </w:r>
          </w:p>
        </w:tc>
        <w:tc>
          <w:tcPr>
            <w:tcW w:w="1854" w:type="dxa"/>
            <w:vMerge w:val="restart"/>
            <w:noWrap w:val="0"/>
            <w:vAlign w:val="center"/>
          </w:tcPr>
          <w:p w14:paraId="59B05424">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人事隶属关系</w:t>
            </w:r>
          </w:p>
        </w:tc>
        <w:tc>
          <w:tcPr>
            <w:tcW w:w="2472" w:type="dxa"/>
            <w:vMerge w:val="restart"/>
            <w:noWrap w:val="0"/>
            <w:vAlign w:val="center"/>
          </w:tcPr>
          <w:p w14:paraId="151E5A21">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主要资历、经验及承担过的管理项目</w:t>
            </w:r>
          </w:p>
        </w:tc>
        <w:tc>
          <w:tcPr>
            <w:tcW w:w="1080" w:type="dxa"/>
            <w:vMerge w:val="restart"/>
            <w:noWrap w:val="0"/>
            <w:vAlign w:val="center"/>
          </w:tcPr>
          <w:p w14:paraId="0BE87128">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本项目拟担任的职务</w:t>
            </w:r>
          </w:p>
        </w:tc>
        <w:tc>
          <w:tcPr>
            <w:tcW w:w="945" w:type="dxa"/>
            <w:vMerge w:val="restart"/>
            <w:noWrap w:val="0"/>
            <w:vAlign w:val="center"/>
          </w:tcPr>
          <w:p w14:paraId="2204FCFC">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备注</w:t>
            </w:r>
          </w:p>
        </w:tc>
      </w:tr>
      <w:tr w14:paraId="7C4B7D2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03" w:type="dxa"/>
            <w:vMerge w:val="continue"/>
            <w:noWrap w:val="0"/>
            <w:vAlign w:val="center"/>
          </w:tcPr>
          <w:p w14:paraId="4302D7BB">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270" w:type="dxa"/>
            <w:vMerge w:val="continue"/>
            <w:noWrap w:val="0"/>
            <w:vAlign w:val="center"/>
          </w:tcPr>
          <w:p w14:paraId="7C118B76">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73" w:type="dxa"/>
            <w:vMerge w:val="continue"/>
            <w:noWrap w:val="0"/>
            <w:vAlign w:val="center"/>
          </w:tcPr>
          <w:p w14:paraId="7C6B695E">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02" w:type="dxa"/>
            <w:vMerge w:val="continue"/>
            <w:noWrap w:val="0"/>
            <w:vAlign w:val="center"/>
          </w:tcPr>
          <w:p w14:paraId="7A681C0F">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275" w:type="dxa"/>
            <w:vMerge w:val="continue"/>
            <w:noWrap w:val="0"/>
            <w:vAlign w:val="center"/>
          </w:tcPr>
          <w:p w14:paraId="46CFF7E3">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61" w:type="dxa"/>
            <w:vMerge w:val="continue"/>
            <w:noWrap w:val="0"/>
            <w:vAlign w:val="center"/>
          </w:tcPr>
          <w:p w14:paraId="37935A38">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322" w:type="dxa"/>
            <w:vMerge w:val="continue"/>
            <w:noWrap w:val="0"/>
            <w:vAlign w:val="center"/>
          </w:tcPr>
          <w:p w14:paraId="65ECEE13">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738BD0EA">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类别</w:t>
            </w:r>
          </w:p>
        </w:tc>
        <w:tc>
          <w:tcPr>
            <w:tcW w:w="708" w:type="dxa"/>
            <w:noWrap w:val="0"/>
            <w:vAlign w:val="center"/>
          </w:tcPr>
          <w:p w14:paraId="06768C66">
            <w:pPr>
              <w:shd w:val="clear" w:color="auto"/>
              <w:jc w:val="center"/>
              <w:rPr>
                <w:rFonts w:hint="eastAsia" w:ascii="宋体" w:hAnsi="宋体" w:eastAsia="宋体" w:cs="宋体"/>
                <w:b/>
                <w:bCs/>
                <w:color w:val="000000" w:themeColor="text1"/>
                <w:spacing w:val="0"/>
                <w:sz w:val="24"/>
                <w:szCs w:val="24"/>
                <w:highlight w:val="none"/>
                <w14:textFill>
                  <w14:solidFill>
                    <w14:schemeClr w14:val="tx1"/>
                  </w14:solidFill>
                </w14:textFill>
              </w:rPr>
            </w:pPr>
            <w:r>
              <w:rPr>
                <w:rFonts w:hint="eastAsia" w:ascii="宋体" w:hAnsi="宋体" w:eastAsia="宋体" w:cs="宋体"/>
                <w:b/>
                <w:bCs/>
                <w:color w:val="000000" w:themeColor="text1"/>
                <w:spacing w:val="0"/>
                <w:sz w:val="24"/>
                <w:szCs w:val="24"/>
                <w:highlight w:val="none"/>
                <w14:textFill>
                  <w14:solidFill>
                    <w14:schemeClr w14:val="tx1"/>
                  </w14:solidFill>
                </w14:textFill>
              </w:rPr>
              <w:t>编号</w:t>
            </w:r>
          </w:p>
        </w:tc>
        <w:tc>
          <w:tcPr>
            <w:tcW w:w="1854" w:type="dxa"/>
            <w:vMerge w:val="continue"/>
            <w:noWrap w:val="0"/>
            <w:vAlign w:val="center"/>
          </w:tcPr>
          <w:p w14:paraId="0D605F63">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2472" w:type="dxa"/>
            <w:vMerge w:val="continue"/>
            <w:noWrap w:val="0"/>
            <w:vAlign w:val="center"/>
          </w:tcPr>
          <w:p w14:paraId="148A1BE8">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80" w:type="dxa"/>
            <w:vMerge w:val="continue"/>
            <w:noWrap w:val="0"/>
            <w:vAlign w:val="center"/>
          </w:tcPr>
          <w:p w14:paraId="2790AA50">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945" w:type="dxa"/>
            <w:vMerge w:val="continue"/>
            <w:noWrap w:val="0"/>
            <w:vAlign w:val="center"/>
          </w:tcPr>
          <w:p w14:paraId="649725AE">
            <w:pPr>
              <w:shd w:val="clear" w:color="auto"/>
              <w:spacing w:line="480" w:lineRule="exact"/>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241E94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8" w:hRule="atLeast"/>
          <w:jc w:val="center"/>
        </w:trPr>
        <w:tc>
          <w:tcPr>
            <w:tcW w:w="703" w:type="dxa"/>
            <w:noWrap w:val="0"/>
            <w:vAlign w:val="center"/>
          </w:tcPr>
          <w:p w14:paraId="50579673">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1</w:t>
            </w:r>
          </w:p>
        </w:tc>
        <w:tc>
          <w:tcPr>
            <w:tcW w:w="1270" w:type="dxa"/>
            <w:noWrap w:val="0"/>
            <w:vAlign w:val="center"/>
          </w:tcPr>
          <w:p w14:paraId="1746CCEF">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73" w:type="dxa"/>
            <w:noWrap w:val="0"/>
            <w:vAlign w:val="center"/>
          </w:tcPr>
          <w:p w14:paraId="2C1B3372">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02" w:type="dxa"/>
            <w:noWrap w:val="0"/>
            <w:vAlign w:val="center"/>
          </w:tcPr>
          <w:p w14:paraId="198FC0C4">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275" w:type="dxa"/>
            <w:noWrap w:val="0"/>
            <w:vAlign w:val="center"/>
          </w:tcPr>
          <w:p w14:paraId="7F704BC0">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61" w:type="dxa"/>
            <w:noWrap w:val="0"/>
            <w:vAlign w:val="center"/>
          </w:tcPr>
          <w:p w14:paraId="17DB1661">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322" w:type="dxa"/>
            <w:noWrap w:val="0"/>
            <w:vAlign w:val="center"/>
          </w:tcPr>
          <w:p w14:paraId="27F8E2D8">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00D08BAF">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1E7AE97E">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854" w:type="dxa"/>
            <w:noWrap w:val="0"/>
            <w:vAlign w:val="center"/>
          </w:tcPr>
          <w:p w14:paraId="6B7D022F">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2472" w:type="dxa"/>
            <w:noWrap w:val="0"/>
            <w:vAlign w:val="center"/>
          </w:tcPr>
          <w:p w14:paraId="646140D6">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80" w:type="dxa"/>
            <w:noWrap w:val="0"/>
            <w:vAlign w:val="center"/>
          </w:tcPr>
          <w:p w14:paraId="5E0FDA39">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945" w:type="dxa"/>
            <w:noWrap w:val="0"/>
            <w:vAlign w:val="center"/>
          </w:tcPr>
          <w:p w14:paraId="040D4224">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46DAE2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8" w:hRule="atLeast"/>
          <w:jc w:val="center"/>
        </w:trPr>
        <w:tc>
          <w:tcPr>
            <w:tcW w:w="703" w:type="dxa"/>
            <w:noWrap w:val="0"/>
            <w:vAlign w:val="center"/>
          </w:tcPr>
          <w:p w14:paraId="52CB3D9F">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2</w:t>
            </w:r>
          </w:p>
        </w:tc>
        <w:tc>
          <w:tcPr>
            <w:tcW w:w="1270" w:type="dxa"/>
            <w:noWrap w:val="0"/>
            <w:vAlign w:val="center"/>
          </w:tcPr>
          <w:p w14:paraId="16424CF4">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73" w:type="dxa"/>
            <w:noWrap w:val="0"/>
            <w:vAlign w:val="center"/>
          </w:tcPr>
          <w:p w14:paraId="4D621DE4">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02" w:type="dxa"/>
            <w:noWrap w:val="0"/>
            <w:vAlign w:val="center"/>
          </w:tcPr>
          <w:p w14:paraId="4124C0DB">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275" w:type="dxa"/>
            <w:noWrap w:val="0"/>
            <w:vAlign w:val="center"/>
          </w:tcPr>
          <w:p w14:paraId="148D9A95">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61" w:type="dxa"/>
            <w:noWrap w:val="0"/>
            <w:vAlign w:val="center"/>
          </w:tcPr>
          <w:p w14:paraId="44E9D073">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322" w:type="dxa"/>
            <w:noWrap w:val="0"/>
            <w:vAlign w:val="center"/>
          </w:tcPr>
          <w:p w14:paraId="3A47C53C">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5FA41C9D">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07E57AD4">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854" w:type="dxa"/>
            <w:noWrap w:val="0"/>
            <w:vAlign w:val="center"/>
          </w:tcPr>
          <w:p w14:paraId="16C82E26">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2472" w:type="dxa"/>
            <w:noWrap w:val="0"/>
            <w:vAlign w:val="center"/>
          </w:tcPr>
          <w:p w14:paraId="7157B24B">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80" w:type="dxa"/>
            <w:noWrap w:val="0"/>
            <w:vAlign w:val="center"/>
          </w:tcPr>
          <w:p w14:paraId="369D540D">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945" w:type="dxa"/>
            <w:noWrap w:val="0"/>
            <w:vAlign w:val="center"/>
          </w:tcPr>
          <w:p w14:paraId="088627C7">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4F25F7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5" w:hRule="atLeast"/>
          <w:jc w:val="center"/>
        </w:trPr>
        <w:tc>
          <w:tcPr>
            <w:tcW w:w="703" w:type="dxa"/>
            <w:noWrap w:val="0"/>
            <w:vAlign w:val="center"/>
          </w:tcPr>
          <w:p w14:paraId="7C8C9DC9">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3</w:t>
            </w:r>
          </w:p>
        </w:tc>
        <w:tc>
          <w:tcPr>
            <w:tcW w:w="1270" w:type="dxa"/>
            <w:noWrap w:val="0"/>
            <w:vAlign w:val="center"/>
          </w:tcPr>
          <w:p w14:paraId="6FBE323B">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73" w:type="dxa"/>
            <w:noWrap w:val="0"/>
            <w:vAlign w:val="center"/>
          </w:tcPr>
          <w:p w14:paraId="5CA6A577">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02" w:type="dxa"/>
            <w:noWrap w:val="0"/>
            <w:vAlign w:val="center"/>
          </w:tcPr>
          <w:p w14:paraId="7975B0F2">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275" w:type="dxa"/>
            <w:noWrap w:val="0"/>
            <w:vAlign w:val="center"/>
          </w:tcPr>
          <w:p w14:paraId="7C01336B">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61" w:type="dxa"/>
            <w:noWrap w:val="0"/>
            <w:vAlign w:val="center"/>
          </w:tcPr>
          <w:p w14:paraId="6910B250">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322" w:type="dxa"/>
            <w:noWrap w:val="0"/>
            <w:vAlign w:val="center"/>
          </w:tcPr>
          <w:p w14:paraId="421C542A">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63FD5181">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7CD4F9DC">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854" w:type="dxa"/>
            <w:noWrap w:val="0"/>
            <w:vAlign w:val="center"/>
          </w:tcPr>
          <w:p w14:paraId="0B54529B">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2472" w:type="dxa"/>
            <w:noWrap w:val="0"/>
            <w:vAlign w:val="center"/>
          </w:tcPr>
          <w:p w14:paraId="1B5F54B7">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80" w:type="dxa"/>
            <w:noWrap w:val="0"/>
            <w:vAlign w:val="center"/>
          </w:tcPr>
          <w:p w14:paraId="50CF109C">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945" w:type="dxa"/>
            <w:noWrap w:val="0"/>
            <w:vAlign w:val="center"/>
          </w:tcPr>
          <w:p w14:paraId="191BAE26">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r w14:paraId="2C335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3" w:hRule="atLeast"/>
          <w:jc w:val="center"/>
        </w:trPr>
        <w:tc>
          <w:tcPr>
            <w:tcW w:w="703" w:type="dxa"/>
            <w:noWrap w:val="0"/>
            <w:vAlign w:val="center"/>
          </w:tcPr>
          <w:p w14:paraId="083F6D44">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r>
              <w:rPr>
                <w:rFonts w:hint="eastAsia" w:ascii="宋体" w:hAnsi="宋体" w:eastAsia="宋体" w:cs="宋体"/>
                <w:color w:val="000000" w:themeColor="text1"/>
                <w:spacing w:val="0"/>
                <w:sz w:val="24"/>
                <w:szCs w:val="24"/>
                <w:highlight w:val="none"/>
                <w14:textFill>
                  <w14:solidFill>
                    <w14:schemeClr w14:val="tx1"/>
                  </w14:solidFill>
                </w14:textFill>
              </w:rPr>
              <w:t>...</w:t>
            </w:r>
          </w:p>
        </w:tc>
        <w:tc>
          <w:tcPr>
            <w:tcW w:w="1270" w:type="dxa"/>
            <w:noWrap w:val="0"/>
            <w:vAlign w:val="center"/>
          </w:tcPr>
          <w:p w14:paraId="6B798895">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73" w:type="dxa"/>
            <w:noWrap w:val="0"/>
            <w:vAlign w:val="center"/>
          </w:tcPr>
          <w:p w14:paraId="52661762">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602" w:type="dxa"/>
            <w:noWrap w:val="0"/>
            <w:vAlign w:val="center"/>
          </w:tcPr>
          <w:p w14:paraId="37B006C6">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275" w:type="dxa"/>
            <w:noWrap w:val="0"/>
            <w:vAlign w:val="center"/>
          </w:tcPr>
          <w:p w14:paraId="755EAADE">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61" w:type="dxa"/>
            <w:noWrap w:val="0"/>
            <w:vAlign w:val="center"/>
          </w:tcPr>
          <w:p w14:paraId="76F1F1D4">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322" w:type="dxa"/>
            <w:noWrap w:val="0"/>
            <w:vAlign w:val="center"/>
          </w:tcPr>
          <w:p w14:paraId="63DFC565">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3161FEA2">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708" w:type="dxa"/>
            <w:noWrap w:val="0"/>
            <w:vAlign w:val="center"/>
          </w:tcPr>
          <w:p w14:paraId="7BCE76DC">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854" w:type="dxa"/>
            <w:noWrap w:val="0"/>
            <w:vAlign w:val="center"/>
          </w:tcPr>
          <w:p w14:paraId="1132DF05">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2472" w:type="dxa"/>
            <w:noWrap w:val="0"/>
            <w:vAlign w:val="center"/>
          </w:tcPr>
          <w:p w14:paraId="0F8F91DF">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1080" w:type="dxa"/>
            <w:noWrap w:val="0"/>
            <w:vAlign w:val="center"/>
          </w:tcPr>
          <w:p w14:paraId="35D954B1">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c>
          <w:tcPr>
            <w:tcW w:w="945" w:type="dxa"/>
            <w:noWrap w:val="0"/>
            <w:vAlign w:val="center"/>
          </w:tcPr>
          <w:p w14:paraId="670D8378">
            <w:pPr>
              <w:shd w:val="clear" w:color="auto"/>
              <w:jc w:val="center"/>
              <w:rPr>
                <w:rFonts w:hint="eastAsia" w:ascii="宋体" w:hAnsi="宋体" w:eastAsia="宋体" w:cs="宋体"/>
                <w:color w:val="000000" w:themeColor="text1"/>
                <w:spacing w:val="0"/>
                <w:sz w:val="24"/>
                <w:szCs w:val="24"/>
                <w:highlight w:val="none"/>
                <w14:textFill>
                  <w14:solidFill>
                    <w14:schemeClr w14:val="tx1"/>
                  </w14:solidFill>
                </w14:textFill>
              </w:rPr>
            </w:pPr>
          </w:p>
        </w:tc>
      </w:tr>
    </w:tbl>
    <w:p w14:paraId="6A8837D0">
      <w:pPr>
        <w:shd w:val="clear" w:color="auto"/>
        <w:spacing w:line="520" w:lineRule="exact"/>
        <w:ind w:firstLine="480"/>
        <w:jc w:val="left"/>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注：</w:t>
      </w:r>
    </w:p>
    <w:p w14:paraId="396C0174">
      <w:pPr>
        <w:shd w:val="clear" w:color="auto"/>
        <w:spacing w:line="520" w:lineRule="exact"/>
        <w:ind w:firstLine="480"/>
        <w:jc w:val="left"/>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1</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资格证书类别一栏按资格证书、岗位证书、培训证书填写。</w:t>
      </w:r>
    </w:p>
    <w:p w14:paraId="0CAC24FE">
      <w:pPr>
        <w:shd w:val="clear" w:color="auto"/>
        <w:spacing w:line="520" w:lineRule="exact"/>
        <w:ind w:firstLine="480"/>
        <w:jc w:val="left"/>
        <w:rPr>
          <w:rFonts w:hint="eastAsia" w:ascii="宋体" w:hAnsi="宋体" w:eastAsia="宋体" w:cs="宋体"/>
          <w:b w:val="0"/>
          <w:bCs w:val="0"/>
          <w:color w:val="000000" w:themeColor="text1"/>
          <w:spacing w:val="0"/>
          <w:sz w:val="24"/>
          <w:szCs w:val="24"/>
          <w:highlight w:val="none"/>
          <w14:textFill>
            <w14:solidFill>
              <w14:schemeClr w14:val="tx1"/>
            </w14:solidFill>
          </w14:textFill>
        </w:rPr>
      </w:pPr>
      <w:r>
        <w:rPr>
          <w:rFonts w:hint="eastAsia" w:ascii="宋体" w:hAnsi="宋体" w:eastAsia="宋体" w:cs="宋体"/>
          <w:b w:val="0"/>
          <w:bCs w:val="0"/>
          <w:color w:val="000000" w:themeColor="text1"/>
          <w:spacing w:val="0"/>
          <w:sz w:val="24"/>
          <w:szCs w:val="24"/>
          <w:highlight w:val="none"/>
          <w14:textFill>
            <w14:solidFill>
              <w14:schemeClr w14:val="tx1"/>
            </w14:solidFill>
          </w14:textFill>
        </w:rPr>
        <w:t>2</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提供人员相关证书、</w:t>
      </w:r>
      <w:r>
        <w:rPr>
          <w:rFonts w:hint="eastAsia" w:ascii="宋体" w:hAnsi="宋体" w:eastAsia="宋体" w:cs="宋体"/>
          <w:b w:val="0"/>
          <w:bCs w:val="0"/>
          <w:color w:val="000000" w:themeColor="text1"/>
          <w:spacing w:val="0"/>
          <w:sz w:val="24"/>
          <w:szCs w:val="24"/>
          <w:highlight w:val="none"/>
          <w:lang w:val="en-US" w:eastAsia="zh-CN"/>
          <w14:textFill>
            <w14:solidFill>
              <w14:schemeClr w14:val="tx1"/>
            </w14:solidFill>
          </w14:textFill>
        </w:rPr>
        <w:t>社保或劳动合同</w:t>
      </w:r>
      <w:r>
        <w:rPr>
          <w:rFonts w:hint="eastAsia" w:ascii="宋体" w:hAnsi="宋体" w:eastAsia="宋体" w:cs="宋体"/>
          <w:b w:val="0"/>
          <w:bCs w:val="0"/>
          <w:color w:val="000000" w:themeColor="text1"/>
          <w:spacing w:val="0"/>
          <w:sz w:val="24"/>
          <w:szCs w:val="24"/>
          <w:highlight w:val="none"/>
          <w14:textFill>
            <w14:solidFill>
              <w14:schemeClr w14:val="tx1"/>
            </w14:solidFill>
          </w14:textFill>
        </w:rPr>
        <w:t>，条目不限于此，可自行添加。</w:t>
      </w:r>
    </w:p>
    <w:p w14:paraId="52CD95D6">
      <w:pPr>
        <w:pStyle w:val="273"/>
        <w:keepNext w:val="0"/>
        <w:keepLines w:val="0"/>
        <w:pageBreakBefore w:val="0"/>
        <w:widowControl/>
        <w:shd w:val="clear" w:color="auto"/>
        <w:spacing w:line="520" w:lineRule="exact"/>
        <w:jc w:val="left"/>
        <w:outlineLvl w:val="9"/>
        <w:rPr>
          <w:rStyle w:val="216"/>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pPr>
    </w:p>
    <w:p w14:paraId="27E39050">
      <w:pPr>
        <w:pStyle w:val="273"/>
        <w:keepNext w:val="0"/>
        <w:keepLines w:val="0"/>
        <w:pageBreakBefore w:val="0"/>
        <w:widowControl/>
        <w:shd w:val="clear" w:color="auto"/>
        <w:spacing w:line="520" w:lineRule="exact"/>
        <w:jc w:val="left"/>
        <w:outlineLvl w:val="9"/>
        <w:rPr>
          <w:rStyle w:val="216"/>
          <w:rFonts w:hint="eastAsia" w:ascii="宋体" w:hAnsi="宋体" w:eastAsia="宋体" w:cs="宋体"/>
          <w:caps w:val="0"/>
          <w:smallCaps w:val="0"/>
          <w:color w:val="000000" w:themeColor="text1"/>
          <w:spacing w:val="0"/>
          <w:highlight w:val="none"/>
          <w:shd w:val="clear" w:color="auto" w:fill="auto"/>
          <w:lang w:val="en-US" w:eastAsia="zh-CN"/>
          <w14:textFill>
            <w14:solidFill>
              <w14:schemeClr w14:val="tx1"/>
            </w14:solidFill>
          </w14:textFill>
        </w:rPr>
        <w:sectPr>
          <w:pgSz w:w="16838" w:h="11906" w:orient="landscape"/>
          <w:pgMar w:top="1440" w:right="1080" w:bottom="1440" w:left="1080" w:header="851" w:footer="992" w:gutter="0"/>
          <w:cols w:space="1701" w:num="1"/>
          <w:titlePg/>
          <w:docGrid w:linePitch="360" w:charSpace="0"/>
        </w:sectPr>
      </w:pPr>
    </w:p>
    <w:p w14:paraId="11AA1269">
      <w:pPr>
        <w:pStyle w:val="273"/>
        <w:keepNext w:val="0"/>
        <w:keepLines w:val="0"/>
        <w:pageBreakBefore w:val="0"/>
        <w:widowControl/>
        <w:shd w:val="clear" w:color="auto"/>
        <w:spacing w:line="520" w:lineRule="exact"/>
        <w:jc w:val="left"/>
        <w:outlineLvl w:val="9"/>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432" w:name="_Toc18644"/>
      <w:bookmarkStart w:id="433" w:name="_Toc693"/>
      <w:r>
        <w:rPr>
          <w:rStyle w:val="21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类似业绩一览表</w:t>
      </w:r>
      <w:bookmarkEnd w:id="432"/>
      <w:bookmarkEnd w:id="433"/>
    </w:p>
    <w:p w14:paraId="6E42DF33">
      <w:pPr>
        <w:pStyle w:val="245"/>
        <w:keepNext w:val="0"/>
        <w:keepLines w:val="0"/>
        <w:pageBreakBefore w:val="0"/>
        <w:widowControl/>
        <w:shd w:val="clear" w:color="auto"/>
        <w:spacing w:before="567" w:after="567" w:line="520" w:lineRule="exact"/>
        <w:jc w:val="cente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类似业绩一览表</w:t>
      </w:r>
    </w:p>
    <w:tbl>
      <w:tblPr>
        <w:tblStyle w:val="39"/>
        <w:tblW w:w="97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232"/>
        <w:gridCol w:w="2441"/>
        <w:gridCol w:w="3650"/>
        <w:gridCol w:w="2441"/>
      </w:tblGrid>
      <w:tr w14:paraId="071C1E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232" w:type="dxa"/>
            <w:noWrap w:val="0"/>
            <w:tcMar>
              <w:top w:w="0" w:type="dxa"/>
              <w:left w:w="0" w:type="dxa"/>
              <w:bottom w:w="0" w:type="dxa"/>
              <w:right w:w="0" w:type="dxa"/>
            </w:tcMar>
            <w:vAlign w:val="center"/>
          </w:tcPr>
          <w:p w14:paraId="46D9BDC1">
            <w:pPr>
              <w:pStyle w:val="274"/>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序号</w:t>
            </w:r>
          </w:p>
        </w:tc>
        <w:tc>
          <w:tcPr>
            <w:tcW w:w="2441" w:type="dxa"/>
            <w:noWrap w:val="0"/>
            <w:tcMar>
              <w:top w:w="0" w:type="dxa"/>
              <w:left w:w="0" w:type="dxa"/>
              <w:bottom w:w="0" w:type="dxa"/>
              <w:right w:w="0" w:type="dxa"/>
            </w:tcMar>
            <w:vAlign w:val="center"/>
          </w:tcPr>
          <w:p w14:paraId="13C9AC23">
            <w:pPr>
              <w:pStyle w:val="274"/>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项目名称</w:t>
            </w:r>
          </w:p>
        </w:tc>
        <w:tc>
          <w:tcPr>
            <w:tcW w:w="3650" w:type="dxa"/>
            <w:noWrap w:val="0"/>
            <w:tcMar>
              <w:top w:w="0" w:type="dxa"/>
              <w:left w:w="0" w:type="dxa"/>
              <w:bottom w:w="0" w:type="dxa"/>
              <w:right w:w="0" w:type="dxa"/>
            </w:tcMar>
            <w:vAlign w:val="center"/>
          </w:tcPr>
          <w:p w14:paraId="4F0F97F9">
            <w:pPr>
              <w:pStyle w:val="274"/>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合同期（天）</w:t>
            </w:r>
          </w:p>
        </w:tc>
        <w:tc>
          <w:tcPr>
            <w:tcW w:w="2441" w:type="dxa"/>
            <w:noWrap w:val="0"/>
            <w:tcMar>
              <w:top w:w="0" w:type="dxa"/>
              <w:left w:w="0" w:type="dxa"/>
              <w:bottom w:w="0" w:type="dxa"/>
              <w:right w:w="0" w:type="dxa"/>
            </w:tcMar>
            <w:vAlign w:val="center"/>
          </w:tcPr>
          <w:p w14:paraId="68A99425">
            <w:pPr>
              <w:pStyle w:val="274"/>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合同金额</w:t>
            </w:r>
          </w:p>
        </w:tc>
      </w:tr>
      <w:tr w14:paraId="19133E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232" w:type="dxa"/>
            <w:noWrap w:val="0"/>
            <w:tcMar>
              <w:top w:w="0" w:type="dxa"/>
              <w:left w:w="0" w:type="dxa"/>
              <w:bottom w:w="0" w:type="dxa"/>
              <w:right w:w="0" w:type="dxa"/>
            </w:tcMar>
            <w:vAlign w:val="center"/>
          </w:tcPr>
          <w:p w14:paraId="41E5BE6B">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bookmarkStart w:id="434" w:name="xh"/>
            <w:bookmarkEnd w:id="434"/>
          </w:p>
        </w:tc>
        <w:tc>
          <w:tcPr>
            <w:tcW w:w="2441" w:type="dxa"/>
            <w:noWrap w:val="0"/>
            <w:tcMar>
              <w:top w:w="0" w:type="dxa"/>
              <w:left w:w="0" w:type="dxa"/>
              <w:bottom w:w="0" w:type="dxa"/>
              <w:right w:w="0" w:type="dxa"/>
            </w:tcMar>
            <w:vAlign w:val="center"/>
          </w:tcPr>
          <w:p w14:paraId="3FD32350">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bookmarkStart w:id="435" w:name="XmName"/>
            <w:bookmarkEnd w:id="435"/>
          </w:p>
        </w:tc>
        <w:tc>
          <w:tcPr>
            <w:tcW w:w="3650" w:type="dxa"/>
            <w:noWrap w:val="0"/>
            <w:tcMar>
              <w:top w:w="0" w:type="dxa"/>
              <w:left w:w="0" w:type="dxa"/>
              <w:bottom w:w="0" w:type="dxa"/>
              <w:right w:w="0" w:type="dxa"/>
            </w:tcMar>
            <w:vAlign w:val="center"/>
          </w:tcPr>
          <w:p w14:paraId="593963FC">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515D3908">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bookmarkStart w:id="436" w:name="ZhongBiaoJia"/>
            <w:bookmarkEnd w:id="436"/>
          </w:p>
        </w:tc>
      </w:tr>
      <w:tr w14:paraId="70B582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232" w:type="dxa"/>
            <w:noWrap w:val="0"/>
            <w:tcMar>
              <w:top w:w="0" w:type="dxa"/>
              <w:left w:w="0" w:type="dxa"/>
              <w:bottom w:w="0" w:type="dxa"/>
              <w:right w:w="0" w:type="dxa"/>
            </w:tcMar>
            <w:vAlign w:val="center"/>
          </w:tcPr>
          <w:p w14:paraId="5BCB7582">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17E4EC36">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3650" w:type="dxa"/>
            <w:noWrap w:val="0"/>
            <w:tcMar>
              <w:top w:w="0" w:type="dxa"/>
              <w:left w:w="0" w:type="dxa"/>
              <w:bottom w:w="0" w:type="dxa"/>
              <w:right w:w="0" w:type="dxa"/>
            </w:tcMar>
            <w:vAlign w:val="center"/>
          </w:tcPr>
          <w:p w14:paraId="0EB80A51">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1BEB317E">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6F291EA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232" w:type="dxa"/>
            <w:noWrap w:val="0"/>
            <w:tcMar>
              <w:top w:w="0" w:type="dxa"/>
              <w:left w:w="0" w:type="dxa"/>
              <w:bottom w:w="0" w:type="dxa"/>
              <w:right w:w="0" w:type="dxa"/>
            </w:tcMar>
            <w:vAlign w:val="center"/>
          </w:tcPr>
          <w:p w14:paraId="38E85201">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604F0181">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3650" w:type="dxa"/>
            <w:noWrap w:val="0"/>
            <w:tcMar>
              <w:top w:w="0" w:type="dxa"/>
              <w:left w:w="0" w:type="dxa"/>
              <w:bottom w:w="0" w:type="dxa"/>
              <w:right w:w="0" w:type="dxa"/>
            </w:tcMar>
            <w:vAlign w:val="center"/>
          </w:tcPr>
          <w:p w14:paraId="44FC12A7">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185CC305">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63628E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232" w:type="dxa"/>
            <w:noWrap w:val="0"/>
            <w:tcMar>
              <w:top w:w="0" w:type="dxa"/>
              <w:left w:w="0" w:type="dxa"/>
              <w:bottom w:w="0" w:type="dxa"/>
              <w:right w:w="0" w:type="dxa"/>
            </w:tcMar>
            <w:vAlign w:val="center"/>
          </w:tcPr>
          <w:p w14:paraId="3C45FEB0">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6E80D7EE">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3650" w:type="dxa"/>
            <w:noWrap w:val="0"/>
            <w:tcMar>
              <w:top w:w="0" w:type="dxa"/>
              <w:left w:w="0" w:type="dxa"/>
              <w:bottom w:w="0" w:type="dxa"/>
              <w:right w:w="0" w:type="dxa"/>
            </w:tcMar>
            <w:vAlign w:val="center"/>
          </w:tcPr>
          <w:p w14:paraId="3A3C2DAA">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543B40DC">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3BC679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232" w:type="dxa"/>
            <w:noWrap w:val="0"/>
            <w:tcMar>
              <w:top w:w="0" w:type="dxa"/>
              <w:left w:w="0" w:type="dxa"/>
              <w:bottom w:w="0" w:type="dxa"/>
              <w:right w:w="0" w:type="dxa"/>
            </w:tcMar>
            <w:vAlign w:val="center"/>
          </w:tcPr>
          <w:p w14:paraId="655BBA28">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47DF5C8D">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3650" w:type="dxa"/>
            <w:noWrap w:val="0"/>
            <w:tcMar>
              <w:top w:w="0" w:type="dxa"/>
              <w:left w:w="0" w:type="dxa"/>
              <w:bottom w:w="0" w:type="dxa"/>
              <w:right w:w="0" w:type="dxa"/>
            </w:tcMar>
            <w:vAlign w:val="center"/>
          </w:tcPr>
          <w:p w14:paraId="1D832141">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68469E0D">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2A23A0F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jc w:val="center"/>
        </w:trPr>
        <w:tc>
          <w:tcPr>
            <w:tcW w:w="1232" w:type="dxa"/>
            <w:noWrap w:val="0"/>
            <w:tcMar>
              <w:top w:w="0" w:type="dxa"/>
              <w:left w:w="0" w:type="dxa"/>
              <w:bottom w:w="0" w:type="dxa"/>
              <w:right w:w="0" w:type="dxa"/>
            </w:tcMar>
            <w:vAlign w:val="center"/>
          </w:tcPr>
          <w:p w14:paraId="5F1CC289">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25C605AF">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3650" w:type="dxa"/>
            <w:noWrap w:val="0"/>
            <w:tcMar>
              <w:top w:w="0" w:type="dxa"/>
              <w:left w:w="0" w:type="dxa"/>
              <w:bottom w:w="0" w:type="dxa"/>
              <w:right w:w="0" w:type="dxa"/>
            </w:tcMar>
            <w:vAlign w:val="center"/>
          </w:tcPr>
          <w:p w14:paraId="6B01D97B">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441" w:type="dxa"/>
            <w:noWrap w:val="0"/>
            <w:tcMar>
              <w:top w:w="0" w:type="dxa"/>
              <w:left w:w="0" w:type="dxa"/>
              <w:bottom w:w="0" w:type="dxa"/>
              <w:right w:w="0" w:type="dxa"/>
            </w:tcMar>
            <w:vAlign w:val="center"/>
          </w:tcPr>
          <w:p w14:paraId="79E9C69B">
            <w:pPr>
              <w:pStyle w:val="274"/>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bl>
    <w:p w14:paraId="2686DF6D">
      <w:pPr>
        <w:pStyle w:val="274"/>
        <w:shd w:val="clear" w:color="auto"/>
        <w:spacing w:before="240" w:after="240"/>
        <w:jc w:val="both"/>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headerReference r:id="rId26" w:type="first"/>
          <w:footerReference r:id="rId28" w:type="first"/>
          <w:headerReference r:id="rId25" w:type="default"/>
          <w:footerReference r:id="rId27" w:type="default"/>
          <w:pgSz w:w="11906" w:h="16838"/>
          <w:pgMar w:top="1440" w:right="1080" w:bottom="1440" w:left="1080" w:header="851" w:footer="992" w:gutter="0"/>
          <w:cols w:space="1701" w:num="1"/>
          <w:titlePg/>
          <w:docGrid w:linePitch="360" w:charSpace="0"/>
        </w:sectPr>
      </w:pPr>
    </w:p>
    <w:p w14:paraId="296B9BBD">
      <w:pPr>
        <w:pStyle w:val="275"/>
        <w:shd w:val="clear" w:color="auto"/>
        <w:jc w:val="left"/>
        <w:outlineLvl w:val="9"/>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r>
        <w:rPr>
          <w:rStyle w:val="216"/>
          <w:rFonts w:hint="eastAsia" w:ascii="宋体" w:hAnsi="宋体" w:eastAsia="宋体" w:cs="宋体"/>
          <w:b/>
          <w:caps w:val="0"/>
          <w:smallCaps w:val="0"/>
          <w:color w:val="000000" w:themeColor="text1"/>
          <w:spacing w:val="0"/>
          <w:sz w:val="28"/>
          <w:highlight w:val="none"/>
          <w:shd w:val="clear" w:color="auto" w:fill="auto"/>
          <w14:textFill>
            <w14:solidFill>
              <w14:schemeClr w14:val="tx1"/>
            </w14:solidFill>
          </w14:textFill>
        </w:rPr>
        <w:t>投标人获得的相关证书</w:t>
      </w:r>
    </w:p>
    <w:p w14:paraId="4C602443">
      <w:pPr>
        <w:pStyle w:val="245"/>
        <w:keepNext w:val="0"/>
        <w:keepLines w:val="0"/>
        <w:pageBreakBefore w:val="0"/>
        <w:widowControl/>
        <w:shd w:val="clear" w:color="auto"/>
        <w:spacing w:before="567" w:after="567" w:line="520" w:lineRule="exact"/>
        <w:jc w:val="cente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各类证书（若有的话）</w:t>
      </w:r>
    </w:p>
    <w:p w14:paraId="45696EF6">
      <w:pPr>
        <w:pStyle w:val="274"/>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pPr>
    </w:p>
    <w:p w14:paraId="11526F16">
      <w:pPr>
        <w:pStyle w:val="274"/>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48D2C24A">
      <w:pPr>
        <w:pStyle w:val="274"/>
        <w:keepNext w:val="0"/>
        <w:keepLines w:val="0"/>
        <w:pageBreakBefore w:val="0"/>
        <w:widowControl/>
        <w:shd w:val="clear" w:color="auto"/>
        <w:spacing w:before="240" w:after="240" w:line="520" w:lineRule="exact"/>
        <w:jc w:val="both"/>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p>
    <w:p w14:paraId="1F43FD11">
      <w:pPr>
        <w:pStyle w:val="274"/>
        <w:keepNext w:val="0"/>
        <w:keepLines w:val="0"/>
        <w:pageBreakBefore w:val="0"/>
        <w:widowControl/>
        <w:shd w:val="clear" w:color="auto"/>
        <w:spacing w:before="240" w:after="240" w:line="520" w:lineRule="exact"/>
        <w:jc w:val="cente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119DA61D">
      <w:pPr>
        <w:pStyle w:val="278"/>
        <w:shd w:val="clear" w:color="auto"/>
        <w:jc w:val="left"/>
        <w:outlineLvl w:val="1"/>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pPr>
      <w:bookmarkStart w:id="437" w:name="_Toc7948"/>
      <w:bookmarkStart w:id="438" w:name="_Toc285"/>
      <w:bookmarkStart w:id="439" w:name="_Toc28623"/>
      <w:bookmarkStart w:id="440" w:name="_Toc29532"/>
      <w:bookmarkStart w:id="441" w:name="_Toc15335"/>
      <w:r>
        <w:rPr>
          <w:rStyle w:val="21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十</w:t>
      </w:r>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、技术</w:t>
      </w:r>
      <w:r>
        <w:rPr>
          <w:rStyle w:val="21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要求</w:t>
      </w:r>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响应及偏离表</w:t>
      </w:r>
      <w:bookmarkEnd w:id="437"/>
      <w:bookmarkEnd w:id="438"/>
      <w:bookmarkEnd w:id="439"/>
      <w:bookmarkEnd w:id="440"/>
      <w:bookmarkEnd w:id="441"/>
    </w:p>
    <w:p w14:paraId="19FFF60E">
      <w:pPr>
        <w:pStyle w:val="245"/>
        <w:keepNext w:val="0"/>
        <w:keepLines w:val="0"/>
        <w:pageBreakBefore w:val="0"/>
        <w:widowControl/>
        <w:shd w:val="clear" w:color="auto"/>
        <w:spacing w:before="567" w:after="567" w:line="520" w:lineRule="exact"/>
        <w:jc w:val="cente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技术要求响应及偏离表</w:t>
      </w:r>
    </w:p>
    <w:tbl>
      <w:tblPr>
        <w:tblStyle w:val="39"/>
        <w:tblW w:w="9752"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48"/>
        <w:gridCol w:w="2374"/>
        <w:gridCol w:w="2014"/>
        <w:gridCol w:w="1880"/>
        <w:gridCol w:w="1808"/>
        <w:gridCol w:w="1128"/>
      </w:tblGrid>
      <w:tr w14:paraId="78E1A7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48" w:type="dxa"/>
            <w:noWrap w:val="0"/>
            <w:tcMar>
              <w:top w:w="0" w:type="dxa"/>
              <w:left w:w="0" w:type="dxa"/>
              <w:bottom w:w="0" w:type="dxa"/>
              <w:right w:w="0" w:type="dxa"/>
            </w:tcMar>
            <w:vAlign w:val="center"/>
          </w:tcPr>
          <w:p w14:paraId="05381891">
            <w:pPr>
              <w:pStyle w:val="279"/>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序号</w:t>
            </w:r>
          </w:p>
        </w:tc>
        <w:tc>
          <w:tcPr>
            <w:tcW w:w="2374" w:type="dxa"/>
            <w:noWrap w:val="0"/>
            <w:tcMar>
              <w:top w:w="0" w:type="dxa"/>
              <w:left w:w="0" w:type="dxa"/>
              <w:bottom w:w="0" w:type="dxa"/>
              <w:right w:w="0" w:type="dxa"/>
            </w:tcMar>
            <w:vAlign w:val="center"/>
          </w:tcPr>
          <w:p w14:paraId="70D32E80">
            <w:pPr>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招标文件技术要求中的要求</w:t>
            </w:r>
          </w:p>
        </w:tc>
        <w:tc>
          <w:tcPr>
            <w:tcW w:w="2014" w:type="dxa"/>
            <w:noWrap w:val="0"/>
            <w:tcMar>
              <w:top w:w="0" w:type="dxa"/>
              <w:left w:w="0" w:type="dxa"/>
              <w:bottom w:w="0" w:type="dxa"/>
              <w:right w:w="0" w:type="dxa"/>
            </w:tcMar>
            <w:vAlign w:val="center"/>
          </w:tcPr>
          <w:p w14:paraId="78B513DE">
            <w:pPr>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投标文件对应要求的服务承诺</w:t>
            </w:r>
          </w:p>
        </w:tc>
        <w:tc>
          <w:tcPr>
            <w:tcW w:w="1880" w:type="dxa"/>
            <w:noWrap w:val="0"/>
            <w:tcMar>
              <w:top w:w="0" w:type="dxa"/>
              <w:left w:w="0" w:type="dxa"/>
              <w:bottom w:w="0" w:type="dxa"/>
              <w:right w:w="0" w:type="dxa"/>
            </w:tcMar>
            <w:vAlign w:val="center"/>
          </w:tcPr>
          <w:p w14:paraId="25DA86E8">
            <w:pPr>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有无偏离</w:t>
            </w:r>
          </w:p>
        </w:tc>
        <w:tc>
          <w:tcPr>
            <w:tcW w:w="1808" w:type="dxa"/>
            <w:noWrap w:val="0"/>
            <w:tcMar>
              <w:top w:w="0" w:type="dxa"/>
              <w:left w:w="0" w:type="dxa"/>
              <w:bottom w:w="0" w:type="dxa"/>
              <w:right w:w="0" w:type="dxa"/>
            </w:tcMar>
            <w:vAlign w:val="center"/>
          </w:tcPr>
          <w:p w14:paraId="4BB7A283">
            <w:pPr>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Fonts w:hint="eastAsia" w:ascii="宋体" w:hAnsi="宋体" w:eastAsia="宋体" w:cs="宋体"/>
                <w:b/>
                <w:bCs/>
                <w:caps w:val="0"/>
                <w:smallCaps w:val="0"/>
                <w:color w:val="000000" w:themeColor="text1"/>
                <w:spacing w:val="0"/>
                <w:sz w:val="24"/>
                <w:szCs w:val="24"/>
                <w:highlight w:val="none"/>
                <w:shd w:val="clear" w:color="auto" w:fill="auto"/>
                <w14:textFill>
                  <w14:solidFill>
                    <w14:schemeClr w14:val="tx1"/>
                  </w14:solidFill>
                </w14:textFill>
              </w:rPr>
              <w:t>偏离内容及原因</w:t>
            </w:r>
          </w:p>
        </w:tc>
        <w:tc>
          <w:tcPr>
            <w:tcW w:w="1128" w:type="dxa"/>
            <w:noWrap w:val="0"/>
            <w:tcMar>
              <w:top w:w="0" w:type="dxa"/>
              <w:left w:w="0" w:type="dxa"/>
              <w:bottom w:w="0" w:type="dxa"/>
              <w:right w:w="0" w:type="dxa"/>
            </w:tcMar>
            <w:vAlign w:val="center"/>
          </w:tcPr>
          <w:p w14:paraId="203D406E">
            <w:pPr>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lang w:val="en-US" w:eastAsia="zh-CN"/>
                <w14:textFill>
                  <w14:solidFill>
                    <w14:schemeClr w14:val="tx1"/>
                  </w14:solidFill>
                </w14:textFill>
              </w:rPr>
              <w:t>备注</w:t>
            </w:r>
          </w:p>
        </w:tc>
      </w:tr>
      <w:tr w14:paraId="300905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48" w:type="dxa"/>
            <w:noWrap w:val="0"/>
            <w:tcMar>
              <w:top w:w="0" w:type="dxa"/>
              <w:left w:w="0" w:type="dxa"/>
              <w:bottom w:w="0" w:type="dxa"/>
              <w:right w:w="0" w:type="dxa"/>
            </w:tcMar>
            <w:vAlign w:val="center"/>
          </w:tcPr>
          <w:p w14:paraId="4AFB8597">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374" w:type="dxa"/>
            <w:noWrap w:val="0"/>
            <w:tcMar>
              <w:top w:w="0" w:type="dxa"/>
              <w:left w:w="0" w:type="dxa"/>
              <w:bottom w:w="0" w:type="dxa"/>
              <w:right w:w="0" w:type="dxa"/>
            </w:tcMar>
            <w:vAlign w:val="center"/>
          </w:tcPr>
          <w:p w14:paraId="3A73C831">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014" w:type="dxa"/>
            <w:noWrap w:val="0"/>
            <w:tcMar>
              <w:top w:w="0" w:type="dxa"/>
              <w:left w:w="0" w:type="dxa"/>
              <w:bottom w:w="0" w:type="dxa"/>
              <w:right w:w="0" w:type="dxa"/>
            </w:tcMar>
            <w:vAlign w:val="center"/>
          </w:tcPr>
          <w:p w14:paraId="08583553">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80" w:type="dxa"/>
            <w:noWrap w:val="0"/>
            <w:tcMar>
              <w:top w:w="0" w:type="dxa"/>
              <w:left w:w="0" w:type="dxa"/>
              <w:bottom w:w="0" w:type="dxa"/>
              <w:right w:w="0" w:type="dxa"/>
            </w:tcMar>
            <w:vAlign w:val="center"/>
          </w:tcPr>
          <w:p w14:paraId="0FD145BE">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08" w:type="dxa"/>
            <w:noWrap w:val="0"/>
            <w:tcMar>
              <w:top w:w="0" w:type="dxa"/>
              <w:left w:w="0" w:type="dxa"/>
              <w:bottom w:w="0" w:type="dxa"/>
              <w:right w:w="0" w:type="dxa"/>
            </w:tcMar>
            <w:vAlign w:val="center"/>
          </w:tcPr>
          <w:p w14:paraId="53B46423">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128" w:type="dxa"/>
            <w:noWrap w:val="0"/>
            <w:tcMar>
              <w:top w:w="0" w:type="dxa"/>
              <w:left w:w="0" w:type="dxa"/>
              <w:bottom w:w="0" w:type="dxa"/>
              <w:right w:w="0" w:type="dxa"/>
            </w:tcMar>
            <w:vAlign w:val="center"/>
          </w:tcPr>
          <w:p w14:paraId="169F5432">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0212E8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48" w:type="dxa"/>
            <w:noWrap w:val="0"/>
            <w:tcMar>
              <w:top w:w="0" w:type="dxa"/>
              <w:left w:w="0" w:type="dxa"/>
              <w:bottom w:w="0" w:type="dxa"/>
              <w:right w:w="0" w:type="dxa"/>
            </w:tcMar>
            <w:vAlign w:val="center"/>
          </w:tcPr>
          <w:p w14:paraId="411EF14C">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374" w:type="dxa"/>
            <w:noWrap w:val="0"/>
            <w:tcMar>
              <w:top w:w="0" w:type="dxa"/>
              <w:left w:w="0" w:type="dxa"/>
              <w:bottom w:w="0" w:type="dxa"/>
              <w:right w:w="0" w:type="dxa"/>
            </w:tcMar>
            <w:vAlign w:val="center"/>
          </w:tcPr>
          <w:p w14:paraId="3BB11A9E">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014" w:type="dxa"/>
            <w:noWrap w:val="0"/>
            <w:tcMar>
              <w:top w:w="0" w:type="dxa"/>
              <w:left w:w="0" w:type="dxa"/>
              <w:bottom w:w="0" w:type="dxa"/>
              <w:right w:w="0" w:type="dxa"/>
            </w:tcMar>
            <w:vAlign w:val="center"/>
          </w:tcPr>
          <w:p w14:paraId="76A08D43">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80" w:type="dxa"/>
            <w:noWrap w:val="0"/>
            <w:tcMar>
              <w:top w:w="0" w:type="dxa"/>
              <w:left w:w="0" w:type="dxa"/>
              <w:bottom w:w="0" w:type="dxa"/>
              <w:right w:w="0" w:type="dxa"/>
            </w:tcMar>
            <w:vAlign w:val="center"/>
          </w:tcPr>
          <w:p w14:paraId="42648D22">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08" w:type="dxa"/>
            <w:noWrap w:val="0"/>
            <w:tcMar>
              <w:top w:w="0" w:type="dxa"/>
              <w:left w:w="0" w:type="dxa"/>
              <w:bottom w:w="0" w:type="dxa"/>
              <w:right w:w="0" w:type="dxa"/>
            </w:tcMar>
            <w:vAlign w:val="center"/>
          </w:tcPr>
          <w:p w14:paraId="37847346">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128" w:type="dxa"/>
            <w:noWrap w:val="0"/>
            <w:tcMar>
              <w:top w:w="0" w:type="dxa"/>
              <w:left w:w="0" w:type="dxa"/>
              <w:bottom w:w="0" w:type="dxa"/>
              <w:right w:w="0" w:type="dxa"/>
            </w:tcMar>
            <w:vAlign w:val="center"/>
          </w:tcPr>
          <w:p w14:paraId="4D3C66A3">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0DE6B5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48" w:type="dxa"/>
            <w:noWrap w:val="0"/>
            <w:tcMar>
              <w:top w:w="0" w:type="dxa"/>
              <w:left w:w="0" w:type="dxa"/>
              <w:bottom w:w="0" w:type="dxa"/>
              <w:right w:w="0" w:type="dxa"/>
            </w:tcMar>
            <w:vAlign w:val="center"/>
          </w:tcPr>
          <w:p w14:paraId="5F2A6216">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374" w:type="dxa"/>
            <w:noWrap w:val="0"/>
            <w:tcMar>
              <w:top w:w="0" w:type="dxa"/>
              <w:left w:w="0" w:type="dxa"/>
              <w:bottom w:w="0" w:type="dxa"/>
              <w:right w:w="0" w:type="dxa"/>
            </w:tcMar>
            <w:vAlign w:val="center"/>
          </w:tcPr>
          <w:p w14:paraId="21C42C28">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014" w:type="dxa"/>
            <w:noWrap w:val="0"/>
            <w:tcMar>
              <w:top w:w="0" w:type="dxa"/>
              <w:left w:w="0" w:type="dxa"/>
              <w:bottom w:w="0" w:type="dxa"/>
              <w:right w:w="0" w:type="dxa"/>
            </w:tcMar>
            <w:vAlign w:val="center"/>
          </w:tcPr>
          <w:p w14:paraId="0B2FD88B">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80" w:type="dxa"/>
            <w:noWrap w:val="0"/>
            <w:tcMar>
              <w:top w:w="0" w:type="dxa"/>
              <w:left w:w="0" w:type="dxa"/>
              <w:bottom w:w="0" w:type="dxa"/>
              <w:right w:w="0" w:type="dxa"/>
            </w:tcMar>
            <w:vAlign w:val="center"/>
          </w:tcPr>
          <w:p w14:paraId="11017DA8">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08" w:type="dxa"/>
            <w:noWrap w:val="0"/>
            <w:tcMar>
              <w:top w:w="0" w:type="dxa"/>
              <w:left w:w="0" w:type="dxa"/>
              <w:bottom w:w="0" w:type="dxa"/>
              <w:right w:w="0" w:type="dxa"/>
            </w:tcMar>
            <w:vAlign w:val="center"/>
          </w:tcPr>
          <w:p w14:paraId="3E4CF8E2">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128" w:type="dxa"/>
            <w:noWrap w:val="0"/>
            <w:tcMar>
              <w:top w:w="0" w:type="dxa"/>
              <w:left w:w="0" w:type="dxa"/>
              <w:bottom w:w="0" w:type="dxa"/>
              <w:right w:w="0" w:type="dxa"/>
            </w:tcMar>
            <w:vAlign w:val="center"/>
          </w:tcPr>
          <w:p w14:paraId="68B2495A">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4AB4918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48" w:type="dxa"/>
            <w:noWrap w:val="0"/>
            <w:tcMar>
              <w:top w:w="0" w:type="dxa"/>
              <w:left w:w="0" w:type="dxa"/>
              <w:bottom w:w="0" w:type="dxa"/>
              <w:right w:w="0" w:type="dxa"/>
            </w:tcMar>
            <w:vAlign w:val="center"/>
          </w:tcPr>
          <w:p w14:paraId="7A853E1E">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374" w:type="dxa"/>
            <w:noWrap w:val="0"/>
            <w:tcMar>
              <w:top w:w="0" w:type="dxa"/>
              <w:left w:w="0" w:type="dxa"/>
              <w:bottom w:w="0" w:type="dxa"/>
              <w:right w:w="0" w:type="dxa"/>
            </w:tcMar>
            <w:vAlign w:val="center"/>
          </w:tcPr>
          <w:p w14:paraId="51338FF1">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014" w:type="dxa"/>
            <w:noWrap w:val="0"/>
            <w:tcMar>
              <w:top w:w="0" w:type="dxa"/>
              <w:left w:w="0" w:type="dxa"/>
              <w:bottom w:w="0" w:type="dxa"/>
              <w:right w:w="0" w:type="dxa"/>
            </w:tcMar>
            <w:vAlign w:val="center"/>
          </w:tcPr>
          <w:p w14:paraId="2863ED5B">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80" w:type="dxa"/>
            <w:noWrap w:val="0"/>
            <w:tcMar>
              <w:top w:w="0" w:type="dxa"/>
              <w:left w:w="0" w:type="dxa"/>
              <w:bottom w:w="0" w:type="dxa"/>
              <w:right w:w="0" w:type="dxa"/>
            </w:tcMar>
            <w:vAlign w:val="center"/>
          </w:tcPr>
          <w:p w14:paraId="46823215">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08" w:type="dxa"/>
            <w:noWrap w:val="0"/>
            <w:tcMar>
              <w:top w:w="0" w:type="dxa"/>
              <w:left w:w="0" w:type="dxa"/>
              <w:bottom w:w="0" w:type="dxa"/>
              <w:right w:w="0" w:type="dxa"/>
            </w:tcMar>
            <w:vAlign w:val="center"/>
          </w:tcPr>
          <w:p w14:paraId="01D8B28E">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128" w:type="dxa"/>
            <w:noWrap w:val="0"/>
            <w:tcMar>
              <w:top w:w="0" w:type="dxa"/>
              <w:left w:w="0" w:type="dxa"/>
              <w:bottom w:w="0" w:type="dxa"/>
              <w:right w:w="0" w:type="dxa"/>
            </w:tcMar>
            <w:vAlign w:val="center"/>
          </w:tcPr>
          <w:p w14:paraId="0A205E20">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58588B9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48" w:type="dxa"/>
            <w:noWrap w:val="0"/>
            <w:tcMar>
              <w:top w:w="0" w:type="dxa"/>
              <w:left w:w="0" w:type="dxa"/>
              <w:bottom w:w="0" w:type="dxa"/>
              <w:right w:w="0" w:type="dxa"/>
            </w:tcMar>
            <w:vAlign w:val="center"/>
          </w:tcPr>
          <w:p w14:paraId="195C5D13">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374" w:type="dxa"/>
            <w:noWrap w:val="0"/>
            <w:tcMar>
              <w:top w:w="0" w:type="dxa"/>
              <w:left w:w="0" w:type="dxa"/>
              <w:bottom w:w="0" w:type="dxa"/>
              <w:right w:w="0" w:type="dxa"/>
            </w:tcMar>
            <w:vAlign w:val="center"/>
          </w:tcPr>
          <w:p w14:paraId="14673F23">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014" w:type="dxa"/>
            <w:noWrap w:val="0"/>
            <w:tcMar>
              <w:top w:w="0" w:type="dxa"/>
              <w:left w:w="0" w:type="dxa"/>
              <w:bottom w:w="0" w:type="dxa"/>
              <w:right w:w="0" w:type="dxa"/>
            </w:tcMar>
            <w:vAlign w:val="center"/>
          </w:tcPr>
          <w:p w14:paraId="196B3705">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80" w:type="dxa"/>
            <w:noWrap w:val="0"/>
            <w:tcMar>
              <w:top w:w="0" w:type="dxa"/>
              <w:left w:w="0" w:type="dxa"/>
              <w:bottom w:w="0" w:type="dxa"/>
              <w:right w:w="0" w:type="dxa"/>
            </w:tcMar>
            <w:vAlign w:val="center"/>
          </w:tcPr>
          <w:p w14:paraId="46695CE3">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08" w:type="dxa"/>
            <w:noWrap w:val="0"/>
            <w:tcMar>
              <w:top w:w="0" w:type="dxa"/>
              <w:left w:w="0" w:type="dxa"/>
              <w:bottom w:w="0" w:type="dxa"/>
              <w:right w:w="0" w:type="dxa"/>
            </w:tcMar>
            <w:vAlign w:val="center"/>
          </w:tcPr>
          <w:p w14:paraId="1816A7E0">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128" w:type="dxa"/>
            <w:noWrap w:val="0"/>
            <w:tcMar>
              <w:top w:w="0" w:type="dxa"/>
              <w:left w:w="0" w:type="dxa"/>
              <w:bottom w:w="0" w:type="dxa"/>
              <w:right w:w="0" w:type="dxa"/>
            </w:tcMar>
            <w:vAlign w:val="center"/>
          </w:tcPr>
          <w:p w14:paraId="02A61694">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5D326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48" w:type="dxa"/>
            <w:noWrap w:val="0"/>
            <w:tcMar>
              <w:top w:w="0" w:type="dxa"/>
              <w:left w:w="0" w:type="dxa"/>
              <w:bottom w:w="0" w:type="dxa"/>
              <w:right w:w="0" w:type="dxa"/>
            </w:tcMar>
            <w:vAlign w:val="center"/>
          </w:tcPr>
          <w:p w14:paraId="2709D403">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374" w:type="dxa"/>
            <w:noWrap w:val="0"/>
            <w:tcMar>
              <w:top w:w="0" w:type="dxa"/>
              <w:left w:w="0" w:type="dxa"/>
              <w:bottom w:w="0" w:type="dxa"/>
              <w:right w:w="0" w:type="dxa"/>
            </w:tcMar>
            <w:vAlign w:val="center"/>
          </w:tcPr>
          <w:p w14:paraId="07361B1F">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014" w:type="dxa"/>
            <w:noWrap w:val="0"/>
            <w:tcMar>
              <w:top w:w="0" w:type="dxa"/>
              <w:left w:w="0" w:type="dxa"/>
              <w:bottom w:w="0" w:type="dxa"/>
              <w:right w:w="0" w:type="dxa"/>
            </w:tcMar>
            <w:vAlign w:val="center"/>
          </w:tcPr>
          <w:p w14:paraId="30787A30">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80" w:type="dxa"/>
            <w:noWrap w:val="0"/>
            <w:tcMar>
              <w:top w:w="0" w:type="dxa"/>
              <w:left w:w="0" w:type="dxa"/>
              <w:bottom w:w="0" w:type="dxa"/>
              <w:right w:w="0" w:type="dxa"/>
            </w:tcMar>
            <w:vAlign w:val="center"/>
          </w:tcPr>
          <w:p w14:paraId="53F837EC">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08" w:type="dxa"/>
            <w:noWrap w:val="0"/>
            <w:tcMar>
              <w:top w:w="0" w:type="dxa"/>
              <w:left w:w="0" w:type="dxa"/>
              <w:bottom w:w="0" w:type="dxa"/>
              <w:right w:w="0" w:type="dxa"/>
            </w:tcMar>
            <w:vAlign w:val="center"/>
          </w:tcPr>
          <w:p w14:paraId="3B6198A5">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128" w:type="dxa"/>
            <w:noWrap w:val="0"/>
            <w:tcMar>
              <w:top w:w="0" w:type="dxa"/>
              <w:left w:w="0" w:type="dxa"/>
              <w:bottom w:w="0" w:type="dxa"/>
              <w:right w:w="0" w:type="dxa"/>
            </w:tcMar>
            <w:vAlign w:val="center"/>
          </w:tcPr>
          <w:p w14:paraId="1D71C1EA">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1AA793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548" w:type="dxa"/>
            <w:noWrap w:val="0"/>
            <w:tcMar>
              <w:top w:w="0" w:type="dxa"/>
              <w:left w:w="0" w:type="dxa"/>
              <w:bottom w:w="0" w:type="dxa"/>
              <w:right w:w="0" w:type="dxa"/>
            </w:tcMar>
            <w:vAlign w:val="center"/>
          </w:tcPr>
          <w:p w14:paraId="34330980">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374" w:type="dxa"/>
            <w:noWrap w:val="0"/>
            <w:tcMar>
              <w:top w:w="0" w:type="dxa"/>
              <w:left w:w="0" w:type="dxa"/>
              <w:bottom w:w="0" w:type="dxa"/>
              <w:right w:w="0" w:type="dxa"/>
            </w:tcMar>
            <w:vAlign w:val="center"/>
          </w:tcPr>
          <w:p w14:paraId="7142E037">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014" w:type="dxa"/>
            <w:noWrap w:val="0"/>
            <w:tcMar>
              <w:top w:w="0" w:type="dxa"/>
              <w:left w:w="0" w:type="dxa"/>
              <w:bottom w:w="0" w:type="dxa"/>
              <w:right w:w="0" w:type="dxa"/>
            </w:tcMar>
            <w:vAlign w:val="center"/>
          </w:tcPr>
          <w:p w14:paraId="6FB5333A">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80" w:type="dxa"/>
            <w:noWrap w:val="0"/>
            <w:tcMar>
              <w:top w:w="0" w:type="dxa"/>
              <w:left w:w="0" w:type="dxa"/>
              <w:bottom w:w="0" w:type="dxa"/>
              <w:right w:w="0" w:type="dxa"/>
            </w:tcMar>
            <w:vAlign w:val="center"/>
          </w:tcPr>
          <w:p w14:paraId="773FB1E5">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808" w:type="dxa"/>
            <w:noWrap w:val="0"/>
            <w:tcMar>
              <w:top w:w="0" w:type="dxa"/>
              <w:left w:w="0" w:type="dxa"/>
              <w:bottom w:w="0" w:type="dxa"/>
              <w:right w:w="0" w:type="dxa"/>
            </w:tcMar>
            <w:vAlign w:val="center"/>
          </w:tcPr>
          <w:p w14:paraId="59B9CFFE">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128" w:type="dxa"/>
            <w:noWrap w:val="0"/>
            <w:tcMar>
              <w:top w:w="0" w:type="dxa"/>
              <w:left w:w="0" w:type="dxa"/>
              <w:bottom w:w="0" w:type="dxa"/>
              <w:right w:w="0" w:type="dxa"/>
            </w:tcMar>
            <w:vAlign w:val="center"/>
          </w:tcPr>
          <w:p w14:paraId="0C6A29CE">
            <w:pPr>
              <w:pStyle w:val="279"/>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bl>
    <w:p w14:paraId="779838C7">
      <w:pPr>
        <w:pStyle w:val="277"/>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注：</w:t>
      </w:r>
    </w:p>
    <w:p w14:paraId="39F1CD01">
      <w:pPr>
        <w:pStyle w:val="277"/>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1</w:t>
      </w:r>
      <w:r>
        <w:rPr>
          <w:rStyle w:val="21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投标人应根据招标文件技术</w:t>
      </w:r>
      <w:r>
        <w:rPr>
          <w:rStyle w:val="21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要求</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中的要求对照投标人所提供的服务承诺进行逐项评议。</w:t>
      </w:r>
    </w:p>
    <w:p w14:paraId="444AE97D">
      <w:pPr>
        <w:pStyle w:val="277"/>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2</w:t>
      </w:r>
      <w:r>
        <w:rPr>
          <w:rStyle w:val="21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若无偏离，在“有无偏离”栏中填写“无”；若有偏离在“有无偏离”栏中填写“有” 并在“偏离内容及原因”栏中作出说明；若投标人对某一事项是否存在或是否属于偏离不能确定，亦必须清楚标明该事项并在“有无偏离”栏中填写“不能确定”。</w:t>
      </w:r>
    </w:p>
    <w:p w14:paraId="6DD80B5E">
      <w:pPr>
        <w:pStyle w:val="277"/>
        <w:keepNext w:val="0"/>
        <w:keepLines w:val="0"/>
        <w:pageBreakBefore w:val="0"/>
        <w:widowControl/>
        <w:shd w:val="clear" w:color="auto"/>
        <w:spacing w:line="520" w:lineRule="exact"/>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3</w:t>
      </w:r>
      <w:r>
        <w:rPr>
          <w:rStyle w:val="216"/>
          <w:rFonts w:hint="eastAsia" w:ascii="宋体" w:hAnsi="宋体" w:eastAsia="宋体" w:cs="宋体"/>
          <w:caps w:val="0"/>
          <w:smallCaps w:val="0"/>
          <w:color w:val="000000" w:themeColor="text1"/>
          <w:spacing w:val="0"/>
          <w:sz w:val="24"/>
          <w:szCs w:val="24"/>
          <w:highlight w:val="none"/>
          <w:shd w:val="clear" w:color="auto" w:fill="auto"/>
          <w:lang w:val="en-US" w:eastAsia="zh-CN"/>
          <w14:textFill>
            <w14:solidFill>
              <w14:schemeClr w14:val="tx1"/>
            </w14:solidFill>
          </w14:textFill>
        </w:rPr>
        <w:t>.</w:t>
      </w:r>
      <w:r>
        <w:rPr>
          <w:rStyle w:val="216"/>
          <w:rFonts w:hint="eastAsia" w:ascii="宋体" w:hAnsi="宋体" w:eastAsia="宋体" w:cs="宋体"/>
          <w:caps w:val="0"/>
          <w:smallCaps w:val="0"/>
          <w:color w:val="000000" w:themeColor="text1"/>
          <w:spacing w:val="0"/>
          <w:sz w:val="24"/>
          <w:szCs w:val="24"/>
          <w:highlight w:val="none"/>
          <w:shd w:val="clear" w:color="auto" w:fill="auto"/>
          <w14:textFill>
            <w14:solidFill>
              <w14:schemeClr w14:val="tx1"/>
            </w14:solidFill>
          </w14:textFill>
        </w:rPr>
        <w:t>表格不够可另接。</w:t>
      </w:r>
    </w:p>
    <w:p w14:paraId="5C811EF9">
      <w:pPr>
        <w:pStyle w:val="245"/>
        <w:keepNext w:val="0"/>
        <w:keepLines w:val="0"/>
        <w:pageBreakBefore w:val="0"/>
        <w:widowControl/>
        <w:shd w:val="clear" w:color="auto"/>
        <w:spacing w:line="520" w:lineRule="exact"/>
        <w:jc w:val="both"/>
        <w:outlineLvl w:val="1"/>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pPr>
      <w:bookmarkStart w:id="442" w:name="_Toc18326"/>
      <w:bookmarkStart w:id="443" w:name="_Toc27654"/>
      <w:bookmarkStart w:id="444" w:name="_Toc22162"/>
      <w:r>
        <w:rPr>
          <w:rStyle w:val="216"/>
          <w:rFonts w:hint="eastAsia" w:ascii="宋体" w:hAnsi="宋体" w:eastAsia="宋体" w:cs="宋体"/>
          <w:b/>
          <w:caps w:val="0"/>
          <w:smallCaps w:val="0"/>
          <w:color w:val="000000" w:themeColor="text1"/>
          <w:spacing w:val="0"/>
          <w:sz w:val="32"/>
          <w:highlight w:val="none"/>
          <w:shd w:val="clear" w:color="auto" w:fill="auto"/>
          <w:lang w:val="en-US" w:eastAsia="zh-CN"/>
          <w14:textFill>
            <w14:solidFill>
              <w14:schemeClr w14:val="tx1"/>
            </w14:solidFill>
          </w14:textFill>
        </w:rPr>
        <w:t>十一、商务条款响应及偏离表</w:t>
      </w:r>
      <w:bookmarkEnd w:id="442"/>
      <w:bookmarkEnd w:id="443"/>
      <w:bookmarkEnd w:id="444"/>
    </w:p>
    <w:p w14:paraId="20631A99">
      <w:pPr>
        <w:pStyle w:val="245"/>
        <w:keepNext w:val="0"/>
        <w:keepLines w:val="0"/>
        <w:pageBreakBefore w:val="0"/>
        <w:widowControl/>
        <w:shd w:val="clear" w:color="auto"/>
        <w:spacing w:before="567" w:after="567" w:line="520" w:lineRule="exact"/>
        <w:jc w:val="cente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pPr>
      <w:r>
        <w:rPr>
          <w:rStyle w:val="216"/>
          <w:rFonts w:hint="eastAsia" w:ascii="宋体" w:hAnsi="宋体" w:eastAsia="宋体" w:cs="宋体"/>
          <w:b/>
          <w:bCs/>
          <w:caps w:val="0"/>
          <w:smallCaps w:val="0"/>
          <w:color w:val="000000" w:themeColor="text1"/>
          <w:spacing w:val="0"/>
          <w:sz w:val="36"/>
          <w:szCs w:val="36"/>
          <w:highlight w:val="none"/>
          <w:shd w:val="clear" w:color="auto" w:fill="auto"/>
          <w:lang w:val="en-US" w:eastAsia="zh-CN"/>
          <w14:textFill>
            <w14:solidFill>
              <w14:schemeClr w14:val="tx1"/>
            </w14:solidFill>
          </w14:textFill>
        </w:rPr>
        <w:t>﻿商务条款响应及偏离表</w:t>
      </w:r>
    </w:p>
    <w:tbl>
      <w:tblPr>
        <w:tblStyle w:val="39"/>
        <w:tblW w:w="975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777"/>
        <w:gridCol w:w="2777"/>
        <w:gridCol w:w="1415"/>
        <w:gridCol w:w="2785"/>
      </w:tblGrid>
      <w:tr w14:paraId="62468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4982CDF2">
            <w:pPr>
              <w:pStyle w:val="280"/>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项目</w:t>
            </w:r>
          </w:p>
        </w:tc>
        <w:tc>
          <w:tcPr>
            <w:tcW w:w="2777" w:type="dxa"/>
            <w:noWrap w:val="0"/>
            <w:tcMar>
              <w:top w:w="0" w:type="dxa"/>
              <w:left w:w="0" w:type="dxa"/>
              <w:bottom w:w="0" w:type="dxa"/>
              <w:right w:w="0" w:type="dxa"/>
            </w:tcMar>
            <w:vAlign w:val="center"/>
          </w:tcPr>
          <w:p w14:paraId="3455193D">
            <w:pPr>
              <w:pStyle w:val="280"/>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招标文件要求</w:t>
            </w:r>
          </w:p>
        </w:tc>
        <w:tc>
          <w:tcPr>
            <w:tcW w:w="1415" w:type="dxa"/>
            <w:noWrap w:val="0"/>
            <w:tcMar>
              <w:top w:w="0" w:type="dxa"/>
              <w:left w:w="0" w:type="dxa"/>
              <w:bottom w:w="0" w:type="dxa"/>
              <w:right w:w="0" w:type="dxa"/>
            </w:tcMar>
            <w:vAlign w:val="center"/>
          </w:tcPr>
          <w:p w14:paraId="078E2E35">
            <w:pPr>
              <w:pStyle w:val="280"/>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是否响应</w:t>
            </w:r>
          </w:p>
        </w:tc>
        <w:tc>
          <w:tcPr>
            <w:tcW w:w="2785" w:type="dxa"/>
            <w:noWrap w:val="0"/>
            <w:tcMar>
              <w:top w:w="0" w:type="dxa"/>
              <w:left w:w="0" w:type="dxa"/>
              <w:bottom w:w="0" w:type="dxa"/>
              <w:right w:w="0" w:type="dxa"/>
            </w:tcMar>
            <w:vAlign w:val="center"/>
          </w:tcPr>
          <w:p w14:paraId="43682B2E">
            <w:pPr>
              <w:pStyle w:val="280"/>
              <w:shd w:val="clear" w:color="auto"/>
              <w:jc w:val="cente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pPr>
            <w:r>
              <w:rPr>
                <w:rStyle w:val="216"/>
                <w:rFonts w:hint="eastAsia" w:ascii="宋体" w:hAnsi="宋体" w:eastAsia="宋体" w:cs="宋体"/>
                <w:b/>
                <w:bCs/>
                <w:i w:val="0"/>
                <w:iCs w:val="0"/>
                <w:caps w:val="0"/>
                <w:smallCaps w:val="0"/>
                <w:color w:val="000000" w:themeColor="text1"/>
                <w:spacing w:val="0"/>
                <w:sz w:val="24"/>
                <w:szCs w:val="24"/>
                <w:highlight w:val="none"/>
                <w:shd w:val="clear" w:color="auto" w:fill="auto"/>
                <w14:textFill>
                  <w14:solidFill>
                    <w14:schemeClr w14:val="tx1"/>
                  </w14:solidFill>
                </w14:textFill>
              </w:rPr>
              <w:t>投标人的承诺或说明</w:t>
            </w:r>
          </w:p>
        </w:tc>
      </w:tr>
      <w:tr w14:paraId="04643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3A4F2C31">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77" w:type="dxa"/>
            <w:noWrap w:val="0"/>
            <w:tcMar>
              <w:top w:w="0" w:type="dxa"/>
              <w:left w:w="0" w:type="dxa"/>
              <w:bottom w:w="0" w:type="dxa"/>
              <w:right w:w="0" w:type="dxa"/>
            </w:tcMar>
            <w:vAlign w:val="center"/>
          </w:tcPr>
          <w:p w14:paraId="0F588081">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415" w:type="dxa"/>
            <w:noWrap w:val="0"/>
            <w:tcMar>
              <w:top w:w="0" w:type="dxa"/>
              <w:left w:w="0" w:type="dxa"/>
              <w:bottom w:w="0" w:type="dxa"/>
              <w:right w:w="0" w:type="dxa"/>
            </w:tcMar>
            <w:vAlign w:val="center"/>
          </w:tcPr>
          <w:p w14:paraId="4EAE4256">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85" w:type="dxa"/>
            <w:noWrap w:val="0"/>
            <w:tcMar>
              <w:top w:w="0" w:type="dxa"/>
              <w:left w:w="0" w:type="dxa"/>
              <w:bottom w:w="0" w:type="dxa"/>
              <w:right w:w="0" w:type="dxa"/>
            </w:tcMar>
            <w:vAlign w:val="center"/>
          </w:tcPr>
          <w:p w14:paraId="56D3A08A">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411FA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5F6C841B">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77" w:type="dxa"/>
            <w:noWrap w:val="0"/>
            <w:tcMar>
              <w:top w:w="0" w:type="dxa"/>
              <w:left w:w="0" w:type="dxa"/>
              <w:bottom w:w="0" w:type="dxa"/>
              <w:right w:w="0" w:type="dxa"/>
            </w:tcMar>
            <w:vAlign w:val="center"/>
          </w:tcPr>
          <w:p w14:paraId="73436B6E">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415" w:type="dxa"/>
            <w:noWrap w:val="0"/>
            <w:tcMar>
              <w:top w:w="0" w:type="dxa"/>
              <w:left w:w="0" w:type="dxa"/>
              <w:bottom w:w="0" w:type="dxa"/>
              <w:right w:w="0" w:type="dxa"/>
            </w:tcMar>
            <w:vAlign w:val="center"/>
          </w:tcPr>
          <w:p w14:paraId="0A84BF25">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85" w:type="dxa"/>
            <w:noWrap w:val="0"/>
            <w:tcMar>
              <w:top w:w="0" w:type="dxa"/>
              <w:left w:w="0" w:type="dxa"/>
              <w:bottom w:w="0" w:type="dxa"/>
              <w:right w:w="0" w:type="dxa"/>
            </w:tcMar>
            <w:vAlign w:val="center"/>
          </w:tcPr>
          <w:p w14:paraId="67335571">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5393D8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10744982">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77" w:type="dxa"/>
            <w:noWrap w:val="0"/>
            <w:tcMar>
              <w:top w:w="0" w:type="dxa"/>
              <w:left w:w="0" w:type="dxa"/>
              <w:bottom w:w="0" w:type="dxa"/>
              <w:right w:w="0" w:type="dxa"/>
            </w:tcMar>
            <w:vAlign w:val="center"/>
          </w:tcPr>
          <w:p w14:paraId="017E15E3">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415" w:type="dxa"/>
            <w:noWrap w:val="0"/>
            <w:tcMar>
              <w:top w:w="0" w:type="dxa"/>
              <w:left w:w="0" w:type="dxa"/>
              <w:bottom w:w="0" w:type="dxa"/>
              <w:right w:w="0" w:type="dxa"/>
            </w:tcMar>
            <w:vAlign w:val="center"/>
          </w:tcPr>
          <w:p w14:paraId="6AA57EAB">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85" w:type="dxa"/>
            <w:noWrap w:val="0"/>
            <w:tcMar>
              <w:top w:w="0" w:type="dxa"/>
              <w:left w:w="0" w:type="dxa"/>
              <w:bottom w:w="0" w:type="dxa"/>
              <w:right w:w="0" w:type="dxa"/>
            </w:tcMar>
            <w:vAlign w:val="center"/>
          </w:tcPr>
          <w:p w14:paraId="2ACF856D">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4C3D18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113CC028">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77" w:type="dxa"/>
            <w:noWrap w:val="0"/>
            <w:tcMar>
              <w:top w:w="0" w:type="dxa"/>
              <w:left w:w="0" w:type="dxa"/>
              <w:bottom w:w="0" w:type="dxa"/>
              <w:right w:w="0" w:type="dxa"/>
            </w:tcMar>
            <w:vAlign w:val="center"/>
          </w:tcPr>
          <w:p w14:paraId="15B49F57">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415" w:type="dxa"/>
            <w:noWrap w:val="0"/>
            <w:tcMar>
              <w:top w:w="0" w:type="dxa"/>
              <w:left w:w="0" w:type="dxa"/>
              <w:bottom w:w="0" w:type="dxa"/>
              <w:right w:w="0" w:type="dxa"/>
            </w:tcMar>
            <w:vAlign w:val="center"/>
          </w:tcPr>
          <w:p w14:paraId="6B557D28">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85" w:type="dxa"/>
            <w:noWrap w:val="0"/>
            <w:tcMar>
              <w:top w:w="0" w:type="dxa"/>
              <w:left w:w="0" w:type="dxa"/>
              <w:bottom w:w="0" w:type="dxa"/>
              <w:right w:w="0" w:type="dxa"/>
            </w:tcMar>
            <w:vAlign w:val="center"/>
          </w:tcPr>
          <w:p w14:paraId="54BBC131">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0F5486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5BE618C9">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77" w:type="dxa"/>
            <w:noWrap w:val="0"/>
            <w:tcMar>
              <w:top w:w="0" w:type="dxa"/>
              <w:left w:w="0" w:type="dxa"/>
              <w:bottom w:w="0" w:type="dxa"/>
              <w:right w:w="0" w:type="dxa"/>
            </w:tcMar>
            <w:vAlign w:val="center"/>
          </w:tcPr>
          <w:p w14:paraId="6F115B04">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415" w:type="dxa"/>
            <w:noWrap w:val="0"/>
            <w:tcMar>
              <w:top w:w="0" w:type="dxa"/>
              <w:left w:w="0" w:type="dxa"/>
              <w:bottom w:w="0" w:type="dxa"/>
              <w:right w:w="0" w:type="dxa"/>
            </w:tcMar>
            <w:vAlign w:val="center"/>
          </w:tcPr>
          <w:p w14:paraId="0C991A69">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85" w:type="dxa"/>
            <w:noWrap w:val="0"/>
            <w:tcMar>
              <w:top w:w="0" w:type="dxa"/>
              <w:left w:w="0" w:type="dxa"/>
              <w:bottom w:w="0" w:type="dxa"/>
              <w:right w:w="0" w:type="dxa"/>
            </w:tcMar>
            <w:vAlign w:val="center"/>
          </w:tcPr>
          <w:p w14:paraId="5AE74C64">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3CE0A1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6682C7AC">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77" w:type="dxa"/>
            <w:noWrap w:val="0"/>
            <w:tcMar>
              <w:top w:w="0" w:type="dxa"/>
              <w:left w:w="0" w:type="dxa"/>
              <w:bottom w:w="0" w:type="dxa"/>
              <w:right w:w="0" w:type="dxa"/>
            </w:tcMar>
            <w:vAlign w:val="center"/>
          </w:tcPr>
          <w:p w14:paraId="251EF247">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415" w:type="dxa"/>
            <w:noWrap w:val="0"/>
            <w:tcMar>
              <w:top w:w="0" w:type="dxa"/>
              <w:left w:w="0" w:type="dxa"/>
              <w:bottom w:w="0" w:type="dxa"/>
              <w:right w:w="0" w:type="dxa"/>
            </w:tcMar>
            <w:vAlign w:val="center"/>
          </w:tcPr>
          <w:p w14:paraId="31963B34">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85" w:type="dxa"/>
            <w:noWrap w:val="0"/>
            <w:tcMar>
              <w:top w:w="0" w:type="dxa"/>
              <w:left w:w="0" w:type="dxa"/>
              <w:bottom w:w="0" w:type="dxa"/>
              <w:right w:w="0" w:type="dxa"/>
            </w:tcMar>
            <w:vAlign w:val="center"/>
          </w:tcPr>
          <w:p w14:paraId="4FD79CE1">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3024BB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0AFD67CA">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77" w:type="dxa"/>
            <w:noWrap w:val="0"/>
            <w:tcMar>
              <w:top w:w="0" w:type="dxa"/>
              <w:left w:w="0" w:type="dxa"/>
              <w:bottom w:w="0" w:type="dxa"/>
              <w:right w:w="0" w:type="dxa"/>
            </w:tcMar>
            <w:vAlign w:val="center"/>
          </w:tcPr>
          <w:p w14:paraId="03F8B68E">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415" w:type="dxa"/>
            <w:noWrap w:val="0"/>
            <w:tcMar>
              <w:top w:w="0" w:type="dxa"/>
              <w:left w:w="0" w:type="dxa"/>
              <w:bottom w:w="0" w:type="dxa"/>
              <w:right w:w="0" w:type="dxa"/>
            </w:tcMar>
            <w:vAlign w:val="center"/>
          </w:tcPr>
          <w:p w14:paraId="65DF406A">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85" w:type="dxa"/>
            <w:noWrap w:val="0"/>
            <w:tcMar>
              <w:top w:w="0" w:type="dxa"/>
              <w:left w:w="0" w:type="dxa"/>
              <w:bottom w:w="0" w:type="dxa"/>
              <w:right w:w="0" w:type="dxa"/>
            </w:tcMar>
            <w:vAlign w:val="center"/>
          </w:tcPr>
          <w:p w14:paraId="1F0CE6C1">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r w14:paraId="1391EB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67" w:hRule="atLeast"/>
        </w:trPr>
        <w:tc>
          <w:tcPr>
            <w:tcW w:w="2777" w:type="dxa"/>
            <w:noWrap w:val="0"/>
            <w:tcMar>
              <w:top w:w="0" w:type="dxa"/>
              <w:left w:w="0" w:type="dxa"/>
              <w:bottom w:w="0" w:type="dxa"/>
              <w:right w:w="0" w:type="dxa"/>
            </w:tcMar>
            <w:vAlign w:val="center"/>
          </w:tcPr>
          <w:p w14:paraId="6FAB0DBC">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77" w:type="dxa"/>
            <w:noWrap w:val="0"/>
            <w:tcMar>
              <w:top w:w="0" w:type="dxa"/>
              <w:left w:w="0" w:type="dxa"/>
              <w:bottom w:w="0" w:type="dxa"/>
              <w:right w:w="0" w:type="dxa"/>
            </w:tcMar>
            <w:vAlign w:val="center"/>
          </w:tcPr>
          <w:p w14:paraId="0DBE40A7">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1415" w:type="dxa"/>
            <w:noWrap w:val="0"/>
            <w:tcMar>
              <w:top w:w="0" w:type="dxa"/>
              <w:left w:w="0" w:type="dxa"/>
              <w:bottom w:w="0" w:type="dxa"/>
              <w:right w:w="0" w:type="dxa"/>
            </w:tcMar>
            <w:vAlign w:val="center"/>
          </w:tcPr>
          <w:p w14:paraId="694C9D3F">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c>
          <w:tcPr>
            <w:tcW w:w="2785" w:type="dxa"/>
            <w:noWrap w:val="0"/>
            <w:tcMar>
              <w:top w:w="0" w:type="dxa"/>
              <w:left w:w="0" w:type="dxa"/>
              <w:bottom w:w="0" w:type="dxa"/>
              <w:right w:w="0" w:type="dxa"/>
            </w:tcMar>
            <w:vAlign w:val="center"/>
          </w:tcPr>
          <w:p w14:paraId="374BB90B">
            <w:pPr>
              <w:pStyle w:val="280"/>
              <w:shd w:val="clear" w:color="auto"/>
              <w:jc w:val="center"/>
              <w:rPr>
                <w:rStyle w:val="216"/>
                <w:rFonts w:hint="eastAsia" w:ascii="宋体" w:hAnsi="宋体" w:eastAsia="宋体" w:cs="宋体"/>
                <w:b w:val="0"/>
                <w:bCs w:val="0"/>
                <w:i w:val="0"/>
                <w:iCs w:val="0"/>
                <w:caps w:val="0"/>
                <w:smallCaps w:val="0"/>
                <w:color w:val="000000" w:themeColor="text1"/>
                <w:spacing w:val="0"/>
                <w:sz w:val="24"/>
                <w:szCs w:val="24"/>
                <w:highlight w:val="none"/>
                <w:shd w:val="clear" w:color="auto" w:fill="auto"/>
                <w14:textFill>
                  <w14:solidFill>
                    <w14:schemeClr w14:val="tx1"/>
                  </w14:solidFill>
                </w14:textFill>
              </w:rPr>
            </w:pPr>
          </w:p>
        </w:tc>
      </w:tr>
    </w:tbl>
    <w:p w14:paraId="0C6B698D">
      <w:pPr>
        <w:pStyle w:val="281"/>
        <w:shd w:val="clear" w:color="auto"/>
        <w:outlineLvl w:val="1"/>
        <w:rPr>
          <w:rStyle w:val="216"/>
          <w:rFonts w:hint="eastAsia" w:ascii="宋体" w:hAnsi="宋体" w:eastAsia="宋体" w:cs="宋体"/>
          <w:caps w:val="0"/>
          <w:smallCaps w:val="0"/>
          <w:color w:val="000000" w:themeColor="text1"/>
          <w:spacing w:val="0"/>
          <w:highlight w:val="none"/>
          <w:shd w:val="clear" w:color="auto" w:fill="auto"/>
          <w14:textFill>
            <w14:solidFill>
              <w14:schemeClr w14:val="tx1"/>
            </w14:solidFill>
          </w14:textFill>
        </w:rPr>
        <w:sectPr>
          <w:pgSz w:w="11906" w:h="16838"/>
          <w:pgMar w:top="1440" w:right="1080" w:bottom="1440" w:left="1080" w:header="851" w:footer="992" w:gutter="0"/>
          <w:cols w:space="1701" w:num="1"/>
          <w:titlePg/>
          <w:docGrid w:linePitch="360" w:charSpace="0"/>
        </w:sectPr>
      </w:pPr>
    </w:p>
    <w:p w14:paraId="39E8ADB5">
      <w:pPr>
        <w:pStyle w:val="281"/>
        <w:shd w:val="clear" w:color="auto"/>
        <w:outlineLvl w:val="1"/>
        <w:rPr>
          <w:rStyle w:val="216"/>
          <w:rFonts w:hint="eastAsia" w:ascii="宋体" w:hAnsi="宋体" w:eastAsia="宋体" w:cs="宋体"/>
          <w:color w:val="000000" w:themeColor="text1"/>
          <w:spacing w:val="0"/>
          <w:highlight w:val="none"/>
          <w14:textFill>
            <w14:solidFill>
              <w14:schemeClr w14:val="tx1"/>
            </w14:solidFill>
          </w14:textFill>
        </w:rPr>
      </w:pPr>
      <w:bookmarkStart w:id="445" w:name="_Toc25839"/>
      <w:bookmarkStart w:id="446" w:name="_Toc26501"/>
      <w:bookmarkStart w:id="447" w:name="_Toc6741"/>
      <w:bookmarkStart w:id="448" w:name="_Toc9898"/>
      <w:bookmarkStart w:id="449" w:name="_Toc4791"/>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十</w:t>
      </w:r>
      <w:r>
        <w:rPr>
          <w:rStyle w:val="216"/>
          <w:rFonts w:hint="eastAsia" w:ascii="宋体" w:hAnsi="宋体" w:eastAsia="宋体" w:cs="宋体"/>
          <w:b/>
          <w:caps w:val="0"/>
          <w:smallCaps w:val="0"/>
          <w:color w:val="000000" w:themeColor="text1"/>
          <w:spacing w:val="0"/>
          <w:sz w:val="32"/>
          <w:highlight w:val="none"/>
          <w:shd w:val="clear" w:color="auto" w:fill="auto"/>
          <w:lang w:val="en-US"/>
          <w14:textFill>
            <w14:solidFill>
              <w14:schemeClr w14:val="tx1"/>
            </w14:solidFill>
          </w14:textFill>
        </w:rPr>
        <w:t>二</w:t>
      </w:r>
      <w:r>
        <w:rPr>
          <w:rStyle w:val="216"/>
          <w:rFonts w:hint="eastAsia" w:ascii="宋体" w:hAnsi="宋体" w:eastAsia="宋体" w:cs="宋体"/>
          <w:b/>
          <w:caps w:val="0"/>
          <w:smallCaps w:val="0"/>
          <w:color w:val="000000" w:themeColor="text1"/>
          <w:spacing w:val="0"/>
          <w:sz w:val="32"/>
          <w:highlight w:val="none"/>
          <w:shd w:val="clear" w:color="auto" w:fill="auto"/>
          <w14:textFill>
            <w14:solidFill>
              <w14:schemeClr w14:val="tx1"/>
            </w14:solidFill>
          </w14:textFill>
        </w:rPr>
        <w:t>、其他材料</w:t>
      </w:r>
      <w:bookmarkEnd w:id="2"/>
      <w:bookmarkEnd w:id="445"/>
      <w:bookmarkEnd w:id="446"/>
      <w:bookmarkEnd w:id="447"/>
      <w:bookmarkEnd w:id="448"/>
      <w:bookmarkEnd w:id="449"/>
    </w:p>
    <w:sectPr>
      <w:pgSz w:w="11906" w:h="16838"/>
      <w:pgMar w:top="1440" w:right="1080" w:bottom="1440" w:left="1080" w:header="851" w:footer="992" w:gutter="0"/>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Wingdings">
    <w:panose1 w:val="05000000000000000000"/>
    <w:charset w:val="00"/>
    <w:family w:val="auto"/>
    <w:pitch w:val="default"/>
    <w:sig w:usb0="00000000" w:usb1="00000000" w:usb2="00000000" w:usb3="00000000" w:csb0="80000000" w:csb1="00000000"/>
  </w:font>
  <w:font w:name="Courier New">
    <w:panose1 w:val="02070309020205020404"/>
    <w:charset w:val="00"/>
    <w:family w:val="auto"/>
    <w:pitch w:val="default"/>
    <w:sig w:usb0="E0002EFF" w:usb1="C0007843" w:usb2="00000009" w:usb3="00000000" w:csb0="400001FF" w:csb1="FFFF0000"/>
  </w:font>
  <w:font w:name="Symbol">
    <w:panose1 w:val="05050102010706020507"/>
    <w:charset w:val="00"/>
    <w:family w:val="auto"/>
    <w:pitch w:val="default"/>
    <w:sig w:usb0="00000000" w:usb1="00000000" w:usb2="00000000" w:usb3="00000000" w:csb0="80000000" w:csb1="00000000"/>
  </w:font>
  <w:font w:name="楷体_GB2312">
    <w:altName w:val="楷体"/>
    <w:panose1 w:val="02010609060101010101"/>
    <w:charset w:val="00"/>
    <w:family w:val="auto"/>
    <w:pitch w:val="default"/>
    <w:sig w:usb0="00000000" w:usb1="00000000" w:usb2="00000000" w:usb3="00000000" w:csb0="00000000" w:csb1="00000000"/>
  </w:font>
  <w:font w:name="Arial Unicode MS">
    <w:panose1 w:val="020B0604020202020204"/>
    <w:charset w:val="86"/>
    <w:family w:val="auto"/>
    <w:pitch w:val="default"/>
    <w:sig w:usb0="F7FFAEFF" w:usb1="F9DFFFFF" w:usb2="0000007F" w:usb3="00000000" w:csb0="203F01FF" w:csb1="DFFF0000"/>
  </w:font>
  <w:font w:name="仿宋_GB2312">
    <w:altName w:val="仿宋"/>
    <w:panose1 w:val="02010609060101010101"/>
    <w:charset w:val="00"/>
    <w:family w:val="auto"/>
    <w:pitch w:val="default"/>
    <w:sig w:usb0="00000000" w:usb1="00000000" w:usb2="00000000" w:usb3="00000000" w:csb0="00000000" w:csb1="00000000"/>
  </w:font>
  <w:font w:name="MS PGothic">
    <w:panose1 w:val="020B0600070205080204"/>
    <w:charset w:val="80"/>
    <w:family w:val="auto"/>
    <w:pitch w:val="default"/>
    <w:sig w:usb0="E00002FF" w:usb1="6AC7FDFB" w:usb2="08000012" w:usb3="00000000" w:csb0="4002009F" w:csb1="DFD7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7F60F4">
    <w:pPr>
      <w:pStyle w:val="283"/>
      <w:framePr w:wrap="around" w:vAnchor="text" w:hAnchor="margin" w:xAlign="center" w:y="1"/>
      <w:rPr>
        <w:rStyle w:val="284"/>
      </w:rPr>
    </w:pPr>
    <w:r>
      <w:fldChar w:fldCharType="begin"/>
    </w:r>
    <w:r>
      <w:rPr>
        <w:rStyle w:val="284"/>
      </w:rPr>
      <w:instrText xml:space="preserve">PAGE  </w:instrText>
    </w:r>
    <w:r>
      <w:fldChar w:fldCharType="end"/>
    </w:r>
  </w:p>
  <w:p w14:paraId="45B3B044">
    <w:pPr>
      <w:pStyle w:val="28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6296BA">
    <w:pPr>
      <w:pStyle w:val="283"/>
      <w:ind w:firstLine="360"/>
      <w:jc w:val="left"/>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372A672">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dRpwI8AgAAbwQAAA4AAABkcnMvZTJvRG9jLnhtbK1UzW7UMBC+I/EO&#10;lu802yKqVdRstbRahFRopYI4ex1nY8n2WLa3SXkAeANOXLjzXH0OPudnQYVDD1ysycz4m/m+Gefs&#10;vLeG3akQNbmKHx8tOFNOUq3druIfP2xeLDmLSbhaGHKq4vcq8vPV82dnnS/VCbVkahUYQFwsO1/x&#10;NiVfFkWUrbIiHpFXDsGGghUJn2FX1EF0QLemOFksTouOQu0DSRUjvJdjkE+I4SmA1DRaqkuSe6tc&#10;GlGDMiKBUmy1j3w1dNs0SqbrpokqMVNxME3DiSKwt/ksVmei3AXhWy2nFsRTWnjEyQrtUPQAdSmS&#10;YPug/4KyWgaK1KQjSbYYiQyKgMXx4pE2t63wauACqaM/iB7/H6x8f3cTmK6xCZw5YTHwh29fH77/&#10;fPjxhR1neTofS2TdeuSl/jX1OXXyx+zcdu+oxj2xTzRo0DfBZi3AjiEbUt8fpFZ9YjJDLE+WywVC&#10;ErH5A6iFKOfrPsT0RpFl2ah4wCwHeHF3FdOYOqfkao422hj4RWkc6yp++vLVYrhwiADcONTIlHLr&#10;I7nUb/uJz5bqezAKNO5J9HKjUfxKxHQjAhYDDePppGscjSEUocnirKXw+V/+nI95IcpZh0WruMO7&#10;4sy8dZgjANNshNnYzobb2wvC5mI26GUwcSEkM5tNIPsJ72mdayAknESliqfZvEjjsuM9SrVeD0l7&#10;H/SuHS9gC71IV+7Wy1wmqxf9GpPc6EHjLNWoyqQb9nCY0vRm8qL/+T1k/f5PrH4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EdRpwI8AgAAbwQAAA4AAAAAAAAAAQAgAAAAHwEAAGRycy9lMm9E&#10;b2MueG1sUEsFBgAAAAAGAAYAWQEAAM0FAAAAAA==&#10;">
              <v:fill on="f" focussize="0,0"/>
              <v:stroke on="f" weight="0.5pt"/>
              <v:imagedata o:title=""/>
              <o:lock v:ext="edit" aspectratio="f"/>
              <v:textbox inset="0mm,0mm,0mm,0mm" style="mso-fit-shape-to-text:t;">
                <w:txbxContent>
                  <w:p w14:paraId="2372A672">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1</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6AF952">
    <w:pPr>
      <w:pStyle w:val="283"/>
      <w:framePr w:wrap="around" w:vAnchor="text" w:hAnchor="margin" w:xAlign="right" w:y="1"/>
      <w:ind w:firstLine="360"/>
      <w:rPr>
        <w:rStyle w:val="284"/>
      </w:rPr>
    </w:pPr>
    <w:r>
      <w:fldChar w:fldCharType="begin"/>
    </w:r>
    <w:r>
      <w:rPr>
        <w:rStyle w:val="284"/>
        <w:color w:val="000000"/>
      </w:rPr>
      <w:instrText xml:space="preserve">PAGE  </w:instrText>
    </w:r>
    <w:r>
      <w:fldChar w:fldCharType="end"/>
    </w:r>
  </w:p>
  <w:p w14:paraId="270C21FC">
    <w:pPr>
      <w:pStyle w:val="283"/>
      <w:ind w:right="360" w:firstLine="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0E2B2">
    <w:pPr>
      <w:pStyle w:val="203"/>
      <w:jc w:val="center"/>
    </w:pPr>
  </w:p>
  <w:p w14:paraId="54363E43">
    <w:pPr>
      <w:pStyle w:val="203"/>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6077CB">
    <w:pPr>
      <w:pStyle w:val="203"/>
      <w:tabs>
        <w:tab w:val="center" w:pos="4153"/>
        <w:tab w:val="right" w:pos="8306"/>
      </w:tabs>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ED399C5">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Q/Mys8AgAAbwQAAA4AAABkcnMvZTJvRG9jLnhtbK1UwY7TMBC9I/EP&#10;lu80aRGrKmq6KlsVIRV2pYI4u47TWLI9lu02KR8Af8CJC3e+q9/B2EkKWjjsgYs18YzfzHszk8Vt&#10;pxU5CeclmJJOJzklwnCopDmU9OOHzYs5JT4wUzEFRpT0LDy9XT5/tmhtIWbQgKqEIwhifNHakjYh&#10;2CLLPG+EZn4CVhh01uA0C/jpDlnlWIvoWmWzPL/JWnCVdcCF93i77p10QHRPAYS6llysgR+1MKFH&#10;dUKxgJR8I62ny1RtXQse7uvai0BUSZFpSCcmQXsfz2y5YMXBMdtIPpTAnlLCI06aSYNJr1BrFhg5&#10;OvkXlJbcgYc6TDjorCeSFEEW0/yRNruGWZG4oNTeXkX3/w+Wvz89OCKrks4oMUxjwy/fvl6+/7z8&#10;+EJmUZ7W+gKjdhbjQvcaOhya8d7Hy337Dip8x44BkgZd7XTUAtkRjEapz1epRRcIjxDz2Xyeo4uj&#10;b/zAbBkrxufW+fBGgCbRKKnDXiZ4dtr60IeOITGbgY1UKvVTGdKW9Oblqzw9uHoQXBnMESnF0nty&#10;odt3A889VGdk5KCfE2/5RmLyLfPhgTkcDCwYVyfc41ErwCQwWJQ04D7/6z7GY7/QS0mLg1ZSg3tF&#10;iXprsI8IGEbDjcZ+NMxR3wFO7hRX0vJk4gMX1GjWDvQn3KdVzIEuZjhmKmkYzbvQDzvuIxerVQo6&#10;WicPTf8Ap9CysDU7y2OaKKS3K+zkRiaNo1S9KoNuOIepS8POxEH/8ztF/f5PLH8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KQ/Mys8AgAAbwQAAA4AAAAAAAAAAQAgAAAAHwEAAGRycy9lMm9E&#10;b2MueG1sUEsFBgAAAAAGAAYAWQEAAM0FAAAAAA==&#10;">
              <v:fill on="f" focussize="0,0"/>
              <v:stroke on="f" weight="0.5pt"/>
              <v:imagedata o:title=""/>
              <o:lock v:ext="edit" aspectratio="f"/>
              <v:textbox inset="0mm,0mm,0mm,0mm" style="mso-fit-shape-to-text:t;">
                <w:txbxContent>
                  <w:p w14:paraId="6ED399C5">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24</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B98068">
    <w:pPr>
      <w:pStyle w:val="203"/>
      <w:tabs>
        <w:tab w:val="center" w:pos="4153"/>
        <w:tab w:val="right" w:pos="8306"/>
      </w:tabs>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0B4FDFB">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UavzM9AgAAbwQAAA4AAABkcnMvZTJvRG9jLnhtbK1UwW7UMBC9I/EP&#10;lu8021ZU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zt9OS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AFGr8zPQIAAG8EAAAOAAAAAAAAAAEAIAAAAB8BAABkcnMvZTJv&#10;RG9jLnhtbFBLBQYAAAAABgAGAFkBAADOBQAAAAA=&#10;">
              <v:fill on="f" focussize="0,0"/>
              <v:stroke on="f" weight="0.5pt"/>
              <v:imagedata o:title=""/>
              <o:lock v:ext="edit" aspectratio="f"/>
              <v:textbox inset="0mm,0mm,0mm,0mm" style="mso-fit-shape-to-text:t;">
                <w:txbxContent>
                  <w:p w14:paraId="50B4FDFB">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23</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F9019C">
    <w:pPr>
      <w:pStyle w:val="203"/>
      <w:tabs>
        <w:tab w:val="center" w:pos="4153"/>
        <w:tab w:val="right" w:pos="8306"/>
      </w:tabs>
    </w:pPr>
    <w:r>
      <w:rPr>
        <w:sz w:val="21"/>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9D226E">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39</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LiG3g9AgAAbwQAAA4AAABkcnMvZTJvRG9jLnhtbK1UwY7TMBC9I/EP&#10;lu806bKsqqjpqmxVhFTYlQri7DpOY8n2WLbbpHwA/AEnLtz5rn4HYycpaOGwBy7WxDN+M+/NTOa3&#10;nVbkKJyXYEo6neSUCMOhkmZf0o8f1i9mlPjATMUUGFHSk/D0dvH82by1hbiCBlQlHEEQ44vWlrQJ&#10;wRZZ5nkjNPMTsMKgswanWcBPt88qx1pE1yq7yvObrAVXWQdceI+3q95JB0T3FECoa8nFCvhBCxN6&#10;VCcUC0jJN9J6ukjV1rXg4b6uvQhElRSZhnRiErR38cwWc1bsHbON5EMJ7CklPOKkmTSY9AK1YoGR&#10;g5N/QWnJHXiow4SDznoiSRFkMc0fabNtmBWJC0rt7UV0//9g+fvjgyOyKuk1JYZpbPj529fz95/n&#10;H1/IdZSntb7AqK3FuNC9hg6HZrz38XLXvoMK37FDgKRBVzsdtUB2BKNR6tNFatEFwiPE7Go2y9HF&#10;0Td+YLaMFeNz63x4I0CTaJTUYS8TPDtufOhDx5CYzcBaKpX6qQxpS3rz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Bi4ht4PQIAAG8EAAAOAAAAAAAAAAEAIAAAAB8BAABkcnMvZTJv&#10;RG9jLnhtbFBLBQYAAAAABgAGAFkBAADOBQAAAAA=&#10;">
              <v:fill on="f" focussize="0,0"/>
              <v:stroke on="f" weight="0.5pt"/>
              <v:imagedata o:title=""/>
              <o:lock v:ext="edit" aspectratio="f"/>
              <v:textbox inset="0mm,0mm,0mm,0mm" style="mso-fit-shape-to-text:t;">
                <w:txbxContent>
                  <w:p w14:paraId="429D226E">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39</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951EE6">
    <w:pPr>
      <w:pStyle w:val="203"/>
      <w:tabs>
        <w:tab w:val="center" w:pos="4153"/>
        <w:tab w:val="right" w:pos="8306"/>
      </w:tabs>
    </w:pPr>
    <w:r>
      <w:rPr>
        <w:sz w:val="21"/>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9AE9BF5">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PHl2A9AgAAbwQAAA4AAABkcnMvZTJvRG9jLnhtbK1UwW7UMBC9I/EP&#10;lu8026JWq1Wz1dJqEVKhSAVx9jrOxpLtsWxvk/IB8AecuHDnu/odPDubBRUOPXCxJp7xm3lvZnJ+&#10;MVjD7lSImlzNj49mnCknqdFuW/OPH9Yv5pzFJFwjDDlV83sV+cXy+bPz3i/UCXVkGhUYQFxc9L7m&#10;XUp+UVVRdsqKeEReOThbClYkfIZt1QTRA92a6mQ2O6t6Co0PJFWMuL0anXyPGJ4CSG2rpboiubPK&#10;pRE1KCMSKMVO+8iXpdq2VTLdtG1UiZmag2kqJ5LA3uSzWp6LxTYI32m5L0E8pYRHnKzQDkkPUFci&#10;CbYL+i8oq2WgSG06kmSrkUhRBCyOZ4+0ue2EV4ULpI7+IHr8f7Dy3d37wHRT81POnLBo+MO3rw/f&#10;fz78+MJOszy9jwtE3XrEpeEVDRia6T7my03/lhq8E7tERYOhDTZrAXYM0ZD6/iC1GhKTGWJ+Mp/P&#10;4JLwTR/IVonF9NyHmF4rsiwbNQ/oZYEXd9cxjaFTSM7maK2NKf00jvU1P3t5OisPDh6AG4ccmVIu&#10;fSSXhs2w57mh5h6MAo1zEr1cayS/FjG9FwGDgYKxOukGR2sISWhvcdZR+Pyv+xyPfsHLWY9Bq7nD&#10;XnFm3jj0EYBpMsJkbCbD7ewlYXKPsZJeFhMPQjKT2Qayn7BPq5wDLuEkMtU8TeZlGocd+yjValWC&#10;dj7obTc+wBR6ka7drZc5TRYy+hU6udZF4yzVqMpeN8xh6dJ+Z/Kg//ldon7/J5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DDx5dgPQIAAG8EAAAOAAAAAAAAAAEAIAAAAB8BAABkcnMvZTJv&#10;RG9jLnhtbFBLBQYAAAAABgAGAFkBAADOBQAAAAA=&#10;">
              <v:fill on="f" focussize="0,0"/>
              <v:stroke on="f" weight="0.5pt"/>
              <v:imagedata o:title=""/>
              <o:lock v:ext="edit" aspectratio="f"/>
              <v:textbox inset="0mm,0mm,0mm,0mm" style="mso-fit-shape-to-text:t;">
                <w:txbxContent>
                  <w:p w14:paraId="59AE9BF5">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38</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00B8FC">
    <w:pPr>
      <w:pStyle w:val="283"/>
      <w:ind w:firstLine="360"/>
      <w:jc w:val="cente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5C74142">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CpA0k8AgAAbwQAAA4AAABkcnMvZTJvRG9jLnhtbK1UwW7UMBC9I/EP&#10;lu802yKq1arZamm1CKnQSgVx9jrOxpLtsWxvk/IB8AecuHDnu/odPDubBRUOPXCxJp7xm3lvZnJ2&#10;PljD7lSImlzNj49mnCknqdFuW/OPH9Yv5pzFJFwjDDlV83sV+fny+bOz3i/UCXVkGhUYQFxc9L7m&#10;XUp+UVVRdsqKeEReOThbClYkfIZt1QTRA92a6mQ2O616Co0PJFWMuL0cnXyPGJ4CSG2rpbokubPK&#10;pRE1KCMSKMVO+8iXpdq2VTJdt21UiZmag2kqJ5LA3uSzWp6JxTYI32m5L0E8pYRHnKzQDkkPUJci&#10;CbYL+i8oq2WgSG06kmSrkUhRBCyOZ4+0ue2EV4ULpI7+IHr8f7Dy/d1NYLqp+SlnTlg0/OHb14fv&#10;Px9+fGGnWZ7exwWibj3i0vCaBgzNdB/z5aZ/Rw3eiV2iosHQBpu1ADuGaEh9f5BaDYnJDDE/mc9n&#10;cEn4pg9kq8Rieu5DTG8UWZaNmgf0ssCLu6uYxtApJGdztNbGlH4ax3oQevlqVh4cPAA3DjkypVz6&#10;SC4Nm2HPc0PNPRgFGuckernWSH4lYroRAYOBgrE66RpHawhJaG9x1lH4/K/7HI9+wctZj0GrucNe&#10;cWbeOvQRgGkywmRsJsPt7AVhco+xkl4WEw9CMpPZBrKfsE+rnAMu4SQy1TxN5kUahx37KNVqVYJ2&#10;PuhtNz7AFHqRrtytlzlNFjL6FTq51kXjLNWoyl43zGHp0n5n8qD/+V2ifv8nlr8A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s0lY7tAAAAAFAQAADwAAAAAAAAABACAAAAAiAAAAZHJzL2Rvd25yZXYu&#10;eG1sUEsBAhQAFAAAAAgAh07iQCCpA0k8AgAAbwQAAA4AAAAAAAAAAQAgAAAAHwEAAGRycy9lMm9E&#10;b2MueG1sUEsFBgAAAAAGAAYAWQEAAM0FAAAAAA==&#10;">
              <v:fill on="f" focussize="0,0"/>
              <v:stroke on="f" weight="0.5pt"/>
              <v:imagedata o:title=""/>
              <o:lock v:ext="edit" aspectratio="f"/>
              <v:textbox inset="0mm,0mm,0mm,0mm" style="mso-fit-shape-to-text:t;">
                <w:txbxContent>
                  <w:p w14:paraId="55C74142">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0</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22FB8D">
    <w:pPr>
      <w:pStyle w:val="283"/>
      <w:ind w:firstLine="360"/>
      <w:jc w:val="cente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73A9B0">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66</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GMj1E9AgAAbwQAAA4AAABkcnMvZTJvRG9jLnhtbK1UwY7TMBC9I/EP&#10;lu806SJ2q6jpqmxVhFTYlQri7DpOY8n2WLbbpHwA/AEnLtz5rn4HYycpaOGwBy7WxDN+M+/NTOa3&#10;nVbkKJyXYEo6neSUCMOhkmZf0o8f1i9mlPjATMUUGFHSk/D0dvH82by1hbiCBlQlHEEQ44vWlrQJ&#10;wRZZ5nkjNPMTsMKgswanWcBPt88qx1pE1yq7yvPrrAVXWQdceI+3q95JB0T3FECoa8nFCvhBCxN6&#10;VCcUC0jJN9J6ukjV1rXg4b6uvQhElRSZhnRiErR38cwWc1bsHbON5EMJ7CklPOKkmTSY9AK1YoGR&#10;g5N/QWnJHXiow4SDznoiSRFkMc0fabNtmBWJC0rt7UV0//9g+fvjgyOyKukNJYZpbPj529fz95/n&#10;H1/ITZSntb7AqK3FuNC9hg6HZrz38XLXvoMK37FDgKRBVzsdtUB2BKNR6tNFatEFwiPE7Go2y9HF&#10;0Td+YLaMFeNz63x4I0CTaJTUYS8TPDtufOhDx5CYzcBaKpX6qQxpS3r98lWeHlw8CK4M5oiUYuk9&#10;udDtuoHnDqoTMnLQz4m3fC0x+Yb58MAcDgYWjKsT7vGoFWASGCxKGnCf/3Uf47Ff6KWkxUErqcG9&#10;okS9NdhHBAyj4UZjNxrmoO8AJ3eKK2l5MvGBC2o0awf6E+7TMuZAFzMcM5U0jOZd6Icd95GL5TIF&#10;HayT+6Z/gFNoWdiYreUxTRTS2yV2ci2TxlGqXpVBN5zD1KVhZ+Kg//mdon7/Jxa/AF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LNJWO7QAAAABQEAAA8AAAAAAAAAAQAgAAAAIgAAAGRycy9kb3ducmV2&#10;LnhtbFBLAQIUABQAAAAIAIdO4kCBjI9RPQIAAG8EAAAOAAAAAAAAAAEAIAAAAB8BAABkcnMvZTJv&#10;RG9jLnhtbFBLBQYAAAAABgAGAFkBAADOBQAAAAA=&#10;">
              <v:fill on="f" focussize="0,0"/>
              <v:stroke on="f" weight="0.5pt"/>
              <v:imagedata o:title=""/>
              <o:lock v:ext="edit" aspectratio="f"/>
              <v:textbox inset="0mm,0mm,0mm,0mm" style="mso-fit-shape-to-text:t;">
                <w:txbxContent>
                  <w:p w14:paraId="2B73A9B0">
                    <w:pPr>
                      <w:pStyle w:val="27"/>
                      <w:rPr>
                        <w:rFonts w:ascii="宋体" w:hAnsi="宋体" w:eastAsia="宋体"/>
                        <w:sz w:val="28"/>
                      </w:rPr>
                    </w:pPr>
                    <w:r>
                      <w:rPr>
                        <w:rFonts w:ascii="宋体" w:hAnsi="宋体" w:eastAsia="宋体"/>
                        <w:sz w:val="28"/>
                      </w:rPr>
                      <w:t>—</w:t>
                    </w:r>
                    <w:r>
                      <w:rPr>
                        <w:rFonts w:ascii="宋体" w:hAnsi="宋体" w:eastAsia="宋体"/>
                        <w:sz w:val="24"/>
                      </w:rPr>
                      <w:t>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66</w:t>
                    </w:r>
                    <w:r>
                      <w:rPr>
                        <w:rFonts w:ascii="宋体" w:hAnsi="宋体" w:eastAsia="宋体"/>
                        <w:sz w:val="28"/>
                      </w:rPr>
                      <w:fldChar w:fldCharType="end"/>
                    </w:r>
                    <w:r>
                      <w:rPr>
                        <w:rFonts w:ascii="宋体" w:hAnsi="宋体" w:eastAsia="宋体"/>
                        <w:sz w:val="24"/>
                      </w:rPr>
                      <w:t>　</w:t>
                    </w:r>
                    <w:r>
                      <w:rPr>
                        <w:rFonts w:ascii="宋体" w:hAnsi="宋体" w:eastAsia="宋体"/>
                        <w:sz w:val="28"/>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EEAAAB">
    <w:pPr>
      <w:pStyle w:val="282"/>
      <w:pBdr>
        <w:bottom w:val="single" w:color="000000" w:sz="4" w:space="1"/>
      </w:pBdr>
      <w:jc w:val="left"/>
      <w:rPr>
        <w14:ligatures w14:val="none"/>
      </w:rPr>
    </w:pPr>
    <w:r>
      <w:rPr>
        <w:rFonts w:hint="eastAsia"/>
        <w:sz w:val="24"/>
        <w:szCs w:val="24"/>
      </w:rPr>
      <w:t>苏州政合信咨询管理服务有限公司招标文件</w:t>
    </w:r>
  </w:p>
  <w:p w14:paraId="4587B3D4">
    <w:pPr>
      <w:pStyle w:val="282"/>
      <w:pBdr>
        <w:bottom w:val="none" w:color="000000"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1AF67A">
    <w:pPr>
      <w:pStyle w:val="282"/>
      <w:pBdr>
        <w:bottom w:val="single" w:color="000000" w:sz="4" w:space="1"/>
      </w:pBdr>
      <w:jc w:val="left"/>
      <w:rPr>
        <w:sz w:val="24"/>
        <w:szCs w:val="24"/>
      </w:rPr>
    </w:pPr>
    <w:r>
      <w:rPr>
        <w:rFonts w:hint="eastAsia"/>
        <w:sz w:val="24"/>
        <w:szCs w:val="24"/>
      </w:rPr>
      <w:t>苏州政合信咨询管理服务有限公司招标文件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62EDFD">
    <w:pPr>
      <w:pStyle w:val="282"/>
      <w:pBdr>
        <w:bottom w:val="single" w:color="000000" w:sz="4" w:space="1"/>
      </w:pBdr>
      <w:jc w:val="left"/>
    </w:pPr>
    <w:r>
      <w:rPr>
        <w:rFonts w:hint="eastAsia"/>
        <w:sz w:val="24"/>
        <w:szCs w:val="24"/>
      </w:rPr>
      <w:t>苏州政合信咨询管理服务有限公司招标文件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688334">
    <w:pPr>
      <w:pStyle w:val="282"/>
      <w:pBdr>
        <w:bottom w:val="single" w:color="000000" w:sz="4" w:space="1"/>
      </w:pBdr>
      <w:jc w:val="left"/>
    </w:pPr>
    <w:r>
      <w:rPr>
        <w:rFonts w:hint="eastAsia"/>
        <w:sz w:val="24"/>
        <w:szCs w:val="24"/>
      </w:rPr>
      <w:t>苏州政合信咨询管理服务有限公司招标文件</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BC1EEDC">
    <w:pPr>
      <w:pStyle w:val="282"/>
      <w:pBdr>
        <w:bottom w:val="single" w:color="000000" w:sz="4" w:space="1"/>
      </w:pBdr>
      <w:jc w:val="left"/>
    </w:pPr>
    <w:r>
      <w:rPr>
        <w:rFonts w:hint="eastAsia"/>
        <w:sz w:val="24"/>
        <w:szCs w:val="24"/>
      </w:rPr>
      <w:t>苏州政合信咨询管理服务有限公司招标文件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149D5F9">
    <w:pPr>
      <w:pStyle w:val="282"/>
      <w:pBdr>
        <w:bottom w:val="single" w:color="000000" w:sz="4" w:space="1"/>
      </w:pBdr>
      <w:jc w:val="left"/>
    </w:pPr>
    <w:r>
      <w:rPr>
        <w:rFonts w:hint="eastAsia"/>
        <w:sz w:val="24"/>
        <w:szCs w:val="24"/>
      </w:rPr>
      <w:t>苏州政合信咨询管理服务有限公司招标文件</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06FA52">
    <w:pPr>
      <w:pStyle w:val="282"/>
      <w:pBdr>
        <w:bottom w:val="single" w:color="000000" w:sz="4" w:space="1"/>
      </w:pBdr>
      <w:jc w:val="left"/>
    </w:pPr>
    <w:r>
      <w:rPr>
        <w:rFonts w:hint="eastAsia"/>
        <w:sz w:val="24"/>
        <w:szCs w:val="24"/>
      </w:rPr>
      <w:t>苏州政合信咨询管理服务有限公司招标文件</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9C541F">
    <w:pPr>
      <w:pStyle w:val="282"/>
      <w:pBdr>
        <w:bottom w:val="single" w:color="000000" w:sz="4" w:space="1"/>
      </w:pBdr>
      <w:jc w:val="left"/>
    </w:pPr>
    <w:r>
      <w:rPr>
        <w:rFonts w:hint="eastAsia"/>
        <w:sz w:val="24"/>
        <w:szCs w:val="24"/>
      </w:rPr>
      <w:t>苏州政合信咨询管理服务有限公司招标文件</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0CEE6E6">
    <w:pPr>
      <w:pStyle w:val="282"/>
      <w:pBdr>
        <w:bottom w:val="single" w:color="000000" w:sz="4" w:space="1"/>
      </w:pBdr>
      <w:jc w:val="left"/>
    </w:pPr>
    <w:r>
      <w:rPr>
        <w:rFonts w:hint="eastAsia"/>
        <w:sz w:val="24"/>
        <w:szCs w:val="24"/>
      </w:rPr>
      <w:t>苏州政合信咨询管理服务有限公司招标文件</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9C7D47">
    <w:pPr>
      <w:pStyle w:val="282"/>
      <w:pBdr>
        <w:bottom w:val="single" w:color="000000" w:sz="4" w:space="1"/>
      </w:pBdr>
      <w:jc w:val="left"/>
    </w:pPr>
    <w:r>
      <w:rPr>
        <w:rFonts w:hint="eastAsia"/>
        <w:sz w:val="24"/>
        <w:szCs w:val="24"/>
      </w:rPr>
      <w:t>苏州政合信咨询管理服务有限公司招标文件</w: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5B1CF0">
    <w:pPr>
      <w:pStyle w:val="282"/>
      <w:pBdr>
        <w:bottom w:val="single" w:color="000000" w:sz="4" w:space="1"/>
      </w:pBdr>
      <w:jc w:val="left"/>
    </w:pPr>
    <w:r>
      <w:rPr>
        <w:rFonts w:hint="eastAsia"/>
        <w:sz w:val="24"/>
        <w:szCs w:val="24"/>
      </w:rPr>
      <w:t>苏州政合信咨询管理服务有限公司招标文件</w: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198F96">
    <w:pPr>
      <w:pStyle w:val="282"/>
      <w:pBdr>
        <w:bottom w:val="single" w:color="000000" w:sz="4" w:space="1"/>
      </w:pBdr>
      <w:jc w:val="left"/>
    </w:pPr>
    <w:r>
      <w:rPr>
        <w:rFonts w:hint="eastAsia"/>
        <w:sz w:val="24"/>
        <w:szCs w:val="24"/>
      </w:rPr>
      <w:t>苏州政合信咨询管理服务有限公司招标文件</w: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3D7E6F">
    <w:pPr>
      <w:pStyle w:val="282"/>
      <w:pBdr>
        <w:bottom w:val="none" w:color="000000" w:sz="0" w:space="0"/>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473D36">
    <w:pPr>
      <w:pStyle w:val="282"/>
      <w:pBdr>
        <w:bottom w:val="none" w:color="000000" w:sz="0" w:space="1"/>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F68F65">
    <w:pPr>
      <w:pStyle w:val="282"/>
      <w:pBdr>
        <w:bottom w:val="none" w:color="000000" w:sz="0" w:space="0"/>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103AE3">
    <w:pPr>
      <w:pStyle w:val="282"/>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092B84"/>
    <w:multiLevelType w:val="multilevel"/>
    <w:tmpl w:val="CF092B84"/>
    <w:lvl w:ilvl="0" w:tentative="0">
      <w:start w:val="1"/>
      <w:numFmt w:val="decimal"/>
      <w:pStyle w:val="7"/>
      <w:lvlText w:val="%1."/>
      <w:lvlJc w:val="left"/>
      <w:pPr>
        <w:tabs>
          <w:tab w:val="left" w:pos="1200"/>
        </w:tabs>
        <w:ind w:left="1200" w:hanging="36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0053208E"/>
    <w:multiLevelType w:val="multilevel"/>
    <w:tmpl w:val="0053208E"/>
    <w:lvl w:ilvl="0" w:tentative="0">
      <w:start w:val="1"/>
      <w:numFmt w:val="bullet"/>
      <w:pStyle w:val="3"/>
      <w:lvlText w:val=""/>
      <w:lvlJc w:val="left"/>
      <w:pPr>
        <w:tabs>
          <w:tab w:val="left" w:pos="2040"/>
        </w:tabs>
        <w:ind w:left="2040" w:hanging="360"/>
      </w:pPr>
      <w:rPr>
        <w:rFonts w:hint="default" w:ascii="Wingdings" w:hAnsi="Wingdings"/>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documentProtection w:enforcement="0"/>
  <w:defaultTabStop w:val="420"/>
  <w:characterSpacingControl w:val="doNotCompress"/>
  <w:compat>
    <w:balanceSingleByteDoubleByteWidth/>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59A93664"/>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qFormat="1"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qFormat="1" w:unhideWhenUsed="0" w:uiPriority="99" w:semiHidden="0"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qFormat="1" w:uiPriority="99" w:name="List Bullet 5"/>
    <w:lsdException w:uiPriority="99" w:name="List Number 2"/>
    <w:lsdException w:qFormat="1"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link w:val="285"/>
    <w:qFormat/>
    <w:uiPriority w:val="0"/>
    <w:pPr>
      <w:widowControl w:val="0"/>
      <w:jc w:val="both"/>
    </w:pPr>
    <w:rPr>
      <w:rFonts w:hint="default" w:ascii="Calibri" w:hAnsi="Calibri" w:eastAsia="宋体" w:cs="Times New Roman"/>
      <w:sz w:val="21"/>
      <w:szCs w:val="22"/>
      <w:lang w:val="en-US" w:eastAsia="zh-CN" w:bidi="ar-SA"/>
    </w:rPr>
  </w:style>
  <w:style w:type="paragraph" w:styleId="4">
    <w:name w:val="heading 1"/>
    <w:basedOn w:val="1"/>
    <w:next w:val="1"/>
    <w:link w:val="52"/>
    <w:qFormat/>
    <w:uiPriority w:val="9"/>
    <w:pPr>
      <w:keepNext/>
      <w:keepLines/>
      <w:spacing w:before="480" w:after="200"/>
      <w:outlineLvl w:val="0"/>
    </w:pPr>
    <w:rPr>
      <w:rFonts w:ascii="Arial" w:hAnsi="Arial" w:eastAsia="Arial" w:cs="Arial"/>
      <w:sz w:val="40"/>
      <w:szCs w:val="40"/>
    </w:rPr>
  </w:style>
  <w:style w:type="paragraph" w:styleId="8">
    <w:name w:val="heading 2"/>
    <w:basedOn w:val="1"/>
    <w:next w:val="1"/>
    <w:link w:val="53"/>
    <w:unhideWhenUsed/>
    <w:qFormat/>
    <w:uiPriority w:val="9"/>
    <w:pPr>
      <w:keepNext/>
      <w:keepLines/>
      <w:spacing w:before="360" w:after="200"/>
      <w:outlineLvl w:val="1"/>
    </w:pPr>
    <w:rPr>
      <w:rFonts w:ascii="Arial" w:hAnsi="Arial" w:eastAsia="Arial" w:cs="Arial"/>
      <w:sz w:val="34"/>
    </w:rPr>
  </w:style>
  <w:style w:type="paragraph" w:styleId="9">
    <w:name w:val="heading 3"/>
    <w:basedOn w:val="1"/>
    <w:next w:val="1"/>
    <w:link w:val="54"/>
    <w:unhideWhenUsed/>
    <w:qFormat/>
    <w:uiPriority w:val="9"/>
    <w:pPr>
      <w:keepNext/>
      <w:keepLines/>
      <w:spacing w:before="320" w:after="200"/>
      <w:outlineLvl w:val="2"/>
    </w:pPr>
    <w:rPr>
      <w:rFonts w:ascii="Arial" w:hAnsi="Arial" w:eastAsia="Arial" w:cs="Arial"/>
      <w:sz w:val="30"/>
      <w:szCs w:val="30"/>
    </w:rPr>
  </w:style>
  <w:style w:type="paragraph" w:styleId="10">
    <w:name w:val="heading 4"/>
    <w:basedOn w:val="1"/>
    <w:next w:val="1"/>
    <w:link w:val="55"/>
    <w:unhideWhenUsed/>
    <w:qFormat/>
    <w:uiPriority w:val="9"/>
    <w:pPr>
      <w:keepNext/>
      <w:keepLines/>
      <w:spacing w:before="320" w:after="200"/>
      <w:outlineLvl w:val="3"/>
    </w:pPr>
    <w:rPr>
      <w:rFonts w:ascii="Arial" w:hAnsi="Arial" w:eastAsia="Arial" w:cs="Arial"/>
      <w:b/>
      <w:bCs/>
      <w:sz w:val="26"/>
      <w:szCs w:val="26"/>
    </w:rPr>
  </w:style>
  <w:style w:type="paragraph" w:styleId="11">
    <w:name w:val="heading 5"/>
    <w:basedOn w:val="1"/>
    <w:next w:val="1"/>
    <w:link w:val="56"/>
    <w:unhideWhenUsed/>
    <w:qFormat/>
    <w:uiPriority w:val="9"/>
    <w:pPr>
      <w:keepNext/>
      <w:keepLines/>
      <w:spacing w:before="320" w:after="200"/>
      <w:outlineLvl w:val="4"/>
    </w:pPr>
    <w:rPr>
      <w:rFonts w:ascii="Arial" w:hAnsi="Arial" w:eastAsia="Arial" w:cs="Arial"/>
      <w:b/>
      <w:bCs/>
      <w:sz w:val="24"/>
      <w:szCs w:val="24"/>
    </w:rPr>
  </w:style>
  <w:style w:type="paragraph" w:styleId="12">
    <w:name w:val="heading 6"/>
    <w:basedOn w:val="1"/>
    <w:next w:val="1"/>
    <w:link w:val="57"/>
    <w:unhideWhenUsed/>
    <w:qFormat/>
    <w:uiPriority w:val="9"/>
    <w:pPr>
      <w:keepNext/>
      <w:keepLines/>
      <w:spacing w:before="320" w:after="200"/>
      <w:outlineLvl w:val="5"/>
    </w:pPr>
    <w:rPr>
      <w:rFonts w:ascii="Arial" w:hAnsi="Arial" w:eastAsia="Arial" w:cs="Arial"/>
      <w:b/>
      <w:bCs/>
      <w:sz w:val="22"/>
      <w:szCs w:val="22"/>
    </w:rPr>
  </w:style>
  <w:style w:type="paragraph" w:styleId="13">
    <w:name w:val="heading 7"/>
    <w:basedOn w:val="1"/>
    <w:next w:val="1"/>
    <w:link w:val="58"/>
    <w:unhideWhenUsed/>
    <w:qFormat/>
    <w:uiPriority w:val="9"/>
    <w:pPr>
      <w:keepNext/>
      <w:keepLines/>
      <w:spacing w:before="320" w:after="200"/>
      <w:outlineLvl w:val="6"/>
    </w:pPr>
    <w:rPr>
      <w:rFonts w:ascii="Arial" w:hAnsi="Arial" w:eastAsia="Arial" w:cs="Arial"/>
      <w:b/>
      <w:bCs/>
      <w:i/>
      <w:iCs/>
      <w:sz w:val="22"/>
      <w:szCs w:val="22"/>
    </w:rPr>
  </w:style>
  <w:style w:type="paragraph" w:styleId="14">
    <w:name w:val="heading 8"/>
    <w:basedOn w:val="1"/>
    <w:next w:val="1"/>
    <w:link w:val="59"/>
    <w:unhideWhenUsed/>
    <w:qFormat/>
    <w:uiPriority w:val="9"/>
    <w:pPr>
      <w:keepNext/>
      <w:keepLines/>
      <w:spacing w:before="320" w:after="200"/>
      <w:outlineLvl w:val="7"/>
    </w:pPr>
    <w:rPr>
      <w:rFonts w:ascii="Arial" w:hAnsi="Arial" w:eastAsia="Arial" w:cs="Arial"/>
      <w:i/>
      <w:iCs/>
      <w:sz w:val="22"/>
      <w:szCs w:val="22"/>
    </w:rPr>
  </w:style>
  <w:style w:type="paragraph" w:styleId="15">
    <w:name w:val="heading 9"/>
    <w:basedOn w:val="1"/>
    <w:next w:val="1"/>
    <w:link w:val="60"/>
    <w:unhideWhenUsed/>
    <w:qFormat/>
    <w:uiPriority w:val="9"/>
    <w:pPr>
      <w:keepNext/>
      <w:keepLines/>
      <w:spacing w:before="320" w:after="200"/>
      <w:outlineLvl w:val="8"/>
    </w:pPr>
    <w:rPr>
      <w:rFonts w:ascii="Arial" w:hAnsi="Arial" w:eastAsia="Arial" w:cs="Arial"/>
      <w:i/>
      <w:iCs/>
      <w:sz w:val="21"/>
      <w:szCs w:val="21"/>
    </w:rPr>
  </w:style>
  <w:style w:type="character" w:default="1" w:styleId="41">
    <w:name w:val="Default Paragraph Font"/>
    <w:semiHidden/>
    <w:unhideWhenUsed/>
    <w:qFormat/>
    <w:uiPriority w:val="1"/>
  </w:style>
  <w:style w:type="table" w:default="1" w:styleId="39">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0"/>
    <w:pPr>
      <w:widowControl w:val="0"/>
    </w:pPr>
    <w:rPr>
      <w:rFonts w:hint="default" w:ascii="宋体" w:hAnsi="Times New Roman" w:eastAsia="宋体" w:cs="宋体"/>
      <w:color w:val="000000"/>
      <w:sz w:val="24"/>
      <w:szCs w:val="24"/>
      <w:lang w:val="en-US" w:eastAsia="zh-CN" w:bidi="ar-SA"/>
    </w:rPr>
  </w:style>
  <w:style w:type="paragraph" w:styleId="3">
    <w:name w:val="List Bullet 5"/>
    <w:basedOn w:val="4"/>
    <w:next w:val="5"/>
    <w:semiHidden/>
    <w:unhideWhenUsed/>
    <w:qFormat/>
    <w:uiPriority w:val="99"/>
    <w:pPr>
      <w:numPr>
        <w:ilvl w:val="0"/>
        <w:numId w:val="1"/>
      </w:numPr>
    </w:pPr>
  </w:style>
  <w:style w:type="paragraph" w:customStyle="1" w:styleId="5">
    <w:name w:val="正文首行缩进1"/>
    <w:basedOn w:val="6"/>
    <w:next w:val="7"/>
    <w:qFormat/>
    <w:uiPriority w:val="0"/>
    <w:pPr>
      <w:tabs>
        <w:tab w:val="left" w:pos="5250"/>
      </w:tabs>
      <w:ind w:firstLine="420"/>
    </w:pPr>
  </w:style>
  <w:style w:type="paragraph" w:customStyle="1" w:styleId="6">
    <w:name w:val="正文文本11"/>
    <w:basedOn w:val="1"/>
    <w:next w:val="5"/>
    <w:qFormat/>
    <w:uiPriority w:val="0"/>
    <w:pPr>
      <w:tabs>
        <w:tab w:val="left" w:pos="5250"/>
      </w:tabs>
    </w:pPr>
    <w:rPr>
      <w:sz w:val="28"/>
    </w:rPr>
  </w:style>
  <w:style w:type="paragraph" w:styleId="7">
    <w:name w:val="List Number 3"/>
    <w:basedOn w:val="4"/>
    <w:next w:val="1"/>
    <w:semiHidden/>
    <w:unhideWhenUsed/>
    <w:qFormat/>
    <w:uiPriority w:val="99"/>
    <w:pPr>
      <w:numPr>
        <w:ilvl w:val="0"/>
        <w:numId w:val="2"/>
      </w:numPr>
    </w:pPr>
  </w:style>
  <w:style w:type="paragraph" w:styleId="16">
    <w:name w:val="toc 7"/>
    <w:basedOn w:val="1"/>
    <w:next w:val="1"/>
    <w:unhideWhenUsed/>
    <w:qFormat/>
    <w:uiPriority w:val="39"/>
    <w:pPr>
      <w:spacing w:after="57"/>
      <w:ind w:left="1701" w:right="0" w:firstLine="0"/>
    </w:pPr>
  </w:style>
  <w:style w:type="paragraph" w:styleId="17">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8">
    <w:name w:val="annotation text"/>
    <w:basedOn w:val="1"/>
    <w:semiHidden/>
    <w:unhideWhenUsed/>
    <w:qFormat/>
    <w:uiPriority w:val="99"/>
    <w:pPr>
      <w:jc w:val="left"/>
    </w:pPr>
  </w:style>
  <w:style w:type="paragraph" w:styleId="19">
    <w:name w:val="Body Text"/>
    <w:basedOn w:val="1"/>
    <w:next w:val="20"/>
    <w:qFormat/>
    <w:uiPriority w:val="0"/>
    <w:pPr>
      <w:spacing w:line="400" w:lineRule="exact"/>
    </w:pPr>
    <w:rPr>
      <w:rFonts w:ascii="楷体_GB2312" w:hAnsi="Times New Roman" w:cs="Times New Roman"/>
      <w:sz w:val="28"/>
    </w:rPr>
  </w:style>
  <w:style w:type="paragraph" w:styleId="20">
    <w:name w:val="Body Text First Indent"/>
    <w:basedOn w:val="19"/>
    <w:qFormat/>
    <w:uiPriority w:val="0"/>
    <w:pPr>
      <w:ind w:firstLine="420"/>
    </w:pPr>
  </w:style>
  <w:style w:type="paragraph" w:styleId="21">
    <w:name w:val="Body Text Indent"/>
    <w:basedOn w:val="1"/>
    <w:next w:val="22"/>
    <w:qFormat/>
    <w:uiPriority w:val="0"/>
    <w:pPr>
      <w:ind w:firstLine="645"/>
    </w:pPr>
    <w:rPr>
      <w:rFonts w:ascii="楷体_GB2312" w:hAnsi="宋体" w:eastAsia="楷体_GB2312" w:cs="宋体"/>
      <w:sz w:val="32"/>
      <w:szCs w:val="32"/>
    </w:rPr>
  </w:style>
  <w:style w:type="paragraph" w:styleId="22">
    <w:name w:val="envelope return"/>
    <w:basedOn w:val="1"/>
    <w:qFormat/>
    <w:uiPriority w:val="99"/>
    <w:rPr>
      <w:rFonts w:ascii="Arial" w:hAnsi="Arial"/>
    </w:rPr>
  </w:style>
  <w:style w:type="paragraph" w:styleId="23">
    <w:name w:val="toc 5"/>
    <w:basedOn w:val="1"/>
    <w:next w:val="1"/>
    <w:unhideWhenUsed/>
    <w:qFormat/>
    <w:uiPriority w:val="39"/>
    <w:pPr>
      <w:spacing w:after="57"/>
      <w:ind w:left="1134" w:right="0" w:firstLine="0"/>
    </w:pPr>
  </w:style>
  <w:style w:type="paragraph" w:styleId="24">
    <w:name w:val="toc 3"/>
    <w:basedOn w:val="1"/>
    <w:next w:val="1"/>
    <w:unhideWhenUsed/>
    <w:qFormat/>
    <w:uiPriority w:val="39"/>
    <w:pPr>
      <w:spacing w:after="57"/>
      <w:ind w:left="567" w:right="0" w:firstLine="0"/>
    </w:pPr>
  </w:style>
  <w:style w:type="paragraph" w:styleId="25">
    <w:name w:val="toc 8"/>
    <w:basedOn w:val="1"/>
    <w:next w:val="1"/>
    <w:unhideWhenUsed/>
    <w:qFormat/>
    <w:uiPriority w:val="39"/>
    <w:pPr>
      <w:spacing w:after="57"/>
      <w:ind w:left="1984" w:right="0" w:firstLine="0"/>
    </w:pPr>
  </w:style>
  <w:style w:type="paragraph" w:styleId="26">
    <w:name w:val="endnote text"/>
    <w:basedOn w:val="1"/>
    <w:link w:val="198"/>
    <w:semiHidden/>
    <w:unhideWhenUsed/>
    <w:qFormat/>
    <w:uiPriority w:val="99"/>
    <w:pPr>
      <w:spacing w:after="0" w:line="240" w:lineRule="auto"/>
    </w:pPr>
    <w:rPr>
      <w:sz w:val="20"/>
    </w:rPr>
  </w:style>
  <w:style w:type="paragraph" w:styleId="27">
    <w:name w:val="footer"/>
    <w:basedOn w:val="1"/>
    <w:link w:val="71"/>
    <w:unhideWhenUsed/>
    <w:qFormat/>
    <w:uiPriority w:val="99"/>
    <w:pPr>
      <w:tabs>
        <w:tab w:val="center" w:pos="7143"/>
        <w:tab w:val="right" w:pos="14287"/>
      </w:tabs>
      <w:spacing w:after="0" w:line="240" w:lineRule="auto"/>
    </w:pPr>
  </w:style>
  <w:style w:type="paragraph" w:styleId="28">
    <w:name w:val="header"/>
    <w:basedOn w:val="1"/>
    <w:link w:val="69"/>
    <w:unhideWhenUsed/>
    <w:qFormat/>
    <w:uiPriority w:val="99"/>
    <w:pPr>
      <w:tabs>
        <w:tab w:val="center" w:pos="7143"/>
        <w:tab w:val="right" w:pos="14287"/>
      </w:tabs>
      <w:spacing w:after="0" w:line="240" w:lineRule="auto"/>
    </w:pPr>
  </w:style>
  <w:style w:type="paragraph" w:styleId="29">
    <w:name w:val="toc 1"/>
    <w:basedOn w:val="1"/>
    <w:next w:val="1"/>
    <w:unhideWhenUsed/>
    <w:qFormat/>
    <w:uiPriority w:val="39"/>
    <w:pPr>
      <w:spacing w:after="57"/>
      <w:ind w:left="0" w:right="0" w:firstLine="0"/>
    </w:pPr>
  </w:style>
  <w:style w:type="paragraph" w:styleId="30">
    <w:name w:val="toc 4"/>
    <w:basedOn w:val="1"/>
    <w:next w:val="1"/>
    <w:unhideWhenUsed/>
    <w:qFormat/>
    <w:uiPriority w:val="39"/>
    <w:pPr>
      <w:spacing w:after="57"/>
      <w:ind w:left="850" w:right="0" w:firstLine="0"/>
    </w:pPr>
  </w:style>
  <w:style w:type="paragraph" w:styleId="31">
    <w:name w:val="Subtitle"/>
    <w:basedOn w:val="1"/>
    <w:next w:val="1"/>
    <w:link w:val="64"/>
    <w:qFormat/>
    <w:uiPriority w:val="11"/>
    <w:pPr>
      <w:spacing w:before="200" w:after="200"/>
    </w:pPr>
    <w:rPr>
      <w:sz w:val="24"/>
      <w:szCs w:val="24"/>
    </w:rPr>
  </w:style>
  <w:style w:type="paragraph" w:styleId="32">
    <w:name w:val="footnote text"/>
    <w:basedOn w:val="1"/>
    <w:link w:val="197"/>
    <w:semiHidden/>
    <w:unhideWhenUsed/>
    <w:qFormat/>
    <w:uiPriority w:val="99"/>
    <w:pPr>
      <w:spacing w:after="40" w:line="240" w:lineRule="auto"/>
    </w:pPr>
    <w:rPr>
      <w:sz w:val="18"/>
    </w:rPr>
  </w:style>
  <w:style w:type="paragraph" w:styleId="33">
    <w:name w:val="toc 6"/>
    <w:basedOn w:val="1"/>
    <w:next w:val="1"/>
    <w:unhideWhenUsed/>
    <w:qFormat/>
    <w:uiPriority w:val="39"/>
    <w:pPr>
      <w:spacing w:after="57"/>
      <w:ind w:left="1417" w:right="0" w:firstLine="0"/>
    </w:pPr>
  </w:style>
  <w:style w:type="paragraph" w:styleId="34">
    <w:name w:val="table of figures"/>
    <w:basedOn w:val="1"/>
    <w:next w:val="1"/>
    <w:unhideWhenUsed/>
    <w:qFormat/>
    <w:uiPriority w:val="99"/>
    <w:pPr>
      <w:spacing w:after="0" w:afterAutospacing="0"/>
    </w:pPr>
  </w:style>
  <w:style w:type="paragraph" w:styleId="35">
    <w:name w:val="toc 2"/>
    <w:basedOn w:val="1"/>
    <w:next w:val="1"/>
    <w:unhideWhenUsed/>
    <w:qFormat/>
    <w:uiPriority w:val="39"/>
    <w:pPr>
      <w:spacing w:after="57"/>
      <w:ind w:left="283" w:right="0" w:firstLine="0"/>
    </w:pPr>
  </w:style>
  <w:style w:type="paragraph" w:styleId="36">
    <w:name w:val="toc 9"/>
    <w:basedOn w:val="1"/>
    <w:next w:val="1"/>
    <w:unhideWhenUsed/>
    <w:qFormat/>
    <w:uiPriority w:val="39"/>
    <w:pPr>
      <w:spacing w:after="57"/>
      <w:ind w:left="2268" w:right="0" w:firstLine="0"/>
    </w:pPr>
  </w:style>
  <w:style w:type="paragraph" w:styleId="37">
    <w:name w:val="Title"/>
    <w:basedOn w:val="1"/>
    <w:next w:val="1"/>
    <w:link w:val="63"/>
    <w:qFormat/>
    <w:uiPriority w:val="10"/>
    <w:pPr>
      <w:spacing w:before="300" w:after="200"/>
      <w:contextualSpacing/>
    </w:pPr>
    <w:rPr>
      <w:sz w:val="48"/>
      <w:szCs w:val="48"/>
    </w:rPr>
  </w:style>
  <w:style w:type="paragraph" w:styleId="38">
    <w:name w:val="Body Text First Indent 2"/>
    <w:qFormat/>
    <w:uiPriority w:val="0"/>
    <w:pPr>
      <w:widowControl w:val="0"/>
      <w:spacing w:line="360" w:lineRule="auto"/>
      <w:ind w:firstLine="200"/>
      <w:jc w:val="both"/>
    </w:pPr>
    <w:rPr>
      <w:rFonts w:hint="default" w:ascii="宋体" w:hAnsi="宋体" w:eastAsia="宋体" w:cs="宋体"/>
      <w:sz w:val="21"/>
      <w:szCs w:val="20"/>
      <w:lang w:val="en-US" w:eastAsia="zh-CN" w:bidi="ar-SA"/>
    </w:rPr>
  </w:style>
  <w:style w:type="table" w:styleId="40">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42">
    <w:name w:val="Strong"/>
    <w:basedOn w:val="41"/>
    <w:qFormat/>
    <w:uiPriority w:val="22"/>
    <w:rPr>
      <w:b/>
    </w:rPr>
  </w:style>
  <w:style w:type="character" w:styleId="43">
    <w:name w:val="endnote reference"/>
    <w:semiHidden/>
    <w:unhideWhenUsed/>
    <w:qFormat/>
    <w:uiPriority w:val="99"/>
    <w:rPr>
      <w:vertAlign w:val="superscript"/>
    </w:rPr>
  </w:style>
  <w:style w:type="character" w:styleId="44">
    <w:name w:val="page number"/>
    <w:qFormat/>
    <w:uiPriority w:val="0"/>
  </w:style>
  <w:style w:type="character" w:styleId="45">
    <w:name w:val="Emphasis"/>
    <w:basedOn w:val="41"/>
    <w:qFormat/>
    <w:uiPriority w:val="20"/>
    <w:rPr>
      <w:i/>
    </w:rPr>
  </w:style>
  <w:style w:type="character" w:styleId="46">
    <w:name w:val="Hyperlink"/>
    <w:unhideWhenUsed/>
    <w:qFormat/>
    <w:uiPriority w:val="99"/>
    <w:rPr>
      <w:color w:val="0000FF" w:themeColor="hyperlink"/>
      <w:u w:val="single"/>
      <w14:textFill>
        <w14:solidFill>
          <w14:schemeClr w14:val="hlink"/>
        </w14:solidFill>
      </w14:textFill>
    </w:rPr>
  </w:style>
  <w:style w:type="character" w:styleId="47">
    <w:name w:val="footnote reference"/>
    <w:unhideWhenUsed/>
    <w:qFormat/>
    <w:uiPriority w:val="99"/>
    <w:rPr>
      <w:vertAlign w:val="superscript"/>
    </w:rPr>
  </w:style>
  <w:style w:type="paragraph" w:customStyle="1" w:styleId="48">
    <w:name w:val="首行缩进"/>
    <w:basedOn w:val="1"/>
    <w:qFormat/>
    <w:uiPriority w:val="0"/>
    <w:pPr>
      <w:spacing w:line="360" w:lineRule="auto"/>
      <w:ind w:firstLine="480"/>
      <w:jc w:val="left"/>
    </w:pPr>
    <w:rPr>
      <w:rFonts w:ascii="宋体" w:hAnsi="宋体"/>
      <w:sz w:val="24"/>
    </w:rPr>
  </w:style>
  <w:style w:type="paragraph" w:customStyle="1" w:styleId="49">
    <w:name w:val="段"/>
    <w:next w:val="50"/>
    <w:qFormat/>
    <w:uiPriority w:val="0"/>
    <w:pPr>
      <w:spacing w:line="360" w:lineRule="auto"/>
      <w:ind w:firstLine="200"/>
      <w:jc w:val="both"/>
    </w:pPr>
    <w:rPr>
      <w:rFonts w:hint="default" w:ascii="宋体" w:hAnsi="Times New Roman" w:eastAsia="宋体" w:cs="Times New Roman"/>
      <w:sz w:val="24"/>
      <w:szCs w:val="22"/>
      <w:lang w:val="en-US" w:eastAsia="zh-CN" w:bidi="ar-SA"/>
    </w:rPr>
  </w:style>
  <w:style w:type="paragraph" w:customStyle="1" w:styleId="50">
    <w:name w:val="正文 A"/>
    <w:next w:val="49"/>
    <w:qFormat/>
    <w:uiPriority w:val="0"/>
    <w:pPr>
      <w:widowControl w:val="0"/>
      <w:jc w:val="both"/>
    </w:pPr>
    <w:rPr>
      <w:rFonts w:hint="default" w:ascii="Arial Unicode MS" w:hAnsi="Arial Unicode MS" w:eastAsia="Times New Roman" w:cs="Arial Unicode MS"/>
      <w:color w:val="000000"/>
      <w:sz w:val="21"/>
      <w:szCs w:val="21"/>
      <w:u w:val="none"/>
      <w:lang w:val="en-US" w:eastAsia="zh-CN" w:bidi="ar-SA"/>
    </w:rPr>
  </w:style>
  <w:style w:type="paragraph" w:customStyle="1" w:styleId="51">
    <w:name w:val="表格文字"/>
    <w:basedOn w:val="19"/>
    <w:next w:val="19"/>
    <w:qFormat/>
    <w:uiPriority w:val="0"/>
    <w:pPr>
      <w:spacing w:line="420" w:lineRule="atLeast"/>
      <w:jc w:val="left"/>
    </w:pPr>
    <w:rPr>
      <w:szCs w:val="20"/>
    </w:rPr>
  </w:style>
  <w:style w:type="character" w:customStyle="1" w:styleId="52">
    <w:name w:val="Heading 1 Char"/>
    <w:link w:val="4"/>
    <w:qFormat/>
    <w:uiPriority w:val="9"/>
    <w:rPr>
      <w:rFonts w:ascii="Arial" w:hAnsi="Arial" w:eastAsia="Arial" w:cs="Arial"/>
      <w:sz w:val="40"/>
      <w:szCs w:val="40"/>
    </w:rPr>
  </w:style>
  <w:style w:type="character" w:customStyle="1" w:styleId="53">
    <w:name w:val="Heading 2 Char"/>
    <w:link w:val="8"/>
    <w:qFormat/>
    <w:uiPriority w:val="9"/>
    <w:rPr>
      <w:rFonts w:ascii="Arial" w:hAnsi="Arial" w:eastAsia="Arial" w:cs="Arial"/>
      <w:sz w:val="34"/>
    </w:rPr>
  </w:style>
  <w:style w:type="character" w:customStyle="1" w:styleId="54">
    <w:name w:val="Heading 3 Char"/>
    <w:link w:val="9"/>
    <w:qFormat/>
    <w:uiPriority w:val="9"/>
    <w:rPr>
      <w:rFonts w:ascii="Arial" w:hAnsi="Arial" w:eastAsia="Arial" w:cs="Arial"/>
      <w:sz w:val="30"/>
      <w:szCs w:val="30"/>
    </w:rPr>
  </w:style>
  <w:style w:type="character" w:customStyle="1" w:styleId="55">
    <w:name w:val="Heading 4 Char"/>
    <w:link w:val="10"/>
    <w:qFormat/>
    <w:uiPriority w:val="9"/>
    <w:rPr>
      <w:rFonts w:ascii="Arial" w:hAnsi="Arial" w:eastAsia="Arial" w:cs="Arial"/>
      <w:b/>
      <w:bCs/>
      <w:sz w:val="26"/>
      <w:szCs w:val="26"/>
    </w:rPr>
  </w:style>
  <w:style w:type="character" w:customStyle="1" w:styleId="56">
    <w:name w:val="Heading 5 Char"/>
    <w:link w:val="11"/>
    <w:qFormat/>
    <w:uiPriority w:val="9"/>
    <w:rPr>
      <w:rFonts w:ascii="Arial" w:hAnsi="Arial" w:eastAsia="Arial" w:cs="Arial"/>
      <w:b/>
      <w:bCs/>
      <w:sz w:val="24"/>
      <w:szCs w:val="24"/>
    </w:rPr>
  </w:style>
  <w:style w:type="character" w:customStyle="1" w:styleId="57">
    <w:name w:val="Heading 6 Char"/>
    <w:link w:val="12"/>
    <w:qFormat/>
    <w:uiPriority w:val="9"/>
    <w:rPr>
      <w:rFonts w:ascii="Arial" w:hAnsi="Arial" w:eastAsia="Arial" w:cs="Arial"/>
      <w:b/>
      <w:bCs/>
      <w:sz w:val="22"/>
      <w:szCs w:val="22"/>
    </w:rPr>
  </w:style>
  <w:style w:type="character" w:customStyle="1" w:styleId="58">
    <w:name w:val="Heading 7 Char"/>
    <w:link w:val="13"/>
    <w:qFormat/>
    <w:uiPriority w:val="9"/>
    <w:rPr>
      <w:rFonts w:ascii="Arial" w:hAnsi="Arial" w:eastAsia="Arial" w:cs="Arial"/>
      <w:b/>
      <w:bCs/>
      <w:i/>
      <w:iCs/>
      <w:sz w:val="22"/>
      <w:szCs w:val="22"/>
    </w:rPr>
  </w:style>
  <w:style w:type="character" w:customStyle="1" w:styleId="59">
    <w:name w:val="Heading 8 Char"/>
    <w:link w:val="14"/>
    <w:qFormat/>
    <w:uiPriority w:val="9"/>
    <w:rPr>
      <w:rFonts w:ascii="Arial" w:hAnsi="Arial" w:eastAsia="Arial" w:cs="Arial"/>
      <w:i/>
      <w:iCs/>
      <w:sz w:val="22"/>
      <w:szCs w:val="22"/>
    </w:rPr>
  </w:style>
  <w:style w:type="character" w:customStyle="1" w:styleId="60">
    <w:name w:val="Heading 9 Char"/>
    <w:link w:val="15"/>
    <w:qFormat/>
    <w:uiPriority w:val="9"/>
    <w:rPr>
      <w:rFonts w:ascii="Arial" w:hAnsi="Arial" w:eastAsia="Arial" w:cs="Arial"/>
      <w:i/>
      <w:iCs/>
      <w:sz w:val="21"/>
      <w:szCs w:val="21"/>
    </w:rPr>
  </w:style>
  <w:style w:type="paragraph" w:styleId="61">
    <w:name w:val="List Paragraph"/>
    <w:basedOn w:val="1"/>
    <w:qFormat/>
    <w:uiPriority w:val="34"/>
    <w:pPr>
      <w:ind w:left="720"/>
      <w:contextualSpacing/>
    </w:pPr>
  </w:style>
  <w:style w:type="paragraph" w:styleId="62">
    <w:name w:val="No Spacing"/>
    <w:qFormat/>
    <w:uiPriority w:val="1"/>
    <w:pPr>
      <w:spacing w:before="0" w:after="0" w:line="240" w:lineRule="auto"/>
    </w:pPr>
    <w:rPr>
      <w:rFonts w:hint="default" w:ascii="Times New Roman" w:hAnsi="Times New Roman" w:eastAsia="宋体" w:cs="Times New Roman"/>
    </w:rPr>
  </w:style>
  <w:style w:type="character" w:customStyle="1" w:styleId="63">
    <w:name w:val="Title Char"/>
    <w:link w:val="37"/>
    <w:qFormat/>
    <w:uiPriority w:val="10"/>
    <w:rPr>
      <w:sz w:val="48"/>
      <w:szCs w:val="48"/>
    </w:rPr>
  </w:style>
  <w:style w:type="character" w:customStyle="1" w:styleId="64">
    <w:name w:val="Subtitle Char"/>
    <w:link w:val="31"/>
    <w:qFormat/>
    <w:uiPriority w:val="11"/>
    <w:rPr>
      <w:sz w:val="24"/>
      <w:szCs w:val="24"/>
    </w:rPr>
  </w:style>
  <w:style w:type="paragraph" w:styleId="65">
    <w:name w:val="Quote"/>
    <w:basedOn w:val="1"/>
    <w:next w:val="1"/>
    <w:link w:val="66"/>
    <w:qFormat/>
    <w:uiPriority w:val="29"/>
    <w:pPr>
      <w:ind w:left="720" w:right="720"/>
    </w:pPr>
    <w:rPr>
      <w:i/>
    </w:rPr>
  </w:style>
  <w:style w:type="character" w:customStyle="1" w:styleId="66">
    <w:name w:val="Quote Char"/>
    <w:link w:val="65"/>
    <w:qFormat/>
    <w:uiPriority w:val="29"/>
    <w:rPr>
      <w:i/>
    </w:rPr>
  </w:style>
  <w:style w:type="paragraph" w:styleId="67">
    <w:name w:val="Intense Quote"/>
    <w:basedOn w:val="1"/>
    <w:next w:val="1"/>
    <w:link w:val="68"/>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68">
    <w:name w:val="Intense Quote Char"/>
    <w:link w:val="67"/>
    <w:qFormat/>
    <w:uiPriority w:val="30"/>
    <w:rPr>
      <w:i/>
    </w:rPr>
  </w:style>
  <w:style w:type="character" w:customStyle="1" w:styleId="69">
    <w:name w:val="Header Char"/>
    <w:link w:val="28"/>
    <w:qFormat/>
    <w:uiPriority w:val="99"/>
  </w:style>
  <w:style w:type="character" w:customStyle="1" w:styleId="70">
    <w:name w:val="Footer Char"/>
    <w:link w:val="27"/>
    <w:qFormat/>
    <w:uiPriority w:val="99"/>
  </w:style>
  <w:style w:type="character" w:customStyle="1" w:styleId="71">
    <w:name w:val="Caption Char"/>
    <w:link w:val="27"/>
    <w:qFormat/>
    <w:uiPriority w:val="99"/>
  </w:style>
  <w:style w:type="table" w:customStyle="1" w:styleId="72">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73">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74">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75">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6">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7">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78">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79">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0">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1">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2">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83">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84">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85">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6">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7">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8">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9">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0">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1">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2">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1">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07">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08">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09">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0">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1">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2">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13">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4">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5">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6">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7">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8">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9">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20">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21">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22">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23">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24">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25">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26">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27">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28">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29">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0">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1">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2">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33">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34">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5">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6">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37">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38">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39">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0">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1">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2">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43">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44">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45">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46">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47">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48">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9">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0">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1">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2">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53">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54">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55">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56">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57">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58">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59">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0">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1">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2">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63">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4">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5">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6">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7">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8">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9">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70">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71">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72">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73">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74">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75">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76">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7">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8">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9">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0">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1">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2">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83">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1">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2">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93">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94">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95">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96">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97">
    <w:name w:val="Footnote Text Char"/>
    <w:link w:val="32"/>
    <w:qFormat/>
    <w:uiPriority w:val="99"/>
    <w:rPr>
      <w:sz w:val="18"/>
    </w:rPr>
  </w:style>
  <w:style w:type="character" w:customStyle="1" w:styleId="198">
    <w:name w:val="Endnote Text Char"/>
    <w:link w:val="26"/>
    <w:qFormat/>
    <w:uiPriority w:val="99"/>
    <w:rPr>
      <w:sz w:val="20"/>
    </w:rPr>
  </w:style>
  <w:style w:type="paragraph" w:customStyle="1" w:styleId="199">
    <w:name w:val="TOC Heading"/>
    <w:unhideWhenUsed/>
    <w:qFormat/>
    <w:uiPriority w:val="39"/>
    <w:rPr>
      <w:rFonts w:hint="default" w:ascii="Times New Roman" w:hAnsi="Times New Roman" w:eastAsia="宋体" w:cs="Times New Roman"/>
    </w:rPr>
  </w:style>
  <w:style w:type="character" w:customStyle="1" w:styleId="200">
    <w:name w:val="默认段落字体11"/>
    <w:link w:val="1"/>
    <w:semiHidden/>
    <w:qFormat/>
    <w:uiPriority w:val="0"/>
  </w:style>
  <w:style w:type="table" w:customStyle="1" w:styleId="201">
    <w:name w:val="普通表格11"/>
    <w:semiHidden/>
    <w:qFormat/>
    <w:uiPriority w:val="0"/>
  </w:style>
  <w:style w:type="paragraph" w:customStyle="1" w:styleId="202">
    <w:name w:val="正文缩进1"/>
    <w:basedOn w:val="1"/>
    <w:qFormat/>
    <w:uiPriority w:val="0"/>
    <w:pPr>
      <w:ind w:firstLine="420"/>
    </w:pPr>
    <w:rPr>
      <w:szCs w:val="21"/>
    </w:rPr>
  </w:style>
  <w:style w:type="paragraph" w:customStyle="1" w:styleId="203">
    <w:name w:val="页脚11"/>
    <w:basedOn w:val="1"/>
    <w:unhideWhenUsed/>
    <w:qFormat/>
    <w:uiPriority w:val="99"/>
    <w:pPr>
      <w:tabs>
        <w:tab w:val="center" w:pos="7143"/>
        <w:tab w:val="right" w:pos="14287"/>
      </w:tabs>
    </w:pPr>
  </w:style>
  <w:style w:type="paragraph" w:customStyle="1" w:styleId="204">
    <w:name w:val="目录 11"/>
    <w:basedOn w:val="1"/>
    <w:next w:val="1"/>
    <w:unhideWhenUsed/>
    <w:qFormat/>
    <w:uiPriority w:val="39"/>
    <w:pPr>
      <w:spacing w:after="57"/>
    </w:pPr>
  </w:style>
  <w:style w:type="paragraph" w:customStyle="1" w:styleId="205">
    <w:name w:val="目录 21"/>
    <w:basedOn w:val="1"/>
    <w:next w:val="1"/>
    <w:unhideWhenUsed/>
    <w:qFormat/>
    <w:uiPriority w:val="39"/>
    <w:pPr>
      <w:spacing w:after="57"/>
      <w:ind w:left="283"/>
    </w:pPr>
  </w:style>
  <w:style w:type="paragraph" w:customStyle="1" w:styleId="206">
    <w:name w:val="普通(网站)1"/>
    <w:basedOn w:val="1"/>
    <w:qFormat/>
    <w:uiPriority w:val="0"/>
    <w:pPr>
      <w:spacing w:before="100" w:beforeAutospacing="1" w:after="100" w:afterAutospacing="1"/>
      <w:ind w:left="0" w:right="0"/>
      <w:jc w:val="left"/>
    </w:pPr>
    <w:rPr>
      <w:sz w:val="24"/>
      <w:lang w:val="en-US" w:eastAsia="zh-CN" w:bidi="ar"/>
    </w:rPr>
  </w:style>
  <w:style w:type="character" w:customStyle="1" w:styleId="207">
    <w:name w:val="强调1"/>
    <w:basedOn w:val="200"/>
    <w:link w:val="1"/>
    <w:qFormat/>
    <w:uiPriority w:val="20"/>
    <w:rPr>
      <w:i/>
    </w:rPr>
  </w:style>
  <w:style w:type="character" w:customStyle="1" w:styleId="208">
    <w:name w:val="默认段落字体12"/>
    <w:link w:val="1"/>
    <w:unhideWhenUsed/>
    <w:qFormat/>
    <w:uiPriority w:val="1"/>
  </w:style>
  <w:style w:type="paragraph" w:customStyle="1" w:styleId="209">
    <w:name w:val="普通正文"/>
    <w:basedOn w:val="1"/>
    <w:qFormat/>
    <w:uiPriority w:val="0"/>
    <w:pPr>
      <w:spacing w:before="120" w:after="120" w:line="360" w:lineRule="auto"/>
      <w:ind w:firstLine="480"/>
      <w:jc w:val="left"/>
    </w:pPr>
    <w:rPr>
      <w:rFonts w:ascii="Arial" w:hAnsi="Arial"/>
      <w:sz w:val="24"/>
    </w:rPr>
  </w:style>
  <w:style w:type="paragraph" w:customStyle="1" w:styleId="210">
    <w:name w:val="正文文本1"/>
    <w:basedOn w:val="1"/>
    <w:next w:val="1"/>
    <w:qFormat/>
    <w:uiPriority w:val="99"/>
    <w:rPr>
      <w:rFonts w:ascii="楷体_GB2312" w:hAnsi="宋体" w:eastAsia="楷体_GB2312"/>
      <w:sz w:val="28"/>
      <w:szCs w:val="28"/>
    </w:rPr>
  </w:style>
  <w:style w:type="paragraph" w:customStyle="1" w:styleId="211">
    <w:name w:val="标题11"/>
    <w:basedOn w:val="1"/>
    <w:qFormat/>
    <w:uiPriority w:val="0"/>
    <w:pPr>
      <w:spacing w:before="240" w:after="60"/>
      <w:jc w:val="center"/>
      <w:outlineLvl w:val="0"/>
    </w:pPr>
    <w:rPr>
      <w:rFonts w:ascii="Arial" w:hAnsi="Arial" w:eastAsia="黑体"/>
      <w:b/>
      <w:bCs/>
      <w:sz w:val="44"/>
      <w:szCs w:val="32"/>
    </w:rPr>
  </w:style>
  <w:style w:type="table" w:customStyle="1" w:styleId="212">
    <w:name w:val="网格型1"/>
    <w:basedOn w:val="213"/>
    <w:qFormat/>
    <w:uiPriority w:val="39"/>
    <w:rPr>
      <w:rFonts w:ascii="Calibri" w:hAnsi="Calibri"/>
    </w:rPr>
  </w:style>
  <w:style w:type="table" w:customStyle="1" w:styleId="213">
    <w:name w:val="普通表格1"/>
    <w:semiHidden/>
    <w:qFormat/>
    <w:uiPriority w:val="0"/>
  </w:style>
  <w:style w:type="paragraph" w:customStyle="1" w:styleId="214">
    <w:name w:val="一级标题"/>
    <w:basedOn w:val="1"/>
    <w:next w:val="6"/>
    <w:qFormat/>
    <w:uiPriority w:val="0"/>
    <w:pPr>
      <w:outlineLvl w:val="0"/>
    </w:pPr>
    <w:rPr>
      <w:b/>
      <w:bCs/>
      <w:sz w:val="32"/>
    </w:rPr>
  </w:style>
  <w:style w:type="paragraph" w:customStyle="1" w:styleId="215">
    <w:name w:val="Normal_1"/>
    <w:qFormat/>
    <w:uiPriority w:val="0"/>
    <w:rPr>
      <w:rFonts w:hint="default" w:ascii="Times New Roman" w:hAnsi="Times New Roman" w:eastAsia="Times New Roman" w:cs="Times New Roman"/>
      <w:sz w:val="24"/>
      <w:szCs w:val="24"/>
      <w:lang w:val="en-US" w:eastAsia="zh-CN" w:bidi="ar-SA"/>
    </w:rPr>
  </w:style>
  <w:style w:type="character" w:customStyle="1" w:styleId="216">
    <w:name w:val="默认段落字体1"/>
    <w:link w:val="1"/>
    <w:unhideWhenUsed/>
    <w:qFormat/>
    <w:uiPriority w:val="1"/>
    <w:rPr>
      <w:rFonts w:ascii="Calibri" w:hAnsi="Calibri" w:eastAsia="宋体" w:cs="Times New Roman"/>
      <w:sz w:val="21"/>
      <w:szCs w:val="22"/>
      <w:lang w:val="en-US" w:eastAsia="zh-CN" w:bidi="ar-SA"/>
    </w:rPr>
  </w:style>
  <w:style w:type="paragraph" w:customStyle="1" w:styleId="217">
    <w:name w:val="Normal_14"/>
    <w:qFormat/>
    <w:uiPriority w:val="0"/>
    <w:rPr>
      <w:rFonts w:hint="default" w:ascii="Times New Roman" w:hAnsi="Times New Roman" w:eastAsia="Times New Roman" w:cs="Times New Roman"/>
      <w:sz w:val="24"/>
      <w:szCs w:val="24"/>
      <w:lang w:val="en-US" w:eastAsia="zh-CN" w:bidi="ar-SA"/>
    </w:rPr>
  </w:style>
  <w:style w:type="paragraph" w:customStyle="1" w:styleId="218">
    <w:name w:val="p0"/>
    <w:basedOn w:val="1"/>
    <w:qFormat/>
    <w:uiPriority w:val="99"/>
    <w:pPr>
      <w:widowControl/>
    </w:pPr>
    <w:rPr>
      <w:rFonts w:cs="宋体"/>
      <w:szCs w:val="21"/>
    </w:rPr>
  </w:style>
  <w:style w:type="paragraph" w:customStyle="1" w:styleId="219">
    <w:name w:val="Normal_3"/>
    <w:qFormat/>
    <w:uiPriority w:val="0"/>
    <w:rPr>
      <w:rFonts w:hint="default" w:ascii="Times New Roman" w:hAnsi="Times New Roman" w:eastAsia="Times New Roman" w:cs="Times New Roman"/>
      <w:sz w:val="24"/>
      <w:szCs w:val="24"/>
      <w:lang w:val="en-US" w:eastAsia="zh-CN" w:bidi="ar-SA"/>
    </w:rPr>
  </w:style>
  <w:style w:type="paragraph" w:customStyle="1" w:styleId="220">
    <w:name w:val="Normal_4"/>
    <w:qFormat/>
    <w:uiPriority w:val="0"/>
    <w:rPr>
      <w:rFonts w:hint="default" w:ascii="Times New Roman" w:hAnsi="Times New Roman" w:eastAsia="Times New Roman" w:cs="Times New Roman"/>
      <w:sz w:val="24"/>
      <w:szCs w:val="24"/>
      <w:lang w:val="en-US" w:eastAsia="zh-CN" w:bidi="ar-SA"/>
    </w:rPr>
  </w:style>
  <w:style w:type="paragraph" w:customStyle="1" w:styleId="221">
    <w:name w:val="Normal_5"/>
    <w:qFormat/>
    <w:uiPriority w:val="0"/>
    <w:rPr>
      <w:rFonts w:hint="default" w:ascii="Times New Roman" w:hAnsi="Times New Roman" w:eastAsia="Times New Roman" w:cs="Times New Roman"/>
      <w:sz w:val="24"/>
      <w:szCs w:val="24"/>
      <w:lang w:val="en-US" w:eastAsia="zh-CN" w:bidi="ar-SA"/>
    </w:rPr>
  </w:style>
  <w:style w:type="paragraph" w:customStyle="1" w:styleId="222">
    <w:name w:val="Normal_6"/>
    <w:qFormat/>
    <w:uiPriority w:val="0"/>
    <w:rPr>
      <w:rFonts w:hint="default" w:ascii="Times New Roman" w:hAnsi="Times New Roman" w:eastAsia="Times New Roman" w:cs="Times New Roman"/>
      <w:sz w:val="24"/>
      <w:szCs w:val="24"/>
      <w:lang w:val="en-US" w:eastAsia="zh-CN" w:bidi="ar-SA"/>
    </w:rPr>
  </w:style>
  <w:style w:type="paragraph" w:customStyle="1" w:styleId="223">
    <w:name w:val="Normal_7"/>
    <w:qFormat/>
    <w:uiPriority w:val="0"/>
    <w:rPr>
      <w:rFonts w:hint="default" w:ascii="Times New Roman" w:hAnsi="Times New Roman" w:eastAsia="Times New Roman" w:cs="Times New Roman"/>
      <w:sz w:val="24"/>
      <w:szCs w:val="24"/>
      <w:lang w:val="en-US" w:eastAsia="zh-CN" w:bidi="ar-SA"/>
    </w:rPr>
  </w:style>
  <w:style w:type="paragraph" w:customStyle="1" w:styleId="224">
    <w:name w:val="Normal_8"/>
    <w:qFormat/>
    <w:uiPriority w:val="0"/>
    <w:rPr>
      <w:rFonts w:hint="default" w:ascii="Times New Roman" w:hAnsi="Times New Roman" w:eastAsia="Times New Roman" w:cs="Times New Roman"/>
      <w:sz w:val="24"/>
      <w:szCs w:val="24"/>
      <w:lang w:val="en-US" w:eastAsia="zh-CN" w:bidi="ar-SA"/>
    </w:rPr>
  </w:style>
  <w:style w:type="paragraph" w:customStyle="1" w:styleId="225">
    <w:name w:val="Normal_17"/>
    <w:qFormat/>
    <w:uiPriority w:val="0"/>
    <w:rPr>
      <w:rFonts w:hint="default" w:ascii="Times New Roman" w:hAnsi="Times New Roman" w:eastAsia="Times New Roman" w:cs="Times New Roman"/>
      <w:sz w:val="24"/>
      <w:szCs w:val="24"/>
      <w:lang w:val="en-US" w:eastAsia="zh-CN" w:bidi="ar-SA"/>
    </w:rPr>
  </w:style>
  <w:style w:type="paragraph" w:customStyle="1" w:styleId="226">
    <w:name w:val="Normal_0_0"/>
    <w:qFormat/>
    <w:uiPriority w:val="0"/>
    <w:rPr>
      <w:rFonts w:hint="default" w:ascii="Times New Roman" w:hAnsi="Times New Roman" w:eastAsia="Times New Roman" w:cs="Times New Roman"/>
      <w:sz w:val="24"/>
      <w:szCs w:val="24"/>
      <w:lang w:val="en-US" w:eastAsia="zh-CN" w:bidi="ar-SA"/>
    </w:rPr>
  </w:style>
  <w:style w:type="paragraph" w:customStyle="1" w:styleId="227">
    <w:name w:val="Normal_1_0"/>
    <w:qFormat/>
    <w:uiPriority w:val="0"/>
    <w:rPr>
      <w:rFonts w:hint="default" w:ascii="Times New Roman" w:hAnsi="Times New Roman" w:eastAsia="Times New Roman" w:cs="Times New Roman"/>
      <w:sz w:val="24"/>
      <w:szCs w:val="24"/>
      <w:lang w:val="en-US" w:eastAsia="zh-CN" w:bidi="ar-SA"/>
    </w:rPr>
  </w:style>
  <w:style w:type="paragraph" w:customStyle="1" w:styleId="228">
    <w:name w:val="Normal_11"/>
    <w:qFormat/>
    <w:uiPriority w:val="0"/>
    <w:rPr>
      <w:rFonts w:hint="default" w:ascii="Times New Roman" w:hAnsi="Times New Roman" w:eastAsia="Times New Roman" w:cs="Times New Roman"/>
      <w:sz w:val="24"/>
      <w:szCs w:val="24"/>
      <w:lang w:val="en-US" w:eastAsia="zh-CN" w:bidi="ar-SA"/>
    </w:rPr>
  </w:style>
  <w:style w:type="paragraph" w:customStyle="1" w:styleId="229">
    <w:name w:val="Normal_0"/>
    <w:next w:val="230"/>
    <w:qFormat/>
    <w:uiPriority w:val="0"/>
    <w:pPr>
      <w:widowControl w:val="0"/>
      <w:spacing w:line="440" w:lineRule="exact"/>
      <w:ind w:firstLine="200"/>
      <w:jc w:val="both"/>
    </w:pPr>
    <w:rPr>
      <w:rFonts w:hint="default" w:ascii="Times New Roman" w:hAnsi="Times New Roman" w:eastAsia="宋体" w:cs="Times New Roman"/>
      <w:sz w:val="21"/>
      <w:szCs w:val="24"/>
      <w:lang w:val="en-US" w:eastAsia="zh-CN" w:bidi="ar-SA"/>
    </w:rPr>
  </w:style>
  <w:style w:type="paragraph" w:customStyle="1" w:styleId="230">
    <w:name w:val="首行缩进_0"/>
    <w:basedOn w:val="229"/>
    <w:qFormat/>
    <w:uiPriority w:val="0"/>
    <w:pPr>
      <w:spacing w:line="360" w:lineRule="auto"/>
      <w:ind w:firstLine="480"/>
      <w:jc w:val="left"/>
    </w:pPr>
    <w:rPr>
      <w:rFonts w:ascii="宋体" w:hAnsi="宋体"/>
      <w:sz w:val="24"/>
    </w:rPr>
  </w:style>
  <w:style w:type="paragraph" w:customStyle="1" w:styleId="231">
    <w:name w:val="Normal_1_1"/>
    <w:qFormat/>
    <w:uiPriority w:val="0"/>
    <w:rPr>
      <w:rFonts w:hint="default" w:ascii="Times New Roman" w:hAnsi="Times New Roman" w:eastAsia="Times New Roman" w:cs="Times New Roman"/>
      <w:sz w:val="24"/>
      <w:szCs w:val="24"/>
      <w:lang w:val="en-US" w:eastAsia="zh-CN" w:bidi="ar-SA"/>
    </w:rPr>
  </w:style>
  <w:style w:type="paragraph" w:customStyle="1" w:styleId="232">
    <w:name w:val="Normal_0_0_0"/>
    <w:qFormat/>
    <w:uiPriority w:val="0"/>
    <w:rPr>
      <w:rFonts w:hint="default" w:ascii="Times New Roman" w:hAnsi="Times New Roman" w:eastAsia="Times New Roman" w:cs="Times New Roman"/>
      <w:sz w:val="24"/>
      <w:szCs w:val="24"/>
      <w:lang w:val="en-US" w:eastAsia="zh-CN" w:bidi="ar-SA"/>
    </w:rPr>
  </w:style>
  <w:style w:type="paragraph" w:customStyle="1" w:styleId="233">
    <w:name w:val="Normal_2_0"/>
    <w:qFormat/>
    <w:uiPriority w:val="0"/>
    <w:rPr>
      <w:rFonts w:hint="default" w:ascii="Times New Roman" w:hAnsi="Times New Roman" w:eastAsia="Times New Roman" w:cs="Times New Roman"/>
      <w:sz w:val="24"/>
      <w:szCs w:val="24"/>
      <w:lang w:val="en-US" w:eastAsia="zh-CN" w:bidi="ar-SA"/>
    </w:rPr>
  </w:style>
  <w:style w:type="paragraph" w:customStyle="1" w:styleId="234">
    <w:name w:val="Normal_4_0"/>
    <w:qFormat/>
    <w:uiPriority w:val="0"/>
    <w:rPr>
      <w:rFonts w:hint="default" w:ascii="Times New Roman" w:hAnsi="Times New Roman" w:eastAsia="Times New Roman" w:cs="Times New Roman"/>
      <w:sz w:val="24"/>
      <w:szCs w:val="24"/>
      <w:lang w:val="en-US" w:eastAsia="zh-CN" w:bidi="ar-SA"/>
    </w:rPr>
  </w:style>
  <w:style w:type="paragraph" w:customStyle="1" w:styleId="235">
    <w:name w:val="Normal_5_0"/>
    <w:qFormat/>
    <w:uiPriority w:val="0"/>
    <w:rPr>
      <w:rFonts w:hint="default" w:ascii="Times New Roman" w:hAnsi="Times New Roman" w:eastAsia="Times New Roman" w:cs="Times New Roman"/>
      <w:sz w:val="24"/>
      <w:szCs w:val="24"/>
      <w:lang w:val="en-US" w:eastAsia="zh-CN" w:bidi="ar-SA"/>
    </w:rPr>
  </w:style>
  <w:style w:type="paragraph" w:customStyle="1" w:styleId="236">
    <w:name w:val="Normal_0_2"/>
    <w:qFormat/>
    <w:uiPriority w:val="0"/>
    <w:rPr>
      <w:rFonts w:hint="default" w:ascii="Times New Roman" w:hAnsi="Times New Roman" w:eastAsia="Times New Roman" w:cs="Times New Roman"/>
      <w:sz w:val="24"/>
      <w:szCs w:val="24"/>
      <w:lang w:val="en-US" w:eastAsia="zh-CN" w:bidi="ar-SA"/>
    </w:rPr>
  </w:style>
  <w:style w:type="paragraph" w:customStyle="1" w:styleId="237">
    <w:name w:val="TableOfAuthoring1"/>
    <w:basedOn w:val="1"/>
    <w:next w:val="1"/>
    <w:qFormat/>
    <w:uiPriority w:val="0"/>
    <w:pPr>
      <w:ind w:left="420"/>
    </w:pPr>
    <w:rPr>
      <w:rFonts w:ascii="Calibri" w:hAnsi="Calibri" w:eastAsia="楷体_GB2312"/>
      <w:szCs w:val="24"/>
    </w:rPr>
  </w:style>
  <w:style w:type="paragraph" w:customStyle="1" w:styleId="238">
    <w:name w:val="Normal_0_3"/>
    <w:qFormat/>
    <w:uiPriority w:val="0"/>
    <w:rPr>
      <w:rFonts w:hint="default" w:ascii="Times New Roman" w:hAnsi="Times New Roman" w:eastAsia="Times New Roman" w:cs="Times New Roman"/>
      <w:sz w:val="24"/>
      <w:szCs w:val="24"/>
      <w:lang w:val="en-US" w:eastAsia="zh-CN" w:bidi="ar-SA"/>
    </w:rPr>
  </w:style>
  <w:style w:type="paragraph" w:customStyle="1" w:styleId="239">
    <w:name w:val="Normal_19"/>
    <w:qFormat/>
    <w:uiPriority w:val="0"/>
    <w:rPr>
      <w:rFonts w:hint="default" w:ascii="Times New Roman" w:hAnsi="Times New Roman" w:eastAsia="Times New Roman" w:cs="Times New Roman"/>
      <w:sz w:val="24"/>
      <w:szCs w:val="24"/>
      <w:lang w:val="en-US" w:eastAsia="zh-CN" w:bidi="ar-SA"/>
    </w:rPr>
  </w:style>
  <w:style w:type="paragraph" w:customStyle="1" w:styleId="240">
    <w:name w:val="Normal_13"/>
    <w:qFormat/>
    <w:uiPriority w:val="0"/>
    <w:rPr>
      <w:rFonts w:hint="default" w:ascii="Times New Roman" w:hAnsi="Times New Roman" w:eastAsia="Times New Roman" w:cs="Times New Roman"/>
      <w:sz w:val="24"/>
      <w:szCs w:val="24"/>
      <w:lang w:val="en-US" w:eastAsia="zh-CN" w:bidi="ar-SA"/>
    </w:rPr>
  </w:style>
  <w:style w:type="paragraph" w:customStyle="1" w:styleId="241">
    <w:name w:val="Normal_0_4"/>
    <w:qFormat/>
    <w:uiPriority w:val="0"/>
    <w:rPr>
      <w:rFonts w:hint="default" w:ascii="Times New Roman" w:hAnsi="Times New Roman" w:eastAsia="Times New Roman" w:cs="Times New Roman"/>
      <w:sz w:val="24"/>
      <w:szCs w:val="24"/>
      <w:lang w:val="en-US" w:eastAsia="zh-CN" w:bidi="ar-SA"/>
    </w:rPr>
  </w:style>
  <w:style w:type="paragraph" w:customStyle="1" w:styleId="242">
    <w:name w:val="Normal_1_2"/>
    <w:qFormat/>
    <w:uiPriority w:val="0"/>
    <w:rPr>
      <w:rFonts w:hint="default" w:ascii="Times New Roman" w:hAnsi="Times New Roman" w:eastAsia="Times New Roman" w:cs="Times New Roman"/>
      <w:sz w:val="24"/>
      <w:szCs w:val="24"/>
      <w:lang w:val="en-US" w:eastAsia="zh-CN" w:bidi="ar-SA"/>
    </w:rPr>
  </w:style>
  <w:style w:type="paragraph" w:customStyle="1" w:styleId="243">
    <w:name w:val="Normal_2_1"/>
    <w:qFormat/>
    <w:uiPriority w:val="0"/>
    <w:rPr>
      <w:rFonts w:hint="default" w:ascii="Times New Roman" w:hAnsi="Times New Roman" w:eastAsia="Times New Roman" w:cs="Times New Roman"/>
      <w:sz w:val="24"/>
      <w:szCs w:val="24"/>
      <w:lang w:val="en-US" w:eastAsia="zh-CN" w:bidi="ar-SA"/>
    </w:rPr>
  </w:style>
  <w:style w:type="paragraph" w:customStyle="1" w:styleId="244">
    <w:name w:val="Normal_3_0"/>
    <w:qFormat/>
    <w:uiPriority w:val="0"/>
    <w:rPr>
      <w:rFonts w:hint="default" w:ascii="Times New Roman" w:hAnsi="Times New Roman" w:eastAsia="Times New Roman" w:cs="Times New Roman"/>
      <w:sz w:val="24"/>
      <w:szCs w:val="24"/>
      <w:lang w:val="en-US" w:eastAsia="zh-CN" w:bidi="ar-SA"/>
    </w:rPr>
  </w:style>
  <w:style w:type="paragraph" w:customStyle="1" w:styleId="245">
    <w:name w:val="Normal_6_0"/>
    <w:qFormat/>
    <w:uiPriority w:val="0"/>
    <w:rPr>
      <w:rFonts w:hint="default" w:ascii="Times New Roman" w:hAnsi="Times New Roman" w:eastAsia="Times New Roman" w:cs="Times New Roman"/>
      <w:sz w:val="24"/>
      <w:szCs w:val="24"/>
      <w:lang w:val="en-US" w:eastAsia="zh-CN" w:bidi="ar-SA"/>
    </w:rPr>
  </w:style>
  <w:style w:type="paragraph" w:customStyle="1" w:styleId="246">
    <w:name w:val="Normal_4_1"/>
    <w:qFormat/>
    <w:uiPriority w:val="0"/>
    <w:rPr>
      <w:rFonts w:hint="default" w:ascii="Times New Roman" w:hAnsi="Times New Roman" w:eastAsia="Times New Roman" w:cs="Times New Roman"/>
      <w:sz w:val="24"/>
      <w:szCs w:val="24"/>
      <w:lang w:val="en-US" w:eastAsia="zh-CN" w:bidi="ar-SA"/>
    </w:rPr>
  </w:style>
  <w:style w:type="paragraph" w:customStyle="1" w:styleId="247">
    <w:name w:val="Normal_5_1"/>
    <w:qFormat/>
    <w:uiPriority w:val="0"/>
    <w:rPr>
      <w:rFonts w:hint="default" w:ascii="Times New Roman" w:hAnsi="Times New Roman" w:eastAsia="Times New Roman" w:cs="Times New Roman"/>
      <w:sz w:val="24"/>
      <w:szCs w:val="24"/>
      <w:lang w:val="en-US" w:eastAsia="zh-CN" w:bidi="ar-SA"/>
    </w:rPr>
  </w:style>
  <w:style w:type="paragraph" w:customStyle="1" w:styleId="248">
    <w:name w:val="Normal_22"/>
    <w:qFormat/>
    <w:uiPriority w:val="0"/>
    <w:rPr>
      <w:rFonts w:hint="default" w:ascii="Times New Roman" w:hAnsi="Times New Roman" w:eastAsia="Times New Roman" w:cs="Times New Roman"/>
      <w:sz w:val="24"/>
      <w:szCs w:val="24"/>
      <w:lang w:val="en-US" w:eastAsia="zh-CN" w:bidi="ar-SA"/>
    </w:rPr>
  </w:style>
  <w:style w:type="paragraph" w:customStyle="1" w:styleId="249">
    <w:name w:val="Normal_7_0"/>
    <w:qFormat/>
    <w:uiPriority w:val="0"/>
    <w:rPr>
      <w:rFonts w:hint="default" w:ascii="Times New Roman" w:hAnsi="Times New Roman" w:eastAsia="Times New Roman" w:cs="Times New Roman"/>
      <w:sz w:val="24"/>
      <w:szCs w:val="24"/>
      <w:lang w:val="en-US" w:eastAsia="zh-CN" w:bidi="ar-SA"/>
    </w:rPr>
  </w:style>
  <w:style w:type="paragraph" w:customStyle="1" w:styleId="250">
    <w:name w:val="Normal_8_0"/>
    <w:qFormat/>
    <w:uiPriority w:val="0"/>
    <w:rPr>
      <w:rFonts w:hint="default" w:ascii="Times New Roman" w:hAnsi="Times New Roman" w:eastAsia="Times New Roman" w:cs="Times New Roman"/>
      <w:sz w:val="24"/>
      <w:szCs w:val="24"/>
      <w:lang w:val="en-US" w:eastAsia="zh-CN" w:bidi="ar-SA"/>
    </w:rPr>
  </w:style>
  <w:style w:type="paragraph" w:customStyle="1" w:styleId="251">
    <w:name w:val="Normal_9_0"/>
    <w:qFormat/>
    <w:uiPriority w:val="0"/>
    <w:rPr>
      <w:rFonts w:hint="default" w:ascii="Times New Roman" w:hAnsi="Times New Roman" w:eastAsia="Times New Roman" w:cs="Times New Roman"/>
      <w:sz w:val="24"/>
      <w:szCs w:val="24"/>
      <w:lang w:val="en-US" w:eastAsia="zh-CN" w:bidi="ar-SA"/>
    </w:rPr>
  </w:style>
  <w:style w:type="paragraph" w:customStyle="1" w:styleId="252">
    <w:name w:val="Normal_10_0"/>
    <w:qFormat/>
    <w:uiPriority w:val="0"/>
    <w:rPr>
      <w:rFonts w:hint="default" w:ascii="Times New Roman" w:hAnsi="Times New Roman" w:eastAsia="Times New Roman" w:cs="Times New Roman"/>
      <w:sz w:val="24"/>
      <w:szCs w:val="24"/>
      <w:lang w:val="en-US" w:eastAsia="zh-CN" w:bidi="ar-SA"/>
    </w:rPr>
  </w:style>
  <w:style w:type="paragraph" w:customStyle="1" w:styleId="253">
    <w:name w:val="Normal_11_0"/>
    <w:qFormat/>
    <w:uiPriority w:val="0"/>
    <w:rPr>
      <w:rFonts w:hint="default" w:ascii="Times New Roman" w:hAnsi="Times New Roman" w:eastAsia="Times New Roman" w:cs="Times New Roman"/>
      <w:sz w:val="24"/>
      <w:szCs w:val="24"/>
      <w:lang w:val="en-US" w:eastAsia="zh-CN" w:bidi="ar-SA"/>
    </w:rPr>
  </w:style>
  <w:style w:type="paragraph" w:customStyle="1" w:styleId="254">
    <w:name w:val="Normal_13_0"/>
    <w:qFormat/>
    <w:uiPriority w:val="0"/>
    <w:rPr>
      <w:rFonts w:hint="default" w:ascii="Times New Roman" w:hAnsi="Times New Roman" w:eastAsia="Times New Roman" w:cs="Times New Roman"/>
      <w:sz w:val="24"/>
      <w:szCs w:val="24"/>
      <w:lang w:val="en-US" w:eastAsia="zh-CN" w:bidi="ar-SA"/>
    </w:rPr>
  </w:style>
  <w:style w:type="paragraph" w:customStyle="1" w:styleId="255">
    <w:name w:val="Normal_14_0"/>
    <w:qFormat/>
    <w:uiPriority w:val="0"/>
    <w:rPr>
      <w:rFonts w:hint="default" w:ascii="Times New Roman" w:hAnsi="Times New Roman" w:eastAsia="Times New Roman" w:cs="Times New Roman"/>
      <w:sz w:val="24"/>
      <w:szCs w:val="24"/>
      <w:lang w:val="en-US" w:eastAsia="zh-CN" w:bidi="ar-SA"/>
    </w:rPr>
  </w:style>
  <w:style w:type="paragraph" w:customStyle="1" w:styleId="256">
    <w:name w:val="Normal_15_0"/>
    <w:qFormat/>
    <w:uiPriority w:val="0"/>
    <w:rPr>
      <w:rFonts w:hint="default" w:ascii="Times New Roman" w:hAnsi="Times New Roman" w:eastAsia="Times New Roman" w:cs="Times New Roman"/>
      <w:sz w:val="24"/>
      <w:szCs w:val="24"/>
      <w:lang w:val="en-US" w:eastAsia="zh-CN" w:bidi="ar-SA"/>
    </w:rPr>
  </w:style>
  <w:style w:type="paragraph" w:customStyle="1" w:styleId="257">
    <w:name w:val="Normal_16_0"/>
    <w:qFormat/>
    <w:uiPriority w:val="0"/>
    <w:rPr>
      <w:rFonts w:hint="default" w:ascii="Times New Roman" w:hAnsi="Times New Roman" w:eastAsia="Times New Roman" w:cs="Times New Roman"/>
      <w:sz w:val="24"/>
      <w:szCs w:val="24"/>
      <w:lang w:val="en-US" w:eastAsia="zh-CN" w:bidi="ar-SA"/>
    </w:rPr>
  </w:style>
  <w:style w:type="paragraph" w:customStyle="1" w:styleId="258">
    <w:name w:val="Normal_17_0"/>
    <w:qFormat/>
    <w:uiPriority w:val="0"/>
    <w:rPr>
      <w:rFonts w:hint="default" w:ascii="Times New Roman" w:hAnsi="Times New Roman" w:eastAsia="Times New Roman" w:cs="Times New Roman"/>
      <w:sz w:val="24"/>
      <w:szCs w:val="24"/>
      <w:lang w:val="en-US" w:eastAsia="zh-CN" w:bidi="ar-SA"/>
    </w:rPr>
  </w:style>
  <w:style w:type="paragraph" w:customStyle="1" w:styleId="259">
    <w:name w:val="Normal_18_0"/>
    <w:qFormat/>
    <w:uiPriority w:val="0"/>
    <w:rPr>
      <w:rFonts w:hint="default" w:ascii="Times New Roman" w:hAnsi="Times New Roman" w:eastAsia="Times New Roman" w:cs="Times New Roman"/>
      <w:sz w:val="24"/>
      <w:szCs w:val="24"/>
      <w:lang w:val="en-US" w:eastAsia="zh-CN" w:bidi="ar-SA"/>
    </w:rPr>
  </w:style>
  <w:style w:type="paragraph" w:customStyle="1" w:styleId="260">
    <w:name w:val="Normal_19_0"/>
    <w:qFormat/>
    <w:uiPriority w:val="0"/>
    <w:rPr>
      <w:rFonts w:hint="default" w:ascii="Times New Roman" w:hAnsi="Times New Roman" w:eastAsia="Times New Roman" w:cs="Times New Roman"/>
      <w:sz w:val="24"/>
      <w:szCs w:val="24"/>
      <w:lang w:val="en-US" w:eastAsia="zh-CN" w:bidi="ar-SA"/>
    </w:rPr>
  </w:style>
  <w:style w:type="paragraph" w:customStyle="1" w:styleId="261">
    <w:name w:val="Normal_20"/>
    <w:qFormat/>
    <w:uiPriority w:val="0"/>
    <w:rPr>
      <w:rFonts w:hint="default" w:ascii="Times New Roman" w:hAnsi="Times New Roman" w:eastAsia="Times New Roman" w:cs="Times New Roman"/>
      <w:sz w:val="24"/>
      <w:szCs w:val="24"/>
      <w:lang w:val="en-US" w:eastAsia="zh-CN" w:bidi="ar-SA"/>
    </w:rPr>
  </w:style>
  <w:style w:type="paragraph" w:customStyle="1" w:styleId="262">
    <w:name w:val="Normal_35"/>
    <w:qFormat/>
    <w:uiPriority w:val="0"/>
    <w:rPr>
      <w:rFonts w:hint="default" w:ascii="Times New Roman" w:hAnsi="Times New Roman" w:eastAsia="Times New Roman" w:cs="Times New Roman"/>
      <w:sz w:val="24"/>
      <w:szCs w:val="24"/>
      <w:lang w:val="en-US" w:eastAsia="zh-CN" w:bidi="ar-SA"/>
    </w:rPr>
  </w:style>
  <w:style w:type="paragraph" w:customStyle="1" w:styleId="263">
    <w:name w:val="Normal_36"/>
    <w:qFormat/>
    <w:uiPriority w:val="0"/>
    <w:rPr>
      <w:rFonts w:hint="default" w:ascii="Times New Roman" w:hAnsi="Times New Roman" w:eastAsia="Times New Roman" w:cs="Times New Roman"/>
      <w:sz w:val="24"/>
      <w:szCs w:val="24"/>
      <w:lang w:val="en-US" w:eastAsia="zh-CN" w:bidi="ar-SA"/>
    </w:rPr>
  </w:style>
  <w:style w:type="paragraph" w:customStyle="1" w:styleId="264">
    <w:name w:val="Normal_37"/>
    <w:qFormat/>
    <w:uiPriority w:val="0"/>
    <w:rPr>
      <w:rFonts w:hint="default" w:ascii="Times New Roman" w:hAnsi="Times New Roman" w:eastAsia="Times New Roman" w:cs="Times New Roman"/>
      <w:sz w:val="24"/>
      <w:szCs w:val="24"/>
      <w:lang w:val="en-US" w:eastAsia="zh-CN" w:bidi="ar-SA"/>
    </w:rPr>
  </w:style>
  <w:style w:type="paragraph" w:customStyle="1" w:styleId="265">
    <w:name w:val="Normal_38"/>
    <w:qFormat/>
    <w:uiPriority w:val="0"/>
    <w:rPr>
      <w:rFonts w:hint="default" w:ascii="Times New Roman" w:hAnsi="Times New Roman" w:eastAsia="Times New Roman" w:cs="Times New Roman"/>
      <w:sz w:val="24"/>
      <w:szCs w:val="24"/>
      <w:lang w:val="en-US" w:eastAsia="zh-CN" w:bidi="ar-SA"/>
    </w:rPr>
  </w:style>
  <w:style w:type="paragraph" w:customStyle="1" w:styleId="266">
    <w:name w:val="Normal_24"/>
    <w:qFormat/>
    <w:uiPriority w:val="0"/>
    <w:rPr>
      <w:rFonts w:hint="default" w:ascii="Times New Roman" w:hAnsi="Times New Roman" w:eastAsia="Times New Roman" w:cs="Times New Roman"/>
      <w:sz w:val="24"/>
      <w:szCs w:val="24"/>
      <w:lang w:val="en-US" w:eastAsia="zh-CN" w:bidi="ar-SA"/>
    </w:rPr>
  </w:style>
  <w:style w:type="paragraph" w:customStyle="1" w:styleId="267">
    <w:name w:val="Normal_25"/>
    <w:qFormat/>
    <w:uiPriority w:val="0"/>
    <w:rPr>
      <w:rFonts w:hint="default" w:ascii="Times New Roman" w:hAnsi="Times New Roman" w:eastAsia="Times New Roman" w:cs="Times New Roman"/>
      <w:sz w:val="24"/>
      <w:szCs w:val="24"/>
      <w:lang w:val="en-US" w:eastAsia="zh-CN" w:bidi="ar-SA"/>
    </w:rPr>
  </w:style>
  <w:style w:type="paragraph" w:customStyle="1" w:styleId="268">
    <w:name w:val="Normal_26"/>
    <w:qFormat/>
    <w:uiPriority w:val="0"/>
    <w:rPr>
      <w:rFonts w:hint="default" w:ascii="Times New Roman" w:hAnsi="Times New Roman" w:eastAsia="Times New Roman" w:cs="Times New Roman"/>
      <w:sz w:val="24"/>
      <w:szCs w:val="24"/>
      <w:lang w:val="en-US" w:eastAsia="zh-CN" w:bidi="ar-SA"/>
    </w:rPr>
  </w:style>
  <w:style w:type="paragraph" w:customStyle="1" w:styleId="269">
    <w:name w:val="正文_0_0"/>
    <w:next w:val="270"/>
    <w:qFormat/>
    <w:uiPriority w:val="0"/>
    <w:pPr>
      <w:widowControl w:val="0"/>
      <w:jc w:val="both"/>
    </w:pPr>
    <w:rPr>
      <w:rFonts w:hint="default" w:ascii="Times New Roman" w:hAnsi="Times New Roman" w:eastAsia="宋体" w:cs="Times New Roman"/>
      <w:sz w:val="21"/>
      <w:lang w:val="en-US" w:eastAsia="zh-CN" w:bidi="ar-SA"/>
    </w:rPr>
  </w:style>
  <w:style w:type="paragraph" w:customStyle="1" w:styleId="270">
    <w:name w:val="正文文本_0"/>
    <w:basedOn w:val="269"/>
    <w:qFormat/>
    <w:uiPriority w:val="0"/>
    <w:pPr>
      <w:spacing w:line="400" w:lineRule="exact"/>
    </w:pPr>
    <w:rPr>
      <w:sz w:val="24"/>
    </w:rPr>
  </w:style>
  <w:style w:type="paragraph" w:customStyle="1" w:styleId="271">
    <w:name w:val="Normal_27"/>
    <w:qFormat/>
    <w:uiPriority w:val="0"/>
    <w:rPr>
      <w:rFonts w:hint="default" w:ascii="Times New Roman" w:hAnsi="Times New Roman" w:eastAsia="Times New Roman" w:cs="Times New Roman"/>
      <w:sz w:val="24"/>
      <w:szCs w:val="24"/>
      <w:lang w:val="en-US" w:eastAsia="zh-CN" w:bidi="ar-SA"/>
    </w:rPr>
  </w:style>
  <w:style w:type="paragraph" w:customStyle="1" w:styleId="272">
    <w:name w:val="Normal_28"/>
    <w:qFormat/>
    <w:uiPriority w:val="0"/>
    <w:rPr>
      <w:rFonts w:hint="default" w:ascii="Times New Roman" w:hAnsi="Times New Roman" w:eastAsia="Times New Roman" w:cs="Times New Roman"/>
      <w:sz w:val="24"/>
      <w:szCs w:val="24"/>
      <w:lang w:val="en-US" w:eastAsia="zh-CN" w:bidi="ar-SA"/>
    </w:rPr>
  </w:style>
  <w:style w:type="paragraph" w:customStyle="1" w:styleId="273">
    <w:name w:val="Normal_29"/>
    <w:qFormat/>
    <w:uiPriority w:val="0"/>
    <w:rPr>
      <w:rFonts w:hint="default" w:ascii="Times New Roman" w:hAnsi="Times New Roman" w:eastAsia="Times New Roman" w:cs="Times New Roman"/>
      <w:sz w:val="24"/>
      <w:szCs w:val="24"/>
      <w:lang w:val="en-US" w:eastAsia="zh-CN" w:bidi="ar-SA"/>
    </w:rPr>
  </w:style>
  <w:style w:type="paragraph" w:customStyle="1" w:styleId="274">
    <w:name w:val="Normal_30"/>
    <w:qFormat/>
    <w:uiPriority w:val="0"/>
    <w:rPr>
      <w:rFonts w:hint="default" w:ascii="Times New Roman" w:hAnsi="Times New Roman" w:eastAsia="Times New Roman" w:cs="Times New Roman"/>
      <w:sz w:val="24"/>
      <w:szCs w:val="24"/>
      <w:lang w:val="en-US" w:eastAsia="zh-CN" w:bidi="ar-SA"/>
    </w:rPr>
  </w:style>
  <w:style w:type="paragraph" w:customStyle="1" w:styleId="275">
    <w:name w:val="Normal_31"/>
    <w:qFormat/>
    <w:uiPriority w:val="0"/>
    <w:rPr>
      <w:rFonts w:hint="default" w:ascii="Times New Roman" w:hAnsi="Times New Roman" w:eastAsia="Times New Roman" w:cs="Times New Roman"/>
      <w:sz w:val="24"/>
      <w:szCs w:val="24"/>
      <w:lang w:val="en-US" w:eastAsia="zh-CN" w:bidi="ar-SA"/>
    </w:rPr>
  </w:style>
  <w:style w:type="paragraph" w:customStyle="1" w:styleId="276">
    <w:name w:val="Normal_33"/>
    <w:qFormat/>
    <w:uiPriority w:val="0"/>
    <w:rPr>
      <w:rFonts w:hint="default" w:ascii="Times New Roman" w:hAnsi="Times New Roman" w:eastAsia="Times New Roman" w:cs="Times New Roman"/>
      <w:sz w:val="24"/>
      <w:szCs w:val="24"/>
      <w:lang w:val="en-US" w:eastAsia="zh-CN" w:bidi="ar-SA"/>
    </w:rPr>
  </w:style>
  <w:style w:type="paragraph" w:customStyle="1" w:styleId="277">
    <w:name w:val="Normal_41"/>
    <w:qFormat/>
    <w:uiPriority w:val="0"/>
    <w:rPr>
      <w:rFonts w:hint="default" w:ascii="Times New Roman" w:hAnsi="Times New Roman" w:eastAsia="Times New Roman" w:cs="Times New Roman"/>
      <w:sz w:val="24"/>
      <w:szCs w:val="24"/>
      <w:lang w:val="en-US" w:eastAsia="zh-CN" w:bidi="ar-SA"/>
    </w:rPr>
  </w:style>
  <w:style w:type="paragraph" w:customStyle="1" w:styleId="278">
    <w:name w:val="Normal_44"/>
    <w:qFormat/>
    <w:uiPriority w:val="0"/>
    <w:rPr>
      <w:rFonts w:hint="default" w:ascii="Times New Roman" w:hAnsi="Times New Roman" w:eastAsia="Times New Roman" w:cs="Times New Roman"/>
      <w:sz w:val="24"/>
      <w:szCs w:val="24"/>
      <w:lang w:val="en-US" w:eastAsia="zh-CN" w:bidi="ar-SA"/>
    </w:rPr>
  </w:style>
  <w:style w:type="paragraph" w:customStyle="1" w:styleId="279">
    <w:name w:val="Normal_45"/>
    <w:qFormat/>
    <w:uiPriority w:val="0"/>
    <w:rPr>
      <w:rFonts w:hint="default" w:ascii="Times New Roman" w:hAnsi="Times New Roman" w:eastAsia="Times New Roman" w:cs="Times New Roman"/>
      <w:sz w:val="24"/>
      <w:szCs w:val="24"/>
      <w:lang w:val="en-US" w:eastAsia="zh-CN" w:bidi="ar-SA"/>
    </w:rPr>
  </w:style>
  <w:style w:type="paragraph" w:customStyle="1" w:styleId="280">
    <w:name w:val="Normal_47"/>
    <w:qFormat/>
    <w:uiPriority w:val="0"/>
    <w:rPr>
      <w:rFonts w:hint="default" w:ascii="Times New Roman" w:hAnsi="Times New Roman" w:eastAsia="Times New Roman" w:cs="Times New Roman"/>
      <w:sz w:val="24"/>
      <w:szCs w:val="24"/>
      <w:lang w:val="en-US" w:eastAsia="zh-CN" w:bidi="ar-SA"/>
    </w:rPr>
  </w:style>
  <w:style w:type="paragraph" w:customStyle="1" w:styleId="281">
    <w:name w:val="Normal_48"/>
    <w:qFormat/>
    <w:uiPriority w:val="0"/>
    <w:rPr>
      <w:rFonts w:hint="default" w:ascii="Times New Roman" w:hAnsi="Times New Roman" w:eastAsia="Times New Roman" w:cs="Times New Roman"/>
      <w:sz w:val="24"/>
      <w:szCs w:val="24"/>
      <w:lang w:val="en-US" w:eastAsia="zh-CN" w:bidi="ar-SA"/>
    </w:rPr>
  </w:style>
  <w:style w:type="paragraph" w:customStyle="1" w:styleId="282">
    <w:name w:val="页眉1"/>
    <w:basedOn w:val="1"/>
    <w:qFormat/>
    <w:uiPriority w:val="99"/>
    <w:pPr>
      <w:pBdr>
        <w:bottom w:val="single" w:color="000000" w:sz="6" w:space="1"/>
      </w:pBdr>
      <w:tabs>
        <w:tab w:val="center" w:pos="4153"/>
        <w:tab w:val="right" w:pos="8306"/>
      </w:tabs>
      <w:jc w:val="center"/>
    </w:pPr>
    <w:rPr>
      <w:sz w:val="18"/>
      <w:szCs w:val="18"/>
    </w:rPr>
  </w:style>
  <w:style w:type="paragraph" w:customStyle="1" w:styleId="283">
    <w:name w:val="页脚1"/>
    <w:basedOn w:val="1"/>
    <w:qFormat/>
    <w:uiPriority w:val="99"/>
    <w:pPr>
      <w:tabs>
        <w:tab w:val="center" w:pos="4153"/>
        <w:tab w:val="right" w:pos="8306"/>
      </w:tabs>
      <w:jc w:val="left"/>
    </w:pPr>
    <w:rPr>
      <w:sz w:val="18"/>
      <w:szCs w:val="18"/>
    </w:rPr>
  </w:style>
  <w:style w:type="character" w:customStyle="1" w:styleId="284">
    <w:name w:val="页码1"/>
    <w:link w:val="1"/>
    <w:qFormat/>
    <w:uiPriority w:val="0"/>
  </w:style>
  <w:style w:type="character" w:customStyle="1" w:styleId="285">
    <w:name w:val="fontstyle01"/>
    <w:link w:val="1"/>
    <w:qFormat/>
    <w:uiPriority w:val="0"/>
    <w:rPr>
      <w:rFonts w:hint="eastAsia" w:ascii="宋体" w:hAnsi="宋体" w:eastAsia="宋体"/>
      <w:color w:val="000000"/>
      <w:sz w:val="24"/>
      <w:szCs w:val="24"/>
    </w:rPr>
  </w:style>
  <w:style w:type="character" w:customStyle="1" w:styleId="286">
    <w:name w:val="font31"/>
    <w:basedOn w:val="41"/>
    <w:qFormat/>
    <w:uiPriority w:val="0"/>
    <w:rPr>
      <w:rFonts w:hint="eastAsia" w:ascii="宋体" w:hAnsi="宋体" w:eastAsia="宋体" w:cs="宋体"/>
      <w:i/>
      <w:iCs/>
      <w:color w:val="C00000"/>
      <w:sz w:val="24"/>
      <w:szCs w:val="24"/>
      <w:u w:val="single"/>
    </w:rPr>
  </w:style>
  <w:style w:type="paragraph" w:customStyle="1" w:styleId="287">
    <w:name w:val="Normal_16"/>
    <w:qFormat/>
    <w:uiPriority w:val="0"/>
    <w:rPr>
      <w:rFonts w:hint="default" w:ascii="Times New Roman" w:hAnsi="Times New Roman" w:eastAsia="Times New Roman" w:cs="Times New Roman"/>
      <w:sz w:val="24"/>
      <w:szCs w:val="24"/>
      <w:lang w:bidi="ar-SA"/>
    </w:rPr>
  </w:style>
  <w:style w:type="paragraph" w:customStyle="1" w:styleId="288">
    <w:name w:val="Table Text"/>
    <w:basedOn w:val="1"/>
    <w:semiHidden/>
    <w:qFormat/>
    <w:uiPriority w:val="0"/>
    <w:rPr>
      <w:rFonts w:ascii="宋体" w:hAnsi="宋体" w:eastAsia="宋体" w:cs="宋体"/>
      <w:sz w:val="24"/>
      <w:szCs w:val="24"/>
      <w:lang w:val="en-US" w:eastAsia="en-US" w:bidi="ar-SA"/>
    </w:rPr>
  </w:style>
  <w:style w:type="table" w:customStyle="1" w:styleId="289">
    <w:name w:val="Table Normal"/>
    <w:semiHidden/>
    <w:unhideWhenUsed/>
    <w:qFormat/>
    <w:uiPriority w:val="0"/>
    <w:tblPr>
      <w:tblCellMar>
        <w:top w:w="0" w:type="dxa"/>
        <w:left w:w="0" w:type="dxa"/>
        <w:bottom w:w="0" w:type="dxa"/>
        <w:right w:w="0" w:type="dxa"/>
      </w:tblCellMar>
    </w:tblPr>
  </w:style>
  <w:style w:type="character" w:customStyle="1" w:styleId="290">
    <w:name w:val="font11"/>
    <w:basedOn w:val="41"/>
    <w:qFormat/>
    <w:uiPriority w:val="0"/>
    <w:rPr>
      <w:rFonts w:hint="eastAsia" w:ascii="宋体" w:hAnsi="宋体" w:eastAsia="宋体" w:cs="宋体"/>
      <w:color w:val="000000"/>
      <w:sz w:val="22"/>
      <w:szCs w:val="22"/>
      <w:u w:val="none"/>
      <w:vertAlign w:val="subscript"/>
    </w:rPr>
  </w:style>
  <w:style w:type="character" w:customStyle="1" w:styleId="291">
    <w:name w:val="font01"/>
    <w:basedOn w:val="41"/>
    <w:qFormat/>
    <w:uiPriority w:val="0"/>
    <w:rPr>
      <w:rFonts w:hint="eastAsia" w:ascii="宋体" w:hAnsi="宋体" w:eastAsia="宋体" w:cs="宋体"/>
      <w:color w:val="000000"/>
      <w:sz w:val="22"/>
      <w:szCs w:val="22"/>
      <w:u w:val="none"/>
    </w:rPr>
  </w:style>
  <w:style w:type="character" w:customStyle="1" w:styleId="292">
    <w:name w:val="font21"/>
    <w:basedOn w:val="41"/>
    <w:qFormat/>
    <w:uiPriority w:val="0"/>
    <w:rPr>
      <w:rFonts w:hint="eastAsia" w:ascii="宋体" w:hAnsi="宋体" w:eastAsia="宋体" w:cs="宋体"/>
      <w:color w:val="000000"/>
      <w:sz w:val="22"/>
      <w:szCs w:val="22"/>
      <w:u w:val="none"/>
      <w:vertAlign w:val="subscript"/>
    </w:rPr>
  </w:style>
  <w:style w:type="paragraph" w:customStyle="1" w:styleId="293">
    <w:name w:val="投标文件正文"/>
    <w:basedOn w:val="1"/>
    <w:qFormat/>
    <w:uiPriority w:val="0"/>
    <w:pPr>
      <w:spacing w:line="440" w:lineRule="exact"/>
      <w:ind w:firstLine="560"/>
    </w:pPr>
    <w:rPr>
      <w:rFonts w:ascii="仿宋_GB2312" w:eastAsia="仿宋_GB2312"/>
      <w:bCs/>
      <w:sz w:val="28"/>
      <w:szCs w:val="28"/>
    </w:rPr>
  </w:style>
  <w:style w:type="paragraph" w:customStyle="1" w:styleId="294">
    <w:name w:val="Normal_18"/>
    <w:qFormat/>
    <w:uiPriority w:val="0"/>
    <w:rPr>
      <w:rFonts w:hint="default" w:ascii="Times New Roman" w:hAnsi="Times New Roman" w:eastAsia="Times New Roman" w:cs="Times New Roman"/>
      <w:sz w:val="24"/>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header" Target="header4.xml"/><Relationship Id="rId6" Type="http://schemas.openxmlformats.org/officeDocument/2006/relationships/header" Target="header3.xml"/><Relationship Id="rId5" Type="http://schemas.openxmlformats.org/officeDocument/2006/relationships/header" Target="header2.xml"/><Relationship Id="rId4" Type="http://schemas.openxmlformats.org/officeDocument/2006/relationships/footer" Target="footer1.xml"/><Relationship Id="rId32" Type="http://schemas.openxmlformats.org/officeDocument/2006/relationships/fontTable" Target="fontTable.xml"/><Relationship Id="rId31" Type="http://schemas.openxmlformats.org/officeDocument/2006/relationships/numbering" Target="numbering.xml"/><Relationship Id="rId30" Type="http://schemas.openxmlformats.org/officeDocument/2006/relationships/customXml" Target="../customXml/item1.xml"/><Relationship Id="rId3" Type="http://schemas.openxmlformats.org/officeDocument/2006/relationships/header" Target="header1.xml"/><Relationship Id="rId29" Type="http://schemas.openxmlformats.org/officeDocument/2006/relationships/theme" Target="theme/theme1.xml"/><Relationship Id="rId28" Type="http://schemas.openxmlformats.org/officeDocument/2006/relationships/footer" Target="footer10.xml"/><Relationship Id="rId27" Type="http://schemas.openxmlformats.org/officeDocument/2006/relationships/footer" Target="footer9.xml"/><Relationship Id="rId26" Type="http://schemas.openxmlformats.org/officeDocument/2006/relationships/header" Target="header16.xml"/><Relationship Id="rId25" Type="http://schemas.openxmlformats.org/officeDocument/2006/relationships/header" Target="header15.xml"/><Relationship Id="rId24" Type="http://schemas.openxmlformats.org/officeDocument/2006/relationships/header" Target="header14.xml"/><Relationship Id="rId23" Type="http://schemas.openxmlformats.org/officeDocument/2006/relationships/header" Target="header13.xml"/><Relationship Id="rId22" Type="http://schemas.openxmlformats.org/officeDocument/2006/relationships/footer" Target="footer8.xml"/><Relationship Id="rId21" Type="http://schemas.openxmlformats.org/officeDocument/2006/relationships/footer" Target="footer7.xml"/><Relationship Id="rId20" Type="http://schemas.openxmlformats.org/officeDocument/2006/relationships/header" Target="header12.xml"/><Relationship Id="rId2" Type="http://schemas.openxmlformats.org/officeDocument/2006/relationships/settings" Target="settings.xml"/><Relationship Id="rId19" Type="http://schemas.openxmlformats.org/officeDocument/2006/relationships/header" Target="header11.xml"/><Relationship Id="rId18" Type="http://schemas.openxmlformats.org/officeDocument/2006/relationships/footer" Target="footer6.xml"/><Relationship Id="rId17" Type="http://schemas.openxmlformats.org/officeDocument/2006/relationships/footer" Target="footer5.xml"/><Relationship Id="rId16" Type="http://schemas.openxmlformats.org/officeDocument/2006/relationships/header" Target="header10.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73</Pages>
  <Words>19351</Words>
  <Characters>20824</Characters>
  <TotalTime>0</TotalTime>
  <ScaleCrop>false</ScaleCrop>
  <LinksUpToDate>false</LinksUpToDate>
  <CharactersWithSpaces>21571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2024-12-17T07:45:00Z</dcterms:created>
  <dc:creator>Adminis</dc:creator>
  <cp:lastModifiedBy>dell</cp:lastModifiedBy>
  <dcterms:modified xsi:type="dcterms:W3CDTF">2026-04-30T00:46:06Z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eyJoZGlkIjoiNjkyMTZmYzBmNzc2NzRjOTI2YTNiNWM5ZDY2MDJjNjAiLCJ1c2VySWQiOiIxNDQ0Njc2MzU2In0=</vt:lpwstr>
  </property>
  <property fmtid="{D5CDD505-2E9C-101B-9397-08002B2CF9AE}" pid="3" name="KSOProductBuildVer">
    <vt:lpwstr>2052-12.1.0.25865</vt:lpwstr>
  </property>
  <property fmtid="{D5CDD505-2E9C-101B-9397-08002B2CF9AE}" pid="4" name="ICV">
    <vt:lpwstr>D4EF1CA827A344E09504C6ED33AB81C0_13</vt:lpwstr>
  </property>
</Properties>
</file>